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F1F698" w14:textId="1E964BC9" w:rsidR="000F5E15" w:rsidRDefault="005A5815" w:rsidP="00F23E35">
      <w:pPr>
        <w:jc w:val="center"/>
        <w:rPr>
          <w:rFonts w:asciiTheme="majorBidi" w:hAnsiTheme="majorBidi" w:cstheme="majorBidi"/>
          <w:b/>
          <w:bCs/>
        </w:rPr>
      </w:pPr>
      <w:r w:rsidRPr="00D04A3F">
        <w:rPr>
          <w:rFonts w:asciiTheme="majorBidi" w:hAnsiTheme="majorBidi" w:cstheme="majorBidi"/>
          <w:b/>
          <w:bCs/>
          <w:sz w:val="24"/>
          <w:szCs w:val="24"/>
        </w:rPr>
        <w:t xml:space="preserve"> </w:t>
      </w:r>
      <w:r w:rsidR="007541D4" w:rsidRPr="00D04A3F">
        <w:rPr>
          <w:rFonts w:asciiTheme="majorBidi" w:hAnsiTheme="majorBidi" w:cstheme="majorBidi"/>
          <w:b/>
          <w:bCs/>
        </w:rPr>
        <w:t xml:space="preserve">The Role of </w:t>
      </w:r>
      <w:r w:rsidR="007541D4" w:rsidRPr="00D04A3F">
        <w:rPr>
          <w:rFonts w:ascii="Times New Roman" w:eastAsia="Calibri" w:hAnsi="Times New Roman" w:cs="Times New Roman"/>
          <w:b/>
          <w:bCs/>
        </w:rPr>
        <w:t xml:space="preserve">a </w:t>
      </w:r>
      <w:r w:rsidR="007541D4" w:rsidRPr="00D04A3F">
        <w:rPr>
          <w:rFonts w:asciiTheme="majorBidi" w:hAnsiTheme="majorBidi" w:cstheme="majorBidi"/>
          <w:b/>
          <w:bCs/>
        </w:rPr>
        <w:t xml:space="preserve">Social Support Program in </w:t>
      </w:r>
      <w:r w:rsidR="007541D4" w:rsidRPr="00D04A3F">
        <w:rPr>
          <w:rFonts w:ascii="Times New Roman" w:eastAsia="Calibri" w:hAnsi="Times New Roman" w:cs="Times New Roman"/>
          <w:b/>
          <w:bCs/>
        </w:rPr>
        <w:t xml:space="preserve">the </w:t>
      </w:r>
      <w:r w:rsidR="007541D4" w:rsidRPr="00D04A3F">
        <w:rPr>
          <w:rFonts w:asciiTheme="majorBidi" w:hAnsiTheme="majorBidi" w:cstheme="majorBidi"/>
          <w:b/>
          <w:bCs/>
        </w:rPr>
        <w:t>Resilience of Informal Caregivers of Cancer Patients: A Randomized Clinical Trial</w:t>
      </w:r>
    </w:p>
    <w:p w14:paraId="3933DACC" w14:textId="1B3D96AA" w:rsidR="00B10453" w:rsidRDefault="00B10453" w:rsidP="00F23E35">
      <w:pPr>
        <w:jc w:val="center"/>
        <w:rPr>
          <w:rFonts w:asciiTheme="majorBidi" w:hAnsiTheme="majorBidi" w:cstheme="majorBidi"/>
          <w:b/>
          <w:bCs/>
          <w:lang w:eastAsia="zh-TW"/>
        </w:rPr>
      </w:pPr>
      <w:r w:rsidRPr="00B10453">
        <w:rPr>
          <w:rFonts w:asciiTheme="majorBidi" w:hAnsiTheme="majorBidi" w:cstheme="majorBidi"/>
          <w:b/>
          <w:bCs/>
          <w:lang w:eastAsia="zh-TW"/>
        </w:rPr>
        <w:t>Short Title:</w:t>
      </w:r>
      <w:r w:rsidRPr="00B10453">
        <w:rPr>
          <w:rFonts w:asciiTheme="majorBidi" w:hAnsiTheme="majorBidi" w:cstheme="majorBidi"/>
          <w:b/>
          <w:bCs/>
          <w:lang w:eastAsia="zh-TW"/>
        </w:rPr>
        <w:tab/>
        <w:t>Support Program for cancer Informal Caregivers</w:t>
      </w:r>
    </w:p>
    <w:p w14:paraId="4395640B" w14:textId="77777777" w:rsidR="00B10453" w:rsidRPr="00D04A3F" w:rsidRDefault="00B10453" w:rsidP="00F23E35">
      <w:pPr>
        <w:jc w:val="center"/>
        <w:rPr>
          <w:rFonts w:asciiTheme="majorBidi" w:hAnsiTheme="majorBidi" w:cstheme="majorBidi"/>
          <w:lang w:eastAsia="zh-TW"/>
        </w:rPr>
      </w:pPr>
    </w:p>
    <w:p w14:paraId="4EBC9DE1" w14:textId="1C69FA16" w:rsidR="009B4249" w:rsidRPr="00D04A3F" w:rsidRDefault="009B4249" w:rsidP="00405BAB">
      <w:pPr>
        <w:jc w:val="center"/>
        <w:rPr>
          <w:rFonts w:asciiTheme="majorBidi" w:hAnsiTheme="majorBidi" w:cstheme="majorBidi"/>
          <w:sz w:val="20"/>
          <w:szCs w:val="20"/>
        </w:rPr>
      </w:pPr>
      <w:r w:rsidRPr="00D04A3F">
        <w:rPr>
          <w:rFonts w:asciiTheme="majorBidi" w:hAnsiTheme="majorBidi" w:cstheme="majorBidi"/>
          <w:sz w:val="20"/>
          <w:szCs w:val="20"/>
        </w:rPr>
        <w:t xml:space="preserve">Masoomeh </w:t>
      </w:r>
      <w:r w:rsidR="00405BAB" w:rsidRPr="00D04A3F">
        <w:rPr>
          <w:rFonts w:asciiTheme="majorBidi" w:hAnsiTheme="majorBidi" w:cstheme="majorBidi"/>
          <w:sz w:val="20"/>
          <w:szCs w:val="20"/>
        </w:rPr>
        <w:t>YOUSEFVAND</w:t>
      </w:r>
      <w:r w:rsidR="00405BAB">
        <w:rPr>
          <w:rFonts w:asciiTheme="majorBidi" w:hAnsiTheme="majorBidi" w:cstheme="majorBidi"/>
          <w:sz w:val="20"/>
          <w:szCs w:val="20"/>
        </w:rPr>
        <w:t xml:space="preserve"> (</w:t>
      </w:r>
      <w:r w:rsidR="00405BAB" w:rsidRPr="00405BAB">
        <w:rPr>
          <w:rFonts w:asciiTheme="majorBidi" w:hAnsiTheme="majorBidi" w:cstheme="majorBidi"/>
          <w:sz w:val="20"/>
          <w:szCs w:val="20"/>
        </w:rPr>
        <w:t>MSc )</w:t>
      </w:r>
      <w:r w:rsidRPr="00405BAB">
        <w:rPr>
          <w:rFonts w:asciiTheme="majorBidi" w:hAnsiTheme="majorBidi" w:cstheme="majorBidi"/>
          <w:sz w:val="20"/>
          <w:szCs w:val="20"/>
        </w:rPr>
        <w:t>1</w:t>
      </w:r>
      <w:r w:rsidRPr="00D04A3F">
        <w:rPr>
          <w:rFonts w:asciiTheme="majorBidi" w:hAnsiTheme="majorBidi" w:cstheme="majorBidi"/>
          <w:sz w:val="20"/>
          <w:szCs w:val="20"/>
        </w:rPr>
        <w:t xml:space="preserve">, Nasrin </w:t>
      </w:r>
      <w:r w:rsidR="00405BAB" w:rsidRPr="00D04A3F">
        <w:rPr>
          <w:rFonts w:asciiTheme="majorBidi" w:hAnsiTheme="majorBidi" w:cstheme="majorBidi"/>
          <w:sz w:val="20"/>
          <w:szCs w:val="20"/>
        </w:rPr>
        <w:t>NIKPEYMA</w:t>
      </w:r>
      <w:r w:rsidR="00405BAB">
        <w:rPr>
          <w:rFonts w:asciiTheme="majorBidi" w:hAnsiTheme="majorBidi" w:cstheme="majorBidi"/>
          <w:sz w:val="20"/>
          <w:szCs w:val="20"/>
        </w:rPr>
        <w:t xml:space="preserve"> (</w:t>
      </w:r>
      <w:r w:rsidR="00405BAB" w:rsidRPr="00405BAB">
        <w:rPr>
          <w:rFonts w:asciiTheme="majorBidi" w:hAnsiTheme="majorBidi" w:cstheme="majorBidi"/>
          <w:sz w:val="20"/>
          <w:szCs w:val="20"/>
        </w:rPr>
        <w:t>PhD)</w:t>
      </w:r>
      <w:r w:rsidRPr="00405BAB">
        <w:rPr>
          <w:rFonts w:asciiTheme="majorBidi" w:hAnsiTheme="majorBidi" w:cstheme="majorBidi"/>
          <w:sz w:val="20"/>
          <w:szCs w:val="20"/>
        </w:rPr>
        <w:t>1</w:t>
      </w:r>
      <w:r w:rsidRPr="00D04A3F">
        <w:rPr>
          <w:rFonts w:asciiTheme="majorBidi" w:hAnsiTheme="majorBidi" w:cstheme="majorBidi"/>
          <w:sz w:val="20"/>
          <w:szCs w:val="20"/>
        </w:rPr>
        <w:t xml:space="preserve">, María Dolores. </w:t>
      </w:r>
      <w:r w:rsidR="00405BAB" w:rsidRPr="00D04A3F">
        <w:rPr>
          <w:rFonts w:asciiTheme="majorBidi" w:hAnsiTheme="majorBidi" w:cstheme="majorBidi"/>
          <w:sz w:val="20"/>
          <w:szCs w:val="20"/>
        </w:rPr>
        <w:t>RUIZ-FERNÁNDEZ</w:t>
      </w:r>
      <w:r w:rsidR="00405BAB" w:rsidRPr="00405BAB">
        <w:rPr>
          <w:rFonts w:asciiTheme="majorBidi" w:hAnsiTheme="majorBidi" w:cstheme="majorBidi"/>
          <w:sz w:val="20"/>
          <w:szCs w:val="20"/>
        </w:rPr>
        <w:t xml:space="preserve"> (PhD)</w:t>
      </w:r>
      <w:r w:rsidRPr="00405BAB">
        <w:rPr>
          <w:rFonts w:asciiTheme="majorBidi" w:hAnsiTheme="majorBidi" w:cstheme="majorBidi"/>
          <w:sz w:val="20"/>
          <w:szCs w:val="20"/>
        </w:rPr>
        <w:t>2</w:t>
      </w:r>
      <w:r w:rsidRPr="00D04A3F">
        <w:rPr>
          <w:rFonts w:asciiTheme="majorBidi" w:hAnsiTheme="majorBidi" w:cstheme="majorBidi"/>
          <w:sz w:val="20"/>
          <w:szCs w:val="20"/>
        </w:rPr>
        <w:t xml:space="preserve">, Hossein </w:t>
      </w:r>
      <w:r w:rsidR="00405BAB" w:rsidRPr="00D04A3F">
        <w:rPr>
          <w:rFonts w:asciiTheme="majorBidi" w:hAnsiTheme="majorBidi" w:cstheme="majorBidi"/>
          <w:sz w:val="20"/>
          <w:szCs w:val="20"/>
        </w:rPr>
        <w:t>POORCHERAGHI</w:t>
      </w:r>
      <w:r w:rsidR="00405BAB">
        <w:rPr>
          <w:rFonts w:asciiTheme="majorBidi" w:hAnsiTheme="majorBidi" w:cstheme="majorBidi"/>
          <w:sz w:val="20"/>
          <w:szCs w:val="20"/>
        </w:rPr>
        <w:t xml:space="preserve"> (</w:t>
      </w:r>
      <w:r w:rsidR="00405BAB" w:rsidRPr="00405BAB">
        <w:rPr>
          <w:rFonts w:asciiTheme="majorBidi" w:hAnsiTheme="majorBidi" w:cstheme="majorBidi"/>
          <w:sz w:val="20"/>
          <w:szCs w:val="20"/>
        </w:rPr>
        <w:t>MSc )</w:t>
      </w:r>
      <w:r w:rsidRPr="00405BAB">
        <w:rPr>
          <w:rFonts w:asciiTheme="majorBidi" w:hAnsiTheme="majorBidi" w:cstheme="majorBidi"/>
          <w:sz w:val="20"/>
          <w:szCs w:val="20"/>
        </w:rPr>
        <w:t>1</w:t>
      </w:r>
      <w:r w:rsidRPr="00D04A3F">
        <w:rPr>
          <w:rFonts w:asciiTheme="majorBidi" w:hAnsiTheme="majorBidi" w:cstheme="majorBidi"/>
          <w:sz w:val="20"/>
          <w:szCs w:val="20"/>
        </w:rPr>
        <w:t xml:space="preserve">, Hossein </w:t>
      </w:r>
      <w:r w:rsidR="00405BAB" w:rsidRPr="00D04A3F">
        <w:rPr>
          <w:rFonts w:asciiTheme="majorBidi" w:hAnsiTheme="majorBidi" w:cstheme="majorBidi"/>
          <w:sz w:val="20"/>
          <w:szCs w:val="20"/>
        </w:rPr>
        <w:t>KAMRAN ZADEH FUMANI</w:t>
      </w:r>
      <w:r w:rsidR="00405BAB">
        <w:rPr>
          <w:rFonts w:asciiTheme="majorBidi" w:hAnsiTheme="majorBidi" w:cstheme="majorBidi"/>
          <w:sz w:val="20"/>
          <w:szCs w:val="20"/>
        </w:rPr>
        <w:t xml:space="preserve"> (</w:t>
      </w:r>
      <w:r w:rsidR="00405BAB" w:rsidRPr="00405BAB">
        <w:rPr>
          <w:rFonts w:asciiTheme="majorBidi" w:hAnsiTheme="majorBidi" w:cstheme="majorBidi"/>
          <w:sz w:val="20"/>
          <w:szCs w:val="20"/>
        </w:rPr>
        <w:t>PhD)</w:t>
      </w:r>
      <w:r w:rsidRPr="00405BAB">
        <w:rPr>
          <w:rFonts w:asciiTheme="majorBidi" w:hAnsiTheme="majorBidi" w:cstheme="majorBidi"/>
          <w:sz w:val="20"/>
          <w:szCs w:val="20"/>
        </w:rPr>
        <w:t>3</w:t>
      </w:r>
      <w:r w:rsidRPr="00D04A3F">
        <w:rPr>
          <w:rFonts w:asciiTheme="majorBidi" w:hAnsiTheme="majorBidi" w:cstheme="majorBidi"/>
          <w:sz w:val="20"/>
          <w:szCs w:val="20"/>
        </w:rPr>
        <w:t xml:space="preserve">, Farshad </w:t>
      </w:r>
      <w:r w:rsidR="00405BAB" w:rsidRPr="00D04A3F">
        <w:rPr>
          <w:rFonts w:asciiTheme="majorBidi" w:hAnsiTheme="majorBidi" w:cstheme="majorBidi"/>
          <w:sz w:val="20"/>
          <w:szCs w:val="20"/>
        </w:rPr>
        <w:t>SHARIFI</w:t>
      </w:r>
      <w:r w:rsidR="00405BAB">
        <w:rPr>
          <w:rFonts w:asciiTheme="majorBidi" w:hAnsiTheme="majorBidi" w:cstheme="majorBidi"/>
          <w:sz w:val="20"/>
          <w:szCs w:val="20"/>
        </w:rPr>
        <w:t xml:space="preserve"> (</w:t>
      </w:r>
      <w:r w:rsidR="00405BAB" w:rsidRPr="00405BAB">
        <w:rPr>
          <w:rFonts w:asciiTheme="majorBidi" w:hAnsiTheme="majorBidi" w:cstheme="majorBidi"/>
          <w:sz w:val="20"/>
          <w:szCs w:val="20"/>
        </w:rPr>
        <w:t>PhD)</w:t>
      </w:r>
      <w:r w:rsidRPr="00405BAB">
        <w:rPr>
          <w:rFonts w:asciiTheme="majorBidi" w:hAnsiTheme="majorBidi" w:cstheme="majorBidi"/>
          <w:sz w:val="20"/>
          <w:szCs w:val="20"/>
        </w:rPr>
        <w:t>4</w:t>
      </w:r>
      <w:r w:rsidRPr="00D04A3F">
        <w:rPr>
          <w:rFonts w:asciiTheme="majorBidi" w:hAnsiTheme="majorBidi" w:cstheme="majorBidi"/>
          <w:sz w:val="20"/>
          <w:szCs w:val="20"/>
        </w:rPr>
        <w:t xml:space="preserve">, Sarieh </w:t>
      </w:r>
      <w:r w:rsidR="00405BAB" w:rsidRPr="00405BAB">
        <w:rPr>
          <w:rFonts w:asciiTheme="majorBidi" w:hAnsiTheme="majorBidi" w:cstheme="majorBidi"/>
          <w:sz w:val="20"/>
          <w:szCs w:val="20"/>
        </w:rPr>
        <w:t>POORTAGHI</w:t>
      </w:r>
      <w:r w:rsidR="00405BAB">
        <w:rPr>
          <w:rFonts w:asciiTheme="majorBidi" w:hAnsiTheme="majorBidi" w:cstheme="majorBidi"/>
          <w:sz w:val="20"/>
          <w:szCs w:val="20"/>
        </w:rPr>
        <w:t xml:space="preserve"> (</w:t>
      </w:r>
      <w:r w:rsidR="00405BAB" w:rsidRPr="00405BAB">
        <w:rPr>
          <w:rFonts w:asciiTheme="majorBidi" w:hAnsiTheme="majorBidi" w:cstheme="majorBidi"/>
          <w:sz w:val="20"/>
          <w:szCs w:val="20"/>
        </w:rPr>
        <w:t>PhD)</w:t>
      </w:r>
      <w:r w:rsidRPr="00405BAB">
        <w:rPr>
          <w:rFonts w:asciiTheme="majorBidi" w:hAnsiTheme="majorBidi" w:cstheme="majorBidi"/>
          <w:sz w:val="20"/>
          <w:szCs w:val="20"/>
        </w:rPr>
        <w:t>1</w:t>
      </w:r>
      <w:r w:rsidRPr="00D04A3F">
        <w:rPr>
          <w:rFonts w:asciiTheme="majorBidi" w:hAnsiTheme="majorBidi" w:cstheme="majorBidi"/>
          <w:sz w:val="20"/>
          <w:szCs w:val="20"/>
        </w:rPr>
        <w:t>*</w:t>
      </w:r>
    </w:p>
    <w:p w14:paraId="3501A9DD" w14:textId="77777777" w:rsidR="009B4249" w:rsidRPr="00D04A3F" w:rsidRDefault="009B4249" w:rsidP="009B4249">
      <w:pPr>
        <w:jc w:val="center"/>
        <w:rPr>
          <w:rFonts w:asciiTheme="majorBidi" w:hAnsiTheme="majorBidi" w:cstheme="majorBidi"/>
          <w:sz w:val="20"/>
          <w:szCs w:val="20"/>
        </w:rPr>
      </w:pPr>
      <w:r w:rsidRPr="00D04A3F">
        <w:rPr>
          <w:rFonts w:asciiTheme="majorBidi" w:hAnsiTheme="majorBidi" w:cstheme="majorBidi"/>
          <w:sz w:val="20"/>
          <w:szCs w:val="20"/>
        </w:rPr>
        <w:t>Health and Geriatric Nursing Department, School of Nursing and Midwifery, Tehran University of Medical Sciences, Tehran, Iran</w:t>
      </w:r>
      <w:r w:rsidRPr="00D04A3F">
        <w:rPr>
          <w:rFonts w:asciiTheme="majorBidi" w:hAnsiTheme="majorBidi" w:cstheme="majorBidi"/>
          <w:sz w:val="20"/>
          <w:szCs w:val="20"/>
          <w:vertAlign w:val="superscript"/>
        </w:rPr>
        <w:t>1</w:t>
      </w:r>
    </w:p>
    <w:p w14:paraId="1BDE570F" w14:textId="77777777" w:rsidR="009B4249" w:rsidRPr="00D04A3F" w:rsidRDefault="009B4249" w:rsidP="009B4249">
      <w:pPr>
        <w:jc w:val="center"/>
        <w:rPr>
          <w:rFonts w:asciiTheme="majorBidi" w:hAnsiTheme="majorBidi" w:cstheme="majorBidi"/>
          <w:sz w:val="20"/>
          <w:szCs w:val="20"/>
        </w:rPr>
      </w:pPr>
      <w:r w:rsidRPr="00D04A3F">
        <w:rPr>
          <w:rFonts w:asciiTheme="majorBidi" w:hAnsiTheme="majorBidi" w:cstheme="majorBidi"/>
          <w:sz w:val="20"/>
          <w:szCs w:val="20"/>
        </w:rPr>
        <w:t>Department of Nursing, Physiotherapy, and Medicine, University of Almeria, Almería, Spain</w:t>
      </w:r>
      <w:r w:rsidRPr="00D04A3F">
        <w:rPr>
          <w:rFonts w:asciiTheme="majorBidi" w:hAnsiTheme="majorBidi" w:cstheme="majorBidi"/>
          <w:sz w:val="20"/>
          <w:szCs w:val="20"/>
          <w:vertAlign w:val="superscript"/>
        </w:rPr>
        <w:t>2</w:t>
      </w:r>
    </w:p>
    <w:p w14:paraId="3BBE90C6" w14:textId="77777777" w:rsidR="009B4249" w:rsidRPr="00D04A3F" w:rsidRDefault="009B4249" w:rsidP="009B4249">
      <w:pPr>
        <w:jc w:val="center"/>
        <w:rPr>
          <w:rFonts w:asciiTheme="majorBidi" w:hAnsiTheme="majorBidi" w:cstheme="majorBidi"/>
          <w:sz w:val="20"/>
          <w:szCs w:val="20"/>
        </w:rPr>
      </w:pPr>
      <w:r w:rsidRPr="00D04A3F">
        <w:rPr>
          <w:rFonts w:asciiTheme="majorBidi" w:hAnsiTheme="majorBidi" w:cstheme="majorBidi"/>
          <w:sz w:val="20"/>
          <w:szCs w:val="20"/>
        </w:rPr>
        <w:t>Hematology-Oncology and Stem Cell Research Center, Tehran University of Medical Sciences, Tehran, Iran</w:t>
      </w:r>
      <w:r w:rsidRPr="00D04A3F">
        <w:rPr>
          <w:rFonts w:asciiTheme="majorBidi" w:hAnsiTheme="majorBidi" w:cstheme="majorBidi"/>
          <w:sz w:val="20"/>
          <w:szCs w:val="20"/>
          <w:vertAlign w:val="superscript"/>
        </w:rPr>
        <w:t>3</w:t>
      </w:r>
    </w:p>
    <w:p w14:paraId="18C4C9DC" w14:textId="77777777" w:rsidR="009B4249" w:rsidRPr="00D04A3F" w:rsidRDefault="009B4249" w:rsidP="009B4249">
      <w:pPr>
        <w:jc w:val="center"/>
        <w:rPr>
          <w:rFonts w:asciiTheme="majorBidi" w:hAnsiTheme="majorBidi" w:cstheme="majorBidi"/>
          <w:sz w:val="20"/>
          <w:szCs w:val="20"/>
        </w:rPr>
      </w:pPr>
      <w:r w:rsidRPr="00D04A3F">
        <w:rPr>
          <w:rFonts w:asciiTheme="majorBidi" w:hAnsiTheme="majorBidi" w:cstheme="majorBidi"/>
          <w:sz w:val="20"/>
          <w:szCs w:val="20"/>
        </w:rPr>
        <w:t>Elderly Health Research Center, Endocrinology and Metabolism Population Sciences Institute, Tehran University of Medical Sciences, Tehran, Iran</w:t>
      </w:r>
      <w:r w:rsidRPr="00D04A3F">
        <w:rPr>
          <w:rFonts w:asciiTheme="majorBidi" w:hAnsiTheme="majorBidi" w:cstheme="majorBidi"/>
          <w:sz w:val="20"/>
          <w:szCs w:val="20"/>
          <w:vertAlign w:val="superscript"/>
        </w:rPr>
        <w:t>4</w:t>
      </w:r>
    </w:p>
    <w:p w14:paraId="6DAB8F8E" w14:textId="595DCF06" w:rsidR="0093251E" w:rsidRDefault="009B4249" w:rsidP="00405BAB">
      <w:pPr>
        <w:jc w:val="center"/>
        <w:rPr>
          <w:rFonts w:asciiTheme="majorBidi" w:hAnsiTheme="majorBidi" w:cstheme="majorBidi"/>
          <w:sz w:val="20"/>
          <w:szCs w:val="20"/>
        </w:rPr>
      </w:pPr>
      <w:r w:rsidRPr="00D04A3F">
        <w:rPr>
          <w:rFonts w:asciiTheme="majorBidi" w:hAnsiTheme="majorBidi" w:cstheme="majorBidi"/>
          <w:sz w:val="20"/>
          <w:szCs w:val="20"/>
        </w:rPr>
        <w:t xml:space="preserve">*Corresponding author: Sarieh Poortaghi; </w:t>
      </w:r>
      <w:hyperlink r:id="rId8" w:history="1">
        <w:r w:rsidR="00405BAB" w:rsidRPr="002F2A4E">
          <w:rPr>
            <w:rStyle w:val="Hyperlink"/>
            <w:rFonts w:asciiTheme="majorBidi" w:hAnsiTheme="majorBidi" w:cstheme="majorBidi"/>
            <w:sz w:val="20"/>
            <w:szCs w:val="20"/>
          </w:rPr>
          <w:t>s-poortaghi@tums.ac.ir</w:t>
        </w:r>
      </w:hyperlink>
      <w:r w:rsidR="00405BAB">
        <w:rPr>
          <w:rFonts w:asciiTheme="majorBidi" w:hAnsiTheme="majorBidi" w:cstheme="majorBidi"/>
          <w:sz w:val="20"/>
          <w:szCs w:val="20"/>
        </w:rPr>
        <w:t xml:space="preserve">, </w:t>
      </w:r>
      <w:r w:rsidR="00405BAB" w:rsidRPr="00405BAB">
        <w:rPr>
          <w:rFonts w:asciiTheme="majorBidi" w:hAnsiTheme="majorBidi" w:cstheme="majorBidi"/>
          <w:sz w:val="20"/>
          <w:szCs w:val="20"/>
        </w:rPr>
        <w:t>ORCID</w:t>
      </w:r>
      <w:r w:rsidR="00405BAB">
        <w:rPr>
          <w:rFonts w:asciiTheme="majorBidi" w:hAnsiTheme="majorBidi" w:cstheme="majorBidi"/>
          <w:sz w:val="20"/>
          <w:szCs w:val="20"/>
        </w:rPr>
        <w:t>:0000-0001-5424-2353</w:t>
      </w:r>
    </w:p>
    <w:p w14:paraId="7EDBFF4E" w14:textId="1248BEB4" w:rsidR="006666F4" w:rsidRPr="0093251E" w:rsidRDefault="006666F4" w:rsidP="006666F4">
      <w:pPr>
        <w:jc w:val="center"/>
        <w:rPr>
          <w:rFonts w:asciiTheme="majorBidi" w:hAnsiTheme="majorBidi" w:cstheme="majorBidi"/>
          <w:sz w:val="20"/>
          <w:szCs w:val="20"/>
        </w:rPr>
      </w:pPr>
      <w:r w:rsidRPr="006666F4">
        <w:rPr>
          <w:rFonts w:asciiTheme="majorBidi" w:hAnsiTheme="majorBidi" w:cstheme="majorBidi"/>
          <w:sz w:val="20"/>
          <w:szCs w:val="20"/>
        </w:rPr>
        <w:t>Address: Tehran Province, Tehran, District 6, Nosrat St, Nursing and Midwifery School, Tehran University of Medical Science. Zip Code:1419733171</w:t>
      </w:r>
    </w:p>
    <w:p w14:paraId="4C508667" w14:textId="77777777" w:rsidR="006666F4" w:rsidRPr="006666F4" w:rsidRDefault="006666F4" w:rsidP="006666F4">
      <w:pPr>
        <w:autoSpaceDE w:val="0"/>
        <w:autoSpaceDN w:val="0"/>
        <w:adjustRightInd w:val="0"/>
        <w:spacing w:after="0" w:line="240" w:lineRule="auto"/>
        <w:jc w:val="both"/>
        <w:rPr>
          <w:rFonts w:asciiTheme="majorBidi" w:hAnsiTheme="majorBidi" w:cstheme="majorBidi"/>
          <w:b/>
          <w:bCs/>
          <w:sz w:val="20"/>
          <w:szCs w:val="20"/>
        </w:rPr>
      </w:pPr>
      <w:r w:rsidRPr="006666F4">
        <w:rPr>
          <w:rFonts w:asciiTheme="majorBidi" w:hAnsiTheme="majorBidi" w:cstheme="majorBidi"/>
          <w:b/>
          <w:bCs/>
          <w:sz w:val="20"/>
          <w:szCs w:val="20"/>
        </w:rPr>
        <w:t>Abstract</w:t>
      </w:r>
    </w:p>
    <w:p w14:paraId="484101D2" w14:textId="77777777" w:rsidR="006666F4" w:rsidRPr="006666F4" w:rsidRDefault="006666F4" w:rsidP="006666F4">
      <w:pPr>
        <w:autoSpaceDE w:val="0"/>
        <w:autoSpaceDN w:val="0"/>
        <w:adjustRightInd w:val="0"/>
        <w:spacing w:after="0" w:line="240" w:lineRule="auto"/>
        <w:jc w:val="both"/>
        <w:rPr>
          <w:rFonts w:asciiTheme="majorBidi" w:hAnsiTheme="majorBidi" w:cstheme="majorBidi"/>
          <w:sz w:val="20"/>
          <w:szCs w:val="20"/>
        </w:rPr>
      </w:pPr>
      <w:r w:rsidRPr="006666F4">
        <w:rPr>
          <w:rFonts w:asciiTheme="majorBidi" w:hAnsiTheme="majorBidi" w:cstheme="majorBidi"/>
          <w:b/>
          <w:bCs/>
          <w:sz w:val="20"/>
          <w:szCs w:val="20"/>
        </w:rPr>
        <w:t>Introduction:</w:t>
      </w:r>
      <w:r w:rsidRPr="006666F4">
        <w:rPr>
          <w:rFonts w:asciiTheme="majorBidi" w:hAnsiTheme="majorBidi" w:cstheme="majorBidi"/>
          <w:sz w:val="20"/>
          <w:szCs w:val="20"/>
        </w:rPr>
        <w:t xml:space="preserve"> Cancer is considered a major public health threat worldwide. Its unpredictable nature makes it a highly stressful and concerning event for both patients and their caregivers. Managing the stress associated with caring for cancer patients requires resilience models that can act as protective factors against psychological harm to caregivers. Social support is recognized as a powerful tool for coping with and dealing with crises. Therefore, this study aimed to determine the impact of a social support program on the resilience of informal caregivers of cancer patients in Tehran in 2022.</w:t>
      </w:r>
    </w:p>
    <w:p w14:paraId="00EFBE6B" w14:textId="77777777" w:rsidR="006666F4" w:rsidRPr="006666F4" w:rsidRDefault="006666F4" w:rsidP="006666F4">
      <w:pPr>
        <w:autoSpaceDE w:val="0"/>
        <w:autoSpaceDN w:val="0"/>
        <w:adjustRightInd w:val="0"/>
        <w:spacing w:after="0" w:line="240" w:lineRule="auto"/>
        <w:jc w:val="both"/>
        <w:rPr>
          <w:rFonts w:asciiTheme="majorBidi" w:hAnsiTheme="majorBidi" w:cstheme="majorBidi"/>
          <w:sz w:val="20"/>
          <w:szCs w:val="20"/>
        </w:rPr>
      </w:pPr>
      <w:r w:rsidRPr="006666F4">
        <w:rPr>
          <w:rFonts w:asciiTheme="majorBidi" w:hAnsiTheme="majorBidi" w:cstheme="majorBidi"/>
          <w:b/>
          <w:bCs/>
          <w:sz w:val="20"/>
          <w:szCs w:val="20"/>
        </w:rPr>
        <w:t>Methods:</w:t>
      </w:r>
      <w:r w:rsidRPr="006666F4">
        <w:rPr>
          <w:rFonts w:asciiTheme="majorBidi" w:hAnsiTheme="majorBidi" w:cstheme="majorBidi"/>
          <w:sz w:val="20"/>
          <w:szCs w:val="20"/>
        </w:rPr>
        <w:t xml:space="preserve"> In this randomized clinical trial, 100 informal caregivers (family members) of cancer patients were purposefully selected on the basis of inclusion criteria and randomly assigned to intervention and control groups via block randomization. After providing informed consent, the participants in the intervention group received a blended educational program consisting of in-person and virtual sessions. The designed educational program, which covered four domains (informational, emotional, practical, and evaluation), was implemented over six weeks, with one 60-minute group session each week. The control group had unrestricted access to the research environment's resources during their visits. Immediately after the intervention and six weeks later, the participants completed the demographic questionnaire and the Connor–Davidson Resilience Scale. The data were analyzed via descriptive and inferential statistical methods (chi-square tests, independent t tests, and paired t tests) in SPSS version 22.</w:t>
      </w:r>
    </w:p>
    <w:p w14:paraId="0868BC48" w14:textId="77777777" w:rsidR="006666F4" w:rsidRPr="006666F4" w:rsidRDefault="006666F4" w:rsidP="006666F4">
      <w:pPr>
        <w:autoSpaceDE w:val="0"/>
        <w:autoSpaceDN w:val="0"/>
        <w:adjustRightInd w:val="0"/>
        <w:spacing w:after="0" w:line="240" w:lineRule="auto"/>
        <w:jc w:val="both"/>
        <w:rPr>
          <w:rFonts w:asciiTheme="majorBidi" w:hAnsiTheme="majorBidi" w:cstheme="majorBidi"/>
          <w:sz w:val="20"/>
          <w:szCs w:val="20"/>
        </w:rPr>
      </w:pPr>
      <w:r w:rsidRPr="006666F4">
        <w:rPr>
          <w:rFonts w:asciiTheme="majorBidi" w:hAnsiTheme="majorBidi" w:cstheme="majorBidi"/>
          <w:b/>
          <w:bCs/>
          <w:sz w:val="20"/>
          <w:szCs w:val="20"/>
        </w:rPr>
        <w:t>Results:</w:t>
      </w:r>
      <w:r w:rsidRPr="006666F4">
        <w:rPr>
          <w:rFonts w:asciiTheme="majorBidi" w:hAnsiTheme="majorBidi" w:cstheme="majorBidi"/>
          <w:sz w:val="20"/>
          <w:szCs w:val="20"/>
        </w:rPr>
        <w:t xml:space="preserve"> No significant differences in demographic characteristics or average resilience scores were detected, and both groups were homogeneous before the intervention (</w:t>
      </w:r>
      <w:r w:rsidRPr="002A14A3">
        <w:rPr>
          <w:rFonts w:asciiTheme="majorBidi" w:hAnsiTheme="majorBidi" w:cstheme="majorBidi"/>
          <w:i/>
          <w:iCs/>
          <w:sz w:val="20"/>
          <w:szCs w:val="20"/>
        </w:rPr>
        <w:t>P</w:t>
      </w:r>
      <w:r w:rsidRPr="006666F4">
        <w:rPr>
          <w:rFonts w:asciiTheme="majorBidi" w:hAnsiTheme="majorBidi" w:cstheme="majorBidi"/>
          <w:sz w:val="20"/>
          <w:szCs w:val="20"/>
        </w:rPr>
        <w:t xml:space="preserve"> &gt; 0.05). The mean resilience scores for the intervention and control groups immediately after the intervention were 41.20 ± 11.74 and 27.97 ± 8.17, respectively. Six weeks after the intervention, the scores were 48.51 ± 12.27 for the intervention group and 26.21 ± 8.52 for the control group. A comparison of these mean scores immediately after the intervention and six weeks later revealed a significant difference between the two groups (</w:t>
      </w:r>
      <w:r w:rsidRPr="002A14A3">
        <w:rPr>
          <w:rFonts w:asciiTheme="majorBidi" w:hAnsiTheme="majorBidi" w:cstheme="majorBidi"/>
          <w:i/>
          <w:iCs/>
          <w:sz w:val="20"/>
          <w:szCs w:val="20"/>
        </w:rPr>
        <w:t>P</w:t>
      </w:r>
      <w:r w:rsidRPr="006666F4">
        <w:rPr>
          <w:rFonts w:asciiTheme="majorBidi" w:hAnsiTheme="majorBidi" w:cstheme="majorBidi"/>
          <w:sz w:val="20"/>
          <w:szCs w:val="20"/>
        </w:rPr>
        <w:t xml:space="preserve"> &lt; 0.001), indicating the effectiveness of the intervention.</w:t>
      </w:r>
    </w:p>
    <w:p w14:paraId="350BCC7B" w14:textId="77777777" w:rsidR="006666F4" w:rsidRPr="006666F4" w:rsidRDefault="006666F4" w:rsidP="006666F4">
      <w:pPr>
        <w:autoSpaceDE w:val="0"/>
        <w:autoSpaceDN w:val="0"/>
        <w:adjustRightInd w:val="0"/>
        <w:spacing w:after="0" w:line="240" w:lineRule="auto"/>
        <w:jc w:val="both"/>
        <w:rPr>
          <w:rFonts w:asciiTheme="majorBidi" w:hAnsiTheme="majorBidi" w:cstheme="majorBidi"/>
          <w:sz w:val="20"/>
          <w:szCs w:val="20"/>
        </w:rPr>
      </w:pPr>
      <w:r w:rsidRPr="006666F4">
        <w:rPr>
          <w:rFonts w:asciiTheme="majorBidi" w:hAnsiTheme="majorBidi" w:cstheme="majorBidi"/>
          <w:b/>
          <w:bCs/>
          <w:sz w:val="20"/>
          <w:szCs w:val="20"/>
        </w:rPr>
        <w:t>Conclusion:</w:t>
      </w:r>
      <w:r w:rsidRPr="006666F4">
        <w:rPr>
          <w:rFonts w:asciiTheme="majorBidi" w:hAnsiTheme="majorBidi" w:cstheme="majorBidi"/>
          <w:sz w:val="20"/>
          <w:szCs w:val="20"/>
        </w:rPr>
        <w:t xml:space="preserve"> Caregivers of cancer patients experience a highly challenging life, which over time impacts their physical and psychological health. Given the positive effect of the social support intervention on the resilience of informal caregivers of cancer patients, it appears that this intervention can increase caregivers' resilience and reduce caregiving stress. It is hoped that the results of this intervention will be used to develop family-centered care strategies.</w:t>
      </w:r>
    </w:p>
    <w:p w14:paraId="20B0641D" w14:textId="77777777" w:rsidR="006666F4" w:rsidRPr="006666F4" w:rsidRDefault="006666F4" w:rsidP="006666F4">
      <w:pPr>
        <w:autoSpaceDE w:val="0"/>
        <w:autoSpaceDN w:val="0"/>
        <w:adjustRightInd w:val="0"/>
        <w:spacing w:after="0" w:line="240" w:lineRule="auto"/>
        <w:jc w:val="both"/>
        <w:rPr>
          <w:rFonts w:asciiTheme="majorBidi" w:hAnsiTheme="majorBidi" w:cstheme="majorBidi"/>
          <w:sz w:val="20"/>
          <w:szCs w:val="20"/>
        </w:rPr>
      </w:pPr>
      <w:r w:rsidRPr="006666F4">
        <w:rPr>
          <w:rFonts w:asciiTheme="majorBidi" w:hAnsiTheme="majorBidi" w:cstheme="majorBidi"/>
          <w:sz w:val="20"/>
          <w:szCs w:val="20"/>
        </w:rPr>
        <w:t>Registration: This clinical trial study was approved by the Ethics Committee of the Faculty of Nursing, Midwifery, and Rehabilitation at Tehran University of Medical Sciences (IR.TUMS.HORCSCT.REC.1401.018) and registered with the Iranian Clinical Trials Center (IRCT20221120056560N1).</w:t>
      </w:r>
    </w:p>
    <w:p w14:paraId="29FD6B11" w14:textId="77777777" w:rsidR="006666F4" w:rsidRPr="006666F4" w:rsidRDefault="006666F4" w:rsidP="006666F4">
      <w:pPr>
        <w:autoSpaceDE w:val="0"/>
        <w:autoSpaceDN w:val="0"/>
        <w:adjustRightInd w:val="0"/>
        <w:spacing w:after="0" w:line="240" w:lineRule="auto"/>
        <w:jc w:val="both"/>
        <w:rPr>
          <w:rFonts w:asciiTheme="majorBidi" w:hAnsiTheme="majorBidi" w:cstheme="majorBidi"/>
          <w:sz w:val="20"/>
          <w:szCs w:val="20"/>
        </w:rPr>
      </w:pPr>
      <w:r w:rsidRPr="006666F4">
        <w:rPr>
          <w:rFonts w:asciiTheme="majorBidi" w:hAnsiTheme="majorBidi" w:cstheme="majorBidi"/>
          <w:b/>
          <w:bCs/>
          <w:sz w:val="20"/>
          <w:szCs w:val="20"/>
        </w:rPr>
        <w:t>Keywords:</w:t>
      </w:r>
      <w:r w:rsidRPr="006666F4">
        <w:rPr>
          <w:rFonts w:asciiTheme="majorBidi" w:hAnsiTheme="majorBidi" w:cstheme="majorBidi"/>
          <w:sz w:val="20"/>
          <w:szCs w:val="20"/>
        </w:rPr>
        <w:t xml:space="preserve"> Social Support, Resilience, Caregivers, Informal Caregivers, Cancer</w:t>
      </w:r>
    </w:p>
    <w:p w14:paraId="0C334A3B" w14:textId="6EA4EE57" w:rsidR="00D04A3F" w:rsidRDefault="00D04A3F" w:rsidP="006267A1">
      <w:pPr>
        <w:autoSpaceDE w:val="0"/>
        <w:autoSpaceDN w:val="0"/>
        <w:adjustRightInd w:val="0"/>
        <w:spacing w:after="0" w:line="240" w:lineRule="auto"/>
        <w:rPr>
          <w:rFonts w:asciiTheme="majorBidi" w:hAnsiTheme="majorBidi" w:cstheme="majorBidi"/>
          <w:sz w:val="20"/>
          <w:szCs w:val="20"/>
        </w:rPr>
      </w:pPr>
    </w:p>
    <w:p w14:paraId="02FF957B" w14:textId="1F7B2324" w:rsidR="000F5E15" w:rsidRPr="00D04A3F" w:rsidRDefault="007541D4" w:rsidP="00F23E35">
      <w:pPr>
        <w:jc w:val="both"/>
        <w:rPr>
          <w:rFonts w:asciiTheme="majorBidi" w:hAnsiTheme="majorBidi" w:cstheme="majorBidi"/>
        </w:rPr>
      </w:pPr>
      <w:r w:rsidRPr="00D04A3F">
        <w:rPr>
          <w:rFonts w:asciiTheme="majorBidi" w:hAnsiTheme="majorBidi" w:cstheme="majorBidi"/>
          <w:b/>
          <w:bCs/>
        </w:rPr>
        <w:lastRenderedPageBreak/>
        <w:t>Introduction</w:t>
      </w:r>
    </w:p>
    <w:p w14:paraId="221630A7" w14:textId="220B5F73" w:rsidR="000F5E15" w:rsidRPr="00D04A3F" w:rsidRDefault="007541D4" w:rsidP="003844C2">
      <w:pPr>
        <w:jc w:val="both"/>
        <w:rPr>
          <w:rFonts w:asciiTheme="majorBidi" w:hAnsiTheme="majorBidi" w:cstheme="majorBidi"/>
        </w:rPr>
      </w:pPr>
      <w:r w:rsidRPr="00D04A3F">
        <w:rPr>
          <w:rFonts w:asciiTheme="majorBidi" w:hAnsiTheme="majorBidi" w:cstheme="majorBidi"/>
        </w:rPr>
        <w:t>Cancer is currently considered a major public health issue worldwide, and according to the Centers for Disease Control and Prevention (CDC), it is the second leading cause of death in the United States.</w:t>
      </w:r>
      <w:commentRangeStart w:id="0"/>
      <w:r w:rsidR="003844C2" w:rsidRPr="00D04A3F">
        <w:rPr>
          <w:rFonts w:asciiTheme="majorBidi" w:hAnsiTheme="majorBidi" w:cstheme="majorBidi"/>
          <w:vertAlign w:val="superscript"/>
        </w:rPr>
        <w:t>1</w:t>
      </w:r>
      <w:r w:rsidRPr="00D04A3F">
        <w:rPr>
          <w:rFonts w:asciiTheme="majorBidi" w:hAnsiTheme="majorBidi" w:cstheme="majorBidi"/>
        </w:rPr>
        <w:t xml:space="preserve"> </w:t>
      </w:r>
      <w:commentRangeEnd w:id="0"/>
      <w:r w:rsidR="00B10453">
        <w:rPr>
          <w:rStyle w:val="CommentReference"/>
        </w:rPr>
        <w:commentReference w:id="0"/>
      </w:r>
      <w:r w:rsidRPr="00D04A3F">
        <w:rPr>
          <w:rFonts w:asciiTheme="majorBidi" w:hAnsiTheme="majorBidi" w:cstheme="majorBidi"/>
        </w:rPr>
        <w:t>Over 11 million people are diagnosed with cancer each year, and 7 million cance</w:t>
      </w:r>
      <w:r w:rsidR="003844C2" w:rsidRPr="00D04A3F">
        <w:rPr>
          <w:rFonts w:asciiTheme="majorBidi" w:hAnsiTheme="majorBidi" w:cstheme="majorBidi"/>
        </w:rPr>
        <w:t>r-related deaths occur globally</w:t>
      </w:r>
      <w:r w:rsidRPr="00D04A3F">
        <w:rPr>
          <w:rFonts w:asciiTheme="majorBidi" w:hAnsiTheme="majorBidi" w:cstheme="majorBidi"/>
        </w:rPr>
        <w:t>.</w:t>
      </w:r>
      <w:r w:rsidR="003844C2" w:rsidRPr="00D04A3F">
        <w:rPr>
          <w:rFonts w:asciiTheme="majorBidi" w:hAnsiTheme="majorBidi" w:cstheme="majorBidi"/>
          <w:vertAlign w:val="superscript"/>
        </w:rPr>
        <w:t>2</w:t>
      </w:r>
      <w:r w:rsidRPr="00D04A3F">
        <w:rPr>
          <w:rFonts w:asciiTheme="majorBidi" w:hAnsiTheme="majorBidi" w:cstheme="majorBidi"/>
        </w:rPr>
        <w:t xml:space="preserve"> In Iran, more than 30,000 people die from cancer annually, and it is estimated that over 80,000 new </w:t>
      </w:r>
      <w:r w:rsidR="003844C2" w:rsidRPr="00D04A3F">
        <w:rPr>
          <w:rFonts w:asciiTheme="majorBidi" w:hAnsiTheme="majorBidi" w:cstheme="majorBidi"/>
        </w:rPr>
        <w:t>cases of cancer occur each year</w:t>
      </w:r>
      <w:r w:rsidRPr="00D04A3F">
        <w:rPr>
          <w:rFonts w:asciiTheme="majorBidi" w:hAnsiTheme="majorBidi" w:cstheme="majorBidi"/>
        </w:rPr>
        <w:t>.</w:t>
      </w:r>
      <w:r w:rsidR="003844C2" w:rsidRPr="00D04A3F">
        <w:rPr>
          <w:rFonts w:asciiTheme="majorBidi" w:hAnsiTheme="majorBidi" w:cstheme="majorBidi"/>
          <w:vertAlign w:val="superscript"/>
        </w:rPr>
        <w:t>3</w:t>
      </w:r>
      <w:r w:rsidRPr="00D04A3F">
        <w:rPr>
          <w:rFonts w:asciiTheme="majorBidi" w:hAnsiTheme="majorBidi" w:cstheme="majorBidi"/>
        </w:rPr>
        <w:t xml:space="preserve"> Cancer is characterized by the abnormal transformation of cells and the loss of cellular differentiation. It begins with a disruption in cell division and, after growing in one part of the body, spreads to other areas, affecting the physical and psychological abilities of the individual (such as physical and psychological weakness), their appearance and attractiveness, sexual desires, fert</w:t>
      </w:r>
      <w:r w:rsidR="003844C2" w:rsidRPr="00D04A3F">
        <w:rPr>
          <w:rFonts w:asciiTheme="majorBidi" w:hAnsiTheme="majorBidi" w:cstheme="majorBidi"/>
        </w:rPr>
        <w:t>ility, and physical functioning</w:t>
      </w:r>
      <w:r w:rsidRPr="00D04A3F">
        <w:rPr>
          <w:rFonts w:asciiTheme="majorBidi" w:hAnsiTheme="majorBidi" w:cstheme="majorBidi"/>
        </w:rPr>
        <w:t>.</w:t>
      </w:r>
      <w:r w:rsidR="003844C2" w:rsidRPr="00D04A3F">
        <w:rPr>
          <w:rFonts w:asciiTheme="majorBidi" w:hAnsiTheme="majorBidi" w:cstheme="majorBidi"/>
          <w:vertAlign w:val="superscript"/>
        </w:rPr>
        <w:t>4,5</w:t>
      </w:r>
      <w:r w:rsidRPr="00D04A3F">
        <w:rPr>
          <w:rFonts w:asciiTheme="majorBidi" w:hAnsiTheme="majorBidi" w:cstheme="majorBidi"/>
        </w:rPr>
        <w:t xml:space="preserve"> The impact of cancer is not limited to the human body but also affects individua</w:t>
      </w:r>
      <w:r w:rsidR="003844C2" w:rsidRPr="00D04A3F">
        <w:rPr>
          <w:rFonts w:asciiTheme="majorBidi" w:hAnsiTheme="majorBidi" w:cstheme="majorBidi"/>
        </w:rPr>
        <w:t>ls psychologically and socially.</w:t>
      </w:r>
      <w:r w:rsidR="003844C2" w:rsidRPr="00D04A3F">
        <w:rPr>
          <w:rFonts w:asciiTheme="majorBidi" w:hAnsiTheme="majorBidi" w:cstheme="majorBidi"/>
          <w:vertAlign w:val="superscript"/>
        </w:rPr>
        <w:t>6</w:t>
      </w:r>
    </w:p>
    <w:p w14:paraId="48554D83" w14:textId="2BF9DB6A" w:rsidR="000F5E15" w:rsidRPr="00D04A3F" w:rsidRDefault="007541D4" w:rsidP="002B4957">
      <w:pPr>
        <w:jc w:val="both"/>
        <w:rPr>
          <w:rFonts w:asciiTheme="majorBidi" w:hAnsiTheme="majorBidi" w:cstheme="majorBidi"/>
        </w:rPr>
      </w:pPr>
      <w:r w:rsidRPr="00D04A3F">
        <w:rPr>
          <w:rFonts w:asciiTheme="majorBidi" w:hAnsiTheme="majorBidi" w:cstheme="majorBidi"/>
        </w:rPr>
        <w:t xml:space="preserve">With the increasing demand for informal caregiving and the </w:t>
      </w:r>
      <w:r w:rsidRPr="00D04A3F">
        <w:rPr>
          <w:rFonts w:ascii="Times New Roman" w:eastAsia="Calibri" w:hAnsi="Times New Roman" w:cs="Times New Roman"/>
        </w:rPr>
        <w:t xml:space="preserve">increasing </w:t>
      </w:r>
      <w:r w:rsidRPr="00D04A3F">
        <w:rPr>
          <w:rFonts w:asciiTheme="majorBidi" w:hAnsiTheme="majorBidi" w:cstheme="majorBidi"/>
        </w:rPr>
        <w:t xml:space="preserve">number of cancer survivors, early hospital discharge and continued care at home </w:t>
      </w:r>
      <w:r w:rsidR="00885F80" w:rsidRPr="00D04A3F">
        <w:rPr>
          <w:rFonts w:asciiTheme="majorBidi" w:hAnsiTheme="majorBidi" w:cstheme="majorBidi"/>
        </w:rPr>
        <w:t>has</w:t>
      </w:r>
      <w:r w:rsidR="003844C2" w:rsidRPr="00D04A3F">
        <w:rPr>
          <w:rFonts w:asciiTheme="majorBidi" w:hAnsiTheme="majorBidi" w:cstheme="majorBidi"/>
        </w:rPr>
        <w:t xml:space="preserve"> been on the rise</w:t>
      </w:r>
      <w:r w:rsidRPr="00D04A3F">
        <w:rPr>
          <w:rFonts w:asciiTheme="majorBidi" w:hAnsiTheme="majorBidi" w:cstheme="majorBidi"/>
        </w:rPr>
        <w:t>.</w:t>
      </w:r>
      <w:r w:rsidR="003844C2" w:rsidRPr="00D04A3F">
        <w:rPr>
          <w:rFonts w:asciiTheme="majorBidi" w:hAnsiTheme="majorBidi" w:cstheme="majorBidi"/>
          <w:vertAlign w:val="superscript"/>
        </w:rPr>
        <w:t>7</w:t>
      </w:r>
      <w:r w:rsidRPr="00D04A3F">
        <w:rPr>
          <w:rFonts w:asciiTheme="majorBidi" w:hAnsiTheme="majorBidi" w:cstheme="majorBidi"/>
        </w:rPr>
        <w:t xml:space="preserve"> Additionally, the chronic and debilitating nature of cancer leads to the transition of patient care from medical centers to home, resulting in greater involvement of fam</w:t>
      </w:r>
      <w:r w:rsidR="003844C2" w:rsidRPr="00D04A3F">
        <w:rPr>
          <w:rFonts w:asciiTheme="majorBidi" w:hAnsiTheme="majorBidi" w:cstheme="majorBidi"/>
        </w:rPr>
        <w:t>ily members in the care process</w:t>
      </w:r>
      <w:r w:rsidRPr="00D04A3F">
        <w:rPr>
          <w:rFonts w:asciiTheme="majorBidi" w:hAnsiTheme="majorBidi" w:cstheme="majorBidi"/>
        </w:rPr>
        <w:t>.</w:t>
      </w:r>
      <w:r w:rsidR="003844C2" w:rsidRPr="00D04A3F">
        <w:rPr>
          <w:rFonts w:asciiTheme="majorBidi" w:hAnsiTheme="majorBidi" w:cstheme="majorBidi"/>
          <w:vertAlign w:val="superscript"/>
        </w:rPr>
        <w:t>8</w:t>
      </w:r>
      <w:r w:rsidRPr="00D04A3F">
        <w:rPr>
          <w:rFonts w:asciiTheme="majorBidi" w:hAnsiTheme="majorBidi" w:cstheme="majorBidi"/>
        </w:rPr>
        <w:t xml:space="preserve"> Therefore, family members become key components in the care of cancer patients, and neglecting their needs can be v</w:t>
      </w:r>
      <w:r w:rsidR="003844C2" w:rsidRPr="00D04A3F">
        <w:rPr>
          <w:rFonts w:asciiTheme="majorBidi" w:hAnsiTheme="majorBidi" w:cstheme="majorBidi"/>
        </w:rPr>
        <w:t>ery challenging in the long run.</w:t>
      </w:r>
      <w:r w:rsidR="003844C2" w:rsidRPr="00D04A3F">
        <w:rPr>
          <w:rFonts w:asciiTheme="majorBidi" w:hAnsiTheme="majorBidi" w:cstheme="majorBidi"/>
          <w:vertAlign w:val="superscript"/>
        </w:rPr>
        <w:t>9</w:t>
      </w:r>
    </w:p>
    <w:p w14:paraId="0B8B7914" w14:textId="693B9CC4" w:rsidR="000F5E15" w:rsidRPr="00D04A3F" w:rsidRDefault="007541D4" w:rsidP="002B4957">
      <w:pPr>
        <w:jc w:val="both"/>
        <w:rPr>
          <w:rFonts w:asciiTheme="majorBidi" w:hAnsiTheme="majorBidi" w:cstheme="majorBidi"/>
        </w:rPr>
      </w:pPr>
      <w:r w:rsidRPr="00D04A3F">
        <w:rPr>
          <w:rFonts w:asciiTheme="majorBidi" w:hAnsiTheme="majorBidi" w:cstheme="majorBidi"/>
        </w:rPr>
        <w:t>Caregivers are individuals who become deeply involved in the care and support of patients during an illness or disability to help them cope with and manage chronic diseases. They are divided into two categories:</w:t>
      </w:r>
      <w:r w:rsidR="003844C2" w:rsidRPr="00D04A3F">
        <w:rPr>
          <w:rFonts w:asciiTheme="majorBidi" w:hAnsiTheme="majorBidi" w:cstheme="majorBidi"/>
        </w:rPr>
        <w:t xml:space="preserve"> formal and informal caregivers</w:t>
      </w:r>
      <w:r w:rsidRPr="00D04A3F">
        <w:rPr>
          <w:rFonts w:asciiTheme="majorBidi" w:hAnsiTheme="majorBidi" w:cstheme="majorBidi"/>
        </w:rPr>
        <w:t>.</w:t>
      </w:r>
      <w:r w:rsidR="003844C2" w:rsidRPr="00D04A3F">
        <w:rPr>
          <w:rFonts w:asciiTheme="majorBidi" w:hAnsiTheme="majorBidi" w:cstheme="majorBidi"/>
          <w:vertAlign w:val="superscript"/>
        </w:rPr>
        <w:t>10</w:t>
      </w:r>
      <w:r w:rsidRPr="00D04A3F">
        <w:rPr>
          <w:rFonts w:asciiTheme="majorBidi" w:hAnsiTheme="majorBidi" w:cstheme="majorBidi"/>
        </w:rPr>
        <w:t xml:space="preserve"> Formal caregivers are trained professionals who provide various types of care and usually receive </w:t>
      </w:r>
      <w:r w:rsidRPr="00D04A3F">
        <w:rPr>
          <w:rFonts w:ascii="Times New Roman" w:eastAsia="Calibri" w:hAnsi="Times New Roman" w:cs="Times New Roman"/>
        </w:rPr>
        <w:t>payments</w:t>
      </w:r>
      <w:r w:rsidRPr="00D04A3F">
        <w:rPr>
          <w:rFonts w:asciiTheme="majorBidi" w:hAnsiTheme="majorBidi" w:cstheme="majorBidi"/>
        </w:rPr>
        <w:t xml:space="preserve"> for their services. Informal caregivers, or family caregivers, are family members (spouses, children, friends) who take on the responsibility of caring for the patient at home, often without receiving financial compensation. On average, they provide 31 hours of care per</w:t>
      </w:r>
      <w:r w:rsidR="003844C2" w:rsidRPr="00D04A3F">
        <w:rPr>
          <w:rFonts w:asciiTheme="majorBidi" w:hAnsiTheme="majorBidi" w:cstheme="majorBidi"/>
        </w:rPr>
        <w:t xml:space="preserve"> week for at least three months</w:t>
      </w:r>
      <w:r w:rsidRPr="00D04A3F">
        <w:rPr>
          <w:rFonts w:asciiTheme="majorBidi" w:hAnsiTheme="majorBidi" w:cstheme="majorBidi"/>
        </w:rPr>
        <w:t>.</w:t>
      </w:r>
      <w:r w:rsidR="003844C2" w:rsidRPr="00D04A3F">
        <w:rPr>
          <w:rFonts w:asciiTheme="majorBidi" w:hAnsiTheme="majorBidi" w:cstheme="majorBidi"/>
          <w:vertAlign w:val="superscript"/>
        </w:rPr>
        <w:t>11,12</w:t>
      </w:r>
      <w:r w:rsidRPr="00D04A3F">
        <w:rPr>
          <w:rFonts w:asciiTheme="majorBidi" w:hAnsiTheme="majorBidi" w:cstheme="majorBidi"/>
        </w:rPr>
        <w:t xml:space="preserve"> These caregivers are psychologically at risk for stress, anxiety, and depression, and physically, they are more likely to experience issues such as hyperte</w:t>
      </w:r>
      <w:r w:rsidR="003844C2" w:rsidRPr="00D04A3F">
        <w:rPr>
          <w:rFonts w:asciiTheme="majorBidi" w:hAnsiTheme="majorBidi" w:cstheme="majorBidi"/>
        </w:rPr>
        <w:t>nsion, back pain, and arthritis.</w:t>
      </w:r>
      <w:r w:rsidR="003844C2" w:rsidRPr="00D04A3F">
        <w:rPr>
          <w:rFonts w:asciiTheme="majorBidi" w:hAnsiTheme="majorBidi" w:cstheme="majorBidi"/>
          <w:vertAlign w:val="superscript"/>
        </w:rPr>
        <w:t>13</w:t>
      </w:r>
      <w:r w:rsidRPr="00D04A3F">
        <w:rPr>
          <w:rFonts w:asciiTheme="majorBidi" w:hAnsiTheme="majorBidi" w:cstheme="majorBidi"/>
          <w:vertAlign w:val="superscript"/>
        </w:rPr>
        <w:t xml:space="preserve"> </w:t>
      </w:r>
      <w:r w:rsidRPr="00D04A3F">
        <w:rPr>
          <w:rFonts w:asciiTheme="majorBidi" w:hAnsiTheme="majorBidi" w:cstheme="majorBidi"/>
        </w:rPr>
        <w:t>Factors such as caregiving pressure, family dysfunction, feelings of stigma, and patient dependency negatively affect caregivers' resilience, highlighting the need for flexi</w:t>
      </w:r>
      <w:r w:rsidR="003844C2" w:rsidRPr="00D04A3F">
        <w:rPr>
          <w:rFonts w:asciiTheme="majorBidi" w:hAnsiTheme="majorBidi" w:cstheme="majorBidi"/>
        </w:rPr>
        <w:t>ble and resilient coping models.</w:t>
      </w:r>
      <w:r w:rsidR="003844C2" w:rsidRPr="00D04A3F">
        <w:rPr>
          <w:rFonts w:asciiTheme="majorBidi" w:hAnsiTheme="majorBidi" w:cstheme="majorBidi"/>
          <w:vertAlign w:val="superscript"/>
        </w:rPr>
        <w:t>14</w:t>
      </w:r>
    </w:p>
    <w:p w14:paraId="00B0A99E" w14:textId="73F38522" w:rsidR="000F5E15" w:rsidRPr="00D04A3F" w:rsidRDefault="007541D4" w:rsidP="002B4957">
      <w:pPr>
        <w:jc w:val="both"/>
        <w:rPr>
          <w:rFonts w:asciiTheme="majorBidi" w:hAnsiTheme="majorBidi" w:cstheme="majorBidi"/>
        </w:rPr>
      </w:pPr>
      <w:r w:rsidRPr="00D04A3F">
        <w:rPr>
          <w:rFonts w:asciiTheme="majorBidi" w:hAnsiTheme="majorBidi" w:cstheme="majorBidi"/>
        </w:rPr>
        <w:t xml:space="preserve">Resilience is a dynamic process of positive adaptation to adversity, where an individual </w:t>
      </w:r>
      <w:r w:rsidRPr="00D04A3F">
        <w:rPr>
          <w:rFonts w:ascii="Times New Roman" w:eastAsia="Calibri" w:hAnsi="Times New Roman" w:cs="Times New Roman"/>
        </w:rPr>
        <w:t>is</w:t>
      </w:r>
      <w:r w:rsidRPr="00D04A3F">
        <w:rPr>
          <w:rFonts w:asciiTheme="majorBidi" w:hAnsiTheme="majorBidi" w:cstheme="majorBidi"/>
        </w:rPr>
        <w:t xml:space="preserve"> not harmed and may even become stronger. Resilience strengthens empathy and fost</w:t>
      </w:r>
      <w:r w:rsidR="003844C2" w:rsidRPr="00D04A3F">
        <w:rPr>
          <w:rFonts w:asciiTheme="majorBidi" w:hAnsiTheme="majorBidi" w:cstheme="majorBidi"/>
        </w:rPr>
        <w:t>ers better social relationships</w:t>
      </w:r>
      <w:r w:rsidRPr="00D04A3F">
        <w:rPr>
          <w:rFonts w:asciiTheme="majorBidi" w:hAnsiTheme="majorBidi" w:cstheme="majorBidi"/>
        </w:rPr>
        <w:t>.</w:t>
      </w:r>
      <w:r w:rsidR="003844C2" w:rsidRPr="00D04A3F">
        <w:rPr>
          <w:rFonts w:asciiTheme="majorBidi" w:hAnsiTheme="majorBidi" w:cstheme="majorBidi"/>
          <w:vertAlign w:val="superscript"/>
        </w:rPr>
        <w:t>15</w:t>
      </w:r>
      <w:r w:rsidRPr="00D04A3F">
        <w:rPr>
          <w:rFonts w:asciiTheme="majorBidi" w:hAnsiTheme="majorBidi" w:cstheme="majorBidi"/>
        </w:rPr>
        <w:t xml:space="preserve"> Highly resilient individuals can overcome difficulties and manage their lives, leading to better family adaptation and posit</w:t>
      </w:r>
      <w:r w:rsidR="003844C2" w:rsidRPr="00D04A3F">
        <w:rPr>
          <w:rFonts w:asciiTheme="majorBidi" w:hAnsiTheme="majorBidi" w:cstheme="majorBidi"/>
        </w:rPr>
        <w:t>ive interpersonal relationships</w:t>
      </w:r>
      <w:r w:rsidRPr="00D04A3F">
        <w:rPr>
          <w:rFonts w:asciiTheme="majorBidi" w:hAnsiTheme="majorBidi" w:cstheme="majorBidi"/>
        </w:rPr>
        <w:t>.</w:t>
      </w:r>
      <w:r w:rsidR="003844C2" w:rsidRPr="00D04A3F">
        <w:rPr>
          <w:rFonts w:asciiTheme="majorBidi" w:hAnsiTheme="majorBidi" w:cstheme="majorBidi"/>
          <w:vertAlign w:val="superscript"/>
        </w:rPr>
        <w:t>16</w:t>
      </w:r>
      <w:r w:rsidRPr="00D04A3F">
        <w:rPr>
          <w:rFonts w:asciiTheme="majorBidi" w:hAnsiTheme="majorBidi" w:cstheme="majorBidi"/>
          <w:vertAlign w:val="superscript"/>
        </w:rPr>
        <w:t xml:space="preserve"> </w:t>
      </w:r>
      <w:r w:rsidRPr="00D04A3F">
        <w:rPr>
          <w:rFonts w:asciiTheme="majorBidi" w:hAnsiTheme="majorBidi" w:cstheme="majorBidi"/>
        </w:rPr>
        <w:t xml:space="preserve">Those with lower resilience are more susceptible to depression, stress, anxiety, and interpersonal issues and may resort to risky behaviors </w:t>
      </w:r>
      <w:r w:rsidRPr="00D04A3F">
        <w:rPr>
          <w:rFonts w:ascii="Times New Roman" w:eastAsia="Calibri" w:hAnsi="Times New Roman" w:cs="Times New Roman"/>
        </w:rPr>
        <w:t>such as</w:t>
      </w:r>
      <w:r w:rsidRPr="00D04A3F">
        <w:rPr>
          <w:rFonts w:asciiTheme="majorBidi" w:hAnsiTheme="majorBidi" w:cstheme="majorBidi"/>
        </w:rPr>
        <w:t xml:space="preserve"> substance abuse to cope. Caregivers' experiences of patient suffering are not perceived and endured </w:t>
      </w:r>
      <w:r w:rsidRPr="00D04A3F">
        <w:rPr>
          <w:rFonts w:ascii="Times New Roman" w:eastAsia="Calibri" w:hAnsi="Times New Roman" w:cs="Times New Roman"/>
        </w:rPr>
        <w:t xml:space="preserve">in </w:t>
      </w:r>
      <w:r w:rsidRPr="00D04A3F">
        <w:rPr>
          <w:rFonts w:asciiTheme="majorBidi" w:hAnsiTheme="majorBidi" w:cstheme="majorBidi"/>
        </w:rPr>
        <w:t>the same way, and this is influenced</w:t>
      </w:r>
      <w:r w:rsidR="003844C2" w:rsidRPr="00D04A3F">
        <w:rPr>
          <w:rFonts w:asciiTheme="majorBidi" w:hAnsiTheme="majorBidi" w:cstheme="majorBidi"/>
        </w:rPr>
        <w:t xml:space="preserve"> by their level of resilience</w:t>
      </w:r>
      <w:r w:rsidRPr="00D04A3F">
        <w:rPr>
          <w:rFonts w:asciiTheme="majorBidi" w:hAnsiTheme="majorBidi" w:cstheme="majorBidi"/>
        </w:rPr>
        <w:t>.</w:t>
      </w:r>
      <w:r w:rsidR="003844C2" w:rsidRPr="00D04A3F">
        <w:rPr>
          <w:rFonts w:asciiTheme="majorBidi" w:hAnsiTheme="majorBidi" w:cstheme="majorBidi"/>
          <w:vertAlign w:val="superscript"/>
        </w:rPr>
        <w:t>17</w:t>
      </w:r>
      <w:r w:rsidRPr="00D04A3F">
        <w:rPr>
          <w:rFonts w:asciiTheme="majorBidi" w:hAnsiTheme="majorBidi" w:cstheme="majorBidi"/>
        </w:rPr>
        <w:t xml:space="preserve"> The resilience approach in families helps solve problems, increases tolerance thresholds, and prepares them to face future challenges. Caregivers often feel inadequately supported by healthcare professionals, leading to unmet social sup</w:t>
      </w:r>
      <w:r w:rsidR="003844C2" w:rsidRPr="00D04A3F">
        <w:rPr>
          <w:rFonts w:asciiTheme="majorBidi" w:hAnsiTheme="majorBidi" w:cstheme="majorBidi"/>
        </w:rPr>
        <w:t>port needs and social isolation.</w:t>
      </w:r>
      <w:r w:rsidR="003844C2" w:rsidRPr="00D04A3F">
        <w:rPr>
          <w:rFonts w:asciiTheme="majorBidi" w:hAnsiTheme="majorBidi" w:cstheme="majorBidi"/>
          <w:vertAlign w:val="superscript"/>
        </w:rPr>
        <w:t>18</w:t>
      </w:r>
      <w:r w:rsidR="003844C2" w:rsidRPr="00D04A3F">
        <w:rPr>
          <w:rFonts w:asciiTheme="majorBidi" w:hAnsiTheme="majorBidi" w:cstheme="majorBidi"/>
        </w:rPr>
        <w:t xml:space="preserve"> </w:t>
      </w:r>
      <w:r w:rsidRPr="00D04A3F">
        <w:rPr>
          <w:rFonts w:asciiTheme="majorBidi" w:hAnsiTheme="majorBidi" w:cstheme="majorBidi"/>
        </w:rPr>
        <w:t xml:space="preserve">Social support is recognized as a factor that, when strengthened and improved in individuals facing difficult conditions </w:t>
      </w:r>
      <w:r w:rsidRPr="00D04A3F">
        <w:rPr>
          <w:rFonts w:ascii="Times New Roman" w:eastAsia="Calibri" w:hAnsi="Times New Roman" w:cs="Times New Roman"/>
        </w:rPr>
        <w:t>such as</w:t>
      </w:r>
      <w:r w:rsidRPr="00D04A3F">
        <w:rPr>
          <w:rFonts w:asciiTheme="majorBidi" w:hAnsiTheme="majorBidi" w:cstheme="majorBidi"/>
        </w:rPr>
        <w:t xml:space="preserve"> caring for chronic patients, can enhance their quality of life and role p</w:t>
      </w:r>
      <w:r w:rsidR="003844C2" w:rsidRPr="00D04A3F">
        <w:rPr>
          <w:rFonts w:asciiTheme="majorBidi" w:hAnsiTheme="majorBidi" w:cstheme="majorBidi"/>
        </w:rPr>
        <w:t>erformance.</w:t>
      </w:r>
      <w:r w:rsidR="003844C2" w:rsidRPr="00D04A3F">
        <w:rPr>
          <w:rFonts w:asciiTheme="majorBidi" w:hAnsiTheme="majorBidi" w:cstheme="majorBidi"/>
          <w:vertAlign w:val="superscript"/>
        </w:rPr>
        <w:t>19</w:t>
      </w:r>
    </w:p>
    <w:p w14:paraId="1467D277" w14:textId="0A08CDA7" w:rsidR="000F5E15" w:rsidRPr="00D04A3F" w:rsidRDefault="007541D4" w:rsidP="002B4957">
      <w:pPr>
        <w:jc w:val="both"/>
        <w:rPr>
          <w:rFonts w:asciiTheme="majorBidi" w:hAnsiTheme="majorBidi" w:cstheme="majorBidi"/>
        </w:rPr>
      </w:pPr>
      <w:r w:rsidRPr="00D04A3F">
        <w:rPr>
          <w:rFonts w:asciiTheme="majorBidi" w:hAnsiTheme="majorBidi" w:cstheme="majorBidi"/>
        </w:rPr>
        <w:t>Social support is a multifaceted concept and is defined as the feeling of belonging, acceptance, being loved and cared for, and the availability of individuals who act as supporters and sources of strength. Social support helps individuals realize their self-worth and the love others have for</w:t>
      </w:r>
      <w:r w:rsidR="003844C2" w:rsidRPr="00D04A3F">
        <w:rPr>
          <w:rFonts w:asciiTheme="majorBidi" w:hAnsiTheme="majorBidi" w:cstheme="majorBidi"/>
        </w:rPr>
        <w:t xml:space="preserve"> them, which can reduce anxiety</w:t>
      </w:r>
      <w:r w:rsidRPr="00D04A3F">
        <w:rPr>
          <w:rFonts w:asciiTheme="majorBidi" w:hAnsiTheme="majorBidi" w:cstheme="majorBidi"/>
        </w:rPr>
        <w:t>.</w:t>
      </w:r>
      <w:r w:rsidR="003844C2" w:rsidRPr="00D04A3F">
        <w:rPr>
          <w:rFonts w:asciiTheme="majorBidi" w:hAnsiTheme="majorBidi" w:cstheme="majorBidi"/>
          <w:vertAlign w:val="superscript"/>
        </w:rPr>
        <w:t>20,21</w:t>
      </w:r>
      <w:r w:rsidRPr="00D04A3F">
        <w:rPr>
          <w:rFonts w:asciiTheme="majorBidi" w:hAnsiTheme="majorBidi" w:cstheme="majorBidi"/>
        </w:rPr>
        <w:t xml:space="preserve"> Thus, social support is a powerful force in guiding and promoting health and well-being across dif</w:t>
      </w:r>
      <w:r w:rsidR="003844C2" w:rsidRPr="00D04A3F">
        <w:rPr>
          <w:rFonts w:asciiTheme="majorBidi" w:hAnsiTheme="majorBidi" w:cstheme="majorBidi"/>
        </w:rPr>
        <w:t>ferent communities and cultures</w:t>
      </w:r>
      <w:r w:rsidRPr="00D04A3F">
        <w:rPr>
          <w:rFonts w:asciiTheme="majorBidi" w:hAnsiTheme="majorBidi" w:cstheme="majorBidi"/>
        </w:rPr>
        <w:t>.</w:t>
      </w:r>
      <w:r w:rsidR="003844C2" w:rsidRPr="00D04A3F">
        <w:rPr>
          <w:rFonts w:asciiTheme="majorBidi" w:hAnsiTheme="majorBidi" w:cstheme="majorBidi"/>
          <w:vertAlign w:val="superscript"/>
        </w:rPr>
        <w:t>22</w:t>
      </w:r>
      <w:r w:rsidRPr="00D04A3F">
        <w:rPr>
          <w:rFonts w:asciiTheme="majorBidi" w:hAnsiTheme="majorBidi" w:cstheme="majorBidi"/>
        </w:rPr>
        <w:t xml:space="preserve"> Studies indicate that higher levels of social support reduce depression and anxiety in individuals. Those who provide social support can impact the health status of vulnerable </w:t>
      </w:r>
      <w:r w:rsidRPr="00D04A3F">
        <w:rPr>
          <w:rFonts w:asciiTheme="majorBidi" w:hAnsiTheme="majorBidi" w:cstheme="majorBidi"/>
        </w:rPr>
        <w:lastRenderedPageBreak/>
        <w:t>individuals (</w:t>
      </w:r>
      <w:r w:rsidRPr="00D04A3F">
        <w:rPr>
          <w:rFonts w:ascii="Times New Roman" w:eastAsia="Calibri" w:hAnsi="Times New Roman" w:cs="Times New Roman"/>
        </w:rPr>
        <w:t>such as</w:t>
      </w:r>
      <w:r w:rsidRPr="00D04A3F">
        <w:rPr>
          <w:rFonts w:asciiTheme="majorBidi" w:hAnsiTheme="majorBidi" w:cstheme="majorBidi"/>
        </w:rPr>
        <w:t xml:space="preserve"> caregivers) an</w:t>
      </w:r>
      <w:r w:rsidR="003844C2" w:rsidRPr="00D04A3F">
        <w:rPr>
          <w:rFonts w:asciiTheme="majorBidi" w:hAnsiTheme="majorBidi" w:cstheme="majorBidi"/>
        </w:rPr>
        <w:t>d help them cope with stressors</w:t>
      </w:r>
      <w:r w:rsidRPr="00D04A3F">
        <w:rPr>
          <w:rFonts w:asciiTheme="majorBidi" w:hAnsiTheme="majorBidi" w:cstheme="majorBidi"/>
        </w:rPr>
        <w:t>.</w:t>
      </w:r>
      <w:r w:rsidR="003844C2" w:rsidRPr="00D04A3F">
        <w:rPr>
          <w:rFonts w:asciiTheme="majorBidi" w:hAnsiTheme="majorBidi" w:cstheme="majorBidi"/>
          <w:vertAlign w:val="superscript"/>
        </w:rPr>
        <w:t>23</w:t>
      </w:r>
      <w:r w:rsidRPr="00D04A3F">
        <w:rPr>
          <w:rFonts w:asciiTheme="majorBidi" w:hAnsiTheme="majorBidi" w:cstheme="majorBidi"/>
        </w:rPr>
        <w:t xml:space="preserve"> A study examining the correlation between social support and quality of life in kidney transplant patients </w:t>
      </w:r>
      <w:r w:rsidRPr="00D04A3F">
        <w:rPr>
          <w:rFonts w:ascii="Times New Roman" w:eastAsia="Calibri" w:hAnsi="Times New Roman" w:cs="Times New Roman"/>
        </w:rPr>
        <w:t>revealed</w:t>
      </w:r>
      <w:r w:rsidRPr="00D04A3F">
        <w:rPr>
          <w:rFonts w:asciiTheme="majorBidi" w:hAnsiTheme="majorBidi" w:cstheme="majorBidi"/>
        </w:rPr>
        <w:t xml:space="preserve"> that those with </w:t>
      </w:r>
      <w:r w:rsidRPr="00D04A3F">
        <w:rPr>
          <w:rFonts w:ascii="Times New Roman" w:eastAsia="Calibri" w:hAnsi="Times New Roman" w:cs="Times New Roman"/>
        </w:rPr>
        <w:t>greater</w:t>
      </w:r>
      <w:r w:rsidRPr="00D04A3F">
        <w:rPr>
          <w:rFonts w:asciiTheme="majorBidi" w:hAnsiTheme="majorBidi" w:cstheme="majorBidi"/>
        </w:rPr>
        <w:t xml:space="preserve"> social suppo</w:t>
      </w:r>
      <w:r w:rsidR="003844C2" w:rsidRPr="00D04A3F">
        <w:rPr>
          <w:rFonts w:asciiTheme="majorBidi" w:hAnsiTheme="majorBidi" w:cstheme="majorBidi"/>
        </w:rPr>
        <w:t>rt had a better quality of life.</w:t>
      </w:r>
      <w:r w:rsidR="003844C2" w:rsidRPr="00D04A3F">
        <w:rPr>
          <w:rFonts w:asciiTheme="majorBidi" w:hAnsiTheme="majorBidi" w:cstheme="majorBidi"/>
          <w:vertAlign w:val="superscript"/>
        </w:rPr>
        <w:t>24</w:t>
      </w:r>
    </w:p>
    <w:p w14:paraId="6E01DE52" w14:textId="56F7A2DF" w:rsidR="000F5E15" w:rsidRPr="00D04A3F" w:rsidRDefault="007541D4" w:rsidP="00F23E35">
      <w:pPr>
        <w:jc w:val="both"/>
        <w:rPr>
          <w:rFonts w:asciiTheme="majorBidi" w:hAnsiTheme="majorBidi" w:cstheme="majorBidi"/>
        </w:rPr>
      </w:pPr>
      <w:r w:rsidRPr="00D04A3F">
        <w:rPr>
          <w:rFonts w:asciiTheme="majorBidi" w:hAnsiTheme="majorBidi" w:cstheme="majorBidi"/>
        </w:rPr>
        <w:t xml:space="preserve">Concerns regarding the problems of cancer patients and their families are increasing. At every stage of the disease, families face various psychological, social, and physical challenges that may require intervention. Social support is </w:t>
      </w:r>
      <w:r w:rsidRPr="00D04A3F">
        <w:rPr>
          <w:rFonts w:ascii="Times New Roman" w:eastAsia="Calibri" w:hAnsi="Times New Roman" w:cs="Times New Roman"/>
        </w:rPr>
        <w:t>an</w:t>
      </w:r>
      <w:r w:rsidRPr="00D04A3F">
        <w:rPr>
          <w:rFonts w:asciiTheme="majorBidi" w:hAnsiTheme="majorBidi" w:cstheme="majorBidi"/>
        </w:rPr>
        <w:t xml:space="preserve"> important nursing </w:t>
      </w:r>
      <w:r w:rsidRPr="00D04A3F">
        <w:rPr>
          <w:rFonts w:ascii="Times New Roman" w:eastAsia="Calibri" w:hAnsi="Times New Roman" w:cs="Times New Roman"/>
        </w:rPr>
        <w:t>intervention</w:t>
      </w:r>
      <w:r w:rsidRPr="00D04A3F">
        <w:rPr>
          <w:rFonts w:asciiTheme="majorBidi" w:hAnsiTheme="majorBidi" w:cstheme="majorBidi"/>
        </w:rPr>
        <w:t xml:space="preserve">, and nurses can play a key role in planning and implementing supportive interventions for cancer patients and their families. While there have been </w:t>
      </w:r>
      <w:r w:rsidRPr="00D04A3F">
        <w:rPr>
          <w:rFonts w:ascii="Times New Roman" w:eastAsia="Calibri" w:hAnsi="Times New Roman" w:cs="Times New Roman"/>
        </w:rPr>
        <w:t>few</w:t>
      </w:r>
      <w:r w:rsidRPr="00D04A3F">
        <w:rPr>
          <w:rFonts w:asciiTheme="majorBidi" w:hAnsiTheme="majorBidi" w:cstheme="majorBidi"/>
        </w:rPr>
        <w:t xml:space="preserve"> studies on social support and resilience, </w:t>
      </w:r>
      <w:r w:rsidRPr="00D04A3F">
        <w:rPr>
          <w:rFonts w:ascii="Times New Roman" w:eastAsia="Calibri" w:hAnsi="Times New Roman" w:cs="Times New Roman"/>
        </w:rPr>
        <w:t>few have</w:t>
      </w:r>
      <w:r w:rsidRPr="00D04A3F">
        <w:rPr>
          <w:rFonts w:asciiTheme="majorBidi" w:hAnsiTheme="majorBidi" w:cstheme="majorBidi"/>
        </w:rPr>
        <w:t xml:space="preserve"> focused on the resilience of informal caregivers, with most studies emphasizing </w:t>
      </w:r>
      <w:r w:rsidRPr="00D04A3F">
        <w:rPr>
          <w:rFonts w:ascii="Times New Roman" w:eastAsia="Calibri" w:hAnsi="Times New Roman" w:cs="Times New Roman"/>
        </w:rPr>
        <w:t>patients</w:t>
      </w:r>
      <w:r w:rsidRPr="00D04A3F">
        <w:rPr>
          <w:rFonts w:asciiTheme="majorBidi" w:hAnsiTheme="majorBidi" w:cstheme="majorBidi"/>
        </w:rPr>
        <w:t xml:space="preserve"> and </w:t>
      </w:r>
      <w:r w:rsidRPr="00D04A3F">
        <w:rPr>
          <w:rFonts w:ascii="Times New Roman" w:eastAsia="Calibri" w:hAnsi="Times New Roman" w:cs="Times New Roman"/>
        </w:rPr>
        <w:t>their</w:t>
      </w:r>
      <w:r w:rsidRPr="00D04A3F">
        <w:rPr>
          <w:rFonts w:asciiTheme="majorBidi" w:hAnsiTheme="majorBidi" w:cstheme="majorBidi"/>
        </w:rPr>
        <w:t xml:space="preserve"> disease. Furthermore, with the </w:t>
      </w:r>
      <w:r w:rsidRPr="00D04A3F">
        <w:rPr>
          <w:rFonts w:ascii="Times New Roman" w:eastAsia="Calibri" w:hAnsi="Times New Roman" w:cs="Times New Roman"/>
        </w:rPr>
        <w:t>increasing</w:t>
      </w:r>
      <w:r w:rsidRPr="00D04A3F">
        <w:rPr>
          <w:rFonts w:asciiTheme="majorBidi" w:hAnsiTheme="majorBidi" w:cstheme="majorBidi"/>
        </w:rPr>
        <w:t xml:space="preserve"> incidence of cancer in society and the growing caregiving needs of this group, attention to caregivers, the importance of social support, and resilience in reducing caregiving stress in the face of cancer are critical. This study was designed and implemented to determine the role of a social support program in the resilience of caregivers of cancer patients.</w:t>
      </w:r>
    </w:p>
    <w:p w14:paraId="41D80296" w14:textId="77777777" w:rsidR="00DF0269" w:rsidRPr="00D04A3F" w:rsidRDefault="00DF0269" w:rsidP="00F23E35">
      <w:pPr>
        <w:jc w:val="both"/>
        <w:rPr>
          <w:rFonts w:asciiTheme="majorBidi" w:hAnsiTheme="majorBidi" w:cstheme="majorBidi"/>
        </w:rPr>
      </w:pPr>
    </w:p>
    <w:p w14:paraId="4A7237C2" w14:textId="09CFE99F" w:rsidR="000F5E15" w:rsidRPr="00D04A3F" w:rsidRDefault="007541D4" w:rsidP="00F23E35">
      <w:pPr>
        <w:jc w:val="both"/>
        <w:rPr>
          <w:rFonts w:asciiTheme="majorBidi" w:hAnsiTheme="majorBidi" w:cstheme="majorBidi"/>
        </w:rPr>
      </w:pPr>
      <w:r w:rsidRPr="00D04A3F">
        <w:rPr>
          <w:rFonts w:asciiTheme="majorBidi" w:hAnsiTheme="majorBidi" w:cstheme="majorBidi"/>
          <w:b/>
          <w:bCs/>
        </w:rPr>
        <w:t>Method</w:t>
      </w:r>
      <w:r w:rsidR="00C4366B" w:rsidRPr="00D04A3F">
        <w:rPr>
          <w:rFonts w:asciiTheme="majorBidi" w:hAnsiTheme="majorBidi" w:cstheme="majorBidi"/>
          <w:b/>
          <w:bCs/>
        </w:rPr>
        <w:t>s</w:t>
      </w:r>
    </w:p>
    <w:p w14:paraId="1AD1FAA6" w14:textId="1A46D341" w:rsidR="000F5E15" w:rsidRPr="00D04A3F" w:rsidRDefault="00976EEB" w:rsidP="00976EEB">
      <w:pPr>
        <w:jc w:val="both"/>
        <w:rPr>
          <w:rFonts w:asciiTheme="majorBidi" w:hAnsiTheme="majorBidi" w:cstheme="majorBidi"/>
        </w:rPr>
      </w:pPr>
      <w:r w:rsidRPr="00D04A3F">
        <w:rPr>
          <w:rFonts w:asciiTheme="majorBidi" w:hAnsiTheme="majorBidi" w:cstheme="majorBidi"/>
          <w:b/>
          <w:bCs/>
        </w:rPr>
        <w:t>Design</w:t>
      </w:r>
    </w:p>
    <w:p w14:paraId="4BAE30C1" w14:textId="7D610A75" w:rsidR="00976EEB" w:rsidRPr="00D04A3F" w:rsidRDefault="007541D4" w:rsidP="00976EEB">
      <w:pPr>
        <w:jc w:val="both"/>
        <w:rPr>
          <w:rFonts w:asciiTheme="majorBidi" w:hAnsiTheme="majorBidi" w:cstheme="majorBidi"/>
        </w:rPr>
      </w:pPr>
      <w:r w:rsidRPr="00D04A3F">
        <w:rPr>
          <w:rFonts w:asciiTheme="majorBidi" w:hAnsiTheme="majorBidi" w:cstheme="majorBidi"/>
        </w:rPr>
        <w:t>This study was designed and conducted as a randomized clinical trial</w:t>
      </w:r>
      <w:r w:rsidR="00001B78" w:rsidRPr="00D04A3F">
        <w:rPr>
          <w:rFonts w:asciiTheme="majorBidi" w:hAnsiTheme="majorBidi" w:cstheme="majorBidi"/>
        </w:rPr>
        <w:t xml:space="preserve"> in Tehran, Iran 2023</w:t>
      </w:r>
      <w:r w:rsidRPr="00D04A3F">
        <w:rPr>
          <w:rFonts w:asciiTheme="majorBidi" w:hAnsiTheme="majorBidi" w:cstheme="majorBidi"/>
        </w:rPr>
        <w:t>.</w:t>
      </w:r>
      <w:r w:rsidR="00976EEB" w:rsidRPr="00D04A3F">
        <w:rPr>
          <w:rFonts w:asciiTheme="majorBidi" w:hAnsiTheme="majorBidi" w:cstheme="majorBidi"/>
        </w:rPr>
        <w:t xml:space="preserve"> This study was registered in the Iranian Registry of Clinical Trials (Supplemental Clinical Trial Protocol).</w:t>
      </w:r>
    </w:p>
    <w:p w14:paraId="6587AE8A" w14:textId="77777777" w:rsidR="00976EEB" w:rsidRPr="00D04A3F" w:rsidRDefault="00976EEB" w:rsidP="00976EEB">
      <w:pPr>
        <w:jc w:val="both"/>
        <w:rPr>
          <w:rFonts w:asciiTheme="majorBidi" w:hAnsiTheme="majorBidi" w:cstheme="majorBidi"/>
          <w:b/>
          <w:bCs/>
        </w:rPr>
      </w:pPr>
      <w:r w:rsidRPr="00D04A3F">
        <w:rPr>
          <w:rFonts w:asciiTheme="majorBidi" w:hAnsiTheme="majorBidi" w:cstheme="majorBidi"/>
          <w:b/>
          <w:bCs/>
        </w:rPr>
        <w:t>Patient and public involvement</w:t>
      </w:r>
    </w:p>
    <w:p w14:paraId="0256C8B4" w14:textId="516E468A" w:rsidR="00976EEB" w:rsidRDefault="00976EEB" w:rsidP="00976EEB">
      <w:pPr>
        <w:jc w:val="both"/>
        <w:rPr>
          <w:rFonts w:asciiTheme="majorBidi" w:hAnsiTheme="majorBidi" w:cstheme="majorBidi"/>
        </w:rPr>
      </w:pPr>
      <w:r w:rsidRPr="00D04A3F">
        <w:rPr>
          <w:rFonts w:asciiTheme="majorBidi" w:hAnsiTheme="majorBidi" w:cstheme="majorBidi"/>
        </w:rPr>
        <w:t>The main points to design this study were based on clinical experience and observation of authors and the patients’ treatment outcomes. Therefore, patients were not involved directly in designing and conducting the study (no patient involved). The results of this research have been announced to the study setting’s authorities to inform all patients. The patients received all healthcare services provided to other counterparts and were not charged any fees for their participation in the study.</w:t>
      </w:r>
    </w:p>
    <w:p w14:paraId="0E94EB8F" w14:textId="3BEB47F1" w:rsidR="00EA1C72" w:rsidRDefault="00EA1C72" w:rsidP="00976EEB">
      <w:pPr>
        <w:jc w:val="both"/>
        <w:rPr>
          <w:rFonts w:asciiTheme="majorBidi" w:hAnsiTheme="majorBidi" w:cstheme="majorBidi"/>
        </w:rPr>
      </w:pPr>
    </w:p>
    <w:p w14:paraId="4C33B6ED" w14:textId="1D1F25FD" w:rsidR="00EA1C72" w:rsidRPr="00EA1C72" w:rsidRDefault="00EA1C72" w:rsidP="00976EEB">
      <w:pPr>
        <w:jc w:val="both"/>
        <w:rPr>
          <w:rFonts w:asciiTheme="majorBidi" w:hAnsiTheme="majorBidi" w:cstheme="majorBidi"/>
          <w:b/>
          <w:bCs/>
        </w:rPr>
      </w:pPr>
      <w:r w:rsidRPr="00EA1C72">
        <w:rPr>
          <w:rFonts w:asciiTheme="majorBidi" w:hAnsiTheme="majorBidi" w:cstheme="majorBidi"/>
          <w:b/>
          <w:bCs/>
        </w:rPr>
        <w:t>Patient and public involvement</w:t>
      </w:r>
    </w:p>
    <w:p w14:paraId="468C87F1" w14:textId="77777777" w:rsidR="00EA1C72" w:rsidRPr="00EA1C72" w:rsidRDefault="00EA1C72" w:rsidP="00EA1C72">
      <w:pPr>
        <w:jc w:val="both"/>
        <w:rPr>
          <w:rFonts w:asciiTheme="majorBidi" w:hAnsiTheme="majorBidi" w:cstheme="majorBidi"/>
          <w:lang w:val=""/>
        </w:rPr>
      </w:pPr>
      <w:r w:rsidRPr="00EA1C72">
        <w:rPr>
          <w:rFonts w:asciiTheme="majorBidi" w:hAnsiTheme="majorBidi" w:cstheme="majorBidi"/>
        </w:rPr>
        <w:t>The main points to design this study were based on clinical experience and observation of authors and the patients’ treatment outcomes. Therefore, patients were not involved directly in designing and conducting the study (no patient and caregiver involved). The results of this research have been announced to the study setting’s authorities to inform all patients. The patients received all healthcare services provided to other counterparts and were not charged any fees for their participation in the study.</w:t>
      </w:r>
    </w:p>
    <w:p w14:paraId="43EE0393" w14:textId="77777777" w:rsidR="00EA1C72" w:rsidRPr="00D04A3F" w:rsidRDefault="00EA1C72" w:rsidP="00976EEB">
      <w:pPr>
        <w:jc w:val="both"/>
        <w:rPr>
          <w:rFonts w:asciiTheme="majorBidi" w:hAnsiTheme="majorBidi" w:cstheme="majorBidi"/>
        </w:rPr>
      </w:pPr>
    </w:p>
    <w:p w14:paraId="21822375" w14:textId="3466CAEE" w:rsidR="00976EEB" w:rsidRPr="00D04A3F" w:rsidRDefault="00976EEB" w:rsidP="00001B78">
      <w:pPr>
        <w:jc w:val="both"/>
        <w:rPr>
          <w:rFonts w:asciiTheme="majorBidi" w:hAnsiTheme="majorBidi" w:cstheme="majorBidi"/>
        </w:rPr>
      </w:pPr>
      <w:r w:rsidRPr="00D04A3F">
        <w:rPr>
          <w:rFonts w:asciiTheme="majorBidi" w:hAnsiTheme="majorBidi" w:cstheme="majorBidi"/>
          <w:b/>
          <w:bCs/>
        </w:rPr>
        <w:t>Participants</w:t>
      </w:r>
    </w:p>
    <w:p w14:paraId="5475424A" w14:textId="584FD7B1" w:rsidR="00976EEB" w:rsidRPr="00D04A3F" w:rsidRDefault="007541D4" w:rsidP="00976EEB">
      <w:pPr>
        <w:jc w:val="both"/>
        <w:rPr>
          <w:rFonts w:asciiTheme="majorBidi" w:hAnsiTheme="majorBidi" w:cstheme="majorBidi"/>
        </w:rPr>
      </w:pPr>
      <w:r w:rsidRPr="00D04A3F">
        <w:rPr>
          <w:rFonts w:asciiTheme="majorBidi" w:hAnsiTheme="majorBidi" w:cstheme="majorBidi"/>
        </w:rPr>
        <w:t xml:space="preserve">The sample size for this study was calculated </w:t>
      </w:r>
      <w:r w:rsidR="00885F80" w:rsidRPr="00D04A3F">
        <w:rPr>
          <w:rFonts w:asciiTheme="majorBidi" w:hAnsiTheme="majorBidi" w:cstheme="majorBidi"/>
        </w:rPr>
        <w:t xml:space="preserve">based </w:t>
      </w:r>
      <w:r w:rsidRPr="00D04A3F">
        <w:rPr>
          <w:rFonts w:asciiTheme="majorBidi" w:hAnsiTheme="majorBidi" w:cstheme="majorBidi"/>
        </w:rPr>
        <w:t>on</w:t>
      </w:r>
      <w:r w:rsidR="00885F80" w:rsidRPr="00D04A3F">
        <w:rPr>
          <w:rFonts w:asciiTheme="majorBidi" w:hAnsiTheme="majorBidi" w:cstheme="majorBidi"/>
        </w:rPr>
        <w:t xml:space="preserve"> </w:t>
      </w:r>
      <w:r w:rsidRPr="00D04A3F">
        <w:rPr>
          <w:rFonts w:ascii="Times New Roman" w:eastAsia="Calibri" w:hAnsi="Times New Roman" w:cs="Times New Roman"/>
        </w:rPr>
        <w:t xml:space="preserve">the </w:t>
      </w:r>
      <w:r w:rsidRPr="00D04A3F">
        <w:rPr>
          <w:rFonts w:asciiTheme="majorBidi" w:hAnsiTheme="majorBidi" w:cstheme="majorBidi"/>
        </w:rPr>
        <w:t xml:space="preserve">health-promoting lifestyle score, considering a Type I error of 0.05 and a Type II error of 0.20 (80% power). Using the power </w:t>
      </w:r>
      <w:r w:rsidR="00885F80" w:rsidRPr="00D04A3F">
        <w:rPr>
          <w:rFonts w:asciiTheme="majorBidi" w:hAnsiTheme="majorBidi" w:cstheme="majorBidi"/>
        </w:rPr>
        <w:t>two means</w:t>
      </w:r>
      <w:r w:rsidRPr="00D04A3F">
        <w:rPr>
          <w:rFonts w:asciiTheme="majorBidi" w:hAnsiTheme="majorBidi" w:cstheme="majorBidi"/>
        </w:rPr>
        <w:t xml:space="preserve"> command in Stata17 software, the sample size for each group was determined to be 43, resulting in a total of 86 participants. Considering a potential 15% attrition rate, the adjusted sample size was 50 participants per group, totaling 100 participants.</w:t>
      </w:r>
      <w:r w:rsidR="00976EEB" w:rsidRPr="00D04A3F">
        <w:rPr>
          <w:rFonts w:asciiTheme="majorBidi" w:hAnsiTheme="majorBidi" w:cstheme="majorBidi"/>
        </w:rPr>
        <w:t xml:space="preserve"> After providing necessary explanations regarding the study objectives and </w:t>
      </w:r>
      <w:r w:rsidR="00976EEB" w:rsidRPr="00D04A3F">
        <w:rPr>
          <w:rFonts w:ascii="Times New Roman" w:eastAsia="Calibri" w:hAnsi="Times New Roman" w:cs="Times New Roman"/>
        </w:rPr>
        <w:t>providing</w:t>
      </w:r>
      <w:r w:rsidR="00976EEB" w:rsidRPr="00D04A3F">
        <w:rPr>
          <w:rFonts w:asciiTheme="majorBidi" w:hAnsiTheme="majorBidi" w:cstheme="majorBidi"/>
        </w:rPr>
        <w:t xml:space="preserve"> written informed consent, eligible participants visiting the oncology and hematology department </w:t>
      </w:r>
      <w:r w:rsidR="00976EEB" w:rsidRPr="00D04A3F">
        <w:rPr>
          <w:rFonts w:asciiTheme="majorBidi" w:hAnsiTheme="majorBidi" w:cstheme="majorBidi"/>
        </w:rPr>
        <w:lastRenderedPageBreak/>
        <w:t xml:space="preserve">of Dr. Shariati Hospital were selected </w:t>
      </w:r>
      <w:r w:rsidR="00976EEB" w:rsidRPr="00D04A3F">
        <w:rPr>
          <w:rFonts w:ascii="Times New Roman" w:eastAsia="Calibri" w:hAnsi="Times New Roman" w:cs="Times New Roman"/>
        </w:rPr>
        <w:t>via</w:t>
      </w:r>
      <w:r w:rsidR="00976EEB" w:rsidRPr="00D04A3F">
        <w:rPr>
          <w:rFonts w:asciiTheme="majorBidi" w:hAnsiTheme="majorBidi" w:cstheme="majorBidi"/>
        </w:rPr>
        <w:t xml:space="preserve"> purposive sampling and randomly allocated to either the intervention or control group through block randomization.</w:t>
      </w:r>
    </w:p>
    <w:p w14:paraId="1FA9DC80" w14:textId="7CDDF955" w:rsidR="000F5E15" w:rsidRPr="00D04A3F" w:rsidRDefault="00976EEB" w:rsidP="00976EEB">
      <w:pPr>
        <w:jc w:val="both"/>
        <w:rPr>
          <w:rFonts w:asciiTheme="majorBidi" w:hAnsiTheme="majorBidi" w:cstheme="majorBidi"/>
        </w:rPr>
      </w:pPr>
      <w:r w:rsidRPr="00D04A3F">
        <w:rPr>
          <w:rFonts w:asciiTheme="majorBidi" w:hAnsiTheme="majorBidi" w:cstheme="majorBidi"/>
        </w:rPr>
        <w:t>The inclusion criteria for the caregivers were as follows: at least three months since the patient's cancer diagnosis, average caregiving time of 31 hours per week for at least three months, age over 18 years, literacy in reading and writing in Persian, access to a phone, willingness to participate in the intervention, physical ability to attend in-person sessions, and no participation in similar programs. Additionally, exclusion criteria included the death of the patient during the intervention, acute illness, the caregiver’s unwillingness to continue participation, and absence from more than two educational sessions.</w:t>
      </w:r>
    </w:p>
    <w:p w14:paraId="6AB3384C" w14:textId="77777777" w:rsidR="00976EEB" w:rsidRPr="00D04A3F" w:rsidRDefault="00976EEB" w:rsidP="00976EEB">
      <w:pPr>
        <w:jc w:val="both"/>
        <w:rPr>
          <w:rFonts w:asciiTheme="majorBidi" w:hAnsiTheme="majorBidi" w:cstheme="majorBidi"/>
        </w:rPr>
      </w:pPr>
    </w:p>
    <w:p w14:paraId="527CCC07" w14:textId="4D3A4916" w:rsidR="000F5E15" w:rsidRPr="00D04A3F" w:rsidRDefault="00976EEB" w:rsidP="00976EEB">
      <w:pPr>
        <w:jc w:val="both"/>
        <w:rPr>
          <w:rFonts w:asciiTheme="majorBidi" w:hAnsiTheme="majorBidi" w:cstheme="majorBidi"/>
        </w:rPr>
      </w:pPr>
      <w:r w:rsidRPr="00D04A3F">
        <w:rPr>
          <w:rFonts w:asciiTheme="majorBidi" w:hAnsiTheme="majorBidi" w:cstheme="majorBidi"/>
          <w:b/>
          <w:bCs/>
        </w:rPr>
        <w:t>Data collection</w:t>
      </w:r>
    </w:p>
    <w:p w14:paraId="18AC04DB" w14:textId="5FEB67FE" w:rsidR="000F5E15" w:rsidRPr="00D04A3F" w:rsidRDefault="007541D4" w:rsidP="00F23E35">
      <w:pPr>
        <w:jc w:val="both"/>
        <w:rPr>
          <w:rFonts w:asciiTheme="majorBidi" w:hAnsiTheme="majorBidi" w:cstheme="majorBidi"/>
        </w:rPr>
      </w:pPr>
      <w:r w:rsidRPr="00D04A3F">
        <w:rPr>
          <w:rFonts w:asciiTheme="majorBidi" w:hAnsiTheme="majorBidi" w:cstheme="majorBidi"/>
        </w:rPr>
        <w:t xml:space="preserve">Two tools were used in this study to assess outcomes. The first tool was a demographic questionnaire, which included questions about the patient (age, </w:t>
      </w:r>
      <w:r w:rsidRPr="00D04A3F">
        <w:rPr>
          <w:rFonts w:ascii="Times New Roman" w:eastAsia="Calibri" w:hAnsi="Times New Roman" w:cs="Times New Roman"/>
        </w:rPr>
        <w:t>sex</w:t>
      </w:r>
      <w:r w:rsidRPr="00D04A3F">
        <w:rPr>
          <w:rFonts w:asciiTheme="majorBidi" w:hAnsiTheme="majorBidi" w:cstheme="majorBidi"/>
        </w:rPr>
        <w:t xml:space="preserve">, marital status, type of treatment received, occupation, duration of illness) and the caregiver (age, </w:t>
      </w:r>
      <w:r w:rsidRPr="00D04A3F">
        <w:rPr>
          <w:rFonts w:ascii="Times New Roman" w:eastAsia="Calibri" w:hAnsi="Times New Roman" w:cs="Times New Roman"/>
        </w:rPr>
        <w:t>sex</w:t>
      </w:r>
      <w:r w:rsidRPr="00D04A3F">
        <w:rPr>
          <w:rFonts w:asciiTheme="majorBidi" w:hAnsiTheme="majorBidi" w:cstheme="majorBidi"/>
        </w:rPr>
        <w:t>, marital status, occupation, number of children, presence of illness).</w:t>
      </w:r>
    </w:p>
    <w:p w14:paraId="1A431702" w14:textId="03C8760F" w:rsidR="000F5E15" w:rsidRPr="00D04A3F" w:rsidRDefault="007541D4" w:rsidP="00F23E35">
      <w:pPr>
        <w:jc w:val="both"/>
        <w:rPr>
          <w:rFonts w:asciiTheme="majorBidi" w:hAnsiTheme="majorBidi" w:cstheme="majorBidi"/>
        </w:rPr>
      </w:pPr>
      <w:r w:rsidRPr="00D04A3F">
        <w:rPr>
          <w:rFonts w:asciiTheme="majorBidi" w:hAnsiTheme="majorBidi" w:cstheme="majorBidi"/>
        </w:rPr>
        <w:t xml:space="preserve">The second tool was the </w:t>
      </w:r>
      <w:r w:rsidRPr="00D04A3F">
        <w:rPr>
          <w:rFonts w:ascii="Times New Roman" w:eastAsia="Calibri" w:hAnsi="Times New Roman" w:cs="Times New Roman"/>
        </w:rPr>
        <w:t>Connor–Davidson</w:t>
      </w:r>
      <w:r w:rsidRPr="00D04A3F">
        <w:rPr>
          <w:rFonts w:asciiTheme="majorBidi" w:hAnsiTheme="majorBidi" w:cstheme="majorBidi"/>
        </w:rPr>
        <w:t xml:space="preserve"> Resilience Scale (CD-RISC), designed in the United States in 2003 to measure resilience. The scale contains 25 items rated on a Likert scale from 0 (strongly disagree) to 4 (strongly agree). The total score ranges from 0 to 100, with higher scores indicating </w:t>
      </w:r>
      <w:r w:rsidRPr="00D04A3F">
        <w:rPr>
          <w:rFonts w:ascii="Times New Roman" w:eastAsia="Calibri" w:hAnsi="Times New Roman" w:cs="Times New Roman"/>
        </w:rPr>
        <w:t>greater</w:t>
      </w:r>
      <w:r w:rsidRPr="00D04A3F">
        <w:rPr>
          <w:rFonts w:asciiTheme="majorBidi" w:hAnsiTheme="majorBidi" w:cstheme="majorBidi"/>
        </w:rPr>
        <w:t xml:space="preserve"> resilience.</w:t>
      </w:r>
    </w:p>
    <w:p w14:paraId="1AD66C37" w14:textId="31A65F01" w:rsidR="000F5E15" w:rsidRPr="00D04A3F" w:rsidRDefault="007541D4" w:rsidP="00976EEB">
      <w:pPr>
        <w:jc w:val="both"/>
        <w:rPr>
          <w:rFonts w:asciiTheme="majorBidi" w:hAnsiTheme="majorBidi" w:cstheme="majorBidi"/>
        </w:rPr>
      </w:pPr>
      <w:r w:rsidRPr="00D04A3F">
        <w:rPr>
          <w:rFonts w:asciiTheme="majorBidi" w:hAnsiTheme="majorBidi" w:cstheme="majorBidi"/>
        </w:rPr>
        <w:t xml:space="preserve">Correlation calculations for each item with the total score of the scale revealed coefficients ranging from 41% to 64%, except for item 3. The </w:t>
      </w:r>
      <w:r w:rsidRPr="00D04A3F">
        <w:rPr>
          <w:rFonts w:ascii="Times New Roman" w:eastAsia="Calibri" w:hAnsi="Times New Roman" w:cs="Times New Roman"/>
        </w:rPr>
        <w:t>Kaiser‒Meyer‒Olkin</w:t>
      </w:r>
      <w:r w:rsidR="00976EEB" w:rsidRPr="00D04A3F">
        <w:rPr>
          <w:rFonts w:asciiTheme="majorBidi" w:hAnsiTheme="majorBidi" w:cstheme="majorBidi"/>
        </w:rPr>
        <w:t xml:space="preserve"> (KMO) value was 0/87 a</w:t>
      </w:r>
      <w:r w:rsidRPr="00D04A3F">
        <w:rPr>
          <w:rFonts w:asciiTheme="majorBidi" w:hAnsiTheme="majorBidi" w:cstheme="majorBidi"/>
        </w:rPr>
        <w:t>nd Bartlett's test value was 28.56, both indicating sufficient evidence</w:t>
      </w:r>
      <w:r w:rsidR="0005482B" w:rsidRPr="00D04A3F">
        <w:rPr>
          <w:rFonts w:asciiTheme="majorBidi" w:hAnsiTheme="majorBidi" w:cstheme="majorBidi"/>
        </w:rPr>
        <w:t xml:space="preserve"> for factor analysis.</w:t>
      </w:r>
      <w:r w:rsidR="00976EEB" w:rsidRPr="00D04A3F">
        <w:rPr>
          <w:rFonts w:asciiTheme="majorBidi" w:hAnsiTheme="majorBidi" w:cstheme="majorBidi"/>
          <w:vertAlign w:val="superscript"/>
        </w:rPr>
        <w:t>25</w:t>
      </w:r>
      <w:r w:rsidR="006B171C" w:rsidRPr="00D04A3F">
        <w:rPr>
          <w:rFonts w:asciiTheme="majorBidi" w:hAnsiTheme="majorBidi" w:cstheme="majorBidi"/>
        </w:rPr>
        <w:t xml:space="preserve"> The reliability of the scale was determined </w:t>
      </w:r>
      <w:r w:rsidR="006B171C" w:rsidRPr="00D04A3F">
        <w:rPr>
          <w:rFonts w:ascii="Times New Roman" w:eastAsia="Calibri" w:hAnsi="Times New Roman" w:cs="Times New Roman"/>
        </w:rPr>
        <w:t>via</w:t>
      </w:r>
      <w:r w:rsidR="006B171C" w:rsidRPr="00D04A3F">
        <w:rPr>
          <w:rFonts w:asciiTheme="majorBidi" w:hAnsiTheme="majorBidi" w:cstheme="majorBidi"/>
        </w:rPr>
        <w:t xml:space="preserve"> Cronbach's alpha, which was found to be 89%. Validity was assessed </w:t>
      </w:r>
      <w:r w:rsidR="006B171C" w:rsidRPr="00D04A3F">
        <w:rPr>
          <w:rFonts w:ascii="Times New Roman" w:eastAsia="Calibri" w:hAnsi="Times New Roman" w:cs="Times New Roman"/>
        </w:rPr>
        <w:t>via</w:t>
      </w:r>
      <w:r w:rsidR="006B171C" w:rsidRPr="00D04A3F">
        <w:rPr>
          <w:rFonts w:asciiTheme="majorBidi" w:hAnsiTheme="majorBidi" w:cstheme="majorBidi"/>
        </w:rPr>
        <w:t xml:space="preserve"> factor analysis, which </w:t>
      </w:r>
      <w:r w:rsidR="006B171C" w:rsidRPr="00D04A3F">
        <w:rPr>
          <w:rFonts w:ascii="Times New Roman" w:eastAsia="Calibri" w:hAnsi="Times New Roman" w:cs="Times New Roman"/>
        </w:rPr>
        <w:t>revealed</w:t>
      </w:r>
      <w:r w:rsidR="006B171C" w:rsidRPr="00D04A3F">
        <w:rPr>
          <w:rFonts w:asciiTheme="majorBidi" w:hAnsiTheme="majorBidi" w:cstheme="majorBidi"/>
        </w:rPr>
        <w:t xml:space="preserve"> coefficients ranging from 14% to 64% for all </w:t>
      </w:r>
      <w:r w:rsidR="006B171C" w:rsidRPr="00D04A3F">
        <w:rPr>
          <w:rFonts w:ascii="Times New Roman" w:eastAsia="Calibri" w:hAnsi="Times New Roman" w:cs="Times New Roman"/>
        </w:rPr>
        <w:t xml:space="preserve">the </w:t>
      </w:r>
      <w:r w:rsidR="006B171C" w:rsidRPr="00D04A3F">
        <w:rPr>
          <w:rFonts w:asciiTheme="majorBidi" w:hAnsiTheme="majorBidi" w:cstheme="majorBidi"/>
        </w:rPr>
        <w:t>items except three. In the final analysis, 21 items were used.</w:t>
      </w:r>
      <w:r w:rsidR="00976EEB" w:rsidRPr="00D04A3F">
        <w:rPr>
          <w:rFonts w:asciiTheme="majorBidi" w:hAnsiTheme="majorBidi" w:cstheme="majorBidi"/>
          <w:vertAlign w:val="superscript"/>
        </w:rPr>
        <w:t>26</w:t>
      </w:r>
      <w:r w:rsidR="0005482B" w:rsidRPr="00D04A3F">
        <w:rPr>
          <w:rFonts w:asciiTheme="majorBidi" w:hAnsiTheme="majorBidi" w:cstheme="majorBidi"/>
        </w:rPr>
        <w:t xml:space="preserve"> </w:t>
      </w:r>
      <w:r w:rsidRPr="00D04A3F">
        <w:rPr>
          <w:rFonts w:asciiTheme="majorBidi" w:hAnsiTheme="majorBidi" w:cstheme="majorBidi"/>
        </w:rPr>
        <w:t xml:space="preserve">In this study, the reliability of the questionnaire was also evaluated </w:t>
      </w:r>
      <w:r w:rsidRPr="00D04A3F">
        <w:rPr>
          <w:rFonts w:ascii="Times New Roman" w:eastAsia="Calibri" w:hAnsi="Times New Roman" w:cs="Times New Roman"/>
        </w:rPr>
        <w:t xml:space="preserve">via </w:t>
      </w:r>
      <w:r w:rsidR="00885F80" w:rsidRPr="00D04A3F">
        <w:rPr>
          <w:rFonts w:ascii="Times New Roman" w:eastAsia="Calibri" w:hAnsi="Times New Roman" w:cs="Times New Roman"/>
        </w:rPr>
        <w:t>test-retest</w:t>
      </w:r>
      <w:r w:rsidRPr="00D04A3F">
        <w:rPr>
          <w:rFonts w:asciiTheme="majorBidi" w:hAnsiTheme="majorBidi" w:cstheme="majorBidi"/>
        </w:rPr>
        <w:t xml:space="preserve"> methods, and </w:t>
      </w:r>
      <w:r w:rsidRPr="00D04A3F">
        <w:rPr>
          <w:rFonts w:ascii="Times New Roman" w:eastAsia="Calibri" w:hAnsi="Times New Roman" w:cs="Times New Roman"/>
        </w:rPr>
        <w:t xml:space="preserve">a </w:t>
      </w:r>
      <w:r w:rsidRPr="00D04A3F">
        <w:rPr>
          <w:rFonts w:asciiTheme="majorBidi" w:hAnsiTheme="majorBidi" w:cstheme="majorBidi"/>
        </w:rPr>
        <w:t>Cronbach's alpha coefficient of 0.86 confirmed its reliability.</w:t>
      </w:r>
    </w:p>
    <w:p w14:paraId="764E5993" w14:textId="77777777" w:rsidR="000F5E15" w:rsidRPr="00D04A3F" w:rsidRDefault="007541D4" w:rsidP="00F23E35">
      <w:pPr>
        <w:jc w:val="both"/>
        <w:rPr>
          <w:rFonts w:asciiTheme="majorBidi" w:hAnsiTheme="majorBidi" w:cstheme="majorBidi"/>
        </w:rPr>
      </w:pPr>
      <w:r w:rsidRPr="00D04A3F">
        <w:rPr>
          <w:rFonts w:asciiTheme="majorBidi" w:hAnsiTheme="majorBidi" w:cstheme="majorBidi"/>
          <w:b/>
          <w:bCs/>
        </w:rPr>
        <w:t>Intervention</w:t>
      </w:r>
    </w:p>
    <w:p w14:paraId="36CF59D5" w14:textId="0ADF88FC" w:rsidR="000F5E15" w:rsidRPr="00D04A3F" w:rsidRDefault="007541D4" w:rsidP="006B171C">
      <w:pPr>
        <w:jc w:val="both"/>
        <w:rPr>
          <w:rFonts w:asciiTheme="majorBidi" w:hAnsiTheme="majorBidi" w:cstheme="majorBidi"/>
        </w:rPr>
      </w:pPr>
      <w:r w:rsidRPr="00D04A3F">
        <w:rPr>
          <w:rFonts w:asciiTheme="majorBidi" w:hAnsiTheme="majorBidi" w:cstheme="majorBidi"/>
        </w:rPr>
        <w:t xml:space="preserve">For the intervention group, a social support program was designed </w:t>
      </w:r>
      <w:r w:rsidR="00885F80" w:rsidRPr="00D04A3F">
        <w:rPr>
          <w:rFonts w:asciiTheme="majorBidi" w:hAnsiTheme="majorBidi" w:cstheme="majorBidi"/>
        </w:rPr>
        <w:t>based on</w:t>
      </w:r>
      <w:r w:rsidRPr="00D04A3F">
        <w:rPr>
          <w:rFonts w:ascii="Times New Roman" w:eastAsia="Calibri" w:hAnsi="Times New Roman" w:cs="Times New Roman"/>
        </w:rPr>
        <w:t xml:space="preserve"> the </w:t>
      </w:r>
      <w:r w:rsidRPr="00D04A3F">
        <w:rPr>
          <w:rFonts w:asciiTheme="majorBidi" w:hAnsiTheme="majorBidi" w:cstheme="majorBidi"/>
        </w:rPr>
        <w:t>World Health Organization’s (WHO) definition of social support. The WHO categorizes social support into four domains: emotional, instrumental (tangible), inform</w:t>
      </w:r>
      <w:r w:rsidR="00976EEB" w:rsidRPr="00D04A3F">
        <w:rPr>
          <w:rFonts w:asciiTheme="majorBidi" w:hAnsiTheme="majorBidi" w:cstheme="majorBidi"/>
        </w:rPr>
        <w:t>ational, and evaluative support</w:t>
      </w:r>
      <w:r w:rsidRPr="00D04A3F">
        <w:rPr>
          <w:rFonts w:asciiTheme="majorBidi" w:hAnsiTheme="majorBidi" w:cstheme="majorBidi"/>
        </w:rPr>
        <w:t>.</w:t>
      </w:r>
      <w:r w:rsidR="00976EEB" w:rsidRPr="00D04A3F">
        <w:rPr>
          <w:rFonts w:asciiTheme="majorBidi" w:hAnsiTheme="majorBidi" w:cstheme="majorBidi"/>
          <w:vertAlign w:val="superscript"/>
        </w:rPr>
        <w:t>27</w:t>
      </w:r>
      <w:r w:rsidRPr="00D04A3F">
        <w:rPr>
          <w:rFonts w:asciiTheme="majorBidi" w:hAnsiTheme="majorBidi" w:cstheme="majorBidi"/>
        </w:rPr>
        <w:t xml:space="preserve"> Emotional support is defined as the availability of a trusted person to rely on when help is needed, and it emphasizes caregiving relationships such as empathy, concern, affection, love, trust, respect, acceptance, intimacy, encouragement, and care. Instrumental support refers to assisting the patient by referring them to formal and informal institutions and patient support organizations, as well as helping the individual with daily activities such as cleaning the house</w:t>
      </w:r>
      <w:r w:rsidR="00976EEB" w:rsidRPr="00D04A3F">
        <w:rPr>
          <w:rFonts w:asciiTheme="majorBidi" w:hAnsiTheme="majorBidi" w:cstheme="majorBidi"/>
        </w:rPr>
        <w:t>, bathing, moving, and mobility</w:t>
      </w:r>
      <w:r w:rsidRPr="00D04A3F">
        <w:rPr>
          <w:rFonts w:asciiTheme="majorBidi" w:hAnsiTheme="majorBidi" w:cstheme="majorBidi"/>
        </w:rPr>
        <w:t>.</w:t>
      </w:r>
      <w:r w:rsidR="00976EEB" w:rsidRPr="00D04A3F">
        <w:rPr>
          <w:rFonts w:asciiTheme="majorBidi" w:hAnsiTheme="majorBidi" w:cstheme="majorBidi"/>
          <w:vertAlign w:val="superscript"/>
        </w:rPr>
        <w:t>28</w:t>
      </w:r>
      <w:r w:rsidRPr="00D04A3F">
        <w:rPr>
          <w:rFonts w:asciiTheme="majorBidi" w:hAnsiTheme="majorBidi" w:cstheme="majorBidi"/>
        </w:rPr>
        <w:t xml:space="preserve"> Informational support includes providing counseling, guidance, suggestions, or information. Evaluative support involves evaluating </w:t>
      </w:r>
      <w:r w:rsidRPr="00D04A3F">
        <w:rPr>
          <w:rFonts w:ascii="Times New Roman" w:eastAsia="Calibri" w:hAnsi="Times New Roman" w:cs="Times New Roman"/>
        </w:rPr>
        <w:t>an</w:t>
      </w:r>
      <w:r w:rsidRPr="00D04A3F">
        <w:rPr>
          <w:rFonts w:asciiTheme="majorBidi" w:hAnsiTheme="majorBidi" w:cstheme="majorBidi"/>
        </w:rPr>
        <w:t xml:space="preserve"> individual's skills, abilities, and values.</w:t>
      </w:r>
    </w:p>
    <w:p w14:paraId="4BB61CEA" w14:textId="04EBEB99" w:rsidR="000F5E15" w:rsidRPr="00D04A3F" w:rsidRDefault="007541D4" w:rsidP="006B171C">
      <w:pPr>
        <w:jc w:val="both"/>
        <w:rPr>
          <w:rFonts w:asciiTheme="majorBidi" w:hAnsiTheme="majorBidi" w:cstheme="majorBidi"/>
        </w:rPr>
      </w:pPr>
      <w:r w:rsidRPr="00D04A3F">
        <w:rPr>
          <w:rFonts w:asciiTheme="majorBidi" w:hAnsiTheme="majorBidi" w:cstheme="majorBidi"/>
        </w:rPr>
        <w:t xml:space="preserve">These forms of support can be provided to caregivers </w:t>
      </w:r>
      <w:r w:rsidRPr="00D04A3F">
        <w:rPr>
          <w:rFonts w:ascii="Times New Roman" w:eastAsia="Calibri" w:hAnsi="Times New Roman" w:cs="Times New Roman"/>
        </w:rPr>
        <w:t>via</w:t>
      </w:r>
      <w:r w:rsidRPr="00D04A3F">
        <w:rPr>
          <w:rFonts w:asciiTheme="majorBidi" w:hAnsiTheme="majorBidi" w:cstheme="majorBidi"/>
        </w:rPr>
        <w:t xml:space="preserve"> both in-person and non-in-person methods. In-person support may include counseling, peer groups, and friendly support, </w:t>
      </w:r>
      <w:r w:rsidRPr="00D04A3F">
        <w:rPr>
          <w:rFonts w:ascii="Times New Roman" w:eastAsia="Calibri" w:hAnsi="Times New Roman" w:cs="Times New Roman"/>
        </w:rPr>
        <w:t>whereas</w:t>
      </w:r>
      <w:r w:rsidRPr="00D04A3F">
        <w:rPr>
          <w:rFonts w:asciiTheme="majorBidi" w:hAnsiTheme="majorBidi" w:cstheme="majorBidi"/>
        </w:rPr>
        <w:t xml:space="preserve"> non-in-person support can be delivered thro</w:t>
      </w:r>
      <w:r w:rsidR="00976EEB" w:rsidRPr="00D04A3F">
        <w:rPr>
          <w:rFonts w:asciiTheme="majorBidi" w:hAnsiTheme="majorBidi" w:cstheme="majorBidi"/>
        </w:rPr>
        <w:t>ugh telephone or online methods</w:t>
      </w:r>
      <w:r w:rsidRPr="00D04A3F">
        <w:rPr>
          <w:rFonts w:asciiTheme="majorBidi" w:hAnsiTheme="majorBidi" w:cstheme="majorBidi"/>
        </w:rPr>
        <w:t>.</w:t>
      </w:r>
      <w:r w:rsidR="00976EEB" w:rsidRPr="00D04A3F">
        <w:rPr>
          <w:rFonts w:asciiTheme="majorBidi" w:hAnsiTheme="majorBidi" w:cstheme="majorBidi"/>
          <w:vertAlign w:val="superscript"/>
        </w:rPr>
        <w:t>29,30</w:t>
      </w:r>
      <w:r w:rsidRPr="00D04A3F">
        <w:rPr>
          <w:rFonts w:asciiTheme="majorBidi" w:hAnsiTheme="majorBidi" w:cstheme="majorBidi"/>
        </w:rPr>
        <w:t xml:space="preserve"> Accordingly, for the intervention group, the social support program wa</w:t>
      </w:r>
      <w:r w:rsidR="001265BF" w:rsidRPr="00D04A3F">
        <w:rPr>
          <w:rFonts w:asciiTheme="majorBidi" w:hAnsiTheme="majorBidi" w:cstheme="majorBidi"/>
        </w:rPr>
        <w:t xml:space="preserve">s conducted across four domains; </w:t>
      </w:r>
      <w:r w:rsidRPr="00D04A3F">
        <w:rPr>
          <w:rFonts w:asciiTheme="majorBidi" w:hAnsiTheme="majorBidi" w:cstheme="majorBidi"/>
        </w:rPr>
        <w:t>informational, emotiona</w:t>
      </w:r>
      <w:r w:rsidR="001265BF" w:rsidRPr="00D04A3F">
        <w:rPr>
          <w:rFonts w:asciiTheme="majorBidi" w:hAnsiTheme="majorBidi" w:cstheme="majorBidi"/>
        </w:rPr>
        <w:t xml:space="preserve">l, instrumental, and evaluative </w:t>
      </w:r>
      <w:r w:rsidRPr="00D04A3F">
        <w:rPr>
          <w:rFonts w:asciiTheme="majorBidi" w:hAnsiTheme="majorBidi" w:cstheme="majorBidi"/>
        </w:rPr>
        <w:t>described as follows:</w:t>
      </w:r>
    </w:p>
    <w:p w14:paraId="69B9F963" w14:textId="77777777" w:rsidR="00976EEB" w:rsidRPr="00D04A3F" w:rsidRDefault="00976EEB" w:rsidP="006B171C">
      <w:pPr>
        <w:jc w:val="both"/>
        <w:rPr>
          <w:rFonts w:asciiTheme="majorBidi" w:hAnsiTheme="majorBidi" w:cstheme="majorBidi"/>
        </w:rPr>
      </w:pPr>
    </w:p>
    <w:p w14:paraId="0330B99F" w14:textId="5C380615" w:rsidR="00835E9D" w:rsidRPr="00D04A3F" w:rsidRDefault="00383B16" w:rsidP="00440576">
      <w:pPr>
        <w:jc w:val="both"/>
        <w:rPr>
          <w:rFonts w:asciiTheme="majorBidi" w:hAnsiTheme="majorBidi" w:cstheme="majorBidi"/>
          <w:b/>
          <w:bCs/>
        </w:rPr>
      </w:pPr>
      <w:r w:rsidRPr="00D04A3F">
        <w:rPr>
          <w:rFonts w:asciiTheme="majorBidi" w:hAnsiTheme="majorBidi" w:cstheme="majorBidi"/>
          <w:b/>
          <w:bCs/>
        </w:rPr>
        <w:lastRenderedPageBreak/>
        <w:t>1) Informational Domain:</w:t>
      </w:r>
    </w:p>
    <w:p w14:paraId="25E999AE" w14:textId="74D57089" w:rsidR="00AE1A8F" w:rsidRPr="00D04A3F" w:rsidRDefault="007541D4" w:rsidP="00976EEB">
      <w:pPr>
        <w:jc w:val="both"/>
        <w:rPr>
          <w:rFonts w:asciiTheme="majorBidi" w:hAnsiTheme="majorBidi" w:cstheme="majorBidi"/>
        </w:rPr>
      </w:pPr>
      <w:r w:rsidRPr="00D04A3F">
        <w:rPr>
          <w:rFonts w:asciiTheme="majorBidi" w:hAnsiTheme="majorBidi" w:cstheme="majorBidi"/>
        </w:rPr>
        <w:br/>
        <w:t>To provide information and educate caregivers about resilience domains, a resilience education program based on the Henderson and Milstein</w:t>
      </w:r>
      <w:r w:rsidR="00976EEB" w:rsidRPr="00D04A3F">
        <w:rPr>
          <w:rFonts w:asciiTheme="majorBidi" w:hAnsiTheme="majorBidi" w:cstheme="majorBidi"/>
        </w:rPr>
        <w:t xml:space="preserve"> program (1996) was implemented</w:t>
      </w:r>
      <w:r w:rsidRPr="00D04A3F">
        <w:rPr>
          <w:rFonts w:asciiTheme="majorBidi" w:hAnsiTheme="majorBidi" w:cstheme="majorBidi"/>
        </w:rPr>
        <w:t>.</w:t>
      </w:r>
      <w:r w:rsidR="00976EEB" w:rsidRPr="00D04A3F">
        <w:rPr>
          <w:rFonts w:asciiTheme="majorBidi" w:hAnsiTheme="majorBidi" w:cstheme="majorBidi"/>
          <w:vertAlign w:val="superscript"/>
        </w:rPr>
        <w:t>31</w:t>
      </w:r>
      <w:r w:rsidRPr="00D04A3F">
        <w:rPr>
          <w:rFonts w:asciiTheme="majorBidi" w:hAnsiTheme="majorBidi" w:cstheme="majorBidi"/>
        </w:rPr>
        <w:t xml:space="preserve"> Since this program consists of 12 short topics, two relatively similar topics were taught in each session. Over six weeks of intervention, a 60-minute session was held weekly</w:t>
      </w:r>
      <w:r w:rsidR="00AE1A8F" w:rsidRPr="00D04A3F">
        <w:rPr>
          <w:rFonts w:asciiTheme="majorBidi" w:hAnsiTheme="majorBidi" w:cstheme="majorBidi"/>
        </w:rPr>
        <w:t xml:space="preserve"> (Table 1)</w:t>
      </w:r>
      <w:r w:rsidRPr="00D04A3F">
        <w:rPr>
          <w:rFonts w:asciiTheme="majorBidi" w:hAnsiTheme="majorBidi" w:cstheme="majorBidi"/>
        </w:rPr>
        <w:t>.</w:t>
      </w:r>
      <w:r w:rsidR="00AE1A8F" w:rsidRPr="00D04A3F">
        <w:rPr>
          <w:rFonts w:asciiTheme="majorBidi" w:hAnsiTheme="majorBidi" w:cstheme="majorBidi"/>
        </w:rPr>
        <w:t xml:space="preserve"> The first session was conducted in person after 8</w:t>
      </w:r>
      <w:r w:rsidR="00AE1A8F" w:rsidRPr="00D04A3F">
        <w:rPr>
          <w:rFonts w:ascii="Times New Roman" w:eastAsia="Calibri" w:hAnsi="Times New Roman" w:cs="Times New Roman"/>
        </w:rPr>
        <w:t>-</w:t>
      </w:r>
      <w:r w:rsidR="00AE1A8F" w:rsidRPr="00D04A3F">
        <w:rPr>
          <w:rFonts w:asciiTheme="majorBidi" w:hAnsiTheme="majorBidi" w:cstheme="majorBidi"/>
        </w:rPr>
        <w:t xml:space="preserve">10 participant groups </w:t>
      </w:r>
      <w:r w:rsidR="00AE1A8F" w:rsidRPr="00D04A3F">
        <w:rPr>
          <w:rFonts w:ascii="Times New Roman" w:eastAsia="Calibri" w:hAnsi="Times New Roman" w:cs="Times New Roman"/>
        </w:rPr>
        <w:t xml:space="preserve">were formed </w:t>
      </w:r>
      <w:r w:rsidR="00AE1A8F" w:rsidRPr="00D04A3F">
        <w:rPr>
          <w:rFonts w:asciiTheme="majorBidi" w:hAnsiTheme="majorBidi" w:cstheme="majorBidi"/>
        </w:rPr>
        <w:t xml:space="preserve">in the educational classroom of the oncology ward at Dr. Shariati Hospital in Tehran. Subsequent sessions were conducted virtually </w:t>
      </w:r>
      <w:r w:rsidR="00AE1A8F" w:rsidRPr="00D04A3F">
        <w:rPr>
          <w:rFonts w:ascii="Times New Roman" w:eastAsia="Calibri" w:hAnsi="Times New Roman" w:cs="Times New Roman"/>
        </w:rPr>
        <w:t>via</w:t>
      </w:r>
      <w:r w:rsidR="00AE1A8F" w:rsidRPr="00D04A3F">
        <w:rPr>
          <w:rFonts w:asciiTheme="majorBidi" w:hAnsiTheme="majorBidi" w:cstheme="majorBidi"/>
        </w:rPr>
        <w:t xml:space="preserve"> video calls, clips, podcasts, and pamphlets (content prepared by the researcher from credible sources). Each session covered two resilience dimensions. </w:t>
      </w:r>
      <w:r w:rsidR="00AE1A8F" w:rsidRPr="00D04A3F">
        <w:rPr>
          <w:rFonts w:ascii="Times New Roman" w:eastAsia="Calibri" w:hAnsi="Times New Roman" w:cs="Times New Roman"/>
        </w:rPr>
        <w:t>The participants</w:t>
      </w:r>
      <w:r w:rsidR="00AE1A8F" w:rsidRPr="00D04A3F">
        <w:rPr>
          <w:rFonts w:asciiTheme="majorBidi" w:hAnsiTheme="majorBidi" w:cstheme="majorBidi"/>
        </w:rPr>
        <w:t xml:space="preserve"> were given the researcher’s phone number to ask questions or resolve ambiguities at any stage of the study, with guidance provided by the researcher as needed.</w:t>
      </w:r>
    </w:p>
    <w:p w14:paraId="70413F1C" w14:textId="1B44FAE7" w:rsidR="006666F4" w:rsidRDefault="006666F4" w:rsidP="00F23E35">
      <w:pPr>
        <w:jc w:val="both"/>
        <w:rPr>
          <w:rFonts w:asciiTheme="majorBidi" w:hAnsiTheme="majorBidi" w:cstheme="majorBidi"/>
          <w:b/>
          <w:bCs/>
        </w:rPr>
      </w:pPr>
    </w:p>
    <w:p w14:paraId="405A203F" w14:textId="5D1348E4" w:rsidR="006666F4" w:rsidRDefault="006666F4" w:rsidP="00F23E35">
      <w:pPr>
        <w:jc w:val="both"/>
        <w:rPr>
          <w:rFonts w:asciiTheme="majorBidi" w:hAnsiTheme="majorBidi" w:cstheme="majorBidi"/>
          <w:b/>
          <w:bCs/>
        </w:rPr>
      </w:pPr>
      <w:r>
        <w:rPr>
          <w:rFonts w:asciiTheme="majorBidi" w:hAnsiTheme="majorBidi" w:cstheme="majorBidi"/>
          <w:b/>
          <w:bCs/>
        </w:rPr>
        <w:t>Table 1.</w:t>
      </w:r>
    </w:p>
    <w:p w14:paraId="496AA4E6" w14:textId="77777777" w:rsidR="006666F4" w:rsidRDefault="006666F4" w:rsidP="00F23E35">
      <w:pPr>
        <w:jc w:val="both"/>
        <w:rPr>
          <w:rFonts w:asciiTheme="majorBidi" w:hAnsiTheme="majorBidi" w:cstheme="majorBidi"/>
          <w:b/>
          <w:bCs/>
        </w:rPr>
      </w:pPr>
    </w:p>
    <w:p w14:paraId="4CAC7DFF" w14:textId="121EFA07" w:rsidR="00835E9D" w:rsidRPr="00D04A3F" w:rsidRDefault="007541D4" w:rsidP="00F23E35">
      <w:pPr>
        <w:jc w:val="both"/>
        <w:rPr>
          <w:rFonts w:asciiTheme="majorBidi" w:hAnsiTheme="majorBidi" w:cstheme="majorBidi"/>
          <w:b/>
          <w:bCs/>
        </w:rPr>
      </w:pPr>
      <w:r w:rsidRPr="00D04A3F">
        <w:rPr>
          <w:rFonts w:asciiTheme="majorBidi" w:hAnsiTheme="majorBidi" w:cstheme="majorBidi"/>
          <w:b/>
          <w:bCs/>
        </w:rPr>
        <w:t>2) Emotional Domain:</w:t>
      </w:r>
    </w:p>
    <w:p w14:paraId="7B7E0DB7" w14:textId="0DB96030" w:rsidR="00383B16" w:rsidRPr="00D04A3F" w:rsidRDefault="007541D4" w:rsidP="00835E9D">
      <w:pPr>
        <w:jc w:val="both"/>
        <w:rPr>
          <w:rFonts w:asciiTheme="majorBidi" w:hAnsiTheme="majorBidi" w:cstheme="majorBidi"/>
        </w:rPr>
      </w:pPr>
      <w:r w:rsidRPr="00D04A3F">
        <w:rPr>
          <w:rFonts w:asciiTheme="majorBidi" w:hAnsiTheme="majorBidi" w:cstheme="majorBidi"/>
        </w:rPr>
        <w:br/>
        <w:t>In this domain, the researcher provided in-person and remote support during agreed</w:t>
      </w:r>
      <w:r w:rsidRPr="00D04A3F">
        <w:rPr>
          <w:rFonts w:ascii="Times New Roman" w:eastAsia="Calibri" w:hAnsi="Times New Roman" w:cs="Times New Roman"/>
        </w:rPr>
        <w:t>-upon</w:t>
      </w:r>
      <w:r w:rsidRPr="00D04A3F">
        <w:rPr>
          <w:rFonts w:asciiTheme="majorBidi" w:hAnsiTheme="majorBidi" w:cstheme="majorBidi"/>
        </w:rPr>
        <w:t xml:space="preserve"> times (8:00 AM to 4:00 PM). Remote support was offered via phone calls and the messaging app Eitaa, where caregivers could share their concerns, challenges, and experiences in a dedicated group. The researcher contacted caregivers weekly through phone calls, addressing their concerns, tracking the patient’s condition, and discussing caregiving challenges. Additionally, during the in-person session (Session 1), 30 minutes were allocated for caregivers to share their experiences and learn from their peers.</w:t>
      </w:r>
    </w:p>
    <w:p w14:paraId="2AE2C555" w14:textId="433FF1E2" w:rsidR="00AE1A8F" w:rsidRPr="00D04A3F" w:rsidRDefault="00AE1A8F" w:rsidP="00835E9D">
      <w:pPr>
        <w:jc w:val="both"/>
        <w:rPr>
          <w:rFonts w:asciiTheme="majorBidi" w:hAnsiTheme="majorBidi" w:cstheme="majorBidi"/>
        </w:rPr>
      </w:pPr>
    </w:p>
    <w:p w14:paraId="20A8B6EB" w14:textId="77777777" w:rsidR="00835E9D" w:rsidRPr="00D04A3F" w:rsidRDefault="007541D4" w:rsidP="00F23E35">
      <w:pPr>
        <w:jc w:val="both"/>
        <w:rPr>
          <w:rFonts w:asciiTheme="majorBidi" w:hAnsiTheme="majorBidi" w:cstheme="majorBidi"/>
          <w:b/>
          <w:bCs/>
        </w:rPr>
      </w:pPr>
      <w:r w:rsidRPr="00D04A3F">
        <w:rPr>
          <w:rFonts w:asciiTheme="majorBidi" w:hAnsiTheme="majorBidi" w:cstheme="majorBidi"/>
          <w:b/>
          <w:bCs/>
        </w:rPr>
        <w:t>3) Instrumental Domain:</w:t>
      </w:r>
    </w:p>
    <w:p w14:paraId="2DE1119A" w14:textId="427D309D" w:rsidR="00383B16" w:rsidRPr="00D04A3F" w:rsidRDefault="007541D4" w:rsidP="00F23E35">
      <w:pPr>
        <w:jc w:val="both"/>
        <w:rPr>
          <w:rFonts w:asciiTheme="majorBidi" w:hAnsiTheme="majorBidi" w:cstheme="majorBidi"/>
        </w:rPr>
      </w:pPr>
      <w:r w:rsidRPr="00D04A3F">
        <w:rPr>
          <w:rFonts w:asciiTheme="majorBidi" w:hAnsiTheme="majorBidi" w:cstheme="majorBidi"/>
        </w:rPr>
        <w:br/>
        <w:t>At the start of the intervention, caregivers were asked to list their needs and expectations regarding caregiving for their cancer patients. After these needs</w:t>
      </w:r>
      <w:r w:rsidRPr="00D04A3F">
        <w:rPr>
          <w:rFonts w:ascii="Times New Roman" w:eastAsia="Calibri" w:hAnsi="Times New Roman" w:cs="Times New Roman"/>
        </w:rPr>
        <w:t xml:space="preserve"> were categorized</w:t>
      </w:r>
      <w:r w:rsidRPr="00D04A3F">
        <w:rPr>
          <w:rFonts w:asciiTheme="majorBidi" w:hAnsiTheme="majorBidi" w:cstheme="majorBidi"/>
        </w:rPr>
        <w:t xml:space="preserve">, the researcher included appropriate actions in the program. For example, caregivers were trained to use health devices (e.g., blood glucose meters </w:t>
      </w:r>
      <w:r w:rsidRPr="00D04A3F">
        <w:rPr>
          <w:rFonts w:ascii="Times New Roman" w:eastAsia="Calibri" w:hAnsi="Times New Roman" w:cs="Times New Roman"/>
        </w:rPr>
        <w:t xml:space="preserve">and </w:t>
      </w:r>
      <w:r w:rsidRPr="00D04A3F">
        <w:rPr>
          <w:rFonts w:asciiTheme="majorBidi" w:hAnsiTheme="majorBidi" w:cstheme="majorBidi"/>
        </w:rPr>
        <w:t>blood pressure monitors), introduced to consultants and specialists, and informed about supportive centers. Short educational videos and clips were prepared and shared with caregivers during this stage.</w:t>
      </w:r>
    </w:p>
    <w:p w14:paraId="1853B9E8" w14:textId="77777777" w:rsidR="00835E9D" w:rsidRPr="00D04A3F" w:rsidRDefault="007541D4" w:rsidP="00F23E35">
      <w:pPr>
        <w:jc w:val="both"/>
        <w:rPr>
          <w:rFonts w:asciiTheme="majorBidi" w:hAnsiTheme="majorBidi" w:cstheme="majorBidi"/>
          <w:b/>
          <w:bCs/>
        </w:rPr>
      </w:pPr>
      <w:r w:rsidRPr="00D04A3F">
        <w:rPr>
          <w:rFonts w:asciiTheme="majorBidi" w:hAnsiTheme="majorBidi" w:cstheme="majorBidi"/>
          <w:b/>
          <w:bCs/>
        </w:rPr>
        <w:t>4) Appraisal Domain:</w:t>
      </w:r>
    </w:p>
    <w:p w14:paraId="5EA32391" w14:textId="12874CC3" w:rsidR="00383B16" w:rsidRPr="00D04A3F" w:rsidRDefault="007541D4" w:rsidP="00DF0269">
      <w:pPr>
        <w:jc w:val="both"/>
        <w:rPr>
          <w:rFonts w:asciiTheme="majorBidi" w:hAnsiTheme="majorBidi" w:cstheme="majorBidi"/>
        </w:rPr>
      </w:pPr>
      <w:r w:rsidRPr="00D04A3F">
        <w:rPr>
          <w:rFonts w:asciiTheme="majorBidi" w:hAnsiTheme="majorBidi" w:cstheme="majorBidi"/>
        </w:rPr>
        <w:br/>
        <w:t xml:space="preserve">Feedback was obtained on the instrumental and emotional support provided. </w:t>
      </w:r>
      <w:r w:rsidRPr="00D04A3F">
        <w:rPr>
          <w:rFonts w:ascii="Times New Roman" w:eastAsia="Calibri" w:hAnsi="Times New Roman" w:cs="Times New Roman"/>
        </w:rPr>
        <w:t xml:space="preserve">The </w:t>
      </w:r>
      <w:r w:rsidR="00885F80" w:rsidRPr="00D04A3F">
        <w:rPr>
          <w:rFonts w:ascii="Times New Roman" w:eastAsia="Calibri" w:hAnsi="Times New Roman" w:cs="Times New Roman"/>
        </w:rPr>
        <w:t>participant’s</w:t>
      </w:r>
      <w:r w:rsidRPr="00D04A3F">
        <w:rPr>
          <w:rFonts w:asciiTheme="majorBidi" w:hAnsiTheme="majorBidi" w:cstheme="majorBidi"/>
        </w:rPr>
        <w:t xml:space="preserve"> knowledge about resilience was evaluated </w:t>
      </w:r>
      <w:r w:rsidRPr="00D04A3F">
        <w:rPr>
          <w:rFonts w:ascii="Times New Roman" w:eastAsia="Calibri" w:hAnsi="Times New Roman" w:cs="Times New Roman"/>
        </w:rPr>
        <w:t>via</w:t>
      </w:r>
      <w:r w:rsidRPr="00D04A3F">
        <w:rPr>
          <w:rFonts w:asciiTheme="majorBidi" w:hAnsiTheme="majorBidi" w:cstheme="majorBidi"/>
        </w:rPr>
        <w:t xml:space="preserve"> oral questions and research tools during and after the intervention. No supportive program was offered to the control group. However, they could freely access the research environment's resources during their visits. Immediately after the intervention and six weeks later, questionnaires were completed via phone calls by both groups. This allowed assessment of the social support program's impact on the resilience of caregivers of cancer patients. To ensure ethical considerations, once the posttest was completed for the control group, they were provided with the resilience education package. The collected data were analyzed </w:t>
      </w:r>
      <w:r w:rsidRPr="00D04A3F">
        <w:rPr>
          <w:rFonts w:ascii="Times New Roman" w:eastAsia="Calibri" w:hAnsi="Times New Roman" w:cs="Times New Roman"/>
        </w:rPr>
        <w:t>via</w:t>
      </w:r>
      <w:r w:rsidRPr="00D04A3F">
        <w:rPr>
          <w:rFonts w:asciiTheme="majorBidi" w:hAnsiTheme="majorBidi" w:cstheme="majorBidi"/>
        </w:rPr>
        <w:t xml:space="preserve"> SPSS software, version 22.</w:t>
      </w:r>
    </w:p>
    <w:p w14:paraId="1A75CA1B" w14:textId="77777777" w:rsidR="00DF0269" w:rsidRPr="00D04A3F" w:rsidRDefault="00DF0269" w:rsidP="00F23E35">
      <w:pPr>
        <w:jc w:val="both"/>
        <w:rPr>
          <w:rFonts w:asciiTheme="majorBidi" w:hAnsiTheme="majorBidi" w:cstheme="majorBidi"/>
        </w:rPr>
      </w:pPr>
    </w:p>
    <w:p w14:paraId="16EEBDF1" w14:textId="68B62F90" w:rsidR="00383B16" w:rsidRPr="00D04A3F" w:rsidRDefault="00976EEB" w:rsidP="00F23E35">
      <w:pPr>
        <w:jc w:val="both"/>
        <w:rPr>
          <w:rFonts w:asciiTheme="majorBidi" w:hAnsiTheme="majorBidi" w:cstheme="majorBidi"/>
        </w:rPr>
      </w:pPr>
      <w:r w:rsidRPr="00D04A3F">
        <w:rPr>
          <w:rFonts w:asciiTheme="majorBidi" w:hAnsiTheme="majorBidi" w:cstheme="majorBidi"/>
          <w:b/>
          <w:bCs/>
        </w:rPr>
        <w:t>A</w:t>
      </w:r>
      <w:r w:rsidR="007541D4" w:rsidRPr="00D04A3F">
        <w:rPr>
          <w:rFonts w:ascii="Times New Roman" w:eastAsia="Calibri" w:hAnsi="Times New Roman" w:cs="Times New Roman"/>
          <w:b/>
          <w:bCs/>
        </w:rPr>
        <w:t>nalysis</w:t>
      </w:r>
    </w:p>
    <w:p w14:paraId="5FF990CE" w14:textId="65BE30FE" w:rsidR="00383B16" w:rsidRPr="00D04A3F" w:rsidRDefault="007541D4" w:rsidP="00F23E35">
      <w:pPr>
        <w:jc w:val="both"/>
        <w:rPr>
          <w:rFonts w:asciiTheme="majorBidi" w:hAnsiTheme="majorBidi" w:cstheme="majorBidi"/>
        </w:rPr>
      </w:pPr>
      <w:r w:rsidRPr="00D04A3F">
        <w:rPr>
          <w:rFonts w:asciiTheme="majorBidi" w:hAnsiTheme="majorBidi" w:cstheme="majorBidi"/>
        </w:rPr>
        <w:t xml:space="preserve">Data analysis was performed </w:t>
      </w:r>
      <w:r w:rsidRPr="00D04A3F">
        <w:rPr>
          <w:rFonts w:ascii="Times New Roman" w:eastAsia="Calibri" w:hAnsi="Times New Roman" w:cs="Times New Roman"/>
        </w:rPr>
        <w:t>via</w:t>
      </w:r>
      <w:r w:rsidRPr="00D04A3F">
        <w:rPr>
          <w:rFonts w:asciiTheme="majorBidi" w:hAnsiTheme="majorBidi" w:cstheme="majorBidi"/>
        </w:rPr>
        <w:t xml:space="preserve"> SPSS software, version 22. Comparisons of participants' baseline characteristics between the intervention and control groups were conducted as follows:</w:t>
      </w:r>
    </w:p>
    <w:p w14:paraId="043508E7" w14:textId="2A12398D" w:rsidR="00383B16" w:rsidRPr="00D04A3F" w:rsidRDefault="007541D4" w:rsidP="00F23E35">
      <w:pPr>
        <w:numPr>
          <w:ilvl w:val="0"/>
          <w:numId w:val="1"/>
        </w:numPr>
        <w:jc w:val="both"/>
        <w:rPr>
          <w:rFonts w:asciiTheme="majorBidi" w:hAnsiTheme="majorBidi" w:cstheme="majorBidi"/>
        </w:rPr>
      </w:pPr>
      <w:r w:rsidRPr="00D04A3F">
        <w:rPr>
          <w:rFonts w:asciiTheme="majorBidi" w:hAnsiTheme="majorBidi" w:cstheme="majorBidi"/>
          <w:b/>
          <w:bCs/>
        </w:rPr>
        <w:t>Nominal or ordinal variables:</w:t>
      </w:r>
      <w:r w:rsidRPr="00D04A3F">
        <w:rPr>
          <w:rFonts w:asciiTheme="majorBidi" w:hAnsiTheme="majorBidi" w:cstheme="majorBidi"/>
        </w:rPr>
        <w:t xml:space="preserve"> Analyzed </w:t>
      </w:r>
      <w:r w:rsidRPr="00D04A3F">
        <w:rPr>
          <w:rFonts w:ascii="Times New Roman" w:eastAsia="Calibri" w:hAnsi="Times New Roman" w:cs="Times New Roman"/>
        </w:rPr>
        <w:t>via</w:t>
      </w:r>
      <w:r w:rsidRPr="00D04A3F">
        <w:rPr>
          <w:rFonts w:asciiTheme="majorBidi" w:hAnsiTheme="majorBidi" w:cstheme="majorBidi"/>
        </w:rPr>
        <w:t xml:space="preserve"> the </w:t>
      </w:r>
      <w:r w:rsidRPr="00D04A3F">
        <w:rPr>
          <w:rFonts w:ascii="Times New Roman" w:eastAsia="Calibri" w:hAnsi="Times New Roman" w:cs="Times New Roman"/>
        </w:rPr>
        <w:t>chi</w:t>
      </w:r>
      <w:r w:rsidRPr="00D04A3F">
        <w:rPr>
          <w:rFonts w:asciiTheme="majorBidi" w:hAnsiTheme="majorBidi" w:cstheme="majorBidi"/>
        </w:rPr>
        <w:t>-square test or Fisher's exact test.</w:t>
      </w:r>
    </w:p>
    <w:p w14:paraId="01A34623" w14:textId="3A195864" w:rsidR="00383B16" w:rsidRPr="00D04A3F" w:rsidRDefault="007541D4" w:rsidP="00F23E35">
      <w:pPr>
        <w:numPr>
          <w:ilvl w:val="0"/>
          <w:numId w:val="1"/>
        </w:numPr>
        <w:jc w:val="both"/>
        <w:rPr>
          <w:rFonts w:asciiTheme="majorBidi" w:hAnsiTheme="majorBidi" w:cstheme="majorBidi"/>
        </w:rPr>
      </w:pPr>
      <w:r w:rsidRPr="00D04A3F">
        <w:rPr>
          <w:rFonts w:asciiTheme="majorBidi" w:hAnsiTheme="majorBidi" w:cstheme="majorBidi"/>
          <w:b/>
          <w:bCs/>
        </w:rPr>
        <w:t>Numerical variables</w:t>
      </w:r>
      <w:r w:rsidRPr="00D04A3F">
        <w:rPr>
          <w:rFonts w:asciiTheme="majorBidi" w:hAnsiTheme="majorBidi" w:cstheme="majorBidi"/>
        </w:rPr>
        <w:t xml:space="preserve"> </w:t>
      </w:r>
      <w:r w:rsidRPr="00D04A3F">
        <w:rPr>
          <w:rFonts w:ascii="Times New Roman" w:eastAsia="Calibri" w:hAnsi="Times New Roman" w:cs="Times New Roman"/>
        </w:rPr>
        <w:t>were</w:t>
      </w:r>
      <w:r w:rsidRPr="00D04A3F">
        <w:rPr>
          <w:rFonts w:asciiTheme="majorBidi" w:hAnsiTheme="majorBidi" w:cstheme="majorBidi"/>
        </w:rPr>
        <w:t xml:space="preserve"> normally distributed </w:t>
      </w:r>
      <w:r w:rsidRPr="00D04A3F">
        <w:rPr>
          <w:rFonts w:ascii="Times New Roman" w:eastAsia="Calibri" w:hAnsi="Times New Roman" w:cs="Times New Roman"/>
        </w:rPr>
        <w:t xml:space="preserve">and </w:t>
      </w:r>
      <w:r w:rsidRPr="00D04A3F">
        <w:rPr>
          <w:rFonts w:asciiTheme="majorBidi" w:hAnsiTheme="majorBidi" w:cstheme="majorBidi"/>
        </w:rPr>
        <w:t>analyzed with the independent t</w:t>
      </w:r>
      <w:r w:rsidRPr="00D04A3F">
        <w:rPr>
          <w:rFonts w:ascii="Times New Roman" w:eastAsia="Calibri" w:hAnsi="Times New Roman" w:cs="Times New Roman"/>
        </w:rPr>
        <w:t xml:space="preserve"> </w:t>
      </w:r>
      <w:r w:rsidRPr="00D04A3F">
        <w:rPr>
          <w:rFonts w:asciiTheme="majorBidi" w:hAnsiTheme="majorBidi" w:cstheme="majorBidi"/>
        </w:rPr>
        <w:t xml:space="preserve">test; if not normally distributed, </w:t>
      </w:r>
      <w:r w:rsidRPr="00D04A3F">
        <w:rPr>
          <w:rFonts w:ascii="Times New Roman" w:eastAsia="Calibri" w:hAnsi="Times New Roman" w:cs="Times New Roman"/>
        </w:rPr>
        <w:t xml:space="preserve">they were </w:t>
      </w:r>
      <w:r w:rsidRPr="00D04A3F">
        <w:rPr>
          <w:rFonts w:asciiTheme="majorBidi" w:hAnsiTheme="majorBidi" w:cstheme="majorBidi"/>
        </w:rPr>
        <w:t xml:space="preserve">analyzed </w:t>
      </w:r>
      <w:r w:rsidRPr="00D04A3F">
        <w:rPr>
          <w:rFonts w:ascii="Times New Roman" w:eastAsia="Calibri" w:hAnsi="Times New Roman" w:cs="Times New Roman"/>
        </w:rPr>
        <w:t>via</w:t>
      </w:r>
      <w:r w:rsidRPr="00D04A3F">
        <w:rPr>
          <w:rFonts w:asciiTheme="majorBidi" w:hAnsiTheme="majorBidi" w:cstheme="majorBidi"/>
        </w:rPr>
        <w:t xml:space="preserve"> the </w:t>
      </w:r>
      <w:r w:rsidRPr="00D04A3F">
        <w:rPr>
          <w:rFonts w:ascii="Times New Roman" w:eastAsia="Calibri" w:hAnsi="Times New Roman" w:cs="Times New Roman"/>
        </w:rPr>
        <w:t>nonparametric Mann‒Whitney</w:t>
      </w:r>
      <w:r w:rsidRPr="00D04A3F">
        <w:rPr>
          <w:rFonts w:asciiTheme="majorBidi" w:hAnsiTheme="majorBidi" w:cstheme="majorBidi"/>
        </w:rPr>
        <w:t xml:space="preserve"> U test.</w:t>
      </w:r>
    </w:p>
    <w:p w14:paraId="6FC65360" w14:textId="63216667" w:rsidR="00383B16" w:rsidRPr="00D04A3F" w:rsidRDefault="007541D4" w:rsidP="00F23E35">
      <w:pPr>
        <w:jc w:val="both"/>
        <w:rPr>
          <w:rFonts w:asciiTheme="majorBidi" w:hAnsiTheme="majorBidi" w:cstheme="majorBidi"/>
        </w:rPr>
      </w:pPr>
      <w:r w:rsidRPr="00D04A3F">
        <w:rPr>
          <w:rFonts w:asciiTheme="majorBidi" w:hAnsiTheme="majorBidi" w:cstheme="majorBidi"/>
        </w:rPr>
        <w:t xml:space="preserve">The effectiveness of the intervention on resilience was assessed </w:t>
      </w:r>
      <w:r w:rsidRPr="00D04A3F">
        <w:rPr>
          <w:rFonts w:ascii="Times New Roman" w:eastAsia="Calibri" w:hAnsi="Times New Roman" w:cs="Times New Roman"/>
        </w:rPr>
        <w:t>via repeated-measures</w:t>
      </w:r>
      <w:r w:rsidRPr="00D04A3F">
        <w:rPr>
          <w:rFonts w:asciiTheme="majorBidi" w:hAnsiTheme="majorBidi" w:cstheme="majorBidi"/>
        </w:rPr>
        <w:t xml:space="preserve"> ANOVA and by comparing </w:t>
      </w:r>
      <w:r w:rsidRPr="00D04A3F">
        <w:rPr>
          <w:rFonts w:ascii="Times New Roman" w:eastAsia="Calibri" w:hAnsi="Times New Roman" w:cs="Times New Roman"/>
        </w:rPr>
        <w:t xml:space="preserve">the </w:t>
      </w:r>
      <w:r w:rsidRPr="00D04A3F">
        <w:rPr>
          <w:rFonts w:asciiTheme="majorBidi" w:hAnsiTheme="majorBidi" w:cstheme="majorBidi"/>
        </w:rPr>
        <w:t xml:space="preserve">mean changes between the intervention and control groups </w:t>
      </w:r>
      <w:r w:rsidRPr="00D04A3F">
        <w:rPr>
          <w:rFonts w:ascii="Times New Roman" w:eastAsia="Calibri" w:hAnsi="Times New Roman" w:cs="Times New Roman"/>
        </w:rPr>
        <w:t>via</w:t>
      </w:r>
      <w:r w:rsidRPr="00D04A3F">
        <w:rPr>
          <w:rFonts w:asciiTheme="majorBidi" w:hAnsiTheme="majorBidi" w:cstheme="majorBidi"/>
        </w:rPr>
        <w:t xml:space="preserve"> an independent t</w:t>
      </w:r>
      <w:r w:rsidRPr="00D04A3F">
        <w:rPr>
          <w:rFonts w:ascii="Times New Roman" w:eastAsia="Calibri" w:hAnsi="Times New Roman" w:cs="Times New Roman"/>
        </w:rPr>
        <w:t xml:space="preserve"> </w:t>
      </w:r>
      <w:r w:rsidRPr="00D04A3F">
        <w:rPr>
          <w:rFonts w:asciiTheme="majorBidi" w:hAnsiTheme="majorBidi" w:cstheme="majorBidi"/>
        </w:rPr>
        <w:t xml:space="preserve">test or </w:t>
      </w:r>
      <w:r w:rsidRPr="00D04A3F">
        <w:rPr>
          <w:rFonts w:ascii="Times New Roman" w:eastAsia="Calibri" w:hAnsi="Times New Roman" w:cs="Times New Roman"/>
        </w:rPr>
        <w:t>the Mann‒Whitney</w:t>
      </w:r>
      <w:r w:rsidRPr="00D04A3F">
        <w:rPr>
          <w:rFonts w:asciiTheme="majorBidi" w:hAnsiTheme="majorBidi" w:cstheme="majorBidi"/>
        </w:rPr>
        <w:t xml:space="preserve"> U test, depending on the normality of the variable distribution.</w:t>
      </w:r>
    </w:p>
    <w:p w14:paraId="26797F97" w14:textId="40807C37" w:rsidR="00383B16" w:rsidRPr="00D04A3F" w:rsidRDefault="007541D4" w:rsidP="00F23E35">
      <w:pPr>
        <w:jc w:val="both"/>
        <w:rPr>
          <w:rFonts w:asciiTheme="majorBidi" w:hAnsiTheme="majorBidi" w:cstheme="majorBidi"/>
        </w:rPr>
      </w:pPr>
      <w:r w:rsidRPr="00D04A3F">
        <w:rPr>
          <w:rFonts w:asciiTheme="majorBidi" w:hAnsiTheme="majorBidi" w:cstheme="majorBidi"/>
        </w:rPr>
        <w:t xml:space="preserve">The effect size was calculated </w:t>
      </w:r>
      <w:r w:rsidRPr="00D04A3F">
        <w:rPr>
          <w:rFonts w:ascii="Times New Roman" w:eastAsia="Calibri" w:hAnsi="Times New Roman" w:cs="Times New Roman"/>
        </w:rPr>
        <w:t>via</w:t>
      </w:r>
      <w:r w:rsidRPr="00D04A3F">
        <w:rPr>
          <w:rFonts w:asciiTheme="majorBidi" w:hAnsiTheme="majorBidi" w:cstheme="majorBidi"/>
        </w:rPr>
        <w:t xml:space="preserve"> Cohen’s D. For scenarios involving participant dropout, sensitivity analysis was performed </w:t>
      </w:r>
      <w:r w:rsidRPr="00D04A3F">
        <w:rPr>
          <w:rFonts w:ascii="Times New Roman" w:eastAsia="Calibri" w:hAnsi="Times New Roman" w:cs="Times New Roman"/>
        </w:rPr>
        <w:t>via</w:t>
      </w:r>
      <w:r w:rsidRPr="00D04A3F">
        <w:rPr>
          <w:rFonts w:asciiTheme="majorBidi" w:hAnsiTheme="majorBidi" w:cstheme="majorBidi"/>
        </w:rPr>
        <w:t xml:space="preserve"> the best-case and worst-case scenarios to evaluate the impact of dropout on the study's final results.</w:t>
      </w:r>
    </w:p>
    <w:p w14:paraId="1E2090A9" w14:textId="1C2A246C" w:rsidR="00383B16" w:rsidRPr="00D04A3F" w:rsidRDefault="007541D4" w:rsidP="00F23E35">
      <w:pPr>
        <w:jc w:val="both"/>
        <w:rPr>
          <w:rFonts w:asciiTheme="majorBidi" w:hAnsiTheme="majorBidi" w:cstheme="majorBidi"/>
        </w:rPr>
      </w:pPr>
      <w:r w:rsidRPr="00D04A3F">
        <w:rPr>
          <w:rFonts w:asciiTheme="majorBidi" w:hAnsiTheme="majorBidi" w:cstheme="majorBidi"/>
        </w:rPr>
        <w:t xml:space="preserve">All </w:t>
      </w:r>
      <w:r w:rsidRPr="00D04A3F">
        <w:rPr>
          <w:rFonts w:ascii="Times New Roman" w:eastAsia="Calibri" w:hAnsi="Times New Roman" w:cs="Times New Roman"/>
        </w:rPr>
        <w:t xml:space="preserve">the </w:t>
      </w:r>
      <w:r w:rsidRPr="00D04A3F">
        <w:rPr>
          <w:rFonts w:asciiTheme="majorBidi" w:hAnsiTheme="majorBidi" w:cstheme="majorBidi"/>
        </w:rPr>
        <w:t>statistical tests were two-tailed, and a significance level of less than 0.05 was considered statistically significant.</w:t>
      </w:r>
    </w:p>
    <w:p w14:paraId="4C916B25" w14:textId="4F011FB2" w:rsidR="00383B16" w:rsidRDefault="00383B16" w:rsidP="00F23E35">
      <w:pPr>
        <w:jc w:val="both"/>
        <w:rPr>
          <w:rFonts w:asciiTheme="majorBidi" w:hAnsiTheme="majorBidi" w:cstheme="majorBidi"/>
        </w:rPr>
      </w:pPr>
    </w:p>
    <w:p w14:paraId="7929BFC2" w14:textId="77777777" w:rsidR="00EA1C72" w:rsidRPr="00D04A3F" w:rsidRDefault="00EA1C72" w:rsidP="00F23E35">
      <w:pPr>
        <w:jc w:val="both"/>
        <w:rPr>
          <w:rFonts w:asciiTheme="majorBidi" w:hAnsiTheme="majorBidi" w:cstheme="majorBidi"/>
        </w:rPr>
      </w:pPr>
    </w:p>
    <w:p w14:paraId="2A18443B" w14:textId="6D19C50F" w:rsidR="00383B16" w:rsidRPr="00D04A3F" w:rsidRDefault="00C4366B" w:rsidP="00F23E35">
      <w:pPr>
        <w:jc w:val="both"/>
        <w:rPr>
          <w:rFonts w:asciiTheme="majorBidi" w:hAnsiTheme="majorBidi" w:cstheme="majorBidi"/>
        </w:rPr>
      </w:pPr>
      <w:r w:rsidRPr="00D04A3F">
        <w:rPr>
          <w:rFonts w:asciiTheme="majorBidi" w:hAnsiTheme="majorBidi" w:cstheme="majorBidi"/>
          <w:b/>
          <w:bCs/>
        </w:rPr>
        <w:t>Results</w:t>
      </w:r>
    </w:p>
    <w:p w14:paraId="2FD43FF2" w14:textId="39E46712" w:rsidR="00440576" w:rsidRPr="00D04A3F" w:rsidRDefault="007541D4" w:rsidP="006666F4">
      <w:pPr>
        <w:jc w:val="both"/>
        <w:rPr>
          <w:rFonts w:asciiTheme="majorBidi" w:hAnsiTheme="majorBidi" w:cstheme="majorBidi"/>
          <w:bCs/>
        </w:rPr>
      </w:pPr>
      <w:r w:rsidRPr="00D04A3F">
        <w:rPr>
          <w:rFonts w:asciiTheme="majorBidi" w:hAnsiTheme="majorBidi" w:cstheme="majorBidi"/>
        </w:rPr>
        <w:t xml:space="preserve">This study was conducted with 100 participants who met the inclusion criteria. Among these, one participant from the intervention group and three participants from the control group withdrew from the study </w:t>
      </w:r>
      <w:r w:rsidRPr="00D04A3F">
        <w:rPr>
          <w:rFonts w:ascii="Times New Roman" w:eastAsia="Calibri" w:hAnsi="Times New Roman" w:cs="Times New Roman"/>
        </w:rPr>
        <w:t>because of</w:t>
      </w:r>
      <w:r w:rsidRPr="00D04A3F">
        <w:rPr>
          <w:rFonts w:asciiTheme="majorBidi" w:hAnsiTheme="majorBidi" w:cstheme="majorBidi"/>
        </w:rPr>
        <w:t xml:space="preserve"> a lack of interest in continuing with the intervention (Figure 1). The demographic information of the caregivers and patients </w:t>
      </w:r>
      <w:r w:rsidRPr="00D04A3F">
        <w:rPr>
          <w:rFonts w:ascii="Times New Roman" w:eastAsia="Calibri" w:hAnsi="Times New Roman" w:cs="Times New Roman"/>
        </w:rPr>
        <w:t>who participated</w:t>
      </w:r>
      <w:r w:rsidRPr="00D04A3F">
        <w:rPr>
          <w:rFonts w:asciiTheme="majorBidi" w:hAnsiTheme="majorBidi" w:cstheme="majorBidi"/>
        </w:rPr>
        <w:t xml:space="preserve"> in the study is presented in Table 2</w:t>
      </w:r>
      <w:r w:rsidR="005E300A" w:rsidRPr="00D04A3F">
        <w:rPr>
          <w:rFonts w:asciiTheme="majorBidi" w:hAnsiTheme="majorBidi" w:cstheme="majorBidi"/>
        </w:rPr>
        <w:t xml:space="preserve"> and 3</w:t>
      </w:r>
      <w:r w:rsidR="006666F4">
        <w:rPr>
          <w:rFonts w:asciiTheme="majorBidi" w:hAnsiTheme="majorBidi" w:cstheme="majorBidi"/>
        </w:rPr>
        <w:t>.</w:t>
      </w:r>
    </w:p>
    <w:p w14:paraId="5EBEBA1B" w14:textId="4F7C88FF" w:rsidR="00440576" w:rsidRDefault="00440576" w:rsidP="00F23E35">
      <w:pPr>
        <w:jc w:val="both"/>
        <w:rPr>
          <w:rFonts w:asciiTheme="majorBidi" w:hAnsiTheme="majorBidi" w:cstheme="majorBidi"/>
        </w:rPr>
      </w:pPr>
    </w:p>
    <w:p w14:paraId="77A074F3" w14:textId="61B39812" w:rsidR="00F70768" w:rsidRDefault="00F70768" w:rsidP="00F23E35">
      <w:pPr>
        <w:jc w:val="both"/>
        <w:rPr>
          <w:rFonts w:asciiTheme="majorBidi" w:hAnsiTheme="majorBidi" w:cstheme="majorBidi"/>
        </w:rPr>
      </w:pPr>
    </w:p>
    <w:p w14:paraId="73FD0C52" w14:textId="68E7DA2F" w:rsidR="00F70768" w:rsidRDefault="00F70768" w:rsidP="00F70768">
      <w:pPr>
        <w:jc w:val="both"/>
        <w:rPr>
          <w:rFonts w:ascii="Times New Roman" w:hAnsi="Times New Roman"/>
          <w:bCs/>
        </w:rPr>
      </w:pPr>
      <w:r w:rsidRPr="00D04A3F">
        <w:rPr>
          <w:rFonts w:ascii="Times New Roman" w:hAnsi="Times New Roman"/>
          <w:b/>
        </w:rPr>
        <w:t>Figure</w:t>
      </w:r>
      <w:r w:rsidRPr="00D04A3F">
        <w:rPr>
          <w:rFonts w:ascii="Times New Roman" w:eastAsia="Calibri" w:hAnsi="Times New Roman" w:cs="Arial"/>
          <w:b/>
        </w:rPr>
        <w:t xml:space="preserve"> </w:t>
      </w:r>
      <w:r w:rsidRPr="00D04A3F">
        <w:rPr>
          <w:rFonts w:ascii="Times New Roman" w:hAnsi="Times New Roman"/>
          <w:b/>
        </w:rPr>
        <w:t>1</w:t>
      </w:r>
      <w:r w:rsidRPr="00D04A3F">
        <w:rPr>
          <w:rFonts w:ascii="Times New Roman" w:hAnsi="Times New Roman"/>
          <w:bCs/>
        </w:rPr>
        <w:t xml:space="preserve"> </w:t>
      </w:r>
    </w:p>
    <w:p w14:paraId="5DD0E547" w14:textId="31F8CAF5" w:rsidR="00F70768" w:rsidRDefault="00F70768" w:rsidP="00F70768">
      <w:pPr>
        <w:jc w:val="both"/>
        <w:rPr>
          <w:rFonts w:ascii="Times New Roman" w:hAnsi="Times New Roman"/>
          <w:bCs/>
        </w:rPr>
      </w:pPr>
    </w:p>
    <w:p w14:paraId="73D99EBD" w14:textId="21AA217B" w:rsidR="00F70768" w:rsidRDefault="00F70768" w:rsidP="00F70768">
      <w:pPr>
        <w:spacing w:before="100" w:beforeAutospacing="1" w:after="100" w:afterAutospacing="1" w:line="240" w:lineRule="auto"/>
        <w:jc w:val="both"/>
        <w:rPr>
          <w:rFonts w:asciiTheme="majorBidi" w:eastAsia="Times New Roman" w:hAnsiTheme="majorBidi" w:cstheme="majorBidi"/>
          <w:b/>
          <w:bCs/>
          <w:kern w:val="0"/>
          <w14:ligatures w14:val="none"/>
        </w:rPr>
      </w:pPr>
      <w:r w:rsidRPr="00D04A3F">
        <w:rPr>
          <w:rFonts w:asciiTheme="majorBidi" w:eastAsia="Times New Roman" w:hAnsiTheme="majorBidi" w:cstheme="majorBidi"/>
          <w:b/>
          <w:bCs/>
          <w:kern w:val="0"/>
          <w14:ligatures w14:val="none"/>
        </w:rPr>
        <w:t xml:space="preserve">Table 2 </w:t>
      </w:r>
    </w:p>
    <w:p w14:paraId="065D241B" w14:textId="77777777" w:rsidR="00F70768" w:rsidRPr="00D04A3F" w:rsidRDefault="00F70768" w:rsidP="00F70768">
      <w:pPr>
        <w:spacing w:before="100" w:beforeAutospacing="1" w:after="100" w:afterAutospacing="1" w:line="240" w:lineRule="auto"/>
        <w:jc w:val="both"/>
        <w:rPr>
          <w:rFonts w:asciiTheme="majorBidi" w:eastAsia="Times New Roman" w:hAnsiTheme="majorBidi" w:cstheme="majorBidi"/>
          <w:kern w:val="0"/>
          <w14:ligatures w14:val="none"/>
        </w:rPr>
      </w:pPr>
    </w:p>
    <w:p w14:paraId="308EDDA4" w14:textId="4E05DD72" w:rsidR="00F70768" w:rsidRPr="00F70768" w:rsidRDefault="00F70768" w:rsidP="00F70768">
      <w:pPr>
        <w:spacing w:before="100" w:beforeAutospacing="1" w:after="100" w:afterAutospacing="1"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 xml:space="preserve">Table 3 </w:t>
      </w:r>
    </w:p>
    <w:p w14:paraId="41DDC5E0" w14:textId="77777777" w:rsidR="00F70768" w:rsidRPr="00F23E35" w:rsidRDefault="00F70768" w:rsidP="00F23E35">
      <w:pPr>
        <w:jc w:val="both"/>
        <w:rPr>
          <w:rFonts w:asciiTheme="majorBidi" w:hAnsiTheme="majorBidi" w:cstheme="majorBidi"/>
        </w:rPr>
      </w:pPr>
    </w:p>
    <w:p w14:paraId="1825B6D1" w14:textId="3B02C8C9" w:rsidR="00383B16" w:rsidRDefault="007541D4" w:rsidP="002A14A3">
      <w:pPr>
        <w:jc w:val="both"/>
        <w:rPr>
          <w:rFonts w:asciiTheme="majorBidi" w:hAnsiTheme="majorBidi" w:cstheme="majorBidi"/>
        </w:rPr>
      </w:pPr>
      <w:r w:rsidRPr="00D04A3F">
        <w:rPr>
          <w:rFonts w:asciiTheme="majorBidi" w:hAnsiTheme="majorBidi" w:cstheme="majorBidi"/>
        </w:rPr>
        <w:t>In the table</w:t>
      </w:r>
      <w:r w:rsidR="005E300A" w:rsidRPr="00D04A3F">
        <w:rPr>
          <w:rFonts w:asciiTheme="majorBidi" w:hAnsiTheme="majorBidi" w:cstheme="majorBidi"/>
        </w:rPr>
        <w:t>s</w:t>
      </w:r>
      <w:r w:rsidRPr="00D04A3F">
        <w:rPr>
          <w:rFonts w:asciiTheme="majorBidi" w:hAnsiTheme="majorBidi" w:cstheme="majorBidi"/>
        </w:rPr>
        <w:t xml:space="preserve"> above, the results of</w:t>
      </w:r>
      <w:r w:rsidR="005E300A" w:rsidRPr="00D04A3F">
        <w:rPr>
          <w:rFonts w:asciiTheme="majorBidi" w:eastAsia="Times New Roman" w:hAnsiTheme="majorBidi" w:cstheme="majorBidi"/>
          <w:kern w:val="0"/>
          <w14:ligatures w14:val="none"/>
        </w:rPr>
        <w:t xml:space="preserve"> </w:t>
      </w:r>
      <w:r w:rsidR="005E300A" w:rsidRPr="00D04A3F">
        <w:rPr>
          <w:rFonts w:asciiTheme="majorBidi" w:hAnsiTheme="majorBidi" w:cstheme="majorBidi"/>
        </w:rPr>
        <w:t>independent t-test</w:t>
      </w:r>
      <w:r w:rsidRPr="00D04A3F">
        <w:rPr>
          <w:rFonts w:asciiTheme="majorBidi" w:hAnsiTheme="majorBidi" w:cstheme="majorBidi"/>
        </w:rPr>
        <w:t xml:space="preserve"> </w:t>
      </w:r>
      <w:r w:rsidR="005E300A" w:rsidRPr="00D04A3F">
        <w:rPr>
          <w:rFonts w:asciiTheme="majorBidi" w:hAnsiTheme="majorBidi" w:cstheme="majorBidi"/>
        </w:rPr>
        <w:t xml:space="preserve">and </w:t>
      </w:r>
      <w:r w:rsidRPr="00D04A3F">
        <w:rPr>
          <w:rFonts w:asciiTheme="majorBidi" w:hAnsiTheme="majorBidi" w:cstheme="majorBidi"/>
        </w:rPr>
        <w:t>chi</w:t>
      </w:r>
      <w:r w:rsidR="005E300A" w:rsidRPr="00D04A3F">
        <w:rPr>
          <w:rFonts w:asciiTheme="majorBidi" w:hAnsiTheme="majorBidi" w:cstheme="majorBidi"/>
        </w:rPr>
        <w:t>-square test</w:t>
      </w:r>
      <w:r w:rsidRPr="00D04A3F">
        <w:rPr>
          <w:rFonts w:asciiTheme="majorBidi" w:hAnsiTheme="majorBidi" w:cstheme="majorBidi"/>
        </w:rPr>
        <w:t xml:space="preserve"> show that the two groups are homogeneous in terms of demographic characteristics, with no statistically significant differences between them (</w:t>
      </w:r>
      <w:r w:rsidRPr="002A14A3">
        <w:rPr>
          <w:rFonts w:asciiTheme="majorBidi" w:hAnsiTheme="majorBidi" w:cstheme="majorBidi"/>
          <w:i/>
          <w:iCs/>
        </w:rPr>
        <w:t xml:space="preserve">P </w:t>
      </w:r>
      <w:r w:rsidRPr="00D04A3F">
        <w:rPr>
          <w:rFonts w:asciiTheme="majorBidi" w:hAnsiTheme="majorBidi" w:cstheme="majorBidi"/>
        </w:rPr>
        <w:t>&gt; 0.05)</w:t>
      </w:r>
      <w:r w:rsidR="005E300A" w:rsidRPr="00D04A3F">
        <w:rPr>
          <w:rFonts w:asciiTheme="majorBidi" w:hAnsiTheme="majorBidi" w:cstheme="majorBidi"/>
        </w:rPr>
        <w:t xml:space="preserve"> (Table 2 and 3)</w:t>
      </w:r>
      <w:r w:rsidRPr="00D04A3F">
        <w:rPr>
          <w:rFonts w:asciiTheme="majorBidi" w:hAnsiTheme="majorBidi" w:cstheme="majorBidi"/>
        </w:rPr>
        <w:t xml:space="preserve">. The results presented in Table </w:t>
      </w:r>
      <w:r w:rsidR="005E300A" w:rsidRPr="00D04A3F">
        <w:rPr>
          <w:rFonts w:asciiTheme="majorBidi" w:hAnsiTheme="majorBidi" w:cstheme="majorBidi"/>
        </w:rPr>
        <w:t>4</w:t>
      </w:r>
      <w:r w:rsidRPr="00D04A3F">
        <w:rPr>
          <w:rFonts w:asciiTheme="majorBidi" w:hAnsiTheme="majorBidi" w:cstheme="majorBidi"/>
        </w:rPr>
        <w:t xml:space="preserve"> indicate that the mean resilience scores in the intervention and control groups before the intervention (</w:t>
      </w:r>
      <w:r w:rsidRPr="00D04A3F">
        <w:rPr>
          <w:rFonts w:asciiTheme="majorBidi" w:eastAsia="Calibri" w:hAnsiTheme="majorBidi" w:cstheme="majorBidi"/>
        </w:rPr>
        <w:t>pre</w:t>
      </w:r>
      <w:r w:rsidR="001265BF" w:rsidRPr="00D04A3F">
        <w:rPr>
          <w:rFonts w:asciiTheme="majorBidi" w:eastAsia="Calibri" w:hAnsiTheme="majorBidi" w:cstheme="majorBidi"/>
        </w:rPr>
        <w:t>-</w:t>
      </w:r>
      <w:r w:rsidRPr="00D04A3F">
        <w:rPr>
          <w:rFonts w:asciiTheme="majorBidi" w:eastAsia="Calibri" w:hAnsiTheme="majorBidi" w:cstheme="majorBidi"/>
        </w:rPr>
        <w:t>intervention</w:t>
      </w:r>
      <w:r w:rsidRPr="00D04A3F">
        <w:rPr>
          <w:rFonts w:asciiTheme="majorBidi" w:hAnsiTheme="majorBidi" w:cstheme="majorBidi"/>
        </w:rPr>
        <w:t xml:space="preserve">) were not significantly </w:t>
      </w:r>
      <w:r w:rsidRPr="00D04A3F">
        <w:rPr>
          <w:rFonts w:asciiTheme="majorBidi" w:hAnsiTheme="majorBidi" w:cstheme="majorBidi"/>
        </w:rPr>
        <w:lastRenderedPageBreak/>
        <w:t>different (</w:t>
      </w:r>
      <w:r w:rsidR="002A14A3" w:rsidRPr="002A14A3">
        <w:rPr>
          <w:rFonts w:asciiTheme="majorBidi" w:hAnsiTheme="majorBidi" w:cstheme="majorBidi"/>
          <w:i/>
          <w:iCs/>
        </w:rPr>
        <w:t>P</w:t>
      </w:r>
      <w:r w:rsidRPr="00D04A3F">
        <w:rPr>
          <w:rFonts w:asciiTheme="majorBidi" w:hAnsiTheme="majorBidi" w:cstheme="majorBidi"/>
        </w:rPr>
        <w:t xml:space="preserve"> = 0.58). However, the mean resilience scores in both groups </w:t>
      </w:r>
      <w:r w:rsidRPr="00D04A3F">
        <w:rPr>
          <w:rFonts w:asciiTheme="majorBidi" w:eastAsia="Calibri" w:hAnsiTheme="majorBidi" w:cstheme="majorBidi"/>
        </w:rPr>
        <w:t xml:space="preserve">significantly differed </w:t>
      </w:r>
      <w:r w:rsidRPr="00D04A3F">
        <w:rPr>
          <w:rFonts w:asciiTheme="majorBidi" w:hAnsiTheme="majorBidi" w:cstheme="majorBidi"/>
        </w:rPr>
        <w:t>after the intervention and at follow-up (</w:t>
      </w:r>
      <w:r w:rsidR="002A14A3" w:rsidRPr="002A14A3">
        <w:rPr>
          <w:rFonts w:asciiTheme="majorBidi" w:hAnsiTheme="majorBidi" w:cstheme="majorBidi"/>
          <w:i/>
          <w:iCs/>
        </w:rPr>
        <w:t>P</w:t>
      </w:r>
      <w:r w:rsidR="002A14A3">
        <w:rPr>
          <w:rFonts w:asciiTheme="majorBidi" w:hAnsiTheme="majorBidi" w:cstheme="majorBidi"/>
        </w:rPr>
        <w:t xml:space="preserve"> </w:t>
      </w:r>
      <w:r w:rsidRPr="00D04A3F">
        <w:rPr>
          <w:rFonts w:asciiTheme="majorBidi" w:hAnsiTheme="majorBidi" w:cstheme="majorBidi"/>
        </w:rPr>
        <w:t xml:space="preserve">&lt; 0.0001). According to the Friedman test results, the mean resilience scores in both groups at follow-up were significantly different </w:t>
      </w:r>
      <w:r w:rsidRPr="00D04A3F">
        <w:rPr>
          <w:rFonts w:asciiTheme="majorBidi" w:eastAsia="Calibri" w:hAnsiTheme="majorBidi" w:cstheme="majorBidi"/>
        </w:rPr>
        <w:t>from those in</w:t>
      </w:r>
      <w:r w:rsidRPr="00D04A3F">
        <w:rPr>
          <w:rFonts w:asciiTheme="majorBidi" w:hAnsiTheme="majorBidi" w:cstheme="majorBidi"/>
        </w:rPr>
        <w:t xml:space="preserve"> the </w:t>
      </w:r>
      <w:r w:rsidR="00885F80" w:rsidRPr="00D04A3F">
        <w:rPr>
          <w:rFonts w:asciiTheme="majorBidi" w:hAnsiTheme="majorBidi" w:cstheme="majorBidi"/>
        </w:rPr>
        <w:t>pre-and</w:t>
      </w:r>
      <w:r w:rsidRPr="00D04A3F">
        <w:rPr>
          <w:rFonts w:asciiTheme="majorBidi" w:hAnsiTheme="majorBidi" w:cstheme="majorBidi"/>
        </w:rPr>
        <w:t xml:space="preserve"> </w:t>
      </w:r>
      <w:r w:rsidRPr="00D04A3F">
        <w:rPr>
          <w:rFonts w:asciiTheme="majorBidi" w:eastAsia="Calibri" w:hAnsiTheme="majorBidi" w:cstheme="majorBidi"/>
        </w:rPr>
        <w:t>post</w:t>
      </w:r>
      <w:r w:rsidR="001265BF" w:rsidRPr="00D04A3F">
        <w:rPr>
          <w:rFonts w:asciiTheme="majorBidi" w:eastAsia="Calibri" w:hAnsiTheme="majorBidi" w:cstheme="majorBidi"/>
        </w:rPr>
        <w:t>-</w:t>
      </w:r>
      <w:r w:rsidRPr="00D04A3F">
        <w:rPr>
          <w:rFonts w:asciiTheme="majorBidi" w:eastAsia="Calibri" w:hAnsiTheme="majorBidi" w:cstheme="majorBidi"/>
        </w:rPr>
        <w:t>intervention</w:t>
      </w:r>
      <w:r w:rsidRPr="00D04A3F">
        <w:rPr>
          <w:rFonts w:asciiTheme="majorBidi" w:hAnsiTheme="majorBidi" w:cstheme="majorBidi"/>
        </w:rPr>
        <w:t xml:space="preserve"> phases (</w:t>
      </w:r>
      <w:r w:rsidR="002A14A3" w:rsidRPr="002A14A3">
        <w:rPr>
          <w:rFonts w:asciiTheme="majorBidi" w:hAnsiTheme="majorBidi" w:cstheme="majorBidi"/>
          <w:i/>
          <w:iCs/>
        </w:rPr>
        <w:t>P</w:t>
      </w:r>
      <w:r w:rsidR="002A14A3">
        <w:rPr>
          <w:rFonts w:asciiTheme="majorBidi" w:hAnsiTheme="majorBidi" w:cstheme="majorBidi"/>
        </w:rPr>
        <w:t xml:space="preserve"> </w:t>
      </w:r>
      <w:r w:rsidRPr="00D04A3F">
        <w:rPr>
          <w:rFonts w:asciiTheme="majorBidi" w:hAnsiTheme="majorBidi" w:cstheme="majorBidi"/>
        </w:rPr>
        <w:t xml:space="preserve">&lt; 0.05). The repeated measures test </w:t>
      </w:r>
      <w:r w:rsidRPr="00D04A3F">
        <w:rPr>
          <w:rFonts w:asciiTheme="majorBidi" w:eastAsia="Calibri" w:hAnsiTheme="majorBidi" w:cstheme="majorBidi"/>
        </w:rPr>
        <w:t>revealed</w:t>
      </w:r>
      <w:r w:rsidRPr="00D04A3F">
        <w:rPr>
          <w:rFonts w:asciiTheme="majorBidi" w:hAnsiTheme="majorBidi" w:cstheme="majorBidi"/>
        </w:rPr>
        <w:t xml:space="preserve"> that the intervention </w:t>
      </w:r>
      <w:r w:rsidR="00885F80" w:rsidRPr="00D04A3F">
        <w:rPr>
          <w:rFonts w:asciiTheme="majorBidi" w:hAnsiTheme="majorBidi" w:cstheme="majorBidi"/>
        </w:rPr>
        <w:t>significantly affected</w:t>
      </w:r>
      <w:r w:rsidRPr="00D04A3F">
        <w:rPr>
          <w:rFonts w:asciiTheme="majorBidi" w:hAnsiTheme="majorBidi" w:cstheme="majorBidi"/>
        </w:rPr>
        <w:t xml:space="preserve"> the resilience scores at three different time points in both the intervention and control groups, </w:t>
      </w:r>
      <w:r w:rsidRPr="00D04A3F">
        <w:rPr>
          <w:rFonts w:asciiTheme="majorBidi" w:eastAsia="Calibri" w:hAnsiTheme="majorBidi" w:cstheme="majorBidi"/>
        </w:rPr>
        <w:t>indicating that</w:t>
      </w:r>
      <w:r w:rsidRPr="00D04A3F">
        <w:rPr>
          <w:rFonts w:asciiTheme="majorBidi" w:hAnsiTheme="majorBidi" w:cstheme="majorBidi"/>
        </w:rPr>
        <w:t xml:space="preserve"> the intervention significantly improved </w:t>
      </w:r>
      <w:r w:rsidRPr="00D04A3F">
        <w:rPr>
          <w:rFonts w:asciiTheme="majorBidi" w:eastAsia="Calibri" w:hAnsiTheme="majorBidi" w:cstheme="majorBidi"/>
        </w:rPr>
        <w:t xml:space="preserve">the </w:t>
      </w:r>
      <w:r w:rsidRPr="00D04A3F">
        <w:rPr>
          <w:rFonts w:asciiTheme="majorBidi" w:hAnsiTheme="majorBidi" w:cstheme="majorBidi"/>
        </w:rPr>
        <w:t>resilience scores (</w:t>
      </w:r>
      <w:r w:rsidR="002A14A3" w:rsidRPr="002A14A3">
        <w:rPr>
          <w:rFonts w:asciiTheme="majorBidi" w:hAnsiTheme="majorBidi" w:cstheme="majorBidi"/>
          <w:i/>
          <w:iCs/>
        </w:rPr>
        <w:t>P</w:t>
      </w:r>
      <w:r w:rsidR="002A14A3">
        <w:rPr>
          <w:rFonts w:asciiTheme="majorBidi" w:hAnsiTheme="majorBidi" w:cstheme="majorBidi"/>
        </w:rPr>
        <w:t xml:space="preserve"> </w:t>
      </w:r>
      <w:r w:rsidRPr="00D04A3F">
        <w:rPr>
          <w:rFonts w:asciiTheme="majorBidi" w:hAnsiTheme="majorBidi" w:cstheme="majorBidi"/>
        </w:rPr>
        <w:t>&lt; 0.0001).</w:t>
      </w:r>
    </w:p>
    <w:p w14:paraId="2E130801" w14:textId="77777777" w:rsidR="00D04A3F" w:rsidRPr="00D04A3F" w:rsidRDefault="00D04A3F" w:rsidP="005E300A">
      <w:pPr>
        <w:jc w:val="both"/>
        <w:rPr>
          <w:rFonts w:asciiTheme="majorBidi" w:hAnsiTheme="majorBidi" w:cstheme="majorBidi"/>
        </w:rPr>
      </w:pPr>
    </w:p>
    <w:p w14:paraId="07B85447" w14:textId="520D3AF3" w:rsidR="00F70768" w:rsidRDefault="007541D4" w:rsidP="00F70768">
      <w:pPr>
        <w:spacing w:before="100" w:beforeAutospacing="1" w:after="100" w:afterAutospacing="1"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 xml:space="preserve">Table </w:t>
      </w:r>
      <w:r w:rsidR="005E300A" w:rsidRPr="00D04A3F">
        <w:rPr>
          <w:rFonts w:asciiTheme="majorBidi" w:eastAsia="Times New Roman" w:hAnsiTheme="majorBidi" w:cstheme="majorBidi"/>
          <w:b/>
          <w:bCs/>
          <w:kern w:val="0"/>
          <w14:ligatures w14:val="none"/>
        </w:rPr>
        <w:t>4</w:t>
      </w:r>
      <w:r w:rsidRPr="00D04A3F">
        <w:rPr>
          <w:rFonts w:asciiTheme="majorBidi" w:eastAsia="Times New Roman" w:hAnsiTheme="majorBidi" w:cstheme="majorBidi"/>
          <w:b/>
          <w:bCs/>
          <w:kern w:val="0"/>
          <w14:ligatures w14:val="none"/>
        </w:rPr>
        <w:t xml:space="preserve"> </w:t>
      </w:r>
    </w:p>
    <w:p w14:paraId="442398F9" w14:textId="77777777" w:rsidR="00F70768" w:rsidRDefault="00F70768" w:rsidP="00F70768">
      <w:pPr>
        <w:spacing w:before="100" w:beforeAutospacing="1" w:after="100" w:afterAutospacing="1" w:line="240" w:lineRule="auto"/>
        <w:jc w:val="both"/>
        <w:rPr>
          <w:rFonts w:asciiTheme="majorBidi" w:eastAsia="Times New Roman" w:hAnsiTheme="majorBidi" w:cstheme="majorBidi"/>
          <w:b/>
          <w:bCs/>
          <w:kern w:val="0"/>
          <w14:ligatures w14:val="none"/>
        </w:rPr>
      </w:pPr>
    </w:p>
    <w:p w14:paraId="510EECE5" w14:textId="609B62A1" w:rsidR="00383B16" w:rsidRPr="00D04A3F" w:rsidRDefault="007541D4" w:rsidP="00F70768">
      <w:pPr>
        <w:spacing w:before="100" w:beforeAutospacing="1" w:after="100" w:afterAutospacing="1"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Discussion</w:t>
      </w:r>
    </w:p>
    <w:p w14:paraId="44A2FA10" w14:textId="55216369" w:rsidR="00383B16" w:rsidRPr="00D04A3F" w:rsidRDefault="007541D4" w:rsidP="006B171C">
      <w:pPr>
        <w:spacing w:before="100" w:beforeAutospacing="1" w:after="100" w:afterAutospacing="1"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 xml:space="preserve">The findings of the present study indicate that the resilience enhancement program implemented in this study was effective and led to an increase in resilience and related skills among caregivers of cancer patients. In this </w:t>
      </w:r>
      <w:r w:rsidRPr="00D04A3F">
        <w:rPr>
          <w:rFonts w:asciiTheme="majorBidi" w:eastAsia="Times New Roman" w:hAnsiTheme="majorBidi" w:cstheme="majorBidi"/>
          <w:kern w:val="0"/>
        </w:rPr>
        <w:t>context</w:t>
      </w:r>
      <w:r w:rsidRPr="00D04A3F">
        <w:rPr>
          <w:rFonts w:asciiTheme="majorBidi" w:eastAsia="Times New Roman" w:hAnsiTheme="majorBidi" w:cstheme="majorBidi"/>
          <w:kern w:val="0"/>
          <w14:ligatures w14:val="none"/>
        </w:rPr>
        <w:t xml:space="preserve">, Lim HA et al. conducted a study to determine the impact of group psychological support on the quality of life of caregivers of cancer patients attending outpatient centers in Singapore. In this study, a program called COPE was designed for caregivers of cancer patients. Fifty-six caregivers in the intervention group participated in weekly sessions for 4 weeks, during which they were educated </w:t>
      </w:r>
      <w:r w:rsidRPr="00D04A3F">
        <w:rPr>
          <w:rFonts w:asciiTheme="majorBidi" w:eastAsia="Times New Roman" w:hAnsiTheme="majorBidi" w:cstheme="majorBidi"/>
          <w:kern w:val="0"/>
        </w:rPr>
        <w:t>via</w:t>
      </w:r>
      <w:r w:rsidRPr="00D04A3F">
        <w:rPr>
          <w:rFonts w:asciiTheme="majorBidi" w:eastAsia="Times New Roman" w:hAnsiTheme="majorBidi" w:cstheme="majorBidi"/>
          <w:kern w:val="0"/>
          <w14:ligatures w14:val="none"/>
        </w:rPr>
        <w:t xml:space="preserve"> the COPE educational package. The content of this package included strategies for coping with difficult situations, emotional expression methods, and resources for seeking support. The results revealed a significant improvement in quality of life, particularly in </w:t>
      </w:r>
      <w:r w:rsidRPr="00D04A3F">
        <w:rPr>
          <w:rFonts w:asciiTheme="majorBidi" w:eastAsia="Times New Roman" w:hAnsiTheme="majorBidi" w:cstheme="majorBidi"/>
          <w:kern w:val="0"/>
        </w:rPr>
        <w:t>terms of the</w:t>
      </w:r>
      <w:r w:rsidRPr="00D04A3F">
        <w:rPr>
          <w:rFonts w:asciiTheme="majorBidi" w:eastAsia="Times New Roman" w:hAnsiTheme="majorBidi" w:cstheme="majorBidi"/>
          <w:kern w:val="0"/>
          <w14:ligatures w14:val="none"/>
        </w:rPr>
        <w:t xml:space="preserve"> burden</w:t>
      </w:r>
      <w:r w:rsidRPr="00D04A3F">
        <w:rPr>
          <w:rFonts w:asciiTheme="majorBidi" w:eastAsia="Times New Roman" w:hAnsiTheme="majorBidi" w:cstheme="majorBidi"/>
          <w:kern w:val="0"/>
        </w:rPr>
        <w:t xml:space="preserve"> of caregiving</w:t>
      </w:r>
      <w:r w:rsidR="00C82F0C" w:rsidRPr="00D04A3F">
        <w:rPr>
          <w:rFonts w:asciiTheme="majorBidi" w:eastAsia="Times New Roman" w:hAnsiTheme="majorBidi" w:cstheme="majorBidi"/>
          <w:kern w:val="0"/>
          <w14:ligatures w14:val="none"/>
        </w:rPr>
        <w:t>, among the intervention group</w:t>
      </w:r>
      <w:r w:rsidRPr="00D04A3F">
        <w:rPr>
          <w:rFonts w:asciiTheme="majorBidi" w:eastAsia="Times New Roman" w:hAnsiTheme="majorBidi" w:cstheme="majorBidi"/>
          <w:kern w:val="0"/>
          <w14:ligatures w14:val="none"/>
        </w:rPr>
        <w:t>.</w:t>
      </w:r>
      <w:r w:rsidR="00C82F0C" w:rsidRPr="00D04A3F">
        <w:rPr>
          <w:rFonts w:asciiTheme="majorBidi" w:eastAsia="Times New Roman" w:hAnsiTheme="majorBidi" w:cstheme="majorBidi"/>
          <w:kern w:val="0"/>
          <w:vertAlign w:val="superscript"/>
          <w14:ligatures w14:val="none"/>
        </w:rPr>
        <w:t>32</w:t>
      </w:r>
      <w:r w:rsidRPr="00D04A3F">
        <w:rPr>
          <w:rFonts w:asciiTheme="majorBidi" w:eastAsia="Times New Roman" w:hAnsiTheme="majorBidi" w:cstheme="majorBidi"/>
          <w:kern w:val="0"/>
          <w14:ligatures w14:val="none"/>
        </w:rPr>
        <w:t xml:space="preserve"> Although the variable measured in this study, unlike the present study, was the quality of life of caregivers, it highlights that when one family member becomes ill, the entire family is affected. Caregivers play a key role in the care and improvement of </w:t>
      </w:r>
      <w:r w:rsidR="00983946" w:rsidRPr="00D04A3F">
        <w:rPr>
          <w:rFonts w:asciiTheme="majorBidi" w:eastAsia="Times New Roman" w:hAnsiTheme="majorBidi" w:cstheme="majorBidi"/>
          <w:kern w:val="0"/>
          <w14:ligatures w14:val="none"/>
        </w:rPr>
        <w:t xml:space="preserve">a </w:t>
      </w:r>
      <w:r w:rsidR="00983946" w:rsidRPr="00D04A3F">
        <w:rPr>
          <w:rFonts w:asciiTheme="majorBidi" w:eastAsia="Times New Roman" w:hAnsiTheme="majorBidi" w:cstheme="majorBidi"/>
          <w:kern w:val="0"/>
        </w:rPr>
        <w:t>patient’s</w:t>
      </w:r>
      <w:r w:rsidRPr="00D04A3F">
        <w:rPr>
          <w:rFonts w:asciiTheme="majorBidi" w:eastAsia="Times New Roman" w:hAnsiTheme="majorBidi" w:cstheme="majorBidi"/>
          <w:kern w:val="0"/>
          <w14:ligatures w14:val="none"/>
        </w:rPr>
        <w:t xml:space="preserve"> quality of life. Therefore, </w:t>
      </w:r>
      <w:r w:rsidR="00983946" w:rsidRPr="00D04A3F">
        <w:rPr>
          <w:rFonts w:asciiTheme="majorBidi" w:eastAsia="Times New Roman" w:hAnsiTheme="majorBidi" w:cstheme="majorBidi"/>
          <w:kern w:val="0"/>
          <w14:ligatures w14:val="none"/>
        </w:rPr>
        <w:t>caregivers must maintain</w:t>
      </w:r>
      <w:r w:rsidRPr="00D04A3F">
        <w:rPr>
          <w:rFonts w:asciiTheme="majorBidi" w:eastAsia="Times New Roman" w:hAnsiTheme="majorBidi" w:cstheme="majorBidi"/>
          <w:kern w:val="0"/>
          <w14:ligatures w14:val="none"/>
        </w:rPr>
        <w:t xml:space="preserve"> optimal physical and mental health to perform their roles effectively, which emphasizes the need for continuous education and empowerment programs for these individuals.</w:t>
      </w:r>
    </w:p>
    <w:p w14:paraId="3B600EBB" w14:textId="75084304" w:rsidR="00383B16" w:rsidRPr="00D04A3F" w:rsidRDefault="007541D4" w:rsidP="00C82F0C">
      <w:pPr>
        <w:spacing w:before="100" w:beforeAutospacing="1" w:after="100" w:afterAutospacing="1"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 xml:space="preserve">Aghakhani et al. conducted a study to assess the impact of WhatsApp-based patient care training on the resilience of family caregivers of cancer patients. In this study, the intervention consisted of educational sessions on methods to </w:t>
      </w:r>
      <w:r w:rsidRPr="00D04A3F">
        <w:rPr>
          <w:rFonts w:asciiTheme="majorBidi" w:eastAsia="Times New Roman" w:hAnsiTheme="majorBidi" w:cstheme="majorBidi"/>
          <w:kern w:val="0"/>
        </w:rPr>
        <w:t>increase the</w:t>
      </w:r>
      <w:r w:rsidRPr="00D04A3F">
        <w:rPr>
          <w:rFonts w:asciiTheme="majorBidi" w:eastAsia="Times New Roman" w:hAnsiTheme="majorBidi" w:cstheme="majorBidi"/>
          <w:kern w:val="0"/>
          <w14:ligatures w14:val="none"/>
        </w:rPr>
        <w:t xml:space="preserve"> resilience </w:t>
      </w:r>
      <w:r w:rsidRPr="00D04A3F">
        <w:rPr>
          <w:rFonts w:asciiTheme="majorBidi" w:eastAsia="Times New Roman" w:hAnsiTheme="majorBidi" w:cstheme="majorBidi"/>
          <w:kern w:val="0"/>
        </w:rPr>
        <w:t>of</w:t>
      </w:r>
      <w:r w:rsidRPr="00D04A3F">
        <w:rPr>
          <w:rFonts w:asciiTheme="majorBidi" w:eastAsia="Times New Roman" w:hAnsiTheme="majorBidi" w:cstheme="majorBidi"/>
          <w:kern w:val="0"/>
          <w14:ligatures w14:val="none"/>
        </w:rPr>
        <w:t xml:space="preserve"> family caregivers. The sessions were conducted as </w:t>
      </w:r>
      <w:r w:rsidRPr="00D04A3F">
        <w:rPr>
          <w:rFonts w:asciiTheme="majorBidi" w:eastAsia="Times New Roman" w:hAnsiTheme="majorBidi" w:cstheme="majorBidi"/>
          <w:kern w:val="0"/>
        </w:rPr>
        <w:t>4–6</w:t>
      </w:r>
      <w:r w:rsidRPr="00D04A3F">
        <w:rPr>
          <w:rFonts w:asciiTheme="majorBidi" w:eastAsia="Times New Roman" w:hAnsiTheme="majorBidi" w:cstheme="majorBidi"/>
          <w:kern w:val="0"/>
          <w14:ligatures w14:val="none"/>
        </w:rPr>
        <w:t xml:space="preserve"> dedicated sessions totaling 90 minutes for the experimental group. The sessions used WhatsApp as a platform, where content was delivered through audio recordings and PDF educational booklets. The educational content included </w:t>
      </w:r>
      <w:r w:rsidRPr="00D04A3F">
        <w:rPr>
          <w:rFonts w:asciiTheme="majorBidi" w:eastAsia="Times New Roman" w:hAnsiTheme="majorBidi" w:cstheme="majorBidi"/>
          <w:kern w:val="0"/>
        </w:rPr>
        <w:t>methods for enhancing resilience</w:t>
      </w:r>
      <w:r w:rsidRPr="00D04A3F">
        <w:rPr>
          <w:rFonts w:asciiTheme="majorBidi" w:eastAsia="Times New Roman" w:hAnsiTheme="majorBidi" w:cstheme="majorBidi"/>
          <w:kern w:val="0"/>
          <w14:ligatures w14:val="none"/>
        </w:rPr>
        <w:t xml:space="preserve"> in physical, mental, spiritual, and emotional components</w:t>
      </w:r>
      <w:r w:rsidRPr="00D04A3F">
        <w:rPr>
          <w:rFonts w:asciiTheme="majorBidi" w:eastAsia="Times New Roman" w:hAnsiTheme="majorBidi" w:cstheme="majorBidi"/>
          <w:kern w:val="0"/>
        </w:rPr>
        <w:t>;</w:t>
      </w:r>
      <w:r w:rsidRPr="00D04A3F">
        <w:rPr>
          <w:rFonts w:asciiTheme="majorBidi" w:eastAsia="Times New Roman" w:hAnsiTheme="majorBidi" w:cstheme="majorBidi"/>
          <w:kern w:val="0"/>
          <w14:ligatures w14:val="none"/>
        </w:rPr>
        <w:t xml:space="preserve"> patient care</w:t>
      </w:r>
      <w:r w:rsidRPr="00D04A3F">
        <w:rPr>
          <w:rFonts w:asciiTheme="majorBidi" w:eastAsia="Times New Roman" w:hAnsiTheme="majorBidi" w:cstheme="majorBidi"/>
          <w:kern w:val="0"/>
        </w:rPr>
        <w:t>;</w:t>
      </w:r>
      <w:r w:rsidRPr="00D04A3F">
        <w:rPr>
          <w:rFonts w:asciiTheme="majorBidi" w:eastAsia="Times New Roman" w:hAnsiTheme="majorBidi" w:cstheme="majorBidi"/>
          <w:kern w:val="0"/>
          <w14:ligatures w14:val="none"/>
        </w:rPr>
        <w:t xml:space="preserve"> and follow-up care. After one month, both groups completed the questionnaires again. The results </w:t>
      </w:r>
      <w:r w:rsidRPr="00D04A3F">
        <w:rPr>
          <w:rFonts w:asciiTheme="majorBidi" w:eastAsia="Times New Roman" w:hAnsiTheme="majorBidi" w:cstheme="majorBidi"/>
          <w:kern w:val="0"/>
        </w:rPr>
        <w:t>revealed</w:t>
      </w:r>
      <w:r w:rsidRPr="00D04A3F">
        <w:rPr>
          <w:rFonts w:asciiTheme="majorBidi" w:eastAsia="Times New Roman" w:hAnsiTheme="majorBidi" w:cstheme="majorBidi"/>
          <w:kern w:val="0"/>
          <w14:ligatures w14:val="none"/>
        </w:rPr>
        <w:t xml:space="preserve"> a significant difference in the resilience of caregivers in the experimental group compared </w:t>
      </w:r>
      <w:r w:rsidRPr="00D04A3F">
        <w:rPr>
          <w:rFonts w:asciiTheme="majorBidi" w:eastAsia="Times New Roman" w:hAnsiTheme="majorBidi" w:cstheme="majorBidi"/>
          <w:kern w:val="0"/>
        </w:rPr>
        <w:t>with</w:t>
      </w:r>
      <w:r w:rsidRPr="00D04A3F">
        <w:rPr>
          <w:rFonts w:asciiTheme="majorBidi" w:eastAsia="Times New Roman" w:hAnsiTheme="majorBidi" w:cstheme="majorBidi"/>
          <w:kern w:val="0"/>
          <w14:ligatures w14:val="none"/>
        </w:rPr>
        <w:t xml:space="preserve"> the contr</w:t>
      </w:r>
      <w:r w:rsidR="00C82F0C" w:rsidRPr="00D04A3F">
        <w:rPr>
          <w:rFonts w:asciiTheme="majorBidi" w:eastAsia="Times New Roman" w:hAnsiTheme="majorBidi" w:cstheme="majorBidi"/>
          <w:kern w:val="0"/>
          <w14:ligatures w14:val="none"/>
        </w:rPr>
        <w:t>ol group after the intervention</w:t>
      </w:r>
      <w:r w:rsidRPr="00D04A3F">
        <w:rPr>
          <w:rFonts w:asciiTheme="majorBidi" w:eastAsia="Times New Roman" w:hAnsiTheme="majorBidi" w:cstheme="majorBidi"/>
          <w:kern w:val="0"/>
          <w14:ligatures w14:val="none"/>
        </w:rPr>
        <w:t>.</w:t>
      </w:r>
      <w:r w:rsidR="00C82F0C" w:rsidRPr="00D04A3F">
        <w:rPr>
          <w:rFonts w:asciiTheme="majorBidi" w:eastAsia="Times New Roman" w:hAnsiTheme="majorBidi" w:cstheme="majorBidi"/>
          <w:kern w:val="0"/>
          <w:vertAlign w:val="superscript"/>
          <w14:ligatures w14:val="none"/>
        </w:rPr>
        <w:t>33</w:t>
      </w:r>
      <w:r w:rsidRPr="00D04A3F">
        <w:rPr>
          <w:rFonts w:asciiTheme="majorBidi" w:eastAsia="Times New Roman" w:hAnsiTheme="majorBidi" w:cstheme="majorBidi"/>
          <w:kern w:val="0"/>
          <w14:ligatures w14:val="none"/>
        </w:rPr>
        <w:t xml:space="preserve"> Although this study utilized different methods to </w:t>
      </w:r>
      <w:r w:rsidRPr="00D04A3F">
        <w:rPr>
          <w:rFonts w:asciiTheme="majorBidi" w:eastAsia="Times New Roman" w:hAnsiTheme="majorBidi" w:cstheme="majorBidi"/>
          <w:kern w:val="0"/>
        </w:rPr>
        <w:t>increase</w:t>
      </w:r>
      <w:r w:rsidRPr="00D04A3F">
        <w:rPr>
          <w:rFonts w:asciiTheme="majorBidi" w:eastAsia="Times New Roman" w:hAnsiTheme="majorBidi" w:cstheme="majorBidi"/>
          <w:kern w:val="0"/>
          <w14:ligatures w14:val="none"/>
        </w:rPr>
        <w:t xml:space="preserve"> caregiver resilience, it shares a commonality with the present study in its use of virtual education platforms for caregiver support. Virtual education has several advantages over face-to-face education, including reduced travel costs, attention to the audience's needs, easy access to various resources, the ability to record and track activities, high-speed information updates, and 24/7 availability. The widespread use of smartphones has also made the implementation of virtual education easier. This </w:t>
      </w:r>
      <w:r w:rsidRPr="00D04A3F">
        <w:rPr>
          <w:rFonts w:asciiTheme="majorBidi" w:eastAsia="Times New Roman" w:hAnsiTheme="majorBidi" w:cstheme="majorBidi"/>
          <w:kern w:val="0"/>
        </w:rPr>
        <w:t>finding was</w:t>
      </w:r>
      <w:r w:rsidRPr="00D04A3F">
        <w:rPr>
          <w:rFonts w:asciiTheme="majorBidi" w:eastAsia="Times New Roman" w:hAnsiTheme="majorBidi" w:cstheme="majorBidi"/>
          <w:kern w:val="0"/>
          <w14:ligatures w14:val="none"/>
        </w:rPr>
        <w:t xml:space="preserve"> confirm</w:t>
      </w:r>
      <w:r w:rsidR="00C82F0C" w:rsidRPr="00D04A3F">
        <w:rPr>
          <w:rFonts w:asciiTheme="majorBidi" w:eastAsia="Times New Roman" w:hAnsiTheme="majorBidi" w:cstheme="majorBidi"/>
          <w:kern w:val="0"/>
          <w14:ligatures w14:val="none"/>
        </w:rPr>
        <w:t xml:space="preserve">ed by Shin et al. </w:t>
      </w:r>
      <w:r w:rsidRPr="00D04A3F">
        <w:rPr>
          <w:rFonts w:asciiTheme="majorBidi" w:eastAsia="Times New Roman" w:hAnsiTheme="majorBidi" w:cstheme="majorBidi"/>
          <w:kern w:val="0"/>
          <w14:ligatures w14:val="none"/>
        </w:rPr>
        <w:t xml:space="preserve">in their study in the USA, which aimed </w:t>
      </w:r>
      <w:r w:rsidRPr="00D04A3F">
        <w:rPr>
          <w:rFonts w:asciiTheme="majorBidi" w:eastAsia="Times New Roman" w:hAnsiTheme="majorBidi" w:cstheme="majorBidi"/>
          <w:kern w:val="0"/>
        </w:rPr>
        <w:t>to increase</w:t>
      </w:r>
      <w:r w:rsidRPr="00D04A3F">
        <w:rPr>
          <w:rFonts w:asciiTheme="majorBidi" w:eastAsia="Times New Roman" w:hAnsiTheme="majorBidi" w:cstheme="majorBidi"/>
          <w:kern w:val="0"/>
          <w14:ligatures w14:val="none"/>
        </w:rPr>
        <w:t xml:space="preserve"> resilience and </w:t>
      </w:r>
      <w:r w:rsidRPr="00D04A3F">
        <w:rPr>
          <w:rFonts w:asciiTheme="majorBidi" w:eastAsia="Times New Roman" w:hAnsiTheme="majorBidi" w:cstheme="majorBidi"/>
          <w:kern w:val="0"/>
        </w:rPr>
        <w:t>reduce</w:t>
      </w:r>
      <w:r w:rsidRPr="00D04A3F">
        <w:rPr>
          <w:rFonts w:asciiTheme="majorBidi" w:eastAsia="Times New Roman" w:hAnsiTheme="majorBidi" w:cstheme="majorBidi"/>
          <w:kern w:val="0"/>
          <w14:ligatures w14:val="none"/>
        </w:rPr>
        <w:t xml:space="preserve"> distress in family caregivers of cancer patient</w:t>
      </w:r>
      <w:r w:rsidR="00C82F0C" w:rsidRPr="00D04A3F">
        <w:rPr>
          <w:rFonts w:asciiTheme="majorBidi" w:eastAsia="Times New Roman" w:hAnsiTheme="majorBidi" w:cstheme="majorBidi"/>
          <w:kern w:val="0"/>
          <w14:ligatures w14:val="none"/>
        </w:rPr>
        <w:t>s through online interventions.</w:t>
      </w:r>
      <w:r w:rsidR="00C82F0C" w:rsidRPr="00D04A3F">
        <w:rPr>
          <w:rFonts w:asciiTheme="majorBidi" w:eastAsia="Times New Roman" w:hAnsiTheme="majorBidi" w:cstheme="majorBidi"/>
          <w:kern w:val="0"/>
          <w:vertAlign w:val="superscript"/>
          <w14:ligatures w14:val="none"/>
        </w:rPr>
        <w:t xml:space="preserve">34 </w:t>
      </w:r>
      <w:r w:rsidRPr="00D04A3F">
        <w:rPr>
          <w:rFonts w:asciiTheme="majorBidi" w:eastAsia="Times New Roman" w:hAnsiTheme="majorBidi" w:cstheme="majorBidi"/>
          <w:kern w:val="0"/>
          <w14:ligatures w14:val="none"/>
        </w:rPr>
        <w:t xml:space="preserve">The study </w:t>
      </w:r>
      <w:r w:rsidRPr="00D04A3F">
        <w:rPr>
          <w:rFonts w:asciiTheme="majorBidi" w:eastAsia="Times New Roman" w:hAnsiTheme="majorBidi" w:cstheme="majorBidi"/>
          <w:kern w:val="0"/>
        </w:rPr>
        <w:t>revealed</w:t>
      </w:r>
      <w:r w:rsidRPr="00D04A3F">
        <w:rPr>
          <w:rFonts w:asciiTheme="majorBidi" w:eastAsia="Times New Roman" w:hAnsiTheme="majorBidi" w:cstheme="majorBidi"/>
          <w:kern w:val="0"/>
          <w14:ligatures w14:val="none"/>
        </w:rPr>
        <w:t xml:space="preserve"> that information support, positive activities, and social support through web-based tools, mobile applications, and social media networks can provide a new environment for caregivers to connect with others in similar situations, thereby enhancing their resilience.</w:t>
      </w:r>
    </w:p>
    <w:p w14:paraId="6F21EA62" w14:textId="442C94C9" w:rsidR="00383B16" w:rsidRPr="00D04A3F" w:rsidRDefault="007541D4" w:rsidP="006B171C">
      <w:pPr>
        <w:spacing w:before="100" w:beforeAutospacing="1" w:after="100" w:afterAutospacing="1"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lastRenderedPageBreak/>
        <w:t>Nainggolan et al. conducted a study to investigate the impact of social care-based training on reducing the caregiving burden in families of children with cancer. This quasi</w:t>
      </w:r>
      <w:r w:rsidR="00B76E59" w:rsidRPr="00D04A3F">
        <w:rPr>
          <w:rFonts w:asciiTheme="majorBidi" w:eastAsia="Times New Roman" w:hAnsiTheme="majorBidi" w:cstheme="majorBidi"/>
          <w:kern w:val="0"/>
          <w14:ligatures w14:val="none"/>
        </w:rPr>
        <w:t xml:space="preserve">-experimental study used a pre </w:t>
      </w:r>
      <w:r w:rsidRPr="00D04A3F">
        <w:rPr>
          <w:rFonts w:asciiTheme="majorBidi" w:eastAsia="Times New Roman" w:hAnsiTheme="majorBidi" w:cstheme="majorBidi"/>
          <w:kern w:val="0"/>
          <w14:ligatures w14:val="none"/>
        </w:rPr>
        <w:t>and pos</w:t>
      </w:r>
      <w:r w:rsidR="00B76E59" w:rsidRPr="00D04A3F">
        <w:rPr>
          <w:rFonts w:asciiTheme="majorBidi" w:eastAsia="Times New Roman" w:hAnsiTheme="majorBidi" w:cstheme="majorBidi"/>
          <w:kern w:val="0"/>
          <w14:ligatures w14:val="none"/>
        </w:rPr>
        <w:t>t-</w:t>
      </w:r>
      <w:r w:rsidRPr="00D04A3F">
        <w:rPr>
          <w:rFonts w:asciiTheme="majorBidi" w:eastAsia="Times New Roman" w:hAnsiTheme="majorBidi" w:cstheme="majorBidi"/>
          <w:kern w:val="0"/>
          <w14:ligatures w14:val="none"/>
        </w:rPr>
        <w:t xml:space="preserve">test design. The 90-minute sessions included content on the definition of caregiving stress, resilience concepts, benefits of resilience for caregivers of chronic illnesses, stress and anxiety control methods, coping strategies with life crises, self-regulation during caregiving, and the role of spirituality in caregiving. The results </w:t>
      </w:r>
      <w:r w:rsidRPr="00D04A3F">
        <w:rPr>
          <w:rFonts w:asciiTheme="majorBidi" w:eastAsia="Times New Roman" w:hAnsiTheme="majorBidi" w:cstheme="majorBidi"/>
          <w:kern w:val="0"/>
        </w:rPr>
        <w:t>revealed</w:t>
      </w:r>
      <w:r w:rsidRPr="00D04A3F">
        <w:rPr>
          <w:rFonts w:asciiTheme="majorBidi" w:eastAsia="Times New Roman" w:hAnsiTheme="majorBidi" w:cstheme="majorBidi"/>
          <w:kern w:val="0"/>
          <w14:ligatures w14:val="none"/>
        </w:rPr>
        <w:t xml:space="preserve"> a significant increase in caregivers' k</w:t>
      </w:r>
      <w:r w:rsidR="00C82F0C" w:rsidRPr="00D04A3F">
        <w:rPr>
          <w:rFonts w:asciiTheme="majorBidi" w:eastAsia="Times New Roman" w:hAnsiTheme="majorBidi" w:cstheme="majorBidi"/>
          <w:kern w:val="0"/>
          <w14:ligatures w14:val="none"/>
        </w:rPr>
        <w:t>nowledge after the intervention.</w:t>
      </w:r>
      <w:r w:rsidR="00C82F0C" w:rsidRPr="00D04A3F">
        <w:rPr>
          <w:rFonts w:asciiTheme="majorBidi" w:eastAsia="Times New Roman" w:hAnsiTheme="majorBidi" w:cstheme="majorBidi"/>
          <w:kern w:val="0"/>
          <w:vertAlign w:val="superscript"/>
          <w14:ligatures w14:val="none"/>
        </w:rPr>
        <w:t>35</w:t>
      </w:r>
      <w:r w:rsidRPr="00D04A3F">
        <w:rPr>
          <w:rFonts w:asciiTheme="majorBidi" w:eastAsia="Times New Roman" w:hAnsiTheme="majorBidi" w:cstheme="majorBidi"/>
          <w:kern w:val="0"/>
          <w14:ligatures w14:val="none"/>
        </w:rPr>
        <w:t xml:space="preserve"> This study highlights a specific knowledge gap among caregivers of cancer patients. If caregivers lack adequate knowledge about how to care for and support their patients, they may face significant challenges, such as family isolation, inadequate patient care, and eventually </w:t>
      </w:r>
      <w:r w:rsidRPr="00D04A3F">
        <w:rPr>
          <w:rFonts w:asciiTheme="majorBidi" w:eastAsia="Times New Roman" w:hAnsiTheme="majorBidi" w:cstheme="majorBidi"/>
          <w:kern w:val="0"/>
        </w:rPr>
        <w:t>the abandonment of patients</w:t>
      </w:r>
      <w:r w:rsidRPr="00D04A3F">
        <w:rPr>
          <w:rFonts w:asciiTheme="majorBidi" w:eastAsia="Times New Roman" w:hAnsiTheme="majorBidi" w:cstheme="majorBidi"/>
          <w:kern w:val="0"/>
          <w14:ligatures w14:val="none"/>
        </w:rPr>
        <w:t xml:space="preserve">. This knowledge gap was addressed in the current study, which focused on enhancing caregivers' knowledge </w:t>
      </w:r>
      <w:r w:rsidRPr="00D04A3F">
        <w:rPr>
          <w:rFonts w:asciiTheme="majorBidi" w:eastAsia="Times New Roman" w:hAnsiTheme="majorBidi" w:cstheme="majorBidi"/>
          <w:kern w:val="0"/>
        </w:rPr>
        <w:t>of</w:t>
      </w:r>
      <w:r w:rsidRPr="00D04A3F">
        <w:rPr>
          <w:rFonts w:asciiTheme="majorBidi" w:eastAsia="Times New Roman" w:hAnsiTheme="majorBidi" w:cstheme="majorBidi"/>
          <w:kern w:val="0"/>
          <w14:ligatures w14:val="none"/>
        </w:rPr>
        <w:t xml:space="preserve"> various aspects of patient care, leading to favorable results.</w:t>
      </w:r>
    </w:p>
    <w:p w14:paraId="03299243" w14:textId="3D38CCF8" w:rsidR="00383B16" w:rsidRPr="00D04A3F" w:rsidRDefault="007541D4" w:rsidP="006B171C">
      <w:pPr>
        <w:spacing w:before="100" w:beforeAutospacing="1" w:after="100" w:afterAutospacing="1"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 xml:space="preserve">Chen et al. conducted a study to assess the impact of family resilience on social support and individual resilience in couples </w:t>
      </w:r>
      <w:r w:rsidRPr="00D04A3F">
        <w:rPr>
          <w:rFonts w:asciiTheme="majorBidi" w:eastAsia="Times New Roman" w:hAnsiTheme="majorBidi" w:cstheme="majorBidi"/>
          <w:kern w:val="0"/>
        </w:rPr>
        <w:t>in which</w:t>
      </w:r>
      <w:r w:rsidRPr="00D04A3F">
        <w:rPr>
          <w:rFonts w:asciiTheme="majorBidi" w:eastAsia="Times New Roman" w:hAnsiTheme="majorBidi" w:cstheme="majorBidi"/>
          <w:kern w:val="0"/>
          <w14:ligatures w14:val="none"/>
        </w:rPr>
        <w:t xml:space="preserve"> one partner had cancer. This descriptive-analytical study involved cancer patients and their spouses who completed questionnaires assessing family resilience, social support, and individual resilience. The findings revealed that cancer patients whose spouses </w:t>
      </w:r>
      <w:r w:rsidRPr="00D04A3F">
        <w:rPr>
          <w:rFonts w:asciiTheme="majorBidi" w:eastAsia="Times New Roman" w:hAnsiTheme="majorBidi" w:cstheme="majorBidi"/>
          <w:kern w:val="0"/>
        </w:rPr>
        <w:t>presented</w:t>
      </w:r>
      <w:r w:rsidRPr="00D04A3F">
        <w:rPr>
          <w:rFonts w:asciiTheme="majorBidi" w:eastAsia="Times New Roman" w:hAnsiTheme="majorBidi" w:cstheme="majorBidi"/>
          <w:kern w:val="0"/>
          <w14:ligatures w14:val="none"/>
        </w:rPr>
        <w:t xml:space="preserve"> higher resilience levels also </w:t>
      </w:r>
      <w:r w:rsidRPr="00D04A3F">
        <w:rPr>
          <w:rFonts w:asciiTheme="majorBidi" w:eastAsia="Times New Roman" w:hAnsiTheme="majorBidi" w:cstheme="majorBidi"/>
          <w:kern w:val="0"/>
        </w:rPr>
        <w:t>presented</w:t>
      </w:r>
      <w:r w:rsidRPr="00D04A3F">
        <w:rPr>
          <w:rFonts w:asciiTheme="majorBidi" w:eastAsia="Times New Roman" w:hAnsiTheme="majorBidi" w:cstheme="majorBidi"/>
          <w:kern w:val="0"/>
          <w14:ligatures w14:val="none"/>
        </w:rPr>
        <w:t xml:space="preserve"> significantly higher levels of resilience themselves. This reflects the interactive relationship between the psychological state of the caregiver and the patient, where the caregiver's psychological well-being directly impacts the patient. Furthermore, the study </w:t>
      </w:r>
      <w:r w:rsidRPr="00D04A3F">
        <w:rPr>
          <w:rFonts w:asciiTheme="majorBidi" w:eastAsia="Times New Roman" w:hAnsiTheme="majorBidi" w:cstheme="majorBidi"/>
          <w:kern w:val="0"/>
        </w:rPr>
        <w:t>revealed</w:t>
      </w:r>
      <w:r w:rsidRPr="00D04A3F">
        <w:rPr>
          <w:rFonts w:asciiTheme="majorBidi" w:eastAsia="Times New Roman" w:hAnsiTheme="majorBidi" w:cstheme="majorBidi"/>
          <w:kern w:val="0"/>
          <w14:ligatures w14:val="none"/>
        </w:rPr>
        <w:t xml:space="preserve"> a positive correlation between increased family resilience and perceived social support, both directly and indirectly </w:t>
      </w:r>
      <w:r w:rsidR="001B64E2" w:rsidRPr="00D04A3F">
        <w:rPr>
          <w:rFonts w:asciiTheme="majorBidi" w:eastAsia="Times New Roman" w:hAnsiTheme="majorBidi" w:cstheme="majorBidi"/>
          <w:kern w:val="0"/>
          <w14:ligatures w14:val="none"/>
        </w:rPr>
        <w:t>enhancing individual resilience</w:t>
      </w:r>
      <w:r w:rsidRPr="00D04A3F">
        <w:rPr>
          <w:rFonts w:asciiTheme="majorBidi" w:eastAsia="Times New Roman" w:hAnsiTheme="majorBidi" w:cstheme="majorBidi"/>
          <w:kern w:val="0"/>
          <w14:ligatures w14:val="none"/>
        </w:rPr>
        <w:t>.</w:t>
      </w:r>
      <w:r w:rsidR="001B64E2" w:rsidRPr="00D04A3F">
        <w:rPr>
          <w:rFonts w:asciiTheme="majorBidi" w:eastAsia="Times New Roman" w:hAnsiTheme="majorBidi" w:cstheme="majorBidi"/>
          <w:kern w:val="0"/>
          <w:vertAlign w:val="superscript"/>
          <w14:ligatures w14:val="none"/>
        </w:rPr>
        <w:t>36</w:t>
      </w:r>
      <w:r w:rsidRPr="00D04A3F">
        <w:rPr>
          <w:rFonts w:asciiTheme="majorBidi" w:eastAsia="Times New Roman" w:hAnsiTheme="majorBidi" w:cstheme="majorBidi"/>
          <w:kern w:val="0"/>
          <w:vertAlign w:val="superscript"/>
          <w14:ligatures w14:val="none"/>
        </w:rPr>
        <w:t xml:space="preserve"> </w:t>
      </w:r>
      <w:r w:rsidRPr="00D04A3F">
        <w:rPr>
          <w:rFonts w:asciiTheme="majorBidi" w:eastAsia="Times New Roman" w:hAnsiTheme="majorBidi" w:cstheme="majorBidi"/>
          <w:kern w:val="0"/>
          <w14:ligatures w14:val="none"/>
        </w:rPr>
        <w:t>Although this study did not directly intervene with caregivers of cancer patients, its findings are highly relevant. As previously mentioned, informal caregivers, typically family members, face numerous challenges due to the long duration of care and the pressures involved. Interventions for caregivers are essential, as neglecting them can worsen the patient's situation and perpetuate a negative cycle in the family. Therefore, it is important to implement necessary interventions to prevent such crises.</w:t>
      </w:r>
    </w:p>
    <w:p w14:paraId="41EDEEF5" w14:textId="12B41731" w:rsidR="00F9317D" w:rsidRPr="00D04A3F" w:rsidRDefault="007541D4" w:rsidP="00C82F0C">
      <w:pPr>
        <w:spacing w:before="100" w:beforeAutospacing="1" w:after="100" w:afterAutospacing="1"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Conclusion</w:t>
      </w:r>
      <w:r w:rsidRPr="00D04A3F">
        <w:rPr>
          <w:rFonts w:asciiTheme="majorBidi" w:eastAsia="Times New Roman" w:hAnsiTheme="majorBidi" w:cstheme="majorBidi"/>
          <w:kern w:val="0"/>
          <w14:ligatures w14:val="none"/>
        </w:rPr>
        <w:br/>
        <w:t xml:space="preserve">The results of this study </w:t>
      </w:r>
      <w:r w:rsidRPr="00D04A3F">
        <w:rPr>
          <w:rFonts w:asciiTheme="majorBidi" w:eastAsia="Times New Roman" w:hAnsiTheme="majorBidi" w:cstheme="majorBidi"/>
          <w:kern w:val="0"/>
        </w:rPr>
        <w:t>revealed</w:t>
      </w:r>
      <w:r w:rsidRPr="00D04A3F">
        <w:rPr>
          <w:rFonts w:asciiTheme="majorBidi" w:eastAsia="Times New Roman" w:hAnsiTheme="majorBidi" w:cstheme="majorBidi"/>
          <w:kern w:val="0"/>
          <w14:ligatures w14:val="none"/>
        </w:rPr>
        <w:t xml:space="preserve"> that the implementation of </w:t>
      </w:r>
      <w:r w:rsidRPr="00D04A3F">
        <w:rPr>
          <w:rFonts w:asciiTheme="majorBidi" w:eastAsia="Times New Roman" w:hAnsiTheme="majorBidi" w:cstheme="majorBidi"/>
          <w:kern w:val="0"/>
        </w:rPr>
        <w:t>a</w:t>
      </w:r>
      <w:r w:rsidRPr="00D04A3F">
        <w:rPr>
          <w:rFonts w:asciiTheme="majorBidi" w:eastAsia="Times New Roman" w:hAnsiTheme="majorBidi" w:cstheme="majorBidi"/>
          <w:kern w:val="0"/>
          <w14:ligatures w14:val="none"/>
        </w:rPr>
        <w:t xml:space="preserve"> social support program </w:t>
      </w:r>
      <w:r w:rsidRPr="00D04A3F">
        <w:rPr>
          <w:rFonts w:asciiTheme="majorBidi" w:eastAsia="Times New Roman" w:hAnsiTheme="majorBidi" w:cstheme="majorBidi"/>
          <w:kern w:val="0"/>
        </w:rPr>
        <w:t>effectively improved</w:t>
      </w:r>
      <w:r w:rsidRPr="00D04A3F">
        <w:rPr>
          <w:rFonts w:asciiTheme="majorBidi" w:eastAsia="Times New Roman" w:hAnsiTheme="majorBidi" w:cstheme="majorBidi"/>
          <w:kern w:val="0"/>
          <w14:ligatures w14:val="none"/>
        </w:rPr>
        <w:t xml:space="preserve"> the resilience of informal caregivers of cancer patients. As discussed, cancer has specific characteristics that affect both </w:t>
      </w:r>
      <w:r w:rsidRPr="00D04A3F">
        <w:rPr>
          <w:rFonts w:asciiTheme="majorBidi" w:eastAsia="Times New Roman" w:hAnsiTheme="majorBidi" w:cstheme="majorBidi"/>
          <w:kern w:val="0"/>
        </w:rPr>
        <w:t>patients</w:t>
      </w:r>
      <w:r w:rsidRPr="00D04A3F">
        <w:rPr>
          <w:rFonts w:asciiTheme="majorBidi" w:eastAsia="Times New Roman" w:hAnsiTheme="majorBidi" w:cstheme="majorBidi"/>
          <w:kern w:val="0"/>
          <w14:ligatures w14:val="none"/>
        </w:rPr>
        <w:t xml:space="preserve"> and their </w:t>
      </w:r>
      <w:r w:rsidRPr="00D04A3F">
        <w:rPr>
          <w:rFonts w:asciiTheme="majorBidi" w:eastAsia="Times New Roman" w:hAnsiTheme="majorBidi" w:cstheme="majorBidi"/>
          <w:kern w:val="0"/>
        </w:rPr>
        <w:t>families</w:t>
      </w:r>
      <w:r w:rsidRPr="00D04A3F">
        <w:rPr>
          <w:rFonts w:asciiTheme="majorBidi" w:eastAsia="Times New Roman" w:hAnsiTheme="majorBidi" w:cstheme="majorBidi"/>
          <w:kern w:val="0"/>
          <w14:ligatures w14:val="none"/>
        </w:rPr>
        <w:t xml:space="preserve">, who play a key role in caregiving. Addressing the needs of these caregivers, especially in terms of resilience, can lead to improvements in the psychological well-being of both the caregivers and the patients. The implementation of support programs helped improve the resilience and mental health of this group, enabling them to adapt </w:t>
      </w:r>
      <w:r w:rsidRPr="00D04A3F">
        <w:rPr>
          <w:rFonts w:asciiTheme="majorBidi" w:eastAsia="Times New Roman" w:hAnsiTheme="majorBidi" w:cstheme="majorBidi"/>
          <w:kern w:val="0"/>
        </w:rPr>
        <w:t xml:space="preserve">better </w:t>
      </w:r>
      <w:r w:rsidRPr="00D04A3F">
        <w:rPr>
          <w:rFonts w:asciiTheme="majorBidi" w:eastAsia="Times New Roman" w:hAnsiTheme="majorBidi" w:cstheme="majorBidi"/>
          <w:kern w:val="0"/>
          <w14:ligatures w14:val="none"/>
        </w:rPr>
        <w:t xml:space="preserve">to </w:t>
      </w:r>
      <w:r w:rsidRPr="00D04A3F">
        <w:rPr>
          <w:rFonts w:asciiTheme="majorBidi" w:eastAsia="Times New Roman" w:hAnsiTheme="majorBidi" w:cstheme="majorBidi"/>
          <w:kern w:val="0"/>
        </w:rPr>
        <w:t>these</w:t>
      </w:r>
      <w:r w:rsidRPr="00D04A3F">
        <w:rPr>
          <w:rFonts w:asciiTheme="majorBidi" w:eastAsia="Times New Roman" w:hAnsiTheme="majorBidi" w:cstheme="majorBidi"/>
          <w:kern w:val="0"/>
          <w14:ligatures w14:val="none"/>
        </w:rPr>
        <w:t xml:space="preserve"> conditions, ultimately leading to improved care for patients. Given the chronic nature of cancer, </w:t>
      </w:r>
      <w:r w:rsidRPr="00D04A3F">
        <w:rPr>
          <w:rFonts w:asciiTheme="majorBidi" w:eastAsia="Times New Roman" w:hAnsiTheme="majorBidi" w:cstheme="majorBidi"/>
          <w:kern w:val="0"/>
        </w:rPr>
        <w:t>the introduction of a</w:t>
      </w:r>
      <w:r w:rsidRPr="00D04A3F">
        <w:rPr>
          <w:rFonts w:asciiTheme="majorBidi" w:eastAsia="Times New Roman" w:hAnsiTheme="majorBidi" w:cstheme="majorBidi"/>
          <w:kern w:val="0"/>
          <w14:ligatures w14:val="none"/>
        </w:rPr>
        <w:t xml:space="preserve"> social support program for informal caregivers as a protocol in healthcare centers</w:t>
      </w:r>
      <w:r w:rsidRPr="00D04A3F">
        <w:rPr>
          <w:rFonts w:asciiTheme="majorBidi" w:eastAsia="Times New Roman" w:hAnsiTheme="majorBidi" w:cstheme="majorBidi"/>
          <w:kern w:val="0"/>
        </w:rPr>
        <w:t xml:space="preserve"> is recommended</w:t>
      </w:r>
      <w:r w:rsidRPr="00D04A3F">
        <w:rPr>
          <w:rFonts w:asciiTheme="majorBidi" w:eastAsia="Times New Roman" w:hAnsiTheme="majorBidi" w:cstheme="majorBidi"/>
          <w:kern w:val="0"/>
          <w14:ligatures w14:val="none"/>
        </w:rPr>
        <w:t>, thereby enhancing the quality of care provided to cancer patients.</w:t>
      </w:r>
    </w:p>
    <w:p w14:paraId="0979812A" w14:textId="055B3A3B" w:rsidR="009C2506" w:rsidRPr="00D04A3F" w:rsidRDefault="00F9317D" w:rsidP="00EB736F">
      <w:pPr>
        <w:spacing w:before="100" w:beforeAutospacing="1" w:after="100" w:afterAutospacing="1"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Acknowledgments</w:t>
      </w:r>
      <w:r w:rsidR="00862E48" w:rsidRPr="00D04A3F">
        <w:rPr>
          <w:rFonts w:asciiTheme="majorBidi" w:eastAsia="Times New Roman" w:hAnsiTheme="majorBidi" w:cstheme="majorBidi"/>
          <w:kern w:val="0"/>
          <w14:ligatures w14:val="none"/>
        </w:rPr>
        <w:t xml:space="preserve"> </w:t>
      </w:r>
      <w:r w:rsidRPr="00D04A3F">
        <w:rPr>
          <w:rFonts w:asciiTheme="majorBidi" w:eastAsia="Times New Roman" w:hAnsiTheme="majorBidi" w:cstheme="majorBidi"/>
          <w:kern w:val="0"/>
          <w14:ligatures w14:val="none"/>
        </w:rPr>
        <w:t>We appreciate the cooperation of Dr. Shariati Hospital in Tehran for their assistance in the execution of this study. We are grateful for the cooperation of the patients who participated in the study and wish them all health and continued success.</w:t>
      </w:r>
    </w:p>
    <w:p w14:paraId="603D5922" w14:textId="391E01C6" w:rsidR="00C4366B" w:rsidRPr="00D04A3F" w:rsidRDefault="00C82F0C" w:rsidP="00862E48">
      <w:pPr>
        <w:spacing w:before="100" w:beforeAutospacing="1" w:after="100" w:afterAutospacing="1" w:line="240" w:lineRule="auto"/>
        <w:jc w:val="both"/>
        <w:rPr>
          <w:rFonts w:asciiTheme="majorBidi" w:eastAsia="Times New Roman" w:hAnsiTheme="majorBidi" w:cstheme="majorBidi"/>
          <w:b/>
          <w:bCs/>
          <w:kern w:val="0"/>
          <w14:ligatures w14:val="none"/>
        </w:rPr>
      </w:pPr>
      <w:r w:rsidRPr="00D04A3F">
        <w:rPr>
          <w:rFonts w:asciiTheme="majorBidi" w:eastAsia="Times New Roman" w:hAnsiTheme="majorBidi" w:cstheme="majorBidi"/>
          <w:b/>
          <w:bCs/>
          <w:kern w:val="0"/>
          <w14:ligatures w14:val="none"/>
        </w:rPr>
        <w:t>C</w:t>
      </w:r>
      <w:r w:rsidR="009C2506" w:rsidRPr="00D04A3F">
        <w:rPr>
          <w:rFonts w:asciiTheme="majorBidi" w:eastAsia="Times New Roman" w:hAnsiTheme="majorBidi" w:cstheme="majorBidi"/>
          <w:b/>
          <w:bCs/>
          <w:kern w:val="0"/>
          <w14:ligatures w14:val="none"/>
        </w:rPr>
        <w:t xml:space="preserve">ontribution </w:t>
      </w:r>
      <w:r w:rsidR="00EB736F" w:rsidRPr="00D04A3F">
        <w:rPr>
          <w:rFonts w:asciiTheme="majorBidi" w:eastAsia="Times New Roman" w:hAnsiTheme="majorBidi" w:cstheme="majorBidi"/>
          <w:kern w:val="0"/>
          <w14:ligatures w14:val="none"/>
        </w:rPr>
        <w:t xml:space="preserve">Research idea and study design: </w:t>
      </w:r>
      <w:r w:rsidR="00B41E95" w:rsidRPr="00D04A3F">
        <w:rPr>
          <w:rFonts w:asciiTheme="majorBidi" w:hAnsiTheme="majorBidi" w:cstheme="majorBidi"/>
        </w:rPr>
        <w:t>Sarieh Poortaghi</w:t>
      </w:r>
      <w:r w:rsidR="002F5977" w:rsidRPr="00D04A3F">
        <w:rPr>
          <w:rFonts w:asciiTheme="majorBidi" w:eastAsia="Times New Roman" w:hAnsiTheme="majorBidi" w:cstheme="majorBidi"/>
          <w:kern w:val="0"/>
          <w14:ligatures w14:val="none"/>
        </w:rPr>
        <w:t xml:space="preserve">, </w:t>
      </w:r>
      <w:r w:rsidR="00B41E95" w:rsidRPr="00D04A3F">
        <w:rPr>
          <w:rFonts w:asciiTheme="majorBidi" w:hAnsiTheme="majorBidi" w:cstheme="majorBidi"/>
        </w:rPr>
        <w:t>Nasrin Nikpeyma</w:t>
      </w:r>
      <w:r w:rsidR="00EB736F" w:rsidRPr="00D04A3F">
        <w:rPr>
          <w:rFonts w:asciiTheme="majorBidi" w:eastAsia="Times New Roman" w:hAnsiTheme="majorBidi" w:cstheme="majorBidi"/>
          <w:kern w:val="0"/>
          <w14:ligatures w14:val="none"/>
        </w:rPr>
        <w:t>,</w:t>
      </w:r>
      <w:r w:rsidR="002F5977" w:rsidRPr="00D04A3F">
        <w:rPr>
          <w:rFonts w:asciiTheme="majorBidi" w:eastAsia="Times New Roman" w:hAnsiTheme="majorBidi" w:cstheme="majorBidi"/>
          <w:kern w:val="0"/>
          <w14:ligatures w14:val="none"/>
        </w:rPr>
        <w:t xml:space="preserve"> </w:t>
      </w:r>
      <w:r w:rsidR="00B41E95" w:rsidRPr="00D04A3F">
        <w:rPr>
          <w:rFonts w:asciiTheme="majorBidi" w:hAnsiTheme="majorBidi" w:cstheme="majorBidi"/>
        </w:rPr>
        <w:t>María Dolores. Ruiz-Fernández</w:t>
      </w:r>
      <w:r w:rsidR="002F5977" w:rsidRPr="00D04A3F">
        <w:rPr>
          <w:rFonts w:asciiTheme="majorBidi" w:eastAsia="Times New Roman" w:hAnsiTheme="majorBidi" w:cstheme="majorBidi"/>
          <w:kern w:val="0"/>
          <w14:ligatures w14:val="none"/>
        </w:rPr>
        <w:t>,</w:t>
      </w:r>
      <w:r w:rsidR="00B41E95" w:rsidRPr="00D04A3F">
        <w:rPr>
          <w:rFonts w:asciiTheme="majorBidi" w:eastAsia="Times New Roman" w:hAnsiTheme="majorBidi" w:cstheme="majorBidi"/>
          <w:kern w:val="0"/>
          <w14:ligatures w14:val="none"/>
        </w:rPr>
        <w:t xml:space="preserve"> </w:t>
      </w:r>
      <w:r w:rsidR="00B41E95" w:rsidRPr="00D04A3F">
        <w:rPr>
          <w:rFonts w:asciiTheme="majorBidi" w:hAnsiTheme="majorBidi" w:cstheme="majorBidi"/>
        </w:rPr>
        <w:t>Hossein Kamran Zadeh Fumani</w:t>
      </w:r>
      <w:r w:rsidR="00D9635B" w:rsidRPr="00D04A3F">
        <w:rPr>
          <w:rFonts w:asciiTheme="majorBidi" w:eastAsia="Times New Roman" w:hAnsiTheme="majorBidi" w:cstheme="majorBidi"/>
          <w:kern w:val="0"/>
          <w14:ligatures w14:val="none"/>
        </w:rPr>
        <w:t xml:space="preserve">, </w:t>
      </w:r>
      <w:r w:rsidR="00B41E95" w:rsidRPr="00D04A3F">
        <w:rPr>
          <w:rFonts w:asciiTheme="majorBidi" w:hAnsiTheme="majorBidi" w:cstheme="majorBidi"/>
        </w:rPr>
        <w:t>Farshad Sharifi</w:t>
      </w:r>
      <w:r w:rsidR="002F5977" w:rsidRPr="00D04A3F">
        <w:rPr>
          <w:rFonts w:asciiTheme="majorBidi" w:eastAsia="Times New Roman" w:hAnsiTheme="majorBidi" w:cstheme="majorBidi"/>
          <w:kern w:val="0"/>
          <w14:ligatures w14:val="none"/>
        </w:rPr>
        <w:t xml:space="preserve">, </w:t>
      </w:r>
      <w:r w:rsidR="00B41E95" w:rsidRPr="00D04A3F">
        <w:rPr>
          <w:rFonts w:asciiTheme="majorBidi" w:hAnsiTheme="majorBidi" w:cstheme="majorBidi"/>
        </w:rPr>
        <w:t>Masoomeh Yousefvand</w:t>
      </w:r>
      <w:r w:rsidR="00EB736F" w:rsidRPr="00D04A3F">
        <w:rPr>
          <w:rFonts w:asciiTheme="majorBidi" w:eastAsia="Times New Roman" w:hAnsiTheme="majorBidi" w:cstheme="majorBidi"/>
          <w:kern w:val="0"/>
          <w14:ligatures w14:val="none"/>
        </w:rPr>
        <w:t xml:space="preserve">; data acquisition: </w:t>
      </w:r>
      <w:r w:rsidR="00B41E95" w:rsidRPr="00D04A3F">
        <w:rPr>
          <w:rFonts w:asciiTheme="majorBidi" w:hAnsiTheme="majorBidi" w:cstheme="majorBidi"/>
        </w:rPr>
        <w:t>Masoomeh Yousefvand</w:t>
      </w:r>
      <w:r w:rsidR="00B41E95" w:rsidRPr="00D04A3F">
        <w:rPr>
          <w:rFonts w:asciiTheme="majorBidi" w:eastAsia="Times New Roman" w:hAnsiTheme="majorBidi" w:cstheme="majorBidi"/>
          <w:kern w:val="0"/>
          <w14:ligatures w14:val="none"/>
        </w:rPr>
        <w:t>,</w:t>
      </w:r>
      <w:r w:rsidR="00B41E95" w:rsidRPr="00D04A3F">
        <w:rPr>
          <w:rFonts w:asciiTheme="majorBidi" w:hAnsiTheme="majorBidi" w:cstheme="majorBidi"/>
        </w:rPr>
        <w:t xml:space="preserve"> Hossein Poorcheraghi</w:t>
      </w:r>
      <w:r w:rsidR="00EB736F" w:rsidRPr="00D04A3F">
        <w:rPr>
          <w:rFonts w:asciiTheme="majorBidi" w:eastAsia="Times New Roman" w:hAnsiTheme="majorBidi" w:cstheme="majorBidi"/>
          <w:kern w:val="0"/>
          <w14:ligatures w14:val="none"/>
        </w:rPr>
        <w:t xml:space="preserve">; data analysis/interpretation: </w:t>
      </w:r>
      <w:r w:rsidR="00B41E95" w:rsidRPr="00D04A3F">
        <w:rPr>
          <w:rFonts w:asciiTheme="majorBidi" w:hAnsiTheme="majorBidi" w:cstheme="majorBidi"/>
        </w:rPr>
        <w:t>Farshad Sharifi</w:t>
      </w:r>
      <w:r w:rsidR="00EB736F" w:rsidRPr="00D04A3F">
        <w:rPr>
          <w:rFonts w:asciiTheme="majorBidi" w:eastAsia="Times New Roman" w:hAnsiTheme="majorBidi" w:cstheme="majorBidi"/>
          <w:kern w:val="0"/>
          <w14:ligatures w14:val="none"/>
        </w:rPr>
        <w:t xml:space="preserve">; drafting the article: </w:t>
      </w:r>
      <w:r w:rsidR="00B41E95" w:rsidRPr="00D04A3F">
        <w:rPr>
          <w:rFonts w:asciiTheme="majorBidi" w:hAnsiTheme="majorBidi" w:cstheme="majorBidi"/>
        </w:rPr>
        <w:t>Sarieh Poortaghi</w:t>
      </w:r>
      <w:r w:rsidR="002F5977" w:rsidRPr="00D04A3F">
        <w:rPr>
          <w:rFonts w:asciiTheme="majorBidi" w:eastAsia="Times New Roman" w:hAnsiTheme="majorBidi" w:cstheme="majorBidi"/>
          <w:kern w:val="0"/>
          <w14:ligatures w14:val="none"/>
        </w:rPr>
        <w:t xml:space="preserve">, </w:t>
      </w:r>
      <w:r w:rsidR="00B41E95" w:rsidRPr="00D04A3F">
        <w:rPr>
          <w:rFonts w:asciiTheme="majorBidi" w:hAnsiTheme="majorBidi" w:cstheme="majorBidi"/>
        </w:rPr>
        <w:t>Nasrin Nikpeyma</w:t>
      </w:r>
      <w:r w:rsidR="002F5977" w:rsidRPr="00D04A3F">
        <w:rPr>
          <w:rFonts w:asciiTheme="majorBidi" w:eastAsia="Times New Roman" w:hAnsiTheme="majorBidi" w:cstheme="majorBidi"/>
          <w:kern w:val="0"/>
          <w14:ligatures w14:val="none"/>
        </w:rPr>
        <w:t xml:space="preserve">, </w:t>
      </w:r>
      <w:r w:rsidR="00B41E95" w:rsidRPr="00D04A3F">
        <w:rPr>
          <w:rFonts w:asciiTheme="majorBidi" w:hAnsiTheme="majorBidi" w:cstheme="majorBidi"/>
        </w:rPr>
        <w:t>María Dolores. Ruiz-Fernández</w:t>
      </w:r>
      <w:r w:rsidR="002F5977" w:rsidRPr="00D04A3F">
        <w:rPr>
          <w:rFonts w:asciiTheme="majorBidi" w:eastAsia="Times New Roman" w:hAnsiTheme="majorBidi" w:cstheme="majorBidi"/>
          <w:kern w:val="0"/>
          <w14:ligatures w14:val="none"/>
        </w:rPr>
        <w:t>,</w:t>
      </w:r>
      <w:r w:rsidR="0096087C" w:rsidRPr="00D04A3F">
        <w:rPr>
          <w:rFonts w:asciiTheme="majorBidi" w:eastAsia="Times New Roman" w:hAnsiTheme="majorBidi" w:cstheme="majorBidi"/>
          <w:kern w:val="0"/>
          <w14:ligatures w14:val="none"/>
        </w:rPr>
        <w:t xml:space="preserve"> </w:t>
      </w:r>
      <w:r w:rsidR="00B41E95" w:rsidRPr="00D04A3F">
        <w:rPr>
          <w:rFonts w:asciiTheme="majorBidi" w:hAnsiTheme="majorBidi" w:cstheme="majorBidi"/>
        </w:rPr>
        <w:t>Hossein Kamran Zadeh Fumani</w:t>
      </w:r>
      <w:r w:rsidR="0096087C" w:rsidRPr="00D04A3F">
        <w:rPr>
          <w:rFonts w:asciiTheme="majorBidi" w:eastAsia="Times New Roman" w:hAnsiTheme="majorBidi" w:cstheme="majorBidi"/>
          <w:kern w:val="0"/>
          <w14:ligatures w14:val="none"/>
        </w:rPr>
        <w:t xml:space="preserve">, </w:t>
      </w:r>
      <w:r w:rsidR="00B41E95" w:rsidRPr="00D04A3F">
        <w:rPr>
          <w:rFonts w:asciiTheme="majorBidi" w:hAnsiTheme="majorBidi" w:cstheme="majorBidi"/>
        </w:rPr>
        <w:t>Masoomeh Yousefvand</w:t>
      </w:r>
      <w:r w:rsidR="002F5977" w:rsidRPr="00D04A3F">
        <w:rPr>
          <w:rFonts w:asciiTheme="majorBidi" w:eastAsia="Times New Roman" w:hAnsiTheme="majorBidi" w:cstheme="majorBidi"/>
          <w:kern w:val="0"/>
          <w14:ligatures w14:val="none"/>
        </w:rPr>
        <w:t xml:space="preserve">, </w:t>
      </w:r>
      <w:r w:rsidR="00B41E95" w:rsidRPr="00D04A3F">
        <w:rPr>
          <w:rFonts w:asciiTheme="majorBidi" w:hAnsiTheme="majorBidi" w:cstheme="majorBidi"/>
        </w:rPr>
        <w:t>Hossein Poorcheraghi</w:t>
      </w:r>
      <w:r w:rsidR="00EB736F" w:rsidRPr="00D04A3F">
        <w:rPr>
          <w:rFonts w:asciiTheme="majorBidi" w:eastAsia="Times New Roman" w:hAnsiTheme="majorBidi" w:cstheme="majorBidi"/>
          <w:kern w:val="0"/>
          <w14:ligatures w14:val="none"/>
        </w:rPr>
        <w:t xml:space="preserve">; review and editing: </w:t>
      </w:r>
      <w:r w:rsidR="00B41E95" w:rsidRPr="00D04A3F">
        <w:rPr>
          <w:rFonts w:asciiTheme="majorBidi" w:hAnsiTheme="majorBidi" w:cstheme="majorBidi"/>
        </w:rPr>
        <w:t>Sarieh Poortaghi</w:t>
      </w:r>
      <w:r w:rsidR="00B41E95" w:rsidRPr="00D04A3F">
        <w:rPr>
          <w:rFonts w:asciiTheme="majorBidi" w:eastAsia="Times New Roman" w:hAnsiTheme="majorBidi" w:cstheme="majorBidi"/>
          <w:kern w:val="0"/>
          <w14:ligatures w14:val="none"/>
        </w:rPr>
        <w:t xml:space="preserve">, </w:t>
      </w:r>
      <w:r w:rsidR="00B41E95" w:rsidRPr="00D04A3F">
        <w:rPr>
          <w:rFonts w:asciiTheme="majorBidi" w:hAnsiTheme="majorBidi" w:cstheme="majorBidi"/>
        </w:rPr>
        <w:t>Nasrin Nikpeyma</w:t>
      </w:r>
      <w:r w:rsidR="00B41E95" w:rsidRPr="00D04A3F">
        <w:rPr>
          <w:rFonts w:asciiTheme="majorBidi" w:eastAsia="Times New Roman" w:hAnsiTheme="majorBidi" w:cstheme="majorBidi"/>
          <w:kern w:val="0"/>
          <w14:ligatures w14:val="none"/>
        </w:rPr>
        <w:t xml:space="preserve">, </w:t>
      </w:r>
      <w:r w:rsidR="00B41E95" w:rsidRPr="00D04A3F">
        <w:rPr>
          <w:rFonts w:asciiTheme="majorBidi" w:hAnsiTheme="majorBidi" w:cstheme="majorBidi"/>
        </w:rPr>
        <w:t>María Dolores. Ruiz-Fernández</w:t>
      </w:r>
      <w:r w:rsidR="001829D1" w:rsidRPr="00D04A3F">
        <w:rPr>
          <w:rFonts w:asciiTheme="majorBidi" w:eastAsia="Times New Roman" w:hAnsiTheme="majorBidi" w:cstheme="majorBidi"/>
          <w:kern w:val="0"/>
          <w14:ligatures w14:val="none"/>
        </w:rPr>
        <w:t>,</w:t>
      </w:r>
      <w:r w:rsidR="00EB736F" w:rsidRPr="00D04A3F">
        <w:rPr>
          <w:rFonts w:asciiTheme="majorBidi" w:eastAsia="Times New Roman" w:hAnsiTheme="majorBidi" w:cstheme="majorBidi"/>
          <w:kern w:val="0"/>
          <w14:ligatures w14:val="none"/>
        </w:rPr>
        <w:t xml:space="preserve"> </w:t>
      </w:r>
      <w:r w:rsidR="00B41E95" w:rsidRPr="00D04A3F">
        <w:rPr>
          <w:rFonts w:asciiTheme="majorBidi" w:hAnsiTheme="majorBidi" w:cstheme="majorBidi"/>
        </w:rPr>
        <w:t>Farshad Sharifi</w:t>
      </w:r>
      <w:r w:rsidR="00B41E95" w:rsidRPr="00D04A3F">
        <w:rPr>
          <w:rFonts w:asciiTheme="majorBidi" w:eastAsia="Times New Roman" w:hAnsiTheme="majorBidi" w:cstheme="majorBidi"/>
          <w:kern w:val="0"/>
          <w14:ligatures w14:val="none"/>
        </w:rPr>
        <w:t xml:space="preserve">, </w:t>
      </w:r>
      <w:r w:rsidR="00B41E95" w:rsidRPr="00D04A3F">
        <w:rPr>
          <w:rFonts w:asciiTheme="majorBidi" w:hAnsiTheme="majorBidi" w:cstheme="majorBidi"/>
        </w:rPr>
        <w:t>Masoomeh Yousefvand</w:t>
      </w:r>
      <w:r w:rsidR="001829D1" w:rsidRPr="00D04A3F">
        <w:rPr>
          <w:rFonts w:asciiTheme="majorBidi" w:eastAsia="Times New Roman" w:hAnsiTheme="majorBidi" w:cstheme="majorBidi"/>
          <w:kern w:val="0"/>
          <w14:ligatures w14:val="none"/>
        </w:rPr>
        <w:t xml:space="preserve">, </w:t>
      </w:r>
      <w:r w:rsidR="00B41E95" w:rsidRPr="00D04A3F">
        <w:rPr>
          <w:rFonts w:asciiTheme="majorBidi" w:eastAsia="Times New Roman" w:hAnsiTheme="majorBidi" w:cstheme="majorBidi"/>
          <w:kern w:val="0"/>
          <w14:ligatures w14:val="none"/>
        </w:rPr>
        <w:t>Hossein Poorcheraghi</w:t>
      </w:r>
      <w:r w:rsidR="00EB736F" w:rsidRPr="00D04A3F">
        <w:rPr>
          <w:rFonts w:asciiTheme="majorBidi" w:eastAsia="Times New Roman" w:hAnsiTheme="majorBidi" w:cstheme="majorBidi"/>
          <w:kern w:val="0"/>
          <w14:ligatures w14:val="none"/>
        </w:rPr>
        <w:t xml:space="preserve">; project administration: </w:t>
      </w:r>
      <w:r w:rsidR="00B41E95" w:rsidRPr="00D04A3F">
        <w:rPr>
          <w:rFonts w:asciiTheme="majorBidi" w:hAnsiTheme="majorBidi" w:cstheme="majorBidi"/>
        </w:rPr>
        <w:t>Sarieh Poortaghi</w:t>
      </w:r>
      <w:r w:rsidR="00EB736F" w:rsidRPr="00D04A3F">
        <w:rPr>
          <w:rFonts w:asciiTheme="majorBidi" w:eastAsia="Times New Roman" w:hAnsiTheme="majorBidi" w:cstheme="majorBidi"/>
          <w:kern w:val="0"/>
          <w14:ligatures w14:val="none"/>
        </w:rPr>
        <w:t xml:space="preserve">. All authors reviewed, critically commented and approved the final </w:t>
      </w:r>
      <w:r w:rsidR="00B41E95" w:rsidRPr="00D04A3F">
        <w:rPr>
          <w:rFonts w:asciiTheme="majorBidi" w:eastAsia="Times New Roman" w:hAnsiTheme="majorBidi" w:cstheme="majorBidi"/>
          <w:kern w:val="0"/>
          <w14:ligatures w14:val="none"/>
        </w:rPr>
        <w:t>version of the manuscript.</w:t>
      </w:r>
    </w:p>
    <w:p w14:paraId="7AFAD3AA" w14:textId="6AE661DE" w:rsidR="009C2506" w:rsidRPr="00D04A3F" w:rsidRDefault="009C2506" w:rsidP="00862E48">
      <w:pPr>
        <w:spacing w:before="100" w:beforeAutospacing="1" w:after="100" w:afterAutospacing="1" w:line="240" w:lineRule="auto"/>
        <w:jc w:val="both"/>
        <w:rPr>
          <w:rFonts w:asciiTheme="majorBidi" w:eastAsia="Times New Roman" w:hAnsiTheme="majorBidi" w:cstheme="majorBidi"/>
          <w:b/>
          <w:bCs/>
          <w:kern w:val="0"/>
          <w14:ligatures w14:val="none"/>
        </w:rPr>
      </w:pPr>
      <w:r w:rsidRPr="00D04A3F">
        <w:rPr>
          <w:rFonts w:asciiTheme="majorBidi" w:eastAsia="Times New Roman" w:hAnsiTheme="majorBidi" w:cstheme="majorBidi"/>
          <w:b/>
          <w:bCs/>
          <w:kern w:val="0"/>
          <w14:ligatures w14:val="none"/>
        </w:rPr>
        <w:lastRenderedPageBreak/>
        <w:t>Funding</w:t>
      </w:r>
      <w:r w:rsidR="00862E48" w:rsidRPr="00D04A3F">
        <w:rPr>
          <w:rFonts w:asciiTheme="majorBidi" w:eastAsia="Times New Roman" w:hAnsiTheme="majorBidi" w:cstheme="majorBidi"/>
          <w:b/>
          <w:bCs/>
          <w:kern w:val="0"/>
          <w14:ligatures w14:val="none"/>
        </w:rPr>
        <w:t xml:space="preserve"> </w:t>
      </w:r>
      <w:r w:rsidR="00EB736F" w:rsidRPr="00D04A3F">
        <w:rPr>
          <w:rFonts w:asciiTheme="majorBidi" w:eastAsia="Times New Roman" w:hAnsiTheme="majorBidi" w:cstheme="majorBidi"/>
          <w:kern w:val="0"/>
          <w14:ligatures w14:val="none"/>
        </w:rPr>
        <w:t>The study was funded by the Tehran University of Medical Sciences (Grant:</w:t>
      </w:r>
      <w:r w:rsidR="001829D1" w:rsidRPr="00D04A3F">
        <w:rPr>
          <w:rFonts w:asciiTheme="majorBidi" w:eastAsia="Times New Roman" w:hAnsiTheme="majorBidi" w:cstheme="majorBidi"/>
          <w:kern w:val="0"/>
          <w14:ligatures w14:val="none"/>
        </w:rPr>
        <w:t>57737</w:t>
      </w:r>
      <w:r w:rsidR="00EB736F" w:rsidRPr="00D04A3F">
        <w:rPr>
          <w:rFonts w:asciiTheme="majorBidi" w:eastAsia="Times New Roman" w:hAnsiTheme="majorBidi" w:cstheme="majorBidi"/>
          <w:kern w:val="0"/>
          <w14:ligatures w14:val="none"/>
        </w:rPr>
        <w:t>). The funders did not have a role in study design, data collection, analysis, reporting or the decision to submit for publication.</w:t>
      </w:r>
    </w:p>
    <w:p w14:paraId="3438D79C" w14:textId="6E68B3F2" w:rsidR="00862E48" w:rsidRPr="00D04A3F" w:rsidRDefault="00862E48" w:rsidP="002F5977">
      <w:pPr>
        <w:spacing w:before="100" w:beforeAutospacing="1" w:after="100" w:afterAutospacing="1"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 xml:space="preserve">Competing interests </w:t>
      </w:r>
      <w:r w:rsidRPr="00D04A3F">
        <w:rPr>
          <w:rFonts w:asciiTheme="majorBidi" w:eastAsia="Times New Roman" w:hAnsiTheme="majorBidi" w:cstheme="majorBidi"/>
          <w:kern w:val="0"/>
          <w14:ligatures w14:val="none"/>
        </w:rPr>
        <w:t>None declared.</w:t>
      </w:r>
    </w:p>
    <w:p w14:paraId="3C92447E" w14:textId="1A54BA06" w:rsidR="006621F3" w:rsidRPr="00D04A3F" w:rsidRDefault="00F9317D" w:rsidP="006621F3">
      <w:pPr>
        <w:spacing w:before="100" w:beforeAutospacing="1" w:after="100" w:afterAutospacing="1"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 xml:space="preserve">Ethics approval </w:t>
      </w:r>
      <w:r w:rsidR="00EB736F" w:rsidRPr="00D04A3F">
        <w:rPr>
          <w:rFonts w:asciiTheme="majorBidi" w:eastAsia="Times New Roman" w:hAnsiTheme="majorBidi" w:cstheme="majorBidi"/>
          <w:kern w:val="0"/>
          <w14:ligatures w14:val="none"/>
        </w:rPr>
        <w:t xml:space="preserve">This study was performed in line with the principles of the Declaration of Helsinki. Ethical approval for this study was obtained from the Ethic Committee of Tehran University of Medical Sciences, Tehran, Iran (code: IR.TUMS.HORCSCT.REC.1401.018) and was registered in the Iranian Registry of Clinical Trials (code: IRCT20221120056560N1). Participants were ensured of data confidentiality and voluntariness of participation in and withdrawal from the study and personal written informed consent was obtained from </w:t>
      </w:r>
      <w:r w:rsidR="002F5977" w:rsidRPr="00D04A3F">
        <w:rPr>
          <w:rFonts w:asciiTheme="majorBidi" w:eastAsia="Times New Roman" w:hAnsiTheme="majorBidi" w:cstheme="majorBidi"/>
          <w:kern w:val="0"/>
          <w14:ligatures w14:val="none"/>
        </w:rPr>
        <w:t>each of them.</w:t>
      </w:r>
    </w:p>
    <w:p w14:paraId="3F713DB7" w14:textId="76595E88" w:rsidR="006621F3" w:rsidRPr="00D04A3F" w:rsidRDefault="006621F3" w:rsidP="006621F3">
      <w:pPr>
        <w:spacing w:before="100" w:beforeAutospacing="1" w:after="100" w:afterAutospacing="1"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Provenance and peer review</w:t>
      </w:r>
      <w:r w:rsidRPr="00D04A3F">
        <w:rPr>
          <w:rFonts w:asciiTheme="majorBidi" w:eastAsia="Times New Roman" w:hAnsiTheme="majorBidi" w:cstheme="majorBidi"/>
          <w:kern w:val="0"/>
          <w14:ligatures w14:val="none"/>
        </w:rPr>
        <w:t xml:space="preserve"> Not commissioned; externally peer reviewed.</w:t>
      </w:r>
    </w:p>
    <w:p w14:paraId="0E8DCB33" w14:textId="6216A8C0" w:rsidR="006621F3" w:rsidRPr="00D04A3F" w:rsidRDefault="006621F3" w:rsidP="006621F3">
      <w:pPr>
        <w:spacing w:before="100" w:beforeAutospacing="1" w:after="100" w:afterAutospacing="1" w:line="240" w:lineRule="auto"/>
        <w:jc w:val="both"/>
        <w:rPr>
          <w:rFonts w:asciiTheme="majorBidi" w:eastAsia="Times New Roman" w:hAnsiTheme="majorBidi" w:cstheme="majorBidi"/>
          <w:b/>
          <w:bCs/>
          <w:kern w:val="0"/>
          <w14:ligatures w14:val="none"/>
        </w:rPr>
      </w:pPr>
      <w:r w:rsidRPr="00D04A3F">
        <w:rPr>
          <w:rFonts w:asciiTheme="majorBidi" w:eastAsia="Times New Roman" w:hAnsiTheme="majorBidi" w:cstheme="majorBidi"/>
          <w:b/>
          <w:bCs/>
          <w:kern w:val="0"/>
          <w14:ligatures w14:val="none"/>
        </w:rPr>
        <w:t xml:space="preserve">Data availability statement </w:t>
      </w:r>
      <w:r w:rsidRPr="00D04A3F">
        <w:rPr>
          <w:rFonts w:asciiTheme="majorBidi" w:eastAsia="Times New Roman" w:hAnsiTheme="majorBidi" w:cstheme="majorBidi"/>
          <w:kern w:val="0"/>
          <w14:ligatures w14:val="none"/>
        </w:rPr>
        <w:t>The datasets used and analyzed during the present study are available from the corresponding author on reasonable request.</w:t>
      </w:r>
    </w:p>
    <w:p w14:paraId="73CDD6E5" w14:textId="51E09C6F" w:rsidR="006621F3" w:rsidRDefault="006621F3" w:rsidP="003E309D">
      <w:pPr>
        <w:spacing w:before="240" w:after="240" w:line="276" w:lineRule="auto"/>
        <w:jc w:val="both"/>
        <w:rPr>
          <w:rFonts w:asciiTheme="majorBidi" w:eastAsia="Times New Roman" w:hAnsiTheme="majorBidi" w:cstheme="majorBidi"/>
          <w:b/>
          <w:bCs/>
          <w:kern w:val="0"/>
          <w14:ligatures w14:val="none"/>
        </w:rPr>
      </w:pPr>
    </w:p>
    <w:p w14:paraId="47E034D6" w14:textId="77777777" w:rsidR="006666F4" w:rsidRPr="00D04A3F" w:rsidRDefault="006666F4" w:rsidP="006666F4">
      <w:pPr>
        <w:spacing w:before="100" w:beforeAutospacing="1" w:after="100" w:afterAutospacing="1"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 xml:space="preserve">Table 1 Content of educational sessions designed on the </w:t>
      </w:r>
      <w:r w:rsidRPr="00D04A3F">
        <w:rPr>
          <w:rFonts w:ascii="Times New Roman" w:eastAsia="Times New Roman" w:hAnsi="Times New Roman" w:cs="Times New Roman"/>
          <w:b/>
          <w:bCs/>
          <w:kern w:val="0"/>
        </w:rPr>
        <w:t xml:space="preserve">basis of the </w:t>
      </w:r>
      <w:r w:rsidRPr="00D04A3F">
        <w:rPr>
          <w:rFonts w:asciiTheme="majorBidi" w:eastAsia="Times New Roman" w:hAnsiTheme="majorBidi" w:cstheme="majorBidi"/>
          <w:b/>
          <w:bCs/>
          <w:kern w:val="0"/>
          <w14:ligatures w14:val="none"/>
        </w:rPr>
        <w:t>World Health Organization's definition of social support</w:t>
      </w:r>
    </w:p>
    <w:tbl>
      <w:tblPr>
        <w:tblW w:w="10201" w:type="dxa"/>
        <w:tblCellSpacing w:w="15" w:type="dxa"/>
        <w:tblCellMar>
          <w:top w:w="15" w:type="dxa"/>
          <w:left w:w="15" w:type="dxa"/>
          <w:bottom w:w="15" w:type="dxa"/>
          <w:right w:w="15" w:type="dxa"/>
        </w:tblCellMar>
        <w:tblLook w:val="04A0" w:firstRow="1" w:lastRow="0" w:firstColumn="1" w:lastColumn="0" w:noHBand="0" w:noVBand="1"/>
      </w:tblPr>
      <w:tblGrid>
        <w:gridCol w:w="832"/>
        <w:gridCol w:w="9369"/>
      </w:tblGrid>
      <w:tr w:rsidR="006666F4" w:rsidRPr="00D04A3F" w14:paraId="04F82264" w14:textId="77777777" w:rsidTr="0067628B">
        <w:trPr>
          <w:tblHeader/>
          <w:tblCellSpacing w:w="15" w:type="dxa"/>
        </w:trPr>
        <w:tc>
          <w:tcPr>
            <w:tcW w:w="0" w:type="auto"/>
            <w:tcBorders>
              <w:top w:val="single" w:sz="4" w:space="0" w:color="auto"/>
              <w:left w:val="single" w:sz="4" w:space="0" w:color="auto"/>
            </w:tcBorders>
            <w:vAlign w:val="center"/>
            <w:hideMark/>
          </w:tcPr>
          <w:p w14:paraId="7F57CB28" w14:textId="77777777" w:rsidR="006666F4" w:rsidRPr="00D04A3F" w:rsidRDefault="006666F4" w:rsidP="0067628B">
            <w:pPr>
              <w:spacing w:after="0" w:line="240" w:lineRule="auto"/>
              <w:jc w:val="center"/>
              <w:rPr>
                <w:rFonts w:asciiTheme="majorBidi" w:eastAsia="Times New Roman" w:hAnsiTheme="majorBidi" w:cstheme="majorBidi"/>
                <w:b/>
                <w:bCs/>
                <w:kern w:val="0"/>
                <w14:ligatures w14:val="none"/>
              </w:rPr>
            </w:pPr>
            <w:r w:rsidRPr="00D04A3F">
              <w:rPr>
                <w:rFonts w:asciiTheme="majorBidi" w:eastAsia="Times New Roman" w:hAnsiTheme="majorBidi" w:cstheme="majorBidi"/>
                <w:b/>
                <w:bCs/>
                <w:kern w:val="0"/>
                <w14:ligatures w14:val="none"/>
              </w:rPr>
              <w:t>Session</w:t>
            </w:r>
          </w:p>
        </w:tc>
        <w:tc>
          <w:tcPr>
            <w:tcW w:w="9324" w:type="dxa"/>
            <w:tcBorders>
              <w:top w:val="single" w:sz="4" w:space="0" w:color="auto"/>
              <w:left w:val="single" w:sz="4" w:space="0" w:color="auto"/>
              <w:right w:val="single" w:sz="4" w:space="0" w:color="auto"/>
            </w:tcBorders>
            <w:vAlign w:val="center"/>
            <w:hideMark/>
          </w:tcPr>
          <w:p w14:paraId="6619C06E" w14:textId="77777777" w:rsidR="006666F4" w:rsidRPr="00D04A3F" w:rsidRDefault="006666F4" w:rsidP="0067628B">
            <w:pPr>
              <w:spacing w:after="0" w:line="240" w:lineRule="auto"/>
              <w:jc w:val="both"/>
              <w:rPr>
                <w:rFonts w:asciiTheme="majorBidi" w:eastAsia="Times New Roman" w:hAnsiTheme="majorBidi" w:cstheme="majorBidi"/>
                <w:b/>
                <w:bCs/>
                <w:kern w:val="0"/>
                <w14:ligatures w14:val="none"/>
              </w:rPr>
            </w:pPr>
            <w:r w:rsidRPr="00D04A3F">
              <w:rPr>
                <w:rFonts w:asciiTheme="majorBidi" w:eastAsia="Times New Roman" w:hAnsiTheme="majorBidi" w:cstheme="majorBidi"/>
                <w:b/>
                <w:bCs/>
                <w:kern w:val="0"/>
                <w14:ligatures w14:val="none"/>
              </w:rPr>
              <w:t>Content</w:t>
            </w:r>
          </w:p>
        </w:tc>
      </w:tr>
      <w:tr w:rsidR="006666F4" w:rsidRPr="00D04A3F" w14:paraId="7E1972AA" w14:textId="77777777" w:rsidTr="0067628B">
        <w:trPr>
          <w:tblCellSpacing w:w="15" w:type="dxa"/>
        </w:trPr>
        <w:tc>
          <w:tcPr>
            <w:tcW w:w="0" w:type="auto"/>
            <w:tcBorders>
              <w:top w:val="single" w:sz="4" w:space="0" w:color="auto"/>
              <w:left w:val="single" w:sz="4" w:space="0" w:color="auto"/>
            </w:tcBorders>
            <w:vAlign w:val="center"/>
            <w:hideMark/>
          </w:tcPr>
          <w:p w14:paraId="3E4C156B" w14:textId="77777777" w:rsidR="006666F4" w:rsidRPr="00D04A3F" w:rsidRDefault="006666F4"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1</w:t>
            </w:r>
          </w:p>
        </w:tc>
        <w:tc>
          <w:tcPr>
            <w:tcW w:w="9324" w:type="dxa"/>
            <w:tcBorders>
              <w:top w:val="single" w:sz="4" w:space="0" w:color="auto"/>
              <w:left w:val="single" w:sz="4" w:space="0" w:color="auto"/>
              <w:right w:val="single" w:sz="4" w:space="0" w:color="auto"/>
            </w:tcBorders>
            <w:vAlign w:val="center"/>
            <w:hideMark/>
          </w:tcPr>
          <w:p w14:paraId="07DE8177" w14:textId="77777777" w:rsidR="006666F4" w:rsidRPr="00D04A3F" w:rsidRDefault="006666F4"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Establishing communication with participants, familiarizing them with resilience, and increasing awareness of their abilities. Participants learn to provide a simple definition of resilience, understand its relation to quality of life and prevention of risky behaviors, identify their strengths and weaknesses, gain self-awareness about their goals, and ultimately build self-confidence.</w:t>
            </w:r>
          </w:p>
        </w:tc>
      </w:tr>
      <w:tr w:rsidR="006666F4" w:rsidRPr="00D04A3F" w14:paraId="2EE5B316" w14:textId="77777777" w:rsidTr="0067628B">
        <w:trPr>
          <w:tblCellSpacing w:w="15" w:type="dxa"/>
        </w:trPr>
        <w:tc>
          <w:tcPr>
            <w:tcW w:w="0" w:type="auto"/>
            <w:tcBorders>
              <w:top w:val="single" w:sz="4" w:space="0" w:color="auto"/>
              <w:left w:val="single" w:sz="4" w:space="0" w:color="auto"/>
            </w:tcBorders>
            <w:vAlign w:val="center"/>
            <w:hideMark/>
          </w:tcPr>
          <w:p w14:paraId="3150EC0E" w14:textId="77777777" w:rsidR="006666F4" w:rsidRPr="00D04A3F" w:rsidRDefault="006666F4"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2</w:t>
            </w:r>
          </w:p>
        </w:tc>
        <w:tc>
          <w:tcPr>
            <w:tcW w:w="9324" w:type="dxa"/>
            <w:tcBorders>
              <w:top w:val="single" w:sz="4" w:space="0" w:color="auto"/>
              <w:left w:val="single" w:sz="4" w:space="0" w:color="auto"/>
              <w:right w:val="single" w:sz="4" w:space="0" w:color="auto"/>
            </w:tcBorders>
            <w:vAlign w:val="center"/>
            <w:hideMark/>
          </w:tcPr>
          <w:p w14:paraId="087C9827" w14:textId="77777777" w:rsidR="006666F4" w:rsidRPr="00D04A3F" w:rsidRDefault="006666F4"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Enhancing self-esteem and improving communication skills. Participants identify their weaknesses and work to resolve at least one issue, provide a clear and simple definition of communication, understand its importance in life, and learn to communicate effectively with others.</w:t>
            </w:r>
          </w:p>
        </w:tc>
      </w:tr>
      <w:tr w:rsidR="006666F4" w:rsidRPr="00D04A3F" w14:paraId="65A0B902" w14:textId="77777777" w:rsidTr="0067628B">
        <w:trPr>
          <w:tblCellSpacing w:w="15" w:type="dxa"/>
        </w:trPr>
        <w:tc>
          <w:tcPr>
            <w:tcW w:w="0" w:type="auto"/>
            <w:tcBorders>
              <w:top w:val="single" w:sz="4" w:space="0" w:color="auto"/>
              <w:left w:val="single" w:sz="4" w:space="0" w:color="auto"/>
              <w:bottom w:val="single" w:sz="4" w:space="0" w:color="auto"/>
            </w:tcBorders>
            <w:vAlign w:val="center"/>
            <w:hideMark/>
          </w:tcPr>
          <w:p w14:paraId="3D141F32" w14:textId="77777777" w:rsidR="006666F4" w:rsidRPr="00D04A3F" w:rsidRDefault="006666F4"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3</w:t>
            </w:r>
          </w:p>
        </w:tc>
        <w:tc>
          <w:tcPr>
            <w:tcW w:w="9324" w:type="dxa"/>
            <w:tcBorders>
              <w:top w:val="single" w:sz="4" w:space="0" w:color="auto"/>
              <w:left w:val="single" w:sz="4" w:space="0" w:color="auto"/>
              <w:bottom w:val="single" w:sz="4" w:space="0" w:color="auto"/>
              <w:right w:val="single" w:sz="4" w:space="0" w:color="auto"/>
            </w:tcBorders>
            <w:vAlign w:val="center"/>
            <w:hideMark/>
          </w:tcPr>
          <w:p w14:paraId="47FD9097" w14:textId="77777777" w:rsidR="006666F4" w:rsidRPr="00D04A3F" w:rsidRDefault="006666F4"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Developing social relationships and friendships, setting goals, and learning how to achieve them. Participants learn to provide a clear definition of friendship and the qualities of a good friend, understand the concept of goal-setting, and apply planning skills to achieve their goals.</w:t>
            </w:r>
          </w:p>
        </w:tc>
      </w:tr>
      <w:tr w:rsidR="006666F4" w:rsidRPr="00D04A3F" w14:paraId="4F085139" w14:textId="77777777" w:rsidTr="0067628B">
        <w:trPr>
          <w:tblCellSpacing w:w="15" w:type="dxa"/>
        </w:trPr>
        <w:tc>
          <w:tcPr>
            <w:tcW w:w="0" w:type="auto"/>
            <w:tcBorders>
              <w:left w:val="single" w:sz="4" w:space="0" w:color="auto"/>
            </w:tcBorders>
            <w:vAlign w:val="center"/>
            <w:hideMark/>
          </w:tcPr>
          <w:p w14:paraId="61E67EDB" w14:textId="77777777" w:rsidR="006666F4" w:rsidRPr="00D04A3F" w:rsidRDefault="006666F4"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4</w:t>
            </w:r>
          </w:p>
        </w:tc>
        <w:tc>
          <w:tcPr>
            <w:tcW w:w="9324" w:type="dxa"/>
            <w:tcBorders>
              <w:left w:val="single" w:sz="4" w:space="0" w:color="auto"/>
              <w:right w:val="single" w:sz="4" w:space="0" w:color="auto"/>
            </w:tcBorders>
            <w:vAlign w:val="center"/>
            <w:hideMark/>
          </w:tcPr>
          <w:p w14:paraId="629D7E6F" w14:textId="77777777" w:rsidR="006666F4" w:rsidRPr="00D04A3F" w:rsidRDefault="006666F4"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Decision-making and problem-solving. Participants understand the criteria for a good decision, recognize the importance and value of sound decisions in life, predict the consequences of their decisions, engage in family decision-making, explain the steps of problem-solving, think critically about problems, and develop solutions to achieve self-efficacy in resolving their own issues.</w:t>
            </w:r>
          </w:p>
        </w:tc>
      </w:tr>
      <w:tr w:rsidR="006666F4" w:rsidRPr="00D04A3F" w14:paraId="6C904F2D" w14:textId="77777777" w:rsidTr="0067628B">
        <w:trPr>
          <w:tblCellSpacing w:w="15" w:type="dxa"/>
        </w:trPr>
        <w:tc>
          <w:tcPr>
            <w:tcW w:w="0" w:type="auto"/>
            <w:tcBorders>
              <w:top w:val="single" w:sz="4" w:space="0" w:color="auto"/>
              <w:left w:val="single" w:sz="4" w:space="0" w:color="auto"/>
              <w:bottom w:val="single" w:sz="4" w:space="0" w:color="auto"/>
            </w:tcBorders>
            <w:vAlign w:val="center"/>
            <w:hideMark/>
          </w:tcPr>
          <w:p w14:paraId="0D20DCF0" w14:textId="77777777" w:rsidR="006666F4" w:rsidRPr="00D04A3F" w:rsidRDefault="006666F4"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5</w:t>
            </w:r>
          </w:p>
        </w:tc>
        <w:tc>
          <w:tcPr>
            <w:tcW w:w="9324" w:type="dxa"/>
            <w:tcBorders>
              <w:top w:val="single" w:sz="4" w:space="0" w:color="auto"/>
              <w:left w:val="single" w:sz="4" w:space="0" w:color="auto"/>
              <w:bottom w:val="single" w:sz="4" w:space="0" w:color="auto"/>
              <w:right w:val="single" w:sz="4" w:space="0" w:color="auto"/>
            </w:tcBorders>
            <w:vAlign w:val="center"/>
            <w:hideMark/>
          </w:tcPr>
          <w:p w14:paraId="40C8A5E0" w14:textId="77777777" w:rsidR="006666F4" w:rsidRPr="00D04A3F" w:rsidRDefault="006666F4"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Responsibility, anger management, anxiety, and stress management. Participants learn to provide a simple definition of responsibility, take on small responsibilities at home or in class, identify the traits of a responsible person, understand the concepts of anger, anxiety, and stress, recognize their symptoms and causes, and learn stress management techniques.</w:t>
            </w:r>
          </w:p>
        </w:tc>
      </w:tr>
      <w:tr w:rsidR="006666F4" w:rsidRPr="00D04A3F" w14:paraId="14807D79" w14:textId="77777777" w:rsidTr="0067628B">
        <w:trPr>
          <w:tblCellSpacing w:w="15" w:type="dxa"/>
        </w:trPr>
        <w:tc>
          <w:tcPr>
            <w:tcW w:w="0" w:type="auto"/>
            <w:tcBorders>
              <w:top w:val="single" w:sz="4" w:space="0" w:color="auto"/>
              <w:left w:val="single" w:sz="4" w:space="0" w:color="auto"/>
              <w:bottom w:val="single" w:sz="4" w:space="0" w:color="auto"/>
            </w:tcBorders>
            <w:vAlign w:val="center"/>
          </w:tcPr>
          <w:p w14:paraId="773A5227" w14:textId="77777777" w:rsidR="006666F4" w:rsidRPr="00D04A3F" w:rsidRDefault="006666F4" w:rsidP="0067628B">
            <w:pPr>
              <w:spacing w:after="0" w:line="240" w:lineRule="auto"/>
              <w:jc w:val="center"/>
              <w:rPr>
                <w:rFonts w:asciiTheme="majorBidi" w:eastAsia="Times New Roman" w:hAnsiTheme="majorBidi" w:cstheme="majorBidi"/>
                <w:b/>
                <w:bCs/>
                <w:kern w:val="0"/>
                <w14:ligatures w14:val="none"/>
              </w:rPr>
            </w:pPr>
            <w:r w:rsidRPr="00D04A3F">
              <w:rPr>
                <w:rFonts w:asciiTheme="majorBidi" w:eastAsia="Times New Roman" w:hAnsiTheme="majorBidi" w:cstheme="majorBidi"/>
                <w:b/>
                <w:bCs/>
                <w:kern w:val="0"/>
                <w14:ligatures w14:val="none"/>
              </w:rPr>
              <w:t>6</w:t>
            </w:r>
          </w:p>
        </w:tc>
        <w:tc>
          <w:tcPr>
            <w:tcW w:w="9324" w:type="dxa"/>
            <w:tcBorders>
              <w:top w:val="single" w:sz="4" w:space="0" w:color="auto"/>
              <w:left w:val="single" w:sz="4" w:space="0" w:color="auto"/>
              <w:bottom w:val="single" w:sz="4" w:space="0" w:color="auto"/>
              <w:right w:val="single" w:sz="4" w:space="0" w:color="auto"/>
            </w:tcBorders>
            <w:vAlign w:val="center"/>
          </w:tcPr>
          <w:p w14:paraId="136E9616" w14:textId="77777777" w:rsidR="006666F4" w:rsidRPr="00D04A3F" w:rsidRDefault="006666F4"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Cultivating a sense of spirituality and faith; the capacity to distinguish spirituality from religion; utilizing one’s spiritual perspective as a motivational factor; maintaining optimism and hope for the future; and belief in one’s unique qualities.</w:t>
            </w:r>
          </w:p>
        </w:tc>
      </w:tr>
    </w:tbl>
    <w:p w14:paraId="205A3645" w14:textId="77777777" w:rsidR="006666F4" w:rsidRPr="00D04A3F" w:rsidRDefault="006666F4" w:rsidP="006666F4">
      <w:pPr>
        <w:jc w:val="both"/>
        <w:rPr>
          <w:rFonts w:asciiTheme="majorBidi" w:hAnsiTheme="majorBidi" w:cstheme="majorBidi"/>
        </w:rPr>
      </w:pPr>
    </w:p>
    <w:p w14:paraId="04CAC96F" w14:textId="77777777" w:rsidR="00F70768" w:rsidRDefault="00F70768" w:rsidP="00F70768">
      <w:pPr>
        <w:jc w:val="both"/>
        <w:rPr>
          <w:rFonts w:asciiTheme="majorBidi" w:eastAsia="Times New Roman" w:hAnsiTheme="majorBidi" w:cstheme="majorBidi"/>
          <w:b/>
          <w:bCs/>
          <w:kern w:val="0"/>
          <w14:ligatures w14:val="none"/>
        </w:rPr>
      </w:pPr>
    </w:p>
    <w:p w14:paraId="29EB9C74" w14:textId="27BFD13D" w:rsidR="006666F4" w:rsidRDefault="006666F4" w:rsidP="00F70768">
      <w:pPr>
        <w:jc w:val="both"/>
        <w:rPr>
          <w:rFonts w:asciiTheme="majorBidi" w:hAnsiTheme="majorBidi" w:cstheme="majorBidi"/>
        </w:rPr>
      </w:pPr>
      <w:r w:rsidRPr="006B2E78">
        <w:rPr>
          <w:rFonts w:ascii="Times New Roman" w:hAnsi="Times New Roman"/>
          <w:b/>
          <w:noProof/>
          <w:sz w:val="28"/>
          <w:szCs w:val="28"/>
        </w:rPr>
        <w:lastRenderedPageBreak/>
        <mc:AlternateContent>
          <mc:Choice Requires="wps">
            <w:drawing>
              <wp:anchor distT="36576" distB="36576" distL="36576" distR="36576" simplePos="0" relativeHeight="251671552" behindDoc="0" locked="0" layoutInCell="1" allowOverlap="1" wp14:anchorId="626B8682" wp14:editId="52140370">
                <wp:simplePos x="0" y="0"/>
                <wp:positionH relativeFrom="column">
                  <wp:posOffset>5020945</wp:posOffset>
                </wp:positionH>
                <wp:positionV relativeFrom="paragraph">
                  <wp:posOffset>4221480</wp:posOffset>
                </wp:positionV>
                <wp:extent cx="635" cy="429260"/>
                <wp:effectExtent l="58420" t="12065" r="55245" b="1587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2926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C491B47" id="_x0000_t32" coordsize="21600,21600" o:spt="32" o:oned="t" path="m,l21600,21600e" filled="f">
                <v:path arrowok="t" fillok="f" o:connecttype="none"/>
                <o:lock v:ext="edit" shapetype="t"/>
              </v:shapetype>
              <v:shape id="Straight Arrow Connector 19" o:spid="_x0000_s1026" type="#_x0000_t32" style="position:absolute;margin-left:395.35pt;margin-top:332.4pt;width:.05pt;height:33.8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">
                <v:stroke endarrow="block"/>
                <v:shadow color="#ccc"/>
              </v:shape>
            </w:pict>
          </mc:Fallback>
        </mc:AlternateContent>
      </w:r>
      <w:r w:rsidRPr="006B2E78">
        <w:rPr>
          <w:rFonts w:ascii="Times New Roman" w:hAnsi="Times New Roman"/>
          <w:b/>
          <w:noProof/>
          <w:sz w:val="28"/>
          <w:szCs w:val="28"/>
        </w:rPr>
        <mc:AlternateContent>
          <mc:Choice Requires="wps">
            <w:drawing>
              <wp:anchor distT="36576" distB="36576" distL="36576" distR="36576" simplePos="0" relativeHeight="251670528" behindDoc="0" locked="0" layoutInCell="1" allowOverlap="1" wp14:anchorId="64D4D433" wp14:editId="53DD93AD">
                <wp:simplePos x="0" y="0"/>
                <wp:positionH relativeFrom="column">
                  <wp:posOffset>1052195</wp:posOffset>
                </wp:positionH>
                <wp:positionV relativeFrom="paragraph">
                  <wp:posOffset>4259580</wp:posOffset>
                </wp:positionV>
                <wp:extent cx="635" cy="405765"/>
                <wp:effectExtent l="52070" t="12065" r="61595" b="2032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05765"/>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C8431DD" id="Straight Arrow Connector 18" o:spid="_x0000_s1026" type="#_x0000_t32" style="position:absolute;margin-left:82.85pt;margin-top:335.4pt;width:.05pt;height:31.95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">
                <v:stroke endarrow="block"/>
                <v:shadow color="#ccc"/>
              </v:shape>
            </w:pict>
          </mc:Fallback>
        </mc:AlternateContent>
      </w:r>
      <w:r w:rsidRPr="006B2E78">
        <w:rPr>
          <w:rFonts w:ascii="Times New Roman" w:hAnsi="Times New Roman"/>
          <w:b/>
          <w:noProof/>
          <w:sz w:val="28"/>
          <w:szCs w:val="28"/>
        </w:rPr>
        <mc:AlternateContent>
          <mc:Choice Requires="wps">
            <w:drawing>
              <wp:anchor distT="0" distB="0" distL="114300" distR="114300" simplePos="0" relativeHeight="251665408" behindDoc="0" locked="0" layoutInCell="1" allowOverlap="1" wp14:anchorId="767723F1" wp14:editId="53AADB6C">
                <wp:simplePos x="0" y="0"/>
                <wp:positionH relativeFrom="column">
                  <wp:posOffset>3599815</wp:posOffset>
                </wp:positionH>
                <wp:positionV relativeFrom="paragraph">
                  <wp:posOffset>3495040</wp:posOffset>
                </wp:positionV>
                <wp:extent cx="2938780" cy="726440"/>
                <wp:effectExtent l="8890" t="9525" r="5080" b="698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38780" cy="726440"/>
                        </a:xfrm>
                        <a:prstGeom prst="rect">
                          <a:avLst/>
                        </a:prstGeom>
                        <a:solidFill>
                          <a:srgbClr val="FFFFFF"/>
                        </a:solidFill>
                        <a:ln w="9525">
                          <a:solidFill>
                            <a:srgbClr val="000000"/>
                          </a:solidFill>
                          <a:miter lim="800000"/>
                          <a:headEnd/>
                          <a:tailEnd/>
                        </a:ln>
                      </wps:spPr>
                      <wps:txbx>
                        <w:txbxContent>
                          <w:p w14:paraId="6CBFD561" w14:textId="77777777" w:rsidR="006666F4" w:rsidRPr="00357FC4" w:rsidRDefault="006666F4" w:rsidP="006666F4">
                            <w:pPr>
                              <w:spacing w:after="0"/>
                              <w:jc w:val="center"/>
                              <w:rPr>
                                <w:rFonts w:ascii="Times New Roman" w:hAnsi="Times New Roman"/>
                                <w:lang w:val="en-CA"/>
                              </w:rPr>
                            </w:pPr>
                            <w:r w:rsidRPr="00357FC4">
                              <w:rPr>
                                <w:rFonts w:ascii="Times New Roman" w:hAnsi="Times New Roman"/>
                              </w:rPr>
                              <w:t xml:space="preserve">Allocated to </w:t>
                            </w:r>
                            <w:r>
                              <w:rPr>
                                <w:rFonts w:ascii="Times New Roman" w:hAnsi="Times New Roman"/>
                              </w:rPr>
                              <w:t>control</w:t>
                            </w:r>
                            <w:r w:rsidRPr="00357FC4">
                              <w:rPr>
                                <w:rFonts w:ascii="Times New Roman" w:hAnsi="Times New Roman"/>
                              </w:rPr>
                              <w:t xml:space="preserve"> (n=50)</w:t>
                            </w:r>
                          </w:p>
                          <w:p w14:paraId="1669E0DA" w14:textId="77777777" w:rsidR="006666F4" w:rsidRPr="00F237D4" w:rsidRDefault="006666F4" w:rsidP="006666F4">
                            <w:pPr>
                              <w:spacing w:after="0" w:line="276" w:lineRule="auto"/>
                              <w:jc w:val="center"/>
                              <w:rPr>
                                <w:rFonts w:ascii="Times New Roman" w:hAnsi="Times New Roman"/>
                                <w:sz w:val="24"/>
                                <w:szCs w:val="24"/>
                                <w:lang w:val="en-CA"/>
                              </w:rPr>
                            </w:pPr>
                            <w:r w:rsidRPr="00357FC4">
                              <w:rPr>
                                <w:rFonts w:ascii="Times New Roman" w:hAnsi="Times New Roman"/>
                              </w:rPr>
                              <w:t>Received allocated intervention (n=50)</w:t>
                            </w:r>
                          </w:p>
                          <w:p w14:paraId="76E3D359" w14:textId="77777777" w:rsidR="006666F4" w:rsidRPr="00357FC4" w:rsidRDefault="006666F4" w:rsidP="006666F4">
                            <w:pPr>
                              <w:spacing w:after="0"/>
                              <w:ind w:left="-142"/>
                              <w:jc w:val="center"/>
                              <w:rPr>
                                <w:rFonts w:ascii="Times New Roman" w:hAnsi="Times New Roman"/>
                                <w:sz w:val="24"/>
                                <w:szCs w:val="24"/>
                              </w:rPr>
                            </w:pPr>
                            <w:r>
                              <w:rPr>
                                <w:rFonts w:ascii="Times New Roman" w:hAnsi="Times New Roman"/>
                              </w:rPr>
                              <w:t>Connor-Davidson Resilience Scale (Pretest)</w:t>
                            </w:r>
                          </w:p>
                          <w:p w14:paraId="1D2FFA77" w14:textId="77777777" w:rsidR="006666F4" w:rsidRPr="00357FC4" w:rsidRDefault="006666F4" w:rsidP="006666F4">
                            <w:pPr>
                              <w:numPr>
                                <w:ilvl w:val="0"/>
                                <w:numId w:val="3"/>
                              </w:numPr>
                              <w:spacing w:after="0" w:line="276" w:lineRule="auto"/>
                              <w:ind w:hanging="1337"/>
                              <w:rPr>
                                <w:rFonts w:ascii="Times New Roman" w:hAnsi="Times New Roman"/>
                                <w:sz w:val="24"/>
                                <w:szCs w:val="24"/>
                                <w:lang w:val="en-CA"/>
                              </w:rPr>
                            </w:pP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w14:anchorId="767723F1" id="Rectangle 17" o:spid="_x0000_s1026" style="position:absolute;left:0;text-align:left;margin-left:283.45pt;margin-top:275.2pt;width:231.4pt;height:57.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">
                <v:textbox inset=",7.2pt,,7.2pt">
                  <w:txbxContent>
                    <w:p w14:paraId="6CBFD561" w14:textId="77777777" w:rsidR="006666F4" w:rsidRPr="00357FC4" w:rsidRDefault="006666F4" w:rsidP="006666F4">
                      <w:pPr>
                        <w:spacing w:after="0"/>
                        <w:jc w:val="center"/>
                        <w:rPr>
                          <w:rFonts w:ascii="Times New Roman" w:hAnsi="Times New Roman"/>
                          <w:lang w:val="en-CA"/>
                        </w:rPr>
                      </w:pPr>
                      <w:r w:rsidRPr="00357FC4">
                        <w:rPr>
                          <w:rFonts w:ascii="Times New Roman" w:hAnsi="Times New Roman"/>
                        </w:rPr>
                        <w:t xml:space="preserve">Allocated to </w:t>
                      </w:r>
                      <w:r>
                        <w:rPr>
                          <w:rFonts w:ascii="Times New Roman" w:hAnsi="Times New Roman"/>
                        </w:rPr>
                        <w:t>control</w:t>
                      </w:r>
                      <w:r w:rsidRPr="00357FC4">
                        <w:rPr>
                          <w:rFonts w:ascii="Times New Roman" w:hAnsi="Times New Roman"/>
                        </w:rPr>
                        <w:t xml:space="preserve"> (n=50)</w:t>
                      </w:r>
                    </w:p>
                    <w:p w14:paraId="1669E0DA" w14:textId="77777777" w:rsidR="006666F4" w:rsidRPr="00F237D4" w:rsidRDefault="006666F4" w:rsidP="006666F4">
                      <w:pPr>
                        <w:spacing w:after="0" w:line="276" w:lineRule="auto"/>
                        <w:jc w:val="center"/>
                        <w:rPr>
                          <w:rFonts w:ascii="Times New Roman" w:hAnsi="Times New Roman"/>
                          <w:sz w:val="24"/>
                          <w:szCs w:val="24"/>
                          <w:lang w:val="en-CA"/>
                        </w:rPr>
                      </w:pPr>
                      <w:r w:rsidRPr="00357FC4">
                        <w:rPr>
                          <w:rFonts w:ascii="Times New Roman" w:hAnsi="Times New Roman"/>
                        </w:rPr>
                        <w:t>Received allocated intervention (n=50)</w:t>
                      </w:r>
                    </w:p>
                    <w:p w14:paraId="76E3D359" w14:textId="77777777" w:rsidR="006666F4" w:rsidRPr="00357FC4" w:rsidRDefault="006666F4" w:rsidP="006666F4">
                      <w:pPr>
                        <w:spacing w:after="0"/>
                        <w:ind w:left="-142"/>
                        <w:jc w:val="center"/>
                        <w:rPr>
                          <w:rFonts w:ascii="Times New Roman" w:hAnsi="Times New Roman"/>
                          <w:sz w:val="24"/>
                          <w:szCs w:val="24"/>
                        </w:rPr>
                      </w:pPr>
                      <w:r>
                        <w:rPr>
                          <w:rFonts w:ascii="Times New Roman" w:hAnsi="Times New Roman"/>
                        </w:rPr>
                        <w:t>Connor-Davidson Resilience Scale (Pretest)</w:t>
                      </w:r>
                    </w:p>
                    <w:p w14:paraId="1D2FFA77" w14:textId="77777777" w:rsidR="006666F4" w:rsidRPr="00357FC4" w:rsidRDefault="006666F4" w:rsidP="006666F4">
                      <w:pPr>
                        <w:numPr>
                          <w:ilvl w:val="0"/>
                          <w:numId w:val="3"/>
                        </w:numPr>
                        <w:spacing w:after="0" w:line="276" w:lineRule="auto"/>
                        <w:ind w:hanging="1337"/>
                        <w:rPr>
                          <w:rFonts w:ascii="Times New Roman" w:hAnsi="Times New Roman"/>
                          <w:sz w:val="24"/>
                          <w:szCs w:val="24"/>
                          <w:lang w:val="en-CA"/>
                        </w:rPr>
                      </w:pPr>
                    </w:p>
                  </w:txbxContent>
                </v:textbox>
              </v:rect>
            </w:pict>
          </mc:Fallback>
        </mc:AlternateContent>
      </w:r>
      <w:r w:rsidRPr="006B2E78">
        <w:rPr>
          <w:rFonts w:ascii="Times New Roman" w:hAnsi="Times New Roman"/>
          <w:b/>
          <w:noProof/>
          <w:sz w:val="28"/>
          <w:szCs w:val="28"/>
        </w:rPr>
        <mc:AlternateContent>
          <mc:Choice Requires="wps">
            <w:drawing>
              <wp:anchor distT="0" distB="0" distL="114300" distR="114300" simplePos="0" relativeHeight="251663360" behindDoc="0" locked="0" layoutInCell="1" allowOverlap="1" wp14:anchorId="5CB09646" wp14:editId="7D81E5AD">
                <wp:simplePos x="0" y="0"/>
                <wp:positionH relativeFrom="column">
                  <wp:posOffset>-387985</wp:posOffset>
                </wp:positionH>
                <wp:positionV relativeFrom="paragraph">
                  <wp:posOffset>3480435</wp:posOffset>
                </wp:positionV>
                <wp:extent cx="2847975" cy="779145"/>
                <wp:effectExtent l="12065" t="13970" r="6985" b="698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7975" cy="779145"/>
                        </a:xfrm>
                        <a:prstGeom prst="rect">
                          <a:avLst/>
                        </a:prstGeom>
                        <a:solidFill>
                          <a:srgbClr val="FFFFFF"/>
                        </a:solidFill>
                        <a:ln w="9525">
                          <a:solidFill>
                            <a:srgbClr val="000000"/>
                          </a:solidFill>
                          <a:miter lim="800000"/>
                          <a:headEnd/>
                          <a:tailEnd/>
                        </a:ln>
                      </wps:spPr>
                      <wps:txbx>
                        <w:txbxContent>
                          <w:p w14:paraId="54A867E5" w14:textId="77777777" w:rsidR="006666F4" w:rsidRPr="00357FC4" w:rsidRDefault="006666F4" w:rsidP="006666F4">
                            <w:pPr>
                              <w:spacing w:after="0"/>
                              <w:jc w:val="center"/>
                              <w:rPr>
                                <w:rFonts w:ascii="Times New Roman" w:hAnsi="Times New Roman"/>
                                <w:lang w:val="en-CA"/>
                              </w:rPr>
                            </w:pPr>
                            <w:r w:rsidRPr="00357FC4">
                              <w:rPr>
                                <w:rFonts w:ascii="Times New Roman" w:hAnsi="Times New Roman"/>
                              </w:rPr>
                              <w:t>Allocated to intervention (n=50)</w:t>
                            </w:r>
                          </w:p>
                          <w:p w14:paraId="5BA68CAA" w14:textId="77777777" w:rsidR="006666F4" w:rsidRPr="00357FC4" w:rsidRDefault="006666F4" w:rsidP="006666F4">
                            <w:pPr>
                              <w:numPr>
                                <w:ilvl w:val="0"/>
                                <w:numId w:val="4"/>
                              </w:numPr>
                              <w:spacing w:after="0" w:line="276" w:lineRule="auto"/>
                              <w:ind w:left="426" w:hanging="142"/>
                              <w:rPr>
                                <w:rFonts w:ascii="Times New Roman" w:hAnsi="Times New Roman"/>
                                <w:sz w:val="24"/>
                                <w:szCs w:val="24"/>
                                <w:lang w:val="en-CA"/>
                              </w:rPr>
                            </w:pPr>
                            <w:r w:rsidRPr="00357FC4">
                              <w:rPr>
                                <w:rFonts w:ascii="Times New Roman" w:hAnsi="Times New Roman"/>
                              </w:rPr>
                              <w:t>Received allocated intervention (n=50)</w:t>
                            </w:r>
                          </w:p>
                          <w:p w14:paraId="1F6F32BF" w14:textId="77777777" w:rsidR="006666F4" w:rsidRPr="00357FC4" w:rsidRDefault="006666F4" w:rsidP="006666F4">
                            <w:pPr>
                              <w:spacing w:after="0"/>
                              <w:jc w:val="center"/>
                              <w:rPr>
                                <w:rFonts w:ascii="Times New Roman" w:hAnsi="Times New Roman"/>
                                <w:sz w:val="24"/>
                                <w:szCs w:val="24"/>
                              </w:rPr>
                            </w:pPr>
                            <w:r>
                              <w:rPr>
                                <w:rFonts w:ascii="Times New Roman" w:hAnsi="Times New Roman"/>
                              </w:rPr>
                              <w:t>Connor-Davidson Resilience Scale (Pretest)</w:t>
                            </w: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w14:anchorId="5CB09646" id="Rectangle 16" o:spid="_x0000_s1027" style="position:absolute;left:0;text-align:left;margin-left:-30.55pt;margin-top:274.05pt;width:224.25pt;height:6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">
                <v:textbox inset=",7.2pt,,7.2pt">
                  <w:txbxContent>
                    <w:p w14:paraId="54A867E5" w14:textId="77777777" w:rsidR="006666F4" w:rsidRPr="00357FC4" w:rsidRDefault="006666F4" w:rsidP="006666F4">
                      <w:pPr>
                        <w:spacing w:after="0"/>
                        <w:jc w:val="center"/>
                        <w:rPr>
                          <w:rFonts w:ascii="Times New Roman" w:hAnsi="Times New Roman"/>
                          <w:lang w:val="en-CA"/>
                        </w:rPr>
                      </w:pPr>
                      <w:r w:rsidRPr="00357FC4">
                        <w:rPr>
                          <w:rFonts w:ascii="Times New Roman" w:hAnsi="Times New Roman"/>
                        </w:rPr>
                        <w:t>Allocated to intervention (n=50)</w:t>
                      </w:r>
                    </w:p>
                    <w:p w14:paraId="5BA68CAA" w14:textId="77777777" w:rsidR="006666F4" w:rsidRPr="00357FC4" w:rsidRDefault="006666F4" w:rsidP="006666F4">
                      <w:pPr>
                        <w:numPr>
                          <w:ilvl w:val="0"/>
                          <w:numId w:val="4"/>
                        </w:numPr>
                        <w:spacing w:after="0" w:line="276" w:lineRule="auto"/>
                        <w:ind w:left="426" w:hanging="142"/>
                        <w:rPr>
                          <w:rFonts w:ascii="Times New Roman" w:hAnsi="Times New Roman"/>
                          <w:sz w:val="24"/>
                          <w:szCs w:val="24"/>
                          <w:lang w:val="en-CA"/>
                        </w:rPr>
                      </w:pPr>
                      <w:r w:rsidRPr="00357FC4">
                        <w:rPr>
                          <w:rFonts w:ascii="Times New Roman" w:hAnsi="Times New Roman"/>
                        </w:rPr>
                        <w:t>Received allocated intervention (n=50)</w:t>
                      </w:r>
                    </w:p>
                    <w:p w14:paraId="1F6F32BF" w14:textId="77777777" w:rsidR="006666F4" w:rsidRPr="00357FC4" w:rsidRDefault="006666F4" w:rsidP="006666F4">
                      <w:pPr>
                        <w:spacing w:after="0"/>
                        <w:jc w:val="center"/>
                        <w:rPr>
                          <w:rFonts w:ascii="Times New Roman" w:hAnsi="Times New Roman"/>
                          <w:sz w:val="24"/>
                          <w:szCs w:val="24"/>
                        </w:rPr>
                      </w:pPr>
                      <w:r>
                        <w:rPr>
                          <w:rFonts w:ascii="Times New Roman" w:hAnsi="Times New Roman"/>
                        </w:rPr>
                        <w:t>Connor-Davidson Resilience Scale (Pretest)</w:t>
                      </w:r>
                    </w:p>
                  </w:txbxContent>
                </v:textbox>
              </v:rect>
            </w:pict>
          </mc:Fallback>
        </mc:AlternateContent>
      </w:r>
      <w:r w:rsidRPr="006B2E78">
        <w:rPr>
          <w:rFonts w:ascii="Times New Roman" w:hAnsi="Times New Roman"/>
          <w:b/>
          <w:noProof/>
          <w:sz w:val="28"/>
          <w:szCs w:val="28"/>
        </w:rPr>
        <mc:AlternateContent>
          <mc:Choice Requires="wps">
            <w:drawing>
              <wp:anchor distT="0" distB="0" distL="114300" distR="114300" simplePos="0" relativeHeight="251660288" behindDoc="0" locked="0" layoutInCell="1" allowOverlap="1" wp14:anchorId="7B550D6A" wp14:editId="08F0872F">
                <wp:simplePos x="0" y="0"/>
                <wp:positionH relativeFrom="column">
                  <wp:posOffset>3829050</wp:posOffset>
                </wp:positionH>
                <wp:positionV relativeFrom="paragraph">
                  <wp:posOffset>1466215</wp:posOffset>
                </wp:positionV>
                <wp:extent cx="2693035" cy="914400"/>
                <wp:effectExtent l="9525" t="9525" r="12065" b="952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3035" cy="914400"/>
                        </a:xfrm>
                        <a:prstGeom prst="rect">
                          <a:avLst/>
                        </a:prstGeom>
                        <a:solidFill>
                          <a:srgbClr val="FFFFFF"/>
                        </a:solidFill>
                        <a:ln w="9525">
                          <a:solidFill>
                            <a:srgbClr val="000000"/>
                          </a:solidFill>
                          <a:miter lim="800000"/>
                          <a:headEnd/>
                          <a:tailEnd/>
                        </a:ln>
                      </wps:spPr>
                      <wps:txbx>
                        <w:txbxContent>
                          <w:p w14:paraId="07FA8CD3" w14:textId="77777777" w:rsidR="006666F4" w:rsidRPr="00357FC4" w:rsidRDefault="006666F4" w:rsidP="006666F4">
                            <w:pPr>
                              <w:numPr>
                                <w:ilvl w:val="0"/>
                                <w:numId w:val="5"/>
                              </w:numPr>
                              <w:spacing w:after="0" w:line="276" w:lineRule="auto"/>
                              <w:ind w:left="426"/>
                              <w:rPr>
                                <w:rFonts w:ascii="Times New Roman" w:hAnsi="Times New Roman"/>
                                <w:lang w:val="en-CA"/>
                              </w:rPr>
                            </w:pPr>
                            <w:r w:rsidRPr="00357FC4">
                              <w:rPr>
                                <w:rFonts w:ascii="Times New Roman" w:hAnsi="Times New Roman"/>
                              </w:rPr>
                              <w:t>Excluded (n=8)</w:t>
                            </w:r>
                          </w:p>
                          <w:p w14:paraId="31F94069" w14:textId="77777777" w:rsidR="006666F4" w:rsidRPr="00357FC4" w:rsidRDefault="006666F4" w:rsidP="006666F4">
                            <w:pPr>
                              <w:numPr>
                                <w:ilvl w:val="0"/>
                                <w:numId w:val="5"/>
                              </w:numPr>
                              <w:spacing w:after="0" w:line="276" w:lineRule="auto"/>
                              <w:ind w:left="426"/>
                              <w:rPr>
                                <w:rFonts w:ascii="Times New Roman" w:hAnsi="Times New Roman"/>
                                <w:lang w:val="en-CA"/>
                              </w:rPr>
                            </w:pPr>
                            <w:r w:rsidRPr="00357FC4">
                              <w:rPr>
                                <w:rFonts w:ascii="Times New Roman" w:hAnsi="Times New Roman"/>
                              </w:rPr>
                              <w:t>Not meeting inclusion criteria (n=4)</w:t>
                            </w:r>
                          </w:p>
                          <w:p w14:paraId="4228DA1B" w14:textId="77777777" w:rsidR="006666F4" w:rsidRPr="00357FC4" w:rsidRDefault="006666F4" w:rsidP="006666F4">
                            <w:pPr>
                              <w:numPr>
                                <w:ilvl w:val="0"/>
                                <w:numId w:val="5"/>
                              </w:numPr>
                              <w:spacing w:after="0" w:line="276" w:lineRule="auto"/>
                              <w:ind w:left="426"/>
                              <w:rPr>
                                <w:rFonts w:ascii="Times New Roman" w:hAnsi="Times New Roman"/>
                                <w:lang w:val="en-CA"/>
                              </w:rPr>
                            </w:pPr>
                            <w:r w:rsidRPr="00357FC4">
                              <w:rPr>
                                <w:rFonts w:ascii="Times New Roman" w:hAnsi="Times New Roman"/>
                              </w:rPr>
                              <w:t>Declined to participate (n=14)</w:t>
                            </w: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w14:anchorId="7B550D6A" id="Rectangle 15" o:spid="_x0000_s1028" style="position:absolute;left:0;text-align:left;margin-left:301.5pt;margin-top:115.45pt;width:212.0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">
                <v:textbox inset=",7.2pt,,7.2pt">
                  <w:txbxContent>
                    <w:p w14:paraId="07FA8CD3" w14:textId="77777777" w:rsidR="006666F4" w:rsidRPr="00357FC4" w:rsidRDefault="006666F4" w:rsidP="006666F4">
                      <w:pPr>
                        <w:numPr>
                          <w:ilvl w:val="0"/>
                          <w:numId w:val="5"/>
                        </w:numPr>
                        <w:spacing w:after="0" w:line="276" w:lineRule="auto"/>
                        <w:ind w:left="426"/>
                        <w:rPr>
                          <w:rFonts w:ascii="Times New Roman" w:hAnsi="Times New Roman"/>
                          <w:lang w:val="en-CA"/>
                        </w:rPr>
                      </w:pPr>
                      <w:r w:rsidRPr="00357FC4">
                        <w:rPr>
                          <w:rFonts w:ascii="Times New Roman" w:hAnsi="Times New Roman"/>
                        </w:rPr>
                        <w:t>Excluded (n=8)</w:t>
                      </w:r>
                    </w:p>
                    <w:p w14:paraId="31F94069" w14:textId="77777777" w:rsidR="006666F4" w:rsidRPr="00357FC4" w:rsidRDefault="006666F4" w:rsidP="006666F4">
                      <w:pPr>
                        <w:numPr>
                          <w:ilvl w:val="0"/>
                          <w:numId w:val="5"/>
                        </w:numPr>
                        <w:spacing w:after="0" w:line="276" w:lineRule="auto"/>
                        <w:ind w:left="426"/>
                        <w:rPr>
                          <w:rFonts w:ascii="Times New Roman" w:hAnsi="Times New Roman"/>
                          <w:lang w:val="en-CA"/>
                        </w:rPr>
                      </w:pPr>
                      <w:r w:rsidRPr="00357FC4">
                        <w:rPr>
                          <w:rFonts w:ascii="Times New Roman" w:hAnsi="Times New Roman"/>
                        </w:rPr>
                        <w:t>Not meeting inclusion criteria (n=4)</w:t>
                      </w:r>
                    </w:p>
                    <w:p w14:paraId="4228DA1B" w14:textId="77777777" w:rsidR="006666F4" w:rsidRPr="00357FC4" w:rsidRDefault="006666F4" w:rsidP="006666F4">
                      <w:pPr>
                        <w:numPr>
                          <w:ilvl w:val="0"/>
                          <w:numId w:val="5"/>
                        </w:numPr>
                        <w:spacing w:after="0" w:line="276" w:lineRule="auto"/>
                        <w:ind w:left="426"/>
                        <w:rPr>
                          <w:rFonts w:ascii="Times New Roman" w:hAnsi="Times New Roman"/>
                          <w:lang w:val="en-CA"/>
                        </w:rPr>
                      </w:pPr>
                      <w:r w:rsidRPr="00357FC4">
                        <w:rPr>
                          <w:rFonts w:ascii="Times New Roman" w:hAnsi="Times New Roman"/>
                        </w:rPr>
                        <w:t>Declined to participate (n=14)</w:t>
                      </w:r>
                    </w:p>
                  </w:txbxContent>
                </v:textbox>
              </v:rect>
            </w:pict>
          </mc:Fallback>
        </mc:AlternateContent>
      </w:r>
      <w:r w:rsidRPr="006B2E78">
        <w:rPr>
          <w:rFonts w:ascii="Times New Roman" w:hAnsi="Times New Roman"/>
          <w:b/>
          <w:noProof/>
          <w:sz w:val="28"/>
          <w:szCs w:val="28"/>
        </w:rPr>
        <mc:AlternateContent>
          <mc:Choice Requires="wps">
            <w:drawing>
              <wp:anchor distT="0" distB="0" distL="114300" distR="114300" simplePos="0" relativeHeight="251667456" behindDoc="0" locked="0" layoutInCell="1" allowOverlap="1" wp14:anchorId="0E7ECA4D" wp14:editId="3123B69A">
                <wp:simplePos x="0" y="0"/>
                <wp:positionH relativeFrom="column">
                  <wp:posOffset>2298065</wp:posOffset>
                </wp:positionH>
                <wp:positionV relativeFrom="paragraph">
                  <wp:posOffset>3140710</wp:posOffset>
                </wp:positionV>
                <wp:extent cx="1433830" cy="293370"/>
                <wp:effectExtent l="12065" t="7620" r="11430" b="1333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3830" cy="293370"/>
                        </a:xfrm>
                        <a:prstGeom prst="roundRect">
                          <a:avLst>
                            <a:gd name="adj" fmla="val 16667"/>
                          </a:avLst>
                        </a:prstGeom>
                        <a:solidFill>
                          <a:srgbClr val="A9C7FD"/>
                        </a:solidFill>
                        <a:ln w="9525">
                          <a:solidFill>
                            <a:srgbClr val="000000"/>
                          </a:solidFill>
                          <a:round/>
                          <a:headEnd/>
                          <a:tailEnd/>
                        </a:ln>
                      </wps:spPr>
                      <wps:txbx>
                        <w:txbxContent>
                          <w:p w14:paraId="34440F1B" w14:textId="77777777" w:rsidR="006666F4" w:rsidRPr="00357FC4" w:rsidRDefault="006666F4" w:rsidP="006666F4">
                            <w:pPr>
                              <w:pStyle w:val="Heading2"/>
                              <w:spacing w:before="0"/>
                              <w:jc w:val="center"/>
                              <w:rPr>
                                <w:rFonts w:ascii="Times New Roman" w:hAnsi="Times New Roman"/>
                              </w:rPr>
                            </w:pPr>
                            <w:r w:rsidRPr="00357FC4">
                              <w:rPr>
                                <w:rFonts w:ascii="Times New Roman" w:hAnsi="Times New Roman"/>
                              </w:rPr>
                              <w:t>Allocation</w:t>
                            </w:r>
                          </w:p>
                        </w:txbxContent>
                      </wps:txbx>
                      <wps:bodyPr rot="0" vert="horz" wrap="square" lIns="45720" tIns="45720" rIns="45720" bIns="45720" anchor="t" anchorCtr="0" upright="1"/>
                    </wps:wsp>
                  </a:graphicData>
                </a:graphic>
                <wp14:sizeRelH relativeFrom="page">
                  <wp14:pctWidth>0</wp14:pctWidth>
                </wp14:sizeRelH>
                <wp14:sizeRelV relativeFrom="page">
                  <wp14:pctHeight>0</wp14:pctHeight>
                </wp14:sizeRelV>
              </wp:anchor>
            </w:drawing>
          </mc:Choice>
          <mc:Fallback>
            <w:pict>
              <v:roundrect w14:anchorId="0E7ECA4D" id="Rounded Rectangle 9" o:spid="_x0000_s1029" style="position:absolute;left:0;text-align:left;margin-left:180.95pt;margin-top:247.3pt;width:112.9pt;height:23.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" fillcolor="#a9c7fd">
                <v:textbox inset="3.6pt,,3.6pt">
                  <w:txbxContent>
                    <w:p w14:paraId="34440F1B" w14:textId="77777777" w:rsidR="006666F4" w:rsidRPr="00357FC4" w:rsidRDefault="006666F4" w:rsidP="006666F4">
                      <w:pPr>
                        <w:pStyle w:val="Heading2"/>
                        <w:spacing w:before="0"/>
                        <w:jc w:val="center"/>
                        <w:rPr>
                          <w:rFonts w:ascii="Times New Roman" w:hAnsi="Times New Roman"/>
                        </w:rPr>
                      </w:pPr>
                      <w:r w:rsidRPr="00357FC4">
                        <w:rPr>
                          <w:rFonts w:ascii="Times New Roman" w:hAnsi="Times New Roman"/>
                        </w:rPr>
                        <w:t>Allocation</w:t>
                      </w:r>
                    </w:p>
                  </w:txbxContent>
                </v:textbox>
              </v:roundrect>
            </w:pict>
          </mc:Fallback>
        </mc:AlternateContent>
      </w:r>
      <w:r w:rsidRPr="006B2E78">
        <w:rPr>
          <w:rFonts w:ascii="Times New Roman" w:hAnsi="Times New Roman"/>
          <w:b/>
          <w:noProof/>
          <w:sz w:val="28"/>
          <w:szCs w:val="28"/>
        </w:rPr>
        <mc:AlternateContent>
          <mc:Choice Requires="wps">
            <w:drawing>
              <wp:anchor distT="0" distB="0" distL="114300" distR="114300" simplePos="0" relativeHeight="251677696" behindDoc="0" locked="0" layoutInCell="1" allowOverlap="1" wp14:anchorId="4221087D" wp14:editId="084F7563">
                <wp:simplePos x="0" y="0"/>
                <wp:positionH relativeFrom="column">
                  <wp:posOffset>-291465</wp:posOffset>
                </wp:positionH>
                <wp:positionV relativeFrom="paragraph">
                  <wp:posOffset>871220</wp:posOffset>
                </wp:positionV>
                <wp:extent cx="1547495" cy="323215"/>
                <wp:effectExtent l="13335" t="5080" r="10795" b="5080"/>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7495" cy="323215"/>
                        </a:xfrm>
                        <a:prstGeom prst="roundRect">
                          <a:avLst>
                            <a:gd name="adj" fmla="val 16667"/>
                          </a:avLst>
                        </a:prstGeom>
                        <a:solidFill>
                          <a:srgbClr val="A9C7FD"/>
                        </a:solidFill>
                        <a:ln w="9525">
                          <a:solidFill>
                            <a:srgbClr val="000000"/>
                          </a:solidFill>
                          <a:round/>
                          <a:headEnd/>
                          <a:tailEnd/>
                        </a:ln>
                      </wps:spPr>
                      <wps:txbx>
                        <w:txbxContent>
                          <w:p w14:paraId="32045BB9" w14:textId="77777777" w:rsidR="006666F4" w:rsidRPr="00357FC4" w:rsidRDefault="006666F4" w:rsidP="006666F4">
                            <w:pPr>
                              <w:pStyle w:val="Heading2"/>
                              <w:spacing w:before="0"/>
                              <w:jc w:val="center"/>
                              <w:rPr>
                                <w:rFonts w:ascii="Times New Roman" w:hAnsi="Times New Roman"/>
                              </w:rPr>
                            </w:pPr>
                            <w:r w:rsidRPr="00357FC4">
                              <w:rPr>
                                <w:rFonts w:ascii="Times New Roman" w:hAnsi="Times New Roman"/>
                              </w:rPr>
                              <w:t>Enrollment</w:t>
                            </w:r>
                          </w:p>
                        </w:txbxContent>
                      </wps:txbx>
                      <wps:bodyPr rot="0" vert="horz" wrap="square" lIns="45720" tIns="45720" rIns="45720" bIns="45720" anchor="t" anchorCtr="0" upright="1"/>
                    </wps:wsp>
                  </a:graphicData>
                </a:graphic>
                <wp14:sizeRelH relativeFrom="page">
                  <wp14:pctWidth>0</wp14:pctWidth>
                </wp14:sizeRelH>
                <wp14:sizeRelV relativeFrom="page">
                  <wp14:pctHeight>0</wp14:pctHeight>
                </wp14:sizeRelV>
              </wp:anchor>
            </w:drawing>
          </mc:Choice>
          <mc:Fallback>
            <w:pict>
              <v:roundrect w14:anchorId="4221087D" id="Rounded Rectangle 7" o:spid="_x0000_s1030" style="position:absolute;left:0;text-align:left;margin-left:-22.95pt;margin-top:68.6pt;width:121.85pt;height:25.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" fillcolor="#a9c7fd">
                <v:textbox inset="3.6pt,,3.6pt">
                  <w:txbxContent>
                    <w:p w14:paraId="32045BB9" w14:textId="77777777" w:rsidR="006666F4" w:rsidRPr="00357FC4" w:rsidRDefault="006666F4" w:rsidP="006666F4">
                      <w:pPr>
                        <w:pStyle w:val="Heading2"/>
                        <w:spacing w:before="0"/>
                        <w:jc w:val="center"/>
                        <w:rPr>
                          <w:rFonts w:ascii="Times New Roman" w:hAnsi="Times New Roman"/>
                        </w:rPr>
                      </w:pPr>
                      <w:r w:rsidRPr="00357FC4">
                        <w:rPr>
                          <w:rFonts w:ascii="Times New Roman" w:hAnsi="Times New Roman"/>
                        </w:rPr>
                        <w:t>Enrollment</w:t>
                      </w:r>
                    </w:p>
                  </w:txbxContent>
                </v:textbox>
              </v:roundrect>
            </w:pict>
          </mc:Fallback>
        </mc:AlternateContent>
      </w:r>
      <w:r w:rsidRPr="006B2E78">
        <w:rPr>
          <w:rFonts w:ascii="Times New Roman" w:hAnsi="Times New Roman"/>
          <w:b/>
          <w:noProof/>
          <w:sz w:val="28"/>
          <w:szCs w:val="28"/>
        </w:rPr>
        <mc:AlternateContent>
          <mc:Choice Requires="wps">
            <w:drawing>
              <wp:anchor distT="36576" distB="36576" distL="36576" distR="36576" simplePos="0" relativeHeight="251672576" behindDoc="0" locked="0" layoutInCell="1" allowOverlap="1" wp14:anchorId="6B56FF80" wp14:editId="0394B59C">
                <wp:simplePos x="0" y="0"/>
                <wp:positionH relativeFrom="column">
                  <wp:posOffset>1052195</wp:posOffset>
                </wp:positionH>
                <wp:positionV relativeFrom="paragraph">
                  <wp:posOffset>3080385</wp:posOffset>
                </wp:positionV>
                <wp:extent cx="2331720" cy="400050"/>
                <wp:effectExtent l="61595" t="13970" r="6985" b="14605"/>
                <wp:wrapNone/>
                <wp:docPr id="6" name="Elb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2331720" cy="400050"/>
                        </a:xfrm>
                        <a:prstGeom prst="bentConnector2">
                          <a:avLst/>
                        </a:prstGeom>
                        <a:noFill/>
                        <a:ln w="9525">
                          <a:solidFill>
                            <a:srgbClr val="000000"/>
                          </a:solidFill>
                          <a:miter lim="800000"/>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19B95AFF" id="_x0000_t33" coordsize="21600,21600" o:spt="33" o:oned="t" path="m,l21600,r,21600e" filled="f">
                <v:stroke joinstyle="miter"/>
                <v:path arrowok="t" fillok="f" o:connecttype="none"/>
                <o:lock v:ext="edit" shapetype="t"/>
              </v:shapetype>
              <v:shape id="Elbow Connector 6" o:spid="_x0000_s1026" type="#_x0000_t33" style="position:absolute;margin-left:82.85pt;margin-top:242.55pt;width:183.6pt;height:31.5pt;rotation:180;flip:y;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">
                <v:stroke endarrow="block"/>
                <v:shadow color="#ccc"/>
              </v:shape>
            </w:pict>
          </mc:Fallback>
        </mc:AlternateContent>
      </w:r>
      <w:r w:rsidRPr="006B2E78">
        <w:rPr>
          <w:rFonts w:ascii="Times New Roman" w:hAnsi="Times New Roman"/>
          <w:b/>
          <w:noProof/>
          <w:sz w:val="28"/>
          <w:szCs w:val="28"/>
        </w:rPr>
        <mc:AlternateContent>
          <mc:Choice Requires="wps">
            <w:drawing>
              <wp:anchor distT="36576" distB="36576" distL="36576" distR="36576" simplePos="0" relativeHeight="251676672" behindDoc="0" locked="0" layoutInCell="1" allowOverlap="1" wp14:anchorId="7B07C88E" wp14:editId="74A5FA33">
                <wp:simplePos x="0" y="0"/>
                <wp:positionH relativeFrom="column">
                  <wp:posOffset>3172460</wp:posOffset>
                </wp:positionH>
                <wp:positionV relativeFrom="paragraph">
                  <wp:posOffset>1923415</wp:posOffset>
                </wp:positionV>
                <wp:extent cx="656590" cy="635"/>
                <wp:effectExtent l="10160" t="57150" r="19050" b="5651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6590" cy="635"/>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116AB74" id="Straight Arrow Connector 5" o:spid="_x0000_s1026" type="#_x0000_t32" style="position:absolute;margin-left:249.8pt;margin-top:151.45pt;width:51.7pt;height:.05pt;z-index:251676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">
                <v:stroke endarrow="block"/>
                <v:shadow color="#ccc"/>
              </v:shape>
            </w:pict>
          </mc:Fallback>
        </mc:AlternateContent>
      </w:r>
      <w:r w:rsidRPr="006B2E78">
        <w:rPr>
          <w:rFonts w:ascii="Times New Roman" w:hAnsi="Times New Roman"/>
          <w:b/>
          <w:noProof/>
          <w:sz w:val="28"/>
          <w:szCs w:val="28"/>
        </w:rPr>
        <mc:AlternateContent>
          <mc:Choice Requires="wps">
            <w:drawing>
              <wp:anchor distT="36576" distB="36576" distL="36576" distR="36576" simplePos="0" relativeHeight="251674624" behindDoc="0" locked="0" layoutInCell="1" allowOverlap="1" wp14:anchorId="1E7C783B" wp14:editId="281D3318">
                <wp:simplePos x="0" y="0"/>
                <wp:positionH relativeFrom="column">
                  <wp:posOffset>3171825</wp:posOffset>
                </wp:positionH>
                <wp:positionV relativeFrom="paragraph">
                  <wp:posOffset>1349375</wp:posOffset>
                </wp:positionV>
                <wp:extent cx="635" cy="1732915"/>
                <wp:effectExtent l="57150" t="6985" r="56515" b="222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2915"/>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4C30091" id="Straight Arrow Connector 4" o:spid="_x0000_s1026" type="#_x0000_t32" style="position:absolute;margin-left:249.75pt;margin-top:106.25pt;width:.05pt;height:136.45pt;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">
                <v:stroke endarrow="block"/>
                <v:shadow color="#ccc"/>
              </v:shape>
            </w:pict>
          </mc:Fallback>
        </mc:AlternateContent>
      </w:r>
      <w:r w:rsidRPr="006B2E78">
        <w:rPr>
          <w:rFonts w:ascii="Times New Roman" w:hAnsi="Times New Roman"/>
          <w:b/>
          <w:noProof/>
          <w:sz w:val="28"/>
          <w:szCs w:val="28"/>
        </w:rPr>
        <mc:AlternateContent>
          <mc:Choice Requires="wps">
            <w:drawing>
              <wp:anchor distT="0" distB="0" distL="114300" distR="114300" simplePos="0" relativeHeight="251675648" behindDoc="0" locked="0" layoutInCell="1" allowOverlap="1" wp14:anchorId="033DFA63" wp14:editId="7BBB5332">
                <wp:simplePos x="0" y="0"/>
                <wp:positionH relativeFrom="column">
                  <wp:posOffset>2400300</wp:posOffset>
                </wp:positionH>
                <wp:positionV relativeFrom="paragraph">
                  <wp:posOffset>2493645</wp:posOffset>
                </wp:positionV>
                <wp:extent cx="1611630" cy="342900"/>
                <wp:effectExtent l="9525" t="8255" r="7620" b="1079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1630" cy="342900"/>
                        </a:xfrm>
                        <a:prstGeom prst="rect">
                          <a:avLst/>
                        </a:prstGeom>
                        <a:solidFill>
                          <a:srgbClr val="FFFFFF"/>
                        </a:solidFill>
                        <a:ln w="9525">
                          <a:solidFill>
                            <a:srgbClr val="000000"/>
                          </a:solidFill>
                          <a:miter lim="800000"/>
                          <a:headEnd/>
                          <a:tailEnd/>
                        </a:ln>
                      </wps:spPr>
                      <wps:txbx>
                        <w:txbxContent>
                          <w:p w14:paraId="6C3F84AC" w14:textId="77777777" w:rsidR="006666F4" w:rsidRPr="00357FC4" w:rsidRDefault="006666F4" w:rsidP="006666F4">
                            <w:pPr>
                              <w:widowControl w:val="0"/>
                              <w:jc w:val="center"/>
                              <w:rPr>
                                <w:rFonts w:ascii="Times New Roman" w:hAnsi="Times New Roman"/>
                              </w:rPr>
                            </w:pPr>
                            <w:r w:rsidRPr="00357FC4">
                              <w:rPr>
                                <w:rFonts w:ascii="Times New Roman" w:hAnsi="Times New Roman"/>
                              </w:rPr>
                              <w:t>Randomized (n=100)</w:t>
                            </w: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w14:anchorId="033DFA63" id="Rectangle 3" o:spid="_x0000_s1031" style="position:absolute;left:0;text-align:left;margin-left:189pt;margin-top:196.35pt;width:126.9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">
                <v:textbox inset=",7.2pt,,7.2pt">
                  <w:txbxContent>
                    <w:p w14:paraId="6C3F84AC" w14:textId="77777777" w:rsidR="006666F4" w:rsidRPr="00357FC4" w:rsidRDefault="006666F4" w:rsidP="006666F4">
                      <w:pPr>
                        <w:widowControl w:val="0"/>
                        <w:jc w:val="center"/>
                        <w:rPr>
                          <w:rFonts w:ascii="Times New Roman" w:hAnsi="Times New Roman"/>
                        </w:rPr>
                      </w:pPr>
                      <w:r w:rsidRPr="00357FC4">
                        <w:rPr>
                          <w:rFonts w:ascii="Times New Roman" w:hAnsi="Times New Roman"/>
                        </w:rPr>
                        <w:t>Randomized (n=100)</w:t>
                      </w:r>
                    </w:p>
                  </w:txbxContent>
                </v:textbox>
              </v:rect>
            </w:pict>
          </mc:Fallback>
        </mc:AlternateContent>
      </w:r>
      <w:r w:rsidRPr="006B2E78">
        <w:rPr>
          <w:rFonts w:ascii="Times New Roman" w:hAnsi="Times New Roman"/>
          <w:b/>
          <w:noProof/>
          <w:sz w:val="28"/>
          <w:szCs w:val="28"/>
        </w:rPr>
        <mc:AlternateContent>
          <mc:Choice Requires="wps">
            <w:drawing>
              <wp:anchor distT="0" distB="0" distL="114300" distR="114300" simplePos="0" relativeHeight="251659264" behindDoc="0" locked="0" layoutInCell="1" allowOverlap="1" wp14:anchorId="5C739DF3" wp14:editId="5A7F5CB3">
                <wp:simplePos x="0" y="0"/>
                <wp:positionH relativeFrom="column">
                  <wp:posOffset>2171700</wp:posOffset>
                </wp:positionH>
                <wp:positionV relativeFrom="paragraph">
                  <wp:posOffset>951865</wp:posOffset>
                </wp:positionV>
                <wp:extent cx="2000250" cy="397510"/>
                <wp:effectExtent l="9525" t="9525" r="9525"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0" cy="397510"/>
                        </a:xfrm>
                        <a:prstGeom prst="rect">
                          <a:avLst/>
                        </a:prstGeom>
                        <a:solidFill>
                          <a:srgbClr val="FFFFFF"/>
                        </a:solidFill>
                        <a:ln w="9525">
                          <a:solidFill>
                            <a:srgbClr val="000000"/>
                          </a:solidFill>
                          <a:miter lim="800000"/>
                          <a:headEnd/>
                          <a:tailEnd/>
                        </a:ln>
                      </wps:spPr>
                      <wps:txbx>
                        <w:txbxContent>
                          <w:p w14:paraId="5BD1AABA" w14:textId="77777777" w:rsidR="006666F4" w:rsidRPr="00357FC4" w:rsidRDefault="006666F4" w:rsidP="006666F4">
                            <w:pPr>
                              <w:jc w:val="center"/>
                              <w:rPr>
                                <w:rFonts w:ascii="Times New Roman" w:hAnsi="Times New Roman"/>
                              </w:rPr>
                            </w:pPr>
                            <w:r w:rsidRPr="00357FC4">
                              <w:rPr>
                                <w:rFonts w:ascii="Times New Roman" w:hAnsi="Times New Roman"/>
                              </w:rPr>
                              <w:t>Assessed for eligibility (n=216)</w:t>
                            </w: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w14:anchorId="5C739DF3" id="Rectangle 2" o:spid="_x0000_s1032" style="position:absolute;left:0;text-align:left;margin-left:171pt;margin-top:74.95pt;width:157.5pt;height:3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">
                <v:textbox inset=",7.2pt,,7.2pt">
                  <w:txbxContent>
                    <w:p w14:paraId="5BD1AABA" w14:textId="77777777" w:rsidR="006666F4" w:rsidRPr="00357FC4" w:rsidRDefault="006666F4" w:rsidP="006666F4">
                      <w:pPr>
                        <w:jc w:val="center"/>
                        <w:rPr>
                          <w:rFonts w:ascii="Times New Roman" w:hAnsi="Times New Roman"/>
                        </w:rPr>
                      </w:pPr>
                      <w:r w:rsidRPr="00357FC4">
                        <w:rPr>
                          <w:rFonts w:ascii="Times New Roman" w:hAnsi="Times New Roman"/>
                        </w:rPr>
                        <w:t>Assessed for eligibility (n=216)</w:t>
                      </w:r>
                    </w:p>
                  </w:txbxContent>
                </v:textbox>
              </v:rect>
            </w:pict>
          </mc:Fallback>
        </mc:AlternateContent>
      </w:r>
      <w:r w:rsidRPr="006B2E78">
        <w:rPr>
          <w:rFonts w:ascii="Times New Roman" w:hAnsi="Times New Roman"/>
          <w:b/>
          <w:noProof/>
          <w:sz w:val="28"/>
          <w:szCs w:val="28"/>
        </w:rPr>
        <mc:AlternateContent>
          <mc:Choice Requires="wps">
            <w:drawing>
              <wp:anchor distT="36576" distB="36576" distL="36576" distR="36576" simplePos="0" relativeHeight="251673600" behindDoc="0" locked="0" layoutInCell="1" allowOverlap="1" wp14:anchorId="63142EAB" wp14:editId="184F48B0">
                <wp:simplePos x="0" y="0"/>
                <wp:positionH relativeFrom="column">
                  <wp:posOffset>2689225</wp:posOffset>
                </wp:positionH>
                <wp:positionV relativeFrom="paragraph">
                  <wp:posOffset>3080385</wp:posOffset>
                </wp:positionV>
                <wp:extent cx="2331720" cy="400050"/>
                <wp:effectExtent l="12700" t="13970" r="55880" b="14605"/>
                <wp:wrapNone/>
                <wp:docPr id="1" name="Elb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31720" cy="400050"/>
                        </a:xfrm>
                        <a:prstGeom prst="bentConnector2">
                          <a:avLst/>
                        </a:prstGeom>
                        <a:noFill/>
                        <a:ln w="9525">
                          <a:solidFill>
                            <a:srgbClr val="000000"/>
                          </a:solidFill>
                          <a:miter lim="800000"/>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4EB1A5E" id="Elbow Connector 1" o:spid="_x0000_s1026" type="#_x0000_t33" style="position:absolute;margin-left:211.75pt;margin-top:242.55pt;width:183.6pt;height:31.5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">
                <v:stroke endarrow="block"/>
                <v:shadow color="#ccc"/>
              </v:shape>
            </w:pict>
          </mc:Fallback>
        </mc:AlternateContent>
      </w:r>
    </w:p>
    <w:p w14:paraId="4EDDC67C" w14:textId="77777777" w:rsidR="006666F4" w:rsidRDefault="006666F4" w:rsidP="006666F4">
      <w:pPr>
        <w:jc w:val="both"/>
        <w:rPr>
          <w:rFonts w:asciiTheme="majorBidi" w:hAnsiTheme="majorBidi" w:cstheme="majorBidi"/>
        </w:rPr>
      </w:pPr>
    </w:p>
    <w:p w14:paraId="2D1473AA" w14:textId="77777777" w:rsidR="006666F4" w:rsidRDefault="006666F4" w:rsidP="006666F4">
      <w:pPr>
        <w:jc w:val="both"/>
        <w:rPr>
          <w:rFonts w:asciiTheme="majorBidi" w:hAnsiTheme="majorBidi" w:cstheme="majorBidi"/>
        </w:rPr>
      </w:pPr>
    </w:p>
    <w:p w14:paraId="04A61AD3" w14:textId="77777777" w:rsidR="006666F4" w:rsidRDefault="006666F4" w:rsidP="006666F4">
      <w:pPr>
        <w:jc w:val="both"/>
        <w:rPr>
          <w:rFonts w:asciiTheme="majorBidi" w:hAnsiTheme="majorBidi" w:cstheme="majorBidi"/>
        </w:rPr>
      </w:pPr>
    </w:p>
    <w:p w14:paraId="735FD0DD" w14:textId="77777777" w:rsidR="006666F4" w:rsidRDefault="006666F4" w:rsidP="006666F4">
      <w:pPr>
        <w:jc w:val="both"/>
        <w:rPr>
          <w:rFonts w:asciiTheme="majorBidi" w:hAnsiTheme="majorBidi" w:cstheme="majorBidi"/>
        </w:rPr>
      </w:pPr>
    </w:p>
    <w:p w14:paraId="3DDCA1AD" w14:textId="77777777" w:rsidR="006666F4" w:rsidRDefault="006666F4" w:rsidP="006666F4">
      <w:pPr>
        <w:jc w:val="both"/>
        <w:rPr>
          <w:rFonts w:asciiTheme="majorBidi" w:hAnsiTheme="majorBidi" w:cstheme="majorBidi"/>
        </w:rPr>
      </w:pPr>
    </w:p>
    <w:p w14:paraId="54333932" w14:textId="77777777" w:rsidR="006666F4" w:rsidRDefault="006666F4" w:rsidP="006666F4">
      <w:pPr>
        <w:jc w:val="both"/>
        <w:rPr>
          <w:rFonts w:asciiTheme="majorBidi" w:hAnsiTheme="majorBidi" w:cstheme="majorBidi"/>
        </w:rPr>
      </w:pPr>
    </w:p>
    <w:p w14:paraId="4C261AB7" w14:textId="77777777" w:rsidR="006666F4" w:rsidRDefault="006666F4" w:rsidP="006666F4">
      <w:pPr>
        <w:jc w:val="both"/>
        <w:rPr>
          <w:rFonts w:asciiTheme="majorBidi" w:hAnsiTheme="majorBidi" w:cstheme="majorBidi"/>
        </w:rPr>
      </w:pPr>
    </w:p>
    <w:p w14:paraId="6CDBB95E" w14:textId="77777777" w:rsidR="006666F4" w:rsidRDefault="006666F4" w:rsidP="006666F4">
      <w:pPr>
        <w:jc w:val="both"/>
        <w:rPr>
          <w:rFonts w:asciiTheme="majorBidi" w:hAnsiTheme="majorBidi" w:cstheme="majorBidi"/>
        </w:rPr>
      </w:pPr>
    </w:p>
    <w:p w14:paraId="446331A7" w14:textId="77777777" w:rsidR="006666F4" w:rsidRDefault="006666F4" w:rsidP="006666F4">
      <w:pPr>
        <w:jc w:val="both"/>
        <w:rPr>
          <w:rFonts w:asciiTheme="majorBidi" w:hAnsiTheme="majorBidi" w:cstheme="majorBidi"/>
        </w:rPr>
      </w:pPr>
    </w:p>
    <w:p w14:paraId="2C7499BA" w14:textId="77777777" w:rsidR="006666F4" w:rsidRDefault="006666F4" w:rsidP="006666F4">
      <w:pPr>
        <w:jc w:val="both"/>
        <w:rPr>
          <w:rFonts w:asciiTheme="majorBidi" w:hAnsiTheme="majorBidi" w:cstheme="majorBidi"/>
        </w:rPr>
      </w:pPr>
    </w:p>
    <w:p w14:paraId="103A480B" w14:textId="77777777" w:rsidR="006666F4" w:rsidRDefault="006666F4" w:rsidP="006666F4">
      <w:pPr>
        <w:jc w:val="both"/>
        <w:rPr>
          <w:rFonts w:asciiTheme="majorBidi" w:hAnsiTheme="majorBidi" w:cstheme="majorBidi"/>
        </w:rPr>
      </w:pPr>
    </w:p>
    <w:p w14:paraId="26EA8ED0" w14:textId="77777777" w:rsidR="006666F4" w:rsidRDefault="006666F4" w:rsidP="006666F4">
      <w:pPr>
        <w:jc w:val="both"/>
        <w:rPr>
          <w:rFonts w:asciiTheme="majorBidi" w:hAnsiTheme="majorBidi" w:cstheme="majorBidi"/>
        </w:rPr>
      </w:pPr>
    </w:p>
    <w:p w14:paraId="0F75799D" w14:textId="77777777" w:rsidR="006666F4" w:rsidRDefault="006666F4" w:rsidP="006666F4">
      <w:pPr>
        <w:jc w:val="both"/>
        <w:rPr>
          <w:rFonts w:asciiTheme="majorBidi" w:hAnsiTheme="majorBidi" w:cstheme="majorBidi"/>
        </w:rPr>
      </w:pPr>
      <w:r w:rsidRPr="006B2E78">
        <w:rPr>
          <w:rFonts w:ascii="Times New Roman" w:hAnsi="Times New Roman"/>
          <w:b/>
          <w:noProof/>
          <w:sz w:val="28"/>
          <w:szCs w:val="28"/>
        </w:rPr>
        <mc:AlternateContent>
          <mc:Choice Requires="wps">
            <w:drawing>
              <wp:anchor distT="0" distB="0" distL="114300" distR="114300" simplePos="0" relativeHeight="251669504" behindDoc="0" locked="0" layoutInCell="1" allowOverlap="1" wp14:anchorId="34A4575D" wp14:editId="1FB852F2">
                <wp:simplePos x="0" y="0"/>
                <wp:positionH relativeFrom="column">
                  <wp:posOffset>2315845</wp:posOffset>
                </wp:positionH>
                <wp:positionV relativeFrom="paragraph">
                  <wp:posOffset>213351</wp:posOffset>
                </wp:positionV>
                <wp:extent cx="1443990" cy="312420"/>
                <wp:effectExtent l="11430" t="13970" r="11430" b="6985"/>
                <wp:wrapNone/>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3990" cy="312420"/>
                        </a:xfrm>
                        <a:prstGeom prst="roundRect">
                          <a:avLst>
                            <a:gd name="adj" fmla="val 16667"/>
                          </a:avLst>
                        </a:prstGeom>
                        <a:solidFill>
                          <a:srgbClr val="A9C7FD"/>
                        </a:solidFill>
                        <a:ln w="9525">
                          <a:solidFill>
                            <a:srgbClr val="000000"/>
                          </a:solidFill>
                          <a:round/>
                          <a:headEnd/>
                          <a:tailEnd/>
                        </a:ln>
                      </wps:spPr>
                      <wps:txbx>
                        <w:txbxContent>
                          <w:p w14:paraId="158F7F4F" w14:textId="77777777" w:rsidR="006666F4" w:rsidRPr="00357FC4" w:rsidRDefault="006666F4" w:rsidP="006666F4">
                            <w:pPr>
                              <w:pStyle w:val="Heading2"/>
                              <w:spacing w:before="0"/>
                              <w:jc w:val="center"/>
                              <w:rPr>
                                <w:rFonts w:ascii="Times New Roman" w:hAnsi="Times New Roman"/>
                              </w:rPr>
                            </w:pPr>
                            <w:r w:rsidRPr="00357FC4">
                              <w:rPr>
                                <w:rFonts w:ascii="Times New Roman" w:hAnsi="Times New Roman"/>
                              </w:rPr>
                              <w:t>Follow-Up</w:t>
                            </w:r>
                          </w:p>
                        </w:txbxContent>
                      </wps:txbx>
                      <wps:bodyPr rot="0" vert="horz" wrap="square" lIns="45720" tIns="45720" rIns="45720" bIns="45720" anchor="t" anchorCtr="0" upright="1"/>
                    </wps:wsp>
                  </a:graphicData>
                </a:graphic>
                <wp14:sizeRelH relativeFrom="page">
                  <wp14:pctWidth>0</wp14:pctWidth>
                </wp14:sizeRelH>
                <wp14:sizeRelV relativeFrom="page">
                  <wp14:pctHeight>0</wp14:pctHeight>
                </wp14:sizeRelV>
              </wp:anchor>
            </w:drawing>
          </mc:Choice>
          <mc:Fallback>
            <w:pict>
              <v:roundrect w14:anchorId="34A4575D" id="Rounded Rectangle 10" o:spid="_x0000_s1033" style="position:absolute;left:0;text-align:left;margin-left:182.35pt;margin-top:16.8pt;width:113.7pt;height:24.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" fillcolor="#a9c7fd">
                <v:textbox inset="3.6pt,,3.6pt">
                  <w:txbxContent>
                    <w:p w14:paraId="158F7F4F" w14:textId="77777777" w:rsidR="006666F4" w:rsidRPr="00357FC4" w:rsidRDefault="006666F4" w:rsidP="006666F4">
                      <w:pPr>
                        <w:pStyle w:val="Heading2"/>
                        <w:spacing w:before="0"/>
                        <w:jc w:val="center"/>
                        <w:rPr>
                          <w:rFonts w:ascii="Times New Roman" w:hAnsi="Times New Roman"/>
                        </w:rPr>
                      </w:pPr>
                      <w:r w:rsidRPr="00357FC4">
                        <w:rPr>
                          <w:rFonts w:ascii="Times New Roman" w:hAnsi="Times New Roman"/>
                        </w:rPr>
                        <w:t>Follow-Up</w:t>
                      </w:r>
                    </w:p>
                  </w:txbxContent>
                </v:textbox>
              </v:roundrect>
            </w:pict>
          </mc:Fallback>
        </mc:AlternateContent>
      </w:r>
    </w:p>
    <w:p w14:paraId="28C72A6B" w14:textId="77777777" w:rsidR="006666F4" w:rsidRDefault="006666F4" w:rsidP="006666F4">
      <w:pPr>
        <w:jc w:val="both"/>
        <w:rPr>
          <w:rFonts w:asciiTheme="majorBidi" w:hAnsiTheme="majorBidi" w:cstheme="majorBidi"/>
        </w:rPr>
      </w:pPr>
      <w:r w:rsidRPr="006B2E78">
        <w:rPr>
          <w:rFonts w:ascii="Times New Roman" w:hAnsi="Times New Roman"/>
          <w:b/>
          <w:noProof/>
          <w:sz w:val="28"/>
          <w:szCs w:val="28"/>
        </w:rPr>
        <mc:AlternateContent>
          <mc:Choice Requires="wps">
            <w:drawing>
              <wp:anchor distT="0" distB="0" distL="114300" distR="114300" simplePos="0" relativeHeight="251662336" behindDoc="0" locked="0" layoutInCell="1" allowOverlap="1" wp14:anchorId="7D52BE50" wp14:editId="6A5C104D">
                <wp:simplePos x="0" y="0"/>
                <wp:positionH relativeFrom="column">
                  <wp:posOffset>-394080</wp:posOffset>
                </wp:positionH>
                <wp:positionV relativeFrom="paragraph">
                  <wp:posOffset>297180</wp:posOffset>
                </wp:positionV>
                <wp:extent cx="2843530" cy="1190625"/>
                <wp:effectExtent l="10795" t="7620" r="12700" b="1143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3530" cy="1190625"/>
                        </a:xfrm>
                        <a:prstGeom prst="rect">
                          <a:avLst/>
                        </a:prstGeom>
                        <a:solidFill>
                          <a:srgbClr val="FFFFFF"/>
                        </a:solidFill>
                        <a:ln w="9525">
                          <a:solidFill>
                            <a:srgbClr val="000000"/>
                          </a:solidFill>
                          <a:miter lim="800000"/>
                          <a:headEnd/>
                          <a:tailEnd/>
                        </a:ln>
                      </wps:spPr>
                      <wps:txbx>
                        <w:txbxContent>
                          <w:p w14:paraId="3D13B618" w14:textId="77777777" w:rsidR="006666F4" w:rsidRPr="00357FC4" w:rsidRDefault="006666F4" w:rsidP="006666F4">
                            <w:pPr>
                              <w:jc w:val="center"/>
                              <w:rPr>
                                <w:rFonts w:ascii="Times New Roman" w:hAnsi="Times New Roman"/>
                                <w:lang w:val="en-CA"/>
                              </w:rPr>
                            </w:pPr>
                            <w:r w:rsidRPr="00357FC4">
                              <w:rPr>
                                <w:rFonts w:ascii="Times New Roman" w:hAnsi="Times New Roman"/>
                              </w:rPr>
                              <w:t>Discontinued intervention</w:t>
                            </w:r>
                          </w:p>
                          <w:p w14:paraId="383D79A1" w14:textId="77777777" w:rsidR="006666F4" w:rsidRPr="00357FC4" w:rsidRDefault="006666F4" w:rsidP="006666F4">
                            <w:pPr>
                              <w:jc w:val="center"/>
                              <w:rPr>
                                <w:rFonts w:ascii="Times New Roman" w:hAnsi="Times New Roman"/>
                                <w:lang w:val="en-CA"/>
                              </w:rPr>
                            </w:pPr>
                            <w:r w:rsidRPr="00357FC4">
                              <w:rPr>
                                <w:rFonts w:ascii="Times New Roman" w:hAnsi="Times New Roman"/>
                              </w:rPr>
                              <w:t>Reason: Lost to follow-up (n=0) Unwillingness to continue cooperation (3)</w:t>
                            </w:r>
                          </w:p>
                          <w:p w14:paraId="296FF732" w14:textId="77777777" w:rsidR="006666F4" w:rsidRPr="00357FC4" w:rsidRDefault="006666F4" w:rsidP="006666F4">
                            <w:pPr>
                              <w:spacing w:after="0"/>
                              <w:jc w:val="center"/>
                              <w:rPr>
                                <w:rFonts w:ascii="Times New Roman" w:hAnsi="Times New Roman"/>
                                <w:sz w:val="24"/>
                                <w:szCs w:val="24"/>
                              </w:rPr>
                            </w:pPr>
                            <w:r>
                              <w:rPr>
                                <w:rFonts w:ascii="Times New Roman" w:hAnsi="Times New Roman"/>
                              </w:rPr>
                              <w:t>Connor-Davidson Resilience Scale (Posttest)</w:t>
                            </w:r>
                          </w:p>
                          <w:p w14:paraId="476B0D9C" w14:textId="77777777" w:rsidR="006666F4" w:rsidRPr="00357FC4" w:rsidRDefault="006666F4" w:rsidP="006666F4">
                            <w:pPr>
                              <w:jc w:val="center"/>
                              <w:rPr>
                                <w:rFonts w:ascii="Times New Roman" w:hAnsi="Times New Roman"/>
                              </w:rPr>
                            </w:pP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w14:anchorId="7D52BE50" id="Rectangle 11" o:spid="_x0000_s1034" style="position:absolute;left:0;text-align:left;margin-left:-31.05pt;margin-top:23.4pt;width:223.9pt;height:9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">
                <v:textbox inset=",7.2pt,,7.2pt">
                  <w:txbxContent>
                    <w:p w14:paraId="3D13B618" w14:textId="77777777" w:rsidR="006666F4" w:rsidRPr="00357FC4" w:rsidRDefault="006666F4" w:rsidP="006666F4">
                      <w:pPr>
                        <w:jc w:val="center"/>
                        <w:rPr>
                          <w:rFonts w:ascii="Times New Roman" w:hAnsi="Times New Roman"/>
                          <w:lang w:val="en-CA"/>
                        </w:rPr>
                      </w:pPr>
                      <w:r w:rsidRPr="00357FC4">
                        <w:rPr>
                          <w:rFonts w:ascii="Times New Roman" w:hAnsi="Times New Roman"/>
                        </w:rPr>
                        <w:t>Discontinued intervention</w:t>
                      </w:r>
                    </w:p>
                    <w:p w14:paraId="383D79A1" w14:textId="77777777" w:rsidR="006666F4" w:rsidRPr="00357FC4" w:rsidRDefault="006666F4" w:rsidP="006666F4">
                      <w:pPr>
                        <w:jc w:val="center"/>
                        <w:rPr>
                          <w:rFonts w:ascii="Times New Roman" w:hAnsi="Times New Roman"/>
                          <w:lang w:val="en-CA"/>
                        </w:rPr>
                      </w:pPr>
                      <w:r w:rsidRPr="00357FC4">
                        <w:rPr>
                          <w:rFonts w:ascii="Times New Roman" w:hAnsi="Times New Roman"/>
                        </w:rPr>
                        <w:t>Reason: Lost to follow-up (n=0) Unwillingness to continue cooperation (3)</w:t>
                      </w:r>
                    </w:p>
                    <w:p w14:paraId="296FF732" w14:textId="77777777" w:rsidR="006666F4" w:rsidRPr="00357FC4" w:rsidRDefault="006666F4" w:rsidP="006666F4">
                      <w:pPr>
                        <w:spacing w:after="0"/>
                        <w:jc w:val="center"/>
                        <w:rPr>
                          <w:rFonts w:ascii="Times New Roman" w:hAnsi="Times New Roman"/>
                          <w:sz w:val="24"/>
                          <w:szCs w:val="24"/>
                        </w:rPr>
                      </w:pPr>
                      <w:r>
                        <w:rPr>
                          <w:rFonts w:ascii="Times New Roman" w:hAnsi="Times New Roman"/>
                        </w:rPr>
                        <w:t>Connor-Davidson Resilience Scale (Posttest)</w:t>
                      </w:r>
                    </w:p>
                    <w:p w14:paraId="476B0D9C" w14:textId="77777777" w:rsidR="006666F4" w:rsidRPr="00357FC4" w:rsidRDefault="006666F4" w:rsidP="006666F4">
                      <w:pPr>
                        <w:jc w:val="center"/>
                        <w:rPr>
                          <w:rFonts w:ascii="Times New Roman" w:hAnsi="Times New Roman"/>
                        </w:rPr>
                      </w:pPr>
                    </w:p>
                  </w:txbxContent>
                </v:textbox>
              </v:rect>
            </w:pict>
          </mc:Fallback>
        </mc:AlternateContent>
      </w:r>
    </w:p>
    <w:p w14:paraId="7BB30F0D" w14:textId="77777777" w:rsidR="006666F4" w:rsidRDefault="006666F4" w:rsidP="006666F4">
      <w:pPr>
        <w:jc w:val="both"/>
        <w:rPr>
          <w:rFonts w:asciiTheme="majorBidi" w:hAnsiTheme="majorBidi" w:cstheme="majorBidi"/>
        </w:rPr>
      </w:pPr>
      <w:r w:rsidRPr="006B2E78">
        <w:rPr>
          <w:rFonts w:ascii="Times New Roman" w:hAnsi="Times New Roman"/>
          <w:b/>
          <w:noProof/>
          <w:sz w:val="28"/>
          <w:szCs w:val="28"/>
        </w:rPr>
        <mc:AlternateContent>
          <mc:Choice Requires="wps">
            <w:drawing>
              <wp:anchor distT="0" distB="0" distL="114300" distR="114300" simplePos="0" relativeHeight="251664384" behindDoc="0" locked="0" layoutInCell="1" allowOverlap="1" wp14:anchorId="68EA42F2" wp14:editId="7E172A1B">
                <wp:simplePos x="0" y="0"/>
                <wp:positionH relativeFrom="column">
                  <wp:posOffset>3715962</wp:posOffset>
                </wp:positionH>
                <wp:positionV relativeFrom="paragraph">
                  <wp:posOffset>24510</wp:posOffset>
                </wp:positionV>
                <wp:extent cx="2843530" cy="1171575"/>
                <wp:effectExtent l="8890" t="7620" r="5080" b="1143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3530" cy="1171575"/>
                        </a:xfrm>
                        <a:prstGeom prst="rect">
                          <a:avLst/>
                        </a:prstGeom>
                        <a:solidFill>
                          <a:srgbClr val="FFFFFF"/>
                        </a:solidFill>
                        <a:ln w="9525">
                          <a:solidFill>
                            <a:srgbClr val="000000"/>
                          </a:solidFill>
                          <a:miter lim="800000"/>
                          <a:headEnd/>
                          <a:tailEnd/>
                        </a:ln>
                      </wps:spPr>
                      <wps:txbx>
                        <w:txbxContent>
                          <w:p w14:paraId="70F5E858" w14:textId="77777777" w:rsidR="006666F4" w:rsidRPr="00357FC4" w:rsidRDefault="006666F4" w:rsidP="006666F4">
                            <w:pPr>
                              <w:jc w:val="center"/>
                              <w:rPr>
                                <w:rFonts w:ascii="Times New Roman" w:hAnsi="Times New Roman"/>
                                <w:lang w:val="en-CA"/>
                              </w:rPr>
                            </w:pPr>
                            <w:r w:rsidRPr="00357FC4">
                              <w:rPr>
                                <w:rFonts w:ascii="Times New Roman" w:hAnsi="Times New Roman"/>
                              </w:rPr>
                              <w:t>Discontinued intervention</w:t>
                            </w:r>
                          </w:p>
                          <w:p w14:paraId="24DF6D89" w14:textId="77777777" w:rsidR="006666F4" w:rsidRDefault="006666F4" w:rsidP="006666F4">
                            <w:pPr>
                              <w:jc w:val="center"/>
                              <w:rPr>
                                <w:rFonts w:ascii="Times New Roman" w:hAnsi="Times New Roman"/>
                                <w:lang w:val="en-CA"/>
                              </w:rPr>
                            </w:pPr>
                            <w:r w:rsidRPr="00357FC4">
                              <w:rPr>
                                <w:rFonts w:ascii="Times New Roman" w:hAnsi="Times New Roman"/>
                              </w:rPr>
                              <w:t>Reason: Lost to follow-up (n=0) Unwillingness to continue cooperation (1)</w:t>
                            </w:r>
                          </w:p>
                          <w:p w14:paraId="2A79D419" w14:textId="77777777" w:rsidR="006666F4" w:rsidRPr="00357FC4" w:rsidRDefault="006666F4" w:rsidP="006666F4">
                            <w:pPr>
                              <w:spacing w:after="0"/>
                              <w:jc w:val="center"/>
                              <w:rPr>
                                <w:rFonts w:ascii="Times New Roman" w:hAnsi="Times New Roman"/>
                                <w:sz w:val="24"/>
                                <w:szCs w:val="24"/>
                              </w:rPr>
                            </w:pPr>
                            <w:r>
                              <w:rPr>
                                <w:rFonts w:ascii="Times New Roman" w:hAnsi="Times New Roman"/>
                              </w:rPr>
                              <w:t>Connor-Davidson Resilience Scale (Posttest)</w:t>
                            </w:r>
                          </w:p>
                          <w:p w14:paraId="1ECA86D2" w14:textId="77777777" w:rsidR="006666F4" w:rsidRPr="00357FC4" w:rsidRDefault="006666F4" w:rsidP="006666F4">
                            <w:pPr>
                              <w:jc w:val="center"/>
                              <w:rPr>
                                <w:rFonts w:ascii="Times New Roman" w:hAnsi="Times New Roman"/>
                                <w:lang w:val="en-CA"/>
                              </w:rPr>
                            </w:pPr>
                          </w:p>
                          <w:p w14:paraId="5AA2E18E" w14:textId="77777777" w:rsidR="006666F4" w:rsidRPr="00357FC4" w:rsidRDefault="006666F4" w:rsidP="006666F4">
                            <w:pPr>
                              <w:jc w:val="center"/>
                              <w:rPr>
                                <w:rFonts w:ascii="Times New Roman" w:hAnsi="Times New Roman"/>
                                <w:lang w:val="en-CA"/>
                              </w:rPr>
                            </w:pP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w14:anchorId="68EA42F2" id="Rectangle 12" o:spid="_x0000_s1035" style="position:absolute;left:0;text-align:left;margin-left:292.6pt;margin-top:1.95pt;width:223.9pt;height:9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">
                <v:textbox inset=",7.2pt,,7.2pt">
                  <w:txbxContent>
                    <w:p w14:paraId="70F5E858" w14:textId="77777777" w:rsidR="006666F4" w:rsidRPr="00357FC4" w:rsidRDefault="006666F4" w:rsidP="006666F4">
                      <w:pPr>
                        <w:jc w:val="center"/>
                        <w:rPr>
                          <w:rFonts w:ascii="Times New Roman" w:hAnsi="Times New Roman"/>
                          <w:lang w:val="en-CA"/>
                        </w:rPr>
                      </w:pPr>
                      <w:r w:rsidRPr="00357FC4">
                        <w:rPr>
                          <w:rFonts w:ascii="Times New Roman" w:hAnsi="Times New Roman"/>
                        </w:rPr>
                        <w:t>Discontinued intervention</w:t>
                      </w:r>
                    </w:p>
                    <w:p w14:paraId="24DF6D89" w14:textId="77777777" w:rsidR="006666F4" w:rsidRDefault="006666F4" w:rsidP="006666F4">
                      <w:pPr>
                        <w:jc w:val="center"/>
                        <w:rPr>
                          <w:rFonts w:ascii="Times New Roman" w:hAnsi="Times New Roman"/>
                          <w:lang w:val="en-CA"/>
                        </w:rPr>
                      </w:pPr>
                      <w:r w:rsidRPr="00357FC4">
                        <w:rPr>
                          <w:rFonts w:ascii="Times New Roman" w:hAnsi="Times New Roman"/>
                        </w:rPr>
                        <w:t>Reason: Lost to follow-up (n=0) Unwillingness to continue cooperation (1)</w:t>
                      </w:r>
                    </w:p>
                    <w:p w14:paraId="2A79D419" w14:textId="77777777" w:rsidR="006666F4" w:rsidRPr="00357FC4" w:rsidRDefault="006666F4" w:rsidP="006666F4">
                      <w:pPr>
                        <w:spacing w:after="0"/>
                        <w:jc w:val="center"/>
                        <w:rPr>
                          <w:rFonts w:ascii="Times New Roman" w:hAnsi="Times New Roman"/>
                          <w:sz w:val="24"/>
                          <w:szCs w:val="24"/>
                        </w:rPr>
                      </w:pPr>
                      <w:r>
                        <w:rPr>
                          <w:rFonts w:ascii="Times New Roman" w:hAnsi="Times New Roman"/>
                        </w:rPr>
                        <w:t>Connor-Davidson Resilience Scale (Posttest)</w:t>
                      </w:r>
                    </w:p>
                    <w:p w14:paraId="1ECA86D2" w14:textId="77777777" w:rsidR="006666F4" w:rsidRPr="00357FC4" w:rsidRDefault="006666F4" w:rsidP="006666F4">
                      <w:pPr>
                        <w:jc w:val="center"/>
                        <w:rPr>
                          <w:rFonts w:ascii="Times New Roman" w:hAnsi="Times New Roman"/>
                          <w:lang w:val="en-CA"/>
                        </w:rPr>
                      </w:pPr>
                    </w:p>
                    <w:p w14:paraId="5AA2E18E" w14:textId="77777777" w:rsidR="006666F4" w:rsidRPr="00357FC4" w:rsidRDefault="006666F4" w:rsidP="006666F4">
                      <w:pPr>
                        <w:jc w:val="center"/>
                        <w:rPr>
                          <w:rFonts w:ascii="Times New Roman" w:hAnsi="Times New Roman"/>
                          <w:lang w:val="en-CA"/>
                        </w:rPr>
                      </w:pPr>
                    </w:p>
                  </w:txbxContent>
                </v:textbox>
              </v:rect>
            </w:pict>
          </mc:Fallback>
        </mc:AlternateContent>
      </w:r>
    </w:p>
    <w:p w14:paraId="1F55712B" w14:textId="77777777" w:rsidR="006666F4" w:rsidRDefault="006666F4" w:rsidP="006666F4">
      <w:pPr>
        <w:jc w:val="both"/>
        <w:rPr>
          <w:rFonts w:asciiTheme="majorBidi" w:hAnsiTheme="majorBidi" w:cstheme="majorBidi"/>
        </w:rPr>
      </w:pPr>
    </w:p>
    <w:p w14:paraId="2BE33372" w14:textId="77777777" w:rsidR="006666F4" w:rsidRDefault="006666F4" w:rsidP="006666F4">
      <w:pPr>
        <w:jc w:val="both"/>
        <w:rPr>
          <w:rFonts w:asciiTheme="majorBidi" w:hAnsiTheme="majorBidi" w:cstheme="majorBidi"/>
        </w:rPr>
      </w:pPr>
    </w:p>
    <w:p w14:paraId="4639786D" w14:textId="77777777" w:rsidR="006666F4" w:rsidRDefault="006666F4" w:rsidP="006666F4">
      <w:pPr>
        <w:jc w:val="both"/>
        <w:rPr>
          <w:rFonts w:asciiTheme="majorBidi" w:hAnsiTheme="majorBidi" w:cstheme="majorBidi"/>
        </w:rPr>
      </w:pPr>
    </w:p>
    <w:p w14:paraId="25CDC989" w14:textId="77777777" w:rsidR="006666F4" w:rsidRDefault="006666F4" w:rsidP="006666F4">
      <w:pPr>
        <w:jc w:val="both"/>
        <w:rPr>
          <w:rFonts w:asciiTheme="majorBidi" w:hAnsiTheme="majorBidi" w:cstheme="majorBidi"/>
        </w:rPr>
      </w:pPr>
      <w:r w:rsidRPr="006B2E78">
        <w:rPr>
          <w:rFonts w:ascii="Times New Roman" w:hAnsi="Times New Roman"/>
          <w:b/>
          <w:noProof/>
          <w:sz w:val="28"/>
          <w:szCs w:val="28"/>
        </w:rPr>
        <mc:AlternateContent>
          <mc:Choice Requires="wps">
            <w:drawing>
              <wp:anchor distT="0" distB="0" distL="114300" distR="114300" simplePos="0" relativeHeight="251668480" behindDoc="0" locked="0" layoutInCell="1" allowOverlap="1" wp14:anchorId="59B75919" wp14:editId="69E207B2">
                <wp:simplePos x="0" y="0"/>
                <wp:positionH relativeFrom="column">
                  <wp:posOffset>2356609</wp:posOffset>
                </wp:positionH>
                <wp:positionV relativeFrom="paragraph">
                  <wp:posOffset>151130</wp:posOffset>
                </wp:positionV>
                <wp:extent cx="1426845" cy="354330"/>
                <wp:effectExtent l="0" t="0" r="20955" b="26670"/>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6845" cy="354330"/>
                        </a:xfrm>
                        <a:prstGeom prst="roundRect">
                          <a:avLst>
                            <a:gd name="adj" fmla="val 16667"/>
                          </a:avLst>
                        </a:prstGeom>
                        <a:solidFill>
                          <a:srgbClr val="A9C7FD"/>
                        </a:solidFill>
                        <a:ln w="9525">
                          <a:solidFill>
                            <a:srgbClr val="000000"/>
                          </a:solidFill>
                          <a:round/>
                          <a:headEnd/>
                          <a:tailEnd/>
                        </a:ln>
                      </wps:spPr>
                      <wps:txbx>
                        <w:txbxContent>
                          <w:p w14:paraId="35B3F86D" w14:textId="77777777" w:rsidR="006666F4" w:rsidRPr="00357FC4" w:rsidRDefault="006666F4" w:rsidP="006666F4">
                            <w:pPr>
                              <w:pStyle w:val="Heading2"/>
                              <w:spacing w:before="0"/>
                              <w:jc w:val="center"/>
                              <w:rPr>
                                <w:rFonts w:ascii="Times New Roman" w:hAnsi="Times New Roman"/>
                              </w:rPr>
                            </w:pPr>
                            <w:r w:rsidRPr="00357FC4">
                              <w:rPr>
                                <w:rFonts w:ascii="Times New Roman" w:hAnsi="Times New Roman"/>
                              </w:rPr>
                              <w:t>Analysis</w:t>
                            </w:r>
                          </w:p>
                        </w:txbxContent>
                      </wps:txbx>
                      <wps:bodyPr rot="0" vert="horz" wrap="square" lIns="45720" tIns="45720" rIns="45720" bIns="45720" anchor="t" anchorCtr="0" upright="1"/>
                    </wps:wsp>
                  </a:graphicData>
                </a:graphic>
                <wp14:sizeRelH relativeFrom="page">
                  <wp14:pctWidth>0</wp14:pctWidth>
                </wp14:sizeRelH>
                <wp14:sizeRelV relativeFrom="page">
                  <wp14:pctHeight>0</wp14:pctHeight>
                </wp14:sizeRelV>
              </wp:anchor>
            </w:drawing>
          </mc:Choice>
          <mc:Fallback>
            <w:pict>
              <v:roundrect w14:anchorId="59B75919" id="Rounded Rectangle 8" o:spid="_x0000_s1036" style="position:absolute;left:0;text-align:left;margin-left:185.55pt;margin-top:11.9pt;width:112.35pt;height:27.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" fillcolor="#a9c7fd">
                <v:textbox inset="3.6pt,,3.6pt">
                  <w:txbxContent>
                    <w:p w14:paraId="35B3F86D" w14:textId="77777777" w:rsidR="006666F4" w:rsidRPr="00357FC4" w:rsidRDefault="006666F4" w:rsidP="006666F4">
                      <w:pPr>
                        <w:pStyle w:val="Heading2"/>
                        <w:spacing w:before="0"/>
                        <w:jc w:val="center"/>
                        <w:rPr>
                          <w:rFonts w:ascii="Times New Roman" w:hAnsi="Times New Roman"/>
                        </w:rPr>
                      </w:pPr>
                      <w:r w:rsidRPr="00357FC4">
                        <w:rPr>
                          <w:rFonts w:ascii="Times New Roman" w:hAnsi="Times New Roman"/>
                        </w:rPr>
                        <w:t>Analysis</w:t>
                      </w:r>
                    </w:p>
                  </w:txbxContent>
                </v:textbox>
              </v:roundrect>
            </w:pict>
          </mc:Fallback>
        </mc:AlternateContent>
      </w:r>
    </w:p>
    <w:p w14:paraId="62B961BD" w14:textId="77777777" w:rsidR="006666F4" w:rsidRDefault="006666F4" w:rsidP="006666F4">
      <w:pPr>
        <w:jc w:val="both"/>
        <w:rPr>
          <w:rFonts w:asciiTheme="majorBidi" w:hAnsiTheme="majorBidi" w:cstheme="majorBidi"/>
        </w:rPr>
      </w:pPr>
      <w:r w:rsidRPr="006B2E78">
        <w:rPr>
          <w:rFonts w:ascii="Times New Roman" w:hAnsi="Times New Roman"/>
          <w:b/>
          <w:noProof/>
          <w:sz w:val="28"/>
          <w:szCs w:val="28"/>
        </w:rPr>
        <mc:AlternateContent>
          <mc:Choice Requires="wps">
            <w:drawing>
              <wp:anchor distT="0" distB="0" distL="114300" distR="114300" simplePos="0" relativeHeight="251661312" behindDoc="0" locked="0" layoutInCell="1" allowOverlap="1" wp14:anchorId="1F4E1BEC" wp14:editId="1291E190">
                <wp:simplePos x="0" y="0"/>
                <wp:positionH relativeFrom="column">
                  <wp:posOffset>-403596</wp:posOffset>
                </wp:positionH>
                <wp:positionV relativeFrom="paragraph">
                  <wp:posOffset>331058</wp:posOffset>
                </wp:positionV>
                <wp:extent cx="2843530" cy="469265"/>
                <wp:effectExtent l="10795" t="13335" r="12700" b="1270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3530" cy="469265"/>
                        </a:xfrm>
                        <a:prstGeom prst="rect">
                          <a:avLst/>
                        </a:prstGeom>
                        <a:solidFill>
                          <a:srgbClr val="FFFFFF"/>
                        </a:solidFill>
                        <a:ln w="9525">
                          <a:solidFill>
                            <a:srgbClr val="000000"/>
                          </a:solidFill>
                          <a:miter lim="800000"/>
                          <a:headEnd/>
                          <a:tailEnd/>
                        </a:ln>
                      </wps:spPr>
                      <wps:txbx>
                        <w:txbxContent>
                          <w:p w14:paraId="544E4064" w14:textId="77777777" w:rsidR="006666F4" w:rsidRPr="00357FC4" w:rsidRDefault="006666F4" w:rsidP="006666F4">
                            <w:pPr>
                              <w:jc w:val="center"/>
                              <w:rPr>
                                <w:rFonts w:ascii="Times New Roman" w:hAnsi="Times New Roman"/>
                                <w:sz w:val="24"/>
                                <w:szCs w:val="24"/>
                              </w:rPr>
                            </w:pPr>
                            <w:r>
                              <w:rPr>
                                <w:rFonts w:ascii="Times New Roman" w:hAnsi="Times New Roman"/>
                              </w:rPr>
                              <w:t>Analyzed  (n=47</w:t>
                            </w:r>
                            <w:r w:rsidRPr="00357FC4">
                              <w:rPr>
                                <w:rFonts w:ascii="Times New Roman" w:hAnsi="Times New Roman"/>
                              </w:rPr>
                              <w:t>)</w:t>
                            </w:r>
                            <w:r w:rsidRPr="00357FC4">
                              <w:rPr>
                                <w:rFonts w:ascii="Times New Roman" w:hAnsi="Times New Roman"/>
                              </w:rPr>
                              <w:br/>
                            </w: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w14:anchorId="1F4E1BEC" id="Rectangle 14" o:spid="_x0000_s1037" style="position:absolute;left:0;text-align:left;margin-left:-31.8pt;margin-top:26.05pt;width:223.9pt;height:36.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">
                <v:textbox inset=",7.2pt,,7.2pt">
                  <w:txbxContent>
                    <w:p w14:paraId="544E4064" w14:textId="77777777" w:rsidR="006666F4" w:rsidRPr="00357FC4" w:rsidRDefault="006666F4" w:rsidP="006666F4">
                      <w:pPr>
                        <w:jc w:val="center"/>
                        <w:rPr>
                          <w:rFonts w:ascii="Times New Roman" w:hAnsi="Times New Roman"/>
                          <w:sz w:val="24"/>
                          <w:szCs w:val="24"/>
                        </w:rPr>
                      </w:pPr>
                      <w:r>
                        <w:rPr>
                          <w:rFonts w:ascii="Times New Roman" w:hAnsi="Times New Roman"/>
                        </w:rPr>
                        <w:t>Analyzed  (n=47</w:t>
                      </w:r>
                      <w:r w:rsidRPr="00357FC4">
                        <w:rPr>
                          <w:rFonts w:ascii="Times New Roman" w:hAnsi="Times New Roman"/>
                        </w:rPr>
                        <w:t>)</w:t>
                      </w:r>
                      <w:r w:rsidRPr="00357FC4">
                        <w:rPr>
                          <w:rFonts w:ascii="Times New Roman" w:hAnsi="Times New Roman"/>
                        </w:rPr>
                        <w:br/>
                      </w:r>
                    </w:p>
                  </w:txbxContent>
                </v:textbox>
              </v:rect>
            </w:pict>
          </mc:Fallback>
        </mc:AlternateContent>
      </w:r>
    </w:p>
    <w:p w14:paraId="7CE768BF" w14:textId="77777777" w:rsidR="006666F4" w:rsidRDefault="006666F4" w:rsidP="006666F4">
      <w:pPr>
        <w:jc w:val="both"/>
        <w:rPr>
          <w:rFonts w:asciiTheme="majorBidi" w:hAnsiTheme="majorBidi" w:cstheme="majorBidi"/>
        </w:rPr>
      </w:pPr>
      <w:r w:rsidRPr="006B2E78">
        <w:rPr>
          <w:rFonts w:ascii="Times New Roman" w:hAnsi="Times New Roman"/>
          <w:b/>
          <w:noProof/>
          <w:sz w:val="28"/>
          <w:szCs w:val="28"/>
        </w:rPr>
        <mc:AlternateContent>
          <mc:Choice Requires="wps">
            <w:drawing>
              <wp:anchor distT="0" distB="0" distL="114300" distR="114300" simplePos="0" relativeHeight="251666432" behindDoc="0" locked="0" layoutInCell="1" allowOverlap="1" wp14:anchorId="018706F7" wp14:editId="3422E74E">
                <wp:simplePos x="0" y="0"/>
                <wp:positionH relativeFrom="column">
                  <wp:posOffset>3693778</wp:posOffset>
                </wp:positionH>
                <wp:positionV relativeFrom="paragraph">
                  <wp:posOffset>28229</wp:posOffset>
                </wp:positionV>
                <wp:extent cx="2843530" cy="478790"/>
                <wp:effectExtent l="13335" t="13335" r="10160" b="1270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3530" cy="478790"/>
                        </a:xfrm>
                        <a:prstGeom prst="rect">
                          <a:avLst/>
                        </a:prstGeom>
                        <a:solidFill>
                          <a:srgbClr val="FFFFFF"/>
                        </a:solidFill>
                        <a:ln w="9525">
                          <a:solidFill>
                            <a:srgbClr val="000000"/>
                          </a:solidFill>
                          <a:miter lim="800000"/>
                          <a:headEnd/>
                          <a:tailEnd/>
                        </a:ln>
                      </wps:spPr>
                      <wps:txbx>
                        <w:txbxContent>
                          <w:p w14:paraId="59093184" w14:textId="77777777" w:rsidR="006666F4" w:rsidRPr="00357FC4" w:rsidRDefault="006666F4" w:rsidP="006666F4">
                            <w:pPr>
                              <w:jc w:val="center"/>
                              <w:rPr>
                                <w:rFonts w:ascii="Times New Roman" w:hAnsi="Times New Roman"/>
                                <w:sz w:val="24"/>
                                <w:szCs w:val="24"/>
                              </w:rPr>
                            </w:pPr>
                            <w:r w:rsidRPr="00357FC4">
                              <w:rPr>
                                <w:rFonts w:ascii="Times New Roman" w:hAnsi="Times New Roman"/>
                              </w:rPr>
                              <w:t>Analyzed (n=49)</w:t>
                            </w:r>
                          </w:p>
                          <w:p w14:paraId="50BD7217" w14:textId="77777777" w:rsidR="006666F4" w:rsidRPr="00357FC4" w:rsidRDefault="006666F4" w:rsidP="006666F4">
                            <w:pPr>
                              <w:rPr>
                                <w:rFonts w:ascii="Times New Roman" w:hAnsi="Times New Roman"/>
                                <w:sz w:val="24"/>
                                <w:szCs w:val="24"/>
                              </w:rPr>
                            </w:pP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w14:anchorId="018706F7" id="Rectangle 13" o:spid="_x0000_s1038" style="position:absolute;left:0;text-align:left;margin-left:290.85pt;margin-top:2.2pt;width:223.9pt;height:37.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">
                <v:textbox inset=",7.2pt,,7.2pt">
                  <w:txbxContent>
                    <w:p w14:paraId="59093184" w14:textId="77777777" w:rsidR="006666F4" w:rsidRPr="00357FC4" w:rsidRDefault="006666F4" w:rsidP="006666F4">
                      <w:pPr>
                        <w:jc w:val="center"/>
                        <w:rPr>
                          <w:rFonts w:ascii="Times New Roman" w:hAnsi="Times New Roman"/>
                          <w:sz w:val="24"/>
                          <w:szCs w:val="24"/>
                        </w:rPr>
                      </w:pPr>
                      <w:r w:rsidRPr="00357FC4">
                        <w:rPr>
                          <w:rFonts w:ascii="Times New Roman" w:hAnsi="Times New Roman"/>
                        </w:rPr>
                        <w:t>Analyzed (n=49)</w:t>
                      </w:r>
                    </w:p>
                    <w:p w14:paraId="50BD7217" w14:textId="77777777" w:rsidR="006666F4" w:rsidRPr="00357FC4" w:rsidRDefault="006666F4" w:rsidP="006666F4">
                      <w:pPr>
                        <w:rPr>
                          <w:rFonts w:ascii="Times New Roman" w:hAnsi="Times New Roman"/>
                          <w:sz w:val="24"/>
                          <w:szCs w:val="24"/>
                        </w:rPr>
                      </w:pPr>
                    </w:p>
                  </w:txbxContent>
                </v:textbox>
              </v:rect>
            </w:pict>
          </mc:Fallback>
        </mc:AlternateContent>
      </w:r>
    </w:p>
    <w:p w14:paraId="54AA6677" w14:textId="77777777" w:rsidR="006666F4" w:rsidRDefault="006666F4" w:rsidP="006666F4">
      <w:pPr>
        <w:jc w:val="both"/>
        <w:rPr>
          <w:rFonts w:asciiTheme="majorBidi" w:hAnsiTheme="majorBidi" w:cstheme="majorBidi"/>
        </w:rPr>
      </w:pPr>
    </w:p>
    <w:p w14:paraId="2829BF78" w14:textId="77777777" w:rsidR="006666F4" w:rsidRDefault="006666F4" w:rsidP="006666F4">
      <w:pPr>
        <w:jc w:val="both"/>
        <w:rPr>
          <w:rFonts w:asciiTheme="majorBidi" w:hAnsiTheme="majorBidi" w:cstheme="majorBidi"/>
        </w:rPr>
      </w:pPr>
    </w:p>
    <w:p w14:paraId="64A32912" w14:textId="77777777" w:rsidR="006666F4" w:rsidRPr="00D04A3F" w:rsidRDefault="006666F4" w:rsidP="006666F4">
      <w:pPr>
        <w:jc w:val="both"/>
        <w:rPr>
          <w:rFonts w:asciiTheme="majorBidi" w:hAnsiTheme="majorBidi" w:cstheme="majorBidi"/>
          <w:bCs/>
        </w:rPr>
      </w:pPr>
      <w:r w:rsidRPr="00D04A3F">
        <w:rPr>
          <w:rFonts w:ascii="Times New Roman" w:hAnsi="Times New Roman"/>
          <w:b/>
        </w:rPr>
        <w:t>Figure</w:t>
      </w:r>
      <w:r w:rsidRPr="00D04A3F">
        <w:rPr>
          <w:rFonts w:ascii="Times New Roman" w:eastAsia="Calibri" w:hAnsi="Times New Roman" w:cs="Arial"/>
          <w:b/>
        </w:rPr>
        <w:t xml:space="preserve"> </w:t>
      </w:r>
      <w:r w:rsidRPr="00D04A3F">
        <w:rPr>
          <w:rFonts w:ascii="Times New Roman" w:hAnsi="Times New Roman"/>
          <w:b/>
        </w:rPr>
        <w:t>1</w:t>
      </w:r>
      <w:r w:rsidRPr="00D04A3F">
        <w:rPr>
          <w:rFonts w:ascii="Times New Roman" w:hAnsi="Times New Roman"/>
          <w:bCs/>
        </w:rPr>
        <w:t xml:space="preserve"> The flow of participants in the study (CONSORT </w:t>
      </w:r>
      <w:r w:rsidRPr="00D04A3F">
        <w:rPr>
          <w:rFonts w:ascii="Times New Roman" w:eastAsia="Calibri" w:hAnsi="Times New Roman" w:cs="Arial"/>
          <w:bCs/>
        </w:rPr>
        <w:t>flow diagram</w:t>
      </w:r>
      <w:r w:rsidRPr="00D04A3F">
        <w:rPr>
          <w:rFonts w:ascii="Times New Roman" w:hAnsi="Times New Roman"/>
          <w:bCs/>
        </w:rPr>
        <w:t>)</w:t>
      </w:r>
    </w:p>
    <w:p w14:paraId="047444E7" w14:textId="729E6A9B" w:rsidR="00D04A3F" w:rsidRDefault="00D04A3F" w:rsidP="003E309D">
      <w:pPr>
        <w:spacing w:before="240" w:after="240" w:line="276" w:lineRule="auto"/>
        <w:jc w:val="both"/>
        <w:rPr>
          <w:rFonts w:asciiTheme="majorBidi" w:eastAsia="Times New Roman" w:hAnsiTheme="majorBidi" w:cstheme="majorBidi"/>
          <w:b/>
          <w:bCs/>
          <w:kern w:val="0"/>
          <w14:ligatures w14:val="none"/>
        </w:rPr>
      </w:pPr>
    </w:p>
    <w:p w14:paraId="426CC0DB" w14:textId="471CD7CF" w:rsidR="00F70768" w:rsidRDefault="00F70768" w:rsidP="003E309D">
      <w:pPr>
        <w:spacing w:before="240" w:after="240" w:line="276" w:lineRule="auto"/>
        <w:jc w:val="both"/>
        <w:rPr>
          <w:rFonts w:asciiTheme="majorBidi" w:eastAsia="Times New Roman" w:hAnsiTheme="majorBidi" w:cstheme="majorBidi"/>
          <w:b/>
          <w:bCs/>
          <w:kern w:val="0"/>
          <w14:ligatures w14:val="none"/>
        </w:rPr>
      </w:pPr>
    </w:p>
    <w:p w14:paraId="38900654" w14:textId="084F8E19" w:rsidR="00F70768" w:rsidRDefault="00F70768" w:rsidP="003E309D">
      <w:pPr>
        <w:spacing w:before="240" w:after="240" w:line="276" w:lineRule="auto"/>
        <w:jc w:val="both"/>
        <w:rPr>
          <w:rFonts w:asciiTheme="majorBidi" w:eastAsia="Times New Roman" w:hAnsiTheme="majorBidi" w:cstheme="majorBidi"/>
          <w:b/>
          <w:bCs/>
          <w:kern w:val="0"/>
          <w14:ligatures w14:val="none"/>
        </w:rPr>
      </w:pPr>
    </w:p>
    <w:p w14:paraId="6F0B16CB" w14:textId="77777777" w:rsidR="00F70768" w:rsidRDefault="00F70768" w:rsidP="003E309D">
      <w:pPr>
        <w:spacing w:before="240" w:after="240" w:line="276" w:lineRule="auto"/>
        <w:jc w:val="both"/>
        <w:rPr>
          <w:rFonts w:asciiTheme="majorBidi" w:eastAsia="Times New Roman" w:hAnsiTheme="majorBidi" w:cstheme="majorBidi"/>
          <w:b/>
          <w:bCs/>
          <w:kern w:val="0"/>
          <w14:ligatures w14:val="none"/>
        </w:rPr>
      </w:pPr>
    </w:p>
    <w:p w14:paraId="7F101EC6" w14:textId="77777777" w:rsidR="00F70768" w:rsidRPr="00D04A3F" w:rsidRDefault="00F70768" w:rsidP="00F70768">
      <w:pPr>
        <w:spacing w:before="100" w:beforeAutospacing="1" w:after="100" w:afterAutospacing="1"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lastRenderedPageBreak/>
        <w:t>Table 2 Frequency Distribution of Demographic Characteristics of Caregivers and Cancer Patients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316"/>
        <w:gridCol w:w="1146"/>
        <w:gridCol w:w="608"/>
        <w:gridCol w:w="1880"/>
        <w:gridCol w:w="743"/>
        <w:gridCol w:w="1657"/>
      </w:tblGrid>
      <w:tr w:rsidR="00F70768" w:rsidRPr="00D04A3F" w14:paraId="1FC59BCE" w14:textId="77777777" w:rsidTr="0067628B">
        <w:trPr>
          <w:tblHeader/>
          <w:tblCellSpacing w:w="15" w:type="dxa"/>
          <w:jc w:val="center"/>
        </w:trPr>
        <w:tc>
          <w:tcPr>
            <w:tcW w:w="0" w:type="auto"/>
            <w:tcBorders>
              <w:top w:val="single" w:sz="4" w:space="0" w:color="auto"/>
              <w:left w:val="single" w:sz="4" w:space="0" w:color="auto"/>
            </w:tcBorders>
            <w:vAlign w:val="center"/>
            <w:hideMark/>
          </w:tcPr>
          <w:p w14:paraId="28798984" w14:textId="77777777" w:rsidR="00F70768" w:rsidRPr="00D04A3F" w:rsidRDefault="00F70768" w:rsidP="0067628B">
            <w:pPr>
              <w:spacing w:after="0" w:line="240" w:lineRule="auto"/>
              <w:jc w:val="center"/>
              <w:rPr>
                <w:rFonts w:asciiTheme="majorBidi" w:eastAsia="Times New Roman" w:hAnsiTheme="majorBidi" w:cstheme="majorBidi"/>
                <w:b/>
                <w:bCs/>
                <w:kern w:val="0"/>
                <w14:ligatures w14:val="none"/>
              </w:rPr>
            </w:pPr>
            <w:r w:rsidRPr="00D04A3F">
              <w:rPr>
                <w:rFonts w:asciiTheme="majorBidi" w:eastAsia="Times New Roman" w:hAnsiTheme="majorBidi" w:cstheme="majorBidi"/>
                <w:b/>
                <w:bCs/>
                <w:kern w:val="0"/>
                <w14:ligatures w14:val="none"/>
              </w:rPr>
              <w:t>Variable</w:t>
            </w:r>
          </w:p>
        </w:tc>
        <w:tc>
          <w:tcPr>
            <w:tcW w:w="0" w:type="auto"/>
            <w:tcBorders>
              <w:top w:val="single" w:sz="4" w:space="0" w:color="auto"/>
              <w:left w:val="single" w:sz="4" w:space="0" w:color="auto"/>
            </w:tcBorders>
            <w:vAlign w:val="center"/>
            <w:hideMark/>
          </w:tcPr>
          <w:p w14:paraId="599D62E5" w14:textId="77777777" w:rsidR="00F70768" w:rsidRPr="00D04A3F" w:rsidRDefault="00F70768" w:rsidP="0067628B">
            <w:pPr>
              <w:spacing w:after="0" w:line="240" w:lineRule="auto"/>
              <w:jc w:val="center"/>
              <w:rPr>
                <w:rFonts w:asciiTheme="majorBidi" w:eastAsia="Times New Roman" w:hAnsiTheme="majorBidi" w:cstheme="majorBidi"/>
                <w:b/>
                <w:bCs/>
                <w:kern w:val="0"/>
                <w14:ligatures w14:val="none"/>
              </w:rPr>
            </w:pPr>
            <w:r w:rsidRPr="00D04A3F">
              <w:rPr>
                <w:rFonts w:asciiTheme="majorBidi" w:eastAsia="Times New Roman" w:hAnsiTheme="majorBidi" w:cstheme="majorBidi"/>
                <w:b/>
                <w:bCs/>
                <w:kern w:val="0"/>
                <w14:ligatures w14:val="none"/>
              </w:rPr>
              <w:t>Group</w:t>
            </w:r>
          </w:p>
        </w:tc>
        <w:tc>
          <w:tcPr>
            <w:tcW w:w="0" w:type="auto"/>
            <w:tcBorders>
              <w:top w:val="single" w:sz="4" w:space="0" w:color="auto"/>
              <w:left w:val="single" w:sz="4" w:space="0" w:color="auto"/>
            </w:tcBorders>
            <w:vAlign w:val="center"/>
            <w:hideMark/>
          </w:tcPr>
          <w:p w14:paraId="05E7D226" w14:textId="77777777" w:rsidR="00F70768" w:rsidRPr="00D04A3F" w:rsidRDefault="00F70768" w:rsidP="0067628B">
            <w:pPr>
              <w:spacing w:after="0" w:line="240" w:lineRule="auto"/>
              <w:jc w:val="center"/>
              <w:rPr>
                <w:rFonts w:asciiTheme="majorBidi" w:eastAsia="Times New Roman" w:hAnsiTheme="majorBidi" w:cstheme="majorBidi"/>
                <w:b/>
                <w:bCs/>
                <w:kern w:val="0"/>
                <w14:ligatures w14:val="none"/>
              </w:rPr>
            </w:pPr>
            <w:r w:rsidRPr="00D04A3F">
              <w:rPr>
                <w:rFonts w:asciiTheme="majorBidi" w:eastAsia="Times New Roman" w:hAnsiTheme="majorBidi" w:cstheme="majorBidi"/>
                <w:b/>
                <w:bCs/>
                <w:kern w:val="0"/>
                <w14:ligatures w14:val="none"/>
              </w:rPr>
              <w:t>Mean</w:t>
            </w:r>
          </w:p>
        </w:tc>
        <w:tc>
          <w:tcPr>
            <w:tcW w:w="0" w:type="auto"/>
            <w:tcBorders>
              <w:top w:val="single" w:sz="4" w:space="0" w:color="auto"/>
              <w:left w:val="single" w:sz="4" w:space="0" w:color="auto"/>
              <w:right w:val="single" w:sz="4" w:space="0" w:color="auto"/>
            </w:tcBorders>
            <w:vAlign w:val="center"/>
            <w:hideMark/>
          </w:tcPr>
          <w:p w14:paraId="29759EF3" w14:textId="77777777" w:rsidR="00F70768" w:rsidRPr="00D04A3F" w:rsidRDefault="00F70768" w:rsidP="0067628B">
            <w:pPr>
              <w:spacing w:after="0" w:line="240" w:lineRule="auto"/>
              <w:jc w:val="center"/>
              <w:rPr>
                <w:rFonts w:asciiTheme="majorBidi" w:eastAsia="Times New Roman" w:hAnsiTheme="majorBidi" w:cstheme="majorBidi"/>
                <w:b/>
                <w:bCs/>
                <w:kern w:val="0"/>
                <w14:ligatures w14:val="none"/>
              </w:rPr>
            </w:pPr>
            <w:r w:rsidRPr="00D04A3F">
              <w:rPr>
                <w:rFonts w:asciiTheme="majorBidi" w:eastAsia="Times New Roman" w:hAnsiTheme="majorBidi" w:cstheme="majorBidi"/>
                <w:b/>
                <w:bCs/>
                <w:kern w:val="0"/>
                <w14:ligatures w14:val="none"/>
              </w:rPr>
              <w:t>Standard Deviation</w:t>
            </w:r>
          </w:p>
        </w:tc>
        <w:tc>
          <w:tcPr>
            <w:tcW w:w="0" w:type="auto"/>
            <w:tcBorders>
              <w:top w:val="single" w:sz="4" w:space="0" w:color="auto"/>
            </w:tcBorders>
            <w:vAlign w:val="center"/>
            <w:hideMark/>
          </w:tcPr>
          <w:p w14:paraId="205F8B06" w14:textId="77777777" w:rsidR="00F70768" w:rsidRPr="00D04A3F" w:rsidRDefault="00F70768" w:rsidP="0067628B">
            <w:pPr>
              <w:spacing w:after="0" w:line="240" w:lineRule="auto"/>
              <w:jc w:val="center"/>
              <w:rPr>
                <w:rFonts w:asciiTheme="majorBidi" w:eastAsia="Times New Roman" w:hAnsiTheme="majorBidi" w:cstheme="majorBidi"/>
                <w:b/>
                <w:bCs/>
                <w:kern w:val="0"/>
                <w14:ligatures w14:val="none"/>
              </w:rPr>
            </w:pPr>
            <w:r w:rsidRPr="002A14A3">
              <w:rPr>
                <w:rFonts w:asciiTheme="majorBidi" w:eastAsia="Times New Roman" w:hAnsiTheme="majorBidi" w:cstheme="majorBidi"/>
                <w:b/>
                <w:bCs/>
                <w:i/>
                <w:iCs/>
                <w:kern w:val="0"/>
                <w14:ligatures w14:val="none"/>
              </w:rPr>
              <w:t xml:space="preserve">P </w:t>
            </w:r>
            <w:r w:rsidRPr="00D04A3F">
              <w:rPr>
                <w:rFonts w:asciiTheme="majorBidi" w:eastAsia="Times New Roman" w:hAnsiTheme="majorBidi" w:cstheme="majorBidi"/>
                <w:b/>
                <w:bCs/>
                <w:kern w:val="0"/>
                <w14:ligatures w14:val="none"/>
              </w:rPr>
              <w:t>value</w:t>
            </w:r>
          </w:p>
        </w:tc>
        <w:tc>
          <w:tcPr>
            <w:tcW w:w="0" w:type="auto"/>
            <w:tcBorders>
              <w:top w:val="single" w:sz="4" w:space="0" w:color="auto"/>
              <w:left w:val="single" w:sz="4" w:space="0" w:color="auto"/>
              <w:right w:val="single" w:sz="4" w:space="0" w:color="auto"/>
            </w:tcBorders>
            <w:vAlign w:val="center"/>
            <w:hideMark/>
          </w:tcPr>
          <w:p w14:paraId="0C65283E" w14:textId="77777777" w:rsidR="00F70768" w:rsidRPr="00D04A3F" w:rsidRDefault="00F70768" w:rsidP="0067628B">
            <w:pPr>
              <w:spacing w:after="0" w:line="240" w:lineRule="auto"/>
              <w:jc w:val="center"/>
              <w:rPr>
                <w:rFonts w:asciiTheme="majorBidi" w:eastAsia="Times New Roman" w:hAnsiTheme="majorBidi" w:cstheme="majorBidi"/>
                <w:b/>
                <w:bCs/>
                <w:kern w:val="0"/>
                <w14:ligatures w14:val="none"/>
              </w:rPr>
            </w:pPr>
            <w:r w:rsidRPr="00D04A3F">
              <w:rPr>
                <w:rFonts w:asciiTheme="majorBidi" w:eastAsia="Times New Roman" w:hAnsiTheme="majorBidi" w:cstheme="majorBidi"/>
                <w:b/>
                <w:bCs/>
                <w:kern w:val="0"/>
                <w14:ligatures w14:val="none"/>
              </w:rPr>
              <w:t>Statistical Test</w:t>
            </w:r>
          </w:p>
        </w:tc>
      </w:tr>
      <w:tr w:rsidR="00F70768" w:rsidRPr="00D04A3F" w14:paraId="2DE27620" w14:textId="77777777" w:rsidTr="0067628B">
        <w:trPr>
          <w:tblCellSpacing w:w="15" w:type="dxa"/>
          <w:jc w:val="center"/>
        </w:trPr>
        <w:tc>
          <w:tcPr>
            <w:tcW w:w="0" w:type="auto"/>
            <w:vMerge w:val="restart"/>
            <w:tcBorders>
              <w:top w:val="single" w:sz="4" w:space="0" w:color="auto"/>
              <w:left w:val="single" w:sz="4" w:space="0" w:color="auto"/>
            </w:tcBorders>
            <w:vAlign w:val="center"/>
            <w:hideMark/>
          </w:tcPr>
          <w:p w14:paraId="7AF6FA09"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Caregiver's Age (years)</w:t>
            </w:r>
          </w:p>
        </w:tc>
        <w:tc>
          <w:tcPr>
            <w:tcW w:w="0" w:type="auto"/>
            <w:tcBorders>
              <w:top w:val="single" w:sz="4" w:space="0" w:color="auto"/>
              <w:left w:val="single" w:sz="4" w:space="0" w:color="auto"/>
            </w:tcBorders>
            <w:vAlign w:val="center"/>
            <w:hideMark/>
          </w:tcPr>
          <w:p w14:paraId="6FE3210E"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Intervention</w:t>
            </w:r>
          </w:p>
        </w:tc>
        <w:tc>
          <w:tcPr>
            <w:tcW w:w="0" w:type="auto"/>
            <w:tcBorders>
              <w:top w:val="single" w:sz="4" w:space="0" w:color="auto"/>
              <w:left w:val="single" w:sz="4" w:space="0" w:color="auto"/>
            </w:tcBorders>
            <w:vAlign w:val="center"/>
            <w:hideMark/>
          </w:tcPr>
          <w:p w14:paraId="7778049A"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39.90</w:t>
            </w:r>
          </w:p>
        </w:tc>
        <w:tc>
          <w:tcPr>
            <w:tcW w:w="0" w:type="auto"/>
            <w:tcBorders>
              <w:top w:val="single" w:sz="4" w:space="0" w:color="auto"/>
              <w:left w:val="single" w:sz="4" w:space="0" w:color="auto"/>
              <w:right w:val="single" w:sz="4" w:space="0" w:color="auto"/>
            </w:tcBorders>
            <w:vAlign w:val="center"/>
            <w:hideMark/>
          </w:tcPr>
          <w:p w14:paraId="52558526"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10.72</w:t>
            </w:r>
          </w:p>
        </w:tc>
        <w:tc>
          <w:tcPr>
            <w:tcW w:w="0" w:type="auto"/>
            <w:vMerge w:val="restart"/>
            <w:tcBorders>
              <w:top w:val="single" w:sz="4" w:space="0" w:color="auto"/>
            </w:tcBorders>
            <w:vAlign w:val="center"/>
            <w:hideMark/>
          </w:tcPr>
          <w:p w14:paraId="35E1F0BA"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0.94</w:t>
            </w:r>
          </w:p>
        </w:tc>
        <w:tc>
          <w:tcPr>
            <w:tcW w:w="0" w:type="auto"/>
            <w:vMerge w:val="restart"/>
            <w:tcBorders>
              <w:top w:val="single" w:sz="4" w:space="0" w:color="auto"/>
              <w:left w:val="single" w:sz="4" w:space="0" w:color="auto"/>
              <w:right w:val="single" w:sz="4" w:space="0" w:color="auto"/>
            </w:tcBorders>
            <w:vAlign w:val="center"/>
            <w:hideMark/>
          </w:tcPr>
          <w:p w14:paraId="37DCD4F4"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Independent t-test</w:t>
            </w:r>
          </w:p>
        </w:tc>
      </w:tr>
      <w:tr w:rsidR="00F70768" w:rsidRPr="00D04A3F" w14:paraId="565A18A7" w14:textId="77777777" w:rsidTr="0067628B">
        <w:trPr>
          <w:tblCellSpacing w:w="15" w:type="dxa"/>
          <w:jc w:val="center"/>
        </w:trPr>
        <w:tc>
          <w:tcPr>
            <w:tcW w:w="0" w:type="auto"/>
            <w:vMerge/>
            <w:tcBorders>
              <w:left w:val="single" w:sz="4" w:space="0" w:color="auto"/>
            </w:tcBorders>
            <w:vAlign w:val="center"/>
            <w:hideMark/>
          </w:tcPr>
          <w:p w14:paraId="63DA692A"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0" w:type="auto"/>
            <w:tcBorders>
              <w:top w:val="single" w:sz="4" w:space="0" w:color="auto"/>
              <w:left w:val="single" w:sz="4" w:space="0" w:color="auto"/>
            </w:tcBorders>
            <w:vAlign w:val="center"/>
            <w:hideMark/>
          </w:tcPr>
          <w:p w14:paraId="4D014B4C"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Control</w:t>
            </w:r>
          </w:p>
        </w:tc>
        <w:tc>
          <w:tcPr>
            <w:tcW w:w="0" w:type="auto"/>
            <w:tcBorders>
              <w:top w:val="single" w:sz="4" w:space="0" w:color="auto"/>
              <w:left w:val="single" w:sz="4" w:space="0" w:color="auto"/>
            </w:tcBorders>
            <w:vAlign w:val="center"/>
            <w:hideMark/>
          </w:tcPr>
          <w:p w14:paraId="45B270AF"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39.72</w:t>
            </w:r>
          </w:p>
        </w:tc>
        <w:tc>
          <w:tcPr>
            <w:tcW w:w="0" w:type="auto"/>
            <w:tcBorders>
              <w:top w:val="single" w:sz="4" w:space="0" w:color="auto"/>
              <w:left w:val="single" w:sz="4" w:space="0" w:color="auto"/>
              <w:right w:val="single" w:sz="4" w:space="0" w:color="auto"/>
            </w:tcBorders>
            <w:vAlign w:val="center"/>
            <w:hideMark/>
          </w:tcPr>
          <w:p w14:paraId="6999CDC0"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13.20</w:t>
            </w:r>
          </w:p>
        </w:tc>
        <w:tc>
          <w:tcPr>
            <w:tcW w:w="0" w:type="auto"/>
            <w:vMerge/>
            <w:vAlign w:val="center"/>
            <w:hideMark/>
          </w:tcPr>
          <w:p w14:paraId="4C773955"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0" w:type="auto"/>
            <w:vMerge/>
            <w:tcBorders>
              <w:left w:val="single" w:sz="4" w:space="0" w:color="auto"/>
              <w:right w:val="single" w:sz="4" w:space="0" w:color="auto"/>
            </w:tcBorders>
            <w:vAlign w:val="center"/>
            <w:hideMark/>
          </w:tcPr>
          <w:p w14:paraId="14DF5204"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r>
      <w:tr w:rsidR="00F70768" w:rsidRPr="00D04A3F" w14:paraId="0FD00A2A" w14:textId="77777777" w:rsidTr="0067628B">
        <w:trPr>
          <w:tblCellSpacing w:w="15" w:type="dxa"/>
          <w:jc w:val="center"/>
        </w:trPr>
        <w:tc>
          <w:tcPr>
            <w:tcW w:w="0" w:type="auto"/>
            <w:vMerge w:val="restart"/>
            <w:tcBorders>
              <w:top w:val="single" w:sz="4" w:space="0" w:color="auto"/>
              <w:left w:val="single" w:sz="4" w:space="0" w:color="auto"/>
            </w:tcBorders>
            <w:vAlign w:val="center"/>
            <w:hideMark/>
          </w:tcPr>
          <w:p w14:paraId="59709728"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Number of Caregiver's Children</w:t>
            </w:r>
          </w:p>
        </w:tc>
        <w:tc>
          <w:tcPr>
            <w:tcW w:w="0" w:type="auto"/>
            <w:tcBorders>
              <w:top w:val="single" w:sz="4" w:space="0" w:color="auto"/>
              <w:left w:val="single" w:sz="4" w:space="0" w:color="auto"/>
              <w:bottom w:val="single" w:sz="4" w:space="0" w:color="auto"/>
            </w:tcBorders>
            <w:vAlign w:val="center"/>
            <w:hideMark/>
          </w:tcPr>
          <w:p w14:paraId="4F63C73A"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Intervention</w:t>
            </w:r>
          </w:p>
        </w:tc>
        <w:tc>
          <w:tcPr>
            <w:tcW w:w="0" w:type="auto"/>
            <w:tcBorders>
              <w:top w:val="single" w:sz="4" w:space="0" w:color="auto"/>
              <w:left w:val="single" w:sz="4" w:space="0" w:color="auto"/>
              <w:bottom w:val="single" w:sz="4" w:space="0" w:color="auto"/>
            </w:tcBorders>
            <w:vAlign w:val="center"/>
            <w:hideMark/>
          </w:tcPr>
          <w:p w14:paraId="41DED2EA"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1.51</w:t>
            </w:r>
          </w:p>
        </w:tc>
        <w:tc>
          <w:tcPr>
            <w:tcW w:w="0" w:type="auto"/>
            <w:tcBorders>
              <w:top w:val="single" w:sz="4" w:space="0" w:color="auto"/>
              <w:left w:val="single" w:sz="4" w:space="0" w:color="auto"/>
              <w:bottom w:val="single" w:sz="4" w:space="0" w:color="auto"/>
              <w:right w:val="single" w:sz="4" w:space="0" w:color="auto"/>
            </w:tcBorders>
            <w:vAlign w:val="center"/>
            <w:hideMark/>
          </w:tcPr>
          <w:p w14:paraId="1C4E227E"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1.35</w:t>
            </w:r>
          </w:p>
        </w:tc>
        <w:tc>
          <w:tcPr>
            <w:tcW w:w="0" w:type="auto"/>
            <w:vMerge w:val="restart"/>
            <w:tcBorders>
              <w:top w:val="single" w:sz="4" w:space="0" w:color="auto"/>
            </w:tcBorders>
            <w:vAlign w:val="center"/>
            <w:hideMark/>
          </w:tcPr>
          <w:p w14:paraId="7C8DFA2F"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0.76</w:t>
            </w:r>
          </w:p>
        </w:tc>
        <w:tc>
          <w:tcPr>
            <w:tcW w:w="0" w:type="auto"/>
            <w:vMerge w:val="restart"/>
            <w:tcBorders>
              <w:top w:val="single" w:sz="4" w:space="0" w:color="auto"/>
              <w:left w:val="single" w:sz="4" w:space="0" w:color="auto"/>
              <w:right w:val="single" w:sz="4" w:space="0" w:color="auto"/>
            </w:tcBorders>
            <w:vAlign w:val="center"/>
            <w:hideMark/>
          </w:tcPr>
          <w:p w14:paraId="6DC3E90A"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Independent t-test</w:t>
            </w:r>
          </w:p>
        </w:tc>
      </w:tr>
      <w:tr w:rsidR="00F70768" w:rsidRPr="00D04A3F" w14:paraId="2BA9847E" w14:textId="77777777" w:rsidTr="0067628B">
        <w:trPr>
          <w:tblCellSpacing w:w="15" w:type="dxa"/>
          <w:jc w:val="center"/>
        </w:trPr>
        <w:tc>
          <w:tcPr>
            <w:tcW w:w="0" w:type="auto"/>
            <w:vMerge/>
            <w:tcBorders>
              <w:left w:val="single" w:sz="4" w:space="0" w:color="auto"/>
            </w:tcBorders>
            <w:vAlign w:val="center"/>
            <w:hideMark/>
          </w:tcPr>
          <w:p w14:paraId="3B22A588"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0" w:type="auto"/>
            <w:tcBorders>
              <w:left w:val="single" w:sz="4" w:space="0" w:color="auto"/>
            </w:tcBorders>
            <w:vAlign w:val="center"/>
            <w:hideMark/>
          </w:tcPr>
          <w:p w14:paraId="3B3515B1"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Control</w:t>
            </w:r>
          </w:p>
        </w:tc>
        <w:tc>
          <w:tcPr>
            <w:tcW w:w="0" w:type="auto"/>
            <w:tcBorders>
              <w:left w:val="single" w:sz="4" w:space="0" w:color="auto"/>
            </w:tcBorders>
            <w:vAlign w:val="center"/>
            <w:hideMark/>
          </w:tcPr>
          <w:p w14:paraId="7E8E057B"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1.62</w:t>
            </w:r>
          </w:p>
        </w:tc>
        <w:tc>
          <w:tcPr>
            <w:tcW w:w="0" w:type="auto"/>
            <w:tcBorders>
              <w:left w:val="single" w:sz="4" w:space="0" w:color="auto"/>
              <w:right w:val="single" w:sz="4" w:space="0" w:color="auto"/>
            </w:tcBorders>
            <w:vAlign w:val="center"/>
            <w:hideMark/>
          </w:tcPr>
          <w:p w14:paraId="29754C40"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2.01</w:t>
            </w:r>
          </w:p>
        </w:tc>
        <w:tc>
          <w:tcPr>
            <w:tcW w:w="0" w:type="auto"/>
            <w:vMerge/>
            <w:vAlign w:val="center"/>
            <w:hideMark/>
          </w:tcPr>
          <w:p w14:paraId="13FB03CD"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0" w:type="auto"/>
            <w:vMerge/>
            <w:tcBorders>
              <w:left w:val="single" w:sz="4" w:space="0" w:color="auto"/>
              <w:right w:val="single" w:sz="4" w:space="0" w:color="auto"/>
            </w:tcBorders>
            <w:vAlign w:val="center"/>
            <w:hideMark/>
          </w:tcPr>
          <w:p w14:paraId="1FCD8D11"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r>
      <w:tr w:rsidR="00F70768" w:rsidRPr="00D04A3F" w14:paraId="213F55F5" w14:textId="77777777" w:rsidTr="0067628B">
        <w:trPr>
          <w:tblCellSpacing w:w="15" w:type="dxa"/>
          <w:jc w:val="center"/>
        </w:trPr>
        <w:tc>
          <w:tcPr>
            <w:tcW w:w="0" w:type="auto"/>
            <w:vMerge w:val="restart"/>
            <w:tcBorders>
              <w:top w:val="single" w:sz="4" w:space="0" w:color="auto"/>
              <w:left w:val="single" w:sz="4" w:space="0" w:color="auto"/>
            </w:tcBorders>
            <w:vAlign w:val="center"/>
            <w:hideMark/>
          </w:tcPr>
          <w:p w14:paraId="214C9BE9"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Duration of Patient's Illness (years)</w:t>
            </w:r>
          </w:p>
        </w:tc>
        <w:tc>
          <w:tcPr>
            <w:tcW w:w="0" w:type="auto"/>
            <w:tcBorders>
              <w:top w:val="single" w:sz="4" w:space="0" w:color="auto"/>
              <w:left w:val="single" w:sz="4" w:space="0" w:color="auto"/>
            </w:tcBorders>
            <w:vAlign w:val="center"/>
            <w:hideMark/>
          </w:tcPr>
          <w:p w14:paraId="1305EDB9"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Intervention</w:t>
            </w:r>
          </w:p>
        </w:tc>
        <w:tc>
          <w:tcPr>
            <w:tcW w:w="0" w:type="auto"/>
            <w:tcBorders>
              <w:top w:val="single" w:sz="4" w:space="0" w:color="auto"/>
              <w:left w:val="single" w:sz="4" w:space="0" w:color="auto"/>
            </w:tcBorders>
            <w:vAlign w:val="center"/>
            <w:hideMark/>
          </w:tcPr>
          <w:p w14:paraId="657D8EE6"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5.29</w:t>
            </w:r>
          </w:p>
        </w:tc>
        <w:tc>
          <w:tcPr>
            <w:tcW w:w="0" w:type="auto"/>
            <w:tcBorders>
              <w:top w:val="single" w:sz="4" w:space="0" w:color="auto"/>
              <w:left w:val="single" w:sz="4" w:space="0" w:color="auto"/>
              <w:right w:val="single" w:sz="4" w:space="0" w:color="auto"/>
            </w:tcBorders>
            <w:vAlign w:val="center"/>
            <w:hideMark/>
          </w:tcPr>
          <w:p w14:paraId="1CDFEC57"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8.06</w:t>
            </w:r>
          </w:p>
        </w:tc>
        <w:tc>
          <w:tcPr>
            <w:tcW w:w="0" w:type="auto"/>
            <w:vMerge w:val="restart"/>
            <w:tcBorders>
              <w:top w:val="single" w:sz="4" w:space="0" w:color="auto"/>
            </w:tcBorders>
            <w:vAlign w:val="center"/>
            <w:hideMark/>
          </w:tcPr>
          <w:p w14:paraId="557A96D4"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0.23</w:t>
            </w:r>
          </w:p>
        </w:tc>
        <w:tc>
          <w:tcPr>
            <w:tcW w:w="0" w:type="auto"/>
            <w:vMerge w:val="restart"/>
            <w:tcBorders>
              <w:top w:val="single" w:sz="4" w:space="0" w:color="auto"/>
              <w:left w:val="single" w:sz="4" w:space="0" w:color="auto"/>
              <w:right w:val="single" w:sz="4" w:space="0" w:color="auto"/>
            </w:tcBorders>
            <w:vAlign w:val="center"/>
            <w:hideMark/>
          </w:tcPr>
          <w:p w14:paraId="5AF918F5"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Independent t-test</w:t>
            </w:r>
          </w:p>
        </w:tc>
      </w:tr>
      <w:tr w:rsidR="00F70768" w:rsidRPr="00D04A3F" w14:paraId="6F5304AA" w14:textId="77777777" w:rsidTr="0067628B">
        <w:trPr>
          <w:tblCellSpacing w:w="15" w:type="dxa"/>
          <w:jc w:val="center"/>
        </w:trPr>
        <w:tc>
          <w:tcPr>
            <w:tcW w:w="0" w:type="auto"/>
            <w:vMerge/>
            <w:tcBorders>
              <w:left w:val="single" w:sz="4" w:space="0" w:color="auto"/>
              <w:bottom w:val="single" w:sz="4" w:space="0" w:color="auto"/>
            </w:tcBorders>
            <w:vAlign w:val="center"/>
            <w:hideMark/>
          </w:tcPr>
          <w:p w14:paraId="15D16183"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0" w:type="auto"/>
            <w:tcBorders>
              <w:top w:val="single" w:sz="4" w:space="0" w:color="auto"/>
              <w:left w:val="single" w:sz="4" w:space="0" w:color="auto"/>
              <w:bottom w:val="single" w:sz="4" w:space="0" w:color="auto"/>
            </w:tcBorders>
            <w:vAlign w:val="center"/>
            <w:hideMark/>
          </w:tcPr>
          <w:p w14:paraId="1C969956"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Control</w:t>
            </w:r>
          </w:p>
        </w:tc>
        <w:tc>
          <w:tcPr>
            <w:tcW w:w="0" w:type="auto"/>
            <w:tcBorders>
              <w:top w:val="single" w:sz="4" w:space="0" w:color="auto"/>
              <w:left w:val="single" w:sz="4" w:space="0" w:color="auto"/>
              <w:bottom w:val="single" w:sz="4" w:space="0" w:color="auto"/>
            </w:tcBorders>
            <w:vAlign w:val="center"/>
            <w:hideMark/>
          </w:tcPr>
          <w:p w14:paraId="58853B4D"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3.51</w:t>
            </w:r>
          </w:p>
        </w:tc>
        <w:tc>
          <w:tcPr>
            <w:tcW w:w="0" w:type="auto"/>
            <w:tcBorders>
              <w:top w:val="single" w:sz="4" w:space="0" w:color="auto"/>
              <w:left w:val="single" w:sz="4" w:space="0" w:color="auto"/>
              <w:bottom w:val="single" w:sz="4" w:space="0" w:color="auto"/>
              <w:right w:val="single" w:sz="4" w:space="0" w:color="auto"/>
            </w:tcBorders>
            <w:vAlign w:val="center"/>
            <w:hideMark/>
          </w:tcPr>
          <w:p w14:paraId="0A40E89F"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6.51</w:t>
            </w:r>
          </w:p>
        </w:tc>
        <w:tc>
          <w:tcPr>
            <w:tcW w:w="0" w:type="auto"/>
            <w:vMerge/>
            <w:tcBorders>
              <w:bottom w:val="single" w:sz="4" w:space="0" w:color="auto"/>
            </w:tcBorders>
            <w:vAlign w:val="center"/>
            <w:hideMark/>
          </w:tcPr>
          <w:p w14:paraId="7728C199"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0" w:type="auto"/>
            <w:vMerge/>
            <w:tcBorders>
              <w:left w:val="single" w:sz="4" w:space="0" w:color="auto"/>
              <w:bottom w:val="single" w:sz="4" w:space="0" w:color="auto"/>
              <w:right w:val="single" w:sz="4" w:space="0" w:color="auto"/>
            </w:tcBorders>
            <w:vAlign w:val="center"/>
            <w:hideMark/>
          </w:tcPr>
          <w:p w14:paraId="7198005E"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r>
      <w:tr w:rsidR="00F70768" w:rsidRPr="00D04A3F" w14:paraId="35F4CBE4" w14:textId="77777777" w:rsidTr="0067628B">
        <w:trPr>
          <w:tblCellSpacing w:w="15" w:type="dxa"/>
          <w:jc w:val="center"/>
        </w:trPr>
        <w:tc>
          <w:tcPr>
            <w:tcW w:w="0" w:type="auto"/>
            <w:vMerge w:val="restart"/>
            <w:tcBorders>
              <w:left w:val="single" w:sz="4" w:space="0" w:color="auto"/>
            </w:tcBorders>
            <w:vAlign w:val="center"/>
            <w:hideMark/>
          </w:tcPr>
          <w:p w14:paraId="5EE6EAF6"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Age of Cancer Patients (years)</w:t>
            </w:r>
          </w:p>
        </w:tc>
        <w:tc>
          <w:tcPr>
            <w:tcW w:w="0" w:type="auto"/>
            <w:tcBorders>
              <w:left w:val="single" w:sz="4" w:space="0" w:color="auto"/>
            </w:tcBorders>
            <w:vAlign w:val="center"/>
            <w:hideMark/>
          </w:tcPr>
          <w:p w14:paraId="5BD0CD49"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Intervention</w:t>
            </w:r>
          </w:p>
        </w:tc>
        <w:tc>
          <w:tcPr>
            <w:tcW w:w="0" w:type="auto"/>
            <w:tcBorders>
              <w:left w:val="single" w:sz="4" w:space="0" w:color="auto"/>
            </w:tcBorders>
            <w:vAlign w:val="center"/>
            <w:hideMark/>
          </w:tcPr>
          <w:p w14:paraId="74605543"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51.06</w:t>
            </w:r>
          </w:p>
        </w:tc>
        <w:tc>
          <w:tcPr>
            <w:tcW w:w="0" w:type="auto"/>
            <w:tcBorders>
              <w:left w:val="single" w:sz="4" w:space="0" w:color="auto"/>
              <w:right w:val="single" w:sz="4" w:space="0" w:color="auto"/>
            </w:tcBorders>
            <w:vAlign w:val="center"/>
            <w:hideMark/>
          </w:tcPr>
          <w:p w14:paraId="2EB3F330"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12.02</w:t>
            </w:r>
          </w:p>
        </w:tc>
        <w:tc>
          <w:tcPr>
            <w:tcW w:w="0" w:type="auto"/>
            <w:vMerge w:val="restart"/>
            <w:vAlign w:val="center"/>
            <w:hideMark/>
          </w:tcPr>
          <w:p w14:paraId="4885380D"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0.56</w:t>
            </w:r>
          </w:p>
        </w:tc>
        <w:tc>
          <w:tcPr>
            <w:tcW w:w="0" w:type="auto"/>
            <w:vMerge w:val="restart"/>
            <w:tcBorders>
              <w:left w:val="single" w:sz="4" w:space="0" w:color="auto"/>
              <w:right w:val="single" w:sz="4" w:space="0" w:color="auto"/>
            </w:tcBorders>
            <w:vAlign w:val="center"/>
            <w:hideMark/>
          </w:tcPr>
          <w:p w14:paraId="39C42CBB"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Independent t-test</w:t>
            </w:r>
          </w:p>
        </w:tc>
      </w:tr>
      <w:tr w:rsidR="00F70768" w:rsidRPr="00D04A3F" w14:paraId="46DD1AF3" w14:textId="77777777" w:rsidTr="0067628B">
        <w:trPr>
          <w:tblCellSpacing w:w="15" w:type="dxa"/>
          <w:jc w:val="center"/>
        </w:trPr>
        <w:tc>
          <w:tcPr>
            <w:tcW w:w="0" w:type="auto"/>
            <w:vMerge/>
            <w:tcBorders>
              <w:left w:val="single" w:sz="4" w:space="0" w:color="auto"/>
              <w:bottom w:val="single" w:sz="4" w:space="0" w:color="auto"/>
            </w:tcBorders>
            <w:vAlign w:val="center"/>
            <w:hideMark/>
          </w:tcPr>
          <w:p w14:paraId="0B3EA806"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0" w:type="auto"/>
            <w:tcBorders>
              <w:top w:val="single" w:sz="4" w:space="0" w:color="auto"/>
              <w:left w:val="single" w:sz="4" w:space="0" w:color="auto"/>
              <w:bottom w:val="single" w:sz="4" w:space="0" w:color="auto"/>
            </w:tcBorders>
            <w:vAlign w:val="center"/>
            <w:hideMark/>
          </w:tcPr>
          <w:p w14:paraId="7DC09883"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Control</w:t>
            </w:r>
          </w:p>
        </w:tc>
        <w:tc>
          <w:tcPr>
            <w:tcW w:w="0" w:type="auto"/>
            <w:tcBorders>
              <w:top w:val="single" w:sz="4" w:space="0" w:color="auto"/>
              <w:left w:val="single" w:sz="4" w:space="0" w:color="auto"/>
              <w:bottom w:val="single" w:sz="4" w:space="0" w:color="auto"/>
            </w:tcBorders>
            <w:vAlign w:val="center"/>
            <w:hideMark/>
          </w:tcPr>
          <w:p w14:paraId="60A7CB7B"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52.62</w:t>
            </w:r>
          </w:p>
        </w:tc>
        <w:tc>
          <w:tcPr>
            <w:tcW w:w="0" w:type="auto"/>
            <w:tcBorders>
              <w:top w:val="single" w:sz="4" w:space="0" w:color="auto"/>
              <w:left w:val="single" w:sz="4" w:space="0" w:color="auto"/>
              <w:bottom w:val="single" w:sz="4" w:space="0" w:color="auto"/>
              <w:right w:val="single" w:sz="4" w:space="0" w:color="auto"/>
            </w:tcBorders>
            <w:vAlign w:val="center"/>
            <w:hideMark/>
          </w:tcPr>
          <w:p w14:paraId="20360B1F"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14.36</w:t>
            </w:r>
          </w:p>
        </w:tc>
        <w:tc>
          <w:tcPr>
            <w:tcW w:w="0" w:type="auto"/>
            <w:vMerge/>
            <w:tcBorders>
              <w:bottom w:val="single" w:sz="4" w:space="0" w:color="auto"/>
            </w:tcBorders>
            <w:vAlign w:val="center"/>
            <w:hideMark/>
          </w:tcPr>
          <w:p w14:paraId="54556B25"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0" w:type="auto"/>
            <w:vMerge/>
            <w:tcBorders>
              <w:left w:val="single" w:sz="4" w:space="0" w:color="auto"/>
              <w:bottom w:val="single" w:sz="4" w:space="0" w:color="auto"/>
              <w:right w:val="single" w:sz="4" w:space="0" w:color="auto"/>
            </w:tcBorders>
            <w:vAlign w:val="center"/>
            <w:hideMark/>
          </w:tcPr>
          <w:p w14:paraId="6BFC3DD6"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r>
    </w:tbl>
    <w:p w14:paraId="2B5FBECF" w14:textId="77777777" w:rsidR="00F70768" w:rsidRPr="00D04A3F" w:rsidRDefault="00F70768" w:rsidP="00F70768">
      <w:pPr>
        <w:spacing w:after="0" w:line="240" w:lineRule="auto"/>
        <w:jc w:val="both"/>
        <w:rPr>
          <w:rFonts w:asciiTheme="majorBidi" w:eastAsia="Times New Roman" w:hAnsiTheme="majorBidi" w:cstheme="majorBidi"/>
          <w:vanish/>
          <w:kern w:val="0"/>
          <w14:ligatures w14:val="none"/>
        </w:rPr>
      </w:pPr>
    </w:p>
    <w:p w14:paraId="1327DF92" w14:textId="77777777" w:rsidR="00F70768" w:rsidRPr="00D04A3F" w:rsidRDefault="00F70768" w:rsidP="00F70768">
      <w:pPr>
        <w:spacing w:before="100" w:beforeAutospacing="1" w:after="100" w:afterAutospacing="1"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Table 3 Frequency Distribution of Demographic Characteristics of Caregivers and Cancer Patients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2"/>
        <w:gridCol w:w="1207"/>
        <w:gridCol w:w="1798"/>
        <w:gridCol w:w="1348"/>
        <w:gridCol w:w="761"/>
        <w:gridCol w:w="1473"/>
      </w:tblGrid>
      <w:tr w:rsidR="00F70768" w:rsidRPr="00D04A3F" w14:paraId="76B80E1D" w14:textId="77777777" w:rsidTr="0067628B">
        <w:trPr>
          <w:tblHeader/>
          <w:tblCellSpacing w:w="15" w:type="dxa"/>
        </w:trPr>
        <w:tc>
          <w:tcPr>
            <w:tcW w:w="2077" w:type="dxa"/>
            <w:tcBorders>
              <w:top w:val="single" w:sz="4" w:space="0" w:color="auto"/>
              <w:left w:val="single" w:sz="4" w:space="0" w:color="auto"/>
            </w:tcBorders>
            <w:vAlign w:val="center"/>
            <w:hideMark/>
          </w:tcPr>
          <w:p w14:paraId="7BB8ABBE" w14:textId="77777777" w:rsidR="00F70768" w:rsidRPr="00D04A3F" w:rsidRDefault="00F70768" w:rsidP="0067628B">
            <w:pPr>
              <w:spacing w:after="0" w:line="240" w:lineRule="auto"/>
              <w:jc w:val="center"/>
              <w:rPr>
                <w:rFonts w:asciiTheme="majorBidi" w:eastAsia="Times New Roman" w:hAnsiTheme="majorBidi" w:cstheme="majorBidi"/>
                <w:b/>
                <w:bCs/>
                <w:kern w:val="0"/>
                <w14:ligatures w14:val="none"/>
              </w:rPr>
            </w:pPr>
            <w:r w:rsidRPr="00D04A3F">
              <w:rPr>
                <w:rFonts w:asciiTheme="majorBidi" w:eastAsia="Times New Roman" w:hAnsiTheme="majorBidi" w:cstheme="majorBidi"/>
                <w:b/>
                <w:bCs/>
                <w:kern w:val="0"/>
                <w14:ligatures w14:val="none"/>
              </w:rPr>
              <w:t>Category</w:t>
            </w:r>
          </w:p>
        </w:tc>
        <w:tc>
          <w:tcPr>
            <w:tcW w:w="996" w:type="dxa"/>
            <w:tcBorders>
              <w:top w:val="single" w:sz="4" w:space="0" w:color="auto"/>
              <w:left w:val="single" w:sz="4" w:space="0" w:color="auto"/>
            </w:tcBorders>
          </w:tcPr>
          <w:p w14:paraId="76A191B4" w14:textId="77777777" w:rsidR="00F70768" w:rsidRPr="00D04A3F" w:rsidRDefault="00F70768" w:rsidP="0067628B">
            <w:pPr>
              <w:spacing w:after="0" w:line="240" w:lineRule="auto"/>
              <w:jc w:val="center"/>
              <w:rPr>
                <w:rFonts w:asciiTheme="majorBidi" w:eastAsia="Times New Roman" w:hAnsiTheme="majorBidi" w:cstheme="majorBidi"/>
                <w:b/>
                <w:bCs/>
                <w:kern w:val="0"/>
                <w14:ligatures w14:val="none"/>
              </w:rPr>
            </w:pPr>
          </w:p>
        </w:tc>
        <w:tc>
          <w:tcPr>
            <w:tcW w:w="0" w:type="auto"/>
            <w:tcBorders>
              <w:top w:val="single" w:sz="4" w:space="0" w:color="auto"/>
              <w:left w:val="single" w:sz="4" w:space="0" w:color="auto"/>
              <w:right w:val="single" w:sz="4" w:space="0" w:color="auto"/>
            </w:tcBorders>
            <w:vAlign w:val="center"/>
            <w:hideMark/>
          </w:tcPr>
          <w:p w14:paraId="2F5FA5FF" w14:textId="77777777" w:rsidR="00F70768" w:rsidRPr="00D04A3F" w:rsidRDefault="00F70768" w:rsidP="0067628B">
            <w:pPr>
              <w:spacing w:after="0" w:line="240" w:lineRule="auto"/>
              <w:jc w:val="center"/>
              <w:rPr>
                <w:rFonts w:asciiTheme="majorBidi" w:eastAsia="Times New Roman" w:hAnsiTheme="majorBidi" w:cstheme="majorBidi"/>
                <w:b/>
                <w:bCs/>
                <w:kern w:val="0"/>
                <w14:ligatures w14:val="none"/>
              </w:rPr>
            </w:pPr>
            <w:r w:rsidRPr="00D04A3F">
              <w:rPr>
                <w:rFonts w:asciiTheme="majorBidi" w:eastAsia="Times New Roman" w:hAnsiTheme="majorBidi" w:cstheme="majorBidi"/>
                <w:b/>
                <w:bCs/>
                <w:kern w:val="0"/>
                <w14:ligatures w14:val="none"/>
              </w:rPr>
              <w:t>Intervention (n%)</w:t>
            </w:r>
          </w:p>
        </w:tc>
        <w:tc>
          <w:tcPr>
            <w:tcW w:w="0" w:type="auto"/>
            <w:tcBorders>
              <w:top w:val="single" w:sz="4" w:space="0" w:color="auto"/>
              <w:right w:val="single" w:sz="4" w:space="0" w:color="auto"/>
            </w:tcBorders>
            <w:vAlign w:val="center"/>
            <w:hideMark/>
          </w:tcPr>
          <w:p w14:paraId="036FE801" w14:textId="77777777" w:rsidR="00F70768" w:rsidRPr="00D04A3F" w:rsidRDefault="00F70768" w:rsidP="0067628B">
            <w:pPr>
              <w:spacing w:after="0" w:line="240" w:lineRule="auto"/>
              <w:jc w:val="center"/>
              <w:rPr>
                <w:rFonts w:asciiTheme="majorBidi" w:eastAsia="Times New Roman" w:hAnsiTheme="majorBidi" w:cstheme="majorBidi"/>
                <w:b/>
                <w:bCs/>
                <w:kern w:val="0"/>
                <w14:ligatures w14:val="none"/>
              </w:rPr>
            </w:pPr>
            <w:r w:rsidRPr="00D04A3F">
              <w:rPr>
                <w:rFonts w:asciiTheme="majorBidi" w:eastAsia="Times New Roman" w:hAnsiTheme="majorBidi" w:cstheme="majorBidi"/>
                <w:b/>
                <w:bCs/>
                <w:kern w:val="0"/>
                <w14:ligatures w14:val="none"/>
              </w:rPr>
              <w:t>Control (n%)</w:t>
            </w:r>
          </w:p>
        </w:tc>
        <w:tc>
          <w:tcPr>
            <w:tcW w:w="0" w:type="auto"/>
            <w:tcBorders>
              <w:top w:val="single" w:sz="4" w:space="0" w:color="auto"/>
              <w:right w:val="single" w:sz="4" w:space="0" w:color="auto"/>
            </w:tcBorders>
            <w:vAlign w:val="center"/>
            <w:hideMark/>
          </w:tcPr>
          <w:p w14:paraId="772422F6" w14:textId="77777777" w:rsidR="00F70768" w:rsidRPr="00D04A3F" w:rsidRDefault="00F70768" w:rsidP="0067628B">
            <w:pPr>
              <w:spacing w:after="0" w:line="240" w:lineRule="auto"/>
              <w:jc w:val="center"/>
              <w:rPr>
                <w:rFonts w:asciiTheme="majorBidi" w:eastAsia="Times New Roman" w:hAnsiTheme="majorBidi" w:cstheme="majorBidi"/>
                <w:b/>
                <w:bCs/>
                <w:kern w:val="0"/>
                <w14:ligatures w14:val="none"/>
              </w:rPr>
            </w:pPr>
            <w:r w:rsidRPr="002A14A3">
              <w:rPr>
                <w:rFonts w:asciiTheme="majorBidi" w:eastAsia="Times New Roman" w:hAnsiTheme="majorBidi" w:cstheme="majorBidi"/>
                <w:b/>
                <w:bCs/>
                <w:i/>
                <w:iCs/>
                <w:kern w:val="0"/>
                <w14:ligatures w14:val="none"/>
              </w:rPr>
              <w:t xml:space="preserve">P </w:t>
            </w:r>
            <w:r w:rsidRPr="00D04A3F">
              <w:rPr>
                <w:rFonts w:asciiTheme="majorBidi" w:eastAsia="Times New Roman" w:hAnsiTheme="majorBidi" w:cstheme="majorBidi"/>
                <w:b/>
                <w:bCs/>
                <w:kern w:val="0"/>
                <w14:ligatures w14:val="none"/>
              </w:rPr>
              <w:t>value</w:t>
            </w:r>
          </w:p>
        </w:tc>
        <w:tc>
          <w:tcPr>
            <w:tcW w:w="0" w:type="auto"/>
            <w:tcBorders>
              <w:top w:val="single" w:sz="4" w:space="0" w:color="auto"/>
              <w:right w:val="single" w:sz="4" w:space="0" w:color="auto"/>
            </w:tcBorders>
            <w:vAlign w:val="center"/>
            <w:hideMark/>
          </w:tcPr>
          <w:p w14:paraId="405E24D6" w14:textId="77777777" w:rsidR="00F70768" w:rsidRPr="00D04A3F" w:rsidRDefault="00F70768" w:rsidP="0067628B">
            <w:pPr>
              <w:spacing w:after="0" w:line="240" w:lineRule="auto"/>
              <w:jc w:val="center"/>
              <w:rPr>
                <w:rFonts w:asciiTheme="majorBidi" w:eastAsia="Times New Roman" w:hAnsiTheme="majorBidi" w:cstheme="majorBidi"/>
                <w:b/>
                <w:bCs/>
                <w:kern w:val="0"/>
                <w14:ligatures w14:val="none"/>
              </w:rPr>
            </w:pPr>
            <w:r w:rsidRPr="00D04A3F">
              <w:rPr>
                <w:rFonts w:asciiTheme="majorBidi" w:eastAsia="Times New Roman" w:hAnsiTheme="majorBidi" w:cstheme="majorBidi"/>
                <w:b/>
                <w:bCs/>
                <w:kern w:val="0"/>
                <w14:ligatures w14:val="none"/>
              </w:rPr>
              <w:t>Statistical Test</w:t>
            </w:r>
          </w:p>
        </w:tc>
      </w:tr>
      <w:tr w:rsidR="00F70768" w:rsidRPr="00D04A3F" w14:paraId="68482AB5" w14:textId="77777777" w:rsidTr="0067628B">
        <w:trPr>
          <w:tblCellSpacing w:w="15" w:type="dxa"/>
        </w:trPr>
        <w:tc>
          <w:tcPr>
            <w:tcW w:w="2077" w:type="dxa"/>
            <w:vMerge w:val="restart"/>
            <w:tcBorders>
              <w:top w:val="single" w:sz="4" w:space="0" w:color="auto"/>
              <w:left w:val="single" w:sz="4" w:space="0" w:color="auto"/>
            </w:tcBorders>
            <w:vAlign w:val="center"/>
            <w:hideMark/>
          </w:tcPr>
          <w:p w14:paraId="0E026FB7"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Caregiver's Gender</w:t>
            </w:r>
          </w:p>
        </w:tc>
        <w:tc>
          <w:tcPr>
            <w:tcW w:w="996" w:type="dxa"/>
            <w:tcBorders>
              <w:top w:val="single" w:sz="4" w:space="0" w:color="auto"/>
              <w:left w:val="single" w:sz="4" w:space="0" w:color="auto"/>
            </w:tcBorders>
          </w:tcPr>
          <w:p w14:paraId="0E8478A7"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Male</w:t>
            </w:r>
          </w:p>
        </w:tc>
        <w:tc>
          <w:tcPr>
            <w:tcW w:w="0" w:type="auto"/>
            <w:tcBorders>
              <w:top w:val="single" w:sz="4" w:space="0" w:color="auto"/>
              <w:left w:val="single" w:sz="4" w:space="0" w:color="auto"/>
              <w:right w:val="single" w:sz="4" w:space="0" w:color="auto"/>
            </w:tcBorders>
            <w:vAlign w:val="center"/>
            <w:hideMark/>
          </w:tcPr>
          <w:p w14:paraId="0B1568DA"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18 (36.7%)</w:t>
            </w:r>
          </w:p>
        </w:tc>
        <w:tc>
          <w:tcPr>
            <w:tcW w:w="0" w:type="auto"/>
            <w:tcBorders>
              <w:top w:val="single" w:sz="4" w:space="0" w:color="auto"/>
              <w:right w:val="single" w:sz="4" w:space="0" w:color="auto"/>
            </w:tcBorders>
            <w:vAlign w:val="center"/>
            <w:hideMark/>
          </w:tcPr>
          <w:p w14:paraId="4F641FED"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19 (40.4%)</w:t>
            </w:r>
          </w:p>
        </w:tc>
        <w:tc>
          <w:tcPr>
            <w:tcW w:w="0" w:type="auto"/>
            <w:vMerge w:val="restart"/>
            <w:tcBorders>
              <w:top w:val="single" w:sz="4" w:space="0" w:color="auto"/>
              <w:right w:val="single" w:sz="4" w:space="0" w:color="auto"/>
            </w:tcBorders>
            <w:vAlign w:val="center"/>
            <w:hideMark/>
          </w:tcPr>
          <w:p w14:paraId="4F29B1CC"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0.83</w:t>
            </w:r>
          </w:p>
        </w:tc>
        <w:tc>
          <w:tcPr>
            <w:tcW w:w="0" w:type="auto"/>
            <w:vMerge w:val="restart"/>
            <w:tcBorders>
              <w:top w:val="single" w:sz="4" w:space="0" w:color="auto"/>
              <w:right w:val="single" w:sz="4" w:space="0" w:color="auto"/>
            </w:tcBorders>
            <w:vAlign w:val="center"/>
            <w:hideMark/>
          </w:tcPr>
          <w:p w14:paraId="0D96ABC4"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Chi-square</w:t>
            </w:r>
          </w:p>
        </w:tc>
      </w:tr>
      <w:tr w:rsidR="00F70768" w:rsidRPr="00D04A3F" w14:paraId="1F7F20D5" w14:textId="77777777" w:rsidTr="0067628B">
        <w:trPr>
          <w:tblCellSpacing w:w="15" w:type="dxa"/>
        </w:trPr>
        <w:tc>
          <w:tcPr>
            <w:tcW w:w="2077" w:type="dxa"/>
            <w:vMerge/>
            <w:tcBorders>
              <w:left w:val="single" w:sz="4" w:space="0" w:color="auto"/>
            </w:tcBorders>
            <w:vAlign w:val="center"/>
            <w:hideMark/>
          </w:tcPr>
          <w:p w14:paraId="339B5DE9"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996" w:type="dxa"/>
            <w:tcBorders>
              <w:top w:val="single" w:sz="4" w:space="0" w:color="auto"/>
              <w:left w:val="single" w:sz="4" w:space="0" w:color="auto"/>
            </w:tcBorders>
          </w:tcPr>
          <w:p w14:paraId="6A6E8CA8"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Female</w:t>
            </w:r>
          </w:p>
        </w:tc>
        <w:tc>
          <w:tcPr>
            <w:tcW w:w="0" w:type="auto"/>
            <w:tcBorders>
              <w:top w:val="single" w:sz="4" w:space="0" w:color="auto"/>
              <w:left w:val="single" w:sz="4" w:space="0" w:color="auto"/>
              <w:right w:val="single" w:sz="4" w:space="0" w:color="auto"/>
            </w:tcBorders>
            <w:vAlign w:val="center"/>
            <w:hideMark/>
          </w:tcPr>
          <w:p w14:paraId="2E170125"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31 (63.3%)</w:t>
            </w:r>
          </w:p>
        </w:tc>
        <w:tc>
          <w:tcPr>
            <w:tcW w:w="0" w:type="auto"/>
            <w:tcBorders>
              <w:top w:val="single" w:sz="4" w:space="0" w:color="auto"/>
              <w:right w:val="single" w:sz="4" w:space="0" w:color="auto"/>
            </w:tcBorders>
            <w:vAlign w:val="center"/>
            <w:hideMark/>
          </w:tcPr>
          <w:p w14:paraId="4393A270"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28 (59.6%)</w:t>
            </w:r>
          </w:p>
        </w:tc>
        <w:tc>
          <w:tcPr>
            <w:tcW w:w="0" w:type="auto"/>
            <w:vMerge/>
            <w:tcBorders>
              <w:right w:val="single" w:sz="4" w:space="0" w:color="auto"/>
            </w:tcBorders>
            <w:vAlign w:val="center"/>
            <w:hideMark/>
          </w:tcPr>
          <w:p w14:paraId="11CB6CCB"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0" w:type="auto"/>
            <w:vMerge/>
            <w:tcBorders>
              <w:right w:val="single" w:sz="4" w:space="0" w:color="auto"/>
            </w:tcBorders>
            <w:vAlign w:val="center"/>
            <w:hideMark/>
          </w:tcPr>
          <w:p w14:paraId="441973E0"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r>
      <w:tr w:rsidR="00F70768" w:rsidRPr="00D04A3F" w14:paraId="1ACA6621" w14:textId="77777777" w:rsidTr="0067628B">
        <w:trPr>
          <w:tblCellSpacing w:w="15" w:type="dxa"/>
        </w:trPr>
        <w:tc>
          <w:tcPr>
            <w:tcW w:w="2077" w:type="dxa"/>
            <w:vMerge w:val="restart"/>
            <w:tcBorders>
              <w:top w:val="single" w:sz="4" w:space="0" w:color="auto"/>
              <w:left w:val="single" w:sz="4" w:space="0" w:color="auto"/>
            </w:tcBorders>
            <w:vAlign w:val="center"/>
            <w:hideMark/>
          </w:tcPr>
          <w:p w14:paraId="6B1B57A7"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Caregiver's Marital Status</w:t>
            </w:r>
          </w:p>
        </w:tc>
        <w:tc>
          <w:tcPr>
            <w:tcW w:w="996" w:type="dxa"/>
            <w:tcBorders>
              <w:top w:val="single" w:sz="4" w:space="0" w:color="auto"/>
              <w:left w:val="single" w:sz="4" w:space="0" w:color="auto"/>
            </w:tcBorders>
          </w:tcPr>
          <w:p w14:paraId="12FE9E6D"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Single</w:t>
            </w:r>
          </w:p>
        </w:tc>
        <w:tc>
          <w:tcPr>
            <w:tcW w:w="0" w:type="auto"/>
            <w:tcBorders>
              <w:top w:val="single" w:sz="4" w:space="0" w:color="auto"/>
              <w:left w:val="single" w:sz="4" w:space="0" w:color="auto"/>
              <w:bottom w:val="single" w:sz="4" w:space="0" w:color="auto"/>
              <w:right w:val="single" w:sz="4" w:space="0" w:color="auto"/>
            </w:tcBorders>
            <w:vAlign w:val="center"/>
            <w:hideMark/>
          </w:tcPr>
          <w:p w14:paraId="4D107FB5"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17 (34.7%)</w:t>
            </w:r>
          </w:p>
        </w:tc>
        <w:tc>
          <w:tcPr>
            <w:tcW w:w="0" w:type="auto"/>
            <w:tcBorders>
              <w:top w:val="single" w:sz="4" w:space="0" w:color="auto"/>
              <w:bottom w:val="single" w:sz="4" w:space="0" w:color="auto"/>
              <w:right w:val="single" w:sz="4" w:space="0" w:color="auto"/>
            </w:tcBorders>
            <w:vAlign w:val="center"/>
            <w:hideMark/>
          </w:tcPr>
          <w:p w14:paraId="0D0020DE"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16 (34.0%)</w:t>
            </w:r>
          </w:p>
        </w:tc>
        <w:tc>
          <w:tcPr>
            <w:tcW w:w="0" w:type="auto"/>
            <w:vMerge w:val="restart"/>
            <w:tcBorders>
              <w:top w:val="single" w:sz="4" w:space="0" w:color="auto"/>
              <w:right w:val="single" w:sz="4" w:space="0" w:color="auto"/>
            </w:tcBorders>
            <w:vAlign w:val="center"/>
            <w:hideMark/>
          </w:tcPr>
          <w:p w14:paraId="58F99D85"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1.00</w:t>
            </w:r>
          </w:p>
        </w:tc>
        <w:tc>
          <w:tcPr>
            <w:tcW w:w="0" w:type="auto"/>
            <w:vMerge w:val="restart"/>
            <w:tcBorders>
              <w:top w:val="single" w:sz="4" w:space="0" w:color="auto"/>
              <w:right w:val="single" w:sz="4" w:space="0" w:color="auto"/>
            </w:tcBorders>
            <w:vAlign w:val="center"/>
            <w:hideMark/>
          </w:tcPr>
          <w:p w14:paraId="7B1CCBFB"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Chi-square</w:t>
            </w:r>
          </w:p>
        </w:tc>
      </w:tr>
      <w:tr w:rsidR="00F70768" w:rsidRPr="00D04A3F" w14:paraId="2496DEB0" w14:textId="77777777" w:rsidTr="0067628B">
        <w:trPr>
          <w:tblCellSpacing w:w="15" w:type="dxa"/>
        </w:trPr>
        <w:tc>
          <w:tcPr>
            <w:tcW w:w="2077" w:type="dxa"/>
            <w:vMerge/>
            <w:tcBorders>
              <w:left w:val="single" w:sz="4" w:space="0" w:color="auto"/>
              <w:bottom w:val="single" w:sz="4" w:space="0" w:color="auto"/>
            </w:tcBorders>
            <w:vAlign w:val="center"/>
            <w:hideMark/>
          </w:tcPr>
          <w:p w14:paraId="61BCC2E6"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996" w:type="dxa"/>
            <w:tcBorders>
              <w:top w:val="single" w:sz="4" w:space="0" w:color="auto"/>
              <w:left w:val="single" w:sz="4" w:space="0" w:color="auto"/>
              <w:bottom w:val="single" w:sz="4" w:space="0" w:color="auto"/>
            </w:tcBorders>
          </w:tcPr>
          <w:p w14:paraId="218DD343"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Married</w:t>
            </w:r>
          </w:p>
        </w:tc>
        <w:tc>
          <w:tcPr>
            <w:tcW w:w="0" w:type="auto"/>
            <w:tcBorders>
              <w:left w:val="single" w:sz="4" w:space="0" w:color="auto"/>
              <w:bottom w:val="single" w:sz="4" w:space="0" w:color="auto"/>
              <w:right w:val="single" w:sz="4" w:space="0" w:color="auto"/>
            </w:tcBorders>
            <w:vAlign w:val="center"/>
            <w:hideMark/>
          </w:tcPr>
          <w:p w14:paraId="58EE85C8"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32 (65.3%)</w:t>
            </w:r>
          </w:p>
        </w:tc>
        <w:tc>
          <w:tcPr>
            <w:tcW w:w="0" w:type="auto"/>
            <w:tcBorders>
              <w:bottom w:val="single" w:sz="4" w:space="0" w:color="auto"/>
              <w:right w:val="single" w:sz="4" w:space="0" w:color="auto"/>
            </w:tcBorders>
            <w:vAlign w:val="center"/>
            <w:hideMark/>
          </w:tcPr>
          <w:p w14:paraId="518F3EB2"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31 (66.0%)</w:t>
            </w:r>
          </w:p>
        </w:tc>
        <w:tc>
          <w:tcPr>
            <w:tcW w:w="0" w:type="auto"/>
            <w:vMerge/>
            <w:tcBorders>
              <w:bottom w:val="single" w:sz="4" w:space="0" w:color="auto"/>
              <w:right w:val="single" w:sz="4" w:space="0" w:color="auto"/>
            </w:tcBorders>
            <w:vAlign w:val="center"/>
            <w:hideMark/>
          </w:tcPr>
          <w:p w14:paraId="7F6501DC"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0" w:type="auto"/>
            <w:vMerge/>
            <w:tcBorders>
              <w:bottom w:val="single" w:sz="4" w:space="0" w:color="auto"/>
              <w:right w:val="single" w:sz="4" w:space="0" w:color="auto"/>
            </w:tcBorders>
            <w:vAlign w:val="center"/>
            <w:hideMark/>
          </w:tcPr>
          <w:p w14:paraId="610554E6"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r>
      <w:tr w:rsidR="00F70768" w:rsidRPr="00D04A3F" w14:paraId="21419C28" w14:textId="77777777" w:rsidTr="0067628B">
        <w:trPr>
          <w:tblCellSpacing w:w="15" w:type="dxa"/>
        </w:trPr>
        <w:tc>
          <w:tcPr>
            <w:tcW w:w="2077" w:type="dxa"/>
            <w:vMerge w:val="restart"/>
            <w:tcBorders>
              <w:left w:val="single" w:sz="4" w:space="0" w:color="auto"/>
            </w:tcBorders>
            <w:vAlign w:val="center"/>
            <w:hideMark/>
          </w:tcPr>
          <w:p w14:paraId="4AE9C554"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Caregiver's Underlying Health Condition</w:t>
            </w:r>
          </w:p>
        </w:tc>
        <w:tc>
          <w:tcPr>
            <w:tcW w:w="996" w:type="dxa"/>
            <w:tcBorders>
              <w:left w:val="single" w:sz="4" w:space="0" w:color="auto"/>
            </w:tcBorders>
          </w:tcPr>
          <w:p w14:paraId="0543F49F"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Yes</w:t>
            </w:r>
          </w:p>
        </w:tc>
        <w:tc>
          <w:tcPr>
            <w:tcW w:w="0" w:type="auto"/>
            <w:tcBorders>
              <w:left w:val="single" w:sz="4" w:space="0" w:color="auto"/>
              <w:right w:val="single" w:sz="4" w:space="0" w:color="auto"/>
            </w:tcBorders>
            <w:vAlign w:val="center"/>
            <w:hideMark/>
          </w:tcPr>
          <w:p w14:paraId="1B0C27B8"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28 (57.1%)</w:t>
            </w:r>
          </w:p>
        </w:tc>
        <w:tc>
          <w:tcPr>
            <w:tcW w:w="0" w:type="auto"/>
            <w:tcBorders>
              <w:right w:val="single" w:sz="4" w:space="0" w:color="auto"/>
            </w:tcBorders>
            <w:vAlign w:val="center"/>
            <w:hideMark/>
          </w:tcPr>
          <w:p w14:paraId="3C5C7AE9"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27 (57.4%)</w:t>
            </w:r>
          </w:p>
        </w:tc>
        <w:tc>
          <w:tcPr>
            <w:tcW w:w="0" w:type="auto"/>
            <w:vMerge w:val="restart"/>
            <w:tcBorders>
              <w:right w:val="single" w:sz="4" w:space="0" w:color="auto"/>
            </w:tcBorders>
            <w:vAlign w:val="center"/>
            <w:hideMark/>
          </w:tcPr>
          <w:p w14:paraId="42E417E8"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1.00</w:t>
            </w:r>
          </w:p>
        </w:tc>
        <w:tc>
          <w:tcPr>
            <w:tcW w:w="0" w:type="auto"/>
            <w:vMerge w:val="restart"/>
            <w:tcBorders>
              <w:right w:val="single" w:sz="4" w:space="0" w:color="auto"/>
            </w:tcBorders>
            <w:vAlign w:val="center"/>
            <w:hideMark/>
          </w:tcPr>
          <w:p w14:paraId="43760243"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Chi-square</w:t>
            </w:r>
          </w:p>
        </w:tc>
      </w:tr>
      <w:tr w:rsidR="00F70768" w:rsidRPr="00D04A3F" w14:paraId="48499EC6" w14:textId="77777777" w:rsidTr="0067628B">
        <w:trPr>
          <w:tblCellSpacing w:w="15" w:type="dxa"/>
        </w:trPr>
        <w:tc>
          <w:tcPr>
            <w:tcW w:w="2077" w:type="dxa"/>
            <w:vMerge/>
            <w:tcBorders>
              <w:left w:val="single" w:sz="4" w:space="0" w:color="auto"/>
            </w:tcBorders>
            <w:vAlign w:val="center"/>
            <w:hideMark/>
          </w:tcPr>
          <w:p w14:paraId="6D107FDF"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996" w:type="dxa"/>
            <w:tcBorders>
              <w:top w:val="single" w:sz="4" w:space="0" w:color="auto"/>
              <w:left w:val="single" w:sz="4" w:space="0" w:color="auto"/>
            </w:tcBorders>
          </w:tcPr>
          <w:p w14:paraId="2D0689F2"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No</w:t>
            </w:r>
          </w:p>
        </w:tc>
        <w:tc>
          <w:tcPr>
            <w:tcW w:w="0" w:type="auto"/>
            <w:tcBorders>
              <w:top w:val="single" w:sz="4" w:space="0" w:color="auto"/>
              <w:left w:val="single" w:sz="4" w:space="0" w:color="auto"/>
              <w:right w:val="single" w:sz="4" w:space="0" w:color="auto"/>
            </w:tcBorders>
            <w:vAlign w:val="center"/>
            <w:hideMark/>
          </w:tcPr>
          <w:p w14:paraId="6EE6CD2C"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21 (42.9%)</w:t>
            </w:r>
          </w:p>
        </w:tc>
        <w:tc>
          <w:tcPr>
            <w:tcW w:w="0" w:type="auto"/>
            <w:tcBorders>
              <w:top w:val="single" w:sz="4" w:space="0" w:color="auto"/>
              <w:right w:val="single" w:sz="4" w:space="0" w:color="auto"/>
            </w:tcBorders>
            <w:vAlign w:val="center"/>
            <w:hideMark/>
          </w:tcPr>
          <w:p w14:paraId="2759FD08"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20 (42.6%)</w:t>
            </w:r>
          </w:p>
        </w:tc>
        <w:tc>
          <w:tcPr>
            <w:tcW w:w="0" w:type="auto"/>
            <w:vMerge/>
            <w:tcBorders>
              <w:right w:val="single" w:sz="4" w:space="0" w:color="auto"/>
            </w:tcBorders>
            <w:vAlign w:val="center"/>
            <w:hideMark/>
          </w:tcPr>
          <w:p w14:paraId="424CF30C"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0" w:type="auto"/>
            <w:vMerge/>
            <w:tcBorders>
              <w:right w:val="single" w:sz="4" w:space="0" w:color="auto"/>
            </w:tcBorders>
            <w:vAlign w:val="center"/>
            <w:hideMark/>
          </w:tcPr>
          <w:p w14:paraId="1D14F6B7"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r>
      <w:tr w:rsidR="00F70768" w:rsidRPr="00D04A3F" w14:paraId="1A27F9E6" w14:textId="77777777" w:rsidTr="0067628B">
        <w:trPr>
          <w:tblCellSpacing w:w="15" w:type="dxa"/>
        </w:trPr>
        <w:tc>
          <w:tcPr>
            <w:tcW w:w="2077" w:type="dxa"/>
            <w:vMerge w:val="restart"/>
            <w:tcBorders>
              <w:top w:val="single" w:sz="4" w:space="0" w:color="auto"/>
              <w:left w:val="single" w:sz="4" w:space="0" w:color="auto"/>
            </w:tcBorders>
            <w:vAlign w:val="center"/>
            <w:hideMark/>
          </w:tcPr>
          <w:p w14:paraId="4B5CF908"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Caregiver's Occupation</w:t>
            </w:r>
          </w:p>
        </w:tc>
        <w:tc>
          <w:tcPr>
            <w:tcW w:w="996" w:type="dxa"/>
            <w:tcBorders>
              <w:top w:val="single" w:sz="4" w:space="0" w:color="auto"/>
              <w:left w:val="single" w:sz="4" w:space="0" w:color="auto"/>
            </w:tcBorders>
          </w:tcPr>
          <w:p w14:paraId="48CA7F59"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Freelance</w:t>
            </w:r>
          </w:p>
        </w:tc>
        <w:tc>
          <w:tcPr>
            <w:tcW w:w="0" w:type="auto"/>
            <w:tcBorders>
              <w:top w:val="single" w:sz="4" w:space="0" w:color="auto"/>
              <w:left w:val="single" w:sz="4" w:space="0" w:color="auto"/>
              <w:right w:val="single" w:sz="4" w:space="0" w:color="auto"/>
            </w:tcBorders>
            <w:vAlign w:val="center"/>
            <w:hideMark/>
          </w:tcPr>
          <w:p w14:paraId="1B845233"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24 (49.0%)</w:t>
            </w:r>
          </w:p>
        </w:tc>
        <w:tc>
          <w:tcPr>
            <w:tcW w:w="0" w:type="auto"/>
            <w:tcBorders>
              <w:top w:val="single" w:sz="4" w:space="0" w:color="auto"/>
              <w:right w:val="single" w:sz="4" w:space="0" w:color="auto"/>
            </w:tcBorders>
            <w:vAlign w:val="center"/>
            <w:hideMark/>
          </w:tcPr>
          <w:p w14:paraId="3E523256"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20 (42.6%)</w:t>
            </w:r>
          </w:p>
        </w:tc>
        <w:tc>
          <w:tcPr>
            <w:tcW w:w="0" w:type="auto"/>
            <w:vMerge w:val="restart"/>
            <w:tcBorders>
              <w:top w:val="single" w:sz="4" w:space="0" w:color="auto"/>
              <w:right w:val="single" w:sz="4" w:space="0" w:color="auto"/>
            </w:tcBorders>
            <w:vAlign w:val="center"/>
            <w:hideMark/>
          </w:tcPr>
          <w:p w14:paraId="7261F5D7"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0.54</w:t>
            </w:r>
          </w:p>
        </w:tc>
        <w:tc>
          <w:tcPr>
            <w:tcW w:w="0" w:type="auto"/>
            <w:vMerge w:val="restart"/>
            <w:tcBorders>
              <w:top w:val="single" w:sz="4" w:space="0" w:color="auto"/>
              <w:right w:val="single" w:sz="4" w:space="0" w:color="auto"/>
            </w:tcBorders>
            <w:vAlign w:val="center"/>
            <w:hideMark/>
          </w:tcPr>
          <w:p w14:paraId="332128D3"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Chi-square</w:t>
            </w:r>
          </w:p>
        </w:tc>
      </w:tr>
      <w:tr w:rsidR="00F70768" w:rsidRPr="00D04A3F" w14:paraId="76FBA881" w14:textId="77777777" w:rsidTr="0067628B">
        <w:trPr>
          <w:tblCellSpacing w:w="15" w:type="dxa"/>
        </w:trPr>
        <w:tc>
          <w:tcPr>
            <w:tcW w:w="2077" w:type="dxa"/>
            <w:vMerge/>
            <w:tcBorders>
              <w:left w:val="single" w:sz="4" w:space="0" w:color="auto"/>
            </w:tcBorders>
            <w:vAlign w:val="center"/>
            <w:hideMark/>
          </w:tcPr>
          <w:p w14:paraId="0AAABED4"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996" w:type="dxa"/>
            <w:tcBorders>
              <w:top w:val="single" w:sz="4" w:space="0" w:color="auto"/>
              <w:left w:val="single" w:sz="4" w:space="0" w:color="auto"/>
            </w:tcBorders>
          </w:tcPr>
          <w:p w14:paraId="53678F6D"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Government</w:t>
            </w:r>
          </w:p>
        </w:tc>
        <w:tc>
          <w:tcPr>
            <w:tcW w:w="0" w:type="auto"/>
            <w:tcBorders>
              <w:top w:val="single" w:sz="4" w:space="0" w:color="auto"/>
              <w:left w:val="single" w:sz="4" w:space="0" w:color="auto"/>
              <w:right w:val="single" w:sz="4" w:space="0" w:color="auto"/>
            </w:tcBorders>
            <w:vAlign w:val="center"/>
            <w:hideMark/>
          </w:tcPr>
          <w:p w14:paraId="46F61C38"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11 (22.4%)</w:t>
            </w:r>
          </w:p>
        </w:tc>
        <w:tc>
          <w:tcPr>
            <w:tcW w:w="0" w:type="auto"/>
            <w:tcBorders>
              <w:top w:val="single" w:sz="4" w:space="0" w:color="auto"/>
              <w:right w:val="single" w:sz="4" w:space="0" w:color="auto"/>
            </w:tcBorders>
            <w:vAlign w:val="center"/>
            <w:hideMark/>
          </w:tcPr>
          <w:p w14:paraId="6AA55F17"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10 (21.3%)</w:t>
            </w:r>
          </w:p>
        </w:tc>
        <w:tc>
          <w:tcPr>
            <w:tcW w:w="0" w:type="auto"/>
            <w:vMerge/>
            <w:tcBorders>
              <w:right w:val="single" w:sz="4" w:space="0" w:color="auto"/>
            </w:tcBorders>
            <w:vAlign w:val="center"/>
            <w:hideMark/>
          </w:tcPr>
          <w:p w14:paraId="653DF1E2"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0" w:type="auto"/>
            <w:vMerge/>
            <w:tcBorders>
              <w:right w:val="single" w:sz="4" w:space="0" w:color="auto"/>
            </w:tcBorders>
            <w:vAlign w:val="center"/>
            <w:hideMark/>
          </w:tcPr>
          <w:p w14:paraId="147566F6"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r>
      <w:tr w:rsidR="00F70768" w:rsidRPr="00D04A3F" w14:paraId="502BAD00" w14:textId="77777777" w:rsidTr="0067628B">
        <w:trPr>
          <w:tblCellSpacing w:w="15" w:type="dxa"/>
        </w:trPr>
        <w:tc>
          <w:tcPr>
            <w:tcW w:w="2077" w:type="dxa"/>
            <w:vMerge/>
            <w:tcBorders>
              <w:left w:val="single" w:sz="4" w:space="0" w:color="auto"/>
            </w:tcBorders>
            <w:vAlign w:val="center"/>
            <w:hideMark/>
          </w:tcPr>
          <w:p w14:paraId="2F7C6575"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996" w:type="dxa"/>
            <w:tcBorders>
              <w:top w:val="single" w:sz="4" w:space="0" w:color="auto"/>
              <w:left w:val="single" w:sz="4" w:space="0" w:color="auto"/>
            </w:tcBorders>
          </w:tcPr>
          <w:p w14:paraId="524D1870"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Retired</w:t>
            </w:r>
          </w:p>
        </w:tc>
        <w:tc>
          <w:tcPr>
            <w:tcW w:w="0" w:type="auto"/>
            <w:tcBorders>
              <w:top w:val="single" w:sz="4" w:space="0" w:color="auto"/>
              <w:left w:val="single" w:sz="4" w:space="0" w:color="auto"/>
              <w:bottom w:val="single" w:sz="4" w:space="0" w:color="auto"/>
              <w:right w:val="single" w:sz="4" w:space="0" w:color="auto"/>
            </w:tcBorders>
            <w:vAlign w:val="center"/>
            <w:hideMark/>
          </w:tcPr>
          <w:p w14:paraId="72AF5FD8"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2 (4.1%)</w:t>
            </w:r>
          </w:p>
        </w:tc>
        <w:tc>
          <w:tcPr>
            <w:tcW w:w="0" w:type="auto"/>
            <w:tcBorders>
              <w:top w:val="single" w:sz="4" w:space="0" w:color="auto"/>
              <w:bottom w:val="single" w:sz="4" w:space="0" w:color="auto"/>
              <w:right w:val="single" w:sz="4" w:space="0" w:color="auto"/>
            </w:tcBorders>
            <w:vAlign w:val="center"/>
            <w:hideMark/>
          </w:tcPr>
          <w:p w14:paraId="4CFCD588"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0 (0.0%)</w:t>
            </w:r>
          </w:p>
        </w:tc>
        <w:tc>
          <w:tcPr>
            <w:tcW w:w="0" w:type="auto"/>
            <w:vMerge/>
            <w:tcBorders>
              <w:right w:val="single" w:sz="4" w:space="0" w:color="auto"/>
            </w:tcBorders>
            <w:vAlign w:val="center"/>
            <w:hideMark/>
          </w:tcPr>
          <w:p w14:paraId="1A98AA2F"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0" w:type="auto"/>
            <w:vMerge/>
            <w:tcBorders>
              <w:right w:val="single" w:sz="4" w:space="0" w:color="auto"/>
            </w:tcBorders>
            <w:vAlign w:val="center"/>
            <w:hideMark/>
          </w:tcPr>
          <w:p w14:paraId="6DC59680"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r>
      <w:tr w:rsidR="00F70768" w:rsidRPr="00D04A3F" w14:paraId="3D245805" w14:textId="77777777" w:rsidTr="0067628B">
        <w:trPr>
          <w:tblCellSpacing w:w="15" w:type="dxa"/>
        </w:trPr>
        <w:tc>
          <w:tcPr>
            <w:tcW w:w="2077" w:type="dxa"/>
            <w:vMerge/>
            <w:tcBorders>
              <w:left w:val="single" w:sz="4" w:space="0" w:color="auto"/>
            </w:tcBorders>
            <w:vAlign w:val="center"/>
            <w:hideMark/>
          </w:tcPr>
          <w:p w14:paraId="3698C69F"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996" w:type="dxa"/>
            <w:tcBorders>
              <w:top w:val="single" w:sz="4" w:space="0" w:color="auto"/>
              <w:left w:val="single" w:sz="4" w:space="0" w:color="auto"/>
            </w:tcBorders>
          </w:tcPr>
          <w:p w14:paraId="1E0891A3"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Housewife</w:t>
            </w:r>
          </w:p>
        </w:tc>
        <w:tc>
          <w:tcPr>
            <w:tcW w:w="0" w:type="auto"/>
            <w:tcBorders>
              <w:left w:val="single" w:sz="4" w:space="0" w:color="auto"/>
              <w:right w:val="single" w:sz="4" w:space="0" w:color="auto"/>
            </w:tcBorders>
            <w:vAlign w:val="center"/>
            <w:hideMark/>
          </w:tcPr>
          <w:p w14:paraId="49C7E5D1"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10 (20.4%)</w:t>
            </w:r>
          </w:p>
        </w:tc>
        <w:tc>
          <w:tcPr>
            <w:tcW w:w="0" w:type="auto"/>
            <w:tcBorders>
              <w:right w:val="single" w:sz="4" w:space="0" w:color="auto"/>
            </w:tcBorders>
            <w:vAlign w:val="center"/>
            <w:hideMark/>
          </w:tcPr>
          <w:p w14:paraId="14C86755"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13 (27.7%)</w:t>
            </w:r>
          </w:p>
        </w:tc>
        <w:tc>
          <w:tcPr>
            <w:tcW w:w="0" w:type="auto"/>
            <w:vMerge/>
            <w:tcBorders>
              <w:right w:val="single" w:sz="4" w:space="0" w:color="auto"/>
            </w:tcBorders>
            <w:vAlign w:val="center"/>
            <w:hideMark/>
          </w:tcPr>
          <w:p w14:paraId="6730EAA3"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0" w:type="auto"/>
            <w:vMerge/>
            <w:tcBorders>
              <w:right w:val="single" w:sz="4" w:space="0" w:color="auto"/>
            </w:tcBorders>
            <w:vAlign w:val="center"/>
            <w:hideMark/>
          </w:tcPr>
          <w:p w14:paraId="5AA66959"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r>
      <w:tr w:rsidR="00F70768" w:rsidRPr="00D04A3F" w14:paraId="6120151C" w14:textId="77777777" w:rsidTr="0067628B">
        <w:trPr>
          <w:tblCellSpacing w:w="15" w:type="dxa"/>
        </w:trPr>
        <w:tc>
          <w:tcPr>
            <w:tcW w:w="2077" w:type="dxa"/>
            <w:vMerge/>
            <w:tcBorders>
              <w:left w:val="single" w:sz="4" w:space="0" w:color="auto"/>
              <w:bottom w:val="single" w:sz="4" w:space="0" w:color="auto"/>
            </w:tcBorders>
            <w:vAlign w:val="center"/>
            <w:hideMark/>
          </w:tcPr>
          <w:p w14:paraId="365185BE"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996" w:type="dxa"/>
            <w:tcBorders>
              <w:top w:val="single" w:sz="4" w:space="0" w:color="auto"/>
              <w:left w:val="single" w:sz="4" w:space="0" w:color="auto"/>
              <w:bottom w:val="single" w:sz="4" w:space="0" w:color="auto"/>
            </w:tcBorders>
          </w:tcPr>
          <w:p w14:paraId="7084A043"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Unemployed</w:t>
            </w:r>
          </w:p>
        </w:tc>
        <w:tc>
          <w:tcPr>
            <w:tcW w:w="0" w:type="auto"/>
            <w:tcBorders>
              <w:top w:val="single" w:sz="4" w:space="0" w:color="auto"/>
              <w:left w:val="single" w:sz="4" w:space="0" w:color="auto"/>
              <w:bottom w:val="single" w:sz="4" w:space="0" w:color="auto"/>
              <w:right w:val="single" w:sz="4" w:space="0" w:color="auto"/>
            </w:tcBorders>
            <w:vAlign w:val="center"/>
            <w:hideMark/>
          </w:tcPr>
          <w:p w14:paraId="2B052D2B"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2 (4.1%)</w:t>
            </w:r>
          </w:p>
        </w:tc>
        <w:tc>
          <w:tcPr>
            <w:tcW w:w="0" w:type="auto"/>
            <w:tcBorders>
              <w:top w:val="single" w:sz="4" w:space="0" w:color="auto"/>
              <w:bottom w:val="single" w:sz="4" w:space="0" w:color="auto"/>
              <w:right w:val="single" w:sz="4" w:space="0" w:color="auto"/>
            </w:tcBorders>
            <w:vAlign w:val="center"/>
            <w:hideMark/>
          </w:tcPr>
          <w:p w14:paraId="00A283CC"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4 (8.5%)</w:t>
            </w:r>
          </w:p>
        </w:tc>
        <w:tc>
          <w:tcPr>
            <w:tcW w:w="0" w:type="auto"/>
            <w:vMerge/>
            <w:tcBorders>
              <w:bottom w:val="single" w:sz="4" w:space="0" w:color="auto"/>
              <w:right w:val="single" w:sz="4" w:space="0" w:color="auto"/>
            </w:tcBorders>
            <w:vAlign w:val="center"/>
            <w:hideMark/>
          </w:tcPr>
          <w:p w14:paraId="75A6CCEC"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c>
          <w:tcPr>
            <w:tcW w:w="0" w:type="auto"/>
            <w:vMerge/>
            <w:tcBorders>
              <w:bottom w:val="single" w:sz="4" w:space="0" w:color="auto"/>
              <w:right w:val="single" w:sz="4" w:space="0" w:color="auto"/>
            </w:tcBorders>
            <w:vAlign w:val="center"/>
            <w:hideMark/>
          </w:tcPr>
          <w:p w14:paraId="1B107332" w14:textId="77777777" w:rsidR="00F70768" w:rsidRPr="00D04A3F" w:rsidRDefault="00F70768" w:rsidP="0067628B">
            <w:pPr>
              <w:spacing w:after="0" w:line="240" w:lineRule="auto"/>
              <w:jc w:val="center"/>
              <w:rPr>
                <w:rFonts w:asciiTheme="majorBidi" w:eastAsia="Times New Roman" w:hAnsiTheme="majorBidi" w:cstheme="majorBidi"/>
                <w:kern w:val="0"/>
                <w14:ligatures w14:val="none"/>
              </w:rPr>
            </w:pPr>
          </w:p>
        </w:tc>
      </w:tr>
    </w:tbl>
    <w:p w14:paraId="26D6CC1C" w14:textId="77777777" w:rsidR="00F70768" w:rsidRPr="00D04A3F" w:rsidRDefault="00F70768" w:rsidP="00F70768">
      <w:pPr>
        <w:jc w:val="both"/>
        <w:rPr>
          <w:rFonts w:asciiTheme="majorBidi" w:hAnsiTheme="majorBidi" w:cstheme="majorBidi"/>
        </w:rPr>
      </w:pPr>
    </w:p>
    <w:p w14:paraId="304A1E95" w14:textId="77777777" w:rsidR="00F70768" w:rsidRPr="00D04A3F" w:rsidRDefault="00F70768" w:rsidP="00F70768">
      <w:pPr>
        <w:spacing w:before="100" w:beforeAutospacing="1" w:after="100" w:afterAutospacing="1"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 xml:space="preserve">Table 4 </w:t>
      </w:r>
      <w:r w:rsidRPr="00D04A3F">
        <w:rPr>
          <w:rFonts w:asciiTheme="majorBidi" w:eastAsia="Times New Roman" w:hAnsiTheme="majorBidi" w:cstheme="majorBidi"/>
          <w:b/>
          <w:bCs/>
          <w:kern w:val="0"/>
        </w:rPr>
        <w:t>Means</w:t>
      </w:r>
      <w:r w:rsidRPr="00D04A3F">
        <w:rPr>
          <w:rFonts w:asciiTheme="majorBidi" w:eastAsia="Times New Roman" w:hAnsiTheme="majorBidi" w:cstheme="majorBidi"/>
          <w:b/>
          <w:bCs/>
          <w:kern w:val="0"/>
          <w14:ligatures w14:val="none"/>
        </w:rPr>
        <w:t xml:space="preserve"> and </w:t>
      </w:r>
      <w:r w:rsidRPr="00D04A3F">
        <w:rPr>
          <w:rFonts w:asciiTheme="majorBidi" w:eastAsia="Times New Roman" w:hAnsiTheme="majorBidi" w:cstheme="majorBidi"/>
          <w:b/>
          <w:bCs/>
          <w:kern w:val="0"/>
        </w:rPr>
        <w:t>standard deviations of the resilience scores of the participants at different stages by group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39"/>
        <w:gridCol w:w="1146"/>
        <w:gridCol w:w="2689"/>
        <w:gridCol w:w="2536"/>
      </w:tblGrid>
      <w:tr w:rsidR="00F70768" w:rsidRPr="00D04A3F" w14:paraId="576BA88C" w14:textId="77777777" w:rsidTr="0067628B">
        <w:trPr>
          <w:tblHeader/>
          <w:tblCellSpacing w:w="15" w:type="dxa"/>
        </w:trPr>
        <w:tc>
          <w:tcPr>
            <w:tcW w:w="0" w:type="auto"/>
            <w:tcBorders>
              <w:top w:val="single" w:sz="4" w:space="0" w:color="auto"/>
              <w:left w:val="single" w:sz="4" w:space="0" w:color="auto"/>
            </w:tcBorders>
            <w:vAlign w:val="center"/>
            <w:hideMark/>
          </w:tcPr>
          <w:p w14:paraId="26840535" w14:textId="77777777" w:rsidR="00F70768" w:rsidRPr="00D04A3F" w:rsidRDefault="00F70768" w:rsidP="0067628B">
            <w:pPr>
              <w:spacing w:after="0" w:line="240" w:lineRule="auto"/>
              <w:jc w:val="both"/>
              <w:rPr>
                <w:rFonts w:asciiTheme="majorBidi" w:eastAsia="Times New Roman" w:hAnsiTheme="majorBidi" w:cstheme="majorBidi"/>
                <w:b/>
                <w:bCs/>
                <w:kern w:val="0"/>
                <w14:ligatures w14:val="none"/>
              </w:rPr>
            </w:pPr>
            <w:r w:rsidRPr="00D04A3F">
              <w:rPr>
                <w:rFonts w:asciiTheme="majorBidi" w:eastAsia="Times New Roman" w:hAnsiTheme="majorBidi" w:cstheme="majorBidi"/>
                <w:b/>
                <w:bCs/>
                <w:kern w:val="0"/>
                <w14:ligatures w14:val="none"/>
              </w:rPr>
              <w:t>Resilience</w:t>
            </w:r>
          </w:p>
        </w:tc>
        <w:tc>
          <w:tcPr>
            <w:tcW w:w="0" w:type="auto"/>
            <w:tcBorders>
              <w:top w:val="single" w:sz="4" w:space="0" w:color="auto"/>
              <w:left w:val="single" w:sz="4" w:space="0" w:color="auto"/>
            </w:tcBorders>
            <w:vAlign w:val="center"/>
            <w:hideMark/>
          </w:tcPr>
          <w:p w14:paraId="31C89C3E" w14:textId="77777777" w:rsidR="00F70768" w:rsidRPr="00D04A3F" w:rsidRDefault="00F70768" w:rsidP="0067628B">
            <w:pPr>
              <w:spacing w:after="0" w:line="240" w:lineRule="auto"/>
              <w:jc w:val="both"/>
              <w:rPr>
                <w:rFonts w:asciiTheme="majorBidi" w:eastAsia="Times New Roman" w:hAnsiTheme="majorBidi" w:cstheme="majorBidi"/>
                <w:b/>
                <w:bCs/>
                <w:kern w:val="0"/>
                <w14:ligatures w14:val="none"/>
              </w:rPr>
            </w:pPr>
            <w:r w:rsidRPr="00D04A3F">
              <w:rPr>
                <w:rFonts w:asciiTheme="majorBidi" w:eastAsia="Times New Roman" w:hAnsiTheme="majorBidi" w:cstheme="majorBidi"/>
                <w:b/>
                <w:bCs/>
                <w:kern w:val="0"/>
                <w14:ligatures w14:val="none"/>
              </w:rPr>
              <w:t>Group</w:t>
            </w:r>
          </w:p>
        </w:tc>
        <w:tc>
          <w:tcPr>
            <w:tcW w:w="0" w:type="auto"/>
            <w:tcBorders>
              <w:top w:val="single" w:sz="4" w:space="0" w:color="auto"/>
              <w:left w:val="single" w:sz="4" w:space="0" w:color="auto"/>
              <w:right w:val="single" w:sz="4" w:space="0" w:color="auto"/>
            </w:tcBorders>
            <w:vAlign w:val="center"/>
            <w:hideMark/>
          </w:tcPr>
          <w:p w14:paraId="781ED621" w14:textId="77777777" w:rsidR="00F70768" w:rsidRPr="00D04A3F" w:rsidRDefault="00F70768" w:rsidP="0067628B">
            <w:pPr>
              <w:spacing w:after="0" w:line="240" w:lineRule="auto"/>
              <w:jc w:val="both"/>
              <w:rPr>
                <w:rFonts w:asciiTheme="majorBidi" w:eastAsia="Times New Roman" w:hAnsiTheme="majorBidi" w:cstheme="majorBidi"/>
                <w:b/>
                <w:bCs/>
                <w:kern w:val="0"/>
                <w14:ligatures w14:val="none"/>
              </w:rPr>
            </w:pPr>
            <w:r w:rsidRPr="00D04A3F">
              <w:rPr>
                <w:rFonts w:asciiTheme="majorBidi" w:eastAsia="Times New Roman" w:hAnsiTheme="majorBidi" w:cstheme="majorBidi"/>
                <w:b/>
                <w:bCs/>
                <w:kern w:val="0"/>
                <w14:ligatures w14:val="none"/>
              </w:rPr>
              <w:t>Mean ± Standard Deviation</w:t>
            </w:r>
          </w:p>
        </w:tc>
        <w:tc>
          <w:tcPr>
            <w:tcW w:w="0" w:type="auto"/>
            <w:tcBorders>
              <w:top w:val="single" w:sz="4" w:space="0" w:color="auto"/>
              <w:right w:val="single" w:sz="4" w:space="0" w:color="auto"/>
            </w:tcBorders>
            <w:vAlign w:val="center"/>
            <w:hideMark/>
          </w:tcPr>
          <w:p w14:paraId="5209A780" w14:textId="77777777" w:rsidR="00F70768" w:rsidRPr="00D04A3F" w:rsidRDefault="00F70768" w:rsidP="0067628B">
            <w:pPr>
              <w:spacing w:after="0" w:line="240" w:lineRule="auto"/>
              <w:jc w:val="both"/>
              <w:rPr>
                <w:rFonts w:asciiTheme="majorBidi" w:eastAsia="Times New Roman" w:hAnsiTheme="majorBidi" w:cstheme="majorBidi"/>
                <w:b/>
                <w:bCs/>
                <w:kern w:val="0"/>
                <w14:ligatures w14:val="none"/>
              </w:rPr>
            </w:pPr>
            <w:r w:rsidRPr="002A14A3">
              <w:rPr>
                <w:rFonts w:asciiTheme="majorBidi" w:eastAsia="Times New Roman" w:hAnsiTheme="majorBidi" w:cstheme="majorBidi"/>
                <w:b/>
                <w:bCs/>
                <w:i/>
                <w:iCs/>
                <w:kern w:val="0"/>
                <w14:ligatures w14:val="none"/>
              </w:rPr>
              <w:t xml:space="preserve">P </w:t>
            </w:r>
            <w:r w:rsidRPr="00D04A3F">
              <w:rPr>
                <w:rFonts w:asciiTheme="majorBidi" w:eastAsia="Times New Roman" w:hAnsiTheme="majorBidi" w:cstheme="majorBidi"/>
                <w:b/>
                <w:bCs/>
                <w:kern w:val="0"/>
                <w14:ligatures w14:val="none"/>
              </w:rPr>
              <w:t>value (Between Groups)</w:t>
            </w:r>
          </w:p>
        </w:tc>
      </w:tr>
      <w:tr w:rsidR="00F70768" w:rsidRPr="00D04A3F" w14:paraId="26613E06" w14:textId="77777777" w:rsidTr="0067628B">
        <w:trPr>
          <w:tblCellSpacing w:w="15" w:type="dxa"/>
        </w:trPr>
        <w:tc>
          <w:tcPr>
            <w:tcW w:w="0" w:type="auto"/>
            <w:vMerge w:val="restart"/>
            <w:tcBorders>
              <w:top w:val="single" w:sz="4" w:space="0" w:color="auto"/>
              <w:left w:val="single" w:sz="4" w:space="0" w:color="auto"/>
            </w:tcBorders>
            <w:vAlign w:val="center"/>
            <w:hideMark/>
          </w:tcPr>
          <w:p w14:paraId="582DF4E6"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Before</w:t>
            </w:r>
          </w:p>
        </w:tc>
        <w:tc>
          <w:tcPr>
            <w:tcW w:w="0" w:type="auto"/>
            <w:tcBorders>
              <w:top w:val="single" w:sz="4" w:space="0" w:color="auto"/>
              <w:left w:val="single" w:sz="4" w:space="0" w:color="auto"/>
            </w:tcBorders>
            <w:vAlign w:val="center"/>
            <w:hideMark/>
          </w:tcPr>
          <w:p w14:paraId="761906ED"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Intervention</w:t>
            </w:r>
          </w:p>
        </w:tc>
        <w:tc>
          <w:tcPr>
            <w:tcW w:w="0" w:type="auto"/>
            <w:tcBorders>
              <w:top w:val="single" w:sz="4" w:space="0" w:color="auto"/>
              <w:left w:val="single" w:sz="4" w:space="0" w:color="auto"/>
              <w:right w:val="single" w:sz="4" w:space="0" w:color="auto"/>
            </w:tcBorders>
            <w:vAlign w:val="center"/>
            <w:hideMark/>
          </w:tcPr>
          <w:p w14:paraId="392B971A"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31.02 ± 10.99</w:t>
            </w:r>
          </w:p>
        </w:tc>
        <w:tc>
          <w:tcPr>
            <w:tcW w:w="0" w:type="auto"/>
            <w:vMerge w:val="restart"/>
            <w:tcBorders>
              <w:top w:val="single" w:sz="4" w:space="0" w:color="auto"/>
              <w:right w:val="single" w:sz="4" w:space="0" w:color="auto"/>
            </w:tcBorders>
            <w:vAlign w:val="center"/>
            <w:hideMark/>
          </w:tcPr>
          <w:p w14:paraId="58509497"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0.58</w:t>
            </w:r>
          </w:p>
        </w:tc>
      </w:tr>
      <w:tr w:rsidR="00F70768" w:rsidRPr="00D04A3F" w14:paraId="12D15DCA" w14:textId="77777777" w:rsidTr="0067628B">
        <w:trPr>
          <w:tblCellSpacing w:w="15" w:type="dxa"/>
        </w:trPr>
        <w:tc>
          <w:tcPr>
            <w:tcW w:w="0" w:type="auto"/>
            <w:vMerge/>
            <w:tcBorders>
              <w:left w:val="single" w:sz="4" w:space="0" w:color="auto"/>
            </w:tcBorders>
            <w:vAlign w:val="center"/>
            <w:hideMark/>
          </w:tcPr>
          <w:p w14:paraId="7B95257F"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p>
        </w:tc>
        <w:tc>
          <w:tcPr>
            <w:tcW w:w="0" w:type="auto"/>
            <w:tcBorders>
              <w:top w:val="single" w:sz="4" w:space="0" w:color="auto"/>
              <w:left w:val="single" w:sz="4" w:space="0" w:color="auto"/>
            </w:tcBorders>
            <w:vAlign w:val="center"/>
            <w:hideMark/>
          </w:tcPr>
          <w:p w14:paraId="23CC779E"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Control</w:t>
            </w:r>
          </w:p>
        </w:tc>
        <w:tc>
          <w:tcPr>
            <w:tcW w:w="0" w:type="auto"/>
            <w:tcBorders>
              <w:top w:val="single" w:sz="4" w:space="0" w:color="auto"/>
              <w:left w:val="single" w:sz="4" w:space="0" w:color="auto"/>
              <w:right w:val="single" w:sz="4" w:space="0" w:color="auto"/>
            </w:tcBorders>
            <w:vAlign w:val="center"/>
            <w:hideMark/>
          </w:tcPr>
          <w:p w14:paraId="7615B340"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29.91 ± 8.62</w:t>
            </w:r>
          </w:p>
        </w:tc>
        <w:tc>
          <w:tcPr>
            <w:tcW w:w="0" w:type="auto"/>
            <w:vMerge/>
            <w:tcBorders>
              <w:right w:val="single" w:sz="4" w:space="0" w:color="auto"/>
            </w:tcBorders>
            <w:vAlign w:val="center"/>
            <w:hideMark/>
          </w:tcPr>
          <w:p w14:paraId="398A89B3"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p>
        </w:tc>
      </w:tr>
      <w:tr w:rsidR="00F70768" w:rsidRPr="00D04A3F" w14:paraId="10B75C9B" w14:textId="77777777" w:rsidTr="0067628B">
        <w:trPr>
          <w:tblCellSpacing w:w="15" w:type="dxa"/>
        </w:trPr>
        <w:tc>
          <w:tcPr>
            <w:tcW w:w="0" w:type="auto"/>
            <w:vMerge w:val="restart"/>
            <w:tcBorders>
              <w:top w:val="single" w:sz="4" w:space="0" w:color="auto"/>
              <w:left w:val="single" w:sz="4" w:space="0" w:color="auto"/>
            </w:tcBorders>
            <w:vAlign w:val="center"/>
            <w:hideMark/>
          </w:tcPr>
          <w:p w14:paraId="0507C5FC"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After</w:t>
            </w:r>
          </w:p>
        </w:tc>
        <w:tc>
          <w:tcPr>
            <w:tcW w:w="0" w:type="auto"/>
            <w:tcBorders>
              <w:top w:val="single" w:sz="4" w:space="0" w:color="auto"/>
              <w:left w:val="single" w:sz="4" w:space="0" w:color="auto"/>
              <w:bottom w:val="single" w:sz="4" w:space="0" w:color="auto"/>
            </w:tcBorders>
            <w:vAlign w:val="center"/>
            <w:hideMark/>
          </w:tcPr>
          <w:p w14:paraId="1642FF7C"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Intervention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234FEE99"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41.20 ± 11.74</w:t>
            </w:r>
          </w:p>
        </w:tc>
        <w:tc>
          <w:tcPr>
            <w:tcW w:w="0" w:type="auto"/>
            <w:vMerge w:val="restart"/>
            <w:tcBorders>
              <w:top w:val="single" w:sz="4" w:space="0" w:color="auto"/>
              <w:right w:val="single" w:sz="4" w:space="0" w:color="auto"/>
            </w:tcBorders>
            <w:vAlign w:val="center"/>
            <w:hideMark/>
          </w:tcPr>
          <w:p w14:paraId="4C81200C"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&lt;0.0001*</w:t>
            </w:r>
          </w:p>
        </w:tc>
      </w:tr>
      <w:tr w:rsidR="00F70768" w:rsidRPr="00D04A3F" w14:paraId="27B26B31" w14:textId="77777777" w:rsidTr="0067628B">
        <w:trPr>
          <w:tblCellSpacing w:w="15" w:type="dxa"/>
        </w:trPr>
        <w:tc>
          <w:tcPr>
            <w:tcW w:w="0" w:type="auto"/>
            <w:vMerge/>
            <w:tcBorders>
              <w:left w:val="single" w:sz="4" w:space="0" w:color="auto"/>
            </w:tcBorders>
            <w:vAlign w:val="center"/>
            <w:hideMark/>
          </w:tcPr>
          <w:p w14:paraId="65685D87"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p>
        </w:tc>
        <w:tc>
          <w:tcPr>
            <w:tcW w:w="0" w:type="auto"/>
            <w:tcBorders>
              <w:left w:val="single" w:sz="4" w:space="0" w:color="auto"/>
            </w:tcBorders>
            <w:vAlign w:val="center"/>
            <w:hideMark/>
          </w:tcPr>
          <w:p w14:paraId="6FD8FF39"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Control</w:t>
            </w:r>
          </w:p>
        </w:tc>
        <w:tc>
          <w:tcPr>
            <w:tcW w:w="0" w:type="auto"/>
            <w:tcBorders>
              <w:left w:val="single" w:sz="4" w:space="0" w:color="auto"/>
              <w:right w:val="single" w:sz="4" w:space="0" w:color="auto"/>
            </w:tcBorders>
            <w:vAlign w:val="center"/>
            <w:hideMark/>
          </w:tcPr>
          <w:p w14:paraId="72C41F38"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27.97 ± 7.18</w:t>
            </w:r>
          </w:p>
        </w:tc>
        <w:tc>
          <w:tcPr>
            <w:tcW w:w="0" w:type="auto"/>
            <w:vMerge/>
            <w:tcBorders>
              <w:right w:val="single" w:sz="4" w:space="0" w:color="auto"/>
            </w:tcBorders>
            <w:vAlign w:val="center"/>
            <w:hideMark/>
          </w:tcPr>
          <w:p w14:paraId="68EEAEBD"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p>
        </w:tc>
      </w:tr>
      <w:tr w:rsidR="00F70768" w:rsidRPr="00D04A3F" w14:paraId="629FEEF2" w14:textId="77777777" w:rsidTr="0067628B">
        <w:trPr>
          <w:tblCellSpacing w:w="15" w:type="dxa"/>
        </w:trPr>
        <w:tc>
          <w:tcPr>
            <w:tcW w:w="0" w:type="auto"/>
            <w:vMerge w:val="restart"/>
            <w:tcBorders>
              <w:top w:val="single" w:sz="4" w:space="0" w:color="auto"/>
              <w:left w:val="single" w:sz="4" w:space="0" w:color="auto"/>
            </w:tcBorders>
            <w:vAlign w:val="center"/>
            <w:hideMark/>
          </w:tcPr>
          <w:p w14:paraId="02C70B2D"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b/>
                <w:bCs/>
                <w:kern w:val="0"/>
                <w14:ligatures w14:val="none"/>
              </w:rPr>
              <w:t>Follow-up</w:t>
            </w:r>
          </w:p>
        </w:tc>
        <w:tc>
          <w:tcPr>
            <w:tcW w:w="0" w:type="auto"/>
            <w:tcBorders>
              <w:top w:val="single" w:sz="4" w:space="0" w:color="auto"/>
              <w:left w:val="single" w:sz="4" w:space="0" w:color="auto"/>
              <w:bottom w:val="single" w:sz="4" w:space="0" w:color="auto"/>
            </w:tcBorders>
            <w:vAlign w:val="center"/>
            <w:hideMark/>
          </w:tcPr>
          <w:p w14:paraId="29045EB1"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Intervention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27B17FA0"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48.51 ± 12.27</w:t>
            </w:r>
          </w:p>
        </w:tc>
        <w:tc>
          <w:tcPr>
            <w:tcW w:w="0" w:type="auto"/>
            <w:vMerge w:val="restart"/>
            <w:tcBorders>
              <w:top w:val="single" w:sz="4" w:space="0" w:color="auto"/>
              <w:right w:val="single" w:sz="4" w:space="0" w:color="auto"/>
            </w:tcBorders>
            <w:vAlign w:val="center"/>
            <w:hideMark/>
          </w:tcPr>
          <w:p w14:paraId="5F79E701"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&lt;0.0001*</w:t>
            </w:r>
          </w:p>
        </w:tc>
      </w:tr>
      <w:tr w:rsidR="00F70768" w:rsidRPr="00D04A3F" w14:paraId="5173F577" w14:textId="77777777" w:rsidTr="0067628B">
        <w:trPr>
          <w:tblCellSpacing w:w="15" w:type="dxa"/>
        </w:trPr>
        <w:tc>
          <w:tcPr>
            <w:tcW w:w="0" w:type="auto"/>
            <w:vMerge/>
            <w:tcBorders>
              <w:left w:val="single" w:sz="4" w:space="0" w:color="auto"/>
              <w:bottom w:val="single" w:sz="4" w:space="0" w:color="auto"/>
            </w:tcBorders>
            <w:vAlign w:val="center"/>
            <w:hideMark/>
          </w:tcPr>
          <w:p w14:paraId="2C9EB519"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p>
        </w:tc>
        <w:tc>
          <w:tcPr>
            <w:tcW w:w="0" w:type="auto"/>
            <w:tcBorders>
              <w:left w:val="single" w:sz="4" w:space="0" w:color="auto"/>
              <w:bottom w:val="single" w:sz="4" w:space="0" w:color="auto"/>
            </w:tcBorders>
            <w:vAlign w:val="center"/>
            <w:hideMark/>
          </w:tcPr>
          <w:p w14:paraId="5F964B3C"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Control</w:t>
            </w:r>
          </w:p>
        </w:tc>
        <w:tc>
          <w:tcPr>
            <w:tcW w:w="0" w:type="auto"/>
            <w:tcBorders>
              <w:left w:val="single" w:sz="4" w:space="0" w:color="auto"/>
              <w:bottom w:val="single" w:sz="4" w:space="0" w:color="auto"/>
              <w:right w:val="single" w:sz="4" w:space="0" w:color="auto"/>
            </w:tcBorders>
            <w:vAlign w:val="center"/>
            <w:hideMark/>
          </w:tcPr>
          <w:p w14:paraId="23D11DC2"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r w:rsidRPr="00D04A3F">
              <w:rPr>
                <w:rFonts w:asciiTheme="majorBidi" w:eastAsia="Times New Roman" w:hAnsiTheme="majorBidi" w:cstheme="majorBidi"/>
                <w:kern w:val="0"/>
                <w14:ligatures w14:val="none"/>
              </w:rPr>
              <w:t>26.21 ± 8.52</w:t>
            </w:r>
          </w:p>
        </w:tc>
        <w:tc>
          <w:tcPr>
            <w:tcW w:w="2733" w:type="dxa"/>
            <w:vMerge/>
            <w:tcBorders>
              <w:bottom w:val="single" w:sz="4" w:space="0" w:color="auto"/>
              <w:right w:val="single" w:sz="4" w:space="0" w:color="auto"/>
            </w:tcBorders>
            <w:vAlign w:val="center"/>
            <w:hideMark/>
          </w:tcPr>
          <w:p w14:paraId="286F509A" w14:textId="77777777" w:rsidR="00F70768" w:rsidRPr="00D04A3F" w:rsidRDefault="00F70768" w:rsidP="0067628B">
            <w:pPr>
              <w:spacing w:after="0" w:line="240" w:lineRule="auto"/>
              <w:jc w:val="both"/>
              <w:rPr>
                <w:rFonts w:asciiTheme="majorBidi" w:eastAsia="Times New Roman" w:hAnsiTheme="majorBidi" w:cstheme="majorBidi"/>
                <w:kern w:val="0"/>
                <w14:ligatures w14:val="none"/>
              </w:rPr>
            </w:pPr>
          </w:p>
        </w:tc>
      </w:tr>
    </w:tbl>
    <w:p w14:paraId="689CC80B" w14:textId="77777777" w:rsidR="00F70768" w:rsidRPr="00D04A3F" w:rsidRDefault="00F70768" w:rsidP="00F70768">
      <w:pPr>
        <w:spacing w:after="0" w:line="240" w:lineRule="auto"/>
        <w:jc w:val="both"/>
        <w:rPr>
          <w:rFonts w:asciiTheme="majorBidi" w:eastAsia="Times New Roman" w:hAnsiTheme="majorBidi" w:cstheme="majorBidi"/>
          <w:kern w:val="0"/>
          <w:sz w:val="20"/>
          <w:szCs w:val="20"/>
          <w14:ligatures w14:val="none"/>
        </w:rPr>
      </w:pPr>
      <w:r w:rsidRPr="002A14A3">
        <w:rPr>
          <w:rFonts w:asciiTheme="majorBidi" w:eastAsia="Times New Roman" w:hAnsiTheme="majorBidi" w:cstheme="majorBidi"/>
          <w:b/>
          <w:bCs/>
          <w:i/>
          <w:iCs/>
          <w:kern w:val="0"/>
          <w:sz w:val="20"/>
          <w:szCs w:val="20"/>
          <w14:ligatures w14:val="none"/>
        </w:rPr>
        <w:t>P</w:t>
      </w:r>
      <w:r w:rsidRPr="002A14A3">
        <w:rPr>
          <w:rFonts w:asciiTheme="majorBidi" w:eastAsia="Times New Roman" w:hAnsiTheme="majorBidi" w:cstheme="majorBidi"/>
          <w:b/>
          <w:bCs/>
          <w:i/>
          <w:iCs/>
          <w:kern w:val="0"/>
          <w:sz w:val="20"/>
          <w:szCs w:val="20"/>
        </w:rPr>
        <w:t xml:space="preserve"> </w:t>
      </w:r>
      <w:r w:rsidRPr="00D04A3F">
        <w:rPr>
          <w:rFonts w:asciiTheme="majorBidi" w:eastAsia="Times New Roman" w:hAnsiTheme="majorBidi" w:cstheme="majorBidi"/>
          <w:b/>
          <w:bCs/>
          <w:kern w:val="0"/>
          <w:sz w:val="20"/>
          <w:szCs w:val="20"/>
          <w14:ligatures w14:val="none"/>
        </w:rPr>
        <w:t>value (Within Group)</w:t>
      </w:r>
    </w:p>
    <w:p w14:paraId="61B34AD3" w14:textId="77777777" w:rsidR="00F70768" w:rsidRPr="00D04A3F" w:rsidRDefault="00F70768" w:rsidP="00F70768">
      <w:pPr>
        <w:spacing w:after="0" w:line="240" w:lineRule="auto"/>
        <w:jc w:val="both"/>
        <w:rPr>
          <w:rFonts w:asciiTheme="majorBidi" w:eastAsia="Times New Roman" w:hAnsiTheme="majorBidi" w:cstheme="majorBidi"/>
          <w:kern w:val="0"/>
          <w:sz w:val="20"/>
          <w:szCs w:val="20"/>
          <w:vertAlign w:val="superscript"/>
          <w14:ligatures w14:val="none"/>
        </w:rPr>
      </w:pPr>
      <w:r w:rsidRPr="00D04A3F">
        <w:rPr>
          <w:rFonts w:asciiTheme="majorBidi" w:eastAsia="Times New Roman" w:hAnsiTheme="majorBidi" w:cstheme="majorBidi"/>
          <w:kern w:val="0"/>
          <w:sz w:val="20"/>
          <w:szCs w:val="20"/>
          <w:vertAlign w:val="superscript"/>
          <w14:ligatures w14:val="none"/>
        </w:rPr>
        <w:lastRenderedPageBreak/>
        <w:t>Intervention Group: &lt;0.0001** Control Group: 0.02**</w:t>
      </w:r>
    </w:p>
    <w:p w14:paraId="364A7205" w14:textId="77777777" w:rsidR="00F70768" w:rsidRPr="00D04A3F" w:rsidRDefault="00F70768" w:rsidP="00F70768">
      <w:pPr>
        <w:spacing w:before="100" w:beforeAutospacing="1" w:after="100" w:afterAutospacing="1" w:line="240" w:lineRule="auto"/>
        <w:rPr>
          <w:rFonts w:asciiTheme="majorBidi" w:eastAsia="Times New Roman" w:hAnsiTheme="majorBidi" w:cstheme="majorBidi"/>
          <w:kern w:val="0"/>
          <w:sz w:val="20"/>
          <w:szCs w:val="20"/>
          <w14:ligatures w14:val="none"/>
        </w:rPr>
      </w:pPr>
      <w:r w:rsidRPr="00D04A3F">
        <w:rPr>
          <w:rFonts w:asciiTheme="majorBidi" w:eastAsia="Times New Roman" w:hAnsiTheme="majorBidi" w:cstheme="majorBidi"/>
          <w:b/>
          <w:bCs/>
          <w:kern w:val="0"/>
          <w:sz w:val="20"/>
          <w:szCs w:val="20"/>
          <w14:ligatures w14:val="none"/>
        </w:rPr>
        <w:t xml:space="preserve">Statistical </w:t>
      </w:r>
      <w:r w:rsidRPr="00D04A3F">
        <w:rPr>
          <w:rFonts w:asciiTheme="majorBidi" w:eastAsia="Times New Roman" w:hAnsiTheme="majorBidi" w:cstheme="majorBidi"/>
          <w:b/>
          <w:bCs/>
          <w:kern w:val="0"/>
          <w:sz w:val="20"/>
          <w:szCs w:val="20"/>
        </w:rPr>
        <w:t>tests</w:t>
      </w:r>
      <w:r w:rsidRPr="00D04A3F">
        <w:rPr>
          <w:rFonts w:asciiTheme="majorBidi" w:eastAsia="Times New Roman" w:hAnsiTheme="majorBidi" w:cstheme="majorBidi"/>
          <w:b/>
          <w:bCs/>
          <w:kern w:val="0"/>
          <w:sz w:val="20"/>
          <w:szCs w:val="20"/>
          <w14:ligatures w14:val="none"/>
        </w:rPr>
        <w:t>:</w:t>
      </w:r>
      <w:r w:rsidRPr="00D04A3F">
        <w:rPr>
          <w:rFonts w:asciiTheme="majorBidi" w:eastAsia="Times New Roman" w:hAnsiTheme="majorBidi" w:cstheme="majorBidi"/>
          <w:kern w:val="0"/>
          <w:sz w:val="20"/>
          <w:szCs w:val="20"/>
          <w14:ligatures w14:val="none"/>
        </w:rPr>
        <w:br/>
      </w:r>
      <w:r w:rsidRPr="00D04A3F">
        <w:rPr>
          <w:rFonts w:asciiTheme="majorBidi" w:eastAsia="Times New Roman" w:hAnsiTheme="majorBidi" w:cstheme="majorBidi"/>
          <w:kern w:val="0"/>
          <w:sz w:val="20"/>
          <w:szCs w:val="20"/>
          <w:vertAlign w:val="superscript"/>
          <w14:ligatures w14:val="none"/>
        </w:rPr>
        <w:t>*Independent t test, **Friedman test, ***Repeated measures test.</w:t>
      </w:r>
    </w:p>
    <w:p w14:paraId="117C94A0" w14:textId="72636751" w:rsidR="00D04A3F" w:rsidRDefault="00D04A3F" w:rsidP="003E309D">
      <w:pPr>
        <w:spacing w:before="240" w:after="240" w:line="276" w:lineRule="auto"/>
        <w:jc w:val="both"/>
        <w:rPr>
          <w:rFonts w:asciiTheme="majorBidi" w:eastAsia="Times New Roman" w:hAnsiTheme="majorBidi" w:cstheme="majorBidi"/>
          <w:b/>
          <w:bCs/>
          <w:kern w:val="0"/>
          <w14:ligatures w14:val="none"/>
        </w:rPr>
      </w:pPr>
    </w:p>
    <w:p w14:paraId="6A7F9239" w14:textId="3B198207" w:rsidR="00B375A1" w:rsidRDefault="00B375A1" w:rsidP="003E309D">
      <w:pPr>
        <w:spacing w:before="240" w:after="240" w:line="276" w:lineRule="auto"/>
        <w:jc w:val="both"/>
        <w:rPr>
          <w:rFonts w:asciiTheme="majorBidi" w:eastAsia="Times New Roman" w:hAnsiTheme="majorBidi" w:cstheme="majorBidi"/>
          <w:b/>
          <w:bCs/>
          <w:kern w:val="0"/>
          <w14:ligatures w14:val="none"/>
        </w:rPr>
      </w:pPr>
    </w:p>
    <w:p w14:paraId="5C9E20E8" w14:textId="3961405E" w:rsidR="00B375A1" w:rsidRDefault="00B375A1" w:rsidP="003E309D">
      <w:pPr>
        <w:spacing w:before="240" w:after="240" w:line="276" w:lineRule="auto"/>
        <w:jc w:val="both"/>
        <w:rPr>
          <w:rFonts w:asciiTheme="majorBidi" w:eastAsia="Times New Roman" w:hAnsiTheme="majorBidi" w:cstheme="majorBidi"/>
          <w:b/>
          <w:bCs/>
          <w:kern w:val="0"/>
          <w14:ligatures w14:val="none"/>
        </w:rPr>
      </w:pPr>
    </w:p>
    <w:p w14:paraId="62EF390D" w14:textId="0E6C9EF0" w:rsidR="00B375A1" w:rsidRDefault="00B375A1" w:rsidP="003E309D">
      <w:pPr>
        <w:spacing w:before="240" w:after="240" w:line="276" w:lineRule="auto"/>
        <w:jc w:val="both"/>
        <w:rPr>
          <w:rFonts w:asciiTheme="majorBidi" w:eastAsia="Times New Roman" w:hAnsiTheme="majorBidi" w:cstheme="majorBidi"/>
          <w:b/>
          <w:bCs/>
          <w:kern w:val="0"/>
          <w14:ligatures w14:val="none"/>
        </w:rPr>
      </w:pPr>
    </w:p>
    <w:p w14:paraId="781A1049" w14:textId="1AEFBC14" w:rsidR="00B375A1" w:rsidRDefault="00B375A1" w:rsidP="003E309D">
      <w:pPr>
        <w:spacing w:before="240" w:after="240" w:line="276" w:lineRule="auto"/>
        <w:jc w:val="both"/>
        <w:rPr>
          <w:rFonts w:asciiTheme="majorBidi" w:eastAsia="Times New Roman" w:hAnsiTheme="majorBidi" w:cstheme="majorBidi"/>
          <w:b/>
          <w:bCs/>
          <w:kern w:val="0"/>
          <w14:ligatures w14:val="none"/>
        </w:rPr>
      </w:pPr>
    </w:p>
    <w:p w14:paraId="7A0F12F8" w14:textId="2F57ADC7" w:rsidR="00B375A1" w:rsidRDefault="00B375A1" w:rsidP="003E309D">
      <w:pPr>
        <w:spacing w:before="240" w:after="240" w:line="276" w:lineRule="auto"/>
        <w:jc w:val="both"/>
        <w:rPr>
          <w:rFonts w:asciiTheme="majorBidi" w:eastAsia="Times New Roman" w:hAnsiTheme="majorBidi" w:cstheme="majorBidi"/>
          <w:b/>
          <w:bCs/>
          <w:kern w:val="0"/>
          <w14:ligatures w14:val="none"/>
        </w:rPr>
      </w:pPr>
    </w:p>
    <w:p w14:paraId="51B28488" w14:textId="48933C0F" w:rsidR="00B375A1" w:rsidRDefault="00B375A1" w:rsidP="003E309D">
      <w:pPr>
        <w:spacing w:before="240" w:after="240" w:line="276" w:lineRule="auto"/>
        <w:jc w:val="both"/>
        <w:rPr>
          <w:rFonts w:asciiTheme="majorBidi" w:eastAsia="Times New Roman" w:hAnsiTheme="majorBidi" w:cstheme="majorBidi"/>
          <w:b/>
          <w:bCs/>
          <w:kern w:val="0"/>
          <w14:ligatures w14:val="none"/>
        </w:rPr>
      </w:pPr>
    </w:p>
    <w:p w14:paraId="5373DF71" w14:textId="1F4FE3A5" w:rsidR="00B375A1" w:rsidRDefault="00B375A1" w:rsidP="003E309D">
      <w:pPr>
        <w:spacing w:before="240" w:after="240" w:line="276" w:lineRule="auto"/>
        <w:jc w:val="both"/>
        <w:rPr>
          <w:rFonts w:asciiTheme="majorBidi" w:eastAsia="Times New Roman" w:hAnsiTheme="majorBidi" w:cstheme="majorBidi"/>
          <w:b/>
          <w:bCs/>
          <w:kern w:val="0"/>
          <w14:ligatures w14:val="none"/>
        </w:rPr>
      </w:pPr>
    </w:p>
    <w:p w14:paraId="56DCF281" w14:textId="7550163A" w:rsidR="00B375A1" w:rsidRDefault="00B375A1" w:rsidP="003E309D">
      <w:pPr>
        <w:spacing w:before="240" w:after="240" w:line="276" w:lineRule="auto"/>
        <w:jc w:val="both"/>
        <w:rPr>
          <w:rFonts w:asciiTheme="majorBidi" w:eastAsia="Times New Roman" w:hAnsiTheme="majorBidi" w:cstheme="majorBidi"/>
          <w:b/>
          <w:bCs/>
          <w:kern w:val="0"/>
          <w14:ligatures w14:val="none"/>
        </w:rPr>
      </w:pPr>
    </w:p>
    <w:p w14:paraId="1C71A755" w14:textId="4F2D2FE2" w:rsidR="00B375A1" w:rsidRDefault="00B375A1" w:rsidP="003E309D">
      <w:pPr>
        <w:spacing w:before="240" w:after="240" w:line="276" w:lineRule="auto"/>
        <w:jc w:val="both"/>
        <w:rPr>
          <w:rFonts w:asciiTheme="majorBidi" w:eastAsia="Times New Roman" w:hAnsiTheme="majorBidi" w:cstheme="majorBidi"/>
          <w:b/>
          <w:bCs/>
          <w:kern w:val="0"/>
          <w14:ligatures w14:val="none"/>
        </w:rPr>
      </w:pPr>
    </w:p>
    <w:p w14:paraId="1392E04C" w14:textId="04B38C5E" w:rsidR="00B375A1" w:rsidRDefault="00B375A1" w:rsidP="003E309D">
      <w:pPr>
        <w:spacing w:before="240" w:after="240" w:line="276" w:lineRule="auto"/>
        <w:jc w:val="both"/>
        <w:rPr>
          <w:rFonts w:asciiTheme="majorBidi" w:eastAsia="Times New Roman" w:hAnsiTheme="majorBidi" w:cstheme="majorBidi"/>
          <w:b/>
          <w:bCs/>
          <w:kern w:val="0"/>
          <w14:ligatures w14:val="none"/>
        </w:rPr>
      </w:pPr>
    </w:p>
    <w:p w14:paraId="771CB3EF" w14:textId="232FC419" w:rsidR="00B375A1" w:rsidRDefault="00B375A1" w:rsidP="003E309D">
      <w:pPr>
        <w:spacing w:before="240" w:after="240" w:line="276" w:lineRule="auto"/>
        <w:jc w:val="both"/>
        <w:rPr>
          <w:rFonts w:asciiTheme="majorBidi" w:eastAsia="Times New Roman" w:hAnsiTheme="majorBidi" w:cstheme="majorBidi"/>
          <w:b/>
          <w:bCs/>
          <w:kern w:val="0"/>
          <w14:ligatures w14:val="none"/>
        </w:rPr>
      </w:pPr>
    </w:p>
    <w:p w14:paraId="7A82B8B0" w14:textId="03F42E54" w:rsidR="00B375A1" w:rsidRDefault="00B375A1" w:rsidP="003E309D">
      <w:pPr>
        <w:spacing w:before="240" w:after="240" w:line="276" w:lineRule="auto"/>
        <w:jc w:val="both"/>
        <w:rPr>
          <w:rFonts w:asciiTheme="majorBidi" w:eastAsia="Times New Roman" w:hAnsiTheme="majorBidi" w:cstheme="majorBidi"/>
          <w:b/>
          <w:bCs/>
          <w:kern w:val="0"/>
          <w14:ligatures w14:val="none"/>
        </w:rPr>
      </w:pPr>
    </w:p>
    <w:p w14:paraId="49A1FFB1" w14:textId="66DB0576" w:rsidR="00B375A1" w:rsidRDefault="00B375A1" w:rsidP="003E309D">
      <w:pPr>
        <w:spacing w:before="240" w:after="240" w:line="276" w:lineRule="auto"/>
        <w:jc w:val="both"/>
        <w:rPr>
          <w:rFonts w:asciiTheme="majorBidi" w:eastAsia="Times New Roman" w:hAnsiTheme="majorBidi" w:cstheme="majorBidi"/>
          <w:b/>
          <w:bCs/>
          <w:kern w:val="0"/>
          <w14:ligatures w14:val="none"/>
        </w:rPr>
      </w:pPr>
    </w:p>
    <w:p w14:paraId="7B6D69BD" w14:textId="2F7E6AC0" w:rsidR="00B375A1" w:rsidRDefault="00B375A1" w:rsidP="003E309D">
      <w:pPr>
        <w:spacing w:before="240" w:after="240" w:line="276" w:lineRule="auto"/>
        <w:jc w:val="both"/>
        <w:rPr>
          <w:rFonts w:asciiTheme="majorBidi" w:eastAsia="Times New Roman" w:hAnsiTheme="majorBidi" w:cstheme="majorBidi"/>
          <w:b/>
          <w:bCs/>
          <w:kern w:val="0"/>
          <w14:ligatures w14:val="none"/>
        </w:rPr>
      </w:pPr>
    </w:p>
    <w:p w14:paraId="1FD22197" w14:textId="5B5F6F87" w:rsidR="00B375A1" w:rsidRDefault="00B375A1" w:rsidP="003E309D">
      <w:pPr>
        <w:spacing w:before="240" w:after="240" w:line="276" w:lineRule="auto"/>
        <w:jc w:val="both"/>
        <w:rPr>
          <w:rFonts w:asciiTheme="majorBidi" w:eastAsia="Times New Roman" w:hAnsiTheme="majorBidi" w:cstheme="majorBidi"/>
          <w:b/>
          <w:bCs/>
          <w:kern w:val="0"/>
          <w14:ligatures w14:val="none"/>
        </w:rPr>
      </w:pPr>
    </w:p>
    <w:p w14:paraId="7746676E" w14:textId="62FADB8C" w:rsidR="00B375A1" w:rsidRDefault="00B375A1" w:rsidP="003E309D">
      <w:pPr>
        <w:spacing w:before="240" w:after="240" w:line="276" w:lineRule="auto"/>
        <w:jc w:val="both"/>
        <w:rPr>
          <w:rFonts w:asciiTheme="majorBidi" w:eastAsia="Times New Roman" w:hAnsiTheme="majorBidi" w:cstheme="majorBidi"/>
          <w:b/>
          <w:bCs/>
          <w:kern w:val="0"/>
          <w14:ligatures w14:val="none"/>
        </w:rPr>
      </w:pPr>
    </w:p>
    <w:p w14:paraId="7B80BE64" w14:textId="26953B9D" w:rsidR="00B375A1" w:rsidRDefault="00B375A1" w:rsidP="003E309D">
      <w:pPr>
        <w:spacing w:before="240" w:after="240" w:line="276" w:lineRule="auto"/>
        <w:jc w:val="both"/>
        <w:rPr>
          <w:rFonts w:asciiTheme="majorBidi" w:eastAsia="Times New Roman" w:hAnsiTheme="majorBidi" w:cstheme="majorBidi"/>
          <w:b/>
          <w:bCs/>
          <w:kern w:val="0"/>
          <w14:ligatures w14:val="none"/>
        </w:rPr>
      </w:pPr>
    </w:p>
    <w:p w14:paraId="461CACC5" w14:textId="77777777" w:rsidR="00B375A1" w:rsidRDefault="00B375A1" w:rsidP="003E309D">
      <w:pPr>
        <w:spacing w:before="240" w:after="240" w:line="276" w:lineRule="auto"/>
        <w:jc w:val="both"/>
        <w:rPr>
          <w:rFonts w:asciiTheme="majorBidi" w:eastAsia="Times New Roman" w:hAnsiTheme="majorBidi" w:cstheme="majorBidi"/>
          <w:b/>
          <w:bCs/>
          <w:kern w:val="0"/>
          <w14:ligatures w14:val="none"/>
        </w:rPr>
      </w:pPr>
    </w:p>
    <w:p w14:paraId="451F45D6" w14:textId="0E9ADAF9" w:rsidR="00D04A3F" w:rsidRDefault="00D04A3F" w:rsidP="003E309D">
      <w:pPr>
        <w:spacing w:before="240" w:after="240" w:line="276" w:lineRule="auto"/>
        <w:jc w:val="both"/>
        <w:rPr>
          <w:rFonts w:asciiTheme="majorBidi" w:eastAsia="Times New Roman" w:hAnsiTheme="majorBidi" w:cstheme="majorBidi"/>
          <w:b/>
          <w:bCs/>
          <w:kern w:val="0"/>
          <w14:ligatures w14:val="none"/>
        </w:rPr>
      </w:pPr>
    </w:p>
    <w:p w14:paraId="4A41E72D" w14:textId="1A461B57" w:rsidR="006621F3" w:rsidRDefault="006621F3" w:rsidP="003E309D">
      <w:pPr>
        <w:spacing w:before="240" w:after="240" w:line="276" w:lineRule="auto"/>
        <w:jc w:val="both"/>
        <w:rPr>
          <w:rFonts w:asciiTheme="majorBidi" w:eastAsia="Times New Roman" w:hAnsiTheme="majorBidi" w:cstheme="majorBidi"/>
          <w:kern w:val="0"/>
          <w:sz w:val="24"/>
          <w:szCs w:val="24"/>
          <w14:ligatures w14:val="none"/>
        </w:rPr>
      </w:pPr>
    </w:p>
    <w:p w14:paraId="0E9397A0" w14:textId="77777777" w:rsidR="00D04A3F" w:rsidRDefault="00D04A3F" w:rsidP="003E309D">
      <w:pPr>
        <w:spacing w:before="240" w:after="240" w:line="276" w:lineRule="auto"/>
        <w:jc w:val="both"/>
        <w:rPr>
          <w:rFonts w:asciiTheme="majorBidi" w:eastAsia="Times New Roman" w:hAnsiTheme="majorBidi" w:cstheme="majorBidi"/>
          <w:kern w:val="0"/>
          <w:sz w:val="24"/>
          <w:szCs w:val="24"/>
          <w14:ligatures w14:val="none"/>
        </w:rPr>
      </w:pPr>
    </w:p>
    <w:p w14:paraId="3586C26F" w14:textId="5433896D" w:rsidR="003E309D" w:rsidRPr="00D04A3F" w:rsidRDefault="00D04A3F" w:rsidP="003E309D">
      <w:pPr>
        <w:spacing w:before="240" w:after="240" w:line="276" w:lineRule="auto"/>
        <w:jc w:val="both"/>
        <w:rPr>
          <w:rFonts w:asciiTheme="majorBidi" w:eastAsia="Calibri" w:hAnsiTheme="majorBidi" w:cstheme="majorBidi"/>
          <w:b/>
          <w:bCs/>
          <w:sz w:val="24"/>
          <w:szCs w:val="24"/>
        </w:rPr>
      </w:pPr>
      <w:r w:rsidRPr="00D04A3F">
        <w:rPr>
          <w:rFonts w:asciiTheme="majorBidi" w:eastAsia="Calibri" w:hAnsiTheme="majorBidi" w:cstheme="majorBidi"/>
          <w:b/>
          <w:bCs/>
          <w:sz w:val="24"/>
          <w:szCs w:val="24"/>
        </w:rPr>
        <w:lastRenderedPageBreak/>
        <w:t>References</w:t>
      </w:r>
    </w:p>
    <w:p w14:paraId="34AB5302" w14:textId="25DB1354" w:rsidR="002B4957" w:rsidRPr="003E309D" w:rsidRDefault="002B4957" w:rsidP="002B4957">
      <w:pPr>
        <w:pStyle w:val="EndNoteBibliography"/>
        <w:bidi w:val="0"/>
        <w:spacing w:after="0"/>
        <w:rPr>
          <w:rFonts w:asciiTheme="majorBidi" w:hAnsiTheme="majorBidi" w:cstheme="majorBidi"/>
          <w:sz w:val="24"/>
          <w:szCs w:val="24"/>
          <w:rtl/>
        </w:rPr>
      </w:pPr>
      <w:r w:rsidRPr="0050614B">
        <w:rPr>
          <w:rFonts w:asciiTheme="majorBidi" w:eastAsia="Times New Roman" w:hAnsiTheme="majorBidi" w:cstheme="majorBidi"/>
          <w:color w:val="000000"/>
          <w:sz w:val="24"/>
          <w:szCs w:val="24"/>
          <w:rtl/>
        </w:rPr>
        <w:fldChar w:fldCharType="begin"/>
      </w:r>
      <w:r w:rsidRPr="0050614B">
        <w:rPr>
          <w:rFonts w:asciiTheme="majorBidi" w:eastAsia="Times New Roman" w:hAnsiTheme="majorBidi" w:cstheme="majorBidi"/>
          <w:color w:val="000000"/>
          <w:sz w:val="24"/>
          <w:szCs w:val="24"/>
          <w:rtl/>
        </w:rPr>
        <w:instrText xml:space="preserve"> </w:instrText>
      </w:r>
      <w:r w:rsidRPr="00952F57">
        <w:rPr>
          <w:rFonts w:asciiTheme="majorBidi" w:eastAsia="Times New Roman" w:hAnsiTheme="majorBidi" w:cstheme="majorBidi"/>
          <w:color w:val="000000"/>
          <w:sz w:val="24"/>
          <w:szCs w:val="24"/>
          <w:lang w:val="es-ES"/>
        </w:rPr>
        <w:instrText xml:space="preserve">ADDIN EN.REFLIST </w:instrText>
      </w:r>
      <w:r w:rsidRPr="0050614B">
        <w:rPr>
          <w:rFonts w:asciiTheme="majorBidi" w:eastAsia="Times New Roman" w:hAnsiTheme="majorBidi" w:cstheme="majorBidi"/>
          <w:color w:val="000000"/>
          <w:sz w:val="24"/>
          <w:szCs w:val="24"/>
          <w:rtl/>
        </w:rPr>
        <w:fldChar w:fldCharType="separate"/>
      </w:r>
      <w:r w:rsidR="006621F3">
        <w:rPr>
          <w:rFonts w:asciiTheme="majorBidi" w:hAnsiTheme="majorBidi" w:cstheme="majorBidi"/>
          <w:sz w:val="24"/>
          <w:szCs w:val="24"/>
        </w:rPr>
        <w:t>1</w:t>
      </w:r>
      <w:r w:rsidRPr="003E309D">
        <w:rPr>
          <w:rFonts w:asciiTheme="majorBidi" w:hAnsiTheme="majorBidi" w:cstheme="majorBidi"/>
          <w:sz w:val="24"/>
          <w:szCs w:val="24"/>
          <w:rtl/>
        </w:rPr>
        <w:tab/>
      </w:r>
      <w:r w:rsidRPr="00952F57">
        <w:rPr>
          <w:rFonts w:asciiTheme="majorBidi" w:hAnsiTheme="majorBidi" w:cstheme="majorBidi"/>
          <w:sz w:val="24"/>
          <w:szCs w:val="24"/>
          <w:lang w:val="es-ES"/>
        </w:rPr>
        <w:t xml:space="preserve">Tonorezos E, Devasia T, Mariotto AB, Mollica MA, Gallicchio L, Green P, et al. </w:t>
      </w:r>
      <w:r w:rsidRPr="003E309D">
        <w:rPr>
          <w:rFonts w:asciiTheme="majorBidi" w:hAnsiTheme="majorBidi" w:cstheme="majorBidi"/>
          <w:sz w:val="24"/>
          <w:szCs w:val="24"/>
        </w:rPr>
        <w:t>Prevalence of cancer survivors in the United States. JNCI: Journal of the National Cancer Institute. 2024:djae135.</w:t>
      </w:r>
    </w:p>
    <w:p w14:paraId="2B9C30F2" w14:textId="5CA233FF" w:rsidR="002B4957" w:rsidRPr="003E309D" w:rsidRDefault="006621F3" w:rsidP="002B4957">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2</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Kang MJ, Jung K-W, Bang SH, Choi SH, Park EH, Yun EH, et al. Cancer statistics in Korea: incidence, mortality, survival, and prevalence in 2020. Cancer Research and Treatment: Official Journal of Korean Cancer Association. 2023;55(2):385-99.</w:t>
      </w:r>
    </w:p>
    <w:p w14:paraId="55F49454" w14:textId="1C1DB1B0" w:rsidR="006B171C" w:rsidRDefault="006621F3" w:rsidP="006B171C">
      <w:pPr>
        <w:pStyle w:val="EndNoteBibliography"/>
        <w:bidi w:val="0"/>
        <w:spacing w:after="0"/>
        <w:rPr>
          <w:rFonts w:asciiTheme="majorBidi" w:hAnsiTheme="majorBidi" w:cstheme="majorBidi"/>
          <w:sz w:val="24"/>
          <w:szCs w:val="24"/>
        </w:rPr>
      </w:pPr>
      <w:r>
        <w:rPr>
          <w:rFonts w:asciiTheme="majorBidi" w:hAnsiTheme="majorBidi" w:cstheme="majorBidi"/>
          <w:sz w:val="24"/>
          <w:szCs w:val="24"/>
        </w:rPr>
        <w:t>3</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Roshandel G, Ferlay J, Ghanbari‐Motlagh A, Partovipour E, Salavati F, Aryan K, et al. Cancer in Iran 2008 to 2025: recent incidence trends and short‐term predictions of the future burden. International journal of cancer. 2021;149(3):</w:t>
      </w:r>
      <w:r w:rsidR="006B171C">
        <w:rPr>
          <w:rFonts w:asciiTheme="majorBidi" w:hAnsiTheme="majorBidi" w:cstheme="majorBidi"/>
          <w:sz w:val="24"/>
          <w:szCs w:val="24"/>
        </w:rPr>
        <w:t>594-605</w:t>
      </w:r>
    </w:p>
    <w:p w14:paraId="1FEE7E7E" w14:textId="17340FA3" w:rsidR="002B4957" w:rsidRPr="003E309D" w:rsidRDefault="006B171C" w:rsidP="006B171C">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4</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Finley LW. What is cancer metabolism? Cell. 2023;186(8):1670-88.</w:t>
      </w:r>
    </w:p>
    <w:p w14:paraId="1B7759FA" w14:textId="521D418F" w:rsidR="002B4957" w:rsidRPr="003E309D" w:rsidRDefault="001B64E2" w:rsidP="002B4957">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5</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Key TJ,</w:t>
      </w:r>
      <w:r w:rsidR="002B4957" w:rsidRPr="003E309D">
        <w:rPr>
          <w:rFonts w:asciiTheme="majorBidi" w:hAnsiTheme="majorBidi" w:cstheme="majorBidi"/>
          <w:sz w:val="24"/>
          <w:szCs w:val="24"/>
          <w:rtl/>
        </w:rPr>
        <w:t xml:space="preserve"> </w:t>
      </w:r>
      <w:r w:rsidR="002B4957" w:rsidRPr="003E309D">
        <w:rPr>
          <w:rFonts w:asciiTheme="majorBidi" w:hAnsiTheme="majorBidi" w:cstheme="majorBidi"/>
          <w:sz w:val="24"/>
          <w:szCs w:val="24"/>
        </w:rPr>
        <w:t>Bradbury KE, Perez-Cornago A, Sinha R, Tsilidis KK, Tsugane S. Diet, nutrition, and cancer risk: what do we know and what is the way forward? Bmj. 2020;368.</w:t>
      </w:r>
    </w:p>
    <w:p w14:paraId="4CC39A1F" w14:textId="1EE72201" w:rsidR="002B4957" w:rsidRPr="003E309D" w:rsidRDefault="001B64E2" w:rsidP="002B4957">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6</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Iddrisu M, Aziato L, Dedey F. Psychological and physical effects of breast cancer diagnosis and treatment on young Ghanaian women: a qualitative study. BMC psychiatry. 2020;20(1):353.</w:t>
      </w:r>
    </w:p>
    <w:p w14:paraId="06FC69FD" w14:textId="1F5371BE" w:rsidR="002B4957" w:rsidRPr="003E309D" w:rsidRDefault="001B64E2" w:rsidP="002B4957">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7</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Keramatikerman M. A systematic review on challenges faced by family caregivers of cancer patients. Open Access J Biomed Sci. 2020;2(4):421-4.</w:t>
      </w:r>
    </w:p>
    <w:p w14:paraId="1C7AB068" w14:textId="18BE6777" w:rsidR="002B4957" w:rsidRPr="003E309D" w:rsidRDefault="001B64E2" w:rsidP="002B4957">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8</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Mishra S, Gulia A</w:t>
      </w:r>
      <w:r w:rsidR="002B4957" w:rsidRPr="003E309D">
        <w:rPr>
          <w:rFonts w:asciiTheme="majorBidi" w:hAnsiTheme="majorBidi" w:cstheme="majorBidi"/>
          <w:sz w:val="24"/>
          <w:szCs w:val="24"/>
          <w:rtl/>
        </w:rPr>
        <w:t xml:space="preserve">, </w:t>
      </w:r>
      <w:r w:rsidR="002B4957" w:rsidRPr="003E309D">
        <w:rPr>
          <w:rFonts w:asciiTheme="majorBidi" w:hAnsiTheme="majorBidi" w:cstheme="majorBidi"/>
          <w:sz w:val="24"/>
          <w:szCs w:val="24"/>
        </w:rPr>
        <w:t>Satapathy S, Gogia A, Sharma A, Bhatnagar S. Caregiver burden and quality of life among family caregivers of cancer patients on chemotherapy: A prospective observational study. Indian journal of palliative care. 2021;27(1):109.</w:t>
      </w:r>
    </w:p>
    <w:p w14:paraId="29CE40AD" w14:textId="596E9098" w:rsidR="002B4957" w:rsidRPr="003E309D" w:rsidRDefault="006B171C" w:rsidP="002B4957">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9</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Akpan-Idiok PA, Ehiemere IO, Asuquo EF, Chabo JAU, Osuchukwu EC. Assessment of burden and coping strategies among caregivers of cancer patients in sub-Saharan Africa. World journal of clinical oncology. 2020;11(12):1045.</w:t>
      </w:r>
    </w:p>
    <w:p w14:paraId="10E33782" w14:textId="0875E497" w:rsidR="006B171C" w:rsidRDefault="001B64E2" w:rsidP="006B171C">
      <w:pPr>
        <w:pStyle w:val="EndNoteBibliography"/>
        <w:bidi w:val="0"/>
        <w:spacing w:after="0"/>
        <w:rPr>
          <w:rFonts w:asciiTheme="majorBidi" w:hAnsiTheme="majorBidi" w:cstheme="majorBidi"/>
          <w:sz w:val="24"/>
          <w:szCs w:val="24"/>
        </w:rPr>
      </w:pPr>
      <w:r>
        <w:rPr>
          <w:rFonts w:asciiTheme="majorBidi" w:hAnsiTheme="majorBidi" w:cstheme="majorBidi"/>
          <w:sz w:val="24"/>
          <w:szCs w:val="24"/>
        </w:rPr>
        <w:t>10</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Molassiotis A, Wang M. Understanding and supporting informal cancer caregivers. Current treatment options in oncology. 2022;23(4):494-513.</w:t>
      </w:r>
    </w:p>
    <w:p w14:paraId="107E2EDF" w14:textId="015C15C1" w:rsidR="002B4957" w:rsidRPr="003E309D" w:rsidRDefault="006B171C" w:rsidP="006B171C">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11</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Chong E, Crowe L, Mentor K, Pandanaboyana S, Shar</w:t>
      </w:r>
      <w:bookmarkStart w:id="1" w:name="_GoBack"/>
      <w:r w:rsidR="002B4957" w:rsidRPr="003E309D">
        <w:rPr>
          <w:rFonts w:asciiTheme="majorBidi" w:hAnsiTheme="majorBidi" w:cstheme="majorBidi"/>
          <w:sz w:val="24"/>
          <w:szCs w:val="24"/>
        </w:rPr>
        <w:t xml:space="preserve">p </w:t>
      </w:r>
      <w:bookmarkEnd w:id="1"/>
      <w:r w:rsidR="002B4957" w:rsidRPr="003E309D">
        <w:rPr>
          <w:rFonts w:asciiTheme="majorBidi" w:hAnsiTheme="majorBidi" w:cstheme="majorBidi"/>
          <w:sz w:val="24"/>
          <w:szCs w:val="24"/>
        </w:rPr>
        <w:t>L. Systematic review of caregiver burden, unmet needs and quality-of-life among informal caregivers of patients with pancreatic cancer. Supportive Care in Cancer. 2023;31(1):74.</w:t>
      </w:r>
    </w:p>
    <w:p w14:paraId="53D8EDF6" w14:textId="5C4C9DC0" w:rsidR="002B4957" w:rsidRPr="003E309D" w:rsidRDefault="001B64E2" w:rsidP="002B4957">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12</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Thana K, Lehto R, Sikorskii A, Wyatt G. Informal caregiver burden for solid tumor cancer patients: a review and future directions. Psychology &amp; Health. 2021;36(12):1514-35.</w:t>
      </w:r>
    </w:p>
    <w:p w14:paraId="442DE51C" w14:textId="5439C004" w:rsidR="002B4957" w:rsidRPr="003E309D" w:rsidRDefault="001B64E2" w:rsidP="002B4957">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13</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Xiang E,</w:t>
      </w:r>
      <w:r w:rsidR="002B4957" w:rsidRPr="003E309D">
        <w:rPr>
          <w:rFonts w:asciiTheme="majorBidi" w:hAnsiTheme="majorBidi" w:cstheme="majorBidi"/>
          <w:sz w:val="24"/>
          <w:szCs w:val="24"/>
          <w:rtl/>
        </w:rPr>
        <w:t xml:space="preserve"> </w:t>
      </w:r>
      <w:r w:rsidR="002B4957" w:rsidRPr="003E309D">
        <w:rPr>
          <w:rFonts w:asciiTheme="majorBidi" w:hAnsiTheme="majorBidi" w:cstheme="majorBidi"/>
          <w:sz w:val="24"/>
          <w:szCs w:val="24"/>
        </w:rPr>
        <w:t>Guzman P, Mims M, Badr H. Balancing work and cancer care: challenges faced by employed informal caregivers. Cancers. 2022;14(17):4146.</w:t>
      </w:r>
    </w:p>
    <w:p w14:paraId="2FBB4ED8" w14:textId="71F3CF1E" w:rsidR="002B4957" w:rsidRPr="003E309D" w:rsidRDefault="001B64E2" w:rsidP="002B4957">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14</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 xml:space="preserve">Sun H, Qin Y, Hengudomsub P. Factors associated with resilience in spousal caregivers of patients with cancer: An integrative review. </w:t>
      </w:r>
      <w:r w:rsidR="002B4957" w:rsidRPr="00952F57">
        <w:rPr>
          <w:rFonts w:asciiTheme="majorBidi" w:hAnsiTheme="majorBidi" w:cstheme="majorBidi"/>
          <w:sz w:val="24"/>
          <w:szCs w:val="24"/>
          <w:lang w:val="es-ES"/>
        </w:rPr>
        <w:t>Nursing Open. 2021;8(5):2131-41.</w:t>
      </w:r>
    </w:p>
    <w:p w14:paraId="3FCC8EFC" w14:textId="70197D20" w:rsidR="002B4957" w:rsidRPr="003E309D" w:rsidRDefault="001B64E2" w:rsidP="002B4957">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15</w:t>
      </w:r>
      <w:r w:rsidR="002B4957" w:rsidRPr="003E309D">
        <w:rPr>
          <w:rFonts w:asciiTheme="majorBidi" w:hAnsiTheme="majorBidi" w:cstheme="majorBidi"/>
          <w:sz w:val="24"/>
          <w:szCs w:val="24"/>
          <w:rtl/>
        </w:rPr>
        <w:tab/>
      </w:r>
      <w:r w:rsidR="002B4957" w:rsidRPr="00952F57">
        <w:rPr>
          <w:rFonts w:asciiTheme="majorBidi" w:hAnsiTheme="majorBidi" w:cstheme="majorBidi"/>
          <w:sz w:val="24"/>
          <w:szCs w:val="24"/>
          <w:lang w:val="es-ES"/>
        </w:rPr>
        <w:t xml:space="preserve">Palacio G C, Krikorian A, Gómez-Romero MJ, Limonero JT. </w:t>
      </w:r>
      <w:r w:rsidR="002B4957" w:rsidRPr="003E309D">
        <w:rPr>
          <w:rFonts w:asciiTheme="majorBidi" w:hAnsiTheme="majorBidi" w:cstheme="majorBidi"/>
          <w:sz w:val="24"/>
          <w:szCs w:val="24"/>
        </w:rPr>
        <w:t>Resilience in caregivers: A systematic review. American Journal of Hospice and Palliative Medicine®. 2020;37(8):648-58.</w:t>
      </w:r>
    </w:p>
    <w:p w14:paraId="69205CEA" w14:textId="2976C45A" w:rsidR="006B171C" w:rsidRDefault="001B64E2" w:rsidP="006B171C">
      <w:pPr>
        <w:pStyle w:val="EndNoteBibliography"/>
        <w:bidi w:val="0"/>
        <w:spacing w:after="0"/>
        <w:rPr>
          <w:rFonts w:asciiTheme="majorBidi" w:hAnsiTheme="majorBidi" w:cstheme="majorBidi"/>
          <w:sz w:val="24"/>
          <w:szCs w:val="24"/>
        </w:rPr>
      </w:pPr>
      <w:r>
        <w:rPr>
          <w:rFonts w:asciiTheme="majorBidi" w:hAnsiTheme="majorBidi" w:cstheme="majorBidi"/>
          <w:sz w:val="24"/>
          <w:szCs w:val="24"/>
        </w:rPr>
        <w:t>16</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Dionne-Odom JN, Azuero A, Taylor RA, Wells RD, Hendricks BA, Bechthold AC, et al. Resilience, preparedness, and distress among family caregivers of patients with advanced cancer. Supportive Care in</w:t>
      </w:r>
      <w:r w:rsidR="006B171C">
        <w:rPr>
          <w:rFonts w:asciiTheme="majorBidi" w:hAnsiTheme="majorBidi" w:cstheme="majorBidi"/>
          <w:sz w:val="24"/>
          <w:szCs w:val="24"/>
        </w:rPr>
        <w:t xml:space="preserve"> Cancer. 2021;29(11):6913-20</w:t>
      </w:r>
    </w:p>
    <w:p w14:paraId="0AEB54EC" w14:textId="5476266F" w:rsidR="002B4957" w:rsidRPr="003E309D" w:rsidRDefault="006B171C" w:rsidP="006B171C">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17</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Van Roij J, Brom L, Sommeijer D, van de Poll-Franse L, Raijmakers N, Group eS. Self-care, resilience, and caregiver burden in relatives of patients with advanced cancer: results from the eQuiPe study. Supportive Care in Cancer. 2021;29(12):7975-84.</w:t>
      </w:r>
    </w:p>
    <w:p w14:paraId="01258CF9" w14:textId="3AB2570B" w:rsidR="002B4957" w:rsidRPr="003E309D" w:rsidRDefault="001B64E2" w:rsidP="002B4957">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lastRenderedPageBreak/>
        <w:t>18</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 xml:space="preserve">Opsomer S, De Lepeleire J, Lauwerier E, Pype P. Resilience in family caregivers of patients diagnosed with advanced cancer–unraveling the process of bouncing back from difficult experiences, a hermeneutic review. </w:t>
      </w:r>
      <w:r w:rsidR="002B4957" w:rsidRPr="00952F57">
        <w:rPr>
          <w:rFonts w:asciiTheme="majorBidi" w:hAnsiTheme="majorBidi" w:cstheme="majorBidi"/>
          <w:sz w:val="24"/>
          <w:szCs w:val="24"/>
          <w:lang w:val="es-ES"/>
        </w:rPr>
        <w:t>European Journal of General Practice. 2020;26(1):79-85.</w:t>
      </w:r>
    </w:p>
    <w:p w14:paraId="189DD885" w14:textId="3C4D9ACA" w:rsidR="002B4957" w:rsidRPr="003E309D" w:rsidRDefault="001B64E2" w:rsidP="002B4957">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19</w:t>
      </w:r>
      <w:r w:rsidR="002B4957" w:rsidRPr="003E309D">
        <w:rPr>
          <w:rFonts w:asciiTheme="majorBidi" w:hAnsiTheme="majorBidi" w:cstheme="majorBidi"/>
          <w:sz w:val="24"/>
          <w:szCs w:val="24"/>
          <w:rtl/>
        </w:rPr>
        <w:tab/>
      </w:r>
      <w:r w:rsidR="002B4957" w:rsidRPr="00952F57">
        <w:rPr>
          <w:rFonts w:asciiTheme="majorBidi" w:hAnsiTheme="majorBidi" w:cstheme="majorBidi"/>
          <w:sz w:val="24"/>
          <w:szCs w:val="24"/>
          <w:lang w:val="es-ES"/>
        </w:rPr>
        <w:t xml:space="preserve">Toledano-Toledano F, Luna D, Moral de la Rubia J, Martinez Valverde S, Bermudez Moron CA, Salazar Garcia M, et al. </w:t>
      </w:r>
      <w:r w:rsidR="002B4957" w:rsidRPr="003E309D">
        <w:rPr>
          <w:rFonts w:asciiTheme="majorBidi" w:hAnsiTheme="majorBidi" w:cstheme="majorBidi"/>
          <w:sz w:val="24"/>
          <w:szCs w:val="24"/>
        </w:rPr>
        <w:t>Psychosocial factors predicting resilience in family caregivers of children with cancer: a cross-sectional study. International Journal of Environmental Research and Public Health. 2021;18(2):748.</w:t>
      </w:r>
    </w:p>
    <w:p w14:paraId="7A88124C" w14:textId="6A2A672E" w:rsidR="002B4957" w:rsidRPr="003E309D" w:rsidRDefault="001B64E2" w:rsidP="002B4957">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20</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Astrup GL, Hofsø K, Bjordal K, Rustøen T. Cancer patients’ diagnosis and symptoms and their family caregivers’ self‐efficacy and social support are associated with different caregiver reactions. European Journal of Cancer Care. 2020;29(6):e13311.</w:t>
      </w:r>
    </w:p>
    <w:p w14:paraId="7D3D456E" w14:textId="62C66D29" w:rsidR="006B171C" w:rsidRDefault="001B64E2" w:rsidP="006B171C">
      <w:pPr>
        <w:pStyle w:val="EndNoteBibliography"/>
        <w:bidi w:val="0"/>
        <w:spacing w:after="0"/>
        <w:rPr>
          <w:rFonts w:asciiTheme="majorBidi" w:hAnsiTheme="majorBidi" w:cstheme="majorBidi"/>
          <w:sz w:val="24"/>
          <w:szCs w:val="24"/>
        </w:rPr>
      </w:pPr>
      <w:r>
        <w:rPr>
          <w:rFonts w:asciiTheme="majorBidi" w:hAnsiTheme="majorBidi" w:cstheme="majorBidi"/>
          <w:sz w:val="24"/>
          <w:szCs w:val="24"/>
        </w:rPr>
        <w:t>21</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García‐Torres F, Jacek Jabłoński M, Gómez Solís Á, Moriana JA, Jaén‐Moreno MJ, Moreno‐Díaz MJ, et al. Social support as predictor of anxiety and depression in cancer caregivers six months after cancer diagnosis: A longitudinal study. Journal of clinical</w:t>
      </w:r>
      <w:r w:rsidR="006B171C">
        <w:rPr>
          <w:rFonts w:asciiTheme="majorBidi" w:hAnsiTheme="majorBidi" w:cstheme="majorBidi"/>
          <w:sz w:val="24"/>
          <w:szCs w:val="24"/>
        </w:rPr>
        <w:t xml:space="preserve"> nursing. 2020;29(5-6):996-1002</w:t>
      </w:r>
    </w:p>
    <w:p w14:paraId="29688B62" w14:textId="2275140E" w:rsidR="002B4957" w:rsidRPr="003E309D" w:rsidRDefault="006B171C" w:rsidP="006B171C">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22</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Benson JJ, Oliver DP, Washington KT, Rolbiecki AJ, Lombardo CB, Garza JE, et al. Online social support groups for informal caregivers of hospice patients with cancer. European Journal of Oncology Nursing. 2020;44:101698.</w:t>
      </w:r>
    </w:p>
    <w:p w14:paraId="0EB2BF99" w14:textId="10B0F9FB" w:rsidR="006B171C" w:rsidRDefault="001B64E2" w:rsidP="006B171C">
      <w:pPr>
        <w:pStyle w:val="EndNoteBibliography"/>
        <w:bidi w:val="0"/>
        <w:spacing w:after="0"/>
        <w:rPr>
          <w:rFonts w:asciiTheme="majorBidi" w:hAnsiTheme="majorBidi" w:cstheme="majorBidi"/>
          <w:sz w:val="24"/>
          <w:szCs w:val="24"/>
        </w:rPr>
      </w:pPr>
      <w:r>
        <w:rPr>
          <w:rFonts w:asciiTheme="majorBidi" w:hAnsiTheme="majorBidi" w:cstheme="majorBidi"/>
          <w:sz w:val="24"/>
          <w:szCs w:val="24"/>
        </w:rPr>
        <w:t>23</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Leung DY, Chan HY, Chiu PK, Lo RS, Lee LL. Source of social support and caregiving self-efficacy on caregiver burden and patient’s quality of life: a path analysis on patients with palliative care needs and their caregivers. International journal of environmental research and public health. 2020;17(15):5457.</w:t>
      </w:r>
    </w:p>
    <w:p w14:paraId="6D433599" w14:textId="485C0B34" w:rsidR="002B4957" w:rsidRPr="003E309D" w:rsidRDefault="001B64E2" w:rsidP="006B171C">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24</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Omidi A, Gholinezhad H, Khodaveisi M, Roshanaei G. The correlation of quality of life with social support for kidney transplant patients. Avicenna J Nurs Midwifery Care. 2018;26(5):341-8.</w:t>
      </w:r>
    </w:p>
    <w:p w14:paraId="270A3BBD" w14:textId="7E71EB6D" w:rsidR="006B171C" w:rsidRDefault="001B64E2" w:rsidP="006B171C">
      <w:pPr>
        <w:pStyle w:val="EndNoteBibliography"/>
        <w:bidi w:val="0"/>
        <w:spacing w:after="0"/>
        <w:rPr>
          <w:rFonts w:asciiTheme="majorBidi" w:hAnsiTheme="majorBidi" w:cstheme="majorBidi"/>
          <w:sz w:val="24"/>
          <w:szCs w:val="24"/>
        </w:rPr>
      </w:pPr>
      <w:r>
        <w:rPr>
          <w:rFonts w:asciiTheme="majorBidi" w:hAnsiTheme="majorBidi" w:cstheme="majorBidi"/>
          <w:sz w:val="24"/>
          <w:szCs w:val="24"/>
        </w:rPr>
        <w:t>25</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Connor KM, Davidson JR. Development of a new resilience scale: The Connor‐Davidson resilience scale (CD‐RISC). Depression and anxiety. 2003;18(2):76-82</w:t>
      </w:r>
    </w:p>
    <w:p w14:paraId="3B0FF799" w14:textId="050EBD7C" w:rsidR="002B4957" w:rsidRPr="003E309D" w:rsidRDefault="006B171C" w:rsidP="006B171C">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26</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Mohammadi M, Jazayeri A, Rafie A, Joukar B, Pourshahbaz A. Resilience factors in individuals at risk for substance abuse. 2006.</w:t>
      </w:r>
    </w:p>
    <w:p w14:paraId="6E9A7CA6" w14:textId="76693D70" w:rsidR="002B4957" w:rsidRPr="003E309D" w:rsidRDefault="001B64E2" w:rsidP="002B4957">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27</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Barker G. Adolescents, social support and help-seeking behavior. Geneva: World Health Organization. 2007:10-1.</w:t>
      </w:r>
    </w:p>
    <w:p w14:paraId="37ACE4DD" w14:textId="0AB7337B" w:rsidR="002B4957" w:rsidRPr="003E309D" w:rsidRDefault="001B64E2" w:rsidP="002B4957">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28</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Pasek M, Suchocka L, Gąsior K. Model of social support for patients treated for cancer. Cancers. 2021;13(19):4786.</w:t>
      </w:r>
    </w:p>
    <w:p w14:paraId="7ED4D629" w14:textId="4BC6FD3F" w:rsidR="002B4957" w:rsidRPr="003E309D" w:rsidRDefault="001B64E2" w:rsidP="002B4957">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29</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Aydın Sayılan A, Demir Doğan M. Illness perception, perceived social support and quality of life in patients with diagnosis of cancer. European journal of cancer care. 2020;29(4):e13252.</w:t>
      </w:r>
    </w:p>
    <w:p w14:paraId="4628E7F8" w14:textId="6E797EC3" w:rsidR="002B4957" w:rsidRPr="003E309D" w:rsidRDefault="001B64E2" w:rsidP="002B4957">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30</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Scandurra C, Muzii</w:t>
      </w:r>
      <w:r w:rsidR="002B4957" w:rsidRPr="003E309D">
        <w:rPr>
          <w:rFonts w:asciiTheme="majorBidi" w:hAnsiTheme="majorBidi" w:cstheme="majorBidi"/>
          <w:sz w:val="24"/>
          <w:szCs w:val="24"/>
          <w:rtl/>
        </w:rPr>
        <w:t xml:space="preserve"> </w:t>
      </w:r>
      <w:r w:rsidR="002B4957" w:rsidRPr="003E309D">
        <w:rPr>
          <w:rFonts w:asciiTheme="majorBidi" w:hAnsiTheme="majorBidi" w:cstheme="majorBidi"/>
          <w:sz w:val="24"/>
          <w:szCs w:val="24"/>
        </w:rPr>
        <w:t>B, La Rocca R, Di Bello F, Bottone M, Califano G, et al. Social support mediates the relationship between body image distress and depressive symptoms in prostate cancer patients. International Journal of Environmental Research and Public Health. 2022;19(</w:t>
      </w:r>
      <w:r w:rsidR="002B4957" w:rsidRPr="003E309D">
        <w:rPr>
          <w:rFonts w:asciiTheme="majorBidi" w:hAnsiTheme="majorBidi" w:cstheme="majorBidi"/>
          <w:sz w:val="24"/>
          <w:szCs w:val="24"/>
          <w:rtl/>
        </w:rPr>
        <w:t>8):4825.</w:t>
      </w:r>
    </w:p>
    <w:p w14:paraId="2A57DF59" w14:textId="6988A7EC" w:rsidR="002B4957" w:rsidRPr="003E309D" w:rsidRDefault="001B64E2" w:rsidP="002B4957">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31</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Henderson N, Milstein MM. Resiliency in schools: Making it happen for students and educators: Corwin press; 2003.</w:t>
      </w:r>
    </w:p>
    <w:p w14:paraId="08203366" w14:textId="7E219F28" w:rsidR="002B4957" w:rsidRPr="003E309D" w:rsidRDefault="001B64E2" w:rsidP="002B4957">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32</w:t>
      </w:r>
      <w:r w:rsidR="002B4957" w:rsidRPr="003E309D">
        <w:rPr>
          <w:rFonts w:asciiTheme="majorBidi" w:hAnsiTheme="majorBidi" w:cstheme="majorBidi"/>
          <w:sz w:val="24"/>
          <w:szCs w:val="24"/>
          <w:rtl/>
        </w:rPr>
        <w:tab/>
      </w:r>
      <w:r w:rsidR="002B4957" w:rsidRPr="00952F57">
        <w:rPr>
          <w:rFonts w:asciiTheme="majorBidi" w:hAnsiTheme="majorBidi" w:cstheme="majorBidi"/>
          <w:sz w:val="24"/>
          <w:szCs w:val="24"/>
          <w:lang w:val="es-ES"/>
        </w:rPr>
        <w:t xml:space="preserve">Lim HA, Tan JY, Chua J, Yoong RK, Lim SE, Kua EH, et al. </w:t>
      </w:r>
      <w:r w:rsidR="002B4957" w:rsidRPr="003E309D">
        <w:rPr>
          <w:rFonts w:asciiTheme="majorBidi" w:hAnsiTheme="majorBidi" w:cstheme="majorBidi"/>
          <w:sz w:val="24"/>
          <w:szCs w:val="24"/>
        </w:rPr>
        <w:t>Quality of life of family caregivers of cancer patients in Singapore and globally. Singapore medical journal. 2017;58(5):258.</w:t>
      </w:r>
    </w:p>
    <w:p w14:paraId="56609044" w14:textId="3B5BBFC6" w:rsidR="002B4957" w:rsidRPr="003E309D" w:rsidRDefault="001B64E2" w:rsidP="002B4957">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33</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Aghakhani N, Mohammadikia N, Eghtedar S, Alinejad V. Impact of social media-based (Whatsapp) patient care education on the resilience of family caregivers of breast cancer patients. Nursing And Midwifery Journal. 2023;21(7):511-20.</w:t>
      </w:r>
    </w:p>
    <w:p w14:paraId="6DF18C11" w14:textId="1F8F3473" w:rsidR="002B4957" w:rsidRPr="003E309D" w:rsidRDefault="001B64E2" w:rsidP="006B171C">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lastRenderedPageBreak/>
        <w:t>34</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Shin JY, Choi SW. Online interventions geared toward increasing resilience and reducing distress in family caregivers. Current Opinion in Supportive and Palliative Care. 2020;14(1):60-6.</w:t>
      </w:r>
    </w:p>
    <w:p w14:paraId="66974FBA" w14:textId="36BF4E32" w:rsidR="002B4957" w:rsidRPr="003E309D" w:rsidRDefault="006B171C" w:rsidP="006B171C">
      <w:pPr>
        <w:pStyle w:val="EndNoteBibliography"/>
        <w:bidi w:val="0"/>
        <w:spacing w:after="0"/>
        <w:rPr>
          <w:rFonts w:asciiTheme="majorBidi" w:hAnsiTheme="majorBidi" w:cstheme="majorBidi"/>
          <w:sz w:val="24"/>
          <w:szCs w:val="24"/>
          <w:rtl/>
        </w:rPr>
      </w:pPr>
      <w:r>
        <w:rPr>
          <w:rFonts w:asciiTheme="majorBidi" w:hAnsiTheme="majorBidi" w:cstheme="majorBidi"/>
          <w:sz w:val="24"/>
          <w:szCs w:val="24"/>
        </w:rPr>
        <w:t>35</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Nainggolan AI, Sari TR, Hartanti H. Effectiveness of Resilience Training to Reduce Caregiver Burden in Family Caregivers of Children with Cancer. Psikostudia: Jurnal Psikologi. 2022;11(2):209-18.</w:t>
      </w:r>
    </w:p>
    <w:p w14:paraId="55DA6D9B" w14:textId="5F7F42BA" w:rsidR="002B4957" w:rsidRPr="00FA3D5E" w:rsidRDefault="001B64E2" w:rsidP="002B4957">
      <w:pPr>
        <w:pStyle w:val="EndNoteBibliography"/>
        <w:bidi w:val="0"/>
        <w:rPr>
          <w:rFonts w:cs="Times New Roman"/>
          <w:rtl/>
        </w:rPr>
      </w:pPr>
      <w:r>
        <w:rPr>
          <w:rFonts w:asciiTheme="majorBidi" w:hAnsiTheme="majorBidi" w:cstheme="majorBidi"/>
          <w:sz w:val="24"/>
          <w:szCs w:val="24"/>
        </w:rPr>
        <w:t>36</w:t>
      </w:r>
      <w:r w:rsidR="002B4957" w:rsidRPr="003E309D">
        <w:rPr>
          <w:rFonts w:asciiTheme="majorBidi" w:hAnsiTheme="majorBidi" w:cstheme="majorBidi"/>
          <w:sz w:val="24"/>
          <w:szCs w:val="24"/>
          <w:rtl/>
        </w:rPr>
        <w:tab/>
      </w:r>
      <w:r w:rsidR="002B4957" w:rsidRPr="003E309D">
        <w:rPr>
          <w:rFonts w:asciiTheme="majorBidi" w:hAnsiTheme="majorBidi" w:cstheme="majorBidi"/>
          <w:sz w:val="24"/>
          <w:szCs w:val="24"/>
        </w:rPr>
        <w:t>Chen J-J, Wang Q-L, Li H-P, Zhang T, Zhang S‒S, Zhou M-K. Family resilience, perceived social support, and individual resilience in cancer couples: analysis using the actor-partner interdependence mediation model. European Journal of Oncology Nursing. 2021;52:101932.</w:t>
      </w:r>
    </w:p>
    <w:p w14:paraId="4355264E" w14:textId="37ABC7BF" w:rsidR="002B4957" w:rsidRPr="0050614B" w:rsidRDefault="002B4957" w:rsidP="002B4957">
      <w:pPr>
        <w:spacing w:before="240" w:after="240" w:line="276" w:lineRule="auto"/>
        <w:jc w:val="both"/>
        <w:rPr>
          <w:rFonts w:asciiTheme="majorBidi" w:eastAsia="Calibri" w:hAnsiTheme="majorBidi" w:cstheme="majorBidi"/>
          <w:sz w:val="24"/>
          <w:szCs w:val="24"/>
          <w:rtl/>
        </w:rPr>
      </w:pPr>
      <w:r w:rsidRPr="0050614B">
        <w:rPr>
          <w:rFonts w:asciiTheme="majorBidi" w:eastAsia="Times New Roman" w:hAnsiTheme="majorBidi" w:cstheme="majorBidi"/>
          <w:noProof/>
          <w:color w:val="000000"/>
          <w:sz w:val="24"/>
          <w:szCs w:val="24"/>
          <w:rtl/>
        </w:rPr>
        <w:fldChar w:fldCharType="end"/>
      </w:r>
    </w:p>
    <w:p w14:paraId="3B01C67E" w14:textId="3539C89C" w:rsidR="003E309D" w:rsidRPr="00F23E35" w:rsidRDefault="007541D4" w:rsidP="0005482B">
      <w:pPr>
        <w:rPr>
          <w:rFonts w:asciiTheme="majorBidi" w:hAnsiTheme="majorBidi" w:cstheme="majorBidi"/>
        </w:rPr>
      </w:pPr>
      <w:r w:rsidRPr="0050614B">
        <w:rPr>
          <w:rFonts w:asciiTheme="majorBidi" w:eastAsia="Times New Roman" w:hAnsiTheme="majorBidi" w:cstheme="majorBidi"/>
          <w:color w:val="000000"/>
          <w:kern w:val="0"/>
          <w:sz w:val="24"/>
          <w:szCs w:val="24"/>
          <w:rtl/>
          <w14:ligatures w14:val="none"/>
        </w:rPr>
        <w:fldChar w:fldCharType="begin"/>
      </w:r>
      <w:r w:rsidRPr="0050614B">
        <w:rPr>
          <w:rFonts w:asciiTheme="majorBidi" w:eastAsia="Times New Roman" w:hAnsiTheme="majorBidi" w:cstheme="majorBidi"/>
          <w:color w:val="000000"/>
          <w:sz w:val="24"/>
          <w:szCs w:val="24"/>
          <w:rtl/>
        </w:rPr>
        <w:instrText xml:space="preserve"> </w:instrText>
      </w:r>
      <w:r w:rsidRPr="0050614B">
        <w:rPr>
          <w:rFonts w:asciiTheme="majorBidi" w:eastAsia="Times New Roman" w:hAnsiTheme="majorBidi" w:cstheme="majorBidi"/>
          <w:color w:val="000000"/>
          <w:sz w:val="24"/>
          <w:szCs w:val="24"/>
        </w:rPr>
        <w:instrText xml:space="preserve">ADDIN EN.REFLIST </w:instrText>
      </w:r>
      <w:r w:rsidRPr="0050614B">
        <w:rPr>
          <w:rFonts w:asciiTheme="majorBidi" w:eastAsia="Times New Roman" w:hAnsiTheme="majorBidi" w:cstheme="majorBidi"/>
          <w:color w:val="000000"/>
          <w:kern w:val="0"/>
          <w:sz w:val="24"/>
          <w:szCs w:val="24"/>
          <w:rtl/>
          <w14:ligatures w14:val="none"/>
        </w:rPr>
        <w:fldChar w:fldCharType="end"/>
      </w:r>
    </w:p>
    <w:sectPr w:rsidR="003E309D" w:rsidRPr="00F23E35">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User" w:date="2025-07-15T10:57:00Z" w:initials="U">
    <w:p w14:paraId="0C2FC016" w14:textId="77777777" w:rsidR="00B10453" w:rsidRDefault="00B10453" w:rsidP="00B10453">
      <w:pPr>
        <w:pStyle w:val="CommentText"/>
      </w:pPr>
      <w:r>
        <w:rPr>
          <w:rStyle w:val="CommentReference"/>
        </w:rPr>
        <w:annotationRef/>
      </w:r>
      <w:r>
        <w:t>Please follow the APA 7th edition format for all citations and revise the whole manuscript.</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C2FC01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F77814B" w16cex:dateUtc="2025-07-15T02:51:00Z"/>
  <w16cex:commentExtensible w16cex:durableId="18882C57" w16cex:dateUtc="2025-07-15T02:52:00Z"/>
  <w16cex:commentExtensible w16cex:durableId="2F8C69AF" w16cex:dateUtc="2025-07-15T02:52:00Z"/>
  <w16cex:commentExtensible w16cex:durableId="0448C6D2" w16cex:dateUtc="2025-07-15T02:56:00Z"/>
  <w16cex:commentExtensible w16cex:durableId="0E9EEDF0" w16cex:dateUtc="2025-07-15T02:56:00Z"/>
  <w16cex:commentExtensible w16cex:durableId="7106A589" w16cex:dateUtc="2025-07-15T02:57:00Z"/>
  <w16cex:commentExtensible w16cex:durableId="79050014" w16cex:dateUtc="2025-07-15T02:57:00Z"/>
  <w16cex:commentExtensible w16cex:durableId="164B9A22" w16cex:dateUtc="2025-07-15T03: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4C9C815" w16cid:durableId="1F77814B"/>
  <w16cid:commentId w16cid:paraId="75B0EFF3" w16cid:durableId="18882C57"/>
  <w16cid:commentId w16cid:paraId="0179DBE0" w16cid:durableId="2F8C69AF"/>
  <w16cid:commentId w16cid:paraId="443432C5" w16cid:durableId="0448C6D2"/>
  <w16cid:commentId w16cid:paraId="73582DDA" w16cid:durableId="0E9EEDF0"/>
  <w16cid:commentId w16cid:paraId="0C2FC016" w16cid:durableId="7106A589"/>
  <w16cid:commentId w16cid:paraId="2096267B" w16cid:durableId="79050014"/>
  <w16cid:commentId w16cid:paraId="37F1FF93" w16cid:durableId="164B9A2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8490C" w14:textId="77777777" w:rsidR="003A3ACE" w:rsidRDefault="003A3ACE" w:rsidP="00B10453">
      <w:pPr>
        <w:spacing w:after="0" w:line="240" w:lineRule="auto"/>
      </w:pPr>
      <w:r>
        <w:separator/>
      </w:r>
    </w:p>
  </w:endnote>
  <w:endnote w:type="continuationSeparator" w:id="0">
    <w:p w14:paraId="1224928F" w14:textId="77777777" w:rsidR="003A3ACE" w:rsidRDefault="003A3ACE" w:rsidP="00B10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DECE60" w14:textId="77777777" w:rsidR="003A3ACE" w:rsidRDefault="003A3ACE" w:rsidP="00B10453">
      <w:pPr>
        <w:spacing w:after="0" w:line="240" w:lineRule="auto"/>
      </w:pPr>
      <w:r>
        <w:separator/>
      </w:r>
    </w:p>
  </w:footnote>
  <w:footnote w:type="continuationSeparator" w:id="0">
    <w:p w14:paraId="31A4B78B" w14:textId="77777777" w:rsidR="003A3ACE" w:rsidRDefault="003A3ACE" w:rsidP="00B104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44F66"/>
    <w:multiLevelType w:val="hybridMultilevel"/>
    <w:tmpl w:val="93D624D6"/>
    <w:lvl w:ilvl="0" w:tplc="537EA38A">
      <w:start w:val="1"/>
      <w:numFmt w:val="bullet"/>
      <w:lvlText w:val=""/>
      <w:lvlJc w:val="left"/>
      <w:pPr>
        <w:ind w:left="720" w:hanging="360"/>
      </w:pPr>
      <w:rPr>
        <w:rFonts w:ascii="Wingdings" w:hAnsi="Wingdings" w:hint="default"/>
      </w:rPr>
    </w:lvl>
    <w:lvl w:ilvl="1" w:tplc="62CED95E" w:tentative="1">
      <w:start w:val="1"/>
      <w:numFmt w:val="bullet"/>
      <w:lvlText w:val="o"/>
      <w:lvlJc w:val="left"/>
      <w:pPr>
        <w:ind w:left="1440" w:hanging="360"/>
      </w:pPr>
      <w:rPr>
        <w:rFonts w:ascii="Courier New" w:hAnsi="Courier New" w:cs="Courier New" w:hint="default"/>
      </w:rPr>
    </w:lvl>
    <w:lvl w:ilvl="2" w:tplc="8FBCA1DE" w:tentative="1">
      <w:start w:val="1"/>
      <w:numFmt w:val="bullet"/>
      <w:lvlText w:val=""/>
      <w:lvlJc w:val="left"/>
      <w:pPr>
        <w:ind w:left="2160" w:hanging="360"/>
      </w:pPr>
      <w:rPr>
        <w:rFonts w:ascii="Wingdings" w:hAnsi="Wingdings" w:hint="default"/>
      </w:rPr>
    </w:lvl>
    <w:lvl w:ilvl="3" w:tplc="5704B1B6" w:tentative="1">
      <w:start w:val="1"/>
      <w:numFmt w:val="bullet"/>
      <w:lvlText w:val=""/>
      <w:lvlJc w:val="left"/>
      <w:pPr>
        <w:ind w:left="2880" w:hanging="360"/>
      </w:pPr>
      <w:rPr>
        <w:rFonts w:ascii="Symbol" w:hAnsi="Symbol" w:hint="default"/>
      </w:rPr>
    </w:lvl>
    <w:lvl w:ilvl="4" w:tplc="30CC91C4" w:tentative="1">
      <w:start w:val="1"/>
      <w:numFmt w:val="bullet"/>
      <w:lvlText w:val="o"/>
      <w:lvlJc w:val="left"/>
      <w:pPr>
        <w:ind w:left="3600" w:hanging="360"/>
      </w:pPr>
      <w:rPr>
        <w:rFonts w:ascii="Courier New" w:hAnsi="Courier New" w:cs="Courier New" w:hint="default"/>
      </w:rPr>
    </w:lvl>
    <w:lvl w:ilvl="5" w:tplc="A0742474" w:tentative="1">
      <w:start w:val="1"/>
      <w:numFmt w:val="bullet"/>
      <w:lvlText w:val=""/>
      <w:lvlJc w:val="left"/>
      <w:pPr>
        <w:ind w:left="4320" w:hanging="360"/>
      </w:pPr>
      <w:rPr>
        <w:rFonts w:ascii="Wingdings" w:hAnsi="Wingdings" w:hint="default"/>
      </w:rPr>
    </w:lvl>
    <w:lvl w:ilvl="6" w:tplc="EC38AFA0" w:tentative="1">
      <w:start w:val="1"/>
      <w:numFmt w:val="bullet"/>
      <w:lvlText w:val=""/>
      <w:lvlJc w:val="left"/>
      <w:pPr>
        <w:ind w:left="5040" w:hanging="360"/>
      </w:pPr>
      <w:rPr>
        <w:rFonts w:ascii="Symbol" w:hAnsi="Symbol" w:hint="default"/>
      </w:rPr>
    </w:lvl>
    <w:lvl w:ilvl="7" w:tplc="01101E2A" w:tentative="1">
      <w:start w:val="1"/>
      <w:numFmt w:val="bullet"/>
      <w:lvlText w:val="o"/>
      <w:lvlJc w:val="left"/>
      <w:pPr>
        <w:ind w:left="5760" w:hanging="360"/>
      </w:pPr>
      <w:rPr>
        <w:rFonts w:ascii="Courier New" w:hAnsi="Courier New" w:cs="Courier New" w:hint="default"/>
      </w:rPr>
    </w:lvl>
    <w:lvl w:ilvl="8" w:tplc="8F66AEDE" w:tentative="1">
      <w:start w:val="1"/>
      <w:numFmt w:val="bullet"/>
      <w:lvlText w:val=""/>
      <w:lvlJc w:val="left"/>
      <w:pPr>
        <w:ind w:left="6480" w:hanging="360"/>
      </w:pPr>
      <w:rPr>
        <w:rFonts w:ascii="Wingdings" w:hAnsi="Wingdings" w:hint="default"/>
      </w:rPr>
    </w:lvl>
  </w:abstractNum>
  <w:abstractNum w:abstractNumId="1" w15:restartNumberingAfterBreak="0">
    <w:nsid w:val="1AFA1764"/>
    <w:multiLevelType w:val="hybridMultilevel"/>
    <w:tmpl w:val="F7F078B8"/>
    <w:lvl w:ilvl="0" w:tplc="3EA81502">
      <w:start w:val="1"/>
      <w:numFmt w:val="bullet"/>
      <w:lvlText w:val=""/>
      <w:lvlJc w:val="left"/>
      <w:pPr>
        <w:ind w:left="1195" w:hanging="360"/>
      </w:pPr>
      <w:rPr>
        <w:rFonts w:ascii="Wingdings" w:hAnsi="Wingdings" w:hint="default"/>
      </w:rPr>
    </w:lvl>
    <w:lvl w:ilvl="1" w:tplc="574C65D4" w:tentative="1">
      <w:start w:val="1"/>
      <w:numFmt w:val="bullet"/>
      <w:lvlText w:val="o"/>
      <w:lvlJc w:val="left"/>
      <w:pPr>
        <w:ind w:left="1915" w:hanging="360"/>
      </w:pPr>
      <w:rPr>
        <w:rFonts w:ascii="Courier New" w:hAnsi="Courier New" w:cs="Courier New" w:hint="default"/>
      </w:rPr>
    </w:lvl>
    <w:lvl w:ilvl="2" w:tplc="04661354" w:tentative="1">
      <w:start w:val="1"/>
      <w:numFmt w:val="bullet"/>
      <w:lvlText w:val=""/>
      <w:lvlJc w:val="left"/>
      <w:pPr>
        <w:ind w:left="2635" w:hanging="360"/>
      </w:pPr>
      <w:rPr>
        <w:rFonts w:ascii="Wingdings" w:hAnsi="Wingdings" w:hint="default"/>
      </w:rPr>
    </w:lvl>
    <w:lvl w:ilvl="3" w:tplc="D1B0DC3A" w:tentative="1">
      <w:start w:val="1"/>
      <w:numFmt w:val="bullet"/>
      <w:lvlText w:val=""/>
      <w:lvlJc w:val="left"/>
      <w:pPr>
        <w:ind w:left="3355" w:hanging="360"/>
      </w:pPr>
      <w:rPr>
        <w:rFonts w:ascii="Symbol" w:hAnsi="Symbol" w:hint="default"/>
      </w:rPr>
    </w:lvl>
    <w:lvl w:ilvl="4" w:tplc="3A005990" w:tentative="1">
      <w:start w:val="1"/>
      <w:numFmt w:val="bullet"/>
      <w:lvlText w:val="o"/>
      <w:lvlJc w:val="left"/>
      <w:pPr>
        <w:ind w:left="4075" w:hanging="360"/>
      </w:pPr>
      <w:rPr>
        <w:rFonts w:ascii="Courier New" w:hAnsi="Courier New" w:cs="Courier New" w:hint="default"/>
      </w:rPr>
    </w:lvl>
    <w:lvl w:ilvl="5" w:tplc="6F8E0732" w:tentative="1">
      <w:start w:val="1"/>
      <w:numFmt w:val="bullet"/>
      <w:lvlText w:val=""/>
      <w:lvlJc w:val="left"/>
      <w:pPr>
        <w:ind w:left="4795" w:hanging="360"/>
      </w:pPr>
      <w:rPr>
        <w:rFonts w:ascii="Wingdings" w:hAnsi="Wingdings" w:hint="default"/>
      </w:rPr>
    </w:lvl>
    <w:lvl w:ilvl="6" w:tplc="52923A12" w:tentative="1">
      <w:start w:val="1"/>
      <w:numFmt w:val="bullet"/>
      <w:lvlText w:val=""/>
      <w:lvlJc w:val="left"/>
      <w:pPr>
        <w:ind w:left="5515" w:hanging="360"/>
      </w:pPr>
      <w:rPr>
        <w:rFonts w:ascii="Symbol" w:hAnsi="Symbol" w:hint="default"/>
      </w:rPr>
    </w:lvl>
    <w:lvl w:ilvl="7" w:tplc="250EF25A" w:tentative="1">
      <w:start w:val="1"/>
      <w:numFmt w:val="bullet"/>
      <w:lvlText w:val="o"/>
      <w:lvlJc w:val="left"/>
      <w:pPr>
        <w:ind w:left="6235" w:hanging="360"/>
      </w:pPr>
      <w:rPr>
        <w:rFonts w:ascii="Courier New" w:hAnsi="Courier New" w:cs="Courier New" w:hint="default"/>
      </w:rPr>
    </w:lvl>
    <w:lvl w:ilvl="8" w:tplc="1DBC2C54" w:tentative="1">
      <w:start w:val="1"/>
      <w:numFmt w:val="bullet"/>
      <w:lvlText w:val=""/>
      <w:lvlJc w:val="left"/>
      <w:pPr>
        <w:ind w:left="6955" w:hanging="360"/>
      </w:pPr>
      <w:rPr>
        <w:rFonts w:ascii="Wingdings" w:hAnsi="Wingdings" w:hint="default"/>
      </w:rPr>
    </w:lvl>
  </w:abstractNum>
  <w:abstractNum w:abstractNumId="2" w15:restartNumberingAfterBreak="0">
    <w:nsid w:val="36D25DED"/>
    <w:multiLevelType w:val="multilevel"/>
    <w:tmpl w:val="49AEF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6D74D2"/>
    <w:multiLevelType w:val="multilevel"/>
    <w:tmpl w:val="CC08D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A6475A"/>
    <w:multiLevelType w:val="hybridMultilevel"/>
    <w:tmpl w:val="2C2CFB76"/>
    <w:lvl w:ilvl="0" w:tplc="7006F664">
      <w:start w:val="1"/>
      <w:numFmt w:val="bullet"/>
      <w:lvlText w:val=""/>
      <w:lvlJc w:val="left"/>
      <w:pPr>
        <w:ind w:left="720" w:hanging="360"/>
      </w:pPr>
      <w:rPr>
        <w:rFonts w:ascii="Wingdings" w:hAnsi="Wingdings" w:hint="default"/>
      </w:rPr>
    </w:lvl>
    <w:lvl w:ilvl="1" w:tplc="F544EC7E" w:tentative="1">
      <w:start w:val="1"/>
      <w:numFmt w:val="bullet"/>
      <w:lvlText w:val="o"/>
      <w:lvlJc w:val="left"/>
      <w:pPr>
        <w:ind w:left="1440" w:hanging="360"/>
      </w:pPr>
      <w:rPr>
        <w:rFonts w:ascii="Courier New" w:hAnsi="Courier New" w:cs="Courier New" w:hint="default"/>
      </w:rPr>
    </w:lvl>
    <w:lvl w:ilvl="2" w:tplc="3A04F592" w:tentative="1">
      <w:start w:val="1"/>
      <w:numFmt w:val="bullet"/>
      <w:lvlText w:val=""/>
      <w:lvlJc w:val="left"/>
      <w:pPr>
        <w:ind w:left="2160" w:hanging="360"/>
      </w:pPr>
      <w:rPr>
        <w:rFonts w:ascii="Wingdings" w:hAnsi="Wingdings" w:hint="default"/>
      </w:rPr>
    </w:lvl>
    <w:lvl w:ilvl="3" w:tplc="780A83DC" w:tentative="1">
      <w:start w:val="1"/>
      <w:numFmt w:val="bullet"/>
      <w:lvlText w:val=""/>
      <w:lvlJc w:val="left"/>
      <w:pPr>
        <w:ind w:left="2880" w:hanging="360"/>
      </w:pPr>
      <w:rPr>
        <w:rFonts w:ascii="Symbol" w:hAnsi="Symbol" w:hint="default"/>
      </w:rPr>
    </w:lvl>
    <w:lvl w:ilvl="4" w:tplc="F9027DE8" w:tentative="1">
      <w:start w:val="1"/>
      <w:numFmt w:val="bullet"/>
      <w:lvlText w:val="o"/>
      <w:lvlJc w:val="left"/>
      <w:pPr>
        <w:ind w:left="3600" w:hanging="360"/>
      </w:pPr>
      <w:rPr>
        <w:rFonts w:ascii="Courier New" w:hAnsi="Courier New" w:cs="Courier New" w:hint="default"/>
      </w:rPr>
    </w:lvl>
    <w:lvl w:ilvl="5" w:tplc="D286FAE8" w:tentative="1">
      <w:start w:val="1"/>
      <w:numFmt w:val="bullet"/>
      <w:lvlText w:val=""/>
      <w:lvlJc w:val="left"/>
      <w:pPr>
        <w:ind w:left="4320" w:hanging="360"/>
      </w:pPr>
      <w:rPr>
        <w:rFonts w:ascii="Wingdings" w:hAnsi="Wingdings" w:hint="default"/>
      </w:rPr>
    </w:lvl>
    <w:lvl w:ilvl="6" w:tplc="43C2CCF6" w:tentative="1">
      <w:start w:val="1"/>
      <w:numFmt w:val="bullet"/>
      <w:lvlText w:val=""/>
      <w:lvlJc w:val="left"/>
      <w:pPr>
        <w:ind w:left="5040" w:hanging="360"/>
      </w:pPr>
      <w:rPr>
        <w:rFonts w:ascii="Symbol" w:hAnsi="Symbol" w:hint="default"/>
      </w:rPr>
    </w:lvl>
    <w:lvl w:ilvl="7" w:tplc="999EE54A" w:tentative="1">
      <w:start w:val="1"/>
      <w:numFmt w:val="bullet"/>
      <w:lvlText w:val="o"/>
      <w:lvlJc w:val="left"/>
      <w:pPr>
        <w:ind w:left="5760" w:hanging="360"/>
      </w:pPr>
      <w:rPr>
        <w:rFonts w:ascii="Courier New" w:hAnsi="Courier New" w:cs="Courier New" w:hint="default"/>
      </w:rPr>
    </w:lvl>
    <w:lvl w:ilvl="8" w:tplc="D970391C"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twd22wfnwtwv5e05ztv0az4xv9eaa0zderp&quot;&gt;My EndNote Library&lt;record-ids&gt;&lt;item&gt;274&lt;/item&gt;&lt;/record-ids&gt;&lt;/item&gt;&lt;/Libraries&gt;"/>
  </w:docVars>
  <w:rsids>
    <w:rsidRoot w:val="00B630A3"/>
    <w:rsid w:val="00001B78"/>
    <w:rsid w:val="00011448"/>
    <w:rsid w:val="0005482B"/>
    <w:rsid w:val="0009169D"/>
    <w:rsid w:val="000E064C"/>
    <w:rsid w:val="000F5E15"/>
    <w:rsid w:val="001265BF"/>
    <w:rsid w:val="001822C5"/>
    <w:rsid w:val="001829D1"/>
    <w:rsid w:val="00183577"/>
    <w:rsid w:val="001B64E2"/>
    <w:rsid w:val="001E4DB0"/>
    <w:rsid w:val="00242A1E"/>
    <w:rsid w:val="0028116D"/>
    <w:rsid w:val="002830E9"/>
    <w:rsid w:val="002928D1"/>
    <w:rsid w:val="002A14A3"/>
    <w:rsid w:val="002B4957"/>
    <w:rsid w:val="002F5977"/>
    <w:rsid w:val="00312A2C"/>
    <w:rsid w:val="0034645B"/>
    <w:rsid w:val="00357FC4"/>
    <w:rsid w:val="00383B16"/>
    <w:rsid w:val="003844C2"/>
    <w:rsid w:val="003A3ACE"/>
    <w:rsid w:val="003E309D"/>
    <w:rsid w:val="003E4B79"/>
    <w:rsid w:val="00405BAB"/>
    <w:rsid w:val="00427B29"/>
    <w:rsid w:val="00440576"/>
    <w:rsid w:val="00463987"/>
    <w:rsid w:val="0050614B"/>
    <w:rsid w:val="00554563"/>
    <w:rsid w:val="005A5815"/>
    <w:rsid w:val="005E300A"/>
    <w:rsid w:val="005E778B"/>
    <w:rsid w:val="005F53B9"/>
    <w:rsid w:val="006267A1"/>
    <w:rsid w:val="006621F3"/>
    <w:rsid w:val="006666F4"/>
    <w:rsid w:val="006B171C"/>
    <w:rsid w:val="00700DD2"/>
    <w:rsid w:val="00736324"/>
    <w:rsid w:val="007541D4"/>
    <w:rsid w:val="00785743"/>
    <w:rsid w:val="007C031A"/>
    <w:rsid w:val="008117A8"/>
    <w:rsid w:val="00835E9D"/>
    <w:rsid w:val="00862E48"/>
    <w:rsid w:val="0088491D"/>
    <w:rsid w:val="00885F80"/>
    <w:rsid w:val="008C0830"/>
    <w:rsid w:val="00923101"/>
    <w:rsid w:val="00931F08"/>
    <w:rsid w:val="0093251E"/>
    <w:rsid w:val="0096087C"/>
    <w:rsid w:val="00976EEB"/>
    <w:rsid w:val="00983946"/>
    <w:rsid w:val="009B4249"/>
    <w:rsid w:val="009B598F"/>
    <w:rsid w:val="009C2506"/>
    <w:rsid w:val="009C6DFF"/>
    <w:rsid w:val="009D3374"/>
    <w:rsid w:val="00AE1A8F"/>
    <w:rsid w:val="00AE5209"/>
    <w:rsid w:val="00B07DF1"/>
    <w:rsid w:val="00B10453"/>
    <w:rsid w:val="00B375A1"/>
    <w:rsid w:val="00B41E95"/>
    <w:rsid w:val="00B44EB0"/>
    <w:rsid w:val="00B630A3"/>
    <w:rsid w:val="00B76E59"/>
    <w:rsid w:val="00BC2D9F"/>
    <w:rsid w:val="00C27FF9"/>
    <w:rsid w:val="00C4366B"/>
    <w:rsid w:val="00C82F0C"/>
    <w:rsid w:val="00C849FB"/>
    <w:rsid w:val="00D04A3F"/>
    <w:rsid w:val="00D9635B"/>
    <w:rsid w:val="00DF0269"/>
    <w:rsid w:val="00E21D56"/>
    <w:rsid w:val="00E418A6"/>
    <w:rsid w:val="00E45A67"/>
    <w:rsid w:val="00EA1C72"/>
    <w:rsid w:val="00EB736F"/>
    <w:rsid w:val="00F237D4"/>
    <w:rsid w:val="00F23E35"/>
    <w:rsid w:val="00F70768"/>
    <w:rsid w:val="00F9317D"/>
    <w:rsid w:val="00FA3D5E"/>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87D5BB"/>
  <w15:chartTrackingRefBased/>
  <w15:docId w15:val="{8EC84509-1D7F-4BD6-8E7E-D6939E669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40576"/>
    <w:pPr>
      <w:keepNext/>
      <w:keepLines/>
      <w:spacing w:before="200" w:after="0" w:line="276" w:lineRule="auto"/>
      <w:outlineLvl w:val="1"/>
    </w:pPr>
    <w:rPr>
      <w:rFonts w:ascii="Cambria" w:eastAsia="Times New Roman" w:hAnsi="Cambria" w:cs="Times New Roman"/>
      <w:b/>
      <w:bCs/>
      <w:color w:val="4F81BD"/>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491D"/>
    <w:rPr>
      <w:rFonts w:ascii="Times New Roman" w:hAnsi="Times New Roman" w:cs="Times New Roman"/>
      <w:sz w:val="24"/>
      <w:szCs w:val="24"/>
    </w:rPr>
  </w:style>
  <w:style w:type="paragraph" w:styleId="ListParagraph">
    <w:name w:val="List Paragraph"/>
    <w:basedOn w:val="Normal"/>
    <w:uiPriority w:val="34"/>
    <w:qFormat/>
    <w:rsid w:val="00440576"/>
    <w:pPr>
      <w:ind w:left="720"/>
      <w:contextualSpacing/>
    </w:pPr>
  </w:style>
  <w:style w:type="character" w:customStyle="1" w:styleId="Heading2Char">
    <w:name w:val="Heading 2 Char"/>
    <w:basedOn w:val="DefaultParagraphFont"/>
    <w:link w:val="Heading2"/>
    <w:uiPriority w:val="9"/>
    <w:semiHidden/>
    <w:rsid w:val="00440576"/>
    <w:rPr>
      <w:rFonts w:ascii="Cambria" w:eastAsia="Times New Roman" w:hAnsi="Cambria" w:cs="Times New Roman"/>
      <w:b/>
      <w:bCs/>
      <w:color w:val="4F81BD"/>
      <w:kern w:val="0"/>
      <w:sz w:val="26"/>
      <w:szCs w:val="26"/>
      <w14:ligatures w14:val="none"/>
    </w:rPr>
  </w:style>
  <w:style w:type="paragraph" w:customStyle="1" w:styleId="EndNoteBibliography">
    <w:name w:val="EndNote Bibliography"/>
    <w:basedOn w:val="Normal"/>
    <w:link w:val="EndNoteBibliographyChar"/>
    <w:rsid w:val="003E309D"/>
    <w:pPr>
      <w:bidi/>
      <w:spacing w:line="240" w:lineRule="auto"/>
      <w:jc w:val="both"/>
    </w:pPr>
    <w:rPr>
      <w:rFonts w:ascii="Calibri Light" w:eastAsia="Calibri" w:hAnsi="Calibri Light" w:cs="Calibri Light"/>
      <w:noProof/>
      <w:kern w:val="0"/>
      <w:sz w:val="32"/>
      <w:szCs w:val="28"/>
      <w14:ligatures w14:val="none"/>
    </w:rPr>
  </w:style>
  <w:style w:type="character" w:customStyle="1" w:styleId="EndNoteBibliographyChar">
    <w:name w:val="EndNote Bibliography Char"/>
    <w:link w:val="EndNoteBibliography"/>
    <w:rsid w:val="003E309D"/>
    <w:rPr>
      <w:rFonts w:ascii="Calibri Light" w:eastAsia="Calibri" w:hAnsi="Calibri Light" w:cs="Calibri Light"/>
      <w:noProof/>
      <w:kern w:val="0"/>
      <w:sz w:val="32"/>
      <w:szCs w:val="28"/>
      <w14:ligatures w14:val="none"/>
    </w:rPr>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BalloonText">
    <w:name w:val="Balloon Text"/>
    <w:basedOn w:val="Normal"/>
    <w:link w:val="BalloonTextChar"/>
    <w:uiPriority w:val="99"/>
    <w:semiHidden/>
    <w:unhideWhenUsed/>
    <w:rsid w:val="001265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65BF"/>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B76E59"/>
    <w:rPr>
      <w:b/>
      <w:bCs/>
    </w:rPr>
  </w:style>
  <w:style w:type="character" w:customStyle="1" w:styleId="CommentSubjectChar">
    <w:name w:val="Comment Subject Char"/>
    <w:basedOn w:val="CommentTextChar"/>
    <w:link w:val="CommentSubject"/>
    <w:uiPriority w:val="99"/>
    <w:semiHidden/>
    <w:rsid w:val="00B76E59"/>
    <w:rPr>
      <w:b/>
      <w:bCs/>
      <w:sz w:val="20"/>
      <w:szCs w:val="20"/>
    </w:rPr>
  </w:style>
  <w:style w:type="character" w:styleId="Hyperlink">
    <w:name w:val="Hyperlink"/>
    <w:uiPriority w:val="99"/>
    <w:unhideWhenUsed/>
    <w:rsid w:val="00700DD2"/>
    <w:rPr>
      <w:color w:val="0000FF"/>
      <w:u w:val="single"/>
    </w:rPr>
  </w:style>
  <w:style w:type="paragraph" w:styleId="Header">
    <w:name w:val="header"/>
    <w:basedOn w:val="Normal"/>
    <w:link w:val="HeaderChar"/>
    <w:uiPriority w:val="99"/>
    <w:unhideWhenUsed/>
    <w:rsid w:val="00B1045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B10453"/>
    <w:rPr>
      <w:sz w:val="20"/>
      <w:szCs w:val="20"/>
    </w:rPr>
  </w:style>
  <w:style w:type="paragraph" w:styleId="Footer">
    <w:name w:val="footer"/>
    <w:basedOn w:val="Normal"/>
    <w:link w:val="FooterChar"/>
    <w:uiPriority w:val="99"/>
    <w:unhideWhenUsed/>
    <w:rsid w:val="00B1045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B1045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442515">
      <w:bodyDiv w:val="1"/>
      <w:marLeft w:val="0"/>
      <w:marRight w:val="0"/>
      <w:marTop w:val="0"/>
      <w:marBottom w:val="0"/>
      <w:divBdr>
        <w:top w:val="none" w:sz="0" w:space="0" w:color="auto"/>
        <w:left w:val="none" w:sz="0" w:space="0" w:color="auto"/>
        <w:bottom w:val="none" w:sz="0" w:space="0" w:color="auto"/>
        <w:right w:val="none" w:sz="0" w:space="0" w:color="auto"/>
      </w:divBdr>
    </w:div>
    <w:div w:id="857278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oortaghi@tums.ac.i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AC69C-CAD8-42D5-A645-233E6A5B4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15</Pages>
  <Words>6144</Words>
  <Characters>35023</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Sarieh Poortaghi</dc:creator>
  <cp:lastModifiedBy>WIN10</cp:lastModifiedBy>
  <cp:revision>6</cp:revision>
  <dcterms:created xsi:type="dcterms:W3CDTF">2025-07-15T03:09:00Z</dcterms:created>
  <dcterms:modified xsi:type="dcterms:W3CDTF">2025-07-24T12:56:00Z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ed533924-3f8a-4742-871a-fb2a2d489281</vt:lpwstr>
  </property>
  <property fmtid="{D5CDD505-2E9C-101B-9397-08002B2CF9AE}" pid="3" name="LE1">
    <vt:filetime>2024-12-03T09:44:37Z</vt:filetime>
  </property>
</Properties>
</file>