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8EB" w:rsidRDefault="005828EB">
      <w:pPr>
        <w:rPr>
          <w:b/>
          <w:szCs w:val="24"/>
        </w:rPr>
      </w:pPr>
      <w:r w:rsidRPr="005828EB">
        <w:rPr>
          <w:b/>
          <w:color w:val="000000"/>
          <w:szCs w:val="24"/>
        </w:rPr>
        <w:t>1.0</w:t>
      </w:r>
      <w:r w:rsidR="00CC09C7">
        <w:rPr>
          <w:color w:val="000000"/>
          <w:szCs w:val="24"/>
        </w:rPr>
        <w:t xml:space="preserve"> I</w:t>
      </w:r>
      <w:r w:rsidR="00694385" w:rsidRPr="00594E1D">
        <w:rPr>
          <w:b/>
          <w:szCs w:val="24"/>
        </w:rPr>
        <w:t>ntroduction</w:t>
      </w:r>
    </w:p>
    <w:p w:rsidR="007E173D" w:rsidRPr="007E173D" w:rsidRDefault="007E173D">
      <w:r>
        <w:t xml:space="preserve">Bone health is a fundamental component of overall well-being, governed by a dynamic interplay of hormonal, nutritional, and genetic factors </w:t>
      </w:r>
      <w:r w:rsidR="0083199C" w:rsidRPr="00594E1D">
        <w:rPr>
          <w:szCs w:val="24"/>
        </w:rPr>
        <w:fldChar w:fldCharType="begin" w:fldLock="1"/>
      </w:r>
      <w:r w:rsidR="002506CE">
        <w:rPr>
          <w:szCs w:val="24"/>
        </w:rPr>
        <w:instrText>ADDIN CSL_CITATION {"citationItems":[{"id":"ITEM-1","itemData":{"ISSN":"2213-8587","author":[{"dropping-particle":"","family":"Rizzoli","given":"René","non-dropping-particle":"","parse-names":false,"suffix":""},{"dropping-particle":"","family":"Biver","given":"Emmanuel","non-dropping-particle":"","parse-names":false,"suffix":""},{"dropping-particle":"","family":"Brennan-Speranza","given":"Tara C","non-dropping-particle":"","parse-names":false,"suffix":""}],"container-title":"The lancet Diabetes &amp; endocrinology","id":"ITEM-1","issue":"9","issued":{"date-parts":[["2021"]]},"page":"606-621","publisher":"Elsevier","title":"Nutritional intake and bone health","type":"article-journal","volume":"9"},"uris":["http://www.mendeley.com/documents/?uuid=75453e84-4fa6-41af-948e-39b70a587154"]}],"mendeley":{"formattedCitation":"[1]","manualFormatting":"[1]","plainTextFormattedCitation":"[1]","previouslyFormattedCitation":"[1]"},"properties":{"noteIndex":0},"schema":"https://github.com/citation-style-language/schema/raw/master/csl-citation.json"}</w:instrText>
      </w:r>
      <w:r w:rsidR="0083199C" w:rsidRPr="00594E1D">
        <w:rPr>
          <w:szCs w:val="24"/>
        </w:rPr>
        <w:fldChar w:fldCharType="separate"/>
      </w:r>
      <w:r w:rsidR="00F0717D">
        <w:rPr>
          <w:noProof/>
          <w:szCs w:val="24"/>
        </w:rPr>
        <w:t>[</w:t>
      </w:r>
      <w:r w:rsidR="004111B9" w:rsidRPr="004111B9">
        <w:rPr>
          <w:noProof/>
          <w:szCs w:val="24"/>
        </w:rPr>
        <w:t>1</w:t>
      </w:r>
      <w:r w:rsidR="00F0717D">
        <w:rPr>
          <w:noProof/>
          <w:szCs w:val="24"/>
        </w:rPr>
        <w:t>]</w:t>
      </w:r>
      <w:r w:rsidR="0083199C" w:rsidRPr="00594E1D">
        <w:rPr>
          <w:szCs w:val="24"/>
        </w:rPr>
        <w:fldChar w:fldCharType="end"/>
      </w:r>
      <w:r w:rsidR="00694385" w:rsidRPr="00594E1D">
        <w:rPr>
          <w:szCs w:val="24"/>
        </w:rPr>
        <w:t xml:space="preserve">. </w:t>
      </w:r>
      <w:r>
        <w:t xml:space="preserve">Vitamin D and calcium are central to skeletal development and maintenance, facilitating intestinal calcium absorption, modulating parathyroid </w:t>
      </w:r>
      <w:bookmarkStart w:id="0" w:name="_GoBack"/>
      <w:r>
        <w:t>hormone (PTH) activity, and regulating the activity of osteoblasts and osteoclasts</w:t>
      </w:r>
      <w:r w:rsidR="002506CE">
        <w:t xml:space="preserve"> </w:t>
      </w:r>
      <w:r w:rsidR="002506CE">
        <w:fldChar w:fldCharType="begin" w:fldLock="1"/>
      </w:r>
      <w:r w:rsidR="002506CE">
        <w:instrText>ADDIN CSL_CITATION {"citationItems":[{"id":"ITEM-1","itemData":{"DOI":"10.1007/s00198-016-3551-5","ISSN":"1433-2965","author":[{"dropping-particle":"","family":"Weaver","given":"C M","non-dropping-particle":"","parse-names":false,"suffix":""},{"dropping-particle":"","family":"Gordon","given":"C M","non-dropping-particle":"","parse-names":false,"suffix":""},{"dropping-particle":"","family":"Janz","given":"K F","non-dropping-particle":"","parse-names":false,"suffix":""},{"dropping-particle":"","family":"Kalkwarf","given":"H J","non-dropping-particle":"","parse-names":false,"suffix":""},{"dropping-particle":"","family":"Lappe","given":"J M","non-dropping-particle":"","parse-names":false,"suffix":""},{"dropping-particle":"","family":"Lewis","given":"R","non-dropping-particle":"","parse-names":false,"suffix":""},{"dropping-particle":"","family":"O’Karma","given":"M","non-dropping-particle":"","parse-names":false,"suffix":""},{"dropping-particle":"","family":"Wallace","given":"T C","non-dropping-particle":"","parse-names":false,"suffix":""},{"dropping-particle":"","family":"Zemel","given":"B S","non-dropping-particle":"","parse-names":false,"suffix":""}],"container-title":"Osteoporosis International","id":"ITEM-1","issue":"4","issued":{"date-parts":[["2016"]]},"page":"1387","title":"Erratum to: The National Osteoporosis Foundation’s position statement on peak bone mass development and lifestyle factors: a systematic review and implementation recommendations","type":"article-journal","volume":"27"},"uris":["http://www.mendeley.com/documents/?uuid=67544791-3ece-4d3a-a5ae-34cf3d88065c"]}],"mendeley":{"formattedCitation":"[2]","plainTextFormattedCitation":"[2]"},"properties":{"noteIndex":0},"schema":"https://github.com/citation-style-language/schema/raw/master/csl-citation.json"}</w:instrText>
      </w:r>
      <w:r w:rsidR="002506CE">
        <w:fldChar w:fldCharType="separate"/>
      </w:r>
      <w:r w:rsidR="002506CE" w:rsidRPr="002506CE">
        <w:rPr>
          <w:noProof/>
        </w:rPr>
        <w:t>[2]</w:t>
      </w:r>
      <w:r w:rsidR="002506CE">
        <w:fldChar w:fldCharType="end"/>
      </w:r>
      <w:r w:rsidR="00F107DA">
        <w:rPr>
          <w:szCs w:val="24"/>
        </w:rPr>
        <w:t>.</w:t>
      </w:r>
      <w:r w:rsidR="00694385" w:rsidRPr="00594E1D">
        <w:rPr>
          <w:szCs w:val="24"/>
        </w:rPr>
        <w:t xml:space="preserve"> </w:t>
      </w:r>
      <w:r>
        <w:t xml:space="preserve">Disruptions </w:t>
      </w:r>
      <w:bookmarkEnd w:id="0"/>
      <w:r>
        <w:t>in this tightly regulated system can lead to osteopenia, osteoporosis, and reduced bone mineral density (BMD), even among the general population</w:t>
      </w:r>
      <w:r w:rsidR="00E92D97" w:rsidRPr="00594E1D">
        <w:rPr>
          <w:szCs w:val="24"/>
        </w:rPr>
        <w:t xml:space="preserve"> </w:t>
      </w:r>
      <w:r w:rsidR="00E92D97" w:rsidRPr="00594E1D">
        <w:rPr>
          <w:szCs w:val="24"/>
        </w:rPr>
        <w:fldChar w:fldCharType="begin" w:fldLock="1"/>
      </w:r>
      <w:r w:rsidR="002506CE">
        <w:rPr>
          <w:szCs w:val="24"/>
        </w:rPr>
        <w:instrText>ADDIN CSL_CITATION {"citationItems":[{"id":"ITEM-1","itemData":{"ISSN":"0163-769X","author":[{"dropping-particle":"","family":"Bouillon","given":"Roger","non-dropping-particle":"","parse-names":false,"suffix":""},{"dropping-particle":"","family":"Marcocci","given":"Claudio","non-dropping-particle":"","parse-names":false,"suffix":""},{"dropping-particle":"","family":"Carmeliet","given":"Geert","non-dropping-particle":"","parse-names":false,"suffix":""},{"dropping-particle":"","family":"Bikle","given":"Daniel","non-dropping-particle":"","parse-names":false,"suffix":""},{"dropping-particle":"","family":"White","given":"John H","non-dropping-particle":"","parse-names":false,"suffix":""},{"dropping-particle":"","family":"Dawson-Hughes","given":"Bess","non-dropping-particle":"","parse-names":false,"suffix":""},{"dropping-particle":"","family":"Lips","given":"Paul","non-dropping-particle":"","parse-names":false,"suffix":""},{"dropping-particle":"","family":"Munns","given":"Craig F","non-dropping-particle":"","parse-names":false,"suffix":""},{"dropping-particle":"","family":"Lazaretti-Castro","given":"Marise","non-dropping-particle":"","parse-names":false,"suffix":""},{"dropping-particle":"","family":"Giustina","given":"Andrea","non-dropping-particle":"","parse-names":false,"suffix":""}],"container-title":"Endocrine reviews","id":"ITEM-1","issue":"4","issued":{"date-parts":[["2019"]]},"page":"1109-1151","publisher":"Endocrine Society Washington, DC","title":"Skeletal and extraskeletal actions of vitamin D: current evidence and outstanding questions","type":"article-journal","volume":"40"},"uris":["http://www.mendeley.com/documents/?uuid=eda0866c-441d-42a6-b752-a5d25352a8ef"]}],"mendeley":{"formattedCitation":"[3]","manualFormatting":"[3]","plainTextFormattedCitation":"[3]","previouslyFormattedCitation":"[3]"},"properties":{"noteIndex":0},"schema":"https://github.com/citation-style-language/schema/raw/master/csl-citation.json"}</w:instrText>
      </w:r>
      <w:r w:rsidR="00E92D97" w:rsidRPr="00594E1D">
        <w:rPr>
          <w:szCs w:val="24"/>
        </w:rPr>
        <w:fldChar w:fldCharType="separate"/>
      </w:r>
      <w:r w:rsidR="00F0717D">
        <w:rPr>
          <w:noProof/>
          <w:szCs w:val="24"/>
        </w:rPr>
        <w:t>[</w:t>
      </w:r>
      <w:r w:rsidR="004111B9" w:rsidRPr="004111B9">
        <w:rPr>
          <w:noProof/>
          <w:szCs w:val="24"/>
        </w:rPr>
        <w:t>3</w:t>
      </w:r>
      <w:r w:rsidR="00F0717D">
        <w:rPr>
          <w:noProof/>
          <w:szCs w:val="24"/>
        </w:rPr>
        <w:t>]</w:t>
      </w:r>
      <w:r w:rsidR="00E92D97" w:rsidRPr="00594E1D">
        <w:rPr>
          <w:szCs w:val="24"/>
        </w:rPr>
        <w:fldChar w:fldCharType="end"/>
      </w:r>
      <w:r w:rsidR="00694385" w:rsidRPr="00594E1D">
        <w:rPr>
          <w:szCs w:val="24"/>
        </w:rPr>
        <w:t xml:space="preserve">. </w:t>
      </w:r>
      <w:r>
        <w:t>These risks are markedly amplified in individuals with Disorders of Sex Development (DSD), where persistent hormonal imbalances, delayed puberty, and nutritional deficiencies converge to create a uniquely high susceptibility to skeletal fragility.</w:t>
      </w:r>
    </w:p>
    <w:p w:rsidR="00694385" w:rsidRPr="00594E1D" w:rsidRDefault="008A527D">
      <w:pPr>
        <w:rPr>
          <w:szCs w:val="24"/>
        </w:rPr>
      </w:pPr>
      <w:r>
        <w:t>Disorders of Sex Development (DSD) represent a diverse group of congenital conditions characterised by atypical chromosomal, gonadal, or anatomical sex development, resulting in a broad spectrum of clinical manifestations and lifelong health concerns</w:t>
      </w:r>
      <w:r w:rsidR="00694385" w:rsidRPr="00594E1D">
        <w:rPr>
          <w:szCs w:val="24"/>
        </w:rPr>
        <w:t xml:space="preserve"> </w:t>
      </w:r>
      <w:r w:rsidR="0083199C" w:rsidRPr="00594E1D">
        <w:rPr>
          <w:szCs w:val="24"/>
        </w:rPr>
        <w:fldChar w:fldCharType="begin" w:fldLock="1"/>
      </w:r>
      <w:r w:rsidR="002506CE">
        <w:rPr>
          <w:szCs w:val="24"/>
        </w:rPr>
        <w:instrText>ADDIN CSL_CITATION {"citationItems":[{"id":"ITEM-1","itemData":{"DOI":"10.4103/ijem.IJEM_159_18","ISSN":"2230-8210 (Print)","PMID":"30766817","abstract":"OBJECTIVE: Disorders of sex development (DSD) constitutes a small but difficult  and equally important area of endocrinology. It is often a social emergency as the decision regarding sex assignment in these cases is extremely disturbing and difficult to both families and healthcare professionals. Our study was devised to assess the clinical and chromosomal profile of patients with suspected DSD and classify them according to the new DSD consensus document. SUBJECTS AND METHODS: This study was a cross-sectional observational study carried out in the department of pediatrics of a tertiary care hospital from August 2012 to August 2014. All patients with suspected DSD in the age group of 0-19 years were included. After detailed history and examination, karyotyping, abdominal sonography, and hormonal analysis were done. Additional studies like gonadal biopsy, laparoscopy, and hormone stimulation tests were done in selected cases. RESULTS: About 41 patients were included in the study. The mean age of presentation was 87 months (1 day to 16 years). Only seven (13.7%) patients presented in neonatal period. In total, 25 patients had ambiguous genitalia; 46, XX DSD were diagnosed in 24 (58.5%) patients, 46, XY DSD in 10 (24.4%) patients, and sex chromosome DSD in 7 (17.1%). Congenital adrenal hyperplasia (CAH) was the commonest disease diagnosed in 21 (51.2%) patients. Turner syndrome, Klinefelter syndrome, androgen insensitivity syndrome, 46, XX ovotesticular disorder, and 46, XY gonadal dysgenesis were diagnosed in 3, 3, 4, 3, and 5 patients, respectively. Eleven patients with CAH presented in shock and six had history of sib deaths. CONCLUSION: 46, XX DSD were the commonest etiological group in our study and CAH was the commonest individual disease. There is a need for educating general public and practitioners regarding DSD to allow early intervention. Moreover, there is a need to introduce routine neonatal screening for CAH in our country.","author":[{"dropping-particle":"","family":"Dar","given":"Sheeraz A","non-dropping-particle":"","parse-names":false,"suffix":""},{"dropping-particle":"","family":"Nazir","given":"Mudasir","non-dropping-particle":"","parse-names":false,"suffix":""},{"dropping-particle":"","family":"Lone","given":"Roumissa","non-dropping-particle":"","parse-names":false,"suffix":""},{"dropping-particle":"","family":"Sameen","given":"Duri","non-dropping-particle":"","parse-names":false,"suffix":""},{"dropping-particle":"","family":"Ahmad","given":"Ikhlas","non-dropping-particle":"","parse-names":false,"suffix":""},{"dropping-particle":"","family":"Wani","given":"Wasim A","non-dropping-particle":"","parse-names":false,"suffix":""},{"dropping-particle":"","family":"Charoo","given":"Bashir A","non-dropping-particle":"","parse-names":false,"suffix":""}],"container-title":"Indian journal of endocrinology and metabolism","id":"ITEM-1","issue":"6","issued":{"date-parts":[["2018"]]},"language":"eng","page":"774-779","publisher-place":"India","title":"Clinical Spectrum of Disorders of Sex Development: A Cross-sectional  Observational Study.","type":"article-journal","volume":"22"},"uris":["http://www.mendeley.com/documents/?uuid=dda366ff-353b-491f-96a1-04eda858fd20"]},{"id":"ITEM-2","itemData":{"DOI":"10.1542/peds.2006-0738","ISSN":"02105721","PMID":"16882788","author":[{"dropping-particle":"","family":"Lee","given":"Peter A.","non-dropping-particle":"","parse-names":false,"suffix":""},{"dropping-particle":"","family":"Houk","given":"Christopher P.","non-dropping-particle":"","parse-names":false,"suffix":""},{"dropping-particle":"","family":"Ahmed","given":"Faisal","non-dropping-particle":"","parse-names":false,"suffix":""},{"dropping-particle":"","family":"Hughes","given":"Ieuan A.","non-dropping-particle":"","parse-names":false,"suffix":""},{"dropping-particle":"","family":"Achermann","given":"John","non-dropping-particle":"","parse-names":false,"suffix":""},{"dropping-particle":"","family":"Baskin","given":"Laurence","non-dropping-particle":"","parse-names":false,"suffix":""},{"dropping-particle":"","family":"Berenbaum","given":"Sheri","non-dropping-particle":"","parse-names":false,"suffix":""},{"dropping-particle":"","family":"Bertelloni","given":"Sylvano","non-dropping-particle":"","parse-names":false,"suffix":""},{"dropping-particle":"","family":"Brock","given":"John","non-dropping-particle":"","parse-names":false,"suffix":""},{"dropping-particle":"","family":"Carmichael","given":"Polly","non-dropping-particle":"","parse-names":false,"suffix":""},{"dropping-particle":"","family":"Chase","given":"Cheryl","non-dropping-particle":"","parse-names":false,"suffix":""},{"dropping-particle":"","family":"Cohen-Kettenis","given":"Peggy","non-dropping-particle":"","parse-names":false,"suffix":""},{"dropping-particle":"","family":"Conte","given":"Felix","non-dropping-particle":"","parse-names":false,"suffix":""},{"dropping-particle":"","family":"Copeland","given":"Kenneth","non-dropping-particle":"","parse-names":false,"suffix":""},{"dropping-particle":"","family":"Donohoue","given":"Patricia","non-dropping-particle":"","parse-names":false,"suffix":""},{"dropping-particle":"","family":"Driver","given":"Chris","non-dropping-particle":"","parse-names":false,"suffix":""},{"dropping-particle":"","family":"Drop","given":"Stenvert","non-dropping-particle":"","parse-names":false,"suffix":""},{"dropping-particle":"","family":"Eugster","given":"Erica","non-dropping-particle":"","parse-names":false,"suffix":""},{"dropping-particle":"","family":"Fujieda","given":"Kenji","non-dropping-particle":"","parse-names":false,"suffix":""},{"dropping-particle":"","family":"Giedd","given":"Jay","non-dropping-particle":"","parse-names":false,"suffix":""},{"dropping-particle":"","family":"Green","given":"Richard","non-dropping-particle":"","parse-names":false,"suffix":""},{"dropping-particle":"","family":"Grumbach","given":"Melvin","non-dropping-particle":"","parse-names":false,"suffix":""},{"dropping-particle":"","family":"Harley","given":"Vincent","non-dropping-particle":"","parse-names":false,"suffix":""},{"dropping-particle":"","family":"Hines","given":"Melissa","non-dropping-particle":"","parse-names":false,"suffix":""},{"dropping-particle":"","family":"Hiort","given":"Olaf","non-dropping-particle":"","parse-names":false,"suffix":""},{"dropping-particle":"","family":"Houk","given":"Christopher","non-dropping-particle":"","parse-names":false,"suffix":""},{"dropping-particle":"","family":"Hughes","given":"Ieuan","non-dropping-particle":"","parse-names":false,"suffix":""},{"dropping-particle":"","family":"Lee","given":"Peter","non-dropping-particle":"","parse-names":false,"suffix":""},{"dropping-particle":"","family":"Looijenga","given":"Leendert","non-dropping-particle":"","parse-names":false,"suffix":""},{"dropping-particle":"","family":"Mendoca","given":"Bernadice","non-dropping-particle":"","parse-names":false,"suffix":""},{"dropping-particle":"","family":"Meyer-Bahlburg","given":"Heino","non-dropping-particle":"","parse-names":false,"suffix":""},{"dropping-particle":"","family":"Migeon","given":"Claude","non-dropping-particle":"","parse-names":false,"suffix":""},{"dropping-particle":"","family":"Morel","given":"Yves","non-dropping-particle":"","parse-names":false,"suffix":""},{"dropping-particle":"","family":"Mouriquand","given":"Pierre","non-dropping-particle":"","parse-names":false,"suffix":""},{"dropping-particle":"","family":"Nordenström","given":"Anna","non-dropping-particle":"","parse-names":false,"suffix":""},{"dropping-particle":"","family":"Ransley","given":"Phillip","non-dropping-particle":"","parse-names":false,"suffix":""},{"dropping-particle":"","family":"Rapaport","given":"Robert","non-dropping-particle":"","parse-names":false,"suffix":""},{"dropping-particle":"","family":"Reiner","given":"William","non-dropping-particle":"","parse-names":false,"suffix":""},{"dropping-particle":"","family":"Richter-Appelt","given":"Hertha","non-dropping-particle":"","parse-names":false,"suffix":""},{"dropping-particle":"","family":"Rink","given":"Richard","non-dropping-particle":"","parse-names":false,"suffix":""},{"dropping-particle":"","family":"Rissman","given":"Emilie","non-dropping-particle":"","parse-names":false,"suffix":""},{"dropping-particle":"","family":"Saenger","given":"Paul","non-dropping-particle":"","parse-names":false,"suffix":""},{"dropping-particle":"","family":"Sandberg","given":"David","non-dropping-particle":"","parse-names":false,"suffix":""},{"dropping-particle":"","family":"Schober","given":"Justine","non-dropping-particle":"","parse-names":false,"suffix":""},{"dropping-particle":"","family":"Spack","given":"Norman","non-dropping-particle":"","parse-names":false,"suffix":""},{"dropping-particle":"","family":"Thomas","given":"Barbara","non-dropping-particle":"","parse-names":false,"suffix":""},{"dropping-particle":"","family":"Thyen","given":"Ute","non-dropping-particle":"","parse-names":false,"suffix":""},{"dropping-particle":"","family":"Vilain","given":"Eric","non-dropping-particle":"","parse-names":false,"suffix":""},{"dropping-particle":"","family":"Warne","given":"Garry","non-dropping-particle":"","parse-names":false,"suffix":""},{"dropping-particle":"","family":"Wilson","given":"Jean","non-dropping-particle":"","parse-names":false,"suffix":""},{"dropping-particle":"","family":"Wisniewski","given":"Amy","non-dropping-particle":"","parse-names":false,"suffix":""},{"dropping-particle":"","family":"Woodhouse","given":"Christopher","non-dropping-particle":"","parse-names":false,"suffix":""},{"dropping-particle":"","family":"Zucker","given":"Kenneth","non-dropping-particle":"","parse-names":false,"suffix":""}],"container-title":"Pediatrics","id":"ITEM-2","issue":"2","issued":{"date-parts":[["2006"]]},"title":"Consensus statement on management of intersex disorders","type":"article-journal","volume":"118"},"uris":["http://www.mendeley.com/documents/?uuid=6947767d-39f8-45ce-9c5a-ec24a0508f7e"]}],"mendeley":{"formattedCitation":"[4], [5]","plainTextFormattedCitation":"[4], [5]","previouslyFormattedCitation":"[4], [5]"},"properties":{"noteIndex":0},"schema":"https://github.com/citation-style-language/schema/raw/master/csl-citation.json"}</w:instrText>
      </w:r>
      <w:r w:rsidR="0083199C" w:rsidRPr="00594E1D">
        <w:rPr>
          <w:szCs w:val="24"/>
        </w:rPr>
        <w:fldChar w:fldCharType="separate"/>
      </w:r>
      <w:r w:rsidR="002506CE" w:rsidRPr="002506CE">
        <w:rPr>
          <w:noProof/>
          <w:szCs w:val="24"/>
        </w:rPr>
        <w:t>[4], [5]</w:t>
      </w:r>
      <w:r w:rsidR="0083199C" w:rsidRPr="00594E1D">
        <w:rPr>
          <w:szCs w:val="24"/>
        </w:rPr>
        <w:fldChar w:fldCharType="end"/>
      </w:r>
      <w:r w:rsidR="0083199C" w:rsidRPr="00594E1D">
        <w:rPr>
          <w:szCs w:val="24"/>
        </w:rPr>
        <w:t>.</w:t>
      </w:r>
      <w:r w:rsidR="00694385" w:rsidRPr="00594E1D">
        <w:rPr>
          <w:szCs w:val="24"/>
        </w:rPr>
        <w:t xml:space="preserve"> </w:t>
      </w:r>
      <w:r>
        <w:t xml:space="preserve">Historically, clinical management has focused on addressing genital ambiguity and reproductive potential. However, increasing attention is now being directed toward the long-term consequences of chronic sex steroid deficiencies, particularly their impact on bone metabolism. Conditions such as Turner syndrome (45, X), Klinefelter syndrome (47, XXY), congenital adrenal hyperplasia (CAH), and 46, XY gonadal dysgenesis present unique risks to skeletal health. These disorders are often associated with hormonal imbalances arising from gonadal dysfunction or impaired steroidogenesis, and frequently coexist with vitamin D deficiency and disrupted calcium regulation </w:t>
      </w:r>
      <w:r w:rsidR="0083199C" w:rsidRPr="00594E1D">
        <w:rPr>
          <w:szCs w:val="24"/>
        </w:rPr>
        <w:fldChar w:fldCharType="begin" w:fldLock="1"/>
      </w:r>
      <w:r w:rsidR="002506CE">
        <w:rPr>
          <w:szCs w:val="24"/>
        </w:rPr>
        <w:instrText>ADDIN CSL_CITATION {"citationItems":[{"id":"ITEM-1","itemData":{"DOI":"10.1530/EJE-17-0430","ISSN":"0804-4643","abstract":"Turner syndrome affects 25–50 per 100,000 females and can involve multiple organs through all stages of life, necessitating multidisciplinary approach to care. Previous guidelines have highlighted this, but numerous important advances have been noted recently. These advances cover all specialty fields involved in the care of girls and women with TS. This paper is based on an international effort that started with exploratory meetings in 2014 in both Europe and the USA, and culminated with a Consensus Meeting held in Cincinnati, Ohio, USA in July 2016. Prior to this meeting, five groups each addressed important areas in TS care: 1) diagnostic and genetic issues, 2) growth and development during childhood and adolescence, 3) congenital and acquired cardiovascular disease, 4) transition and adult care, and 5) other comorbidities and neurocognitive issues. These groups produced proposals for the present guidelines. Additionally, four pertinent questions were submitted for formal GRADE (Grading of Recommendations, Assessment, Development and Evaluation) evaluation with a separate systematic review of the literature. These four questions related to the efficacy and most optimal treatment of short stature, infertility, hypertension, and hormonal replacement therapy. The guidelines project was initiated by the European Society of Endocrinology and the Pediatric Endocrine Society, in collaboration with the European Society for Paediatric Endocrinology, the Endocrine Society, the European Society of Human Reproduction and Embryology, the American Heart Association, the Society for Endocrinology, and the European Society of Cardiology. The guideline has been formally endorsed by the European Society of Endocrinology, the Pediatric Endocrine Society, the European Society for Paediatric Endocrinology, the European Society of Human Reproduction and Embryology and the Endocrine Society. Advocacy groups appointed representatives who participated in pre-meeting discussions and in the consensus meeting.","author":[{"dropping-particle":"","family":"Gravholt","given":"Claus H","non-dropping-particle":"","parse-names":false,"suffix":""},{"dropping-particle":"","family":"Andersen","given":"Niels H","non-dropping-particle":"","parse-names":false,"suffix":""},{"dropping-particle":"","family":"Conway","given":"Gerard S","non-dropping-particle":"","parse-names":false,"suffix":""},{"dropping-particle":"","family":"Dekkers","given":"Olaf M","non-dropping-particle":"","parse-names":false,"suffix":""},{"dropping-particle":"","family":"Geffner","given":"Mitchell E","non-dropping-particle":"","parse-names":false,"suffix":""},{"dropping-particle":"","family":"Klein","given":"Karen O","non-dropping-particle":"","parse-names":false,"suffix":""},{"dropping-particle":"","family":"Lin","given":"Angela E","non-dropping-particle":"","parse-names":false,"suffix":""},{"dropping-particle":"","family":"Mauras","given":"Nelly","non-dropping-particle":"","parse-names":false,"suffix":""},{"dropping-particle":"","family":"Quigley","given":"Charmian A","non-dropping-particle":"","parse-names":false,"suffix":""},{"dropping-particle":"","family":"Rubin","given":"Karen","non-dropping-particle":"","parse-names":false,"suffix":""},{"dropping-particle":"","family":"Sandberg","given":"David E","non-dropping-particle":"","parse-names":false,"suffix":""},{"dropping-particle":"","family":"Sas","given":"Theo C J","non-dropping-particle":"","parse-names":false,"suffix":""},{"dropping-particle":"","family":"Silberbach","given":"Michael","non-dropping-particle":"","parse-names":false,"suffix":""},{"dropping-particle":"","family":"Söderström-Anttila","given":"Viveca","non-dropping-particle":"","parse-names":false,"suffix":""},{"dropping-particle":"","family":"Stochholm","given":"Kirstine","non-dropping-particle":"","parse-names":false,"suffix":""},{"dropping-particle":"","family":"Alfen-van derVelden","given":"Janielle A","non-dropping-particle":"van","parse-names":false,"suffix":""},{"dropping-particle":"","family":"Woelfle","given":"Joachim","non-dropping-particle":"","parse-names":false,"suffix":""},{"dropping-particle":"","family":"Backeljauw","given":"Philippe F","non-dropping-particle":"","parse-names":false,"suffix":""},{"dropping-particle":"","family":"Group","given":"the International Turner Syndrome Consensus","non-dropping-particle":"","parse-names":false,"suffix":""}],"container-title":"European Journal of Endocrinology","id":"ITEM-1","issue":"3","issued":{"date-parts":[["2017","9","1"]]},"page":"G1-G70","title":"Clinical practice guidelines for the care of girls and women with Turner syndrome: proceedings from the 2016 Cincinnati International Turner Syndrome Meeting","type":"article-journal","volume":"177"},"uris":["http://www.mendeley.com/documents/?uuid=1d10105f-1ef7-4308-a141-d25497ec3e8a"]},{"id":"ITEM-2","itemData":{"DOI":"10.1542/peds.2006-0738","ISSN":"02105721","PMID":"16882788","author":[{"dropping-particle":"","family":"Lee","given":"Peter A.","non-dropping-particle":"","parse-names":false,"suffix":""},{"dropping-particle":"","family":"Houk","given":"Christopher P.","non-dropping-particle":"","parse-names":false,"suffix":""},{"dropping-particle":"","family":"Ahmed","given":"Faisal","non-dropping-particle":"","parse-names":false,"suffix":""},{"dropping-particle":"","family":"Hughes","given":"Ieuan A.","non-dropping-particle":"","parse-names":false,"suffix":""},{"dropping-particle":"","family":"Achermann","given":"John","non-dropping-particle":"","parse-names":false,"suffix":""},{"dropping-particle":"","family":"Baskin","given":"Laurence","non-dropping-particle":"","parse-names":false,"suffix":""},{"dropping-particle":"","family":"Berenbaum","given":"Sheri","non-dropping-particle":"","parse-names":false,"suffix":""},{"dropping-particle":"","family":"Bertelloni","given":"Sylvano","non-dropping-particle":"","parse-names":false,"suffix":""},{"dropping-particle":"","family":"Brock","given":"John","non-dropping-particle":"","parse-names":false,"suffix":""},{"dropping-particle":"","family":"Carmichael","given":"Polly","non-dropping-particle":"","parse-names":false,"suffix":""},{"dropping-particle":"","family":"Chase","given":"Cheryl","non-dropping-particle":"","parse-names":false,"suffix":""},{"dropping-particle":"","family":"Cohen-Kettenis","given":"Peggy","non-dropping-particle":"","parse-names":false,"suffix":""},{"dropping-particle":"","family":"Conte","given":"Felix","non-dropping-particle":"","parse-names":false,"suffix":""},{"dropping-particle":"","family":"Copeland","given":"Kenneth","non-dropping-particle":"","parse-names":false,"suffix":""},{"dropping-particle":"","family":"Donohoue","given":"Patricia","non-dropping-particle":"","parse-names":false,"suffix":""},{"dropping-particle":"","family":"Driver","given":"Chris","non-dropping-particle":"","parse-names":false,"suffix":""},{"dropping-particle":"","family":"Drop","given":"Stenvert","non-dropping-particle":"","parse-names":false,"suffix":""},{"dropping-particle":"","family":"Eugster","given":"Erica","non-dropping-particle":"","parse-names":false,"suffix":""},{"dropping-particle":"","family":"Fujieda","given":"Kenji","non-dropping-particle":"","parse-names":false,"suffix":""},{"dropping-particle":"","family":"Giedd","given":"Jay","non-dropping-particle":"","parse-names":false,"suffix":""},{"dropping-particle":"","family":"Green","given":"Richard","non-dropping-particle":"","parse-names":false,"suffix":""},{"dropping-particle":"","family":"Grumbach","given":"Melvin","non-dropping-particle":"","parse-names":false,"suffix":""},{"dropping-particle":"","family":"Harley","given":"Vincent","non-dropping-particle":"","parse-names":false,"suffix":""},{"dropping-particle":"","family":"Hines","given":"Melissa","non-dropping-particle":"","parse-names":false,"suffix":""},{"dropping-particle":"","family":"Hiort","given":"Olaf","non-dropping-particle":"","parse-names":false,"suffix":""},{"dropping-particle":"","family":"Houk","given":"Christopher","non-dropping-particle":"","parse-names":false,"suffix":""},{"dropping-particle":"","family":"Hughes","given":"Ieuan","non-dropping-particle":"","parse-names":false,"suffix":""},{"dropping-particle":"","family":"Lee","given":"Peter","non-dropping-particle":"","parse-names":false,"suffix":""},{"dropping-particle":"","family":"Looijenga","given":"Leendert","non-dropping-particle":"","parse-names":false,"suffix":""},{"dropping-particle":"","family":"Mendoca","given":"Bernadice","non-dropping-particle":"","parse-names":false,"suffix":""},{"dropping-particle":"","family":"Meyer-Bahlburg","given":"Heino","non-dropping-particle":"","parse-names":false,"suffix":""},{"dropping-particle":"","family":"Migeon","given":"Claude","non-dropping-particle":"","parse-names":false,"suffix":""},{"dropping-particle":"","family":"Morel","given":"Yves","non-dropping-particle":"","parse-names":false,"suffix":""},{"dropping-particle":"","family":"Mouriquand","given":"Pierre","non-dropping-particle":"","parse-names":false,"suffix":""},{"dropping-particle":"","family":"Nordenström","given":"Anna","non-dropping-particle":"","parse-names":false,"suffix":""},{"dropping-particle":"","family":"Ransley","given":"Phillip","non-dropping-particle":"","parse-names":false,"suffix":""},{"dropping-particle":"","family":"Rapaport","given":"Robert","non-dropping-particle":"","parse-names":false,"suffix":""},{"dropping-particle":"","family":"Reiner","given":"William","non-dropping-particle":"","parse-names":false,"suffix":""},{"dropping-particle":"","family":"Richter-Appelt","given":"Hertha","non-dropping-particle":"","parse-names":false,"suffix":""},{"dropping-particle":"","family":"Rink","given":"Richard","non-dropping-particle":"","parse-names":false,"suffix":""},{"dropping-particle":"","family":"Rissman","given":"Emilie","non-dropping-particle":"","parse-names":false,"suffix":""},{"dropping-particle":"","family":"Saenger","given":"Paul","non-dropping-particle":"","parse-names":false,"suffix":""},{"dropping-particle":"","family":"Sandberg","given":"David","non-dropping-particle":"","parse-names":false,"suffix":""},{"dropping-particle":"","family":"Schober","given":"Justine","non-dropping-particle":"","parse-names":false,"suffix":""},{"dropping-particle":"","family":"Spack","given":"Norman","non-dropping-particle":"","parse-names":false,"suffix":""},{"dropping-particle":"","family":"Thomas","given":"Barbara","non-dropping-particle":"","parse-names":false,"suffix":""},{"dropping-particle":"","family":"Thyen","given":"Ute","non-dropping-particle":"","parse-names":false,"suffix":""},{"dropping-particle":"","family":"Vilain","given":"Eric","non-dropping-particle":"","parse-names":false,"suffix":""},{"dropping-particle":"","family":"Warne","given":"Garry","non-dropping-particle":"","parse-names":false,"suffix":""},{"dropping-particle":"","family":"Wilson","given":"Jean","non-dropping-particle":"","parse-names":false,"suffix":""},{"dropping-particle":"","family":"Wisniewski","given":"Amy","non-dropping-particle":"","parse-names":false,"suffix":""},{"dropping-particle":"","family":"Woodhouse","given":"Christopher","non-dropping-particle":"","parse-names":false,"suffix":""},{"dropping-particle":"","family":"Zucker","given":"Kenneth","non-dropping-particle":"","parse-names":false,"suffix":""}],"container-title":"Pediatrics","id":"ITEM-2","issue":"2","issued":{"date-parts":[["2006"]]},"title":"Consensus statement on management of intersex disorders","type":"article-journal","volume":"118"},"uris":["http://www.mendeley.com/documents/?uuid=6947767d-39f8-45ce-9c5a-ec24a0508f7e"]}],"mendeley":{"formattedCitation":"[5], [6]","plainTextFormattedCitation":"[5], [6]","previouslyFormattedCitation":"[5], [6]"},"properties":{"noteIndex":0},"schema":"https://github.com/citation-style-language/schema/raw/master/csl-citation.json"}</w:instrText>
      </w:r>
      <w:r w:rsidR="0083199C" w:rsidRPr="00594E1D">
        <w:rPr>
          <w:szCs w:val="24"/>
        </w:rPr>
        <w:fldChar w:fldCharType="separate"/>
      </w:r>
      <w:r w:rsidR="002506CE" w:rsidRPr="002506CE">
        <w:rPr>
          <w:noProof/>
          <w:szCs w:val="24"/>
        </w:rPr>
        <w:t>[5], [6]</w:t>
      </w:r>
      <w:r w:rsidR="0083199C" w:rsidRPr="00594E1D">
        <w:rPr>
          <w:szCs w:val="24"/>
        </w:rPr>
        <w:fldChar w:fldCharType="end"/>
      </w:r>
      <w:r w:rsidR="0083199C" w:rsidRPr="00594E1D">
        <w:rPr>
          <w:szCs w:val="24"/>
        </w:rPr>
        <w:t xml:space="preserve">. </w:t>
      </w:r>
      <w:r>
        <w:t xml:space="preserve">Beyond issues of genital development and psychosocial adjustment, individuals with DSD face a heightened risk of metabolic and skeletal complications, notably reduced bone mineral density and osteoporosis </w:t>
      </w:r>
      <w:r w:rsidR="0083199C" w:rsidRPr="00594E1D">
        <w:rPr>
          <w:szCs w:val="24"/>
        </w:rPr>
        <w:fldChar w:fldCharType="begin" w:fldLock="1"/>
      </w:r>
      <w:r w:rsidR="002506CE">
        <w:rPr>
          <w:szCs w:val="24"/>
        </w:rPr>
        <w:instrText>ADDIN CSL_CITATION {"citationItems":[{"id":"ITEM-1","itemData":{"DOI":"10.3389/fendo.2020.00493","author":[{"dropping-particle":"","family":"Rangaswamaiah","given":"Swetha","non-dropping-particle":"","parse-names":false,"suffix":""},{"dropping-particle":"","family":"Gangathimmaiah","given":"Vinay","non-dropping-particle":"","parse-names":false,"suffix":""},{"dropping-particle":"","family":"Nordenstrom","given":"Anna","non-dropping-particle":"","parse-names":false,"suffix":""}],"id":"ITEM-1","issue":"July","issued":{"date-parts":[["2020"]]},"page":"1-15","title":"Bone Mineral Density in Adults With Congenital Adrenal Hyperplasia : A Systematic Review and","type":"article-journal","volume":"11"},"uris":["http://www.mendeley.com/documents/?uuid=d935ab52-1391-4953-9f55-b234531a120a"]}],"mendeley":{"formattedCitation":"[7]","plainTextFormattedCitation":"[7]","previouslyFormattedCitation":"[7]"},"properties":{"noteIndex":0},"schema":"https://github.com/citation-style-language/schema/raw/master/csl-citation.json"}</w:instrText>
      </w:r>
      <w:r w:rsidR="0083199C" w:rsidRPr="00594E1D">
        <w:rPr>
          <w:szCs w:val="24"/>
        </w:rPr>
        <w:fldChar w:fldCharType="separate"/>
      </w:r>
      <w:r w:rsidR="002506CE" w:rsidRPr="002506CE">
        <w:rPr>
          <w:noProof/>
          <w:szCs w:val="24"/>
        </w:rPr>
        <w:t>[7]</w:t>
      </w:r>
      <w:r w:rsidR="0083199C" w:rsidRPr="00594E1D">
        <w:rPr>
          <w:szCs w:val="24"/>
        </w:rPr>
        <w:fldChar w:fldCharType="end"/>
      </w:r>
      <w:r w:rsidR="0083199C" w:rsidRPr="00594E1D">
        <w:rPr>
          <w:szCs w:val="24"/>
        </w:rPr>
        <w:t>.</w:t>
      </w:r>
    </w:p>
    <w:p w:rsidR="00694385" w:rsidRPr="00594E1D" w:rsidRDefault="008A527D">
      <w:pPr>
        <w:rPr>
          <w:szCs w:val="24"/>
        </w:rPr>
      </w:pPr>
      <w:r>
        <w:lastRenderedPageBreak/>
        <w:t>One of the often-overlooked challenges in DSD management is the high prevalence of reduced bone mineral density (BMD) and osteoporosis. These skeletal complications arise from multiple factors, including chronic sex steroid deficiencies, delayed pubertal development, and long-term use of glucocorticoids, particularly in individuals with congenital adrenal hyperplasia (CAH)</w:t>
      </w:r>
      <w:r w:rsidR="00694385" w:rsidRPr="00594E1D">
        <w:rPr>
          <w:szCs w:val="24"/>
        </w:rPr>
        <w:t xml:space="preserve"> </w:t>
      </w:r>
      <w:r w:rsidR="0083199C" w:rsidRPr="00594E1D">
        <w:rPr>
          <w:szCs w:val="24"/>
        </w:rPr>
        <w:fldChar w:fldCharType="begin" w:fldLock="1"/>
      </w:r>
      <w:r w:rsidR="002506CE">
        <w:rPr>
          <w:szCs w:val="24"/>
        </w:rPr>
        <w:instrText>ADDIN CSL_CITATION {"citationItems":[{"id":"ITEM-1","itemData":{"ISSN":"0300-0664","author":[{"dropping-particle":"","family":"Ahmed","given":"S Faisal","non-dropping-particle":"","parse-names":false,"suffix":""},{"dropping-particle":"","family":"Achermann","given":"John C","non-dropping-particle":"","parse-names":false,"suffix":""},{"dropping-particle":"","family":"Arlt","given":"Wiebke","non-dropping-particle":"","parse-names":false,"suffix":""},{"dropping-particle":"","family":"Balen","given":"Adam","non-dropping-particle":"","parse-names":false,"suffix":""},{"dropping-particle":"","family":"Conway","given":"Gerry","non-dropping-particle":"","parse-names":false,"suffix":""},{"dropping-particle":"","family":"Edwards","given":"Zoe","non-dropping-particle":"","parse-names":false,"suffix":""},{"dropping-particle":"","family":"Elford","given":"Sue","non-dropping-particle":"","parse-names":false,"suffix":""},{"dropping-particle":"","family":"Hughes","given":"Ieuan A","non-dropping-particle":"","parse-names":false,"suffix":""},{"dropping-particle":"","family":"Izatt","given":"Louise","non-dropping-particle":"","parse-names":false,"suffix":""},{"dropping-particle":"","family":"Krone","given":"Nils","non-dropping-particle":"","parse-names":false,"suffix":""}],"container-title":"Clinical endocrinology","id":"ITEM-1","issue":"5","issued":{"date-parts":[["2016"]]},"page":"771-788","publisher":"Wiley Online Library","title":"Society for Endocrinology UK guidance on the initial evaluation of an infant or an adolescent with a suspected disorder of sex development (Revised 2015)","type":"article-journal","volume":"84"},"uris":["http://www.mendeley.com/documents/?uuid=89cfa719-ff36-40ea-9012-a138559309e3"]}],"mendeley":{"formattedCitation":"[8]","plainTextFormattedCitation":"[8]","previouslyFormattedCitation":"[8]"},"properties":{"noteIndex":0},"schema":"https://github.com/citation-style-language/schema/raw/master/csl-citation.json"}</w:instrText>
      </w:r>
      <w:r w:rsidR="0083199C" w:rsidRPr="00594E1D">
        <w:rPr>
          <w:szCs w:val="24"/>
        </w:rPr>
        <w:fldChar w:fldCharType="separate"/>
      </w:r>
      <w:r w:rsidR="002506CE" w:rsidRPr="002506CE">
        <w:rPr>
          <w:noProof/>
          <w:szCs w:val="24"/>
        </w:rPr>
        <w:t>[8]</w:t>
      </w:r>
      <w:r w:rsidR="0083199C" w:rsidRPr="00594E1D">
        <w:rPr>
          <w:szCs w:val="24"/>
        </w:rPr>
        <w:fldChar w:fldCharType="end"/>
      </w:r>
      <w:r w:rsidR="0083199C" w:rsidRPr="00594E1D">
        <w:rPr>
          <w:szCs w:val="24"/>
        </w:rPr>
        <w:t>.</w:t>
      </w:r>
      <w:r w:rsidR="00694385" w:rsidRPr="00594E1D">
        <w:rPr>
          <w:szCs w:val="24"/>
        </w:rPr>
        <w:t xml:space="preserve"> </w:t>
      </w:r>
      <w:r>
        <w:t>Estrogen and testosterone are critical regulators of bone formation and resorption; their deficiency, which is common among hypogonadal individuals with DSD, impairs peak bone mass acquisition and accelerates age-related bone loss</w:t>
      </w:r>
      <w:r w:rsidR="00B26A34" w:rsidRPr="00B26A34">
        <w:rPr>
          <w:szCs w:val="24"/>
        </w:rPr>
        <w:t xml:space="preserve"> </w:t>
      </w:r>
      <w:r w:rsidR="00B26A34" w:rsidRPr="00594E1D">
        <w:rPr>
          <w:szCs w:val="24"/>
        </w:rPr>
        <w:fldChar w:fldCharType="begin" w:fldLock="1"/>
      </w:r>
      <w:r w:rsidR="002506CE">
        <w:rPr>
          <w:szCs w:val="24"/>
        </w:rPr>
        <w:instrText>ADDIN CSL_CITATION {"citationItems":[{"id":"ITEM-1","itemData":{"ISSN":"0300-0664","author":[{"dropping-particle":"","family":"Ahmed","given":"S Faisal","non-dropping-particle":"","parse-names":false,"suffix":""},{"dropping-particle":"","family":"Achermann","given":"John C","non-dropping-particle":"","parse-names":false,"suffix":""},{"dropping-particle":"","family":"Arlt","given":"Wiebke","non-dropping-particle":"","parse-names":false,"suffix":""},{"dropping-particle":"","family":"Balen","given":"Adam","non-dropping-particle":"","parse-names":false,"suffix":""},{"dropping-particle":"","family":"Conway","given":"Gerry","non-dropping-particle":"","parse-names":false,"suffix":""},{"dropping-particle":"","family":"Edwards","given":"Zoe","non-dropping-particle":"","parse-names":false,"suffix":""},{"dropping-particle":"","family":"Elford","given":"Sue","non-dropping-particle":"","parse-names":false,"suffix":""},{"dropping-particle":"","family":"Hughes","given":"Ieuan A","non-dropping-particle":"","parse-names":false,"suffix":""},{"dropping-particle":"","family":"Izatt","given":"Louise","non-dropping-particle":"","parse-names":false,"suffix":""},{"dropping-particle":"","family":"Krone","given":"Nils","non-dropping-particle":"","parse-names":false,"suffix":""}],"container-title":"Clinical endocrinology","id":"ITEM-1","issue":"5","issued":{"date-parts":[["2016"]]},"page":"771-788","publisher":"Wiley Online Library","title":"Society for Endocrinology UK guidance on the initial evaluation of an infant or an adolescent with a suspected disorder of sex development (Revised 2015)","type":"article-journal","volume":"84"},"uris":["http://www.mendeley.com/documents/?uuid=89cfa719-ff36-40ea-9012-a138559309e3"]}],"mendeley":{"formattedCitation":"[8]","manualFormatting":"[9]","plainTextFormattedCitation":"[8]","previouslyFormattedCitation":"[8]"},"properties":{"noteIndex":0},"schema":"https://github.com/citation-style-language/schema/raw/master/csl-citation.json"}</w:instrText>
      </w:r>
      <w:r w:rsidR="00B26A34" w:rsidRPr="00594E1D">
        <w:rPr>
          <w:szCs w:val="24"/>
        </w:rPr>
        <w:fldChar w:fldCharType="separate"/>
      </w:r>
      <w:r w:rsidR="00B26A34" w:rsidRPr="00DC296E">
        <w:rPr>
          <w:noProof/>
          <w:szCs w:val="24"/>
        </w:rPr>
        <w:t>[</w:t>
      </w:r>
      <w:r w:rsidR="00B26A34">
        <w:rPr>
          <w:noProof/>
          <w:szCs w:val="24"/>
        </w:rPr>
        <w:t>9</w:t>
      </w:r>
      <w:r w:rsidR="00B26A34" w:rsidRPr="00DC296E">
        <w:rPr>
          <w:noProof/>
          <w:szCs w:val="24"/>
        </w:rPr>
        <w:t>]</w:t>
      </w:r>
      <w:r w:rsidR="00B26A34" w:rsidRPr="00594E1D">
        <w:rPr>
          <w:szCs w:val="24"/>
        </w:rPr>
        <w:fldChar w:fldCharType="end"/>
      </w:r>
      <w:r w:rsidR="0083199C" w:rsidRPr="00594E1D">
        <w:rPr>
          <w:szCs w:val="24"/>
        </w:rPr>
        <w:t xml:space="preserve">. </w:t>
      </w:r>
      <w:r w:rsidR="00A454F1">
        <w:t>In addition to hormonal influences, increasing evidence suggests that disturbances in vitamin D and calcium metabolism further exacerbate bone fragility in this population, acting both independently and synergistically with endocrine dysfunction</w:t>
      </w:r>
      <w:r w:rsidR="00B26A34" w:rsidRPr="00B26A34">
        <w:rPr>
          <w:szCs w:val="24"/>
        </w:rPr>
        <w:t xml:space="preserve"> </w:t>
      </w:r>
      <w:r w:rsidR="00B26A34" w:rsidRPr="00594E1D">
        <w:rPr>
          <w:szCs w:val="24"/>
        </w:rPr>
        <w:fldChar w:fldCharType="begin" w:fldLock="1"/>
      </w:r>
      <w:r w:rsidR="002506CE">
        <w:rPr>
          <w:szCs w:val="24"/>
        </w:rPr>
        <w:instrText>ADDIN CSL_CITATION {"citationItems":[{"id":"ITEM-1","itemData":{"ISSN":"0300-0664","author":[{"dropping-particle":"","family":"Ahmed","given":"S Faisal","non-dropping-particle":"","parse-names":false,"suffix":""},{"dropping-particle":"","family":"Achermann","given":"John C","non-dropping-particle":"","parse-names":false,"suffix":""},{"dropping-particle":"","family":"Arlt","given":"Wiebke","non-dropping-particle":"","parse-names":false,"suffix":""},{"dropping-particle":"","family":"Balen","given":"Adam","non-dropping-particle":"","parse-names":false,"suffix":""},{"dropping-particle":"","family":"Conway","given":"Gerry","non-dropping-particle":"","parse-names":false,"suffix":""},{"dropping-particle":"","family":"Edwards","given":"Zoe","non-dropping-particle":"","parse-names":false,"suffix":""},{"dropping-particle":"","family":"Elford","given":"Sue","non-dropping-particle":"","parse-names":false,"suffix":""},{"dropping-particle":"","family":"Hughes","given":"Ieuan A","non-dropping-particle":"","parse-names":false,"suffix":""},{"dropping-particle":"","family":"Izatt","given":"Louise","non-dropping-particle":"","parse-names":false,"suffix":""},{"dropping-particle":"","family":"Krone","given":"Nils","non-dropping-particle":"","parse-names":false,"suffix":""}],"container-title":"Clinical endocrinology","id":"ITEM-1","issue":"5","issued":{"date-parts":[["2016"]]},"page":"771-788","publisher":"Wiley Online Library","title":"Society for Endocrinology UK guidance on the initial evaluation of an infant or an adolescent with a suspected disorder of sex development (Revised 2015)","type":"article-journal","volume":"84"},"uris":["http://www.mendeley.com/documents/?uuid=89cfa719-ff36-40ea-9012-a138559309e3"]}],"mendeley":{"formattedCitation":"[8]","manualFormatting":"[10]","plainTextFormattedCitation":"[8]","previouslyFormattedCitation":"[8]"},"properties":{"noteIndex":0},"schema":"https://github.com/citation-style-language/schema/raw/master/csl-citation.json"}</w:instrText>
      </w:r>
      <w:r w:rsidR="00B26A34" w:rsidRPr="00594E1D">
        <w:rPr>
          <w:szCs w:val="24"/>
        </w:rPr>
        <w:fldChar w:fldCharType="separate"/>
      </w:r>
      <w:r w:rsidR="00B26A34" w:rsidRPr="00DC296E">
        <w:rPr>
          <w:noProof/>
          <w:szCs w:val="24"/>
        </w:rPr>
        <w:t>[</w:t>
      </w:r>
      <w:r w:rsidR="00B26A34">
        <w:rPr>
          <w:noProof/>
          <w:szCs w:val="24"/>
        </w:rPr>
        <w:t>10</w:t>
      </w:r>
      <w:r w:rsidR="00B26A34" w:rsidRPr="00DC296E">
        <w:rPr>
          <w:noProof/>
          <w:szCs w:val="24"/>
        </w:rPr>
        <w:t>]</w:t>
      </w:r>
      <w:r w:rsidR="00B26A34" w:rsidRPr="00594E1D">
        <w:rPr>
          <w:szCs w:val="24"/>
        </w:rPr>
        <w:fldChar w:fldCharType="end"/>
      </w:r>
      <w:r w:rsidR="0083199C" w:rsidRPr="00594E1D">
        <w:rPr>
          <w:szCs w:val="24"/>
        </w:rPr>
        <w:t>.</w:t>
      </w:r>
    </w:p>
    <w:p w:rsidR="006103B7" w:rsidRDefault="006103B7" w:rsidP="00594E1D">
      <w:r>
        <w:t xml:space="preserve">Vitamin D plays a pivotal role in calcium absorption and bone mineralisation, yet deficiency is commonly observed in individuals with DSD. Contributing factors may include inadequate sun exposure, malabsorption, or genetic predisposition </w:t>
      </w:r>
      <w:r w:rsidR="0083199C" w:rsidRPr="00594E1D">
        <w:rPr>
          <w:szCs w:val="24"/>
        </w:rPr>
        <w:fldChar w:fldCharType="begin" w:fldLock="1"/>
      </w:r>
      <w:r w:rsidR="002506CE">
        <w:rPr>
          <w:szCs w:val="24"/>
        </w:rPr>
        <w:instrText>ADDIN CSL_CITATION {"citationItems":[{"id":"ITEM-1","itemData":{"DOI":"10.1530/EJE-17-0430","ISSN":"0804-4643","abstract":"Turner syndrome affects 25–50 per 100,000 females and can involve multiple organs through all stages of life, necessitating multidisciplinary approach to care. Previous guidelines have highlighted this, but numerous important advances have been noted recently. These advances cover all specialty fields involved in the care of girls and women with TS. This paper is based on an international effort that started with exploratory meetings in 2014 in both Europe and the USA, and culminated with a Consensus Meeting held in Cincinnati, Ohio, USA in July 2016. Prior to this meeting, five groups each addressed important areas in TS care: 1) diagnostic and genetic issues, 2) growth and development during childhood and adolescence, 3) congenital and acquired cardiovascular disease, 4) transition and adult care, and 5) other comorbidities and neurocognitive issues. These groups produced proposals for the present guidelines. Additionally, four pertinent questions were submitted for formal GRADE (Grading of Recommendations, Assessment, Development and Evaluation) evaluation with a separate systematic review of the literature. These four questions related to the efficacy and most optimal treatment of short stature, infertility, hypertension, and hormonal replacement therapy. The guidelines project was initiated by the European Society of Endocrinology and the Pediatric Endocrine Society, in collaboration with the European Society for Paediatric Endocrinology, the Endocrine Society, the European Society of Human Reproduction and Embryology, the American Heart Association, the Society for Endocrinology, and the European Society of Cardiology. The guideline has been formally endorsed by the European Society of Endocrinology, the Pediatric Endocrine Society, the European Society for Paediatric Endocrinology, the European Society of Human Reproduction and Embryology and the Endocrine Society. Advocacy groups appointed representatives who participated in pre-meeting discussions and in the consensus meeting.","author":[{"dropping-particle":"","family":"Gravholt","given":"Claus H","non-dropping-particle":"","parse-names":false,"suffix":""},{"dropping-particle":"","family":"Andersen","given":"Niels H","non-dropping-particle":"","parse-names":false,"suffix":""},{"dropping-particle":"","family":"Conway","given":"Gerard S","non-dropping-particle":"","parse-names":false,"suffix":""},{"dropping-particle":"","family":"Dekkers","given":"Olaf M","non-dropping-particle":"","parse-names":false,"suffix":""},{"dropping-particle":"","family":"Geffner","given":"Mitchell E","non-dropping-particle":"","parse-names":false,"suffix":""},{"dropping-particle":"","family":"Klein","given":"Karen O","non-dropping-particle":"","parse-names":false,"suffix":""},{"dropping-particle":"","family":"Lin","given":"Angela E","non-dropping-particle":"","parse-names":false,"suffix":""},{"dropping-particle":"","family":"Mauras","given":"Nelly","non-dropping-particle":"","parse-names":false,"suffix":""},{"dropping-particle":"","family":"Quigley","given":"Charmian A","non-dropping-particle":"","parse-names":false,"suffix":""},{"dropping-particle":"","family":"Rubin","given":"Karen","non-dropping-particle":"","parse-names":false,"suffix":""},{"dropping-particle":"","family":"Sandberg","given":"David E","non-dropping-particle":"","parse-names":false,"suffix":""},{"dropping-particle":"","family":"Sas","given":"Theo C J","non-dropping-particle":"","parse-names":false,"suffix":""},{"dropping-particle":"","family":"Silberbach","given":"Michael","non-dropping-particle":"","parse-names":false,"suffix":""},{"dropping-particle":"","family":"Söderström-Anttila","given":"Viveca","non-dropping-particle":"","parse-names":false,"suffix":""},{"dropping-particle":"","family":"Stochholm","given":"Kirstine","non-dropping-particle":"","parse-names":false,"suffix":""},{"dropping-particle":"","family":"Alfen-van derVelden","given":"Janielle A","non-dropping-particle":"van","parse-names":false,"suffix":""},{"dropping-particle":"","family":"Woelfle","given":"Joachim","non-dropping-particle":"","parse-names":false,"suffix":""},{"dropping-particle":"","family":"Backeljauw","given":"Philippe F","non-dropping-particle":"","parse-names":false,"suffix":""},{"dropping-particle":"","family":"Group","given":"the International Turner Syndrome Consensus","non-dropping-particle":"","parse-names":false,"suffix":""}],"container-title":"European Journal of Endocrinology","id":"ITEM-1","issue":"3","issued":{"date-parts":[["2017","9","1"]]},"page":"G1-G70","title":"Clinical practice guidelines for the care of girls and women with Turner syndrome: proceedings from the 2016 Cincinnati International Turner Syndrome Meeting","type":"article-journal","volume":"177"},"uris":["http://www.mendeley.com/documents/?uuid=1d10105f-1ef7-4308-a141-d25497ec3e8a"]}],"mendeley":{"formattedCitation":"[6]","plainTextFormattedCitation":"[6]","previouslyFormattedCitation":"[6]"},"properties":{"noteIndex":0},"schema":"https://github.com/citation-style-language/schema/raw/master/csl-citation.json"}</w:instrText>
      </w:r>
      <w:r w:rsidR="0083199C" w:rsidRPr="00594E1D">
        <w:rPr>
          <w:szCs w:val="24"/>
        </w:rPr>
        <w:fldChar w:fldCharType="separate"/>
      </w:r>
      <w:r w:rsidR="002506CE" w:rsidRPr="002506CE">
        <w:rPr>
          <w:noProof/>
          <w:szCs w:val="24"/>
        </w:rPr>
        <w:t>[6]</w:t>
      </w:r>
      <w:r w:rsidR="0083199C" w:rsidRPr="00594E1D">
        <w:rPr>
          <w:szCs w:val="24"/>
        </w:rPr>
        <w:fldChar w:fldCharType="end"/>
      </w:r>
      <w:r w:rsidR="0083199C" w:rsidRPr="00594E1D">
        <w:rPr>
          <w:szCs w:val="24"/>
        </w:rPr>
        <w:t>.</w:t>
      </w:r>
      <w:r w:rsidR="00694385" w:rsidRPr="00594E1D">
        <w:rPr>
          <w:szCs w:val="24"/>
        </w:rPr>
        <w:t xml:space="preserve"> </w:t>
      </w:r>
      <w:r>
        <w:t>In Turner syndrome, for instance, vitamin D insufficiency compounds an already elevated risk of skeletal complications</w:t>
      </w:r>
      <w:r w:rsidR="0083199C" w:rsidRPr="00594E1D">
        <w:rPr>
          <w:szCs w:val="24"/>
        </w:rPr>
        <w:t xml:space="preserve"> </w:t>
      </w:r>
      <w:r w:rsidR="0083199C" w:rsidRPr="00594E1D">
        <w:rPr>
          <w:szCs w:val="24"/>
        </w:rPr>
        <w:fldChar w:fldCharType="begin" w:fldLock="1"/>
      </w:r>
      <w:r w:rsidR="002506CE">
        <w:rPr>
          <w:szCs w:val="24"/>
        </w:rPr>
        <w:instrText>ADDIN CSL_CITATION {"citationItems":[{"id":"ITEM-1","itemData":{"DOI":"10.1210/jc.2004-1262","ISSN":"0021-972X (Print)","PMID":"15623818","abstract":"Turner syndrome (TS) is caused by a sex chromosome aberration. The aim was to  study the prevalence and incidence of thyroid disease in adults with TS. Women with TS (n = 91; mean age, 37.7 +/- 11 yr) were compared with an age-matched female random population sample (n = 228). At baseline, 15 (16%) TS women were treated for hypothyroidism, and elevated serum TSH was found in another eight (9%). As a result, hypothyroidism was more common in women with TS (25%) than in controls (2%; P &lt; 0.0001). Serum free T4 was lower (P = 0.02), and serum TSH was higher (P &lt; 0.0001) in TS women than in age-matched controls. Of all TS women with hypothyroidism, 10 (43%) had an elevated thyroid peroxidase antibody titer vs. 15 (22%) of those without hypothyroidism (P &lt; 0.05), evenly distributed between the karyotype 45,X and mosaicism. A high body mass index, but not a family history or blood lipids, was associated with hypothyroidism in TS. After the 5-yr follow-up, an additional 11 (16%) developed hypothyroidism, of whom four (36%) had elevated thyroid peroxidase. Altogether, 34 (37%) TS women had hypothyroidism after the 5-yr follow-up. Autoimmune hypothyroidism was common, with an annual incidence of 3.2% in TS. Thyroid function should be checked regularly in TS.","author":[{"dropping-particle":"","family":"El-Mansoury","given":"Mostafa","non-dropping-particle":"","parse-names":false,"suffix":""},{"dropping-particle":"","family":"Bryman","given":"Inger","non-dropping-particle":"","parse-names":false,"suffix":""},{"dropping-particle":"","family":"Berntorp","given":"Kerstin","non-dropping-particle":"","parse-names":false,"suffix":""},{"dropping-particle":"","family":"Hanson","given":"Charles","non-dropping-particle":"","parse-names":false,"suffix":""},{"dropping-particle":"","family":"Wilhelmsen","given":"Lars","non-dropping-particle":"","parse-names":false,"suffix":""},{"dropping-particle":"","family":"Landin-Wilhelmsen","given":"Kerstin","non-dropping-particle":"","parse-names":false,"suffix":""}],"container-title":"The Journal of clinical endocrinology and metabolism","id":"ITEM-1","issue":"4","issued":{"date-parts":[["2005","4"]]},"language":"eng","page":"2131-2135","publisher-place":"United States","title":"Hypothyroidism is common in turner syndrome: results of a five-year follow-up.","type":"article-journal","volume":"90"},"uris":["http://www.mendeley.com/documents/?uuid=79119d0b-3004-4654-9187-6afe3906858d"]}],"mendeley":{"formattedCitation":"[9]","plainTextFormattedCitation":"[9]","previouslyFormattedCitation":"[9]"},"properties":{"noteIndex":0},"schema":"https://github.com/citation-style-language/schema/raw/master/csl-citation.json"}</w:instrText>
      </w:r>
      <w:r w:rsidR="0083199C" w:rsidRPr="00594E1D">
        <w:rPr>
          <w:szCs w:val="24"/>
        </w:rPr>
        <w:fldChar w:fldCharType="separate"/>
      </w:r>
      <w:r w:rsidR="002506CE" w:rsidRPr="002506CE">
        <w:rPr>
          <w:noProof/>
          <w:szCs w:val="24"/>
        </w:rPr>
        <w:t>[9]</w:t>
      </w:r>
      <w:r w:rsidR="0083199C" w:rsidRPr="00594E1D">
        <w:rPr>
          <w:szCs w:val="24"/>
        </w:rPr>
        <w:fldChar w:fldCharType="end"/>
      </w:r>
      <w:r w:rsidR="0083199C" w:rsidRPr="00594E1D">
        <w:rPr>
          <w:szCs w:val="24"/>
        </w:rPr>
        <w:t xml:space="preserve">. </w:t>
      </w:r>
      <w:r>
        <w:t xml:space="preserve">Similarly, in CAH, chronic glucocorticoid therapy disrupts calcium metabolism by enhancing renal calcium loss and suppressing osteoblast activity </w:t>
      </w:r>
      <w:r w:rsidR="0083199C" w:rsidRPr="00594E1D">
        <w:rPr>
          <w:szCs w:val="24"/>
        </w:rPr>
        <w:fldChar w:fldCharType="begin" w:fldLock="1"/>
      </w:r>
      <w:r w:rsidR="002506CE">
        <w:rPr>
          <w:szCs w:val="24"/>
        </w:rPr>
        <w:instrText>ADDIN CSL_CITATION {"citationItems":[{"id":"ITEM-1","itemData":{"ISSN":"0140-6736","author":[{"dropping-particle":"","family":"Charmandari","given":"Evangelia","non-dropping-particle":"","parse-names":false,"suffix":""},{"dropping-particle":"","family":"Nicolaides","given":"Nicolas C","non-dropping-particle":"","parse-names":false,"suffix":""},{"dropping-particle":"","family":"Chrousos","given":"George P","non-dropping-particle":"","parse-names":false,"suffix":""}],"container-title":"The Lancet","id":"ITEM-1","issue":"9935","issued":{"date-parts":[["2014"]]},"page":"2152-2167","publisher":"Elsevier","title":"Adrenal insufficiency","type":"article-journal","volume":"383"},"uris":["http://www.mendeley.com/documents/?uuid=f3a8f00c-5abd-4bee-9755-57a68d930c0e"]}],"mendeley":{"formattedCitation":"[10]","plainTextFormattedCitation":"[10]","previouslyFormattedCitation":"[10]"},"properties":{"noteIndex":0},"schema":"https://github.com/citation-style-language/schema/raw/master/csl-citation.json"}</w:instrText>
      </w:r>
      <w:r w:rsidR="0083199C" w:rsidRPr="00594E1D">
        <w:rPr>
          <w:szCs w:val="24"/>
        </w:rPr>
        <w:fldChar w:fldCharType="separate"/>
      </w:r>
      <w:r w:rsidR="002506CE" w:rsidRPr="002506CE">
        <w:rPr>
          <w:noProof/>
          <w:szCs w:val="24"/>
        </w:rPr>
        <w:t>[10]</w:t>
      </w:r>
      <w:r w:rsidR="0083199C" w:rsidRPr="00594E1D">
        <w:rPr>
          <w:szCs w:val="24"/>
        </w:rPr>
        <w:fldChar w:fldCharType="end"/>
      </w:r>
      <w:r w:rsidR="0083199C" w:rsidRPr="00594E1D">
        <w:rPr>
          <w:szCs w:val="24"/>
        </w:rPr>
        <w:t xml:space="preserve">. </w:t>
      </w:r>
      <w:r>
        <w:t>These alterations frequently lead to secondary hyperparathyroidism, which accelerates bone resorption and contributes to diminished BMD</w:t>
      </w:r>
      <w:r w:rsidR="0083199C" w:rsidRPr="00594E1D">
        <w:rPr>
          <w:szCs w:val="24"/>
        </w:rPr>
        <w:t xml:space="preserve"> </w:t>
      </w:r>
      <w:r w:rsidR="0083199C" w:rsidRPr="00594E1D">
        <w:rPr>
          <w:szCs w:val="24"/>
        </w:rPr>
        <w:fldChar w:fldCharType="begin" w:fldLock="1"/>
      </w:r>
      <w:r w:rsidR="002506CE">
        <w:rPr>
          <w:szCs w:val="24"/>
        </w:rPr>
        <w:instrText>ADDIN CSL_CITATION {"citationItems":[{"id":"ITEM-1","itemData":{"DOI":"10.3390/jcm11092382","ISSN":"2077-0383 (Print)","PMID":"35566509","abstract":"Fragility fracture is a worldwide problem and a main cause of disability and  impaired quality of life. It is primarily caused by osteoporosis, characterized by impaired bone quantity and or quality. Proper diagnosis of osteoporosis is essential for prevention of fragility fractures. Osteoporosis can be primary in postmenopausal women because of estrogen deficiency. Secondary forms of osteoporosis are not uncommon in both men and women. Most systemic illnesses and organ dysfunction can lead to osteoporosis. The kidney plays a crucial role in maintaining physiological bone homeostasis by controlling minerals, electrolytes, acid-base, vitamin D and parathyroid function. Chronic kidney disease with its uremic milieu disturbs this balance, leading to renal osteodystrophy. Diabetes mellitus represents the most common secondary cause of osteoporosis. Thyroid and parathyroid disorders can dysregulate the osteoblast/osteoclast functions. Gastrointestinal disorders, malnutrition and malabsorption can result in mineral and vitamin D deficiencies and bone loss. Patients with chronic liver disease have a higher risk of fracture due to hepatic osteodystrophy. Proinflammatory cytokines in infectious, autoimmune, and hematological disorders can stimulate osteoclastogenesis, leading to osteoporosis. Moreover, drug-induced osteoporosis is not uncommon. In this review, we focus on causes, pathogenesis, and management of secondary osteoporosis.","author":[{"dropping-particle":"","family":"Sobh","given":"Mahmoud M","non-dropping-particle":"","parse-names":false,"suffix":""},{"dropping-particle":"","family":"Abdalbary","given":"Mohamed","non-dropping-particle":"","parse-names":false,"suffix":""},{"dropping-particle":"","family":"Elnagar","given":"Sherouk","non-dropping-particle":"","parse-names":false,"suffix":""},{"dropping-particle":"","family":"Nagy","given":"Eman","non-dropping-particle":"","parse-names":false,"suffix":""},{"dropping-particle":"","family":"Elshabrawy","given":"Nehal","non-dropping-particle":"","parse-names":false,"suffix":""},{"dropping-particle":"","family":"Abdelsalam","given":"Mostafa","non-dropping-particle":"","parse-names":false,"suffix":""},{"dropping-particle":"","family":"Asadipooya","given":"Kamyar","non-dropping-particle":"","parse-names":false,"suffix":""},{"dropping-particle":"","family":"El-Husseini","given":"Amr","non-dropping-particle":"","parse-names":false,"suffix":""}],"container-title":"Journal of clinical medicine","id":"ITEM-1","issue":"9","issued":{"date-parts":[["2022","4"]]},"language":"eng","publisher-place":"Switzerland","title":"Secondary Osteoporosis and Metabolic Bone Diseases.","type":"article-journal","volume":"11"},"uris":["http://www.mendeley.com/documents/?uuid=0cf0fffc-5fa0-408a-a6bc-190291ef35e1"]}],"mendeley":{"formattedCitation":"[11]","plainTextFormattedCitation":"[11]","previouslyFormattedCitation":"[11]"},"properties":{"noteIndex":0},"schema":"https://github.com/citation-style-language/schema/raw/master/csl-citation.json"}</w:instrText>
      </w:r>
      <w:r w:rsidR="0083199C" w:rsidRPr="00594E1D">
        <w:rPr>
          <w:szCs w:val="24"/>
        </w:rPr>
        <w:fldChar w:fldCharType="separate"/>
      </w:r>
      <w:r w:rsidR="002506CE" w:rsidRPr="002506CE">
        <w:rPr>
          <w:noProof/>
          <w:szCs w:val="24"/>
        </w:rPr>
        <w:t>[11]</w:t>
      </w:r>
      <w:r w:rsidR="0083199C" w:rsidRPr="00594E1D">
        <w:rPr>
          <w:szCs w:val="24"/>
        </w:rPr>
        <w:fldChar w:fldCharType="end"/>
      </w:r>
      <w:r w:rsidR="0083199C" w:rsidRPr="00594E1D">
        <w:rPr>
          <w:szCs w:val="24"/>
        </w:rPr>
        <w:t xml:space="preserve">. </w:t>
      </w:r>
      <w:r>
        <w:t xml:space="preserve">Despite these established risks, routine assessment and management of vitamin D and calcium levels in DSD populations remain inconsistent and are not guided by standardised protocols </w:t>
      </w:r>
      <w:r w:rsidR="0083199C" w:rsidRPr="00594E1D">
        <w:rPr>
          <w:szCs w:val="24"/>
        </w:rPr>
        <w:fldChar w:fldCharType="begin" w:fldLock="1"/>
      </w:r>
      <w:r w:rsidR="002506CE">
        <w:rPr>
          <w:szCs w:val="24"/>
        </w:rPr>
        <w:instrText>ADDIN CSL_CITATION {"citationItems":[{"id":"ITEM-1","itemData":{"DOI":"10.3389/fnut.2022.984423","ISSN":"2296-861X (Print)","PMID":"36238458","abstract":"BACKGROUND: This study aimed to assess the methodological and reporting quality  of the guidelines and consensus on calcium and vitamin D supplementation in healthy children, and the consistency of these recommendations. METHODS: A systematic search of relevant guideline websites and databases, including PubMed, Embase, CNKI, WangFang, and SinoMed, was undertaken from inception to April 7, 2021, by two independent reviewers who assessed the eligible guidelines using the validated Appraisal of Guidelines for Research and Evaluation Instrument II (AGREE II) and the Reporting Items for Practice Guidelines in Healthcare (RIGHT) tools. Overall, the between-reviewer agreement was evaluated using an intra-class correlation coefficient. RESULTS: A total of 24 guidelines and consensuses from 2002 to 2022 were identified from China, the United States, Canada, France, Australia, New Zealand, Europe, and other countries and regions. These were of mixed quality, and scored poorly in the rigor of development, editorial independence, and applicability of the domains of AGREE II. Among the seven domains of the RIGHT checklist, domain one (basic information) had the highest reporting rate (69.3%), whereas domain five (review and quality assurance) had the lowest reporting rate (11.5%). The overall quality of the included guidelines and consensuses was low. Only 12 guidelines were recommended, with modifications. The recommended calcium intake for children of different ages varies greatly (400-1,150 mg/day). Among the included guidelines and consensuses, a vitamin D (VD) prevention dose of 400 IU/day in infants was generally considered safe, and 25-hydroxyvitamin-D [25(OH)D] levels of &lt;20 ng/mL (50 nmol/L) or 20-30 ng/mL (50-75 nmol/L) indicated VD deficiency or insufficiency. However, the recommended amount of VD for children of different age groups and risk strata differed considerably (400-4,000 IU/day or 10-100 μg/day). The choice of VD2 or VD3 supplements and sunlight exposure also differed across the guidelines and consensuses. CONCLUSION: There is considerable variability in calcium and VD guidelines and consensus development methods in calcium and VD supplementation for healthy children. Therefore, efforts are necessary to strengthen the methodological rigor of guideline development and utilize the best available evidence to underpin recommendations.","author":[{"dropping-particle":"","family":"He","given":"Lanzhi","non-dropping-particle":"","parse-names":false,"suffix":""},{"dropping-particle":"","family":"Zhou","given":"Pengxiang","non-dropping-particle":"","parse-names":false,"suffix":""},{"dropping-particle":"","family":"Zhou","given":"Xin","non-dropping-particle":"","parse-names":false,"suffix":""},{"dropping-particle":"","family":"Tian","given":"Shuxia","non-dropping-particle":"","parse-names":false,"suffix":""},{"dropping-particle":"","family":"Han","given":"Jing","non-dropping-particle":"","parse-names":false,"suffix":""},{"dropping-particle":"","family":"Zhai","given":"Suodi","non-dropping-particle":"","parse-names":false,"suffix":""}],"container-title":"Frontiers in nutrition","id":"ITEM-1","issued":{"date-parts":[["2022"]]},"language":"eng","page":"984423","publisher-place":"Switzerland","title":"Evaluation of the clinical practice guidelines and consensuses on calcium and  vitamin D supplementation in healthy children using the Appraisal of Guidelines for Research and Evaluation II instrument and Reporting Items for Practice Guidelines in Healthc","type":"article-journal","volume":"9"},"uris":["http://www.mendeley.com/documents/?uuid=2251b6b0-d0d1-4749-8fc1-4d28c726e967"]}],"mendeley":{"formattedCitation":"[12]","plainTextFormattedCitation":"[12]","previouslyFormattedCitation":"[12]"},"properties":{"noteIndex":0},"schema":"https://github.com/citation-style-language/schema/raw/master/csl-citation.json"}</w:instrText>
      </w:r>
      <w:r w:rsidR="0083199C" w:rsidRPr="00594E1D">
        <w:rPr>
          <w:szCs w:val="24"/>
        </w:rPr>
        <w:fldChar w:fldCharType="separate"/>
      </w:r>
      <w:r w:rsidR="002506CE" w:rsidRPr="002506CE">
        <w:rPr>
          <w:noProof/>
          <w:szCs w:val="24"/>
        </w:rPr>
        <w:t>[12]</w:t>
      </w:r>
      <w:r w:rsidR="0083199C" w:rsidRPr="00594E1D">
        <w:rPr>
          <w:szCs w:val="24"/>
        </w:rPr>
        <w:fldChar w:fldCharType="end"/>
      </w:r>
      <w:r w:rsidR="0083199C" w:rsidRPr="00594E1D">
        <w:rPr>
          <w:szCs w:val="24"/>
        </w:rPr>
        <w:t>.</w:t>
      </w:r>
      <w:r w:rsidR="003012F2" w:rsidRPr="00594E1D">
        <w:rPr>
          <w:szCs w:val="24"/>
        </w:rPr>
        <w:t xml:space="preserve"> </w:t>
      </w:r>
      <w:r>
        <w:t>This review provides a comprehensive synthesis of current knowledge regarding vitamin D and calcium homeostasis in DSD. It examines the physiological roles of these nutrients, the specific skeletal risks associated with DSD, current therapeutic approaches, and the gaps in clinical practice. The aim is to inform the development of tailored, evidence-based strategies to preserve bone health in this vulnerable population.</w:t>
      </w:r>
    </w:p>
    <w:p w:rsidR="00594E1D" w:rsidRPr="00594E1D" w:rsidRDefault="005828EB" w:rsidP="00594E1D">
      <w:pPr>
        <w:rPr>
          <w:szCs w:val="24"/>
        </w:rPr>
      </w:pPr>
      <w:r>
        <w:rPr>
          <w:rFonts w:eastAsia="Times New Roman"/>
          <w:b/>
          <w:bCs/>
          <w:kern w:val="0"/>
          <w:szCs w:val="24"/>
          <w14:ligatures w14:val="none"/>
        </w:rPr>
        <w:lastRenderedPageBreak/>
        <w:t xml:space="preserve">2.0 </w:t>
      </w:r>
      <w:r w:rsidR="00594E1D" w:rsidRPr="00594E1D">
        <w:rPr>
          <w:rFonts w:eastAsia="Times New Roman"/>
          <w:b/>
          <w:bCs/>
          <w:kern w:val="0"/>
          <w:szCs w:val="24"/>
          <w14:ligatures w14:val="none"/>
        </w:rPr>
        <w:t>Overview of Disorders of Sex Development (DSD)</w:t>
      </w:r>
    </w:p>
    <w:p w:rsidR="00594E1D" w:rsidRPr="00594E1D" w:rsidRDefault="00225CB8" w:rsidP="00594E1D">
      <w:pPr>
        <w:rPr>
          <w:szCs w:val="24"/>
        </w:rPr>
      </w:pPr>
      <w:r>
        <w:t xml:space="preserve">Disorders of Sex Development (DSD) comprise a diverse group of congenital conditions characterised by atypical development of chromosomal, gonadal, or anatomical sex. These anomalies arise from disruptions in the highly regulated processes of sex determination and differentiation, which depend on coordinated genetic, hormonal, and molecular pathways </w:t>
      </w:r>
      <w:r w:rsidR="00594E1D" w:rsidRPr="00594E1D">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{"citationItems":[{"id":"ITEM-1","itemData":{"DOI":"10.1016/j.beem.2007.11.001","ISSN":"1521690X","PMID":"18279784","abstract":"A newborn infant with ambiguous genitalia is a complex enough problem to unravel without any further clouding by confusing terms. The nomenclature 'intersex', 'hermaphrodite' and 'pseudohermaphrodite' is anachronistic, unhelpful, and perceived to be pejorative by some affected families. In its place, a consensus statement recommends the term 'disorder of sex development' (DSD), a generic definition encompassing any problem noted at birth where the genitalia are atypical in relation to the chromosomes or gonads. The karyotype is used as a prefix to define the category of DSD, replacing the arcane terminology of male or female pseudohermaphroditism (now known as XY DSD or XX DSD, respectively). The new nomenclature has spawned a simple and logical classification of the causes of DSD. In this chapter new facets of gonadal dysgenesis and novel defects in steroid biosynthesis are reviewed in relation to the DSD classification, and options for early, non-invasive fetal sexing are described. Future research to determine many causes of DSD will benefit from the use of this universal language of scientific communication. © 2007 Elsevier Ltd. All rights reserved.","author":[{"dropping-particle":"","family":"Hughes","given":"Ieuan A.","non-dropping-particle":"","parse-names":false,"suffix":""}],"container-title":"Best Practice and Research in Clinical Endocrinology and Metabolism","id":"ITEM-1","issue":"1","issued":{"date-parts":[["2008"]]},"page":"119-134","title":"Disorders of sex development: a new definition and classification","type":"article-journal","volume":"22"},"uris":["http://www.mendeley.com/documents/?uuid=5036e6fb-02d0-4fa4-8a59-c5f4ad75a4ad"]}],"mendeley":{"formattedCitation":"[13]","plainTextFormattedCitation":"[13]","previouslyFormattedCitation":"[13]"},"properties":{"noteIndex":0},"schema":"https://github.com/citation-style-language/schema/raw/master/csl-citation.json"}</w:instrText>
      </w:r>
      <w:r w:rsidR="00594E1D" w:rsidRPr="00594E1D">
        <w:rPr>
          <w:rFonts w:eastAsia="Times New Roman"/>
          <w:kern w:val="0"/>
          <w:szCs w:val="24"/>
          <w14:ligatures w14:val="none"/>
        </w:rPr>
        <w:fldChar w:fldCharType="separate"/>
      </w:r>
      <w:r w:rsidR="002506CE" w:rsidRPr="002506CE">
        <w:rPr>
          <w:rFonts w:eastAsia="Times New Roman"/>
          <w:noProof/>
          <w:kern w:val="0"/>
          <w:szCs w:val="24"/>
          <w14:ligatures w14:val="none"/>
        </w:rPr>
        <w:t>[13]</w:t>
      </w:r>
      <w:r w:rsidR="00594E1D" w:rsidRPr="00594E1D">
        <w:rPr>
          <w:rFonts w:eastAsia="Times New Roman"/>
          <w:kern w:val="0"/>
          <w:szCs w:val="24"/>
          <w14:ligatures w14:val="none"/>
        </w:rPr>
        <w:fldChar w:fldCharType="end"/>
      </w:r>
      <w:r w:rsidR="00594E1D" w:rsidRPr="00594E1D">
        <w:rPr>
          <w:rFonts w:eastAsia="Times New Roman"/>
          <w:kern w:val="0"/>
          <w:szCs w:val="24"/>
          <w14:ligatures w14:val="none"/>
        </w:rPr>
        <w:t xml:space="preserve">. </w:t>
      </w:r>
      <w:r>
        <w:rPr>
          <w:rFonts w:eastAsia="Times New Roman"/>
          <w:kern w:val="0"/>
          <w:szCs w:val="24"/>
          <w14:ligatures w14:val="none"/>
        </w:rPr>
        <w:t>T</w:t>
      </w:r>
      <w:r>
        <w:t xml:space="preserve">he term "DSD" was formally introduced in the 2006 Consensus Statement as a more clinically precise and less stigmatising alternative to earlier terms such as "intersex" </w:t>
      </w:r>
      <w:r w:rsidR="00594E1D" w:rsidRPr="00594E1D">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{"citationItems":[{"id":"ITEM-1","itemData":{"DOI":"10.1542/peds.2006-0738","ISSN":"02105721","PMID":"16882788","author":[{"dropping-particle":"","family":"Lee","given":"Peter A.","non-dropping-particle":"","parse-names":false,"suffix":""},{"dropping-particle":"","family":"Houk","given":"Christopher P.","non-dropping-particle":"","parse-names":false,"suffix":""},{"dropping-particle":"","family":"Ahmed","given":"Faisal","non-dropping-particle":"","parse-names":false,"suffix":""},{"dropping-particle":"","family":"Hughes","given":"Ieuan A.","non-dropping-particle":"","parse-names":false,"suffix":""},{"dropping-particle":"","family":"Achermann","given":"John","non-dropping-particle":"","parse-names":false,"suffix":""},{"dropping-particle":"","family":"Baskin","given":"Laurence","non-dropping-particle":"","parse-names":false,"suffix":""},{"dropping-particle":"","family":"Berenbaum","given":"Sheri","non-dropping-particle":"","parse-names":false,"suffix":""},{"dropping-particle":"","family":"Bertelloni","given":"Sylvano","non-dropping-particle":"","parse-names":false,"suffix":""},{"dropping-particle":"","family":"Brock","given":"John","non-dropping-particle":"","parse-names":false,"suffix":""},{"dropping-particle":"","family":"Carmichael","given":"Polly","non-dropping-particle":"","parse-names":false,"suffix":""},{"dropping-particle":"","family":"Chase","given":"Cheryl","non-dropping-particle":"","parse-names":false,"suffix":""},{"dropping-particle":"","family":"Cohen-Kettenis","given":"Peggy","non-dropping-particle":"","parse-names":false,"suffix":""},{"dropping-particle":"","family":"Conte","given":"Felix","non-dropping-particle":"","parse-names":false,"suffix":""},{"dropping-particle":"","family":"Copeland","given":"Kenneth","non-dropping-particle":"","parse-names":false,"suffix":""},{"dropping-particle":"","family":"Donohoue","given":"Patricia","non-dropping-particle":"","parse-names":false,"suffix":""},{"dropping-particle":"","family":"Driver","given":"Chris","non-dropping-particle":"","parse-names":false,"suffix":""},{"dropping-particle":"","family":"Drop","given":"Stenvert","non-dropping-particle":"","parse-names":false,"suffix":""},{"dropping-particle":"","family":"Eugster","given":"Erica","non-dropping-particle":"","parse-names":false,"suffix":""},{"dropping-particle":"","family":"Fujieda","given":"Kenji","non-dropping-particle":"","parse-names":false,"suffix":""},{"dropping-particle":"","family":"Giedd","given":"Jay","non-dropping-particle":"","parse-names":false,"suffix":""},{"dropping-particle":"","family":"Green","given":"Richard","non-dropping-particle":"","parse-names":false,"suffix":""},{"dropping-particle":"","family":"Grumbach","given":"Melvin","non-dropping-particle":"","parse-names":false,"suffix":""},{"dropping-particle":"","family":"Harley","given":"Vincent","non-dropping-particle":"","parse-names":false,"suffix":""},{"dropping-particle":"","family":"Hines","given":"Melissa","non-dropping-particle":"","parse-names":false,"suffix":""},{"dropping-particle":"","family":"Hiort","given":"Olaf","non-dropping-particle":"","parse-names":false,"suffix":""},{"dropping-particle":"","family":"Houk","given":"Christopher","non-dropping-particle":"","parse-names":false,"suffix":""},{"dropping-particle":"","family":"Hughes","given":"Ieuan","non-dropping-particle":"","parse-names":false,"suffix":""},{"dropping-particle":"","family":"Lee","given":"Peter","non-dropping-particle":"","parse-names":false,"suffix":""},{"dropping-particle":"","family":"Looijenga","given":"Leendert","non-dropping-particle":"","parse-names":false,"suffix":""},{"dropping-particle":"","family":"Mendoca","given":"Bernadice","non-dropping-particle":"","parse-names":false,"suffix":""},{"dropping-particle":"","family":"Meyer-Bahlburg","given":"Heino","non-dropping-particle":"","parse-names":false,"suffix":""},{"dropping-particle":"","family":"Migeon","given":"Claude","non-dropping-particle":"","parse-names":false,"suffix":""},{"dropping-particle":"","family":"Morel","given":"Yves","non-dropping-particle":"","parse-names":false,"suffix":""},{"dropping-particle":"","family":"Mouriquand","given":"Pierre","non-dropping-particle":"","parse-names":false,"suffix":""},{"dropping-particle":"","family":"Nordenström","given":"Anna","non-dropping-particle":"","parse-names":false,"suffix":""},{"dropping-particle":"","family":"Ransley","given":"Phillip","non-dropping-particle":"","parse-names":false,"suffix":""},{"dropping-particle":"","family":"Rapaport","given":"Robert","non-dropping-particle":"","parse-names":false,"suffix":""},{"dropping-particle":"","family":"Reiner","given":"William","non-dropping-particle":"","parse-names":false,"suffix":""},{"dropping-particle":"","family":"Richter-Appelt","given":"Hertha","non-dropping-particle":"","parse-names":false,"suffix":""},{"dropping-particle":"","family":"Rink","given":"Richard","non-dropping-particle":"","parse-names":false,"suffix":""},{"dropping-particle":"","family":"Rissman","given":"Emilie","non-dropping-particle":"","parse-names":false,"suffix":""},{"dropping-particle":"","family":"Saenger","given":"Paul","non-dropping-particle":"","parse-names":false,"suffix":""},{"dropping-particle":"","family":"Sandberg","given":"David","non-dropping-particle":"","parse-names":false,"suffix":""},{"dropping-particle":"","family":"Schober","given":"Justine","non-dropping-particle":"","parse-names":false,"suffix":""},{"dropping-particle":"","family":"Spack","given":"Norman","non-dropping-particle":"","parse-names":false,"suffix":""},{"dropping-particle":"","family":"Thomas","given":"Barbara","non-dropping-particle":"","parse-names":false,"suffix":""},{"dropping-particle":"","family":"Thyen","given":"Ute","non-dropping-particle":"","parse-names":false,"suffix":""},{"dropping-particle":"","family":"Vilain","given":"Eric","non-dropping-particle":"","parse-names":false,"suffix":""},{"dropping-particle":"","family":"Warne","given":"Garry","non-dropping-particle":"","parse-names":false,"suffix":""},{"dropping-particle":"","family":"Wilson","given":"Jean","non-dropping-particle":"","parse-names":false,"suffix":""},{"dropping-particle":"","family":"Wisniewski","given":"Amy","non-dropping-particle":"","parse-names":false,"suffix":""},{"dropping-particle":"","family":"Woodhouse","given":"Christopher","non-dropping-particle":"","parse-names":false,"suffix":""},{"dropping-particle":"","family":"Zucker","given":"Kenneth","non-dropping-particle":"","parse-names":false,"suffix":""}],"container-title":"Pediatrics","id":"ITEM-1","issue":"2","issued":{"date-parts":[["2006"]]},"title":"Consensus statement on management of intersex disorders","type":"article-journal","volume":"118"},"uris":["http://www.mendeley.com/documents/?uuid=6947767d-39f8-45ce-9c5a-ec24a0508f7e"]}],"mendeley":{"formattedCitation":"[5]","plainTextFormattedCitation":"[5]","previouslyFormattedCitation":"[5]"},"properties":{"noteIndex":0},"schema":"https://github.com/citation-style-language/schema/raw/master/csl-citation.json"}</w:instrText>
      </w:r>
      <w:r w:rsidR="00594E1D" w:rsidRPr="00594E1D">
        <w:rPr>
          <w:rFonts w:eastAsia="Times New Roman"/>
          <w:kern w:val="0"/>
          <w:szCs w:val="24"/>
          <w14:ligatures w14:val="none"/>
        </w:rPr>
        <w:fldChar w:fldCharType="separate"/>
      </w:r>
      <w:r w:rsidR="002506CE" w:rsidRPr="002506CE">
        <w:rPr>
          <w:rFonts w:eastAsia="Times New Roman"/>
          <w:noProof/>
          <w:kern w:val="0"/>
          <w:szCs w:val="24"/>
          <w14:ligatures w14:val="none"/>
        </w:rPr>
        <w:t>[5]</w:t>
      </w:r>
      <w:r w:rsidR="00594E1D" w:rsidRPr="00594E1D">
        <w:rPr>
          <w:rFonts w:eastAsia="Times New Roman"/>
          <w:kern w:val="0"/>
          <w:szCs w:val="24"/>
          <w14:ligatures w14:val="none"/>
        </w:rPr>
        <w:fldChar w:fldCharType="end"/>
      </w:r>
      <w:r w:rsidR="00594E1D" w:rsidRPr="00594E1D">
        <w:rPr>
          <w:rFonts w:eastAsia="Times New Roman"/>
          <w:kern w:val="0"/>
          <w:szCs w:val="24"/>
          <w14:ligatures w14:val="none"/>
        </w:rPr>
        <w:t>.</w:t>
      </w:r>
      <w:r>
        <w:rPr>
          <w:rFonts w:eastAsia="Times New Roman"/>
          <w:kern w:val="0"/>
          <w:szCs w:val="24"/>
          <w14:ligatures w14:val="none"/>
        </w:rPr>
        <w:t xml:space="preserve"> </w:t>
      </w:r>
      <w:r>
        <w:t>This redefinition has facilitated improved diagnostic clarity and promoted multidisciplinary care approaches in both pediatric and adult populations.</w:t>
      </w:r>
    </w:p>
    <w:p w:rsidR="00594E1D" w:rsidRPr="00594E1D" w:rsidRDefault="00225CB8" w:rsidP="00594E1D">
      <w:pPr>
        <w:rPr>
          <w:rFonts w:eastAsia="Times New Roman"/>
          <w:kern w:val="0"/>
          <w:szCs w:val="24"/>
          <w14:ligatures w14:val="none"/>
        </w:rPr>
      </w:pPr>
      <w:r>
        <w:t>Clinically, DSDs are broadly categorised based on karyotype into three main groups: 46, XX DSD, 46, XY DSD, and sex chromosome DSD</w:t>
      </w:r>
      <w:r w:rsidR="00594E1D" w:rsidRPr="00594E1D">
        <w:rPr>
          <w:rFonts w:eastAsia="Times New Roman"/>
          <w:kern w:val="0"/>
          <w:szCs w:val="24"/>
          <w14:ligatures w14:val="none"/>
        </w:rPr>
        <w:t xml:space="preserve"> </w:t>
      </w:r>
      <w:r w:rsidR="00594E1D" w:rsidRPr="00594E1D">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{"citationItems":[{"id":"ITEM-1","itemData":{"DOI":"10.4103/ijem.IJEM_159_18","ISSN":"2230-8210 (Print)","PMID":"30766817","abstract":"OBJECTIVE: Disorders of sex development (DSD) constitutes a small but difficult  and equally important area of endocrinology. It is often a social emergency as the decision regarding sex assignment in these cases is extremely disturbing and difficult to both families and healthcare professionals. Our study was devised to assess the clinical and chromosomal profile of patients with suspected DSD and classify them according to the new DSD consensus document. SUBJECTS AND METHODS: This study was a cross-sectional observational study carried out in the department of pediatrics of a tertiary care hospital from August 2012 to August 2014. All patients with suspected DSD in the age group of 0-19 years were included. After detailed history and examination, karyotyping, abdominal sonography, and hormonal analysis were done. Additional studies like gonadal biopsy, laparoscopy, and hormone stimulation tests were done in selected cases. RESULTS: About 41 patients were included in the study. The mean age of presentation was 87 months (1 day to 16 years). Only seven (13.7%) patients presented in neonatal period. In total, 25 patients had ambiguous genitalia; 46, XX DSD were diagnosed in 24 (58.5%) patients, 46, XY DSD in 10 (24.4%) patients, and sex chromosome DSD in 7 (17.1%). Congenital adrenal hyperplasia (CAH) was the commonest disease diagnosed in 21 (51.2%) patients. Turner syndrome, Klinefelter syndrome, androgen insensitivity syndrome, 46, XX ovotesticular disorder, and 46, XY gonadal dysgenesis were diagnosed in 3, 3, 4, 3, and 5 patients, respectively. Eleven patients with CAH presented in shock and six had history of sib deaths. CONCLUSION: 46, XX DSD were the commonest etiological group in our study and CAH was the commonest individual disease. There is a need for educating general public and practitioners regarding DSD to allow early intervention. Moreover, there is a need to introduce routine neonatal screening for CAH in our country.","author":[{"dropping-particle":"","family":"Dar","given":"Sheeraz A","non-dropping-particle":"","parse-names":false,"suffix":""},{"dropping-particle":"","family":"Nazir","given":"Mudasir","non-dropping-particle":"","parse-names":false,"suffix":""},{"dropping-particle":"","family":"Lone","given":"Roumissa","non-dropping-particle":"","parse-names":false,"suffix":""},{"dropping-particle":"","family":"Sameen","given":"Duri","non-dropping-particle":"","parse-names":false,"suffix":""},{"dropping-particle":"","family":"Ahmad","given":"Ikhlas","non-dropping-particle":"","parse-names":false,"suffix":""},{"dropping-particle":"","family":"Wani","given":"Wasim A","non-dropping-particle":"","parse-names":false,"suffix":""},{"dropping-particle":"","family":"Charoo","given":"Bashir A","non-dropping-particle":"","parse-names":false,"suffix":""}],"container-title":"Indian journal of endocrinology and metabolism","id":"ITEM-1","issue":"6","issued":{"date-parts":[["2018"]]},"language":"eng","page":"774-779","publisher-place":"India","title":"Clinical Spectrum of Disorders of Sex Development: A Cross-sectional  Observational Study.","type":"article-journal","volume":"22"},"uris":["http://www.mendeley.com/documents/?uuid=dda366ff-353b-491f-96a1-04eda858fd20"]},{"id":"ITEM-2","itemData":{"DOI":"10.1542/peds.2006-0738","ISSN":"02105721","PMID":"16882788","author":[{"dropping-particle":"","family":"Lee","given":"Peter A.","non-dropping-particle":"","parse-names":false,"suffix":""},{"dropping-particle":"","family":"Houk","given":"Christopher P.","non-dropping-particle":"","parse-names":false,"suffix":""},{"dropping-particle":"","family":"Ahmed","given":"Faisal","non-dropping-particle":"","parse-names":false,"suffix":""},{"dropping-particle":"","family":"Hughes","given":"Ieuan A.","non-dropping-particle":"","parse-names":false,"suffix":""},{"dropping-particle":"","family":"Achermann","given":"John","non-dropping-particle":"","parse-names":false,"suffix":""},{"dropping-particle":"","family":"Baskin","given":"Laurence","non-dropping-particle":"","parse-names":false,"suffix":""},{"dropping-particle":"","family":"Berenbaum","given":"Sheri","non-dropping-particle":"","parse-names":false,"suffix":""},{"dropping-particle":"","family":"Bertelloni","given":"Sylvano","non-dropping-particle":"","parse-names":false,"suffix":""},{"dropping-particle":"","family":"Brock","given":"John","non-dropping-particle":"","parse-names":false,"suffix":""},{"dropping-particle":"","family":"Carmichael","given":"Polly","non-dropping-particle":"","parse-names":false,"suffix":""},{"dropping-particle":"","family":"Chase","given":"Cheryl","non-dropping-particle":"","parse-names":false,"suffix":""},{"dropping-particle":"","family":"Cohen-Kettenis","given":"Peggy","non-dropping-particle":"","parse-names":false,"suffix":""},{"dropping-particle":"","family":"Conte","given":"Felix","non-dropping-particle":"","parse-names":false,"suffix":""},{"dropping-particle":"","family":"Copeland","given":"Kenneth","non-dropping-particle":"","parse-names":false,"suffix":""},{"dropping-particle":"","family":"Donohoue","given":"Patricia","non-dropping-particle":"","parse-names":false,"suffix":""},{"dropping-particle":"","family":"Driver","given":"Chris","non-dropping-particle":"","parse-names":false,"suffix":""},{"dropping-particle":"","family":"Drop","given":"Stenvert","non-dropping-particle":"","parse-names":false,"suffix":""},{"dropping-particle":"","family":"Eugster","given":"Erica","non-dropping-particle":"","parse-names":false,"suffix":""},{"dropping-particle":"","family":"Fujieda","given":"Kenji","non-dropping-particle":"","parse-names":false,"suffix":""},{"dropping-particle":"","family":"Giedd","given":"Jay","non-dropping-particle":"","parse-names":false,"suffix":""},{"dropping-particle":"","family":"Green","given":"Richard","non-dropping-particle":"","parse-names":false,"suffix":""},{"dropping-particle":"","family":"Grumbach","given":"Melvin","non-dropping-particle":"","parse-names":false,"suffix":""},{"dropping-particle":"","family":"Harley","given":"Vincent","non-dropping-particle":"","parse-names":false,"suffix":""},{"dropping-particle":"","family":"Hines","given":"Melissa","non-dropping-particle":"","parse-names":false,"suffix":""},{"dropping-particle":"","family":"Hiort","given":"Olaf","non-dropping-particle":"","parse-names":false,"suffix":""},{"dropping-particle":"","family":"Houk","given":"Christopher","non-dropping-particle":"","parse-names":false,"suffix":""},{"dropping-particle":"","family":"Hughes","given":"Ieuan","non-dropping-particle":"","parse-names":false,"suffix":""},{"dropping-particle":"","family":"Lee","given":"Peter","non-dropping-particle":"","parse-names":false,"suffix":""},{"dropping-particle":"","family":"Looijenga","given":"Leendert","non-dropping-particle":"","parse-names":false,"suffix":""},{"dropping-particle":"","family":"Mendoca","given":"Bernadice","non-dropping-particle":"","parse-names":false,"suffix":""},{"dropping-particle":"","family":"Meyer-Bahlburg","given":"Heino","non-dropping-particle":"","parse-names":false,"suffix":""},{"dropping-particle":"","family":"Migeon","given":"Claude","non-dropping-particle":"","parse-names":false,"suffix":""},{"dropping-particle":"","family":"Morel","given":"Yves","non-dropping-particle":"","parse-names":false,"suffix":""},{"dropping-particle":"","family":"Mouriquand","given":"Pierre","non-dropping-particle":"","parse-names":false,"suffix":""},{"dropping-particle":"","family":"Nordenström","given":"Anna","non-dropping-particle":"","parse-names":false,"suffix":""},{"dropping-particle":"","family":"Ransley","given":"Phillip","non-dropping-particle":"","parse-names":false,"suffix":""},{"dropping-particle":"","family":"Rapaport","given":"Robert","non-dropping-particle":"","parse-names":false,"suffix":""},{"dropping-particle":"","family":"Reiner","given":"William","non-dropping-particle":"","parse-names":false,"suffix":""},{"dropping-particle":"","family":"Richter-Appelt","given":"Hertha","non-dropping-particle":"","parse-names":false,"suffix":""},{"dropping-particle":"","family":"Rink","given":"Richard","non-dropping-particle":"","parse-names":false,"suffix":""},{"dropping-particle":"","family":"Rissman","given":"Emilie","non-dropping-particle":"","parse-names":false,"suffix":""},{"dropping-particle":"","family":"Saenger","given":"Paul","non-dropping-particle":"","parse-names":false,"suffix":""},{"dropping-particle":"","family":"Sandberg","given":"David","non-dropping-particle":"","parse-names":false,"suffix":""},{"dropping-particle":"","family":"Schober","given":"Justine","non-dropping-particle":"","parse-names":false,"suffix":""},{"dropping-particle":"","family":"Spack","given":"Norman","non-dropping-particle":"","parse-names":false,"suffix":""},{"dropping-particle":"","family":"Thomas","given":"Barbara","non-dropping-particle":"","parse-names":false,"suffix":""},{"dropping-particle":"","family":"Thyen","given":"Ute","non-dropping-particle":"","parse-names":false,"suffix":""},{"dropping-particle":"","family":"Vilain","given":"Eric","non-dropping-particle":"","parse-names":false,"suffix":""},{"dropping-particle":"","family":"Warne","given":"Garry","non-dropping-particle":"","parse-names":false,"suffix":""},{"dropping-particle":"","family":"Wilson","given":"Jean","non-dropping-particle":"","parse-names":false,"suffix":""},{"dropping-particle":"","family":"Wisniewski","given":"Amy","non-dropping-particle":"","parse-names":false,"suffix":""},{"dropping-particle":"","family":"Woodhouse","given":"Christopher","non-dropping-particle":"","parse-names":false,"suffix":""},{"dropping-particle":"","family":"Zucker","given":"Kenneth","non-dropping-particle":"","parse-names":false,"suffix":""}],"container-title":"Pediatrics","id":"ITEM-2","issue":"2","issued":{"date-parts":[["2006"]]},"title":"Consensus statement on management of intersex disorders","type":"article-journal","volume":"118"},"uris":["http://www.mendeley.com/documents/?uuid=6947767d-39f8-45ce-9c5a-ec24a0508f7e"]}],"mendeley":{"formattedCitation":"[4], [5]","plainTextFormattedCitation":"[4], [5]","previouslyFormattedCitation":"[4], [5]"},"properties":{"noteIndex":0},"schema":"https://github.com/citation-style-language/schema/raw/master/csl-citation.json"}</w:instrText>
      </w:r>
      <w:r w:rsidR="00594E1D" w:rsidRPr="00594E1D">
        <w:rPr>
          <w:rFonts w:eastAsia="Times New Roman"/>
          <w:kern w:val="0"/>
          <w:szCs w:val="24"/>
          <w14:ligatures w14:val="none"/>
        </w:rPr>
        <w:fldChar w:fldCharType="separate"/>
      </w:r>
      <w:r w:rsidR="002506CE" w:rsidRPr="002506CE">
        <w:rPr>
          <w:rFonts w:eastAsia="Times New Roman"/>
          <w:noProof/>
          <w:kern w:val="0"/>
          <w:szCs w:val="24"/>
          <w14:ligatures w14:val="none"/>
        </w:rPr>
        <w:t>[4], [5]</w:t>
      </w:r>
      <w:r w:rsidR="00594E1D" w:rsidRPr="00594E1D">
        <w:rPr>
          <w:rFonts w:eastAsia="Times New Roman"/>
          <w:kern w:val="0"/>
          <w:szCs w:val="24"/>
          <w14:ligatures w14:val="none"/>
        </w:rPr>
        <w:fldChar w:fldCharType="end"/>
      </w:r>
      <w:r w:rsidR="00594E1D" w:rsidRPr="00594E1D">
        <w:rPr>
          <w:rFonts w:eastAsia="Times New Roman"/>
          <w:kern w:val="0"/>
          <w:szCs w:val="24"/>
          <w14:ligatures w14:val="none"/>
        </w:rPr>
        <w:t>.</w:t>
      </w:r>
      <w:r w:rsidR="004F5329">
        <w:rPr>
          <w:rFonts w:eastAsia="Times New Roman"/>
          <w:kern w:val="0"/>
          <w:szCs w:val="24"/>
          <w14:ligatures w14:val="none"/>
        </w:rPr>
        <w:t xml:space="preserve"> </w:t>
      </w:r>
      <w:r w:rsidR="004F5329">
        <w:t>Each category encompasses distinct conditions with variable pathophysiology, hormonal profiles, and clinical outcomes.</w:t>
      </w:r>
    </w:p>
    <w:p w:rsidR="00594E1D" w:rsidRDefault="004F5329" w:rsidP="00FE78A4">
      <w:pPr>
        <w:pStyle w:val="ListParagraph"/>
        <w:numPr>
          <w:ilvl w:val="0"/>
          <w:numId w:val="1"/>
        </w:numPr>
        <w:spacing w:before="100" w:beforeAutospacing="1" w:after="100" w:afterAutospacing="1"/>
        <w:rPr>
          <w:rFonts w:eastAsia="Times New Roman"/>
          <w:kern w:val="0"/>
          <w:szCs w:val="24"/>
          <w14:ligatures w14:val="none"/>
        </w:rPr>
      </w:pPr>
      <w:r>
        <w:rPr>
          <w:rStyle w:val="Strong"/>
        </w:rPr>
        <w:t>46, XX DSD</w:t>
      </w:r>
      <w:r>
        <w:t xml:space="preserve"> refers to individuals with a typical female chromosomal complement who exhibit varying degrees of virilisation due to excess androgen exposure. The most prevalent cause is congenital adrenal hyperplasia (CAH), especially due to 21-hydroxylase deficiency. This enzymatic defect impairs cortisol synthesis, leading to compensatory overproduction of adrenocorticotropic hormone (ACTH) and subsequent adrenal androgen excess</w:t>
      </w:r>
      <w:r w:rsidR="00594E1D" w:rsidRPr="00594E1D">
        <w:rPr>
          <w:rFonts w:eastAsia="Times New Roman"/>
          <w:kern w:val="0"/>
          <w:szCs w:val="24"/>
          <w14:ligatures w14:val="none"/>
        </w:rPr>
        <w:t xml:space="preserve"> </w:t>
      </w:r>
      <w:r w:rsidR="00594E1D">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{"citationItems":[{"id":"ITEM-1","itemData":{"DOI":"10.1210/jc.2009-2631","ISSN":"0021-972X","abstract":"Objective: We developed clinical practice guidelines for congenital adrenal hyperplasia (CAH).Participants: The Task Force included a chair, selected by The Endocrine Society Clinical Guidelines Subcommittee (CGS), ten additional clinicians experienced in treating CAH, a methodologist, and a medical writer. Additional experts were also consulted. The authors received no corporate funding or remuneration.Consensus Process: Consensus was guided by systematic reviews of evidence and discussions. The guidelines were reviewed and approved sequentially by The Endocrine Society’s CGS and Clinical Affairs Core Committee, members responding to a web posting, and The Endocrine Society Council. At each stage, the Task Force incorporated changes in response to written comments.Conclusions: We recommend universal newborn screening for severe steroid 21-hydroxylase deficiency followed by confirmatory tests. We recommend that prenatal treatment of CAH continue to be regarded as experimental. The diagnosis rests on clinical and hormonal data; genotyping is reserved for equivocal cases and genetic counseling. Glucocorticoid dosage should be minimized to avoid iatrogenic Cushing’s syndrome. Mineralocorticoids and, in infants, supplemental sodium are recommended in classic CAH patients. We recommend against the routine use of experimental therapies to promote growth and delay puberty; we suggest patients avoid adrenalectomy. Surgical guidelines emphasize early single-stage genital repair for severely virilized girls, performed by experienced surgeons. Clinicians should consider patients’ quality of life, consulting mental health professionals as appropriate. At the transition to adulthood, we recommend monitoring for potential complications of CAH. Finally, we recommend judicious use of medication during pregnancy and in symptomatic patients with nonclassic CAH.","author":[{"dropping-particle":"","family":"Speiser","given":"Phyllis W","non-dropping-particle":"","parse-names":false,"suffix":""},{"dropping-particle":"","family":"Azziz","given":"Ricardo","non-dropping-particle":"","parse-names":false,"suffix":""},{"dropping-particle":"","family":"Baskin","given":"Laurence S","non-dropping-particle":"","parse-names":false,"suffix":""},{"dropping-particle":"","family":"Ghizzoni","given":"Lucia","non-dropping-particle":"","parse-names":false,"suffix":""},{"dropping-particle":"","family":"Hensle","given":"Terry W","non-dropping-particle":"","parse-names":false,"suffix":""},{"dropping-particle":"","family":"Merke","given":"Deborah P","non-dropping-particle":"","parse-names":false,"suffix":""},{"dropping-particle":"","family":"Meyer-Bahlburg","given":"Heino F L","non-dropping-particle":"","parse-names":false,"suffix":""},{"dropping-particle":"","family":"Miller","given":"Walter L","non-dropping-particle":"","parse-names":false,"suffix":""},{"dropping-particle":"","family":"Montori","given":"Victor M","non-dropping-particle":"","parse-names":false,"suffix":""},{"dropping-particle":"","family":"Oberfield","given":"Sharon E","non-dropping-particle":"","parse-names":false,"suffix":""},{"dropping-particle":"","family":"Ritzen","given":"Martin","non-dropping-particle":"","parse-names":false,"suffix":""},{"dropping-particle":"","family":"White","given":"Perrin C","non-dropping-particle":"","parse-names":false,"suffix":""}],"container-title":"The Journal of Clinical Endocrinology &amp; Metabolism","id":"ITEM-1","issue":"9","issued":{"date-parts":[["2010","9","1"]]},"page":"4133-4160","title":"Congenital Adrenal Hyperplasia Due to Steroid 21-Hydroxylase Deficiency: An Endocrine Society Clinical Practice Guideline","type":"article-journal","volume":"95"},"uris":["http://www.mendeley.com/documents/?uuid=3206bcad-a3b7-4820-8586-fe2f26375032"]},{"id":"ITEM-2","itemData":{"DOI":"10.1016/j.beem.2007.11.001","ISSN":"1521690X","PMID":"18279784","abstract":"A newborn infant with ambiguous genitalia is a complex enough problem to unravel without any further clouding by confusing terms. The nomenclature 'intersex', 'hermaphrodite' and 'pseudohermaphrodite' is anachronistic, unhelpful, and perceived to be pejorative by some affected families. In its place, a consensus statement recommends the term 'disorder of sex development' (DSD), a generic definition encompassing any problem noted at birth where the genitalia are atypical in relation to the chromosomes or gonads. The karyotype is used as a prefix to define the category of DSD, replacing the arcane terminology of male or female pseudohermaphroditism (now known as XY DSD or XX DSD, respectively). The new nomenclature has spawned a simple and logical classification of the causes of DSD. In this chapter new facets of gonadal dysgenesis and novel defects in steroid biosynthesis are reviewed in relation to the DSD classification, and options for early, non-invasive fetal sexing are described. Future research to determine many causes of DSD will benefit from the use of this universal language of scientific communication. © 2007 Elsevier Ltd. All rights reserved.","author":[{"dropping-particle":"","family":"Hughes","given":"Ieuan A.","non-dropping-particle":"","parse-names":false,"suffix":""}],"container-title":"Best Practice and Research in Clinical Endocrinology and Metabolism","id":"ITEM-2","issue":"1","issued":{"date-parts":[["2008"]]},"page":"119-134","title":"Disorders of sex development: a new definition and classification","type":"article-journal","volume":"22"},"uris":["http://www.mendeley.com/documents/?uuid=5036e6fb-02d0-4fa4-8a59-c5f4ad75a4ad"]}],"mendeley":{"formattedCitation":"[13], [14]","plainTextFormattedCitation":"[13], [14]","previouslyFormattedCitation":"[13], [14]"},"properties":{"noteIndex":0},"schema":"https://github.com/citation-style-language/schema/raw/master/csl-citation.json"}</w:instrText>
      </w:r>
      <w:r w:rsidR="00594E1D">
        <w:rPr>
          <w:rFonts w:eastAsia="Times New Roman"/>
          <w:kern w:val="0"/>
          <w:szCs w:val="24"/>
          <w14:ligatures w14:val="none"/>
        </w:rPr>
        <w:fldChar w:fldCharType="separate"/>
      </w:r>
      <w:r w:rsidR="002506CE" w:rsidRPr="002506CE">
        <w:rPr>
          <w:rFonts w:eastAsia="Times New Roman"/>
          <w:noProof/>
          <w:kern w:val="0"/>
          <w:szCs w:val="24"/>
          <w14:ligatures w14:val="none"/>
        </w:rPr>
        <w:t>[13], [14]</w:t>
      </w:r>
      <w:r w:rsidR="00594E1D">
        <w:rPr>
          <w:rFonts w:eastAsia="Times New Roman"/>
          <w:kern w:val="0"/>
          <w:szCs w:val="24"/>
          <w14:ligatures w14:val="none"/>
        </w:rPr>
        <w:fldChar w:fldCharType="end"/>
      </w:r>
      <w:r w:rsidR="00594E1D">
        <w:rPr>
          <w:rFonts w:eastAsia="Times New Roman"/>
          <w:kern w:val="0"/>
          <w:szCs w:val="24"/>
          <w14:ligatures w14:val="none"/>
        </w:rPr>
        <w:t>.</w:t>
      </w:r>
      <w:r>
        <w:rPr>
          <w:rFonts w:eastAsia="Times New Roman"/>
          <w:kern w:val="0"/>
          <w:szCs w:val="24"/>
          <w14:ligatures w14:val="none"/>
        </w:rPr>
        <w:t xml:space="preserve"> </w:t>
      </w:r>
      <w:r>
        <w:t>The resulting hyperandrogenism can cause masculinization of the external genitalia, while internal female reproductive structures are typically preserved.</w:t>
      </w:r>
    </w:p>
    <w:p w:rsidR="00594E1D" w:rsidRPr="00594E1D" w:rsidRDefault="004F5329" w:rsidP="00FE78A4">
      <w:pPr>
        <w:pStyle w:val="ListParagraph"/>
        <w:numPr>
          <w:ilvl w:val="0"/>
          <w:numId w:val="1"/>
        </w:numPr>
        <w:spacing w:before="100" w:beforeAutospacing="1" w:after="100" w:afterAutospacing="1"/>
        <w:rPr>
          <w:rFonts w:eastAsia="Times New Roman"/>
          <w:kern w:val="0"/>
          <w:szCs w:val="24"/>
          <w14:ligatures w14:val="none"/>
        </w:rPr>
      </w:pPr>
      <w:r>
        <w:rPr>
          <w:rStyle w:val="Strong"/>
        </w:rPr>
        <w:t>46, XY DSD</w:t>
      </w:r>
      <w:r>
        <w:t xml:space="preserve"> includes individuals with a typical male karyotype who exhibit under-virilized or ambiguous genitalia resulting from impaired androgen synthesis, metabolism, or receptor function. Key conditions in this category include complete and partial androgen </w:t>
      </w:r>
      <w:r>
        <w:lastRenderedPageBreak/>
        <w:t>insensitivity syndrome (CAIS/PAIS), 5α-reductase deficiency, and various forms of gonadal dysgenesis</w:t>
      </w:r>
      <w:r w:rsidR="00594E1D" w:rsidRPr="00594E1D">
        <w:rPr>
          <w:rFonts w:eastAsia="Times New Roman"/>
          <w:kern w:val="0"/>
          <w:szCs w:val="24"/>
          <w14:ligatures w14:val="none"/>
        </w:rPr>
        <w:t xml:space="preserve"> </w:t>
      </w:r>
      <w:r w:rsidR="00594E1D" w:rsidRPr="00594E1D">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Development","id":"ITEM-1","issue":"4-5","issued":{"date-parts":[["2010","9","4"]]},"page":"270-284","title":"Bone Health in Disorders of Sex Differentiation","type":"article-journal","volume":"4"},"uris":["http://www.mendeley.com/documents/?uuid=ef84c0b0-6a68-43fa-bd35-696d7225213c"]}],"mendeley":{"formattedCitation":"[15]","plainTextFormattedCitation":"[15]","previouslyFormattedCitation":"[15]"},"properties":{"noteIndex":0},"schema":"https://github.com/citation-style-language/schema/raw/master/csl-citation.json"}</w:instrText>
      </w:r>
      <w:r w:rsidR="00594E1D" w:rsidRPr="00594E1D">
        <w:rPr>
          <w:rFonts w:eastAsia="Times New Roman"/>
          <w:kern w:val="0"/>
          <w:szCs w:val="24"/>
          <w14:ligatures w14:val="none"/>
        </w:rPr>
        <w:fldChar w:fldCharType="separate"/>
      </w:r>
      <w:r w:rsidR="002506CE" w:rsidRPr="002506CE">
        <w:rPr>
          <w:rFonts w:eastAsia="Times New Roman"/>
          <w:noProof/>
          <w:kern w:val="0"/>
          <w:szCs w:val="24"/>
          <w14:ligatures w14:val="none"/>
        </w:rPr>
        <w:t>[15]</w:t>
      </w:r>
      <w:r w:rsidR="00594E1D" w:rsidRPr="00594E1D">
        <w:rPr>
          <w:rFonts w:eastAsia="Times New Roman"/>
          <w:kern w:val="0"/>
          <w:szCs w:val="24"/>
          <w14:ligatures w14:val="none"/>
        </w:rPr>
        <w:fldChar w:fldCharType="end"/>
      </w:r>
      <w:r>
        <w:rPr>
          <w:rFonts w:eastAsia="Times New Roman"/>
          <w:kern w:val="0"/>
          <w:szCs w:val="24"/>
          <w14:ligatures w14:val="none"/>
        </w:rPr>
        <w:t>. D</w:t>
      </w:r>
      <w:r>
        <w:t>epending on the severity and nature of the defect, affected individuals may present with female, ambiguous, or undervirilized male external genitalia, often with undescended testes and absent Müllerian structures.</w:t>
      </w:r>
    </w:p>
    <w:p w:rsidR="004F5329" w:rsidRDefault="004F5329" w:rsidP="004111B9">
      <w:pPr>
        <w:numPr>
          <w:ilvl w:val="0"/>
          <w:numId w:val="1"/>
        </w:numPr>
        <w:spacing w:before="100" w:beforeAutospacing="1" w:after="100" w:afterAutospacing="1"/>
        <w:rPr>
          <w:rFonts w:eastAsia="Times New Roman"/>
          <w:kern w:val="0"/>
          <w:szCs w:val="24"/>
          <w14:ligatures w14:val="none"/>
        </w:rPr>
      </w:pPr>
      <w:r>
        <w:rPr>
          <w:rStyle w:val="Strong"/>
        </w:rPr>
        <w:t>Sex chromosome DSD</w:t>
      </w:r>
      <w:r>
        <w:t xml:space="preserve"> encompasses conditions resulting from abnormalities in the number or structure of sex chromosomes. Common examples include Turner syndrome (45, X) and Klinefelter syndrome (47, XXY). Turner syndrome is characterised by complete or partial monosomy X, leading to streak gonads, short stature, delayed puberty, and infertility due to ovarian insufficiency</w:t>
      </w:r>
      <w:r w:rsidR="00594E1D" w:rsidRPr="004F5329">
        <w:rPr>
          <w:rFonts w:eastAsia="Times New Roman"/>
          <w:kern w:val="0"/>
          <w:szCs w:val="24"/>
          <w14:ligatures w14:val="none"/>
        </w:rPr>
        <w:t xml:space="preserve"> </w:t>
      </w:r>
      <w:r w:rsidR="00594E1D" w:rsidRPr="004F5329">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{"citationItems":[{"id":"ITEM-1","itemData":{"DOI":"10.1210/er.2017-00212","ISSN":"0163-769X","abstract":"Although first identified over 70 years ago, Klinefelter syndrome (KS) continues to pose substantial diagnostic challenges, as many patients are still misdiagnosed, or remain undiagnosed. In fact, as few as 25% of patients with KS are accurately diagnosed and most of these diagnoses are not made until adulthood. Classic characteristics of KS include small testes, infertility, hypergonadothropic hypogonadism, and cognitive impairment. However, the pathophysiology behind KS is not well understood, although genetic effects are also thought to play a role. For example, recent developments in genetics and genomics point to a fundamental change in our understanding of KS, with global epigenetic and RNA expression changes playing a central role for the phenotype. KS is also associated with more general health markers, including higher morbidity and mortality rates and lower socioeconomic status (which likely affect both morbidity and mortality). In addition, hypogonadism is associated with greater risk of metabolic syndrome, type 2 diabetes, cardiovascular disease, breast cancer, and extragonadal germ cell tumors. Medical treatment typically focuses on testosterone replacement therapy (TRT), although the effects of this therapy have not been studied rigorously, and future studies need to evaluate the effects of TRT on metabolic risk and neurocognitive outcomes. This review presents a comprehensive interdisciplinary examination of recent developments in genetic, endocrine, and neurocognitive science, including the study of animal models. It provides a number of recommendations for improving the effectiveness of research and clinical practice, including neonatal KS screening programs, and a multidisciplinary approach to KS treatment from childhood until senescence.","author":[{"dropping-particle":"","family":"Gravholt","given":"Claus H","non-dropping-particle":"","parse-names":false,"suffix":""},{"dropping-particle":"","family":"Chang","given":"Simon","non-dropping-particle":"","parse-names":false,"suffix":""},{"dropping-particle":"","family":"Wallentin","given":"Mikkel","non-dropping-particle":"","parse-names":false,"suffix":""},{"dropping-particle":"","family":"Fedder","given":"Jens","non-dropping-particle":"","parse-names":false,"suffix":""},{"dropping-particle":"","family":"Moore","given":"Philip","non-dropping-particle":"","parse-names":false,"suffix":""},{"dropping-particle":"","family":"Skakkebæk","given":"Anne","non-dropping-particle":"","parse-names":false,"suffix":""}],"container-title":"Endocrine Reviews","id":"ITEM-1","issue":"4","issued":{"date-parts":[["2018","8","1"]]},"page":"389-423","title":"Klinefelter Syndrome: Integrating Genetics, Neuropsychology, and Endocrinology","type":"article-journal","volume":"39"},"uris":["http://www.mendeley.com/documents/?uuid=6ce7238b-caad-4256-bc43-c7bbdfc022a8"]}],"mendeley":{"formattedCitation":"[16]","plainTextFormattedCitation":"[16]","previouslyFormattedCitation":"[16]"},"properties":{"noteIndex":0},"schema":"https://github.com/citation-style-language/schema/raw/master/csl-citation.json"}</w:instrText>
      </w:r>
      <w:r w:rsidR="00594E1D" w:rsidRPr="004F5329">
        <w:rPr>
          <w:rFonts w:eastAsia="Times New Roman"/>
          <w:kern w:val="0"/>
          <w:szCs w:val="24"/>
          <w14:ligatures w14:val="none"/>
        </w:rPr>
        <w:fldChar w:fldCharType="separate"/>
      </w:r>
      <w:r w:rsidR="002506CE" w:rsidRPr="002506CE">
        <w:rPr>
          <w:rFonts w:eastAsia="Times New Roman"/>
          <w:noProof/>
          <w:kern w:val="0"/>
          <w:szCs w:val="24"/>
          <w14:ligatures w14:val="none"/>
        </w:rPr>
        <w:t>[16]</w:t>
      </w:r>
      <w:r w:rsidR="00594E1D" w:rsidRPr="004F5329">
        <w:rPr>
          <w:rFonts w:eastAsia="Times New Roman"/>
          <w:kern w:val="0"/>
          <w:szCs w:val="24"/>
          <w14:ligatures w14:val="none"/>
        </w:rPr>
        <w:fldChar w:fldCharType="end"/>
      </w:r>
      <w:r w:rsidR="00594E1D" w:rsidRPr="004F5329">
        <w:rPr>
          <w:rFonts w:eastAsia="Times New Roman"/>
          <w:kern w:val="0"/>
          <w:szCs w:val="24"/>
          <w14:ligatures w14:val="none"/>
        </w:rPr>
        <w:t>.</w:t>
      </w:r>
      <w:r w:rsidRPr="004F5329">
        <w:rPr>
          <w:rFonts w:eastAsia="Times New Roman"/>
          <w:kern w:val="0"/>
          <w:szCs w:val="24"/>
          <w14:ligatures w14:val="none"/>
        </w:rPr>
        <w:t xml:space="preserve"> </w:t>
      </w:r>
      <w:r>
        <w:t>In contrast, Klinefelter syndrome arises from the presence of an extra X chromosome in phenotypic males, resulting in small testes, low testosterone levels, gynecomastia, and impaired spermatogenesis</w:t>
      </w:r>
      <w:r w:rsidR="00594E1D" w:rsidRPr="004F5329">
        <w:rPr>
          <w:rFonts w:eastAsia="Times New Roman"/>
          <w:kern w:val="0"/>
          <w:szCs w:val="24"/>
          <w14:ligatures w14:val="none"/>
        </w:rPr>
        <w:t xml:space="preserve"> </w:t>
      </w:r>
      <w:r w:rsidR="00F107DA">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{"citationItems":[{"id":"ITEM-1","itemData":{"DOI":"10.1002/rmb2.12261","ISSN":"1445-5781 (Print)","PMID":"30996677","abstract":"BACKGROUND: Klinefelter syndrome (KS) is one of the major causes of  nonobstructive azoospermia (NOA). Microdissection testicular sperm extraction (micro-TESE) is often performed to retrieve sperm. Infertility specialists have to care for KS patients on a lifelong basis. METHODS: Based on a literature review and our own experience, male infertility treatment and KS pathophysiology were considered on a lifelong basis. MAIN FINDINGS: Patients diagnosed early often have an increased number of aberrant X chromosomes. Cryptorchidism and hypospadias are often found, and surgical correction is required. Cryopreservation of testicular sperm during adolescence is an issue of debate because the sperm retrieval rate (SRR) in KS patients decreases with age. The SRR in adult KS patients is higher than that in other patients with NOA; however, low testosterone levels after micro-TESE will lower the general health and quality of life. KS men face a number of comorbidities, such as malignancies, metabolic syndrome, diabetes, cardiovascular disease, bone disease, and immune diseases, which ultimately results in increased mortality rates. CONCLUSION: A deeper understanding of the pathophysiology of KS and the histories of KS patients before they seek infertility treatment, during which discussions with multidisciplinary teams are sometimes needed, will help to properly treat these patients.","author":[{"dropping-particle":"","family":"Shiraishi","given":"Koji","non-dropping-particle":"","parse-names":false,"suffix":""},{"dropping-particle":"","family":"Matsuyama","given":"Hideyasu","non-dropping-particle":"","parse-names":false,"suffix":""}],"container-title":"Reproductive medicine and biology","id":"ITEM-1","issue":"2","issued":{"date-parts":[["2019","4"]]},"language":"eng","page":"140-150","publisher-place":"Japan","title":"Klinefelter syndrome: From pediatrics to geriatrics.","type":"article-journal","volume":"18"},"uris":["http://www.mendeley.com/documents/?uuid=25aee6f1-2ece-4eaf-bbcc-e8d753d7387f"]}],"mendeley":{"formattedCitation":"[17]","plainTextFormattedCitation":"[17]","previouslyFormattedCitation":"[17]"},"properties":{"noteIndex":0},"schema":"https://github.com/citation-style-language/schema/raw/master/csl-citation.json"}</w:instrText>
      </w:r>
      <w:r w:rsidR="00F107DA">
        <w:rPr>
          <w:rFonts w:eastAsia="Times New Roman"/>
          <w:kern w:val="0"/>
          <w:szCs w:val="24"/>
          <w14:ligatures w14:val="none"/>
        </w:rPr>
        <w:fldChar w:fldCharType="separate"/>
      </w:r>
      <w:r w:rsidR="002506CE" w:rsidRPr="002506CE">
        <w:rPr>
          <w:rFonts w:eastAsia="Times New Roman"/>
          <w:noProof/>
          <w:kern w:val="0"/>
          <w:szCs w:val="24"/>
          <w14:ligatures w14:val="none"/>
        </w:rPr>
        <w:t>[17]</w:t>
      </w:r>
      <w:r w:rsidR="00F107DA">
        <w:rPr>
          <w:rFonts w:eastAsia="Times New Roman"/>
          <w:kern w:val="0"/>
          <w:szCs w:val="24"/>
          <w14:ligatures w14:val="none"/>
        </w:rPr>
        <w:fldChar w:fldCharType="end"/>
      </w:r>
      <w:r w:rsidR="00F107DA">
        <w:rPr>
          <w:rFonts w:eastAsia="Times New Roman"/>
          <w:kern w:val="0"/>
          <w:szCs w:val="24"/>
          <w14:ligatures w14:val="none"/>
        </w:rPr>
        <w:t>.</w:t>
      </w:r>
    </w:p>
    <w:p w:rsidR="002D7720" w:rsidRPr="004F5329" w:rsidRDefault="004F5329" w:rsidP="004F5329">
      <w:pPr>
        <w:spacing w:before="100" w:beforeAutospacing="1" w:after="100" w:afterAutospacing="1"/>
        <w:rPr>
          <w:rFonts w:eastAsia="Times New Roman"/>
          <w:kern w:val="0"/>
          <w:szCs w:val="24"/>
          <w14:ligatures w14:val="none"/>
        </w:rPr>
      </w:pPr>
      <w:r>
        <w:t xml:space="preserve">Hormonal dysregulation is a unifying feature across many DSDs, contributing not only to impaired sexual development but also to broader complications such as infertility, metabolic disturbances, reduced bone mineral density, and psychosocial distress </w:t>
      </w:r>
      <w:r w:rsidR="002D7720" w:rsidRPr="004F5329">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{"citationItems":[{"id":"ITEM-1","itemData":{"DOI":"10.4103/ijem.IJEM_159_18","ISSN":"2230-8210 (Print)","PMID":"30766817","abstract":"OBJECTIVE: Disorders of sex development (DSD) constitutes a small but difficult  and equally important area of endocrinology. It is often a social emergency as the decision regarding sex assignment in these cases is extremely disturbing and difficult to both families and healthcare professionals. Our study was devised to assess the clinical and chromosomal profile of patients with suspected DSD and classify them according to the new DSD consensus document. SUBJECTS AND METHODS: This study was a cross-sectional observational study carried out in the department of pediatrics of a tertiary care hospital from August 2012 to August 2014. All patients with suspected DSD in the age group of 0-19 years were included. After detailed history and examination, karyotyping, abdominal sonography, and hormonal analysis were done. Additional studies like gonadal biopsy, laparoscopy, and hormone stimulation tests were done in selected cases. RESULTS: About 41 patients were included in the study. The mean age of presentation was 87 months (1 day to 16 years). Only seven (13.7%) patients presented in neonatal period. In total, 25 patients had ambiguous genitalia; 46, XX DSD were diagnosed in 24 (58.5%) patients, 46, XY DSD in 10 (24.4%) patients, and sex chromosome DSD in 7 (17.1%). Congenital adrenal hyperplasia (CAH) was the commonest disease diagnosed in 21 (51.2%) patients. Turner syndrome, Klinefelter syndrome, androgen insensitivity syndrome, 46, XX ovotesticular disorder, and 46, XY gonadal dysgenesis were diagnosed in 3, 3, 4, 3, and 5 patients, respectively. Eleven patients with CAH presented in shock and six had history of sib deaths. CONCLUSION: 46, XX DSD were the commonest etiological group in our study and CAH was the commonest individual disease. There is a need for educating general public and practitioners regarding DSD to allow early intervention. Moreover, there is a need to introduce routine neonatal screening for CAH in our country.","author":[{"dropping-particle":"","family":"Dar","given":"Sheeraz A","non-dropping-particle":"","parse-names":false,"suffix":""},{"dropping-particle":"","family":"Nazir","given":"Mudasir","non-dropping-particle":"","parse-names":false,"suffix":""},{"dropping-particle":"","family":"Lone","given":"Roumissa","non-dropping-particle":"","parse-names":false,"suffix":""},{"dropping-particle":"","family":"Sameen","given":"Duri","non-dropping-particle":"","parse-names":false,"suffix":""},{"dropping-particle":"","family":"Ahmad","given":"Ikhlas","non-dropping-particle":"","parse-names":false,"suffix":""},{"dropping-particle":"","family":"Wani","given":"Wasim A","non-dropping-particle":"","parse-names":false,"suffix":""},{"dropping-particle":"","family":"Charoo","given":"Bashir A","non-dropping-particle":"","parse-names":false,"suffix":""}],"container-title":"Indian journal of endocrinology and metabolism","id":"ITEM-1","issue":"6","issued":{"date-parts":[["2018"]]},"language":"eng","page":"774-779","publisher-place":"India","title":"Clinical Spectrum of Disorders of Sex Development: A Cross-sectional  Observational Study.","type":"article-journal","volume":"22"},"uris":["http://www.mendeley.com/documents/?uuid=dda366ff-353b-491f-96a1-04eda858fd20"]}],"mendeley":{"formattedCitation":"[4]","plainTextFormattedCitation":"[4]","previouslyFormattedCitation":"[4]"},"properties":{"noteIndex":0},"schema":"https://github.com/citation-style-language/schema/raw/master/csl-citation.json"}</w:instrText>
      </w:r>
      <w:r w:rsidR="002D7720" w:rsidRPr="004F5329">
        <w:rPr>
          <w:rFonts w:eastAsia="Times New Roman"/>
          <w:kern w:val="0"/>
          <w:szCs w:val="24"/>
          <w14:ligatures w14:val="none"/>
        </w:rPr>
        <w:fldChar w:fldCharType="separate"/>
      </w:r>
      <w:r w:rsidR="002506CE" w:rsidRPr="002506CE">
        <w:rPr>
          <w:rFonts w:eastAsia="Times New Roman"/>
          <w:noProof/>
          <w:kern w:val="0"/>
          <w:szCs w:val="24"/>
          <w14:ligatures w14:val="none"/>
        </w:rPr>
        <w:t>[4]</w:t>
      </w:r>
      <w:r w:rsidR="002D7720" w:rsidRPr="004F5329">
        <w:rPr>
          <w:rFonts w:eastAsia="Times New Roman"/>
          <w:kern w:val="0"/>
          <w:szCs w:val="24"/>
          <w14:ligatures w14:val="none"/>
        </w:rPr>
        <w:fldChar w:fldCharType="end"/>
      </w:r>
      <w:r w:rsidR="00594E1D" w:rsidRPr="004F5329">
        <w:rPr>
          <w:rFonts w:eastAsia="Times New Roman"/>
          <w:kern w:val="0"/>
          <w:szCs w:val="24"/>
          <w14:ligatures w14:val="none"/>
        </w:rPr>
        <w:t>.</w:t>
      </w:r>
      <w:r w:rsidR="002D7720" w:rsidRPr="004F5329">
        <w:rPr>
          <w:rFonts w:eastAsia="Times New Roman"/>
          <w:kern w:val="0"/>
          <w:szCs w:val="24"/>
          <w14:ligatures w14:val="none"/>
        </w:rPr>
        <w:t xml:space="preserve"> </w:t>
      </w:r>
      <w:r>
        <w:t xml:space="preserve">Complete Androgen Insensitivity Syndrome (CAIS), caused by mutations in the androgen receptor gene, renders tissues unresponsive to circulating androgens. Affected individuals typically present with female external genitalia, undescended testes, and absent internal female reproductive structures, despite normal or elevated testosterone levels </w:t>
      </w:r>
      <w:r w:rsidRPr="004F5329">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{"citationItems":[{"id":"ITEM-1","itemData":{"DOI":"10.3390/ijerph16071268","ISSN":"1660-4601 (Electronic)","PMID":"30970592","abstract":"Complete androgen insensitivity syndrome (CAIS) is an X-linked recessive genetic  disorder resulting from maternally inherited or de novo mutations involving the androgen receptor gene, situated in the Xq11-q12 region. The diagnosis is based on the presence of female external genitalia in a 46, XY human individual, with normally developed but undescended testes and complete unresponsiveness of target tissues to androgens. Subsequently, pelvic ultrasound or magnetic resonance imaging (MRI) could be helpful in confirming the absence of Mullerian structures, revealing the presence of a blind-ending vagina and identifying testes. CAIS management still represents a unique challenge throughout childhood and adolescence, particularly regarding timing of gonadectomy, type of hormonal therapy, and psychological concerns. Indeed this condition is associated with an increased risk of testicular germ cell tumour (TGCT), although TGCT results less frequently than in other disorders of sex development (DSD). Furthermore, the majority of detected tumoral lesions are non-invasive and with a low probability of progression into aggressive forms. Therefore, histological, epidemiological, and prognostic features of testicular cancer in CAIS allow postponing of the gonadectomy until after pubertal age in order to guarantee the initial spontaneous pubertal development and avoid the necessity of hormonal replacement therapy (HRT) induction. However, HRT is necessary after gonadectomy in order to prevent symptoms of hypoestrogenism and to maintain secondary sexual features. This article presents differential clinical presentations and management in patients with CAIS to emphasize the continued importance of standardizing the clinical and surgical approach to this disorder.","author":[{"dropping-particle":"","family":"Lanciotti","given":"Lucia","non-dropping-particle":"","parse-names":false,"suffix":""},{"dropping-particle":"","family":"Cofini","given":"Marta","non-dropping-particle":"","parse-names":false,"suffix":""},{"dropping-particle":"","family":"Leonardi","given":"Alberto","non-dropping-particle":"","parse-names":false,"suffix":""},{"dropping-particle":"","family":"Bertozzi","given":"Mirko","non-dropping-particle":"","parse-names":false,"suffix":""},{"dropping-particle":"","family":"Penta","given":"Laura","non-dropping-particle":"","parse-names":false,"suffix":""},{"dropping-particle":"","family":"Esposito","given":"Susanna","non-dropping-particle":"","parse-names":false,"suffix":""}],"container-title":"International journal of environmental research and public health","id":"ITEM-1","issue":"7","issued":{"date-parts":[["2019","4"]]},"language":"eng","publisher-place":"Switzerland","title":"Different Clinical Presentations and Management in Complete Androgen  Insensitivity Syndrome (CAIS).","type":"article-journal","volume":"16"},"uris":["http://www.mendeley.com/documents/?uuid=cd721601-7c6a-4a47-9af7-3a8b55446f00"]},{"id":"ITEM-2","itemData":{"DOI":"10.1159/000315961","ISSN":"1661-5425","abstract":"Sex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Development","id":"ITEM-2","issue":"4-5","issued":{"date-parts":[["2010","9","4"]]},"page":"270-284","title":"Bone Health in Disorders of Sex Differentiation","type":"article-journal","volume":"4"},"uris":["http://www.mendeley.com/documents/?uuid=ef84c0b0-6a68-43fa-bd35-696d7225213c"]}],"mendeley":{"formattedCitation":"[15], [18]","plainTextFormattedCitation":"[15], [18]","previouslyFormattedCitation":"[15], [18]"},"properties":{"noteIndex":0},"schema":"https://github.com/citation-style-language/schema/raw/master/csl-citation.json"}</w:instrText>
      </w:r>
      <w:r w:rsidRPr="004F5329">
        <w:rPr>
          <w:rFonts w:eastAsia="Times New Roman"/>
          <w:kern w:val="0"/>
          <w:szCs w:val="24"/>
          <w14:ligatures w14:val="none"/>
        </w:rPr>
        <w:fldChar w:fldCharType="separate"/>
      </w:r>
      <w:r w:rsidR="002506CE" w:rsidRPr="002506CE">
        <w:rPr>
          <w:rFonts w:eastAsia="Times New Roman"/>
          <w:noProof/>
          <w:kern w:val="0"/>
          <w:szCs w:val="24"/>
          <w14:ligatures w14:val="none"/>
        </w:rPr>
        <w:t>[15], [18]</w:t>
      </w:r>
      <w:r w:rsidRPr="004F5329">
        <w:rPr>
          <w:rFonts w:eastAsia="Times New Roman"/>
          <w:kern w:val="0"/>
          <w:szCs w:val="24"/>
          <w14:ligatures w14:val="none"/>
        </w:rPr>
        <w:fldChar w:fldCharType="end"/>
      </w:r>
      <w:r w:rsidRPr="004F5329">
        <w:rPr>
          <w:rFonts w:eastAsia="Times New Roman"/>
          <w:kern w:val="0"/>
          <w:szCs w:val="24"/>
          <w14:ligatures w14:val="none"/>
        </w:rPr>
        <w:t>.</w:t>
      </w:r>
    </w:p>
    <w:p w:rsidR="00594E1D" w:rsidRDefault="008E2259" w:rsidP="00594E1D">
      <w:pPr>
        <w:spacing w:before="100" w:beforeAutospacing="1" w:after="100" w:afterAutospacing="1"/>
        <w:rPr>
          <w:rFonts w:eastAsia="Times New Roman"/>
          <w:kern w:val="0"/>
          <w:szCs w:val="24"/>
          <w14:ligatures w14:val="none"/>
        </w:rPr>
      </w:pPr>
      <w:r>
        <w:t xml:space="preserve">The management of DSD is inherently multidisciplinary, requiring collaboration among endocrinologists, geneticists, surgeons, psychologists, and patient advocates. Accurate diagnosis—based on karyotype analysis, hormonal profiling, and imaging—is critical for guiding clinical decisions. While debates continue regarding early surgical interventions, current best </w:t>
      </w:r>
      <w:r>
        <w:lastRenderedPageBreak/>
        <w:t xml:space="preserve">practices emphasise individualised care, psychological support, and shared decision-making between healthcare providers, patients, and families </w:t>
      </w:r>
      <w:r w:rsidR="002D7720">
        <w:rPr>
          <w:rFonts w:eastAsia="Times New Roman"/>
          <w:kern w:val="0"/>
          <w:szCs w:val="24"/>
          <w14:ligatures w14:val="none"/>
        </w:rPr>
        <w:fldChar w:fldCharType="begin" w:fldLock="1"/>
      </w:r>
      <w:r w:rsidR="002506CE">
        <w:rPr>
          <w:rFonts w:eastAsia="Times New Roman"/>
          <w:kern w:val="0"/>
          <w:szCs w:val="24"/>
          <w14:ligatures w14:val="none"/>
        </w:rPr>
        <w:instrText>ADDIN CSL_CITATION {"citationItems":[{"id":"ITEM-1","itemData":{"ISSN":"0092-623X","author":[{"dropping-particle":"","family":"Kreukels","given":"Baudewijntje P C","non-dropping-particle":"","parse-names":false,"suffix":""},{"dropping-particle":"","family":"Cohen-Kettenis","given":"Peggy T","non-dropping-particle":"","parse-names":false,"suffix":""},{"dropping-particle":"","family":"Roehle","given":"Robert","non-dropping-particle":"","parse-names":false,"suffix":""},{"dropping-particle":"","family":"Grift","given":"Tim C","non-dropping-particle":"van de","parse-names":false,"suffix":""},{"dropping-particle":"","family":"Slowikowska-Hilczer","given":"Jolanta","non-dropping-particle":"","parse-names":false,"suffix":""},{"dropping-particle":"","family":"Claahsen-van der Grinten","given":"Hedi","non-dropping-particle":"","parse-names":false,"suffix":""},{"dropping-particle":"","family":"Lindén Hirschberg","given":"Angelica","non-dropping-particle":"","parse-names":false,"suffix":""},{"dropping-particle":"","family":"Vries","given":"Annelou L C","non-dropping-particle":"de","parse-names":false,"suffix":""},{"dropping-particle":"","family":"Reisch","given":"Nicole","non-dropping-particle":"","parse-names":false,"suffix":""},{"dropping-particle":"","family":"Bouvattier","given":"Claire","non-dropping-particle":"","parse-names":false,"suffix":""}],"container-title":"Journal of Sex &amp; Marital Therapy","id":"ITEM-1","issue":"8","issued":{"date-parts":[["2019"]]},"page":"688-705","publisher":"Taylor &amp; Francis","title":"Sexuality in adults with differences/disorders of sex development (DSD): findings from the DSD-LIFE study","type":"article-journal","volume":"45"},"uris":["http://www.mendeley.com/documents/?uuid=13131f18-7973-4eb5-89b3-af98f9005492"]}],"mendeley":{"formattedCitation":"[19]","plainTextFormattedCitation":"[19]","previouslyFormattedCitation":"[19]"},"properties":{"noteIndex":0},"schema":"https://github.com/citation-style-language/schema/raw/master/csl-citation.json"}</w:instrText>
      </w:r>
      <w:r w:rsidR="002D7720">
        <w:rPr>
          <w:rFonts w:eastAsia="Times New Roman"/>
          <w:kern w:val="0"/>
          <w:szCs w:val="24"/>
          <w14:ligatures w14:val="none"/>
        </w:rPr>
        <w:fldChar w:fldCharType="separate"/>
      </w:r>
      <w:r w:rsidR="002506CE" w:rsidRPr="002506CE">
        <w:rPr>
          <w:rFonts w:eastAsia="Times New Roman"/>
          <w:noProof/>
          <w:kern w:val="0"/>
          <w:szCs w:val="24"/>
          <w14:ligatures w14:val="none"/>
        </w:rPr>
        <w:t>[19]</w:t>
      </w:r>
      <w:r w:rsidR="002D7720">
        <w:rPr>
          <w:rFonts w:eastAsia="Times New Roman"/>
          <w:kern w:val="0"/>
          <w:szCs w:val="24"/>
          <w14:ligatures w14:val="none"/>
        </w:rPr>
        <w:fldChar w:fldCharType="end"/>
      </w:r>
      <w:r w:rsidR="00594E1D" w:rsidRPr="00594E1D">
        <w:rPr>
          <w:rFonts w:eastAsia="Times New Roman"/>
          <w:kern w:val="0"/>
          <w:szCs w:val="24"/>
          <w14:ligatures w14:val="none"/>
        </w:rPr>
        <w:t>.</w:t>
      </w:r>
    </w:p>
    <w:p w:rsidR="00D00437" w:rsidRPr="00594E1D" w:rsidRDefault="005828EB" w:rsidP="00594E1D">
      <w:pPr>
        <w:spacing w:before="100" w:beforeAutospacing="1" w:after="100" w:afterAutospacing="1"/>
        <w:rPr>
          <w:rFonts w:eastAsia="Times New Roman"/>
          <w:kern w:val="0"/>
          <w:szCs w:val="24"/>
          <w14:ligatures w14:val="none"/>
        </w:rPr>
      </w:pPr>
      <w:r>
        <w:rPr>
          <w:b/>
          <w:szCs w:val="24"/>
        </w:rPr>
        <w:t xml:space="preserve">2.1 </w:t>
      </w:r>
      <w:r w:rsidR="00D00437" w:rsidRPr="00594E1D">
        <w:rPr>
          <w:b/>
          <w:szCs w:val="24"/>
        </w:rPr>
        <w:t>Bone Health in Individuals with Disorders of Sex Development (DSD)</w:t>
      </w:r>
    </w:p>
    <w:p w:rsidR="008E2259" w:rsidRDefault="008E2259">
      <w:pPr>
        <w:rPr>
          <w:szCs w:val="24"/>
        </w:rPr>
      </w:pPr>
      <w:r>
        <w:t xml:space="preserve">Bone health is increasingly recognised as a critical yet underappreciated concern in individuals with Disorders of Sex Development (DSD), historically overshadowed by issues related to genital ambiguity and reproductive function </w:t>
      </w:r>
      <w:r w:rsidR="00D00437" w:rsidRPr="00594E1D">
        <w:rPr>
          <w:szCs w:val="24"/>
        </w:rPr>
        <w:fldChar w:fldCharType="begin" w:fldLock="1"/>
      </w:r>
      <w:r w:rsidR="002506CE">
        <w:rPr>
          <w:szCs w:val="24"/>
        </w:rPr>
        <w:instrText>ADDIN CSL_CITATION {"citationItems":[{"id":"ITEM-1","itemData":{"DOI":"10.1159/000442975","ISSN":"1663-2818","author":[{"dropping-particle":"","family":"Lee","given":"Peter A","non-dropping-particle":"","parse-names":false,"suffix":""},{"dropping-particle":"","family":"Nordenström","given":"Anna","non-dropping-particle":"","parse-names":false,"suffix":""},{"dropping-particle":"","family":"Houk","given":"Christopher P","non-dropping-particle":"","parse-names":false,"suffix":""},{"dropping-particle":"","family":"Ahmed","given":"S Faisal","non-dropping-particle":"","parse-names":false,"suffix":""},{"dropping-particle":"","family":"Auchus","given":"Richard","non-dropping-particle":"","parse-names":false,"suffix":""},{"dropping-particle":"","family":"Baratz","given":"Arlene","non-dropping-particle":"","parse-names":false,"suffix":""},{"dropping-particle":"","family":"Baratz Dalke","given":"Katharine","non-dropping-particle":"","parse-names":false,"suffix":""},{"dropping-particle":"","family":"Liao","given":"Lih-Mei","non-dropping-particle":"","parse-names":false,"suffix":""},{"dropping-particle":"","family":"Lin-Su","given":"Karen","non-dropping-particle":"","parse-names":false,"suffix":""},{"dropping-particle":"","family":"Mazur","given":"Tom","non-dropping-particle":"","parse-names":false,"suffix":""}],"container-title":"Hormone research in paediatrics","id":"ITEM-1","issue":"3","issued":{"date-parts":[["2016"]]},"page":"158-180","publisher":"S. Karger AG","title":"Global disorders of sex development update since 2006: perceptions, approach and care","type":"article-journal","volume":"85"},"uris":["http://www.mendeley.com/documents/?uuid=c7ad3c57-7f12-4ae4-b0ce-028baba53f13"]},{"id":"ITEM-2","itemData":{"DOI":"10.1159/000315961","ISSN":"1661-5425","abstract":"Sex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Development","id":"ITEM-2","issue":"4-5","issued":{"date-parts":[["2010","9","4"]]},"page":"270-284","title":"Bone Health in Disorders of Sex Differentiation","type":"article-journal","volume":"4"},"uris":["http://www.mendeley.com/documents/?uuid=ef84c0b0-6a68-43fa-bd35-696d7225213c"]}],"mendeley":{"formattedCitation":"[15], [20]","plainTextFormattedCitation":"[15], [20]","previouslyFormattedCitation":"[15], [20]"},"properties":{"noteIndex":0},"schema":"https://github.com/citation-style-language/schema/raw/master/csl-citation.json"}</w:instrText>
      </w:r>
      <w:r w:rsidR="00D00437" w:rsidRPr="00594E1D">
        <w:rPr>
          <w:szCs w:val="24"/>
        </w:rPr>
        <w:fldChar w:fldCharType="separate"/>
      </w:r>
      <w:r w:rsidR="002506CE" w:rsidRPr="002506CE">
        <w:rPr>
          <w:noProof/>
          <w:szCs w:val="24"/>
        </w:rPr>
        <w:t>[15], [20]</w:t>
      </w:r>
      <w:r w:rsidR="00D00437" w:rsidRPr="00594E1D">
        <w:rPr>
          <w:szCs w:val="24"/>
        </w:rPr>
        <w:fldChar w:fldCharType="end"/>
      </w:r>
      <w:r w:rsidR="00D00437" w:rsidRPr="00594E1D">
        <w:rPr>
          <w:szCs w:val="24"/>
        </w:rPr>
        <w:t>.</w:t>
      </w:r>
      <w:r w:rsidR="00895221" w:rsidRPr="00594E1D">
        <w:rPr>
          <w:szCs w:val="24"/>
        </w:rPr>
        <w:t xml:space="preserve"> </w:t>
      </w:r>
      <w:r>
        <w:t xml:space="preserve">A range of DSD conditions—including Complete and Partial Androgen Insensitivity Syndromes (CAIS and PAIS), 5α-reductase deficiency, Klinefelter syndrome (KS), Turner syndrome (TS), and Congenital Adrenal Hyperplasia (CAH)—have been associated with decreased bone mineral density (BMD), heightened risk of osteopenia and osteoporosis, and, in some cases, increased fracture susceptibility </w:t>
      </w:r>
      <w:r w:rsidR="00895221" w:rsidRPr="00594E1D">
        <w:rPr>
          <w:szCs w:val="24"/>
        </w:rPr>
        <w:fldChar w:fldCharType="begin" w:fldLock="1"/>
      </w:r>
      <w:r w:rsidR="002506CE">
        <w:rPr>
          <w:szCs w:val="24"/>
        </w:rPr>
        <w:instrText>ADDIN CSL_CITATION {"citationItems":[{"id":"ITEM-1","itemData":{"DOI":"https://doi.org/10.1016/j.beem.2018.02.006","ISSN":"1521-690X","abstract":"Increasing attention is being focused on the important contributions of cortical bone to bone strength, fractures and osteoporosis therapies. Recent progress in human genome wide association studies in combination with high-throughput mouse gene knockout phenotyping efforts of multiple genes and advanced conditional gene inactivation in mouse models have successfully identified genes with crucial roles in cortical bone homeostasis. Particular attention in this review is given to genes, such as WNT16, POSTN and SFRP4, that differentially affect cortical and trabecular bone architecture. We propose that animal models of cortical bone metabolism will substantially contribute to developing anabolic osteoporosis therapies that improve cortical bone mass and reduce non-vertebral fracture risk.","author":[{"dropping-particle":"","family":"Brommage","given":"Robert","non-dropping-particle":"","parse-names":false,"suffix":""},{"dropping-particle":"","family":"Ohlsson","given":"Claes","non-dropping-particle":"","parse-names":false,"suffix":""}],"container-title":"Best Practice &amp; Research Clinical Endocrinology &amp; Metabolism","id":"ITEM-1","issue":"3","issued":{"date-parts":[["2018"]]},"page":"329-340","title":"Translational studies provide insights for the etiology and treatment of cortical bone osteoporosis","type":"article-journal","volume":"32"},"uris":["http://www.mendeley.com/documents/?uuid=d6fb4f93-c1db-45b8-9b77-326d002f8e58"]},{"id":"ITEM-2","itemData":{"DOI":"10.1159/000315961","ISSN":"1661-5425","abstract":"Sex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Development","id":"ITEM-2","issue":"4-5","issued":{"date-parts":[["2010","9","4"]]},"page":"270-284","title":"Bone Health in Disorders of Sex Differentiation","type":"article-journal","volume":"4"},"uris":["http://www.mendeley.com/documents/?uuid=ef84c0b0-6a68-43fa-bd35-696d7225213c"]}],"mendeley":{"formattedCitation":"[15], [21]","plainTextFormattedCitation":"[15], [21]","previouslyFormattedCitation":"[15], [21]"},"properties":{"noteIndex":0},"schema":"https://github.com/citation-style-language/schema/raw/master/csl-citation.json"}</w:instrText>
      </w:r>
      <w:r w:rsidR="00895221" w:rsidRPr="00594E1D">
        <w:rPr>
          <w:szCs w:val="24"/>
        </w:rPr>
        <w:fldChar w:fldCharType="separate"/>
      </w:r>
      <w:r w:rsidR="002506CE" w:rsidRPr="002506CE">
        <w:rPr>
          <w:noProof/>
          <w:szCs w:val="24"/>
        </w:rPr>
        <w:t>[15], [21]</w:t>
      </w:r>
      <w:r w:rsidR="00895221" w:rsidRPr="00594E1D">
        <w:rPr>
          <w:szCs w:val="24"/>
        </w:rPr>
        <w:fldChar w:fldCharType="end"/>
      </w:r>
      <w:r w:rsidR="00895221" w:rsidRPr="00594E1D">
        <w:rPr>
          <w:szCs w:val="24"/>
        </w:rPr>
        <w:t>.</w:t>
      </w:r>
      <w:r w:rsidR="00C5152D" w:rsidRPr="00594E1D">
        <w:rPr>
          <w:szCs w:val="24"/>
        </w:rPr>
        <w:t xml:space="preserve"> </w:t>
      </w:r>
      <w:r>
        <w:t>These skeletal complications are multifactorial, often arising from chronic hormonal imbalances (e.g., hypoestrogenism in TS, androgen excess or deficiency in CAH and AIS</w:t>
      </w:r>
      <w:r w:rsidR="006F30F8">
        <w:t>)</w:t>
      </w:r>
      <w:r>
        <w:t xml:space="preserve">, inadequate pubertal progression, delayed or absent hormone replacement therapy (HRT), and nutritional deficits such as vitamin D or calcium insufficiency </w:t>
      </w:r>
      <w:r w:rsidR="00C5152D" w:rsidRPr="00594E1D">
        <w:rPr>
          <w:szCs w:val="24"/>
        </w:rPr>
        <w:fldChar w:fldCharType="begin" w:fldLock="1"/>
      </w:r>
      <w:r w:rsidR="002506CE">
        <w:rPr>
          <w:szCs w:val="24"/>
        </w:rPr>
        <w:instrText>ADDIN CSL_CITATION {"citationItems":[{"id":"ITEM-1","itemData":{"DOI":"10.1159/000315961","ISSN":"1661-5425","abstract":"Sex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Development","id":"ITEM-1","issue":"4-5","issued":{"date-parts":[["2010","9","4"]]},"page":"270-284","title":"Bone Health in Disorders of Sex Differentiation","type":"article-journal","volume":"4"},"uris":["http://www.mendeley.com/documents/?uuid=ef84c0b0-6a68-43fa-bd35-696d7225213c"]}],"mendeley":{"formattedCitation":"[15]","plainTextFormattedCitation":"[15]","previouslyFormattedCitation":"[15]"},"properties":{"noteIndex":0},"schema":"https://github.com/citation-style-language/schema/raw/master/csl-citation.json"}</w:instrText>
      </w:r>
      <w:r w:rsidR="00C5152D" w:rsidRPr="00594E1D">
        <w:rPr>
          <w:szCs w:val="24"/>
        </w:rPr>
        <w:fldChar w:fldCharType="separate"/>
      </w:r>
      <w:r w:rsidR="002506CE" w:rsidRPr="002506CE">
        <w:rPr>
          <w:noProof/>
          <w:szCs w:val="24"/>
        </w:rPr>
        <w:t>[15]</w:t>
      </w:r>
      <w:r w:rsidR="00C5152D" w:rsidRPr="00594E1D">
        <w:rPr>
          <w:szCs w:val="24"/>
        </w:rPr>
        <w:fldChar w:fldCharType="end"/>
      </w:r>
      <w:r w:rsidR="00C5152D" w:rsidRPr="00594E1D">
        <w:rPr>
          <w:szCs w:val="24"/>
        </w:rPr>
        <w:t xml:space="preserve">. </w:t>
      </w:r>
      <w:r>
        <w:t xml:space="preserve">Sex steroids—particularly estrogens and androgens—are vital regulators of bone growth and mineralisation, exerting their effects through receptors expressed in osteoblasts, osteoclasts, and chondrocytes </w:t>
      </w:r>
      <w:r w:rsidRPr="00594E1D">
        <w:rPr>
          <w:szCs w:val="24"/>
        </w:rPr>
        <w:fldChar w:fldCharType="begin" w:fldLock="1"/>
      </w:r>
      <w:r w:rsidR="002506CE">
        <w:rPr>
          <w:szCs w:val="24"/>
        </w:rPr>
        <w:instrText>ADDIN CSL_CITATION {"citationItems":[{"id":"ITEM-1","itemData":{"DOI":"10.1159/000315961","ISSN":"1661-5425","abstract":"Sex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Development","id":"ITEM-1","issue":"4-5","issued":{"date-parts":[["2010","9","4"]]},"page":"270-284","title":"Bone Health in Disorders of Sex Differentiation","type":"article-journal","volume":"4"},"uris":["http://www.mendeley.com/documents/?uuid=ef84c0b0-6a68-43fa-bd35-696d7225213c"]}],"mendeley":{"formattedCitation":"[15]","plainTextFormattedCitation":"[15]","previouslyFormattedCitation":"[15]"},"properties":{"noteIndex":0},"schema":"https://github.com/citation-style-language/schema/raw/master/csl-citation.json"}</w:instrText>
      </w:r>
      <w:r w:rsidRPr="00594E1D">
        <w:rPr>
          <w:szCs w:val="24"/>
        </w:rPr>
        <w:fldChar w:fldCharType="separate"/>
      </w:r>
      <w:r w:rsidR="002506CE" w:rsidRPr="002506CE">
        <w:rPr>
          <w:noProof/>
          <w:szCs w:val="24"/>
        </w:rPr>
        <w:t>[15]</w:t>
      </w:r>
      <w:r w:rsidRPr="00594E1D">
        <w:rPr>
          <w:szCs w:val="24"/>
        </w:rPr>
        <w:fldChar w:fldCharType="end"/>
      </w:r>
      <w:r w:rsidR="00C5152D" w:rsidRPr="00594E1D">
        <w:rPr>
          <w:szCs w:val="24"/>
        </w:rPr>
        <w:t xml:space="preserve">. </w:t>
      </w:r>
    </w:p>
    <w:p w:rsidR="00C5152D" w:rsidRPr="00594E1D" w:rsidRDefault="006F30F8">
      <w:pPr>
        <w:rPr>
          <w:szCs w:val="24"/>
        </w:rPr>
      </w:pPr>
      <w:r>
        <w:t>In individuals with CAH, bone health is further compromised by the need for long-term glucocorticoid therapy, which suppresses adrenal androgen production but also impairs osteoblast function and enhances bone resorption</w:t>
      </w:r>
      <w:r w:rsidR="00C5152D" w:rsidRPr="00594E1D">
        <w:rPr>
          <w:szCs w:val="24"/>
        </w:rPr>
        <w:t xml:space="preserve"> </w:t>
      </w:r>
      <w:r w:rsidR="00C5152D" w:rsidRPr="00594E1D">
        <w:rPr>
          <w:szCs w:val="24"/>
        </w:rPr>
        <w:fldChar w:fldCharType="begin" w:fldLock="1"/>
      </w:r>
      <w:r w:rsidR="002506CE">
        <w:rPr>
          <w:szCs w:val="24"/>
        </w:rPr>
        <w:instrText>ADDIN CSL_CITATION {"citationItems":[{"id":"ITEM-1","itemData":{"DOI":"10.1111/cen.14149","author":[{"dropping-particle":"","family":"Riehl","given":"Gabriel","non-dropping-particle":"","parse-names":false,"suffix":""},{"dropping-particle":"","family":"Reisch","given":"Nicole","non-dropping-particle":"","parse-names":false,"suffix":""},{"dropping-particle":"","family":"Roehle","given":"Robert","non-dropping-particle":"","parse-names":false,"suffix":""},{"dropping-particle":"Van Der","family":"Grinten","given":"Hedi Claahsen","non-dropping-particle":"","parse-names":false,"suffix":""},{"dropping-particle":"","family":"Falhammar","given":"Henrik","non-dropping-particle":"","parse-names":false,"suffix":""},{"dropping-particle":"","family":"Quinkler","given":"Marcus","non-dropping-particle":"","parse-names":false,"suffix":""}],"id":"ITEM-1","issue":"September 2019","issued":{"date-parts":[["2020"]]},"page":"284-294","title":"Bone mineral density and fractures in congenital adrenal hyperplasia : Findings from the dsd-LIFE study","type":"article-journal"},"uris":["http://www.mendeley.com/documents/?uuid=abd32731-d1ea-479c-a1a4-00f8a427228e"]}],"mendeley":{"formattedCitation":"[22]","plainTextFormattedCitation":"[22]","previouslyFormattedCitation":"[22]"},"properties":{"noteIndex":0},"schema":"https://github.com/citation-style-language/schema/raw/master/csl-citation.json"}</w:instrText>
      </w:r>
      <w:r w:rsidR="00C5152D" w:rsidRPr="00594E1D">
        <w:rPr>
          <w:szCs w:val="24"/>
        </w:rPr>
        <w:fldChar w:fldCharType="separate"/>
      </w:r>
      <w:r w:rsidR="002506CE" w:rsidRPr="002506CE">
        <w:rPr>
          <w:noProof/>
          <w:szCs w:val="24"/>
        </w:rPr>
        <w:t>[22]</w:t>
      </w:r>
      <w:r w:rsidR="00C5152D" w:rsidRPr="00594E1D">
        <w:rPr>
          <w:szCs w:val="24"/>
        </w:rPr>
        <w:fldChar w:fldCharType="end"/>
      </w:r>
      <w:r w:rsidR="00C5152D" w:rsidRPr="00594E1D">
        <w:rPr>
          <w:szCs w:val="24"/>
        </w:rPr>
        <w:t>.</w:t>
      </w:r>
      <w:r w:rsidR="002E69D6" w:rsidRPr="00594E1D">
        <w:rPr>
          <w:szCs w:val="24"/>
        </w:rPr>
        <w:t xml:space="preserve"> </w:t>
      </w:r>
      <w:r>
        <w:t xml:space="preserve">Findings from the dsd-LIFE study indicate that higher cumulative doses of glucocorticoids, especially prednisolone, are associated with significantly lower BMD, particularly among women with the simple-virilizing form of CAH. The study also </w:t>
      </w:r>
      <w:r>
        <w:lastRenderedPageBreak/>
        <w:t xml:space="preserve">demonstrated a dose-dependent inverse correlation between glucocorticoid exposure and BMD, reinforcing the need for cautious, individualised dosing strategies </w:t>
      </w:r>
      <w:r w:rsidR="002E69D6" w:rsidRPr="00594E1D">
        <w:rPr>
          <w:szCs w:val="24"/>
        </w:rPr>
        <w:fldChar w:fldCharType="begin" w:fldLock="1"/>
      </w:r>
      <w:r w:rsidR="002506CE">
        <w:rPr>
          <w:szCs w:val="24"/>
        </w:rPr>
        <w:instrText>ADDIN CSL_CITATION {"citationItems":[{"id":"ITEM-1","itemData":{"DOI":"10.1111/cen.14149","author":[{"dropping-particle":"","family":"Riehl","given":"Gabriel","non-dropping-particle":"","parse-names":false,"suffix":""},{"dropping-particle":"","family":"Reisch","given":"Nicole","non-dropping-particle":"","parse-names":false,"suffix":""},{"dropping-particle":"","family":"Roehle","given":"Robert","non-dropping-particle":"","parse-names":false,"suffix":""},{"dropping-particle":"Van Der","family":"Grinten","given":"Hedi Claahsen","non-dropping-particle":"","parse-names":false,"suffix":""},{"dropping-particle":"","family":"Falhammar","given":"Henrik","non-dropping-particle":"","parse-names":false,"suffix":""},{"dropping-particle":"","family":"Quinkler","given":"Marcus","non-dropping-particle":"","parse-names":false,"suffix":""}],"id":"ITEM-1","issue":"September 2019","issued":{"date-parts":[["2020"]]},"page":"284-294","title":"Bone mineral density and fractures in congenital adrenal hyperplasia : Findings from the dsd-LIFE study","type":"article-journal"},"uris":["http://www.mendeley.com/documents/?uuid=abd32731-d1ea-479c-a1a4-00f8a427228e"]}],"mendeley":{"formattedCitation":"[22]","plainTextFormattedCitation":"[22]","previouslyFormattedCitation":"[22]"},"properties":{"noteIndex":0},"schema":"https://github.com/citation-style-language/schema/raw/master/csl-citation.json"}</w:instrText>
      </w:r>
      <w:r w:rsidR="002E69D6" w:rsidRPr="00594E1D">
        <w:rPr>
          <w:szCs w:val="24"/>
        </w:rPr>
        <w:fldChar w:fldCharType="separate"/>
      </w:r>
      <w:r w:rsidR="002506CE" w:rsidRPr="002506CE">
        <w:rPr>
          <w:noProof/>
          <w:szCs w:val="24"/>
        </w:rPr>
        <w:t>[22]</w:t>
      </w:r>
      <w:r w:rsidR="002E69D6" w:rsidRPr="00594E1D">
        <w:rPr>
          <w:szCs w:val="24"/>
        </w:rPr>
        <w:fldChar w:fldCharType="end"/>
      </w:r>
      <w:r w:rsidR="002E69D6" w:rsidRPr="00594E1D">
        <w:rPr>
          <w:szCs w:val="24"/>
        </w:rPr>
        <w:t>.</w:t>
      </w:r>
    </w:p>
    <w:p w:rsidR="003012F2" w:rsidRPr="00594E1D" w:rsidRDefault="006F30F8">
      <w:pPr>
        <w:rPr>
          <w:szCs w:val="24"/>
        </w:rPr>
      </w:pPr>
      <w:r>
        <w:t xml:space="preserve">In Complete Androgen Insensitivity Syndrome (CAIS), resistance to androgen signalling leads to compromised bone health despite normal or elevated testosterone levels. Reduced BMD is a frequent finding, particularly among individuals who have undergone gonadectomy without prompt initiation or consistent adherence to estrogen replacement therapy </w:t>
      </w:r>
      <w:r w:rsidR="00C5152D" w:rsidRPr="00594E1D">
        <w:rPr>
          <w:szCs w:val="24"/>
        </w:rPr>
        <w:fldChar w:fldCharType="begin" w:fldLock="1"/>
      </w:r>
      <w:r w:rsidR="002506CE">
        <w:rPr>
          <w:szCs w:val="24"/>
        </w:rPr>
        <w:instrText>ADDIN CSL_CITATION {"citationItems":[{"id":"ITEM-1","itemData":{"ISSN":"0300-0664","author":[{"dropping-particle":"","family":"King","given":"Thomas F J","non-dropping-particle":"","parse-names":false,"suffix":""},{"dropping-particle":"","family":"Wat","given":"Winnie Z M","non-dropping-particle":"","parse-names":false,"suffix":""},{"dropping-particle":"","family":"Creighton","given":"Sarah M","non-dropping-particle":"","parse-names":false,"suffix":""},{"dropping-particle":"","family":"Conway","given":"Gerard S","non-dropping-particle":"","parse-names":false,"suffix":""}],"container-title":"Clinical endocrinology","id":"ITEM-1","issue":"2","issued":{"date-parts":[["2017"]]},"page":"136-140","publisher":"Wiley Online Library","title":"Bone mineral density in complete androgen insensitivity syndrome and the timing of gonadectomy","type":"article-journal","volume":"87"},"uris":["http://www.mendeley.com/documents/?uuid=33e6e38a-9725-4c99-8c65-31c82ba9b105"]}],"mendeley":{"formattedCitation":"[23]","plainTextFormattedCitation":"[23]","previouslyFormattedCitation":"[23]"},"properties":{"noteIndex":0},"schema":"https://github.com/citation-style-language/schema/raw/master/csl-citation.json"}</w:instrText>
      </w:r>
      <w:r w:rsidR="00C5152D" w:rsidRPr="00594E1D">
        <w:rPr>
          <w:szCs w:val="24"/>
        </w:rPr>
        <w:fldChar w:fldCharType="separate"/>
      </w:r>
      <w:r w:rsidR="002506CE" w:rsidRPr="002506CE">
        <w:rPr>
          <w:noProof/>
          <w:szCs w:val="24"/>
        </w:rPr>
        <w:t>[23]</w:t>
      </w:r>
      <w:r w:rsidR="00C5152D" w:rsidRPr="00594E1D">
        <w:rPr>
          <w:szCs w:val="24"/>
        </w:rPr>
        <w:fldChar w:fldCharType="end"/>
      </w:r>
      <w:r w:rsidR="00C5152D" w:rsidRPr="00594E1D">
        <w:rPr>
          <w:szCs w:val="24"/>
        </w:rPr>
        <w:t>.</w:t>
      </w:r>
      <w:r w:rsidR="007207E7" w:rsidRPr="00594E1D">
        <w:rPr>
          <w:szCs w:val="24"/>
        </w:rPr>
        <w:t xml:space="preserve"> </w:t>
      </w:r>
      <w:r>
        <w:t>In a retrospective study of 113 women with CAIS, King and colleagues reported reduced BMD at both the spine and hip, regardless of the age at gonadectomy. Interestingly, even participants with intact gonads often exhibited suboptimal BMD, suggesting that androgen resistance alone may significantly impair bone homeostasis. By contrast, individuals with Partial Androgen Insensitivity Syndrome (PAIS) or 5α-reductase deficiency generally show more favourable bone outcomes, especially when gonads are retained or when hormone therapy is effectively managed</w:t>
      </w:r>
      <w:r w:rsidR="007207E7" w:rsidRPr="00594E1D">
        <w:rPr>
          <w:szCs w:val="24"/>
        </w:rPr>
        <w:t xml:space="preserve"> </w:t>
      </w:r>
      <w:r w:rsidR="007207E7" w:rsidRPr="00594E1D">
        <w:rPr>
          <w:szCs w:val="24"/>
        </w:rPr>
        <w:fldChar w:fldCharType="begin" w:fldLock="1"/>
      </w:r>
      <w:r w:rsidR="002506CE">
        <w:rPr>
          <w:szCs w:val="24"/>
        </w:rPr>
        <w:instrText>ADDIN CSL_CITATION {"citationItems":[{"id":"ITEM-1","itemData":{"DOI":"10.1159/000315961","ISSN":"1661-5425","abstract":"Sex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Development","id":"ITEM-1","issue":"4-5","issued":{"date-parts":[["2010","9","4"]]},"page":"270-284","title":"Bone Health in Disorders of Sex Differentiation","type":"article-journal","volume":"4"},"uris":["http://www.mendeley.com/documents/?uuid=ef84c0b0-6a68-43fa-bd35-696d7225213c"]}],"mendeley":{"formattedCitation":"[15]","plainTextFormattedCitation":"[15]","previouslyFormattedCitation":"[15]"},"properties":{"noteIndex":0},"schema":"https://github.com/citation-style-language/schema/raw/master/csl-citation.json"}</w:instrText>
      </w:r>
      <w:r w:rsidR="007207E7" w:rsidRPr="00594E1D">
        <w:rPr>
          <w:szCs w:val="24"/>
        </w:rPr>
        <w:fldChar w:fldCharType="separate"/>
      </w:r>
      <w:r w:rsidR="002506CE" w:rsidRPr="002506CE">
        <w:rPr>
          <w:noProof/>
          <w:szCs w:val="24"/>
        </w:rPr>
        <w:t>[15]</w:t>
      </w:r>
      <w:r w:rsidR="007207E7" w:rsidRPr="00594E1D">
        <w:rPr>
          <w:szCs w:val="24"/>
        </w:rPr>
        <w:fldChar w:fldCharType="end"/>
      </w:r>
      <w:r w:rsidR="007207E7" w:rsidRPr="00594E1D">
        <w:rPr>
          <w:szCs w:val="24"/>
        </w:rPr>
        <w:t>.</w:t>
      </w:r>
    </w:p>
    <w:p w:rsidR="006F30F8" w:rsidRDefault="006F30F8">
      <w:pPr>
        <w:rPr>
          <w:szCs w:val="24"/>
        </w:rPr>
      </w:pPr>
      <w:r>
        <w:t>Klinefelter syndrome (47, XXY), the most common chromosomal cause of male hypogonadism, is strongly associated with reduced bone mineral density and increased osteoporosis risk</w:t>
      </w:r>
      <w:r w:rsidR="002E69D6" w:rsidRPr="00594E1D">
        <w:rPr>
          <w:szCs w:val="24"/>
        </w:rPr>
        <w:t xml:space="preserve"> </w:t>
      </w:r>
      <w:r w:rsidR="002E69D6" w:rsidRPr="00594E1D">
        <w:rPr>
          <w:szCs w:val="24"/>
        </w:rPr>
        <w:fldChar w:fldCharType="begin" w:fldLock="1"/>
      </w:r>
      <w:r w:rsidR="002506CE">
        <w:rPr>
          <w:szCs w:val="24"/>
        </w:rPr>
        <w:instrText>ADDIN CSL_CITATION {"citationItems":[{"id":"ITEM-1","itemData":{"DOI":"10.1210/er.2017-00212","ISSN":"0163-769X","abstract":"Although first identified over 70 years ago, Klinefelter syndrome (KS) continues to pose substantial diagnostic challenges, as many patients are still misdiagnosed, or remain undiagnosed. In fact, as few as 25% of patients with KS are accurately diagnosed and most of these diagnoses are not made until adulthood. Classic characteristics of KS include small testes, infertility, hypergonadothropic hypogonadism, and cognitive impairment. However, the pathophysiology behind KS is not well understood, although genetic effects are also thought to play a role. For example, recent developments in genetics and genomics point to a fundamental change in our understanding of KS, with global epigenetic and RNA expression changes playing a central role for the phenotype. KS is also associated with more general health markers, including higher morbidity and mortality rates and lower socioeconomic status (which likely affect both morbidity and mortality). In addition, hypogonadism is associated with greater risk of metabolic syndrome, type 2 diabetes, cardiovascular disease, breast cancer, and extragonadal germ cell tumors. Medical treatment typically focuses on testosterone replacement therapy (TRT), although the effects of this therapy have not been studied rigorously, and future studies need to evaluate the effects of TRT on metabolic risk and neurocognitive outcomes. This review presents a comprehensive interdisciplinary examination of recent developments in genetic, endocrine, and neurocognitive science, including the study of animal models. It provides a number of recommendations for improving the effectiveness of research and clinical practice, including neonatal KS screening programs, and a multidisciplinary approach to KS treatment from childhood until senescence.","author":[{"dropping-particle":"","family":"Gravholt","given":"Claus H","non-dropping-particle":"","parse-names":false,"suffix":""},{"dropping-particle":"","family":"Chang","given":"Simon","non-dropping-particle":"","parse-names":false,"suffix":""},{"dropping-particle":"","family":"Wallentin","given":"Mikkel","non-dropping-particle":"","parse-names":false,"suffix":""},{"dropping-particle":"","family":"Fedder","given":"Jens","non-dropping-particle":"","parse-names":false,"suffix":""},{"dropping-particle":"","family":"Moore","given":"Philip","non-dropping-particle":"","parse-names":false,"suffix":""},{"dropping-particle":"","family":"Skakkebæk","given":"Anne","non-dropping-particle":"","parse-names":false,"suffix":""}],"container-title":"Endocrine Reviews","id":"ITEM-1","issue":"4","issued":{"date-parts":[["2018","8","1"]]},"page":"389-423","title":"Klinefelter Syndrome: Integrating Genetics, Neuropsychology, and Endocrinology","type":"article-journal","volume":"39"},"uris":["http://www.mendeley.com/documents/?uuid=6ce7238b-caad-4256-bc43-c7bbdfc022a8"]}],"mendeley":{"formattedCitation":"[16]","plainTextFormattedCitation":"[16]","previouslyFormattedCitation":"[16]"},"properties":{"noteIndex":0},"schema":"https://github.com/citation-style-language/schema/raw/master/csl-citation.json"}</w:instrText>
      </w:r>
      <w:r w:rsidR="002E69D6" w:rsidRPr="00594E1D">
        <w:rPr>
          <w:szCs w:val="24"/>
        </w:rPr>
        <w:fldChar w:fldCharType="separate"/>
      </w:r>
      <w:r w:rsidR="002506CE" w:rsidRPr="002506CE">
        <w:rPr>
          <w:noProof/>
          <w:szCs w:val="24"/>
        </w:rPr>
        <w:t>[16]</w:t>
      </w:r>
      <w:r w:rsidR="002E69D6" w:rsidRPr="00594E1D">
        <w:rPr>
          <w:szCs w:val="24"/>
        </w:rPr>
        <w:fldChar w:fldCharType="end"/>
      </w:r>
      <w:r w:rsidR="007E3D57" w:rsidRPr="00594E1D">
        <w:rPr>
          <w:szCs w:val="24"/>
        </w:rPr>
        <w:t xml:space="preserve">. </w:t>
      </w:r>
      <w:r>
        <w:t xml:space="preserve">Although testosterone deficiency has traditionally been viewed as the primary factor underlying skeletal fragility in KS, emerging evidence points to a critical role for vitamin D deficiency. In a study of 127 men with KS, Ferlin et al. (2015) found that low serum 25-hydroxyvitamin D levels were significantly correlated with reduced BMD at both the lumbar spine and femoral neck—even in those with normal testosterone levels. Notably, testosterone replacement therapy alone did not significantly improve BMD in this cohort. However, vitamin D supplementation using calcifediol resulted in substantial increases in bone density over two years, highlighting the essential role of adequate vitamin D status in bone health maintenance among individuals with KS </w:t>
      </w:r>
      <w:r w:rsidR="007E3D57" w:rsidRPr="00594E1D">
        <w:rPr>
          <w:szCs w:val="24"/>
        </w:rPr>
        <w:fldChar w:fldCharType="begin" w:fldLock="1"/>
      </w:r>
      <w:r w:rsidR="002506CE">
        <w:rPr>
          <w:szCs w:val="24"/>
        </w:rPr>
        <w:instrText>ADDIN CSL_CITATION {"citationItems":[{"id":"ITEM-1","itemData":{"DOI":"10.1007/s00198-015-3136-8","author":[{"dropping-particle":"","family":"Ferlin","given":"A","non-dropping-particle":"","parse-names":false,"suffix":""},{"dropping-particle":"","family":"Selice","given":"R","non-dropping-particle":"","parse-names":false,"suffix":""},{"dropping-particle":"Di","family":"Mambro","given":"A","non-dropping-particle":"","parse-names":false,"suffix":""},{"dropping-particle":"","family":"Ghezzi","given":"M","non-dropping-particle":"","parse-names":false,"suffix":""},{"dropping-particle":"Di","family":"Nisio","given":"A","non-dropping-particle":"","parse-names":false,"suffix":""},{"dropping-particle":"","family":"Caretta","given":"N","non-dropping-particle":"","parse-names":false,"suffix":""}],"id":"ITEM-1","issued":{"date-parts":[["2015"]]},"title":"Role of vitamin D levels and vitamin D supplementation on bone mineral density in Klinefelter syndrome","type":"article-journal"},"uris":["http://www.mendeley.com/documents/?uuid=4bea099a-aafa-424c-9ec7-3c6ade70baff"]}],"mendeley":{"formattedCitation":"[24]","plainTextFormattedCitation":"[24]","previouslyFormattedCitation":"[24]"},"properties":{"noteIndex":0},"schema":"https://github.com/citation-style-language/schema/raw/master/csl-citation.json"}</w:instrText>
      </w:r>
      <w:r w:rsidR="007E3D57" w:rsidRPr="00594E1D">
        <w:rPr>
          <w:szCs w:val="24"/>
        </w:rPr>
        <w:fldChar w:fldCharType="separate"/>
      </w:r>
      <w:r w:rsidR="002506CE" w:rsidRPr="002506CE">
        <w:rPr>
          <w:noProof/>
          <w:szCs w:val="24"/>
        </w:rPr>
        <w:t>[24]</w:t>
      </w:r>
      <w:r w:rsidR="007E3D57" w:rsidRPr="00594E1D">
        <w:rPr>
          <w:szCs w:val="24"/>
        </w:rPr>
        <w:fldChar w:fldCharType="end"/>
      </w:r>
      <w:r w:rsidR="007E3D57" w:rsidRPr="00594E1D">
        <w:rPr>
          <w:szCs w:val="24"/>
        </w:rPr>
        <w:t>.</w:t>
      </w:r>
      <w:r w:rsidR="002E69D6" w:rsidRPr="00594E1D">
        <w:rPr>
          <w:szCs w:val="24"/>
        </w:rPr>
        <w:t xml:space="preserve"> </w:t>
      </w:r>
    </w:p>
    <w:p w:rsidR="00B26A34" w:rsidRPr="00AF64DF" w:rsidRDefault="006F30F8">
      <w:r>
        <w:lastRenderedPageBreak/>
        <w:t>Fracture prevalence in individuals with DSD is an emerging clinical concern. Data from the dsd-LIFE cohort reported 21 fractures among patients with CAH, although no statistically significant differences in fracture rates were observed across CAH subtypes. These findings suggest a generali</w:t>
      </w:r>
      <w:r w:rsidR="00F107DA">
        <w:t>s</w:t>
      </w:r>
      <w:r>
        <w:t xml:space="preserve">ed vulnerability to skeletal fragility irrespective of disease severity. Broader population-based studies further highlight the role of environmental and nutritional factors in bone health. In a study from Enugu State, Nigeria, urban children demonstrated higher BMD compared to their rural counterparts, with age and body weight identified as significant predictors in the urban group, whereas age alone was predictive in rural children </w:t>
      </w:r>
      <w:r w:rsidR="00466350" w:rsidRPr="00594E1D">
        <w:rPr>
          <w:szCs w:val="24"/>
        </w:rPr>
        <w:fldChar w:fldCharType="begin" w:fldLock="1"/>
      </w:r>
      <w:r w:rsidR="002506CE">
        <w:rPr>
          <w:szCs w:val="24"/>
        </w:rPr>
        <w:instrText>ADDIN CSL_CITATION {"citationItems":[{"id":"ITEM-1","itemData":{"ISSN":"8756-3282","author":[{"dropping-particle":"","family":"Nwogu","given":"Uloma B","non-dropping-particle":"","parse-names":false,"suffix":""},{"dropping-particle":"","family":"Agwu","given":"Kenneth K","non-dropping-particle":"","parse-names":false,"suffix":""},{"dropping-particle":"","family":"Anakwue","given":"Angel-Mary C","non-dropping-particle":"","parse-names":false,"suffix":""},{"dropping-particle":"","family":"Idigo","given":"Felicitas U","non-dropping-particle":"","parse-names":false,"suffix":""},{"dropping-particle":"","family":"Okeji","given":"Mark C","non-dropping-particle":"","parse-names":false,"suffix":""},{"dropping-particle":"","family":"Abonyi","given":"Everistus O","non-dropping-particle":"","parse-names":false,"suffix":""},{"dropping-particle":"","family":"Agbo","given":"Julius A","non-dropping-particle":"","parse-names":false,"suffix":""}],"container-title":"Bone","id":"ITEM-1","issued":{"date-parts":[["2019"]]},"page":"44-48","publisher":"Elsevier","title":"Bone mineral density in an urban and a rural children population—A comparative, population-based study in Enugu State, Nigeria","type":"article-journal","volume":"127"},"uris":["http://www.mendeley.com/documents/?uuid=129eb305-de31-4cf8-bc17-d5508b9de996"]}],"mendeley":{"formattedCitation":"[25]","plainTextFormattedCitation":"[25]","previouslyFormattedCitation":"[25]"},"properties":{"noteIndex":0},"schema":"https://github.com/citation-style-language/schema/raw/master/csl-citation.json"}</w:instrText>
      </w:r>
      <w:r w:rsidR="00466350" w:rsidRPr="00594E1D">
        <w:rPr>
          <w:szCs w:val="24"/>
        </w:rPr>
        <w:fldChar w:fldCharType="separate"/>
      </w:r>
      <w:r w:rsidR="002506CE" w:rsidRPr="002506CE">
        <w:rPr>
          <w:noProof/>
          <w:szCs w:val="24"/>
        </w:rPr>
        <w:t>[25]</w:t>
      </w:r>
      <w:r w:rsidR="00466350" w:rsidRPr="00594E1D">
        <w:rPr>
          <w:szCs w:val="24"/>
        </w:rPr>
        <w:fldChar w:fldCharType="end"/>
      </w:r>
      <w:r w:rsidR="00466350" w:rsidRPr="00594E1D">
        <w:rPr>
          <w:szCs w:val="24"/>
        </w:rPr>
        <w:t>.</w:t>
      </w:r>
      <w:r w:rsidR="002E69D6" w:rsidRPr="00594E1D">
        <w:rPr>
          <w:szCs w:val="24"/>
        </w:rPr>
        <w:t xml:space="preserve"> </w:t>
      </w:r>
      <w:r>
        <w:t>Similarly, a national survey in Egypt revealed a high prevalence of osteopenia and osteoporosis among adolescents with short stature, particularly in boys—31.1% had relative osteoporosis and 44.7% had relative osteopenia. Among stunted girls, 5.4% exhibited relative osteoporosis and 54.2% had osteopenia</w:t>
      </w:r>
      <w:r w:rsidR="00466350" w:rsidRPr="00594E1D">
        <w:rPr>
          <w:szCs w:val="24"/>
        </w:rPr>
        <w:t xml:space="preserve"> </w:t>
      </w:r>
      <w:r w:rsidR="00A56122">
        <w:rPr>
          <w:szCs w:val="24"/>
        </w:rPr>
        <w:fldChar w:fldCharType="begin" w:fldLock="1"/>
      </w:r>
      <w:r w:rsidR="002506CE">
        <w:rPr>
          <w:szCs w:val="24"/>
        </w:rPr>
        <w:instrText>ADDIN CSL_CITATION {"citationItems":[{"id":"ITEM-1","itemData":{"DOI":"10.26719/2011.17.8.687","ISSN":"10203397","PMID":"21977572","abstract":"Little is known about bone mass acquisition among stunted adolescents who did not achieve their growth in height. A national survey was made of bone mineral density among stunted adolescents and adults. A multistage stratified random sample of 2500 families (8476 adolescents and their parents) was selected from 6 governorates in different geographical areas of Egypt. Clinical history, anthropometry and measurement of bone mineral density using dual energy X-ray absorptiometry was done. Mean T-scores were significantly lower among both adults and adolescents with short stature compared with those of normal height. The predictors of bone status among adolescent boys were age, body mass index (BMI), height attained (z-score) and maternal T-score and for girls were BMI, age at menarche, paternal T-score and z-score. Stunted adolescents suffered from low bone mass density and low stature adults suffered a high prevalence of osteoporosis.","author":[{"dropping-particle":"","family":"Ibrahim","given":"S. A.","non-dropping-particle":"","parse-names":false,"suffix":""},{"dropping-particle":"","family":"Samy","given":"M. A.","non-dropping-particle":"","parse-names":false,"suffix":""},{"dropping-particle":"","family":"Matter","given":"M. K.","non-dropping-particle":"","parse-names":false,"suffix":""},{"dropping-particle":"","family":"Saleh","given":"A. O.L.","non-dropping-particle":"","parse-names":false,"suffix":""}],"container-title":"Eastern Mediterranean Health Journal","id":"ITEM-1","issue":"8","issued":{"date-parts":[["2011"]]},"page":"687-693","title":"Bone mineral density in Egyptian adolescents and adults with short stature: Results of a national survey","type":"article-journal","volume":"17"},"uris":["http://www.mendeley.com/documents/?uuid=d7bc93f8-a131-446d-8aa7-482c004b10db"]}],"mendeley":{"formattedCitation":"[26]","plainTextFormattedCitation":"[26]","previouslyFormattedCitation":"[26]"},"properties":{"noteIndex":0},"schema":"https://github.com/citation-style-language/schema/raw/master/csl-citation.json"}</w:instrText>
      </w:r>
      <w:r w:rsidR="00A56122">
        <w:rPr>
          <w:szCs w:val="24"/>
        </w:rPr>
        <w:fldChar w:fldCharType="separate"/>
      </w:r>
      <w:r w:rsidR="002506CE" w:rsidRPr="002506CE">
        <w:rPr>
          <w:noProof/>
          <w:szCs w:val="24"/>
        </w:rPr>
        <w:t>[26]</w:t>
      </w:r>
      <w:r w:rsidR="00A56122">
        <w:rPr>
          <w:szCs w:val="24"/>
        </w:rPr>
        <w:fldChar w:fldCharType="end"/>
      </w:r>
      <w:r w:rsidR="00DC296E">
        <w:rPr>
          <w:szCs w:val="24"/>
        </w:rPr>
        <w:t>.</w:t>
      </w:r>
      <w:r>
        <w:rPr>
          <w:szCs w:val="24"/>
        </w:rPr>
        <w:t xml:space="preserve"> </w:t>
      </w:r>
      <w:r>
        <w:t>These findings underscore the need for early screening and preventive strategies, particularly in resource-limited settings.</w:t>
      </w:r>
    </w:p>
    <w:p w:rsidR="00466350" w:rsidRPr="00594E1D" w:rsidRDefault="005828EB">
      <w:pPr>
        <w:rPr>
          <w:b/>
          <w:szCs w:val="24"/>
        </w:rPr>
      </w:pPr>
      <w:r>
        <w:rPr>
          <w:b/>
          <w:szCs w:val="24"/>
        </w:rPr>
        <w:t xml:space="preserve">2.2 </w:t>
      </w:r>
      <w:r w:rsidR="00466350" w:rsidRPr="00594E1D">
        <w:rPr>
          <w:b/>
          <w:szCs w:val="24"/>
        </w:rPr>
        <w:t>Vitamin D Metabolism and Calcium Regulation in Disorders of Sex Development (DSD)</w:t>
      </w:r>
    </w:p>
    <w:p w:rsidR="00466350" w:rsidRPr="00594E1D" w:rsidRDefault="00636CAA">
      <w:pPr>
        <w:rPr>
          <w:szCs w:val="24"/>
        </w:rPr>
      </w:pPr>
      <w:r>
        <w:t xml:space="preserve">Vitamin D and calcium are essential for skeletal integrity, operating through a finely coordinated physiological system involving the skin, liver, kidneys, gastrointestinal tract, and bone </w:t>
      </w:r>
      <w:r w:rsidR="00466350" w:rsidRPr="00594E1D">
        <w:rPr>
          <w:szCs w:val="24"/>
        </w:rPr>
        <w:fldChar w:fldCharType="begin" w:fldLock="1"/>
      </w:r>
      <w:r w:rsidR="002506CE">
        <w:rPr>
          <w:szCs w:val="24"/>
        </w:rPr>
        <w:instrText>ADDIN CSL_CITATION {"citationItems":[{"id":"ITEM-1","itemData":{"ISSN":"2218-1989","author":[{"dropping-particle":"","family":"Dominguez","given":"Ligia J","non-dropping-particle":"","parse-names":false,"suffix":""},{"dropping-particle":"","family":"Farruggia","given":"Mario","non-dropping-particle":"","parse-names":false,"suffix":""},{"dropping-particle":"","family":"Veronese","given":"Nicola","non-dropping-particle":"","parse-names":false,"suffix":""},{"dropping-particle":"","family":"Barbagallo","given":"Mario","non-dropping-particle":"","parse-names":false,"suffix":""}],"container-title":"Metabolites","id":"ITEM-1","issue":"4","issued":{"date-parts":[["2021"]]},"page":"255","publisher":"MDPI","title":"Vitamin D sources, metabolism, and deficiency: available compounds and guidelines for its treatment","type":"article-journal","volume":"11"},"uris":["http://www.mendeley.com/documents/?uuid=3904b368-8464-43d2-a423-a0f1c1dd9bc9"]}],"mendeley":{"formattedCitation":"[27]","plainTextFormattedCitation":"[27]","previouslyFormattedCitation":"[27]"},"properties":{"noteIndex":0},"schema":"https://github.com/citation-style-language/schema/raw/master/csl-citation.json"}</w:instrText>
      </w:r>
      <w:r w:rsidR="00466350" w:rsidRPr="00594E1D">
        <w:rPr>
          <w:szCs w:val="24"/>
        </w:rPr>
        <w:fldChar w:fldCharType="separate"/>
      </w:r>
      <w:r w:rsidR="002506CE" w:rsidRPr="002506CE">
        <w:rPr>
          <w:noProof/>
          <w:szCs w:val="24"/>
        </w:rPr>
        <w:t>[27]</w:t>
      </w:r>
      <w:r w:rsidR="00466350" w:rsidRPr="00594E1D">
        <w:rPr>
          <w:szCs w:val="24"/>
        </w:rPr>
        <w:fldChar w:fldCharType="end"/>
      </w:r>
      <w:r w:rsidR="00466350" w:rsidRPr="00594E1D">
        <w:rPr>
          <w:szCs w:val="24"/>
        </w:rPr>
        <w:t xml:space="preserve">. </w:t>
      </w:r>
      <w:r>
        <w:t xml:space="preserve">Endogenous vitamin D synthesis begins in the skin, where ultraviolet (UV) radiation converts 7-dehydrocholesterol into cholecalciferol (vitamin D₃). This precursor is hydroxylated in the liver to form 25-hydroxyvitamin D [25(OH)D], the primary circulating marker of vitamin D status </w:t>
      </w:r>
      <w:r w:rsidR="00466350" w:rsidRPr="00594E1D">
        <w:rPr>
          <w:szCs w:val="24"/>
        </w:rPr>
        <w:fldChar w:fldCharType="begin" w:fldLock="1"/>
      </w:r>
      <w:r w:rsidR="002506CE">
        <w:rPr>
          <w:szCs w:val="24"/>
        </w:rPr>
        <w:instrText>ADDIN CSL_CITATION {"citationItems":[{"id":"ITEM-1","itemData":{"ISSN":"2218-1989","author":[{"dropping-particle":"","family":"Dominguez","given":"Ligia J","non-dropping-particle":"","parse-names":false,"suffix":""},{"dropping-particle":"","family":"Farruggia","given":"Mario","non-dropping-particle":"","parse-names":false,"suffix":""},{"dropping-particle":"","family":"Veronese","given":"Nicola","non-dropping-particle":"","parse-names":false,"suffix":""},{"dropping-particle":"","family":"Barbagallo","given":"Mario","non-dropping-particle":"","parse-names":false,"suffix":""}],"container-title":"Metabolites","id":"ITEM-1","issue":"4","issued":{"date-parts":[["2021"]]},"page":"255","publisher":"MDPI","title":"Vitamin D sources, metabolism, and deficiency: available compounds and guidelines for its treatment","type":"article-journal","volume":"11"},"uris":["http://www.mendeley.com/documents/?uuid=3904b368-8464-43d2-a423-a0f1c1dd9bc9"]}],"mendeley":{"formattedCitation":"[27]","plainTextFormattedCitation":"[27]","previouslyFormattedCitation":"[27]"},"properties":{"noteIndex":0},"schema":"https://github.com/citation-style-language/schema/raw/master/csl-citation.json"}</w:instrText>
      </w:r>
      <w:r w:rsidR="00466350" w:rsidRPr="00594E1D">
        <w:rPr>
          <w:szCs w:val="24"/>
        </w:rPr>
        <w:fldChar w:fldCharType="separate"/>
      </w:r>
      <w:r w:rsidR="002506CE" w:rsidRPr="002506CE">
        <w:rPr>
          <w:noProof/>
          <w:szCs w:val="24"/>
        </w:rPr>
        <w:t>[27]</w:t>
      </w:r>
      <w:r w:rsidR="00466350" w:rsidRPr="00594E1D">
        <w:rPr>
          <w:szCs w:val="24"/>
        </w:rPr>
        <w:fldChar w:fldCharType="end"/>
      </w:r>
      <w:r w:rsidR="00466350" w:rsidRPr="00594E1D">
        <w:rPr>
          <w:szCs w:val="24"/>
        </w:rPr>
        <w:t xml:space="preserve">. </w:t>
      </w:r>
      <w:r>
        <w:t xml:space="preserve">In the kidneys, 25(OH)D undergoes a second hydroxylation by 1α-hydroxylase (CYP27B1), forming the biologically active metabolite 1,25-dihydroxyvitamin D [1,25(OH)₂D or calcitriol] </w:t>
      </w:r>
      <w:r w:rsidR="00466350" w:rsidRPr="00594E1D">
        <w:rPr>
          <w:szCs w:val="24"/>
        </w:rPr>
        <w:fldChar w:fldCharType="begin" w:fldLock="1"/>
      </w:r>
      <w:r w:rsidR="002506CE">
        <w:rPr>
          <w:szCs w:val="24"/>
        </w:rPr>
        <w:instrText>ADDIN CSL_CITATION {"citationItems":[{"id":"ITEM-1","itemData":{"DOI":"10.1038/boneres.2016.41","author":[{"dropping-particle":"","family":"Veldurthy","given":"Vaishali","non-dropping-particle":"","parse-names":false,"suffix":""},{"dropping-particle":"","family":"Wei","given":"Ran","non-dropping-particle":"","parse-names":false,"suffix":""},{"dropping-particle":"","family":"Oz","given":"Leyla","non-dropping-particle":"","parse-names":false,"suffix":""},{"dropping-particle":"","family":"Dhawan","given":"Puneet","non-dropping-particle":"","parse-names":false,"suffix":""},{"dropping-particle":"","family":"Jeon","given":"Yong Heui","non-dropping-particle":"","parse-names":false,"suffix":""},{"dropping-particle":"","family":"Christakos","given":"Sylvia","non-dropping-particle":"","parse-names":false,"suffix":""}],"id":"ITEM-1","issue":"September","issued":{"date-parts":[["2016"]]},"page":"1-7","title":"Vitamin D , calcium homeostasis and aging","type":"article-journal","volume":"25"},"uris":["http://www.mendeley.com/documents/?uuid=ec0ae939-4f9f-4601-b0fc-2ae728c4bbdd"]}],"mendeley":{"formattedCitation":"[28]","plainTextFormattedCitation":"[28]","previouslyFormattedCitation":"[28]"},"properties":{"noteIndex":0},"schema":"https://github.com/citation-style-language/schema/raw/master/csl-citation.json"}</w:instrText>
      </w:r>
      <w:r w:rsidR="00466350" w:rsidRPr="00594E1D">
        <w:rPr>
          <w:szCs w:val="24"/>
        </w:rPr>
        <w:fldChar w:fldCharType="separate"/>
      </w:r>
      <w:r w:rsidR="002506CE" w:rsidRPr="002506CE">
        <w:rPr>
          <w:noProof/>
          <w:szCs w:val="24"/>
        </w:rPr>
        <w:t>[28]</w:t>
      </w:r>
      <w:r w:rsidR="00466350" w:rsidRPr="00594E1D">
        <w:rPr>
          <w:szCs w:val="24"/>
        </w:rPr>
        <w:fldChar w:fldCharType="end"/>
      </w:r>
      <w:r w:rsidR="00466350" w:rsidRPr="00594E1D">
        <w:rPr>
          <w:szCs w:val="24"/>
        </w:rPr>
        <w:t xml:space="preserve">. </w:t>
      </w:r>
      <w:r>
        <w:t xml:space="preserve">Calcitriol binds to the vitamin D receptor (VDR), regulating calcium and phosphate </w:t>
      </w:r>
      <w:r>
        <w:lastRenderedPageBreak/>
        <w:t xml:space="preserve">homeostasis by enhancing intestinal absorption, increasing renal reabsorption, and modulating bone remodelling through osteoblast and osteoclast activity </w:t>
      </w:r>
      <w:r w:rsidR="00466350" w:rsidRPr="00594E1D">
        <w:rPr>
          <w:szCs w:val="24"/>
        </w:rPr>
        <w:fldChar w:fldCharType="begin" w:fldLock="1"/>
      </w:r>
      <w:r w:rsidR="002506CE">
        <w:rPr>
          <w:szCs w:val="24"/>
        </w:rPr>
        <w:instrText>ADDIN CSL_CITATION {"citationItems":[{"id":"ITEM-1","itemData":{"DOI":"10.1152/physrev.00014.2015","ISSN":"0031-9333","abstract":"1,25-Dihydroxvitamin D3 [1,25(OH)2D3] is the hormonally active form of vitamin D. The genomic mechanism of 1,25(OH)2D3 action involves the direct binding of the 1,25(OH)2D3 activated vitamin D receptor/retinoic X receptor (VDR/RXR) heterodimeric complex to specific DNA sequences. Numerous VDR co-regulatory proteins have been identified, and genome-wide studies have shown that the actions of 1,25(OH)2D3 involve regulation of gene activity at a range of locations many kilobases from the transcription start site. The structure of the liganded VDR/RXR complex was recently characterized using cryoelectron microscopy, X-ray scattering, and hydrogen deuterium exchange. These recent technological advances will result in a more complete understanding of VDR coactivator interactions, thus facilitating cell and gene specific clinical applications. Although the identification of mechanisms mediating VDR-regulated transcription has been one focus of recent research in the field, other topics of fundamental importance include the identification and functional significance of proteins involved in the metabolism of vitamin D. CYP2R1 has been identified as the most important 25-hydroxylase, and a critical role for CYP24A1 in humans was noted in studies showing that inactivating mutations in CYP24A1 are a probable cause of idiopathic infantile hypercalcemia. In addition, studies using knockout and transgenic mice have provided new insight on the physiological role of vitamin D in classical target tissues as well as evidence of extraskeletal effects of 1,25(OH)2D3 including inhibition of cancer progression, effects on the cardiovascular system, and immunomodulatory effects in certain autoimmune diseases. Some of the mechanistic findings in mouse models have also been observed in humans. The identification of similar pathways in humans could lead to the development of new therapies to prevent and treat disease.","author":[{"dropping-particle":"","family":"Christakos","given":"Sylvia","non-dropping-particle":"","parse-names":false,"suffix":""},{"dropping-particle":"","family":"Dhawan","given":"Puneet","non-dropping-particle":"","parse-names":false,"suffix":""},{"dropping-particle":"","family":"Verstuyf","given":"Annemieke","non-dropping-particle":"","parse-names":false,"suffix":""},{"dropping-particle":"","family":"Verlinden","given":"Lieve","non-dropping-particle":"","parse-names":false,"suffix":""},{"dropping-particle":"","family":"Carmeliet","given":"Geert","non-dropping-particle":"","parse-names":false,"suffix":""}],"container-title":"Physiological Reviews","id":"ITEM-1","issue":"1","issued":{"date-parts":[["2015","12","17"]]},"note":"doi: 10.1152/physrev.00014.2015","page":"365-408","publisher":"American Physiological Society","title":"Vitamin D: Metabolism, Molecular Mechanism of Action, and Pleiotropic Effects","type":"article-journal","volume":"96"},"uris":["http://www.mendeley.com/documents/?uuid=7c124899-7e45-4a2a-8de4-775b4e7fd479"]}],"mendeley":{"formattedCitation":"[29]","plainTextFormattedCitation":"[29]","previouslyFormattedCitation":"[29]"},"properties":{"noteIndex":0},"schema":"https://github.com/citation-style-language/schema/raw/master/csl-citation.json"}</w:instrText>
      </w:r>
      <w:r w:rsidR="00466350" w:rsidRPr="00594E1D">
        <w:rPr>
          <w:szCs w:val="24"/>
        </w:rPr>
        <w:fldChar w:fldCharType="separate"/>
      </w:r>
      <w:r w:rsidR="002506CE" w:rsidRPr="002506CE">
        <w:rPr>
          <w:noProof/>
          <w:szCs w:val="24"/>
        </w:rPr>
        <w:t>[29]</w:t>
      </w:r>
      <w:r w:rsidR="00466350" w:rsidRPr="00594E1D">
        <w:rPr>
          <w:szCs w:val="24"/>
        </w:rPr>
        <w:fldChar w:fldCharType="end"/>
      </w:r>
      <w:r w:rsidR="00466350" w:rsidRPr="00594E1D">
        <w:rPr>
          <w:szCs w:val="24"/>
        </w:rPr>
        <w:t>.</w:t>
      </w:r>
    </w:p>
    <w:p w:rsidR="008155D7" w:rsidRPr="00594E1D" w:rsidRDefault="007923D9" w:rsidP="008155D7">
      <w:pPr>
        <w:rPr>
          <w:szCs w:val="24"/>
        </w:rPr>
      </w:pPr>
      <w:r>
        <w:t xml:space="preserve">In individuals with DSD, vitamin D and calcium homeostasis </w:t>
      </w:r>
      <w:r w:rsidR="00B26A34">
        <w:t>are</w:t>
      </w:r>
      <w:r>
        <w:t xml:space="preserve"> frequently disrupted due to a combination of endocrine abnormalities, gonadal insufficiency, and long-term medical therapies. Hypogonadism—common in DSD subtypes such as CAIS, Turner syndrome, and Klinefelter syndrome—plays a central role in this disruption. Sex steroids like estrogen and testosterone are known to enhance the expression of vitamin D receptors (VDR) in intestinal and bone tissues</w:t>
      </w:r>
      <w:r w:rsidR="008155D7" w:rsidRPr="00594E1D">
        <w:rPr>
          <w:szCs w:val="24"/>
        </w:rPr>
        <w:t xml:space="preserve"> </w:t>
      </w:r>
      <w:r w:rsidR="008155D7" w:rsidRPr="00594E1D">
        <w:rPr>
          <w:szCs w:val="24"/>
        </w:rPr>
        <w:fldChar w:fldCharType="begin" w:fldLock="1"/>
      </w:r>
      <w:r w:rsidR="002506CE">
        <w:rPr>
          <w:szCs w:val="24"/>
        </w:rPr>
        <w:instrText>ADDIN CSL_CITATION {"citationItems":[{"id":"ITEM-1","itemData":{"DOI":"10.1159/000315961","ISSN":"1661-5425","abstract":"Sex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Development","id":"ITEM-1","issue":"4-5","issued":{"date-parts":[["2010","9","4"]]},"page":"270-284","title":"Bone Health in Disorders of Sex Differentiation","type":"article-journal","volume":"4"},"uris":["http://www.mendeley.com/documents/?uuid=ef84c0b0-6a68-43fa-bd35-696d7225213c"]},{"id":"ITEM-2","itemData":{"DOI":"10.1152/physrev.00014.2015","ISSN":"0031-9333","abstract":"1,25-Dihydroxvitamin D3 [1,25(OH)2D3] is the hormonally active form of vitamin D. The genomic mechanism of 1,25(OH)2D3 action involves the direct binding of the 1,25(OH)2D3 activated vitamin D receptor/retinoic X receptor (VDR/RXR) heterodimeric complex to specific DNA sequences. Numerous VDR co-regulatory proteins have been identified, and genome-wide studies have shown that the actions of 1,25(OH)2D3 involve regulation of gene activity at a range of locations many kilobases from the transcription start site. The structure of the liganded VDR/RXR complex was recently characterized using cryoelectron microscopy, X-ray scattering, and hydrogen deuterium exchange. These recent technological advances will result in a more complete understanding of VDR coactivator interactions, thus facilitating cell and gene specific clinical applications. Although the identification of mechanisms mediating VDR-regulated transcription has been one focus of recent research in the field, other topics of fundamental importance include the identification and functional significance of proteins involved in the metabolism of vitamin D. CYP2R1 has been identified as the most important 25-hydroxylase, and a critical role for CYP24A1 in humans was noted in studies showing that inactivating mutations in CYP24A1 are a probable cause of idiopathic infantile hypercalcemia. In addition, studies using knockout and transgenic mice have provided new insight on the physiological role of vitamin D in classical target tissues as well as evidence of extraskeletal effects of 1,25(OH)2D3 including inhibition of cancer progression, effects on the cardiovascular system, and immunomodulatory effects in certain autoimmune diseases. Some of the mechanistic findings in mouse models have also been observed in humans. The identification of similar pathways in humans could lead to the development of new therapies to prevent and treat disease.","author":[{"dropping-particle":"","family":"Christakos","given":"Sylvia","non-dropping-particle":"","parse-names":false,"suffix":""},{"dropping-particle":"","family":"Dhawan","given":"Puneet","non-dropping-particle":"","parse-names":false,"suffix":""},{"dropping-particle":"","family":"Verstuyf","given":"Annemieke","non-dropping-particle":"","parse-names":false,"suffix":""},{"dropping-particle":"","family":"Verlinden","given":"Lieve","non-dropping-particle":"","parse-names":false,"suffix":""},{"dropping-particle":"","family":"Carmeliet","given":"Geert","non-dropping-particle":"","parse-names":false,"suffix":""}],"container-title":"Physiological Reviews","id":"ITEM-2","issue":"1","issued":{"date-parts":[["2015","12","17"]]},"note":"doi: 10.1152/physrev.00014.2015","page":"365-408","publisher":"American Physiological Society","title":"Vitamin D: Metabolism, Molecular Mechanism of Action, and Pleiotropic Effects","type":"article-journal","volume":"96"},"uris":["http://www.mendeley.com/documents/?uuid=7c124899-7e45-4a2a-8de4-775b4e7fd479"]}],"mendeley":{"formattedCitation":"[15], [29]","plainTextFormattedCitation":"[15], [29]","previouslyFormattedCitation":"[15], [29]"},"properties":{"noteIndex":0},"schema":"https://github.com/citation-style-language/schema/raw/master/csl-citation.json"}</w:instrText>
      </w:r>
      <w:r w:rsidR="008155D7" w:rsidRPr="00594E1D">
        <w:rPr>
          <w:szCs w:val="24"/>
        </w:rPr>
        <w:fldChar w:fldCharType="separate"/>
      </w:r>
      <w:r w:rsidR="002506CE" w:rsidRPr="002506CE">
        <w:rPr>
          <w:noProof/>
          <w:szCs w:val="24"/>
        </w:rPr>
        <w:t>[15], [29]</w:t>
      </w:r>
      <w:r w:rsidR="008155D7" w:rsidRPr="00594E1D">
        <w:rPr>
          <w:szCs w:val="24"/>
        </w:rPr>
        <w:fldChar w:fldCharType="end"/>
      </w:r>
      <w:r w:rsidR="008155D7" w:rsidRPr="00594E1D">
        <w:rPr>
          <w:szCs w:val="24"/>
        </w:rPr>
        <w:t xml:space="preserve">. </w:t>
      </w:r>
      <w:r>
        <w:t>Consequently, deficiency of these hormones diminishes vitamin D responsiveness and calcium absorption, impairing bone mineralisation and increasing the risk of osteopenia and osteoporosis</w:t>
      </w:r>
      <w:r w:rsidR="008155D7" w:rsidRPr="00594E1D">
        <w:rPr>
          <w:szCs w:val="24"/>
        </w:rPr>
        <w:t xml:space="preserve"> </w:t>
      </w:r>
      <w:r w:rsidR="008155D7" w:rsidRPr="00594E1D">
        <w:rPr>
          <w:szCs w:val="24"/>
        </w:rPr>
        <w:fldChar w:fldCharType="begin" w:fldLock="1"/>
      </w:r>
      <w:r w:rsidR="002506CE">
        <w:rPr>
          <w:szCs w:val="24"/>
        </w:rPr>
        <w:instrText>ADDIN CSL_CITATION {"citationItems":[{"id":"ITEM-1","itemData":{"DOI":"10.1159/000315961","ISSN":"1661-5425","abstract":"Sex steroids are main regulators of skeletal growth, maturation and mass in both men and women. People with disorders of sex development (DSD) may experience problems in developing normal bone growth, structure and mass, because abnormal sex steroid secretion or action may be operative. In complete androgen insensitivity syndrome several reports documented reduced bone mineral density (BMD). Reduced BMD is evident in patients with not removed or removed gonads, but it is poorer in the latter, mainly when compliance with estrogen replacement therapy is not guaranteed. Large impairment of BMD does not seem to be present in patients with partial androgen insensitivity syndrome or 5α-reductase-2 deficiency, providing that gonads are not removed or that substitutive therapy is optimized. In congenital adrenal hyperplasia, BMD may be impaired as a result of not optimal glucocorticoid administration. In Turner syndrome, impaired BMD may result from the combined actions of estrogen deficiency, low bone dimensions, altered bone geometry, deficient cortical bone, and trabecular bone loss. Optimal estrogen administration seems to be important in preserving bone mass and enhancing trabecular bone volume. On the whole, bone health represents a main clinical issue for the management of persons with disorders of sex differentiation, and well designed longitudinal studies should be developed to improve their bone health and well-being.","author":[{"dropping-particle":"","family":"Bertelloni","given":"S","non-dropping-particle":"","parse-names":false,"suffix":""},{"dropping-particle":"","family":"Baroncelli","given":"G I","non-dropping-particle":"","parse-names":false,"suffix":""},{"dropping-particle":"","family":"Mora","given":"S","non-dropping-particle":"","parse-names":false,"suffix":""}],"container-title":"Sexual Development","id":"ITEM-1","issue":"4-5","issued":{"date-parts":[["2010","9","4"]]},"page":"270-284","title":"Bone Health in Disorders of Sex Differentiation","type":"article-journal","volume":"4"},"uris":["http://www.mendeley.com/documents/?uuid=ef84c0b0-6a68-43fa-bd35-696d7225213c"]},{"id":"ITEM-2","itemData":{"DOI":"10.1007/s00198-015-3136-8","author":[{"dropping-particle":"","family":"Ferlin","given":"A","non-dropping-particle":"","parse-names":false,"suffix":""},{"dropping-particle":"","family":"Selice","given":"R","non-dropping-particle":"","parse-names":false,"suffix":""},{"dropping-particle":"Di","family":"Mambro","given":"A","non-dropping-particle":"","parse-names":false,"suffix":""},{"dropping-particle":"","family":"Ghezzi","given":"M","non-dropping-particle":"","parse-names":false,"suffix":""},{"dropping-particle":"Di","family":"Nisio","given":"A","non-dropping-particle":"","parse-names":false,"suffix":""},{"dropping-particle":"","family":"Caretta","given":"N","non-dropping-particle":"","parse-names":false,"suffix":""}],"id":"ITEM-2","issued":{"date-parts":[["2015"]]},"title":"Role of vitamin D levels and vitamin D supplementation on bone mineral density in Klinefelter syndrome","type":"article-journal"},"uris":["http://www.mendeley.com/documents/?uuid=4bea099a-aafa-424c-9ec7-3c6ade70baff"]}],"mendeley":{"formattedCitation":"[15], [24]","plainTextFormattedCitation":"[15], [24]","previouslyFormattedCitation":"[15], [24]"},"properties":{"noteIndex":0},"schema":"https://github.com/citation-style-language/schema/raw/master/csl-citation.json"}</w:instrText>
      </w:r>
      <w:r w:rsidR="008155D7" w:rsidRPr="00594E1D">
        <w:rPr>
          <w:szCs w:val="24"/>
        </w:rPr>
        <w:fldChar w:fldCharType="separate"/>
      </w:r>
      <w:r w:rsidR="002506CE" w:rsidRPr="002506CE">
        <w:rPr>
          <w:noProof/>
          <w:szCs w:val="24"/>
        </w:rPr>
        <w:t>[15], [24]</w:t>
      </w:r>
      <w:r w:rsidR="008155D7" w:rsidRPr="00594E1D">
        <w:rPr>
          <w:szCs w:val="24"/>
        </w:rPr>
        <w:fldChar w:fldCharType="end"/>
      </w:r>
      <w:r w:rsidR="008155D7" w:rsidRPr="00594E1D">
        <w:rPr>
          <w:szCs w:val="24"/>
        </w:rPr>
        <w:t xml:space="preserve">. </w:t>
      </w:r>
      <w:r>
        <w:t>Additionally, impaired vitamin D activation has been documented in individuals with Klinefelter syndrome</w:t>
      </w:r>
      <w:r w:rsidR="008155D7" w:rsidRPr="00594E1D">
        <w:rPr>
          <w:szCs w:val="24"/>
        </w:rPr>
        <w:t xml:space="preserve">. </w:t>
      </w:r>
      <w:r>
        <w:t>Ferlin et al. (2015) demonstrated that men with KS had significantly lower serum 25(OH)D levels, independent of testosterone status, suggesting intrinsic defects in vitamin D synthesis or metabolism. These low vitamin D levels were strongly correlated with reduced BMD at the lumbar spine and femoral neck. Importantly, vitamin D supplementation using calcifediol improved BMD significantly, whereas testosterone therapy alone yielded limited skeletal benefits.</w:t>
      </w:r>
    </w:p>
    <w:p w:rsidR="007923D9" w:rsidRPr="00AF64DF" w:rsidRDefault="007923D9" w:rsidP="0054372F">
      <w:pPr>
        <w:rPr>
          <w:szCs w:val="24"/>
        </w:rPr>
      </w:pPr>
      <w:r>
        <w:t xml:space="preserve">In individuals with CAH, bone health is adversely affected by both chronic androgen excess and long-term glucocorticoid therapy. Glucocorticoids, while necessary to control adrenal hyperactivity, inhibit the renal enzyme CYP27B1, thereby reducing the conversion of 25(OH)D to its active form, calcitriol. Simultaneously, they upregulate CYP24A1, an enzyme that promotes vitamin D catabolism, further depleting active vitamin D levels </w:t>
      </w:r>
      <w:r w:rsidR="008155D7" w:rsidRPr="00594E1D">
        <w:rPr>
          <w:szCs w:val="24"/>
        </w:rPr>
        <w:fldChar w:fldCharType="begin" w:fldLock="1"/>
      </w:r>
      <w:r w:rsidR="002506CE">
        <w:rPr>
          <w:szCs w:val="24"/>
        </w:rPr>
        <w:instrText>ADDIN CSL_CITATION {"citationItems":[{"id":"ITEM-1","itemData":{"DOI":"10.1111/cen.14149","author":[{"dropping-particle":"","family":"Riehl","given":"Gabriel","non-dropping-particle":"","parse-names":false,"suffix":""},{"dropping-particle":"","family":"Reisch","given":"Nicole","non-dropping-particle":"","parse-names":false,"suffix":""},{"dropping-particle":"","family":"Roehle","given":"Robert","non-dropping-particle":"","parse-names":false,"suffix":""},{"dropping-particle":"Van Der","family":"Grinten","given":"Hedi Claahsen","non-dropping-particle":"","parse-names":false,"suffix":""},{"dropping-particle":"","family":"Falhammar","given":"Henrik","non-dropping-particle":"","parse-names":false,"suffix":""},{"dropping-particle":"","family":"Quinkler","given":"Marcus","non-dropping-particle":"","parse-names":false,"suffix":""}],"id":"ITEM-1","issue":"September 2019","issued":{"date-parts":[["2020"]]},"page":"284-294","title":"Bone mineral density and fractures in congenital adrenal hyperplasia : Findings from the dsd-LIFE study","type":"article-journal"},"uris":["http://www.mendeley.com/documents/?uuid=abd32731-d1ea-479c-a1a4-00f8a427228e"]}],"mendeley":{"formattedCitation":"[22]","plainTextFormattedCitation":"[22]","previouslyFormattedCitation":"[22]"},"properties":{"noteIndex":0},"schema":"https://github.com/citation-style-language/schema/raw/master/csl-citation.json"}</w:instrText>
      </w:r>
      <w:r w:rsidR="008155D7" w:rsidRPr="00594E1D">
        <w:rPr>
          <w:szCs w:val="24"/>
        </w:rPr>
        <w:fldChar w:fldCharType="separate"/>
      </w:r>
      <w:r w:rsidR="002506CE" w:rsidRPr="002506CE">
        <w:rPr>
          <w:noProof/>
          <w:szCs w:val="24"/>
        </w:rPr>
        <w:t>[22]</w:t>
      </w:r>
      <w:r w:rsidR="008155D7" w:rsidRPr="00594E1D">
        <w:rPr>
          <w:szCs w:val="24"/>
        </w:rPr>
        <w:fldChar w:fldCharType="end"/>
      </w:r>
      <w:r w:rsidR="008155D7" w:rsidRPr="00594E1D">
        <w:rPr>
          <w:szCs w:val="24"/>
        </w:rPr>
        <w:t xml:space="preserve">. </w:t>
      </w:r>
      <w:r>
        <w:t>These disruptions impair calcium absorption and contribute to mineral imbalance. Additionally, glucocorticoids suppress osteoblast differentiation, enhance osteoclast activity, and promote urinary calcium excretion—</w:t>
      </w:r>
      <w:r>
        <w:lastRenderedPageBreak/>
        <w:t>cumulatively leading to reduced bone formation and lower BMD</w:t>
      </w:r>
      <w:r w:rsidR="008155D7" w:rsidRPr="00594E1D">
        <w:rPr>
          <w:szCs w:val="24"/>
        </w:rPr>
        <w:t xml:space="preserve"> </w:t>
      </w:r>
      <w:r w:rsidR="008155D7" w:rsidRPr="00594E1D">
        <w:rPr>
          <w:szCs w:val="24"/>
        </w:rPr>
        <w:fldChar w:fldCharType="begin" w:fldLock="1"/>
      </w:r>
      <w:r w:rsidR="002506CE">
        <w:rPr>
          <w:szCs w:val="24"/>
        </w:rPr>
        <w:instrText>ADDIN CSL_CITATION {"citationItems":[{"id":"ITEM-1","itemData":{"DOI":"10.1111/cen.14149","author":[{"dropping-particle":"","family":"Riehl","given":"Gabriel","non-dropping-particle":"","parse-names":false,"suffix":""},{"dropping-particle":"","family":"Reisch","given":"Nicole","non-dropping-particle":"","parse-names":false,"suffix":""},{"dropping-particle":"","family":"Roehle","given":"Robert","non-dropping-particle":"","parse-names":false,"suffix":""},{"dropping-particle":"Van Der","family":"Grinten","given":"Hedi Claahsen","non-dropping-particle":"","parse-names":false,"suffix":""},{"dropping-particle":"","family":"Falhammar","given":"Henrik","non-dropping-particle":"","parse-names":false,"suffix":""},{"dropping-particle":"","family":"Quinkler","given":"Marcus","non-dropping-particle":"","parse-names":false,"suffix":""}],"id":"ITEM-1","issue":"September 2019","issued":{"date-parts":[["2020"]]},"page":"284-294","title":"Bone mineral density and fractures in congenital adrenal hyperplasia : Findings from the dsd-LIFE study","type":"article-journal"},"uris":["http://www.mendeley.com/documents/?uuid=abd32731-d1ea-479c-a1a4-00f8a427228e"]},{"id":"ITEM-2","itemData":{"DOI":"10.1038/boneres.2016.41","author":[{"dropping-particle":"","family":"Veldurthy","given":"Vaishali","non-dropping-particle":"","parse-names":false,"suffix":""},{"dropping-particle":"","family":"Wei","given":"Ran","non-dropping-particle":"","parse-names":false,"suffix":""},{"dropping-particle":"","family":"Oz","given":"Leyla","non-dropping-particle":"","parse-names":false,"suffix":""},{"dropping-particle":"","family":"Dhawan","given":"Puneet","non-dropping-particle":"","parse-names":false,"suffix":""},{"dropping-particle":"","family":"Jeon","given":"Yong Heui","non-dropping-particle":"","parse-names":false,"suffix":""},{"dropping-particle":"","family":"Christakos","given":"Sylvia","non-dropping-particle":"","parse-names":false,"suffix":""}],"id":"ITEM-2","issue":"September","issued":{"date-parts":[["2016"]]},"page":"1-7","title":"Vitamin D , calcium homeostasis and aging","type":"article-journal","volume":"25"},"uris":["http://www.mendeley.com/documents/?uuid=ec0ae939-4f9f-4601-b0fc-2ae728c4bbdd"]}],"mendeley":{"formattedCitation":"[22], [28]","plainTextFormattedCitation":"[22], [28]","previouslyFormattedCitation":"[22], [28]"},"properties":{"noteIndex":0},"schema":"https://github.com/citation-style-language/schema/raw/master/csl-citation.json"}</w:instrText>
      </w:r>
      <w:r w:rsidR="008155D7" w:rsidRPr="00594E1D">
        <w:rPr>
          <w:szCs w:val="24"/>
        </w:rPr>
        <w:fldChar w:fldCharType="separate"/>
      </w:r>
      <w:r w:rsidR="002506CE" w:rsidRPr="002506CE">
        <w:rPr>
          <w:noProof/>
          <w:szCs w:val="24"/>
        </w:rPr>
        <w:t>[22], [28]</w:t>
      </w:r>
      <w:r w:rsidR="008155D7" w:rsidRPr="00594E1D">
        <w:rPr>
          <w:szCs w:val="24"/>
        </w:rPr>
        <w:fldChar w:fldCharType="end"/>
      </w:r>
      <w:r w:rsidR="008155D7" w:rsidRPr="00594E1D">
        <w:rPr>
          <w:szCs w:val="24"/>
        </w:rPr>
        <w:t xml:space="preserve">. </w:t>
      </w:r>
      <w:r>
        <w:t xml:space="preserve">Clinical data from Riehl et al. (2020) showed that many adults with CAH had elevated parathyroid hormone (PTH) levels and insufficient 25(OH)D, indicating compromised calcitriol activity and secondary hyperparathyroidism. To mitigate these effects, vitamin D sufficiency—typically defined as serum 25(OH)D ≥30 ng/mL (75 nmol/L)—should be maintained through dietary or pharmacologic means </w:t>
      </w:r>
      <w:r w:rsidR="00594E1D" w:rsidRPr="00594E1D">
        <w:rPr>
          <w:szCs w:val="24"/>
        </w:rPr>
        <w:fldChar w:fldCharType="begin" w:fldLock="1"/>
      </w:r>
      <w:r w:rsidR="002506CE">
        <w:rPr>
          <w:szCs w:val="24"/>
        </w:rPr>
        <w:instrText>ADDIN CSL_CITATION {"citationItems":[{"id":"ITEM-1","itemData":{"ISSN":"0028-4793","author":[{"dropping-particle":"","family":"Holick","given":"Michael F","non-dropping-particle":"","parse-names":false,"suffix":""}],"container-title":"New England journal of medicine","id":"ITEM-1","issue":"3","issued":{"date-parts":[["2007"]]},"page":"266-281","publisher":"Mass Medical Soc","title":"Vitamin D deficiency","type":"article-journal","volume":"357"},"uris":["http://www.mendeley.com/documents/?uuid=2e66c058-fa6f-4a76-80dc-5db9181b3f14"]}],"mendeley":{"formattedCitation":"[30]","plainTextFormattedCitation":"[30]","previouslyFormattedCitation":"[30]"},"properties":{"noteIndex":0},"schema":"https://github.com/citation-style-language/schema/raw/master/csl-citation.json"}</w:instrText>
      </w:r>
      <w:r w:rsidR="00594E1D" w:rsidRPr="00594E1D">
        <w:rPr>
          <w:szCs w:val="24"/>
        </w:rPr>
        <w:fldChar w:fldCharType="separate"/>
      </w:r>
      <w:r w:rsidR="002506CE" w:rsidRPr="002506CE">
        <w:rPr>
          <w:noProof/>
          <w:szCs w:val="24"/>
        </w:rPr>
        <w:t>[30]</w:t>
      </w:r>
      <w:r w:rsidR="00594E1D" w:rsidRPr="00594E1D">
        <w:rPr>
          <w:szCs w:val="24"/>
        </w:rPr>
        <w:fldChar w:fldCharType="end"/>
      </w:r>
      <w:r w:rsidR="008155D7" w:rsidRPr="00594E1D">
        <w:rPr>
          <w:szCs w:val="24"/>
        </w:rPr>
        <w:t xml:space="preserve">. </w:t>
      </w:r>
      <w:r>
        <w:t>In addition, daily calcium intake should meet recommended thresholds (1,000–1,200 mg/day) to support adequate bone remodelling</w:t>
      </w:r>
      <w:r w:rsidR="00594E1D" w:rsidRPr="00594E1D">
        <w:rPr>
          <w:szCs w:val="24"/>
        </w:rPr>
        <w:t xml:space="preserve"> </w:t>
      </w:r>
      <w:r w:rsidR="00594E1D" w:rsidRPr="00594E1D">
        <w:rPr>
          <w:szCs w:val="24"/>
        </w:rPr>
        <w:fldChar w:fldCharType="begin" w:fldLock="1"/>
      </w:r>
      <w:r w:rsidR="002506CE">
        <w:rPr>
          <w:szCs w:val="24"/>
        </w:rPr>
        <w:instrText>ADDIN CSL_CITATION {"citationItems":[{"id":"ITEM-1","itemData":{"DOI":"10.17226/13050","ISBN":"978-0-309-16394-1","abstract":"Calcium and vitamin D are essential nutrients for the human body. Establishing the levels of these nutrients that are needed by the North American population is based on the understanding of the health outcomes that calcium and vitamin D affect. It is also important to establish how much of each nutrient may be \"too much.\" Dietary Reference Intakes for Calcium and Vitamin D provides reference intake values for these two nutrients. The report updates the DRI values defined in Dietary Reference Intakes for Calcium, Phosphorus, Magnesium, Vitamin D, and Fluoride, the 1997 study from the Institute of Medicine. This 2011 book provides background information on the biological functions of each nutrient, reviews health outcomes that are associated with the intake of calcium and vitamin D, and specifies Estimated Average Requirements and Recommended Dietary Allowances for both. It also identifies Tolerable Upper Intake Levels, which are levels above wish the risk for harm may increase. The book includes an overview of current dietary intake in the U.S. and Canada, and discusses implications of the study. A final chapter provides research recommendations. The DRIs established in this book incorporate current scientific evidence about the roles of vitamin D and calcium in human health and will serve as a valuable guide for a range of stakeholders including dietitians and other health professionals, those who set national nutrition policy, researchers, the food industry, and private and public health organizations and partnerships. ","author":[{"dropping-particle":"","family":"Medicine","given":"Institute of","non-dropping-particle":"","parse-names":false,"suffix":""}],"editor":[{"dropping-particle":"","family":"Ross","given":"A Catharine","non-dropping-particle":"","parse-names":false,"suffix":""},{"dropping-particle":"","family":"Taylor","given":"Christine L","non-dropping-particle":"","parse-names":false,"suffix":""},{"dropping-particle":"","family":"Yaktine","given":"Ann L","non-dropping-particle":"","parse-names":false,"suffix":""},{"dropping-particle":"Del","family":"Valle","given":"Heather B","non-dropping-particle":"","parse-names":false,"suffix":""}],"id":"ITEM-1","issued":{"date-parts":[["2011"]]},"language":"English","publisher":"The National Academies Press","publisher-place":"Washington, DC","title":"Dietary Reference Intakes for Calcium and Vitamin D","type":"book"},"uris":["http://www.mendeley.com/documents/?uuid=fb6ddcc3-60b7-4e02-b6d5-45ce03d500d4"]}],"mendeley":{"formattedCitation":"[31]","plainTextFormattedCitation":"[31]","previouslyFormattedCitation":"[31]"},"properties":{"noteIndex":0},"schema":"https://github.com/citation-style-language/schema/raw/master/csl-citation.json"}</w:instrText>
      </w:r>
      <w:r w:rsidR="00594E1D" w:rsidRPr="00594E1D">
        <w:rPr>
          <w:szCs w:val="24"/>
        </w:rPr>
        <w:fldChar w:fldCharType="separate"/>
      </w:r>
      <w:r w:rsidR="002506CE" w:rsidRPr="002506CE">
        <w:rPr>
          <w:noProof/>
          <w:szCs w:val="24"/>
        </w:rPr>
        <w:t>[31]</w:t>
      </w:r>
      <w:r w:rsidR="00594E1D" w:rsidRPr="00594E1D">
        <w:rPr>
          <w:szCs w:val="24"/>
        </w:rPr>
        <w:fldChar w:fldCharType="end"/>
      </w:r>
      <w:r w:rsidR="0054372F">
        <w:rPr>
          <w:szCs w:val="24"/>
        </w:rPr>
        <w:t>.</w:t>
      </w:r>
      <w:bookmarkStart w:id="1" w:name="_Hlk202738572"/>
    </w:p>
    <w:bookmarkEnd w:id="1"/>
    <w:p w:rsidR="005828EB" w:rsidRPr="005828EB" w:rsidRDefault="005828EB" w:rsidP="0054372F">
      <w:pPr>
        <w:rPr>
          <w:b/>
          <w:szCs w:val="24"/>
        </w:rPr>
      </w:pPr>
      <w:r>
        <w:rPr>
          <w:b/>
          <w:szCs w:val="24"/>
        </w:rPr>
        <w:t xml:space="preserve">3.0 </w:t>
      </w:r>
      <w:r w:rsidRPr="005828EB">
        <w:rPr>
          <w:b/>
          <w:szCs w:val="24"/>
        </w:rPr>
        <w:t>Conclusion</w:t>
      </w:r>
    </w:p>
    <w:p w:rsidR="007923D9" w:rsidRDefault="007923D9" w:rsidP="0054372F">
      <w:r>
        <w:t>Bone health in individuals with Disorders of Sex Development (DSD) is shaped by a multifaceted interaction of hormonal dysregulation, nutritional deficiencies, and long-term therapeutic exposures. Disruptions in vitamin D and calcium metabolism—whether due to hypogonadism, chronic glucocorticoid use, or impaired absorption—significantly contribute to reduced bone mineral density (BMD) and heightened fracture risk. Clinical evidence consistently supports the need for proactive monitoring of vitamin D status, calcium intake, and BMD, especially in high-risk groups such as those with Congenital Adrenal Hyperplasia, Turner syndrome, Klinefelter syndrome, and Complete Androgen Insensitivity Syndrome. Early and sustained implementation of hormone replacement therapy, along with targeted nutritional supplementation and lifestyle modifications, offers a promising strategy to preserve skeletal health. However, the absence of standardised, DSD-specific guidelines and the scarcity of long-term outcome data underscore the need for personalised, multidisciplinary approaches. Future research should prioritise longitudinal studies to refine clinical protocols and improve bone health outcomes in this vulnerable population.</w:t>
      </w:r>
    </w:p>
    <w:p w:rsidR="00AF64DF" w:rsidRDefault="00AF64DF" w:rsidP="0054372F">
      <w:pPr>
        <w:rPr>
          <w:rStyle w:val="Strong"/>
          <w:bCs w:val="0"/>
        </w:rPr>
      </w:pPr>
    </w:p>
    <w:p w:rsidR="0054372F" w:rsidRDefault="005828EB" w:rsidP="0054372F">
      <w:pPr>
        <w:rPr>
          <w:rStyle w:val="Strong"/>
          <w:bCs w:val="0"/>
        </w:rPr>
      </w:pPr>
      <w:r>
        <w:rPr>
          <w:rStyle w:val="Strong"/>
          <w:bCs w:val="0"/>
        </w:rPr>
        <w:lastRenderedPageBreak/>
        <w:t>4.</w:t>
      </w:r>
      <w:r w:rsidR="007923D9">
        <w:rPr>
          <w:rStyle w:val="Strong"/>
          <w:bCs w:val="0"/>
        </w:rPr>
        <w:t xml:space="preserve">0 </w:t>
      </w:r>
      <w:r w:rsidR="0054372F" w:rsidRPr="0054372F">
        <w:rPr>
          <w:rStyle w:val="Strong"/>
          <w:bCs w:val="0"/>
        </w:rPr>
        <w:t>Future Directions</w:t>
      </w:r>
    </w:p>
    <w:p w:rsidR="007923D9" w:rsidRDefault="007923D9" w:rsidP="007923D9">
      <w:r>
        <w:t>Although awareness of bone health concerns in individuals with Disorders of Sex Development (DSD) is increasing, substantial research gaps persist. Most available data are derived from cross-sectional studies, such as the dsd-LIFE project, which offer limited insight into long-term skeletal outcomes. There is a clear need for well-designed longitudinal studies to evaluate the lifelong effects of hormone replacement therapy, glucocorticoid exposure, and vitamin D and calcium supplementation on bone mineral density and fracture risk.</w:t>
      </w:r>
    </w:p>
    <w:p w:rsidR="007923D9" w:rsidRDefault="007923D9" w:rsidP="007923D9">
      <w:r>
        <w:t xml:space="preserve">In addition, standardised clinical guidelines specific to DSD are lacking. Current bone health recommendations are often extrapolated from the general population, despite the distinct </w:t>
      </w:r>
      <w:r w:rsidRPr="007923D9">
        <w:t>pathophysiological and treatment-related differences in DSD. Tailoring protocols based on factors such as chromosomal pattern, gonadal function, age at diagnosis, and surgical history is essential to improving care</w:t>
      </w:r>
      <w:r>
        <w:t>.</w:t>
      </w:r>
    </w:p>
    <w:p w:rsidR="007923D9" w:rsidRDefault="007923D9" w:rsidP="007923D9">
      <w:r>
        <w:t>Finally, advancing toward individualised, multidisciplinary care models is critical. The heterogeneity of DSD demands integrated approaches that consider not only genetic and hormonal variables but also nutritional status, psychosocial support, and patient preferences. Such strategies will be key to optimising skeletal outcomes and overall quality of life in this underserved population.</w:t>
      </w:r>
    </w:p>
    <w:p w:rsidR="00B26A34" w:rsidRPr="00B26A34" w:rsidRDefault="00B26A34" w:rsidP="00B26A34">
      <w:pPr>
        <w:rPr>
          <w:b/>
        </w:rPr>
      </w:pPr>
      <w:r w:rsidRPr="00B26A34">
        <w:rPr>
          <w:rFonts w:ascii="Cambria" w:eastAsia="Cambria" w:hAnsi="Cambria" w:cs="Cambria"/>
          <w:b/>
          <w:color w:val="000000"/>
          <w:szCs w:val="24"/>
        </w:rPr>
        <w:t>Conflict of Interest Statement</w:t>
      </w:r>
    </w:p>
    <w:p w:rsidR="00B26A34" w:rsidRPr="00EC1EFC" w:rsidRDefault="00B26A34" w:rsidP="006A069C">
      <w:r w:rsidRPr="00EC1EFC">
        <w:t>The author(s) declare</w:t>
      </w:r>
      <w:r>
        <w:t>d</w:t>
      </w:r>
      <w:r w:rsidRPr="00EC1EFC">
        <w:t xml:space="preserve"> no conflict of interest.</w:t>
      </w:r>
    </w:p>
    <w:p w:rsidR="00B26A34" w:rsidRDefault="00B26A34" w:rsidP="00B26A34">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75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Funding</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source</w:t>
      </w:r>
    </w:p>
    <w:p w:rsidR="00B26A34" w:rsidRPr="0073475E" w:rsidRDefault="00B26A34" w:rsidP="00B26A34">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This review did not receive funding from any public, commercial, or nonprofit organisation.</w:t>
      </w:r>
    </w:p>
    <w:p w:rsidR="00B26A34" w:rsidRDefault="00B26A34" w:rsidP="00B26A34">
      <w:pPr>
        <w:rPr>
          <w:b/>
        </w:rPr>
      </w:pPr>
      <w:r w:rsidRPr="00895007">
        <w:rPr>
          <w:b/>
        </w:rPr>
        <w:lastRenderedPageBreak/>
        <w:t>Author</w:t>
      </w:r>
      <w:r>
        <w:rPr>
          <w:b/>
        </w:rPr>
        <w:t>s</w:t>
      </w:r>
      <w:r w:rsidRPr="00895007">
        <w:rPr>
          <w:b/>
        </w:rPr>
        <w:t xml:space="preserve"> contributions</w:t>
      </w:r>
    </w:p>
    <w:p w:rsidR="00B26A34" w:rsidRDefault="00B26A34" w:rsidP="00B26A34">
      <w:r w:rsidRPr="00895007">
        <w:t>Conceptuali</w:t>
      </w:r>
      <w:r w:rsidR="0012026D">
        <w:t>s</w:t>
      </w:r>
      <w:r w:rsidRPr="00895007">
        <w:t>ation</w:t>
      </w:r>
      <w:r>
        <w:t>:</w:t>
      </w:r>
      <w:r w:rsidR="006A069C">
        <w:t xml:space="preserve"> </w:t>
      </w:r>
      <w:r w:rsidR="006A069C" w:rsidRPr="008549E2">
        <w:rPr>
          <w:color w:val="000000"/>
          <w:szCs w:val="24"/>
        </w:rPr>
        <w:t>Kasimu Saidu</w:t>
      </w:r>
      <w:r w:rsidR="006A069C">
        <w:rPr>
          <w:color w:val="000000"/>
          <w:szCs w:val="24"/>
        </w:rPr>
        <w:t>,</w:t>
      </w:r>
      <w:r>
        <w:t xml:space="preserve"> Bello Lawal Danchadi</w:t>
      </w:r>
    </w:p>
    <w:p w:rsidR="00B26A34" w:rsidRDefault="00B26A34" w:rsidP="00B26A34">
      <w:r>
        <w:t>Writing original draft: Bello Lawal Danchadi</w:t>
      </w:r>
    </w:p>
    <w:p w:rsidR="00F107DA" w:rsidRPr="00B26A34" w:rsidRDefault="00B26A34">
      <w:pPr>
        <w:rPr>
          <w:color w:val="000000"/>
          <w:szCs w:val="24"/>
        </w:rPr>
      </w:pPr>
      <w:r>
        <w:t xml:space="preserve">Writing - </w:t>
      </w:r>
      <w:r w:rsidRPr="00E6538F">
        <w:t>review and editing</w:t>
      </w:r>
      <w:r>
        <w:t>:</w:t>
      </w:r>
      <w:r w:rsidRPr="008549E2">
        <w:rPr>
          <w:color w:val="000000"/>
          <w:szCs w:val="24"/>
        </w:rPr>
        <w:t xml:space="preserve"> Kasimu Said</w:t>
      </w:r>
      <w:r>
        <w:rPr>
          <w:color w:val="000000"/>
          <w:szCs w:val="24"/>
        </w:rPr>
        <w:t>u</w:t>
      </w: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2506CE" w:rsidRDefault="002506CE" w:rsidP="00B26A34">
      <w:pPr>
        <w:jc w:val="center"/>
        <w:rPr>
          <w:b/>
          <w:szCs w:val="24"/>
        </w:rPr>
      </w:pPr>
    </w:p>
    <w:p w:rsidR="00694385" w:rsidRDefault="00694385" w:rsidP="00B26A34">
      <w:pPr>
        <w:jc w:val="center"/>
        <w:rPr>
          <w:b/>
          <w:szCs w:val="24"/>
        </w:rPr>
      </w:pPr>
      <w:r w:rsidRPr="00594E1D">
        <w:rPr>
          <w:b/>
          <w:szCs w:val="24"/>
        </w:rPr>
        <w:lastRenderedPageBreak/>
        <w:t>References</w:t>
      </w:r>
    </w:p>
    <w:p w:rsidR="002506CE" w:rsidRPr="002506CE" w:rsidRDefault="002506CE" w:rsidP="002506CE">
      <w:pPr>
        <w:widowControl w:val="0"/>
        <w:autoSpaceDE w:val="0"/>
        <w:autoSpaceDN w:val="0"/>
        <w:adjustRightInd w:val="0"/>
        <w:ind w:left="640" w:hanging="640"/>
        <w:rPr>
          <w:noProof/>
          <w:szCs w:val="24"/>
        </w:rPr>
      </w:pPr>
      <w:r>
        <w:rPr>
          <w:b/>
          <w:szCs w:val="24"/>
        </w:rPr>
        <w:fldChar w:fldCharType="begin" w:fldLock="1"/>
      </w:r>
      <w:r>
        <w:rPr>
          <w:b/>
          <w:szCs w:val="24"/>
        </w:rPr>
        <w:instrText xml:space="preserve">ADDIN Mendeley Bibliography CSL_BIBLIOGRAPHY </w:instrText>
      </w:r>
      <w:r>
        <w:rPr>
          <w:b/>
          <w:szCs w:val="24"/>
        </w:rPr>
        <w:fldChar w:fldCharType="separate"/>
      </w:r>
      <w:r w:rsidRPr="002506CE">
        <w:rPr>
          <w:noProof/>
          <w:szCs w:val="24"/>
        </w:rPr>
        <w:t>[1]</w:t>
      </w:r>
      <w:r w:rsidRPr="002506CE">
        <w:rPr>
          <w:noProof/>
          <w:szCs w:val="24"/>
        </w:rPr>
        <w:tab/>
        <w:t xml:space="preserve">R. Rizzoli, E. Biver, and T. C. Brennan-Speranza, “Nutritional intake and bone health,” </w:t>
      </w:r>
      <w:r w:rsidRPr="002506CE">
        <w:rPr>
          <w:i/>
          <w:iCs/>
          <w:noProof/>
          <w:szCs w:val="24"/>
        </w:rPr>
        <w:t>The lancet Diabetes &amp; endocrinology</w:t>
      </w:r>
      <w:r w:rsidRPr="002506CE">
        <w:rPr>
          <w:noProof/>
          <w:szCs w:val="24"/>
        </w:rPr>
        <w:t>, vol. 9, no. 9, pp. 606–621, 2021.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w:t>
      </w:r>
      <w:r w:rsidRPr="002506CE">
        <w:rPr>
          <w:noProof/>
          <w:szCs w:val="24"/>
        </w:rPr>
        <w:tab/>
        <w:t xml:space="preserve">C. M. Weaver </w:t>
      </w:r>
      <w:r w:rsidRPr="002506CE">
        <w:rPr>
          <w:i/>
          <w:iCs/>
          <w:noProof/>
          <w:szCs w:val="24"/>
        </w:rPr>
        <w:t>et al.</w:t>
      </w:r>
      <w:r w:rsidRPr="002506CE">
        <w:rPr>
          <w:noProof/>
          <w:szCs w:val="24"/>
        </w:rPr>
        <w:t xml:space="preserve">, “Erratum to: The National Osteoporosis Foundation’s position statement on peak bone mass development and lifestyle factors: a systematic review and implementation recommendations,” </w:t>
      </w:r>
      <w:r w:rsidRPr="002506CE">
        <w:rPr>
          <w:i/>
          <w:iCs/>
          <w:noProof/>
          <w:szCs w:val="24"/>
        </w:rPr>
        <w:t>Osteoporosis International</w:t>
      </w:r>
      <w:r w:rsidRPr="002506CE">
        <w:rPr>
          <w:noProof/>
          <w:szCs w:val="24"/>
        </w:rPr>
        <w:t>, vol. 27, no. 4, p. 1387, 2016, doi: 10.1007/s00198-016-3551-5.</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[3]</w:t>
      </w:r>
      <w:r w:rsidRPr="002506CE">
        <w:rPr>
          <w:noProof/>
          <w:szCs w:val="24"/>
        </w:rPr>
        <w:tab/>
        <w:t xml:space="preserve">R. Bouillon </w:t>
      </w:r>
      <w:r w:rsidRPr="002506CE">
        <w:rPr>
          <w:i/>
          <w:iCs/>
          <w:noProof/>
          <w:szCs w:val="24"/>
        </w:rPr>
        <w:t>et al.</w:t>
      </w:r>
      <w:r w:rsidRPr="002506CE">
        <w:rPr>
          <w:noProof/>
          <w:szCs w:val="24"/>
        </w:rPr>
        <w:t xml:space="preserve">, “Skeletal and extraskeletal actions of vitamin D: current evidence and outstanding questions,” </w:t>
      </w:r>
      <w:r w:rsidRPr="002506CE">
        <w:rPr>
          <w:i/>
          <w:iCs/>
          <w:noProof/>
          <w:szCs w:val="24"/>
        </w:rPr>
        <w:t>Endocrine reviews</w:t>
      </w:r>
      <w:r w:rsidRPr="002506CE">
        <w:rPr>
          <w:noProof/>
          <w:szCs w:val="24"/>
        </w:rPr>
        <w:t>, vol. 40, no. 4, pp. 1109–1151, 2019.</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[4]</w:t>
      </w:r>
      <w:r w:rsidRPr="002506CE">
        <w:rPr>
          <w:noProof/>
          <w:szCs w:val="24"/>
        </w:rPr>
        <w:tab/>
        <w:t xml:space="preserve">S. A. Dar </w:t>
      </w:r>
      <w:r w:rsidRPr="002506CE">
        <w:rPr>
          <w:i/>
          <w:iCs/>
          <w:noProof/>
          <w:szCs w:val="24"/>
        </w:rPr>
        <w:t>et al.</w:t>
      </w:r>
      <w:r w:rsidRPr="002506CE">
        <w:rPr>
          <w:noProof/>
          <w:szCs w:val="24"/>
        </w:rPr>
        <w:t xml:space="preserve">, “Clinical Spectrum of Disorders of Sex Development: A Cross-sectional  Observational Study.,” </w:t>
      </w:r>
      <w:r w:rsidRPr="002506CE">
        <w:rPr>
          <w:i/>
          <w:iCs/>
          <w:noProof/>
          <w:szCs w:val="24"/>
        </w:rPr>
        <w:t>Indian journal of endocrinology and metabolism</w:t>
      </w:r>
      <w:r w:rsidRPr="002506CE">
        <w:rPr>
          <w:noProof/>
          <w:szCs w:val="24"/>
        </w:rPr>
        <w:t>, vol. 22, no. 6, pp. 774–779, 2018, doi: 10.4103/ijem.IJEM_159_18.</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[5]</w:t>
      </w:r>
      <w:r w:rsidRPr="002506CE">
        <w:rPr>
          <w:noProof/>
          <w:szCs w:val="24"/>
        </w:rPr>
        <w:tab/>
        <w:t xml:space="preserve">P. A. Lee </w:t>
      </w:r>
      <w:r w:rsidRPr="002506CE">
        <w:rPr>
          <w:i/>
          <w:iCs/>
          <w:noProof/>
          <w:szCs w:val="24"/>
        </w:rPr>
        <w:t>et al.</w:t>
      </w:r>
      <w:r w:rsidRPr="002506CE">
        <w:rPr>
          <w:noProof/>
          <w:szCs w:val="24"/>
        </w:rPr>
        <w:t xml:space="preserve">, “Consensus statement on management of intersex disorders,” </w:t>
      </w:r>
      <w:r w:rsidRPr="002506CE">
        <w:rPr>
          <w:i/>
          <w:iCs/>
          <w:noProof/>
          <w:szCs w:val="24"/>
        </w:rPr>
        <w:t>Pediatrics</w:t>
      </w:r>
      <w:r w:rsidRPr="002506CE">
        <w:rPr>
          <w:noProof/>
          <w:szCs w:val="24"/>
        </w:rPr>
        <w:t>, vol. 118, no. 2, 2006, doi: 10.1542/peds.2006-0738.</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[6]</w:t>
      </w:r>
      <w:r w:rsidRPr="002506CE">
        <w:rPr>
          <w:noProof/>
          <w:szCs w:val="24"/>
        </w:rPr>
        <w:tab/>
        <w:t xml:space="preserve">C. H. Gravholt </w:t>
      </w:r>
      <w:r w:rsidRPr="002506CE">
        <w:rPr>
          <w:i/>
          <w:iCs/>
          <w:noProof/>
          <w:szCs w:val="24"/>
        </w:rPr>
        <w:t>et al.</w:t>
      </w:r>
      <w:r w:rsidRPr="002506CE">
        <w:rPr>
          <w:noProof/>
          <w:szCs w:val="24"/>
        </w:rPr>
        <w:t xml:space="preserve">, “Clinical practice guidelines for the care of girls and women with Turner syndrome: proceedings from the 2016 Cincinnati International Turner Syndrome Meeting,” </w:t>
      </w:r>
      <w:r w:rsidRPr="002506CE">
        <w:rPr>
          <w:i/>
          <w:iCs/>
          <w:noProof/>
          <w:szCs w:val="24"/>
        </w:rPr>
        <w:t>European Journal of Endocrinology</w:t>
      </w:r>
      <w:r w:rsidRPr="002506CE">
        <w:rPr>
          <w:noProof/>
          <w:szCs w:val="24"/>
        </w:rPr>
        <w:t>, vol. 177, no. 3, pp. G1–G70, Sep. 2017, doi: 10.1530/EJE-17-0430.</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[7]</w:t>
      </w:r>
      <w:r w:rsidRPr="002506CE">
        <w:rPr>
          <w:noProof/>
          <w:szCs w:val="24"/>
        </w:rPr>
        <w:tab/>
        <w:t>S. Rangaswamaiah, V. Gangathimmaiah, and A. Nordenstrom, “Bone Mineral Density in Adults With Congenital Adrenal Hyperplasia : A Systematic Review and,” vol. 11, no. July, pp. 1–15, 2020, doi: 10.3389/fendo.2020.00493.</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lastRenderedPageBreak/>
        <w:t>[8]</w:t>
      </w:r>
      <w:r w:rsidRPr="002506CE">
        <w:rPr>
          <w:noProof/>
          <w:szCs w:val="24"/>
        </w:rPr>
        <w:tab/>
        <w:t xml:space="preserve">S. F. Ahmed </w:t>
      </w:r>
      <w:r w:rsidRPr="002506CE">
        <w:rPr>
          <w:i/>
          <w:iCs/>
          <w:noProof/>
          <w:szCs w:val="24"/>
        </w:rPr>
        <w:t>et al.</w:t>
      </w:r>
      <w:r w:rsidRPr="002506CE">
        <w:rPr>
          <w:noProof/>
          <w:szCs w:val="24"/>
        </w:rPr>
        <w:t xml:space="preserve">, “Society for Endocrinology UK guidance on the initial evaluation of an infant or an adolescent with a suspected disorder of sex development (Revised 2015),” </w:t>
      </w:r>
      <w:r w:rsidRPr="002506CE">
        <w:rPr>
          <w:i/>
          <w:iCs/>
          <w:noProof/>
          <w:szCs w:val="24"/>
        </w:rPr>
        <w:t>Clinical endocrinology</w:t>
      </w:r>
      <w:r w:rsidRPr="002506CE">
        <w:rPr>
          <w:noProof/>
          <w:szCs w:val="24"/>
        </w:rPr>
        <w:t>, vol. 84, no. 5, pp. 771–788, 2016.</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[9]</w:t>
      </w:r>
      <w:r w:rsidRPr="002506CE">
        <w:rPr>
          <w:noProof/>
          <w:szCs w:val="24"/>
        </w:rPr>
        <w:tab/>
        <w:t xml:space="preserve">M. El-Mansoury, I. Bryman, K. Berntorp, C. Hanson, L. Wilhelmsen, and K. Landin-Wilhelmsen, “Hypothyroidism is common in turner syndrome: results of a five-year follow-up.,” </w:t>
      </w:r>
      <w:r w:rsidRPr="002506CE">
        <w:rPr>
          <w:i/>
          <w:iCs/>
          <w:noProof/>
          <w:szCs w:val="24"/>
        </w:rPr>
        <w:t>The Journal of clinical endocrinology and metabolism</w:t>
      </w:r>
      <w:r w:rsidRPr="002506CE">
        <w:rPr>
          <w:noProof/>
          <w:szCs w:val="24"/>
        </w:rPr>
        <w:t>, vol. 90, no. 4, pp. 2131–2135, Apr. 2005, doi: 10.1210/jc.2004-1262.</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[10]</w:t>
      </w:r>
      <w:r w:rsidRPr="002506CE">
        <w:rPr>
          <w:noProof/>
          <w:szCs w:val="24"/>
        </w:rPr>
        <w:tab/>
        <w:t xml:space="preserve">E. Charmandari, N. C. Nicolaides, and G. P. Chrousos, “Adrenal insufficiency,” </w:t>
      </w:r>
      <w:r w:rsidRPr="002506CE">
        <w:rPr>
          <w:i/>
          <w:iCs/>
          <w:noProof/>
          <w:szCs w:val="24"/>
        </w:rPr>
        <w:t>The Lancet</w:t>
      </w:r>
      <w:r w:rsidRPr="002506CE">
        <w:rPr>
          <w:noProof/>
          <w:szCs w:val="24"/>
        </w:rPr>
        <w:t>, vol. 383, no. 9935, pp. 2152–2167, 2014.</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[11]</w:t>
      </w:r>
      <w:r w:rsidRPr="002506CE">
        <w:rPr>
          <w:noProof/>
          <w:szCs w:val="24"/>
        </w:rPr>
        <w:tab/>
        <w:t xml:space="preserve">M. M. Sobh </w:t>
      </w:r>
      <w:r w:rsidRPr="002506CE">
        <w:rPr>
          <w:i/>
          <w:iCs/>
          <w:noProof/>
          <w:szCs w:val="24"/>
        </w:rPr>
        <w:t>et al.</w:t>
      </w:r>
      <w:r w:rsidRPr="002506CE">
        <w:rPr>
          <w:noProof/>
          <w:szCs w:val="24"/>
        </w:rPr>
        <w:t xml:space="preserve">, “Secondary Osteoporosis and Metabolic Bone Diseases.,” </w:t>
      </w:r>
      <w:r w:rsidRPr="002506CE">
        <w:rPr>
          <w:i/>
          <w:iCs/>
          <w:noProof/>
          <w:szCs w:val="24"/>
        </w:rPr>
        <w:t>Journal of clinical medicine</w:t>
      </w:r>
      <w:r w:rsidRPr="002506CE">
        <w:rPr>
          <w:noProof/>
          <w:szCs w:val="24"/>
        </w:rPr>
        <w:t>, vol. 11, no. 9, Apr. 2022, doi: 10.3390/jcm11092382.</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[12]</w:t>
      </w:r>
      <w:r w:rsidRPr="002506CE">
        <w:rPr>
          <w:noProof/>
          <w:szCs w:val="24"/>
        </w:rPr>
        <w:tab/>
        <w:t xml:space="preserve">L. He, P. Zhou, X. Zhou, S. Tian, J. Han, and S. Zhai, “Evaluation of the clinical practice guidelines and consensuses on calcium and  vitamin D supplementation in healthy children using the Appraisal of Guidelines for Research and Evaluation II instrument and Reporting Items for Practice Guidelines in Healthc,” </w:t>
      </w:r>
      <w:r w:rsidRPr="002506CE">
        <w:rPr>
          <w:i/>
          <w:iCs/>
          <w:noProof/>
          <w:szCs w:val="24"/>
        </w:rPr>
        <w:t>Frontiers in nutrition</w:t>
      </w:r>
      <w:r w:rsidRPr="002506CE">
        <w:rPr>
          <w:noProof/>
          <w:szCs w:val="24"/>
        </w:rPr>
        <w:t>, vol. 9, p. 984423, 2022, doi: 10.3389/fnut.2022.984423.</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[13]</w:t>
      </w:r>
      <w:r w:rsidRPr="002506CE">
        <w:rPr>
          <w:noProof/>
          <w:szCs w:val="24"/>
        </w:rPr>
        <w:tab/>
        <w:t xml:space="preserve">I. A. Hughes, “Disorders of sex development: a new definition and classification,” </w:t>
      </w:r>
      <w:r w:rsidRPr="002506CE">
        <w:rPr>
          <w:i/>
          <w:iCs/>
          <w:noProof/>
          <w:szCs w:val="24"/>
        </w:rPr>
        <w:t>Best Practice and Research in Clinical Endocrinology and Metabolism</w:t>
      </w:r>
      <w:r w:rsidRPr="002506CE">
        <w:rPr>
          <w:noProof/>
          <w:szCs w:val="24"/>
        </w:rPr>
        <w:t>, vol. 22, no. 1, pp. 119–134, 2008, doi: 10.1016/j.beem.2007.11.001.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[14]</w:t>
      </w:r>
      <w:r w:rsidRPr="002506CE">
        <w:rPr>
          <w:noProof/>
          <w:szCs w:val="24"/>
        </w:rPr>
        <w:tab/>
        <w:t xml:space="preserve">P. W. Speiser </w:t>
      </w:r>
      <w:r w:rsidRPr="002506CE">
        <w:rPr>
          <w:i/>
          <w:iCs/>
          <w:noProof/>
          <w:szCs w:val="24"/>
        </w:rPr>
        <w:t>et al.</w:t>
      </w:r>
      <w:r w:rsidRPr="002506CE">
        <w:rPr>
          <w:noProof/>
          <w:szCs w:val="24"/>
        </w:rPr>
        <w:t xml:space="preserve">, “Congenital Adrenal Hyperplasia Due to Steroid 21-Hydroxylase Deficiency: An Endocrine Society Clinical Practice Guideline,” </w:t>
      </w:r>
      <w:r w:rsidRPr="002506CE">
        <w:rPr>
          <w:i/>
          <w:iCs/>
          <w:noProof/>
          <w:szCs w:val="24"/>
        </w:rPr>
        <w:t>The Journal of Clinical Endocrinology &amp; Metabolism</w:t>
      </w:r>
      <w:r w:rsidRPr="002506CE">
        <w:rPr>
          <w:noProof/>
          <w:szCs w:val="24"/>
        </w:rPr>
        <w:t xml:space="preserve">, vol. 95, no. 9, pp. 4133–4160, Sep. 2010, doi: </w:t>
      </w:r>
      <w:r w:rsidRPr="002506CE">
        <w:rPr>
          <w:noProof/>
          <w:szCs w:val="24"/>
        </w:rPr>
        <w:lastRenderedPageBreak/>
        <w:t>10.1210/jc.2009-2631.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[15]</w:t>
      </w:r>
      <w:r w:rsidRPr="002506CE">
        <w:rPr>
          <w:noProof/>
          <w:szCs w:val="24"/>
        </w:rPr>
        <w:tab/>
        <w:t xml:space="preserve">S. Bertelloni, G. I. Baroncelli, and S. Mora, “Bone Health in Disorders of Sex Differentiation,” </w:t>
      </w:r>
      <w:r w:rsidRPr="002506CE">
        <w:rPr>
          <w:i/>
          <w:iCs/>
          <w:noProof/>
          <w:szCs w:val="24"/>
        </w:rPr>
        <w:t>Sexual Development</w:t>
      </w:r>
      <w:r w:rsidRPr="002506CE">
        <w:rPr>
          <w:noProof/>
          <w:szCs w:val="24"/>
        </w:rPr>
        <w:t>, vol. 4, no. 4–5, pp. 270–284, Sep. 2010, doi: 10.1159/000315961.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[16]</w:t>
      </w:r>
      <w:r w:rsidRPr="002506CE">
        <w:rPr>
          <w:noProof/>
          <w:szCs w:val="24"/>
        </w:rPr>
        <w:tab/>
        <w:t xml:space="preserve">C. H. Gravholt, S. Chang, M. Wallentin, J. Fedder, P. Moore, and A. Skakkebæk, “Klinefelter Syndrome: Integrating Genetics, Neuropsychology, and Endocrinology,” </w:t>
      </w:r>
      <w:r w:rsidRPr="002506CE">
        <w:rPr>
          <w:i/>
          <w:iCs/>
          <w:noProof/>
          <w:szCs w:val="24"/>
        </w:rPr>
        <w:t>Endocrine Reviews</w:t>
      </w:r>
      <w:r w:rsidRPr="002506CE">
        <w:rPr>
          <w:noProof/>
          <w:szCs w:val="24"/>
        </w:rPr>
        <w:t>, vol. 39, no. 4, pp. 389–423, Aug. 2018, doi: 10.1210/er.2017-00212.</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[17]</w:t>
      </w:r>
      <w:r w:rsidRPr="002506CE">
        <w:rPr>
          <w:noProof/>
          <w:szCs w:val="24"/>
        </w:rPr>
        <w:tab/>
        <w:t xml:space="preserve">K. Shiraishi and H. Matsuyama, “Klinefelter syndrome: From pediatrics to geriatrics.,” </w:t>
      </w:r>
      <w:r w:rsidRPr="002506CE">
        <w:rPr>
          <w:i/>
          <w:iCs/>
          <w:noProof/>
          <w:szCs w:val="24"/>
        </w:rPr>
        <w:t>Reproductive medicine and biology</w:t>
      </w:r>
      <w:r w:rsidRPr="002506CE">
        <w:rPr>
          <w:noProof/>
          <w:szCs w:val="24"/>
        </w:rPr>
        <w:t>, vol. 18, no. 2, pp. 140–150, Apr. 2019, doi: 10.1002/rmb2.12261.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[18]</w:t>
      </w:r>
      <w:r w:rsidRPr="002506CE">
        <w:rPr>
          <w:noProof/>
          <w:szCs w:val="24"/>
        </w:rPr>
        <w:tab/>
        <w:t xml:space="preserve">L. Lanciotti, M. Cofini, A. Leonardi, M. Bertozzi, L. Penta, and S. Esposito, “Different Clinical Presentations and Management in Complete Androgen  Insensitivity Syndrome (CAIS).,” </w:t>
      </w:r>
      <w:r w:rsidRPr="002506CE">
        <w:rPr>
          <w:i/>
          <w:iCs/>
          <w:noProof/>
          <w:szCs w:val="24"/>
        </w:rPr>
        <w:t>International journal of environmental research and public health</w:t>
      </w:r>
      <w:r w:rsidRPr="002506CE">
        <w:rPr>
          <w:noProof/>
          <w:szCs w:val="24"/>
        </w:rPr>
        <w:t>, vol. 16, no. 7, Apr. 2019, doi: 10.3390/ijerph16071268.</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[19]</w:t>
      </w:r>
      <w:r w:rsidRPr="002506CE">
        <w:rPr>
          <w:noProof/>
          <w:szCs w:val="24"/>
        </w:rPr>
        <w:tab/>
        <w:t xml:space="preserve">B. P. C. Kreukels </w:t>
      </w:r>
      <w:r w:rsidRPr="002506CE">
        <w:rPr>
          <w:i/>
          <w:iCs/>
          <w:noProof/>
          <w:szCs w:val="24"/>
        </w:rPr>
        <w:t>et al.</w:t>
      </w:r>
      <w:r w:rsidRPr="002506CE">
        <w:rPr>
          <w:noProof/>
          <w:szCs w:val="24"/>
        </w:rPr>
        <w:t xml:space="preserve">, “Sexuality in adults with differences/disorders of sex development (DSD): findings from the DSD-LIFE study,” </w:t>
      </w:r>
      <w:r w:rsidRPr="002506CE">
        <w:rPr>
          <w:i/>
          <w:iCs/>
          <w:noProof/>
          <w:szCs w:val="24"/>
        </w:rPr>
        <w:t>Journal of Sex &amp; Marital Therapy</w:t>
      </w:r>
      <w:r w:rsidRPr="002506CE">
        <w:rPr>
          <w:noProof/>
          <w:szCs w:val="24"/>
        </w:rPr>
        <w:t>, vol. 45, no. 8, pp. 688–705, 2019.</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[20]</w:t>
      </w:r>
      <w:r w:rsidRPr="002506CE">
        <w:rPr>
          <w:noProof/>
          <w:szCs w:val="24"/>
        </w:rPr>
        <w:tab/>
        <w:t xml:space="preserve">P. A. Lee </w:t>
      </w:r>
      <w:r w:rsidRPr="002506CE">
        <w:rPr>
          <w:i/>
          <w:iCs/>
          <w:noProof/>
          <w:szCs w:val="24"/>
        </w:rPr>
        <w:t>et al.</w:t>
      </w:r>
      <w:r w:rsidRPr="002506CE">
        <w:rPr>
          <w:noProof/>
          <w:szCs w:val="24"/>
        </w:rPr>
        <w:t xml:space="preserve">, “Global disorders of sex development update since 2006: perceptions, approach and care,” </w:t>
      </w:r>
      <w:r w:rsidRPr="002506CE">
        <w:rPr>
          <w:i/>
          <w:iCs/>
          <w:noProof/>
          <w:szCs w:val="24"/>
        </w:rPr>
        <w:t>Hormone research in paediatrics</w:t>
      </w:r>
      <w:r w:rsidRPr="002506CE">
        <w:rPr>
          <w:noProof/>
          <w:szCs w:val="24"/>
        </w:rPr>
        <w:t>, vol. 85, no. 3, pp. 158–180, 2016, doi: 10.1159/000442975.</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[21]</w:t>
      </w:r>
      <w:r w:rsidRPr="002506CE">
        <w:rPr>
          <w:noProof/>
          <w:szCs w:val="24"/>
        </w:rPr>
        <w:tab/>
        <w:t xml:space="preserve">R. Brommage and C. Ohlsson, “Translational studies provide insights for the etiology and </w:t>
      </w:r>
      <w:r w:rsidRPr="002506CE">
        <w:rPr>
          <w:noProof/>
          <w:szCs w:val="24"/>
        </w:rPr>
        <w:lastRenderedPageBreak/>
        <w:t xml:space="preserve">treatment of cortical bone osteoporosis,” </w:t>
      </w:r>
      <w:r w:rsidRPr="002506CE">
        <w:rPr>
          <w:i/>
          <w:iCs/>
          <w:noProof/>
          <w:szCs w:val="24"/>
        </w:rPr>
        <w:t>Best Practice &amp; Research Clinical Endocrinology &amp; Metabolism</w:t>
      </w:r>
      <w:r w:rsidRPr="002506CE">
        <w:rPr>
          <w:noProof/>
          <w:szCs w:val="24"/>
        </w:rPr>
        <w:t>, vol. 32, no. 3, pp. 329–340, 2018, doi: https://doi.org/10.1016/j.beem.2018.02.006.</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[22]</w:t>
      </w:r>
      <w:r w:rsidRPr="002506CE">
        <w:rPr>
          <w:noProof/>
          <w:szCs w:val="24"/>
        </w:rPr>
        <w:tab/>
        <w:t>G. Riehl, N. Reisch, R. Roehle, H. C. Van Der Grinten, H. Falhammar, and M. Quinkler, “Bone mineral density and fractures in congenital adrenal hyperplasia : Findings from the dsd-LIFE study,” no. September 2019, pp. 284–294, 2020, doi: 10.1111/cen.14149.</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[23]</w:t>
      </w:r>
      <w:r w:rsidRPr="002506CE">
        <w:rPr>
          <w:noProof/>
          <w:szCs w:val="24"/>
        </w:rPr>
        <w:tab/>
        <w:t xml:space="preserve">T. F. J. King, W. Z. M. Wat, S. M. Creighton, and G. S. Conway, “Bone mineral density in complete androgen insensitivity syndrome and the timing of gonadectomy,” </w:t>
      </w:r>
      <w:r w:rsidRPr="002506CE">
        <w:rPr>
          <w:i/>
          <w:iCs/>
          <w:noProof/>
          <w:szCs w:val="24"/>
        </w:rPr>
        <w:t>Clinical endocrinology</w:t>
      </w:r>
      <w:r w:rsidRPr="002506CE">
        <w:rPr>
          <w:noProof/>
          <w:szCs w:val="24"/>
        </w:rPr>
        <w:t>, vol. 87, no. 2, pp. 136–140, 2017.</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[24]</w:t>
      </w:r>
      <w:r w:rsidRPr="002506CE">
        <w:rPr>
          <w:noProof/>
          <w:szCs w:val="24"/>
        </w:rPr>
        <w:tab/>
        <w:t>A. Ferlin, R. Selice, A. Di Mambro, M. Ghezzi, A. Di Nisio, and N. Caretta, “Role of vitamin D levels and vitamin D supplementation on bone mineral density in Klinefelter syndrome,” 2015, doi: 10.1007/s00198-015-3136-8.</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[25]</w:t>
      </w:r>
      <w:r w:rsidRPr="002506CE">
        <w:rPr>
          <w:noProof/>
          <w:szCs w:val="24"/>
        </w:rPr>
        <w:tab/>
        <w:t xml:space="preserve">U. B. Nwogu </w:t>
      </w:r>
      <w:r w:rsidRPr="002506CE">
        <w:rPr>
          <w:i/>
          <w:iCs/>
          <w:noProof/>
          <w:szCs w:val="24"/>
        </w:rPr>
        <w:t>et al.</w:t>
      </w:r>
      <w:r w:rsidRPr="002506CE">
        <w:rPr>
          <w:noProof/>
          <w:szCs w:val="24"/>
        </w:rPr>
        <w:t xml:space="preserve">, “Bone mineral density in an urban and a rural children population—A comparative, population-based study in Enugu State, Nigeria,” </w:t>
      </w:r>
      <w:r w:rsidRPr="002506CE">
        <w:rPr>
          <w:i/>
          <w:iCs/>
          <w:noProof/>
          <w:szCs w:val="24"/>
        </w:rPr>
        <w:t>Bone</w:t>
      </w:r>
      <w:r w:rsidRPr="002506CE">
        <w:rPr>
          <w:noProof/>
          <w:szCs w:val="24"/>
        </w:rPr>
        <w:t>, vol. 127, pp. 44–48, 2019.</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[26]</w:t>
      </w:r>
      <w:r w:rsidRPr="002506CE">
        <w:rPr>
          <w:noProof/>
          <w:szCs w:val="24"/>
        </w:rPr>
        <w:tab/>
        <w:t xml:space="preserve">S. A. Ibrahim, M. A. Samy, M. K. Matter, and A. O. L. Saleh, “Bone mineral density in Egyptian adolescents and adults with short stature: Results of a national survey,” </w:t>
      </w:r>
      <w:r w:rsidRPr="002506CE">
        <w:rPr>
          <w:i/>
          <w:iCs/>
          <w:noProof/>
          <w:szCs w:val="24"/>
        </w:rPr>
        <w:t>Eastern Mediterranean Health Journal</w:t>
      </w:r>
      <w:r w:rsidRPr="002506CE">
        <w:rPr>
          <w:noProof/>
          <w:szCs w:val="24"/>
        </w:rPr>
        <w:t>, vol. 17, no. 8, pp. 687–693, 2011, doi: 10.26719/2011.17.8.687.</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[27]</w:t>
      </w:r>
      <w:r w:rsidRPr="002506CE">
        <w:rPr>
          <w:noProof/>
          <w:szCs w:val="24"/>
        </w:rPr>
        <w:tab/>
        <w:t xml:space="preserve">L. J. Dominguez, M. Farruggia, N. Veronese, and M. Barbagallo, “Vitamin D sources, metabolism, and deficiency: available compounds and guidelines for its treatment,” </w:t>
      </w:r>
      <w:r w:rsidRPr="002506CE">
        <w:rPr>
          <w:i/>
          <w:iCs/>
          <w:noProof/>
          <w:szCs w:val="24"/>
        </w:rPr>
        <w:t>Metabolites</w:t>
      </w:r>
      <w:r w:rsidRPr="002506CE">
        <w:rPr>
          <w:noProof/>
          <w:szCs w:val="24"/>
        </w:rPr>
        <w:t>, vol. 11, no. 4, p. 255, 2021.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lastRenderedPageBreak/>
        <w:t>[28]</w:t>
      </w:r>
      <w:r w:rsidRPr="002506CE">
        <w:rPr>
          <w:noProof/>
          <w:szCs w:val="24"/>
        </w:rPr>
        <w:tab/>
        <w:t>V. Veldurthy, R. Wei, L. Oz, P. Dhawan, Y. H. Jeon, and S. Christakos, “Vitamin D , calcium homeostasis and aging,” vol. 25, no. September, pp. 1–7, 2016, doi: 10.1038/boneres.2016.41.</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[29]</w:t>
      </w:r>
      <w:r w:rsidRPr="002506CE">
        <w:rPr>
          <w:noProof/>
          <w:szCs w:val="24"/>
        </w:rPr>
        <w:tab/>
        <w:t xml:space="preserve">S. Christakos, P. Dhawan, A. Verstuyf, L. Verlinden, and G. Carmeliet, “Vitamin D: Metabolism, Molecular Mechanism of Action, and Pleiotropic Effects,” </w:t>
      </w:r>
      <w:r w:rsidRPr="002506CE">
        <w:rPr>
          <w:i/>
          <w:iCs/>
          <w:noProof/>
          <w:szCs w:val="24"/>
        </w:rPr>
        <w:t>Physiological Reviews</w:t>
      </w:r>
      <w:r w:rsidRPr="002506CE">
        <w:rPr>
          <w:noProof/>
          <w:szCs w:val="24"/>
        </w:rPr>
        <w:t>, vol. 96, no. 1, pp. 365–408, Dec. 2015, doi: 10.1152/physrev.00014.2015.</w:t>
      </w:r>
    </w:p>
    <w:p w:rsidR="002506CE" w:rsidRPr="002506CE" w:rsidRDefault="002506CE" w:rsidP="002506CE">
      <w:pPr>
        <w:widowControl w:val="0"/>
        <w:autoSpaceDE w:val="0"/>
        <w:autoSpaceDN w:val="0"/>
        <w:adjustRightInd w:val="0"/>
        <w:ind w:left="640" w:hanging="640"/>
        <w:rPr>
          <w:noProof/>
          <w:szCs w:val="24"/>
        </w:rPr>
      </w:pPr>
      <w:r w:rsidRPr="002506CE">
        <w:rPr>
          <w:noProof/>
          <w:szCs w:val="24"/>
        </w:rPr>
        <w:t>[30]</w:t>
      </w:r>
      <w:r w:rsidRPr="002506CE">
        <w:rPr>
          <w:noProof/>
          <w:szCs w:val="24"/>
        </w:rPr>
        <w:tab/>
        <w:t xml:space="preserve">M. F. Holick, “Vitamin D deficiency,” </w:t>
      </w:r>
      <w:r w:rsidRPr="002506CE">
        <w:rPr>
          <w:i/>
          <w:iCs/>
          <w:noProof/>
          <w:szCs w:val="24"/>
        </w:rPr>
        <w:t>New England journal of medicine</w:t>
      </w:r>
      <w:r w:rsidRPr="002506CE">
        <w:rPr>
          <w:noProof/>
          <w:szCs w:val="24"/>
        </w:rPr>
        <w:t>, vol. 357, no. 3, pp. 266–281, 2007.</w:t>
      </w:r>
    </w:p>
    <w:p w:rsidR="002506CE" w:rsidRPr="002506CE" w:rsidRDefault="002506CE" w:rsidP="002506CE">
      <w:pPr>
        <w:widowControl w:val="0"/>
        <w:autoSpaceDE w:val="0"/>
        <w:autoSpaceDN w:val="0"/>
        <w:adjustRightInd w:val="0"/>
        <w:ind w:left="640" w:hanging="640"/>
        <w:rPr>
          <w:noProof/>
        </w:rPr>
      </w:pPr>
      <w:r w:rsidRPr="002506CE">
        <w:rPr>
          <w:noProof/>
          <w:szCs w:val="24"/>
        </w:rPr>
        <w:t>[31]</w:t>
      </w:r>
      <w:r w:rsidRPr="002506CE">
        <w:rPr>
          <w:noProof/>
          <w:szCs w:val="24"/>
        </w:rPr>
        <w:tab/>
        <w:t xml:space="preserve">I. of Medicine, </w:t>
      </w:r>
      <w:r w:rsidRPr="002506CE">
        <w:rPr>
          <w:i/>
          <w:iCs/>
          <w:noProof/>
          <w:szCs w:val="24"/>
        </w:rPr>
        <w:t>Dietary Reference Intakes for Calcium and Vitamin D</w:t>
      </w:r>
      <w:r w:rsidRPr="002506CE">
        <w:rPr>
          <w:noProof/>
          <w:szCs w:val="24"/>
        </w:rPr>
        <w:t>. Washington, DC: The National Academies Press, 2011. doi: 10.17226/13050.</w:t>
      </w:r>
    </w:p>
    <w:p w:rsidR="002506CE" w:rsidRDefault="002506CE" w:rsidP="002506CE">
      <w:pPr>
        <w:jc w:val="left"/>
        <w:rPr>
          <w:b/>
          <w:szCs w:val="24"/>
        </w:rPr>
      </w:pPr>
      <w:r>
        <w:rPr>
          <w:b/>
          <w:szCs w:val="24"/>
        </w:rPr>
        <w:fldChar w:fldCharType="end"/>
      </w:r>
    </w:p>
    <w:sectPr w:rsidR="002506CE" w:rsidSect="005F6A96">
      <w:footerReference w:type="default" r:id="rId8"/>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222" w:rsidRDefault="00A92222" w:rsidP="005805A7">
      <w:pPr>
        <w:spacing w:after="0" w:line="240" w:lineRule="auto"/>
      </w:pPr>
      <w:r>
        <w:separator/>
      </w:r>
    </w:p>
  </w:endnote>
  <w:endnote w:type="continuationSeparator" w:id="0">
    <w:p w:rsidR="00A92222" w:rsidRDefault="00A92222" w:rsidP="0058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3801747"/>
      <w:docPartObj>
        <w:docPartGallery w:val="Page Numbers (Bottom of Page)"/>
        <w:docPartUnique/>
      </w:docPartObj>
    </w:sdtPr>
    <w:sdtEndPr>
      <w:rPr>
        <w:noProof/>
      </w:rPr>
    </w:sdtEndPr>
    <w:sdtContent>
      <w:p w:rsidR="004111B9" w:rsidRDefault="004111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111B9" w:rsidRDefault="00411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222" w:rsidRDefault="00A92222" w:rsidP="005805A7">
      <w:pPr>
        <w:spacing w:after="0" w:line="240" w:lineRule="auto"/>
      </w:pPr>
      <w:r>
        <w:separator/>
      </w:r>
    </w:p>
  </w:footnote>
  <w:footnote w:type="continuationSeparator" w:id="0">
    <w:p w:rsidR="00A92222" w:rsidRDefault="00A92222" w:rsidP="005805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141A9"/>
    <w:multiLevelType w:val="hybridMultilevel"/>
    <w:tmpl w:val="55F0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20436D"/>
    <w:multiLevelType w:val="multilevel"/>
    <w:tmpl w:val="BA48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9E6E7D"/>
    <w:multiLevelType w:val="multilevel"/>
    <w:tmpl w:val="25F6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F94E0B"/>
    <w:multiLevelType w:val="multilevel"/>
    <w:tmpl w:val="9676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Y1sDQzNjAzNTM1sjRW0lEKTi0uzszPAykwNK8FAJz6ftMtAAAA"/>
  </w:docVars>
  <w:rsids>
    <w:rsidRoot w:val="0017107C"/>
    <w:rsid w:val="000402B0"/>
    <w:rsid w:val="000673DD"/>
    <w:rsid w:val="000E7EA6"/>
    <w:rsid w:val="00103518"/>
    <w:rsid w:val="001139A6"/>
    <w:rsid w:val="0012026D"/>
    <w:rsid w:val="0014505B"/>
    <w:rsid w:val="00150330"/>
    <w:rsid w:val="00150949"/>
    <w:rsid w:val="0017107C"/>
    <w:rsid w:val="001B605B"/>
    <w:rsid w:val="001D2E03"/>
    <w:rsid w:val="00225CB8"/>
    <w:rsid w:val="00246446"/>
    <w:rsid w:val="002506CE"/>
    <w:rsid w:val="00256A34"/>
    <w:rsid w:val="002D7720"/>
    <w:rsid w:val="002E69D6"/>
    <w:rsid w:val="003012F2"/>
    <w:rsid w:val="00302E28"/>
    <w:rsid w:val="0035645A"/>
    <w:rsid w:val="00366EB7"/>
    <w:rsid w:val="00387C04"/>
    <w:rsid w:val="003C054A"/>
    <w:rsid w:val="003D4321"/>
    <w:rsid w:val="004111B9"/>
    <w:rsid w:val="004422D6"/>
    <w:rsid w:val="00444C0A"/>
    <w:rsid w:val="00446D1E"/>
    <w:rsid w:val="00466350"/>
    <w:rsid w:val="00490E1F"/>
    <w:rsid w:val="004C56B5"/>
    <w:rsid w:val="004F5329"/>
    <w:rsid w:val="0054372F"/>
    <w:rsid w:val="00550D55"/>
    <w:rsid w:val="005805A7"/>
    <w:rsid w:val="005828EB"/>
    <w:rsid w:val="00594E1D"/>
    <w:rsid w:val="005A7082"/>
    <w:rsid w:val="005F6A96"/>
    <w:rsid w:val="006103B7"/>
    <w:rsid w:val="00636CAA"/>
    <w:rsid w:val="00681403"/>
    <w:rsid w:val="00683D57"/>
    <w:rsid w:val="006857B9"/>
    <w:rsid w:val="00694385"/>
    <w:rsid w:val="006A069C"/>
    <w:rsid w:val="006F30F8"/>
    <w:rsid w:val="006F7A54"/>
    <w:rsid w:val="007207E7"/>
    <w:rsid w:val="0073254B"/>
    <w:rsid w:val="00761FB1"/>
    <w:rsid w:val="00765098"/>
    <w:rsid w:val="00772B5B"/>
    <w:rsid w:val="007774F3"/>
    <w:rsid w:val="007923D9"/>
    <w:rsid w:val="007B5952"/>
    <w:rsid w:val="007E08E8"/>
    <w:rsid w:val="007E173D"/>
    <w:rsid w:val="007E3D57"/>
    <w:rsid w:val="008155D7"/>
    <w:rsid w:val="00830C48"/>
    <w:rsid w:val="0083199C"/>
    <w:rsid w:val="00841477"/>
    <w:rsid w:val="008444EF"/>
    <w:rsid w:val="00895221"/>
    <w:rsid w:val="00895FC2"/>
    <w:rsid w:val="008A527D"/>
    <w:rsid w:val="008E2259"/>
    <w:rsid w:val="008F3284"/>
    <w:rsid w:val="008F5D97"/>
    <w:rsid w:val="00920C25"/>
    <w:rsid w:val="009D4188"/>
    <w:rsid w:val="009D53B0"/>
    <w:rsid w:val="00A454F1"/>
    <w:rsid w:val="00A55B87"/>
    <w:rsid w:val="00A56122"/>
    <w:rsid w:val="00A91387"/>
    <w:rsid w:val="00A92222"/>
    <w:rsid w:val="00AF4563"/>
    <w:rsid w:val="00AF64DF"/>
    <w:rsid w:val="00B26A34"/>
    <w:rsid w:val="00B5412B"/>
    <w:rsid w:val="00B808B8"/>
    <w:rsid w:val="00BE0B46"/>
    <w:rsid w:val="00C5152D"/>
    <w:rsid w:val="00CC09C7"/>
    <w:rsid w:val="00D00437"/>
    <w:rsid w:val="00D611A9"/>
    <w:rsid w:val="00D7604A"/>
    <w:rsid w:val="00DB7A04"/>
    <w:rsid w:val="00DC296E"/>
    <w:rsid w:val="00DC323E"/>
    <w:rsid w:val="00E20F73"/>
    <w:rsid w:val="00E21D30"/>
    <w:rsid w:val="00E92D97"/>
    <w:rsid w:val="00EE6981"/>
    <w:rsid w:val="00F0717D"/>
    <w:rsid w:val="00F107DA"/>
    <w:rsid w:val="00FB5447"/>
    <w:rsid w:val="00FE7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59480B6-BF9E-4244-92BD-0AEDB754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kern w:val="2"/>
        <w:sz w:val="24"/>
        <w:szCs w:val="22"/>
        <w:lang w:val="en-US" w:eastAsia="en-US" w:bidi="ar-SA"/>
        <w14:ligatures w14:val="standardContextual"/>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94E1D"/>
    <w:pPr>
      <w:spacing w:before="100" w:beforeAutospacing="1" w:after="100" w:afterAutospacing="1" w:line="240" w:lineRule="auto"/>
      <w:jc w:val="left"/>
      <w:outlineLvl w:val="2"/>
    </w:pPr>
    <w:rPr>
      <w:rFonts w:eastAsia="Times New Roman"/>
      <w:b/>
      <w:bCs/>
      <w:kern w:val="0"/>
      <w:sz w:val="27"/>
      <w:szCs w:val="27"/>
      <w14:ligatures w14:val="none"/>
    </w:rPr>
  </w:style>
  <w:style w:type="paragraph" w:styleId="Heading6">
    <w:name w:val="heading 6"/>
    <w:basedOn w:val="Normal"/>
    <w:next w:val="Normal"/>
    <w:link w:val="Heading6Char"/>
    <w:uiPriority w:val="9"/>
    <w:semiHidden/>
    <w:unhideWhenUsed/>
    <w:qFormat/>
    <w:rsid w:val="00B26A3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4385"/>
    <w:rPr>
      <w:color w:val="808080"/>
    </w:rPr>
  </w:style>
  <w:style w:type="paragraph" w:styleId="Header">
    <w:name w:val="header"/>
    <w:basedOn w:val="Normal"/>
    <w:link w:val="HeaderChar"/>
    <w:uiPriority w:val="99"/>
    <w:unhideWhenUsed/>
    <w:rsid w:val="005805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5A7"/>
  </w:style>
  <w:style w:type="paragraph" w:styleId="Footer">
    <w:name w:val="footer"/>
    <w:basedOn w:val="Normal"/>
    <w:link w:val="FooterChar"/>
    <w:uiPriority w:val="99"/>
    <w:unhideWhenUsed/>
    <w:rsid w:val="005805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5A7"/>
  </w:style>
  <w:style w:type="character" w:styleId="Hyperlink">
    <w:name w:val="Hyperlink"/>
    <w:basedOn w:val="DefaultParagraphFont"/>
    <w:uiPriority w:val="99"/>
    <w:unhideWhenUsed/>
    <w:rsid w:val="00466350"/>
    <w:rPr>
      <w:color w:val="0563C1" w:themeColor="hyperlink"/>
      <w:u w:val="single"/>
    </w:rPr>
  </w:style>
  <w:style w:type="character" w:styleId="UnresolvedMention">
    <w:name w:val="Unresolved Mention"/>
    <w:basedOn w:val="DefaultParagraphFont"/>
    <w:uiPriority w:val="99"/>
    <w:semiHidden/>
    <w:unhideWhenUsed/>
    <w:rsid w:val="00466350"/>
    <w:rPr>
      <w:color w:val="605E5C"/>
      <w:shd w:val="clear" w:color="auto" w:fill="E1DFDD"/>
    </w:rPr>
  </w:style>
  <w:style w:type="character" w:styleId="Emphasis">
    <w:name w:val="Emphasis"/>
    <w:basedOn w:val="DefaultParagraphFont"/>
    <w:uiPriority w:val="20"/>
    <w:qFormat/>
    <w:rsid w:val="00466350"/>
    <w:rPr>
      <w:i/>
      <w:iCs/>
    </w:rPr>
  </w:style>
  <w:style w:type="character" w:styleId="Strong">
    <w:name w:val="Strong"/>
    <w:basedOn w:val="DefaultParagraphFont"/>
    <w:uiPriority w:val="22"/>
    <w:qFormat/>
    <w:rsid w:val="008155D7"/>
    <w:rPr>
      <w:b/>
      <w:bCs/>
    </w:rPr>
  </w:style>
  <w:style w:type="paragraph" w:styleId="NormalWeb">
    <w:name w:val="Normal (Web)"/>
    <w:basedOn w:val="Normal"/>
    <w:uiPriority w:val="99"/>
    <w:unhideWhenUsed/>
    <w:rsid w:val="008155D7"/>
    <w:pPr>
      <w:spacing w:before="100" w:beforeAutospacing="1" w:after="100" w:afterAutospacing="1" w:line="240" w:lineRule="auto"/>
      <w:jc w:val="left"/>
    </w:pPr>
    <w:rPr>
      <w:rFonts w:eastAsia="Times New Roman"/>
      <w:kern w:val="0"/>
      <w:szCs w:val="24"/>
      <w14:ligatures w14:val="none"/>
    </w:rPr>
  </w:style>
  <w:style w:type="character" w:customStyle="1" w:styleId="Heading3Char">
    <w:name w:val="Heading 3 Char"/>
    <w:basedOn w:val="DefaultParagraphFont"/>
    <w:link w:val="Heading3"/>
    <w:uiPriority w:val="9"/>
    <w:rsid w:val="00594E1D"/>
    <w:rPr>
      <w:rFonts w:eastAsia="Times New Roman"/>
      <w:b/>
      <w:bCs/>
      <w:kern w:val="0"/>
      <w:sz w:val="27"/>
      <w:szCs w:val="27"/>
      <w14:ligatures w14:val="none"/>
    </w:rPr>
  </w:style>
  <w:style w:type="paragraph" w:styleId="ListParagraph">
    <w:name w:val="List Paragraph"/>
    <w:basedOn w:val="Normal"/>
    <w:uiPriority w:val="34"/>
    <w:qFormat/>
    <w:rsid w:val="00594E1D"/>
    <w:pPr>
      <w:ind w:left="720"/>
      <w:contextualSpacing/>
    </w:pPr>
  </w:style>
  <w:style w:type="paragraph" w:customStyle="1" w:styleId="ds-markdown-paragraph">
    <w:name w:val="ds-markdown-paragraph"/>
    <w:basedOn w:val="Normal"/>
    <w:rsid w:val="00FE78A4"/>
    <w:pPr>
      <w:spacing w:before="100" w:beforeAutospacing="1" w:after="100" w:afterAutospacing="1" w:line="240" w:lineRule="auto"/>
      <w:jc w:val="left"/>
    </w:pPr>
    <w:rPr>
      <w:rFonts w:eastAsia="Times New Roman"/>
      <w:kern w:val="0"/>
      <w:szCs w:val="24"/>
      <w14:ligatures w14:val="none"/>
    </w:rPr>
  </w:style>
  <w:style w:type="paragraph" w:styleId="NoSpacing">
    <w:name w:val="No Spacing"/>
    <w:uiPriority w:val="1"/>
    <w:qFormat/>
    <w:rsid w:val="009D53B0"/>
    <w:pPr>
      <w:spacing w:after="0" w:line="240" w:lineRule="auto"/>
    </w:pPr>
  </w:style>
  <w:style w:type="character" w:styleId="LineNumber">
    <w:name w:val="line number"/>
    <w:basedOn w:val="DefaultParagraphFont"/>
    <w:uiPriority w:val="99"/>
    <w:semiHidden/>
    <w:unhideWhenUsed/>
    <w:rsid w:val="005F6A96"/>
  </w:style>
  <w:style w:type="character" w:customStyle="1" w:styleId="Heading6Char">
    <w:name w:val="Heading 6 Char"/>
    <w:basedOn w:val="DefaultParagraphFont"/>
    <w:link w:val="Heading6"/>
    <w:uiPriority w:val="9"/>
    <w:semiHidden/>
    <w:rsid w:val="00B26A3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707">
      <w:bodyDiv w:val="1"/>
      <w:marLeft w:val="0"/>
      <w:marRight w:val="0"/>
      <w:marTop w:val="0"/>
      <w:marBottom w:val="0"/>
      <w:divBdr>
        <w:top w:val="none" w:sz="0" w:space="0" w:color="auto"/>
        <w:left w:val="none" w:sz="0" w:space="0" w:color="auto"/>
        <w:bottom w:val="none" w:sz="0" w:space="0" w:color="auto"/>
        <w:right w:val="none" w:sz="0" w:space="0" w:color="auto"/>
      </w:divBdr>
      <w:divsChild>
        <w:div w:id="997196031">
          <w:marLeft w:val="480"/>
          <w:marRight w:val="0"/>
          <w:marTop w:val="0"/>
          <w:marBottom w:val="0"/>
          <w:divBdr>
            <w:top w:val="none" w:sz="0" w:space="0" w:color="auto"/>
            <w:left w:val="none" w:sz="0" w:space="0" w:color="auto"/>
            <w:bottom w:val="none" w:sz="0" w:space="0" w:color="auto"/>
            <w:right w:val="none" w:sz="0" w:space="0" w:color="auto"/>
          </w:divBdr>
        </w:div>
        <w:div w:id="1100756101">
          <w:marLeft w:val="480"/>
          <w:marRight w:val="0"/>
          <w:marTop w:val="0"/>
          <w:marBottom w:val="0"/>
          <w:divBdr>
            <w:top w:val="none" w:sz="0" w:space="0" w:color="auto"/>
            <w:left w:val="none" w:sz="0" w:space="0" w:color="auto"/>
            <w:bottom w:val="none" w:sz="0" w:space="0" w:color="auto"/>
            <w:right w:val="none" w:sz="0" w:space="0" w:color="auto"/>
          </w:divBdr>
        </w:div>
        <w:div w:id="2033647756">
          <w:marLeft w:val="480"/>
          <w:marRight w:val="0"/>
          <w:marTop w:val="0"/>
          <w:marBottom w:val="0"/>
          <w:divBdr>
            <w:top w:val="none" w:sz="0" w:space="0" w:color="auto"/>
            <w:left w:val="none" w:sz="0" w:space="0" w:color="auto"/>
            <w:bottom w:val="none" w:sz="0" w:space="0" w:color="auto"/>
            <w:right w:val="none" w:sz="0" w:space="0" w:color="auto"/>
          </w:divBdr>
        </w:div>
        <w:div w:id="220411568">
          <w:marLeft w:val="480"/>
          <w:marRight w:val="0"/>
          <w:marTop w:val="0"/>
          <w:marBottom w:val="0"/>
          <w:divBdr>
            <w:top w:val="none" w:sz="0" w:space="0" w:color="auto"/>
            <w:left w:val="none" w:sz="0" w:space="0" w:color="auto"/>
            <w:bottom w:val="none" w:sz="0" w:space="0" w:color="auto"/>
            <w:right w:val="none" w:sz="0" w:space="0" w:color="auto"/>
          </w:divBdr>
        </w:div>
        <w:div w:id="150371641">
          <w:marLeft w:val="480"/>
          <w:marRight w:val="0"/>
          <w:marTop w:val="0"/>
          <w:marBottom w:val="0"/>
          <w:divBdr>
            <w:top w:val="none" w:sz="0" w:space="0" w:color="auto"/>
            <w:left w:val="none" w:sz="0" w:space="0" w:color="auto"/>
            <w:bottom w:val="none" w:sz="0" w:space="0" w:color="auto"/>
            <w:right w:val="none" w:sz="0" w:space="0" w:color="auto"/>
          </w:divBdr>
        </w:div>
        <w:div w:id="336617985">
          <w:marLeft w:val="480"/>
          <w:marRight w:val="0"/>
          <w:marTop w:val="0"/>
          <w:marBottom w:val="0"/>
          <w:divBdr>
            <w:top w:val="none" w:sz="0" w:space="0" w:color="auto"/>
            <w:left w:val="none" w:sz="0" w:space="0" w:color="auto"/>
            <w:bottom w:val="none" w:sz="0" w:space="0" w:color="auto"/>
            <w:right w:val="none" w:sz="0" w:space="0" w:color="auto"/>
          </w:divBdr>
        </w:div>
        <w:div w:id="1791319049">
          <w:marLeft w:val="480"/>
          <w:marRight w:val="0"/>
          <w:marTop w:val="0"/>
          <w:marBottom w:val="0"/>
          <w:divBdr>
            <w:top w:val="none" w:sz="0" w:space="0" w:color="auto"/>
            <w:left w:val="none" w:sz="0" w:space="0" w:color="auto"/>
            <w:bottom w:val="none" w:sz="0" w:space="0" w:color="auto"/>
            <w:right w:val="none" w:sz="0" w:space="0" w:color="auto"/>
          </w:divBdr>
        </w:div>
        <w:div w:id="1787769154">
          <w:marLeft w:val="480"/>
          <w:marRight w:val="0"/>
          <w:marTop w:val="0"/>
          <w:marBottom w:val="0"/>
          <w:divBdr>
            <w:top w:val="none" w:sz="0" w:space="0" w:color="auto"/>
            <w:left w:val="none" w:sz="0" w:space="0" w:color="auto"/>
            <w:bottom w:val="none" w:sz="0" w:space="0" w:color="auto"/>
            <w:right w:val="none" w:sz="0" w:space="0" w:color="auto"/>
          </w:divBdr>
        </w:div>
        <w:div w:id="1151868781">
          <w:marLeft w:val="480"/>
          <w:marRight w:val="0"/>
          <w:marTop w:val="0"/>
          <w:marBottom w:val="0"/>
          <w:divBdr>
            <w:top w:val="none" w:sz="0" w:space="0" w:color="auto"/>
            <w:left w:val="none" w:sz="0" w:space="0" w:color="auto"/>
            <w:bottom w:val="none" w:sz="0" w:space="0" w:color="auto"/>
            <w:right w:val="none" w:sz="0" w:space="0" w:color="auto"/>
          </w:divBdr>
        </w:div>
        <w:div w:id="529224357">
          <w:marLeft w:val="480"/>
          <w:marRight w:val="0"/>
          <w:marTop w:val="0"/>
          <w:marBottom w:val="0"/>
          <w:divBdr>
            <w:top w:val="none" w:sz="0" w:space="0" w:color="auto"/>
            <w:left w:val="none" w:sz="0" w:space="0" w:color="auto"/>
            <w:bottom w:val="none" w:sz="0" w:space="0" w:color="auto"/>
            <w:right w:val="none" w:sz="0" w:space="0" w:color="auto"/>
          </w:divBdr>
        </w:div>
        <w:div w:id="595019090">
          <w:marLeft w:val="480"/>
          <w:marRight w:val="0"/>
          <w:marTop w:val="0"/>
          <w:marBottom w:val="0"/>
          <w:divBdr>
            <w:top w:val="none" w:sz="0" w:space="0" w:color="auto"/>
            <w:left w:val="none" w:sz="0" w:space="0" w:color="auto"/>
            <w:bottom w:val="none" w:sz="0" w:space="0" w:color="auto"/>
            <w:right w:val="none" w:sz="0" w:space="0" w:color="auto"/>
          </w:divBdr>
        </w:div>
        <w:div w:id="1974867342">
          <w:marLeft w:val="480"/>
          <w:marRight w:val="0"/>
          <w:marTop w:val="0"/>
          <w:marBottom w:val="0"/>
          <w:divBdr>
            <w:top w:val="none" w:sz="0" w:space="0" w:color="auto"/>
            <w:left w:val="none" w:sz="0" w:space="0" w:color="auto"/>
            <w:bottom w:val="none" w:sz="0" w:space="0" w:color="auto"/>
            <w:right w:val="none" w:sz="0" w:space="0" w:color="auto"/>
          </w:divBdr>
        </w:div>
      </w:divsChild>
    </w:div>
    <w:div w:id="78645691">
      <w:bodyDiv w:val="1"/>
      <w:marLeft w:val="0"/>
      <w:marRight w:val="0"/>
      <w:marTop w:val="0"/>
      <w:marBottom w:val="0"/>
      <w:divBdr>
        <w:top w:val="none" w:sz="0" w:space="0" w:color="auto"/>
        <w:left w:val="none" w:sz="0" w:space="0" w:color="auto"/>
        <w:bottom w:val="none" w:sz="0" w:space="0" w:color="auto"/>
        <w:right w:val="none" w:sz="0" w:space="0" w:color="auto"/>
      </w:divBdr>
      <w:divsChild>
        <w:div w:id="2003074906">
          <w:marLeft w:val="480"/>
          <w:marRight w:val="0"/>
          <w:marTop w:val="0"/>
          <w:marBottom w:val="0"/>
          <w:divBdr>
            <w:top w:val="none" w:sz="0" w:space="0" w:color="auto"/>
            <w:left w:val="none" w:sz="0" w:space="0" w:color="auto"/>
            <w:bottom w:val="none" w:sz="0" w:space="0" w:color="auto"/>
            <w:right w:val="none" w:sz="0" w:space="0" w:color="auto"/>
          </w:divBdr>
        </w:div>
        <w:div w:id="1507741616">
          <w:marLeft w:val="480"/>
          <w:marRight w:val="0"/>
          <w:marTop w:val="0"/>
          <w:marBottom w:val="0"/>
          <w:divBdr>
            <w:top w:val="none" w:sz="0" w:space="0" w:color="auto"/>
            <w:left w:val="none" w:sz="0" w:space="0" w:color="auto"/>
            <w:bottom w:val="none" w:sz="0" w:space="0" w:color="auto"/>
            <w:right w:val="none" w:sz="0" w:space="0" w:color="auto"/>
          </w:divBdr>
        </w:div>
        <w:div w:id="1025247895">
          <w:marLeft w:val="480"/>
          <w:marRight w:val="0"/>
          <w:marTop w:val="0"/>
          <w:marBottom w:val="0"/>
          <w:divBdr>
            <w:top w:val="none" w:sz="0" w:space="0" w:color="auto"/>
            <w:left w:val="none" w:sz="0" w:space="0" w:color="auto"/>
            <w:bottom w:val="none" w:sz="0" w:space="0" w:color="auto"/>
            <w:right w:val="none" w:sz="0" w:space="0" w:color="auto"/>
          </w:divBdr>
        </w:div>
        <w:div w:id="1249583445">
          <w:marLeft w:val="480"/>
          <w:marRight w:val="0"/>
          <w:marTop w:val="0"/>
          <w:marBottom w:val="0"/>
          <w:divBdr>
            <w:top w:val="none" w:sz="0" w:space="0" w:color="auto"/>
            <w:left w:val="none" w:sz="0" w:space="0" w:color="auto"/>
            <w:bottom w:val="none" w:sz="0" w:space="0" w:color="auto"/>
            <w:right w:val="none" w:sz="0" w:space="0" w:color="auto"/>
          </w:divBdr>
        </w:div>
        <w:div w:id="1071660192">
          <w:marLeft w:val="480"/>
          <w:marRight w:val="0"/>
          <w:marTop w:val="0"/>
          <w:marBottom w:val="0"/>
          <w:divBdr>
            <w:top w:val="none" w:sz="0" w:space="0" w:color="auto"/>
            <w:left w:val="none" w:sz="0" w:space="0" w:color="auto"/>
            <w:bottom w:val="none" w:sz="0" w:space="0" w:color="auto"/>
            <w:right w:val="none" w:sz="0" w:space="0" w:color="auto"/>
          </w:divBdr>
        </w:div>
        <w:div w:id="1835606746">
          <w:marLeft w:val="480"/>
          <w:marRight w:val="0"/>
          <w:marTop w:val="0"/>
          <w:marBottom w:val="0"/>
          <w:divBdr>
            <w:top w:val="none" w:sz="0" w:space="0" w:color="auto"/>
            <w:left w:val="none" w:sz="0" w:space="0" w:color="auto"/>
            <w:bottom w:val="none" w:sz="0" w:space="0" w:color="auto"/>
            <w:right w:val="none" w:sz="0" w:space="0" w:color="auto"/>
          </w:divBdr>
        </w:div>
        <w:div w:id="471139184">
          <w:marLeft w:val="480"/>
          <w:marRight w:val="0"/>
          <w:marTop w:val="0"/>
          <w:marBottom w:val="0"/>
          <w:divBdr>
            <w:top w:val="none" w:sz="0" w:space="0" w:color="auto"/>
            <w:left w:val="none" w:sz="0" w:space="0" w:color="auto"/>
            <w:bottom w:val="none" w:sz="0" w:space="0" w:color="auto"/>
            <w:right w:val="none" w:sz="0" w:space="0" w:color="auto"/>
          </w:divBdr>
        </w:div>
        <w:div w:id="1737360728">
          <w:marLeft w:val="480"/>
          <w:marRight w:val="0"/>
          <w:marTop w:val="0"/>
          <w:marBottom w:val="0"/>
          <w:divBdr>
            <w:top w:val="none" w:sz="0" w:space="0" w:color="auto"/>
            <w:left w:val="none" w:sz="0" w:space="0" w:color="auto"/>
            <w:bottom w:val="none" w:sz="0" w:space="0" w:color="auto"/>
            <w:right w:val="none" w:sz="0" w:space="0" w:color="auto"/>
          </w:divBdr>
        </w:div>
        <w:div w:id="2115250637">
          <w:marLeft w:val="480"/>
          <w:marRight w:val="0"/>
          <w:marTop w:val="0"/>
          <w:marBottom w:val="0"/>
          <w:divBdr>
            <w:top w:val="none" w:sz="0" w:space="0" w:color="auto"/>
            <w:left w:val="none" w:sz="0" w:space="0" w:color="auto"/>
            <w:bottom w:val="none" w:sz="0" w:space="0" w:color="auto"/>
            <w:right w:val="none" w:sz="0" w:space="0" w:color="auto"/>
          </w:divBdr>
        </w:div>
        <w:div w:id="665672714">
          <w:marLeft w:val="480"/>
          <w:marRight w:val="0"/>
          <w:marTop w:val="0"/>
          <w:marBottom w:val="0"/>
          <w:divBdr>
            <w:top w:val="none" w:sz="0" w:space="0" w:color="auto"/>
            <w:left w:val="none" w:sz="0" w:space="0" w:color="auto"/>
            <w:bottom w:val="none" w:sz="0" w:space="0" w:color="auto"/>
            <w:right w:val="none" w:sz="0" w:space="0" w:color="auto"/>
          </w:divBdr>
        </w:div>
        <w:div w:id="99103691">
          <w:marLeft w:val="480"/>
          <w:marRight w:val="0"/>
          <w:marTop w:val="0"/>
          <w:marBottom w:val="0"/>
          <w:divBdr>
            <w:top w:val="none" w:sz="0" w:space="0" w:color="auto"/>
            <w:left w:val="none" w:sz="0" w:space="0" w:color="auto"/>
            <w:bottom w:val="none" w:sz="0" w:space="0" w:color="auto"/>
            <w:right w:val="none" w:sz="0" w:space="0" w:color="auto"/>
          </w:divBdr>
        </w:div>
        <w:div w:id="25716036">
          <w:marLeft w:val="480"/>
          <w:marRight w:val="0"/>
          <w:marTop w:val="0"/>
          <w:marBottom w:val="0"/>
          <w:divBdr>
            <w:top w:val="none" w:sz="0" w:space="0" w:color="auto"/>
            <w:left w:val="none" w:sz="0" w:space="0" w:color="auto"/>
            <w:bottom w:val="none" w:sz="0" w:space="0" w:color="auto"/>
            <w:right w:val="none" w:sz="0" w:space="0" w:color="auto"/>
          </w:divBdr>
        </w:div>
      </w:divsChild>
    </w:div>
    <w:div w:id="196822194">
      <w:bodyDiv w:val="1"/>
      <w:marLeft w:val="0"/>
      <w:marRight w:val="0"/>
      <w:marTop w:val="0"/>
      <w:marBottom w:val="0"/>
      <w:divBdr>
        <w:top w:val="none" w:sz="0" w:space="0" w:color="auto"/>
        <w:left w:val="none" w:sz="0" w:space="0" w:color="auto"/>
        <w:bottom w:val="none" w:sz="0" w:space="0" w:color="auto"/>
        <w:right w:val="none" w:sz="0" w:space="0" w:color="auto"/>
      </w:divBdr>
    </w:div>
    <w:div w:id="323902106">
      <w:bodyDiv w:val="1"/>
      <w:marLeft w:val="0"/>
      <w:marRight w:val="0"/>
      <w:marTop w:val="0"/>
      <w:marBottom w:val="0"/>
      <w:divBdr>
        <w:top w:val="none" w:sz="0" w:space="0" w:color="auto"/>
        <w:left w:val="none" w:sz="0" w:space="0" w:color="auto"/>
        <w:bottom w:val="none" w:sz="0" w:space="0" w:color="auto"/>
        <w:right w:val="none" w:sz="0" w:space="0" w:color="auto"/>
      </w:divBdr>
    </w:div>
    <w:div w:id="454833203">
      <w:bodyDiv w:val="1"/>
      <w:marLeft w:val="0"/>
      <w:marRight w:val="0"/>
      <w:marTop w:val="0"/>
      <w:marBottom w:val="0"/>
      <w:divBdr>
        <w:top w:val="none" w:sz="0" w:space="0" w:color="auto"/>
        <w:left w:val="none" w:sz="0" w:space="0" w:color="auto"/>
        <w:bottom w:val="none" w:sz="0" w:space="0" w:color="auto"/>
        <w:right w:val="none" w:sz="0" w:space="0" w:color="auto"/>
      </w:divBdr>
    </w:div>
    <w:div w:id="550775455">
      <w:bodyDiv w:val="1"/>
      <w:marLeft w:val="0"/>
      <w:marRight w:val="0"/>
      <w:marTop w:val="0"/>
      <w:marBottom w:val="0"/>
      <w:divBdr>
        <w:top w:val="none" w:sz="0" w:space="0" w:color="auto"/>
        <w:left w:val="none" w:sz="0" w:space="0" w:color="auto"/>
        <w:bottom w:val="none" w:sz="0" w:space="0" w:color="auto"/>
        <w:right w:val="none" w:sz="0" w:space="0" w:color="auto"/>
      </w:divBdr>
    </w:div>
    <w:div w:id="731775982">
      <w:bodyDiv w:val="1"/>
      <w:marLeft w:val="0"/>
      <w:marRight w:val="0"/>
      <w:marTop w:val="0"/>
      <w:marBottom w:val="0"/>
      <w:divBdr>
        <w:top w:val="none" w:sz="0" w:space="0" w:color="auto"/>
        <w:left w:val="none" w:sz="0" w:space="0" w:color="auto"/>
        <w:bottom w:val="none" w:sz="0" w:space="0" w:color="auto"/>
        <w:right w:val="none" w:sz="0" w:space="0" w:color="auto"/>
      </w:divBdr>
      <w:divsChild>
        <w:div w:id="2132892942">
          <w:marLeft w:val="480"/>
          <w:marRight w:val="0"/>
          <w:marTop w:val="0"/>
          <w:marBottom w:val="0"/>
          <w:divBdr>
            <w:top w:val="none" w:sz="0" w:space="0" w:color="auto"/>
            <w:left w:val="none" w:sz="0" w:space="0" w:color="auto"/>
            <w:bottom w:val="none" w:sz="0" w:space="0" w:color="auto"/>
            <w:right w:val="none" w:sz="0" w:space="0" w:color="auto"/>
          </w:divBdr>
        </w:div>
        <w:div w:id="370031520">
          <w:marLeft w:val="480"/>
          <w:marRight w:val="0"/>
          <w:marTop w:val="0"/>
          <w:marBottom w:val="0"/>
          <w:divBdr>
            <w:top w:val="none" w:sz="0" w:space="0" w:color="auto"/>
            <w:left w:val="none" w:sz="0" w:space="0" w:color="auto"/>
            <w:bottom w:val="none" w:sz="0" w:space="0" w:color="auto"/>
            <w:right w:val="none" w:sz="0" w:space="0" w:color="auto"/>
          </w:divBdr>
        </w:div>
        <w:div w:id="109862482">
          <w:marLeft w:val="480"/>
          <w:marRight w:val="0"/>
          <w:marTop w:val="0"/>
          <w:marBottom w:val="0"/>
          <w:divBdr>
            <w:top w:val="none" w:sz="0" w:space="0" w:color="auto"/>
            <w:left w:val="none" w:sz="0" w:space="0" w:color="auto"/>
            <w:bottom w:val="none" w:sz="0" w:space="0" w:color="auto"/>
            <w:right w:val="none" w:sz="0" w:space="0" w:color="auto"/>
          </w:divBdr>
        </w:div>
        <w:div w:id="500702348">
          <w:marLeft w:val="480"/>
          <w:marRight w:val="0"/>
          <w:marTop w:val="0"/>
          <w:marBottom w:val="0"/>
          <w:divBdr>
            <w:top w:val="none" w:sz="0" w:space="0" w:color="auto"/>
            <w:left w:val="none" w:sz="0" w:space="0" w:color="auto"/>
            <w:bottom w:val="none" w:sz="0" w:space="0" w:color="auto"/>
            <w:right w:val="none" w:sz="0" w:space="0" w:color="auto"/>
          </w:divBdr>
        </w:div>
        <w:div w:id="1089430644">
          <w:marLeft w:val="480"/>
          <w:marRight w:val="0"/>
          <w:marTop w:val="0"/>
          <w:marBottom w:val="0"/>
          <w:divBdr>
            <w:top w:val="none" w:sz="0" w:space="0" w:color="auto"/>
            <w:left w:val="none" w:sz="0" w:space="0" w:color="auto"/>
            <w:bottom w:val="none" w:sz="0" w:space="0" w:color="auto"/>
            <w:right w:val="none" w:sz="0" w:space="0" w:color="auto"/>
          </w:divBdr>
        </w:div>
        <w:div w:id="1243837666">
          <w:marLeft w:val="480"/>
          <w:marRight w:val="0"/>
          <w:marTop w:val="0"/>
          <w:marBottom w:val="0"/>
          <w:divBdr>
            <w:top w:val="none" w:sz="0" w:space="0" w:color="auto"/>
            <w:left w:val="none" w:sz="0" w:space="0" w:color="auto"/>
            <w:bottom w:val="none" w:sz="0" w:space="0" w:color="auto"/>
            <w:right w:val="none" w:sz="0" w:space="0" w:color="auto"/>
          </w:divBdr>
        </w:div>
        <w:div w:id="611783637">
          <w:marLeft w:val="480"/>
          <w:marRight w:val="0"/>
          <w:marTop w:val="0"/>
          <w:marBottom w:val="0"/>
          <w:divBdr>
            <w:top w:val="none" w:sz="0" w:space="0" w:color="auto"/>
            <w:left w:val="none" w:sz="0" w:space="0" w:color="auto"/>
            <w:bottom w:val="none" w:sz="0" w:space="0" w:color="auto"/>
            <w:right w:val="none" w:sz="0" w:space="0" w:color="auto"/>
          </w:divBdr>
        </w:div>
        <w:div w:id="1578634790">
          <w:marLeft w:val="480"/>
          <w:marRight w:val="0"/>
          <w:marTop w:val="0"/>
          <w:marBottom w:val="0"/>
          <w:divBdr>
            <w:top w:val="none" w:sz="0" w:space="0" w:color="auto"/>
            <w:left w:val="none" w:sz="0" w:space="0" w:color="auto"/>
            <w:bottom w:val="none" w:sz="0" w:space="0" w:color="auto"/>
            <w:right w:val="none" w:sz="0" w:space="0" w:color="auto"/>
          </w:divBdr>
        </w:div>
        <w:div w:id="1265261338">
          <w:marLeft w:val="480"/>
          <w:marRight w:val="0"/>
          <w:marTop w:val="0"/>
          <w:marBottom w:val="0"/>
          <w:divBdr>
            <w:top w:val="none" w:sz="0" w:space="0" w:color="auto"/>
            <w:left w:val="none" w:sz="0" w:space="0" w:color="auto"/>
            <w:bottom w:val="none" w:sz="0" w:space="0" w:color="auto"/>
            <w:right w:val="none" w:sz="0" w:space="0" w:color="auto"/>
          </w:divBdr>
        </w:div>
        <w:div w:id="621348200">
          <w:marLeft w:val="480"/>
          <w:marRight w:val="0"/>
          <w:marTop w:val="0"/>
          <w:marBottom w:val="0"/>
          <w:divBdr>
            <w:top w:val="none" w:sz="0" w:space="0" w:color="auto"/>
            <w:left w:val="none" w:sz="0" w:space="0" w:color="auto"/>
            <w:bottom w:val="none" w:sz="0" w:space="0" w:color="auto"/>
            <w:right w:val="none" w:sz="0" w:space="0" w:color="auto"/>
          </w:divBdr>
        </w:div>
        <w:div w:id="1795951599">
          <w:marLeft w:val="480"/>
          <w:marRight w:val="0"/>
          <w:marTop w:val="0"/>
          <w:marBottom w:val="0"/>
          <w:divBdr>
            <w:top w:val="none" w:sz="0" w:space="0" w:color="auto"/>
            <w:left w:val="none" w:sz="0" w:space="0" w:color="auto"/>
            <w:bottom w:val="none" w:sz="0" w:space="0" w:color="auto"/>
            <w:right w:val="none" w:sz="0" w:space="0" w:color="auto"/>
          </w:divBdr>
        </w:div>
        <w:div w:id="1368750189">
          <w:marLeft w:val="480"/>
          <w:marRight w:val="0"/>
          <w:marTop w:val="0"/>
          <w:marBottom w:val="0"/>
          <w:divBdr>
            <w:top w:val="none" w:sz="0" w:space="0" w:color="auto"/>
            <w:left w:val="none" w:sz="0" w:space="0" w:color="auto"/>
            <w:bottom w:val="none" w:sz="0" w:space="0" w:color="auto"/>
            <w:right w:val="none" w:sz="0" w:space="0" w:color="auto"/>
          </w:divBdr>
        </w:div>
      </w:divsChild>
    </w:div>
    <w:div w:id="772627976">
      <w:bodyDiv w:val="1"/>
      <w:marLeft w:val="0"/>
      <w:marRight w:val="0"/>
      <w:marTop w:val="0"/>
      <w:marBottom w:val="0"/>
      <w:divBdr>
        <w:top w:val="none" w:sz="0" w:space="0" w:color="auto"/>
        <w:left w:val="none" w:sz="0" w:space="0" w:color="auto"/>
        <w:bottom w:val="none" w:sz="0" w:space="0" w:color="auto"/>
        <w:right w:val="none" w:sz="0" w:space="0" w:color="auto"/>
      </w:divBdr>
    </w:div>
    <w:div w:id="800994853">
      <w:bodyDiv w:val="1"/>
      <w:marLeft w:val="0"/>
      <w:marRight w:val="0"/>
      <w:marTop w:val="0"/>
      <w:marBottom w:val="0"/>
      <w:divBdr>
        <w:top w:val="none" w:sz="0" w:space="0" w:color="auto"/>
        <w:left w:val="none" w:sz="0" w:space="0" w:color="auto"/>
        <w:bottom w:val="none" w:sz="0" w:space="0" w:color="auto"/>
        <w:right w:val="none" w:sz="0" w:space="0" w:color="auto"/>
      </w:divBdr>
    </w:div>
    <w:div w:id="858784094">
      <w:bodyDiv w:val="1"/>
      <w:marLeft w:val="0"/>
      <w:marRight w:val="0"/>
      <w:marTop w:val="0"/>
      <w:marBottom w:val="0"/>
      <w:divBdr>
        <w:top w:val="none" w:sz="0" w:space="0" w:color="auto"/>
        <w:left w:val="none" w:sz="0" w:space="0" w:color="auto"/>
        <w:bottom w:val="none" w:sz="0" w:space="0" w:color="auto"/>
        <w:right w:val="none" w:sz="0" w:space="0" w:color="auto"/>
      </w:divBdr>
    </w:div>
    <w:div w:id="989552308">
      <w:bodyDiv w:val="1"/>
      <w:marLeft w:val="0"/>
      <w:marRight w:val="0"/>
      <w:marTop w:val="0"/>
      <w:marBottom w:val="0"/>
      <w:divBdr>
        <w:top w:val="none" w:sz="0" w:space="0" w:color="auto"/>
        <w:left w:val="none" w:sz="0" w:space="0" w:color="auto"/>
        <w:bottom w:val="none" w:sz="0" w:space="0" w:color="auto"/>
        <w:right w:val="none" w:sz="0" w:space="0" w:color="auto"/>
      </w:divBdr>
      <w:divsChild>
        <w:div w:id="2116904886">
          <w:marLeft w:val="480"/>
          <w:marRight w:val="0"/>
          <w:marTop w:val="0"/>
          <w:marBottom w:val="0"/>
          <w:divBdr>
            <w:top w:val="none" w:sz="0" w:space="0" w:color="auto"/>
            <w:left w:val="none" w:sz="0" w:space="0" w:color="auto"/>
            <w:bottom w:val="none" w:sz="0" w:space="0" w:color="auto"/>
            <w:right w:val="none" w:sz="0" w:space="0" w:color="auto"/>
          </w:divBdr>
        </w:div>
        <w:div w:id="1188176407">
          <w:marLeft w:val="480"/>
          <w:marRight w:val="0"/>
          <w:marTop w:val="0"/>
          <w:marBottom w:val="0"/>
          <w:divBdr>
            <w:top w:val="none" w:sz="0" w:space="0" w:color="auto"/>
            <w:left w:val="none" w:sz="0" w:space="0" w:color="auto"/>
            <w:bottom w:val="none" w:sz="0" w:space="0" w:color="auto"/>
            <w:right w:val="none" w:sz="0" w:space="0" w:color="auto"/>
          </w:divBdr>
        </w:div>
        <w:div w:id="1430463857">
          <w:marLeft w:val="480"/>
          <w:marRight w:val="0"/>
          <w:marTop w:val="0"/>
          <w:marBottom w:val="0"/>
          <w:divBdr>
            <w:top w:val="none" w:sz="0" w:space="0" w:color="auto"/>
            <w:left w:val="none" w:sz="0" w:space="0" w:color="auto"/>
            <w:bottom w:val="none" w:sz="0" w:space="0" w:color="auto"/>
            <w:right w:val="none" w:sz="0" w:space="0" w:color="auto"/>
          </w:divBdr>
        </w:div>
        <w:div w:id="1881279353">
          <w:marLeft w:val="480"/>
          <w:marRight w:val="0"/>
          <w:marTop w:val="0"/>
          <w:marBottom w:val="0"/>
          <w:divBdr>
            <w:top w:val="none" w:sz="0" w:space="0" w:color="auto"/>
            <w:left w:val="none" w:sz="0" w:space="0" w:color="auto"/>
            <w:bottom w:val="none" w:sz="0" w:space="0" w:color="auto"/>
            <w:right w:val="none" w:sz="0" w:space="0" w:color="auto"/>
          </w:divBdr>
        </w:div>
        <w:div w:id="623777621">
          <w:marLeft w:val="480"/>
          <w:marRight w:val="0"/>
          <w:marTop w:val="0"/>
          <w:marBottom w:val="0"/>
          <w:divBdr>
            <w:top w:val="none" w:sz="0" w:space="0" w:color="auto"/>
            <w:left w:val="none" w:sz="0" w:space="0" w:color="auto"/>
            <w:bottom w:val="none" w:sz="0" w:space="0" w:color="auto"/>
            <w:right w:val="none" w:sz="0" w:space="0" w:color="auto"/>
          </w:divBdr>
        </w:div>
        <w:div w:id="915018059">
          <w:marLeft w:val="480"/>
          <w:marRight w:val="0"/>
          <w:marTop w:val="0"/>
          <w:marBottom w:val="0"/>
          <w:divBdr>
            <w:top w:val="none" w:sz="0" w:space="0" w:color="auto"/>
            <w:left w:val="none" w:sz="0" w:space="0" w:color="auto"/>
            <w:bottom w:val="none" w:sz="0" w:space="0" w:color="auto"/>
            <w:right w:val="none" w:sz="0" w:space="0" w:color="auto"/>
          </w:divBdr>
        </w:div>
        <w:div w:id="1688411786">
          <w:marLeft w:val="480"/>
          <w:marRight w:val="0"/>
          <w:marTop w:val="0"/>
          <w:marBottom w:val="0"/>
          <w:divBdr>
            <w:top w:val="none" w:sz="0" w:space="0" w:color="auto"/>
            <w:left w:val="none" w:sz="0" w:space="0" w:color="auto"/>
            <w:bottom w:val="none" w:sz="0" w:space="0" w:color="auto"/>
            <w:right w:val="none" w:sz="0" w:space="0" w:color="auto"/>
          </w:divBdr>
        </w:div>
        <w:div w:id="584414668">
          <w:marLeft w:val="480"/>
          <w:marRight w:val="0"/>
          <w:marTop w:val="0"/>
          <w:marBottom w:val="0"/>
          <w:divBdr>
            <w:top w:val="none" w:sz="0" w:space="0" w:color="auto"/>
            <w:left w:val="none" w:sz="0" w:space="0" w:color="auto"/>
            <w:bottom w:val="none" w:sz="0" w:space="0" w:color="auto"/>
            <w:right w:val="none" w:sz="0" w:space="0" w:color="auto"/>
          </w:divBdr>
        </w:div>
        <w:div w:id="773595583">
          <w:marLeft w:val="480"/>
          <w:marRight w:val="0"/>
          <w:marTop w:val="0"/>
          <w:marBottom w:val="0"/>
          <w:divBdr>
            <w:top w:val="none" w:sz="0" w:space="0" w:color="auto"/>
            <w:left w:val="none" w:sz="0" w:space="0" w:color="auto"/>
            <w:bottom w:val="none" w:sz="0" w:space="0" w:color="auto"/>
            <w:right w:val="none" w:sz="0" w:space="0" w:color="auto"/>
          </w:divBdr>
        </w:div>
        <w:div w:id="1044452237">
          <w:marLeft w:val="480"/>
          <w:marRight w:val="0"/>
          <w:marTop w:val="0"/>
          <w:marBottom w:val="0"/>
          <w:divBdr>
            <w:top w:val="none" w:sz="0" w:space="0" w:color="auto"/>
            <w:left w:val="none" w:sz="0" w:space="0" w:color="auto"/>
            <w:bottom w:val="none" w:sz="0" w:space="0" w:color="auto"/>
            <w:right w:val="none" w:sz="0" w:space="0" w:color="auto"/>
          </w:divBdr>
        </w:div>
        <w:div w:id="589586949">
          <w:marLeft w:val="480"/>
          <w:marRight w:val="0"/>
          <w:marTop w:val="0"/>
          <w:marBottom w:val="0"/>
          <w:divBdr>
            <w:top w:val="none" w:sz="0" w:space="0" w:color="auto"/>
            <w:left w:val="none" w:sz="0" w:space="0" w:color="auto"/>
            <w:bottom w:val="none" w:sz="0" w:space="0" w:color="auto"/>
            <w:right w:val="none" w:sz="0" w:space="0" w:color="auto"/>
          </w:divBdr>
        </w:div>
        <w:div w:id="290745870">
          <w:marLeft w:val="480"/>
          <w:marRight w:val="0"/>
          <w:marTop w:val="0"/>
          <w:marBottom w:val="0"/>
          <w:divBdr>
            <w:top w:val="none" w:sz="0" w:space="0" w:color="auto"/>
            <w:left w:val="none" w:sz="0" w:space="0" w:color="auto"/>
            <w:bottom w:val="none" w:sz="0" w:space="0" w:color="auto"/>
            <w:right w:val="none" w:sz="0" w:space="0" w:color="auto"/>
          </w:divBdr>
        </w:div>
      </w:divsChild>
    </w:div>
    <w:div w:id="1046488238">
      <w:bodyDiv w:val="1"/>
      <w:marLeft w:val="0"/>
      <w:marRight w:val="0"/>
      <w:marTop w:val="0"/>
      <w:marBottom w:val="0"/>
      <w:divBdr>
        <w:top w:val="none" w:sz="0" w:space="0" w:color="auto"/>
        <w:left w:val="none" w:sz="0" w:space="0" w:color="auto"/>
        <w:bottom w:val="none" w:sz="0" w:space="0" w:color="auto"/>
        <w:right w:val="none" w:sz="0" w:space="0" w:color="auto"/>
      </w:divBdr>
    </w:div>
    <w:div w:id="1131941701">
      <w:bodyDiv w:val="1"/>
      <w:marLeft w:val="0"/>
      <w:marRight w:val="0"/>
      <w:marTop w:val="0"/>
      <w:marBottom w:val="0"/>
      <w:divBdr>
        <w:top w:val="none" w:sz="0" w:space="0" w:color="auto"/>
        <w:left w:val="none" w:sz="0" w:space="0" w:color="auto"/>
        <w:bottom w:val="none" w:sz="0" w:space="0" w:color="auto"/>
        <w:right w:val="none" w:sz="0" w:space="0" w:color="auto"/>
      </w:divBdr>
    </w:div>
    <w:div w:id="1200119898">
      <w:bodyDiv w:val="1"/>
      <w:marLeft w:val="0"/>
      <w:marRight w:val="0"/>
      <w:marTop w:val="0"/>
      <w:marBottom w:val="0"/>
      <w:divBdr>
        <w:top w:val="none" w:sz="0" w:space="0" w:color="auto"/>
        <w:left w:val="none" w:sz="0" w:space="0" w:color="auto"/>
        <w:bottom w:val="none" w:sz="0" w:space="0" w:color="auto"/>
        <w:right w:val="none" w:sz="0" w:space="0" w:color="auto"/>
      </w:divBdr>
    </w:div>
    <w:div w:id="1216164869">
      <w:bodyDiv w:val="1"/>
      <w:marLeft w:val="0"/>
      <w:marRight w:val="0"/>
      <w:marTop w:val="0"/>
      <w:marBottom w:val="0"/>
      <w:divBdr>
        <w:top w:val="none" w:sz="0" w:space="0" w:color="auto"/>
        <w:left w:val="none" w:sz="0" w:space="0" w:color="auto"/>
        <w:bottom w:val="none" w:sz="0" w:space="0" w:color="auto"/>
        <w:right w:val="none" w:sz="0" w:space="0" w:color="auto"/>
      </w:divBdr>
    </w:div>
    <w:div w:id="1276445318">
      <w:bodyDiv w:val="1"/>
      <w:marLeft w:val="0"/>
      <w:marRight w:val="0"/>
      <w:marTop w:val="0"/>
      <w:marBottom w:val="0"/>
      <w:divBdr>
        <w:top w:val="none" w:sz="0" w:space="0" w:color="auto"/>
        <w:left w:val="none" w:sz="0" w:space="0" w:color="auto"/>
        <w:bottom w:val="none" w:sz="0" w:space="0" w:color="auto"/>
        <w:right w:val="none" w:sz="0" w:space="0" w:color="auto"/>
      </w:divBdr>
    </w:div>
    <w:div w:id="1282229526">
      <w:bodyDiv w:val="1"/>
      <w:marLeft w:val="0"/>
      <w:marRight w:val="0"/>
      <w:marTop w:val="0"/>
      <w:marBottom w:val="0"/>
      <w:divBdr>
        <w:top w:val="none" w:sz="0" w:space="0" w:color="auto"/>
        <w:left w:val="none" w:sz="0" w:space="0" w:color="auto"/>
        <w:bottom w:val="none" w:sz="0" w:space="0" w:color="auto"/>
        <w:right w:val="none" w:sz="0" w:space="0" w:color="auto"/>
      </w:divBdr>
    </w:div>
    <w:div w:id="1318266699">
      <w:bodyDiv w:val="1"/>
      <w:marLeft w:val="0"/>
      <w:marRight w:val="0"/>
      <w:marTop w:val="0"/>
      <w:marBottom w:val="0"/>
      <w:divBdr>
        <w:top w:val="none" w:sz="0" w:space="0" w:color="auto"/>
        <w:left w:val="none" w:sz="0" w:space="0" w:color="auto"/>
        <w:bottom w:val="none" w:sz="0" w:space="0" w:color="auto"/>
        <w:right w:val="none" w:sz="0" w:space="0" w:color="auto"/>
      </w:divBdr>
    </w:div>
    <w:div w:id="1475875617">
      <w:bodyDiv w:val="1"/>
      <w:marLeft w:val="0"/>
      <w:marRight w:val="0"/>
      <w:marTop w:val="0"/>
      <w:marBottom w:val="0"/>
      <w:divBdr>
        <w:top w:val="none" w:sz="0" w:space="0" w:color="auto"/>
        <w:left w:val="none" w:sz="0" w:space="0" w:color="auto"/>
        <w:bottom w:val="none" w:sz="0" w:space="0" w:color="auto"/>
        <w:right w:val="none" w:sz="0" w:space="0" w:color="auto"/>
      </w:divBdr>
    </w:div>
    <w:div w:id="1527602100">
      <w:bodyDiv w:val="1"/>
      <w:marLeft w:val="0"/>
      <w:marRight w:val="0"/>
      <w:marTop w:val="0"/>
      <w:marBottom w:val="0"/>
      <w:divBdr>
        <w:top w:val="none" w:sz="0" w:space="0" w:color="auto"/>
        <w:left w:val="none" w:sz="0" w:space="0" w:color="auto"/>
        <w:bottom w:val="none" w:sz="0" w:space="0" w:color="auto"/>
        <w:right w:val="none" w:sz="0" w:space="0" w:color="auto"/>
      </w:divBdr>
      <w:divsChild>
        <w:div w:id="1524201985">
          <w:marLeft w:val="480"/>
          <w:marRight w:val="0"/>
          <w:marTop w:val="0"/>
          <w:marBottom w:val="0"/>
          <w:divBdr>
            <w:top w:val="none" w:sz="0" w:space="0" w:color="auto"/>
            <w:left w:val="none" w:sz="0" w:space="0" w:color="auto"/>
            <w:bottom w:val="none" w:sz="0" w:space="0" w:color="auto"/>
            <w:right w:val="none" w:sz="0" w:space="0" w:color="auto"/>
          </w:divBdr>
        </w:div>
        <w:div w:id="903687858">
          <w:marLeft w:val="480"/>
          <w:marRight w:val="0"/>
          <w:marTop w:val="0"/>
          <w:marBottom w:val="0"/>
          <w:divBdr>
            <w:top w:val="none" w:sz="0" w:space="0" w:color="auto"/>
            <w:left w:val="none" w:sz="0" w:space="0" w:color="auto"/>
            <w:bottom w:val="none" w:sz="0" w:space="0" w:color="auto"/>
            <w:right w:val="none" w:sz="0" w:space="0" w:color="auto"/>
          </w:divBdr>
        </w:div>
        <w:div w:id="174074755">
          <w:marLeft w:val="480"/>
          <w:marRight w:val="0"/>
          <w:marTop w:val="0"/>
          <w:marBottom w:val="0"/>
          <w:divBdr>
            <w:top w:val="none" w:sz="0" w:space="0" w:color="auto"/>
            <w:left w:val="none" w:sz="0" w:space="0" w:color="auto"/>
            <w:bottom w:val="none" w:sz="0" w:space="0" w:color="auto"/>
            <w:right w:val="none" w:sz="0" w:space="0" w:color="auto"/>
          </w:divBdr>
        </w:div>
        <w:div w:id="1708482997">
          <w:marLeft w:val="480"/>
          <w:marRight w:val="0"/>
          <w:marTop w:val="0"/>
          <w:marBottom w:val="0"/>
          <w:divBdr>
            <w:top w:val="none" w:sz="0" w:space="0" w:color="auto"/>
            <w:left w:val="none" w:sz="0" w:space="0" w:color="auto"/>
            <w:bottom w:val="none" w:sz="0" w:space="0" w:color="auto"/>
            <w:right w:val="none" w:sz="0" w:space="0" w:color="auto"/>
          </w:divBdr>
        </w:div>
        <w:div w:id="161087998">
          <w:marLeft w:val="480"/>
          <w:marRight w:val="0"/>
          <w:marTop w:val="0"/>
          <w:marBottom w:val="0"/>
          <w:divBdr>
            <w:top w:val="none" w:sz="0" w:space="0" w:color="auto"/>
            <w:left w:val="none" w:sz="0" w:space="0" w:color="auto"/>
            <w:bottom w:val="none" w:sz="0" w:space="0" w:color="auto"/>
            <w:right w:val="none" w:sz="0" w:space="0" w:color="auto"/>
          </w:divBdr>
        </w:div>
        <w:div w:id="122618668">
          <w:marLeft w:val="480"/>
          <w:marRight w:val="0"/>
          <w:marTop w:val="0"/>
          <w:marBottom w:val="0"/>
          <w:divBdr>
            <w:top w:val="none" w:sz="0" w:space="0" w:color="auto"/>
            <w:left w:val="none" w:sz="0" w:space="0" w:color="auto"/>
            <w:bottom w:val="none" w:sz="0" w:space="0" w:color="auto"/>
            <w:right w:val="none" w:sz="0" w:space="0" w:color="auto"/>
          </w:divBdr>
        </w:div>
        <w:div w:id="893153523">
          <w:marLeft w:val="480"/>
          <w:marRight w:val="0"/>
          <w:marTop w:val="0"/>
          <w:marBottom w:val="0"/>
          <w:divBdr>
            <w:top w:val="none" w:sz="0" w:space="0" w:color="auto"/>
            <w:left w:val="none" w:sz="0" w:space="0" w:color="auto"/>
            <w:bottom w:val="none" w:sz="0" w:space="0" w:color="auto"/>
            <w:right w:val="none" w:sz="0" w:space="0" w:color="auto"/>
          </w:divBdr>
        </w:div>
        <w:div w:id="823358269">
          <w:marLeft w:val="480"/>
          <w:marRight w:val="0"/>
          <w:marTop w:val="0"/>
          <w:marBottom w:val="0"/>
          <w:divBdr>
            <w:top w:val="none" w:sz="0" w:space="0" w:color="auto"/>
            <w:left w:val="none" w:sz="0" w:space="0" w:color="auto"/>
            <w:bottom w:val="none" w:sz="0" w:space="0" w:color="auto"/>
            <w:right w:val="none" w:sz="0" w:space="0" w:color="auto"/>
          </w:divBdr>
        </w:div>
        <w:div w:id="239171779">
          <w:marLeft w:val="480"/>
          <w:marRight w:val="0"/>
          <w:marTop w:val="0"/>
          <w:marBottom w:val="0"/>
          <w:divBdr>
            <w:top w:val="none" w:sz="0" w:space="0" w:color="auto"/>
            <w:left w:val="none" w:sz="0" w:space="0" w:color="auto"/>
            <w:bottom w:val="none" w:sz="0" w:space="0" w:color="auto"/>
            <w:right w:val="none" w:sz="0" w:space="0" w:color="auto"/>
          </w:divBdr>
        </w:div>
        <w:div w:id="119031322">
          <w:marLeft w:val="480"/>
          <w:marRight w:val="0"/>
          <w:marTop w:val="0"/>
          <w:marBottom w:val="0"/>
          <w:divBdr>
            <w:top w:val="none" w:sz="0" w:space="0" w:color="auto"/>
            <w:left w:val="none" w:sz="0" w:space="0" w:color="auto"/>
            <w:bottom w:val="none" w:sz="0" w:space="0" w:color="auto"/>
            <w:right w:val="none" w:sz="0" w:space="0" w:color="auto"/>
          </w:divBdr>
        </w:div>
        <w:div w:id="1581678016">
          <w:marLeft w:val="480"/>
          <w:marRight w:val="0"/>
          <w:marTop w:val="0"/>
          <w:marBottom w:val="0"/>
          <w:divBdr>
            <w:top w:val="none" w:sz="0" w:space="0" w:color="auto"/>
            <w:left w:val="none" w:sz="0" w:space="0" w:color="auto"/>
            <w:bottom w:val="none" w:sz="0" w:space="0" w:color="auto"/>
            <w:right w:val="none" w:sz="0" w:space="0" w:color="auto"/>
          </w:divBdr>
        </w:div>
      </w:divsChild>
    </w:div>
    <w:div w:id="1666784644">
      <w:bodyDiv w:val="1"/>
      <w:marLeft w:val="0"/>
      <w:marRight w:val="0"/>
      <w:marTop w:val="0"/>
      <w:marBottom w:val="0"/>
      <w:divBdr>
        <w:top w:val="none" w:sz="0" w:space="0" w:color="auto"/>
        <w:left w:val="none" w:sz="0" w:space="0" w:color="auto"/>
        <w:bottom w:val="none" w:sz="0" w:space="0" w:color="auto"/>
        <w:right w:val="none" w:sz="0" w:space="0" w:color="auto"/>
      </w:divBdr>
      <w:divsChild>
        <w:div w:id="640622607">
          <w:marLeft w:val="0"/>
          <w:marRight w:val="0"/>
          <w:marTop w:val="0"/>
          <w:marBottom w:val="0"/>
          <w:divBdr>
            <w:top w:val="none" w:sz="0" w:space="0" w:color="auto"/>
            <w:left w:val="none" w:sz="0" w:space="0" w:color="auto"/>
            <w:bottom w:val="none" w:sz="0" w:space="0" w:color="auto"/>
            <w:right w:val="none" w:sz="0" w:space="0" w:color="auto"/>
          </w:divBdr>
        </w:div>
      </w:divsChild>
    </w:div>
    <w:div w:id="1844975052">
      <w:bodyDiv w:val="1"/>
      <w:marLeft w:val="0"/>
      <w:marRight w:val="0"/>
      <w:marTop w:val="0"/>
      <w:marBottom w:val="0"/>
      <w:divBdr>
        <w:top w:val="none" w:sz="0" w:space="0" w:color="auto"/>
        <w:left w:val="none" w:sz="0" w:space="0" w:color="auto"/>
        <w:bottom w:val="none" w:sz="0" w:space="0" w:color="auto"/>
        <w:right w:val="none" w:sz="0" w:space="0" w:color="auto"/>
      </w:divBdr>
    </w:div>
    <w:div w:id="1902249048">
      <w:bodyDiv w:val="1"/>
      <w:marLeft w:val="0"/>
      <w:marRight w:val="0"/>
      <w:marTop w:val="0"/>
      <w:marBottom w:val="0"/>
      <w:divBdr>
        <w:top w:val="none" w:sz="0" w:space="0" w:color="auto"/>
        <w:left w:val="none" w:sz="0" w:space="0" w:color="auto"/>
        <w:bottom w:val="none" w:sz="0" w:space="0" w:color="auto"/>
        <w:right w:val="none" w:sz="0" w:space="0" w:color="auto"/>
      </w:divBdr>
      <w:divsChild>
        <w:div w:id="759451189">
          <w:marLeft w:val="480"/>
          <w:marRight w:val="0"/>
          <w:marTop w:val="0"/>
          <w:marBottom w:val="0"/>
          <w:divBdr>
            <w:top w:val="none" w:sz="0" w:space="0" w:color="auto"/>
            <w:left w:val="none" w:sz="0" w:space="0" w:color="auto"/>
            <w:bottom w:val="none" w:sz="0" w:space="0" w:color="auto"/>
            <w:right w:val="none" w:sz="0" w:space="0" w:color="auto"/>
          </w:divBdr>
        </w:div>
        <w:div w:id="1688748605">
          <w:marLeft w:val="480"/>
          <w:marRight w:val="0"/>
          <w:marTop w:val="0"/>
          <w:marBottom w:val="0"/>
          <w:divBdr>
            <w:top w:val="none" w:sz="0" w:space="0" w:color="auto"/>
            <w:left w:val="none" w:sz="0" w:space="0" w:color="auto"/>
            <w:bottom w:val="none" w:sz="0" w:space="0" w:color="auto"/>
            <w:right w:val="none" w:sz="0" w:space="0" w:color="auto"/>
          </w:divBdr>
        </w:div>
        <w:div w:id="1102651285">
          <w:marLeft w:val="480"/>
          <w:marRight w:val="0"/>
          <w:marTop w:val="0"/>
          <w:marBottom w:val="0"/>
          <w:divBdr>
            <w:top w:val="none" w:sz="0" w:space="0" w:color="auto"/>
            <w:left w:val="none" w:sz="0" w:space="0" w:color="auto"/>
            <w:bottom w:val="none" w:sz="0" w:space="0" w:color="auto"/>
            <w:right w:val="none" w:sz="0" w:space="0" w:color="auto"/>
          </w:divBdr>
        </w:div>
        <w:div w:id="655185635">
          <w:marLeft w:val="480"/>
          <w:marRight w:val="0"/>
          <w:marTop w:val="0"/>
          <w:marBottom w:val="0"/>
          <w:divBdr>
            <w:top w:val="none" w:sz="0" w:space="0" w:color="auto"/>
            <w:left w:val="none" w:sz="0" w:space="0" w:color="auto"/>
            <w:bottom w:val="none" w:sz="0" w:space="0" w:color="auto"/>
            <w:right w:val="none" w:sz="0" w:space="0" w:color="auto"/>
          </w:divBdr>
        </w:div>
        <w:div w:id="1886597020">
          <w:marLeft w:val="480"/>
          <w:marRight w:val="0"/>
          <w:marTop w:val="0"/>
          <w:marBottom w:val="0"/>
          <w:divBdr>
            <w:top w:val="none" w:sz="0" w:space="0" w:color="auto"/>
            <w:left w:val="none" w:sz="0" w:space="0" w:color="auto"/>
            <w:bottom w:val="none" w:sz="0" w:space="0" w:color="auto"/>
            <w:right w:val="none" w:sz="0" w:space="0" w:color="auto"/>
          </w:divBdr>
        </w:div>
        <w:div w:id="2075085252">
          <w:marLeft w:val="480"/>
          <w:marRight w:val="0"/>
          <w:marTop w:val="0"/>
          <w:marBottom w:val="0"/>
          <w:divBdr>
            <w:top w:val="none" w:sz="0" w:space="0" w:color="auto"/>
            <w:left w:val="none" w:sz="0" w:space="0" w:color="auto"/>
            <w:bottom w:val="none" w:sz="0" w:space="0" w:color="auto"/>
            <w:right w:val="none" w:sz="0" w:space="0" w:color="auto"/>
          </w:divBdr>
        </w:div>
        <w:div w:id="121576688">
          <w:marLeft w:val="480"/>
          <w:marRight w:val="0"/>
          <w:marTop w:val="0"/>
          <w:marBottom w:val="0"/>
          <w:divBdr>
            <w:top w:val="none" w:sz="0" w:space="0" w:color="auto"/>
            <w:left w:val="none" w:sz="0" w:space="0" w:color="auto"/>
            <w:bottom w:val="none" w:sz="0" w:space="0" w:color="auto"/>
            <w:right w:val="none" w:sz="0" w:space="0" w:color="auto"/>
          </w:divBdr>
        </w:div>
        <w:div w:id="1016155943">
          <w:marLeft w:val="480"/>
          <w:marRight w:val="0"/>
          <w:marTop w:val="0"/>
          <w:marBottom w:val="0"/>
          <w:divBdr>
            <w:top w:val="none" w:sz="0" w:space="0" w:color="auto"/>
            <w:left w:val="none" w:sz="0" w:space="0" w:color="auto"/>
            <w:bottom w:val="none" w:sz="0" w:space="0" w:color="auto"/>
            <w:right w:val="none" w:sz="0" w:space="0" w:color="auto"/>
          </w:divBdr>
        </w:div>
        <w:div w:id="670186557">
          <w:marLeft w:val="480"/>
          <w:marRight w:val="0"/>
          <w:marTop w:val="0"/>
          <w:marBottom w:val="0"/>
          <w:divBdr>
            <w:top w:val="none" w:sz="0" w:space="0" w:color="auto"/>
            <w:left w:val="none" w:sz="0" w:space="0" w:color="auto"/>
            <w:bottom w:val="none" w:sz="0" w:space="0" w:color="auto"/>
            <w:right w:val="none" w:sz="0" w:space="0" w:color="auto"/>
          </w:divBdr>
        </w:div>
        <w:div w:id="163085389">
          <w:marLeft w:val="480"/>
          <w:marRight w:val="0"/>
          <w:marTop w:val="0"/>
          <w:marBottom w:val="0"/>
          <w:divBdr>
            <w:top w:val="none" w:sz="0" w:space="0" w:color="auto"/>
            <w:left w:val="none" w:sz="0" w:space="0" w:color="auto"/>
            <w:bottom w:val="none" w:sz="0" w:space="0" w:color="auto"/>
            <w:right w:val="none" w:sz="0" w:space="0" w:color="auto"/>
          </w:divBdr>
        </w:div>
        <w:div w:id="1317877555">
          <w:marLeft w:val="480"/>
          <w:marRight w:val="0"/>
          <w:marTop w:val="0"/>
          <w:marBottom w:val="0"/>
          <w:divBdr>
            <w:top w:val="none" w:sz="0" w:space="0" w:color="auto"/>
            <w:left w:val="none" w:sz="0" w:space="0" w:color="auto"/>
            <w:bottom w:val="none" w:sz="0" w:space="0" w:color="auto"/>
            <w:right w:val="none" w:sz="0" w:space="0" w:color="auto"/>
          </w:divBdr>
        </w:div>
        <w:div w:id="1081369630">
          <w:marLeft w:val="480"/>
          <w:marRight w:val="0"/>
          <w:marTop w:val="0"/>
          <w:marBottom w:val="0"/>
          <w:divBdr>
            <w:top w:val="none" w:sz="0" w:space="0" w:color="auto"/>
            <w:left w:val="none" w:sz="0" w:space="0" w:color="auto"/>
            <w:bottom w:val="none" w:sz="0" w:space="0" w:color="auto"/>
            <w:right w:val="none" w:sz="0" w:space="0" w:color="auto"/>
          </w:divBdr>
        </w:div>
      </w:divsChild>
    </w:div>
    <w:div w:id="1947691238">
      <w:bodyDiv w:val="1"/>
      <w:marLeft w:val="0"/>
      <w:marRight w:val="0"/>
      <w:marTop w:val="0"/>
      <w:marBottom w:val="0"/>
      <w:divBdr>
        <w:top w:val="none" w:sz="0" w:space="0" w:color="auto"/>
        <w:left w:val="none" w:sz="0" w:space="0" w:color="auto"/>
        <w:bottom w:val="none" w:sz="0" w:space="0" w:color="auto"/>
        <w:right w:val="none" w:sz="0" w:space="0" w:color="auto"/>
      </w:divBdr>
    </w:div>
    <w:div w:id="2007779700">
      <w:bodyDiv w:val="1"/>
      <w:marLeft w:val="0"/>
      <w:marRight w:val="0"/>
      <w:marTop w:val="0"/>
      <w:marBottom w:val="0"/>
      <w:divBdr>
        <w:top w:val="none" w:sz="0" w:space="0" w:color="auto"/>
        <w:left w:val="none" w:sz="0" w:space="0" w:color="auto"/>
        <w:bottom w:val="none" w:sz="0" w:space="0" w:color="auto"/>
        <w:right w:val="none" w:sz="0" w:space="0" w:color="auto"/>
      </w:divBdr>
    </w:div>
    <w:div w:id="2018999030">
      <w:bodyDiv w:val="1"/>
      <w:marLeft w:val="0"/>
      <w:marRight w:val="0"/>
      <w:marTop w:val="0"/>
      <w:marBottom w:val="0"/>
      <w:divBdr>
        <w:top w:val="none" w:sz="0" w:space="0" w:color="auto"/>
        <w:left w:val="none" w:sz="0" w:space="0" w:color="auto"/>
        <w:bottom w:val="none" w:sz="0" w:space="0" w:color="auto"/>
        <w:right w:val="none" w:sz="0" w:space="0" w:color="auto"/>
      </w:divBdr>
      <w:divsChild>
        <w:div w:id="2003729054">
          <w:marLeft w:val="480"/>
          <w:marRight w:val="0"/>
          <w:marTop w:val="0"/>
          <w:marBottom w:val="0"/>
          <w:divBdr>
            <w:top w:val="none" w:sz="0" w:space="0" w:color="auto"/>
            <w:left w:val="none" w:sz="0" w:space="0" w:color="auto"/>
            <w:bottom w:val="none" w:sz="0" w:space="0" w:color="auto"/>
            <w:right w:val="none" w:sz="0" w:space="0" w:color="auto"/>
          </w:divBdr>
        </w:div>
        <w:div w:id="465009500">
          <w:marLeft w:val="480"/>
          <w:marRight w:val="0"/>
          <w:marTop w:val="0"/>
          <w:marBottom w:val="0"/>
          <w:divBdr>
            <w:top w:val="none" w:sz="0" w:space="0" w:color="auto"/>
            <w:left w:val="none" w:sz="0" w:space="0" w:color="auto"/>
            <w:bottom w:val="none" w:sz="0" w:space="0" w:color="auto"/>
            <w:right w:val="none" w:sz="0" w:space="0" w:color="auto"/>
          </w:divBdr>
        </w:div>
        <w:div w:id="798843313">
          <w:marLeft w:val="480"/>
          <w:marRight w:val="0"/>
          <w:marTop w:val="0"/>
          <w:marBottom w:val="0"/>
          <w:divBdr>
            <w:top w:val="none" w:sz="0" w:space="0" w:color="auto"/>
            <w:left w:val="none" w:sz="0" w:space="0" w:color="auto"/>
            <w:bottom w:val="none" w:sz="0" w:space="0" w:color="auto"/>
            <w:right w:val="none" w:sz="0" w:space="0" w:color="auto"/>
          </w:divBdr>
        </w:div>
        <w:div w:id="2008511896">
          <w:marLeft w:val="480"/>
          <w:marRight w:val="0"/>
          <w:marTop w:val="0"/>
          <w:marBottom w:val="0"/>
          <w:divBdr>
            <w:top w:val="none" w:sz="0" w:space="0" w:color="auto"/>
            <w:left w:val="none" w:sz="0" w:space="0" w:color="auto"/>
            <w:bottom w:val="none" w:sz="0" w:space="0" w:color="auto"/>
            <w:right w:val="none" w:sz="0" w:space="0" w:color="auto"/>
          </w:divBdr>
        </w:div>
        <w:div w:id="1699502173">
          <w:marLeft w:val="480"/>
          <w:marRight w:val="0"/>
          <w:marTop w:val="0"/>
          <w:marBottom w:val="0"/>
          <w:divBdr>
            <w:top w:val="none" w:sz="0" w:space="0" w:color="auto"/>
            <w:left w:val="none" w:sz="0" w:space="0" w:color="auto"/>
            <w:bottom w:val="none" w:sz="0" w:space="0" w:color="auto"/>
            <w:right w:val="none" w:sz="0" w:space="0" w:color="auto"/>
          </w:divBdr>
        </w:div>
        <w:div w:id="202183447">
          <w:marLeft w:val="480"/>
          <w:marRight w:val="0"/>
          <w:marTop w:val="0"/>
          <w:marBottom w:val="0"/>
          <w:divBdr>
            <w:top w:val="none" w:sz="0" w:space="0" w:color="auto"/>
            <w:left w:val="none" w:sz="0" w:space="0" w:color="auto"/>
            <w:bottom w:val="none" w:sz="0" w:space="0" w:color="auto"/>
            <w:right w:val="none" w:sz="0" w:space="0" w:color="auto"/>
          </w:divBdr>
        </w:div>
        <w:div w:id="1635060543">
          <w:marLeft w:val="480"/>
          <w:marRight w:val="0"/>
          <w:marTop w:val="0"/>
          <w:marBottom w:val="0"/>
          <w:divBdr>
            <w:top w:val="none" w:sz="0" w:space="0" w:color="auto"/>
            <w:left w:val="none" w:sz="0" w:space="0" w:color="auto"/>
            <w:bottom w:val="none" w:sz="0" w:space="0" w:color="auto"/>
            <w:right w:val="none" w:sz="0" w:space="0" w:color="auto"/>
          </w:divBdr>
        </w:div>
        <w:div w:id="2086679732">
          <w:marLeft w:val="480"/>
          <w:marRight w:val="0"/>
          <w:marTop w:val="0"/>
          <w:marBottom w:val="0"/>
          <w:divBdr>
            <w:top w:val="none" w:sz="0" w:space="0" w:color="auto"/>
            <w:left w:val="none" w:sz="0" w:space="0" w:color="auto"/>
            <w:bottom w:val="none" w:sz="0" w:space="0" w:color="auto"/>
            <w:right w:val="none" w:sz="0" w:space="0" w:color="auto"/>
          </w:divBdr>
        </w:div>
        <w:div w:id="2068138941">
          <w:marLeft w:val="480"/>
          <w:marRight w:val="0"/>
          <w:marTop w:val="0"/>
          <w:marBottom w:val="0"/>
          <w:divBdr>
            <w:top w:val="none" w:sz="0" w:space="0" w:color="auto"/>
            <w:left w:val="none" w:sz="0" w:space="0" w:color="auto"/>
            <w:bottom w:val="none" w:sz="0" w:space="0" w:color="auto"/>
            <w:right w:val="none" w:sz="0" w:space="0" w:color="auto"/>
          </w:divBdr>
        </w:div>
        <w:div w:id="1119883510">
          <w:marLeft w:val="480"/>
          <w:marRight w:val="0"/>
          <w:marTop w:val="0"/>
          <w:marBottom w:val="0"/>
          <w:divBdr>
            <w:top w:val="none" w:sz="0" w:space="0" w:color="auto"/>
            <w:left w:val="none" w:sz="0" w:space="0" w:color="auto"/>
            <w:bottom w:val="none" w:sz="0" w:space="0" w:color="auto"/>
            <w:right w:val="none" w:sz="0" w:space="0" w:color="auto"/>
          </w:divBdr>
        </w:div>
        <w:div w:id="1286082336">
          <w:marLeft w:val="480"/>
          <w:marRight w:val="0"/>
          <w:marTop w:val="0"/>
          <w:marBottom w:val="0"/>
          <w:divBdr>
            <w:top w:val="none" w:sz="0" w:space="0" w:color="auto"/>
            <w:left w:val="none" w:sz="0" w:space="0" w:color="auto"/>
            <w:bottom w:val="none" w:sz="0" w:space="0" w:color="auto"/>
            <w:right w:val="none" w:sz="0" w:space="0" w:color="auto"/>
          </w:divBdr>
        </w:div>
        <w:div w:id="1325233874">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5A7BB-FB78-488B-AA51-899681619972}">
  <we:reference id="wa104382081" version="1.55.1.0" store="en-US" storeType="OMEX"/>
  <we:alternateReferences>
    <we:reference id="WA104382081" version="1.55.1.0" store="" storeType="OMEX"/>
  </we:alternateReferences>
  <we:properties>
    <we:property name="MENDELEY_CITATIONS_STYLE" value="{&quot;id&quot;:&quot;https://www.zotero.org/styles/apa&quot;,&quot;title&quot;:&quot;American Psychological Association 7th edition&quot;,&quot;format&quot;:&quot;author-date&quot;,&quot;defaultLocale&quot;:null,&quot;isLocaleCodeValid&quot;:true}"/>
    <we:property name="MENDELEY_CITATIONS" value="[{&quot;citationID&quot;:&quot;MENDELEY_CITATION_d2b7526b-d32b-4b4a-8d36-e45ad1104e2c&quot;,&quot;properties&quot;:{&quot;noteIndex&quot;:0},&quot;isEdited&quot;:false,&quot;manualOverride&quot;:{&quot;isManuallyOverridden&quot;:true,&quot;citeprocText&quot;:&quot;(Rizzoli et al., 2021)&quot;,&quot;manualOverrideText&quot;:&quot;I&quot;},&quot;citationTag&quot;:&quot;MENDELEY_CITATION_v3_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&quot;,&quot;citationItems&quot;:[{&quot;id&quot;:&quot;1e693e3d-296a-36a8-a7aa-818a80bfe58a&quot;,&quot;itemData&quot;:{&quot;type&quot;:&quot;article-journal&quot;,&quot;id&quot;:&quot;1e693e3d-296a-36a8-a7aa-818a80bfe58a&quot;,&quot;title&quot;:&quot;Nutritional intake and bone health&quot;,&quot;author&quot;:[{&quot;family&quot;:&quot;Rizzoli&quot;,&quot;given&quot;:&quot;René&quot;,&quot;parse-names&quot;:false,&quot;dropping-particle&quot;:&quot;&quot;,&quot;non-dropping-particle&quot;:&quot;&quot;},{&quot;family&quot;:&quot;Biver&quot;,&quot;given&quot;:&quot;Emmanuel&quot;,&quot;parse-names&quot;:false,&quot;dropping-particle&quot;:&quot;&quot;,&quot;non-dropping-particle&quot;:&quot;&quot;},{&quot;family&quot;:&quot;Brennan-Speranza&quot;,&quot;given&quot;:&quot;Tara C&quot;,&quot;parse-names&quot;:false,&quot;dropping-particle&quot;:&quot;&quot;,&quot;non-dropping-particle&quot;:&quot;&quot;}],&quot;container-title&quot;:&quot;The lancet Diabetes &amp; endocrinology&quot;,&quot;container-title-short&quot;:&quot;Lancet Diabetes Endocrinol&quot;,&quot;ISSN&quot;:&quot;2213-8587&quot;,&quot;issued&quot;:{&quot;date-parts&quot;:[[2021]]},&quot;page&quot;:&quot;606-621&quot;,&quot;publisher&quot;:&quot;Elsevier&quot;,&quot;issue&quot;:&quot;9&quot;,&quot;volume&quot;:&quot;9&quot;},&quot;isTemporary&quot;:false}]},{&quot;citationID&quot;:&quot;MENDELEY_CITATION_b89af5e3-8441-4426-9b91-859d9e4c3ce9&quot;,&quot;properties&quot;:{&quot;noteIndex&quot;:0},&quot;isEdited&quot;:false,&quot;manualOverride&quot;:{&quot;isManuallyOverridden&quot;:false,&quot;citeprocText&quot;:&quot;(Rizzoli et al., 2021)&quot;,&quot;manualOverrideText&quot;:&quot;&quot;},&quot;citationTag&quot;:&quot;MENDELEY_CITATION_v3_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&quot;,&quot;citationItems&quot;:[{&quot;id&quot;:&quot;1e693e3d-296a-36a8-a7aa-818a80bfe58a&quot;,&quot;itemData&quot;:{&quot;type&quot;:&quot;article-journal&quot;,&quot;id&quot;:&quot;1e693e3d-296a-36a8-a7aa-818a80bfe58a&quot;,&quot;title&quot;:&quot;Nutritional intake and bone health&quot;,&quot;author&quot;:[{&quot;family&quot;:&quot;Rizzoli&quot;,&quot;given&quot;:&quot;René&quot;,&quot;parse-names&quot;:false,&quot;dropping-particle&quot;:&quot;&quot;,&quot;non-dropping-particle&quot;:&quot;&quot;},{&quot;family&quot;:&quot;Biver&quot;,&quot;given&quot;:&quot;Emmanuel&quot;,&quot;parse-names&quot;:false,&quot;dropping-particle&quot;:&quot;&quot;,&quot;non-dropping-particle&quot;:&quot;&quot;},{&quot;family&quot;:&quot;Brennan-Speranza&quot;,&quot;given&quot;:&quot;Tara C&quot;,&quot;parse-names&quot;:false,&quot;dropping-particle&quot;:&quot;&quot;,&quot;non-dropping-particle&quot;:&quot;&quot;}],&quot;container-title&quot;:&quot;The lancet Diabetes &amp; endocrinology&quot;,&quot;container-title-short&quot;:&quot;Lancet Diabetes Endocrinol&quot;,&quot;ISSN&quot;:&quot;2213-8587&quot;,&quot;issued&quot;:{&quot;date-parts&quot;:[[2021]]},&quot;page&quot;:&quot;606-621&quot;,&quot;publisher&quot;:&quot;Elsevier&quot;,&quot;issue&quot;:&quot;9&quot;,&quot;volume&quot;:&quot;9&quot;},&quot;isTemporary&quot;:false}]},{&quot;citationID&quot;:&quot;MENDELEY_CITATION_1e534fed-622a-4a7f-995e-566dd5a89a68&quot;,&quot;properties&quot;:{&quot;noteIndex&quot;:0},&quot;isEdited&quot;:false,&quot;manualOverride&quot;:{&quot;citeprocText&quot;:&quot;(Dar et al., 2018; Lee et al., 2006)&quot;,&quot;isManuallyOverridden&quot;:false,&quot;manualOverrideText&quot;:&quot;&quot;},&quot;citationTag&quot;:&quot;MENDELEY_CITATION_v3_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&quot;,&quot;citationItems&quot;:[{&quot;id&quot;:&quot;c2ce151f-ca31-51fd-8bb5-cdf0d4e2ef7b&quot;,&quot;itemData&quot;:{&quot;DOI&quot;:&quot;10.4103/ijem.IJEM_159_18&quot;,&quot;ISSN&quot;:&quot;2230-8210 (Print)&quot;,&quot;PMID&quot;:&quot;30766817&quot;,&quot;abstract&quot;:&quot;OBJECTIVE: Disorders of sex development (DSD) constitutes a small but difficult  and equally important area of endocrinology. It is often a social emergency as the decision regarding sex assignment in these cases is extremely disturbing and difficult to both families and healthcare professionals. Our study was devised to assess the clinical and chromosomal profile of patients with suspected DSD and classify them according to the new DSD consensus document. SUBJECTS AND METHODS: This study was a cross-sectional observational study carried out in the department of pediatrics of a tertiary care hospital from August 2012 to August 2014. All patients with suspected DSD in the age group of 0-19 years were included. After detailed history and examination, karyotyping, abdominal sonography, and hormonal analysis were done. Additional studies like gonadal biopsy, laparoscopy, and hormone stimulation tests were done in selected cases. RESULTS: About 41 patients were included in the study. The mean age of presentation was 87 months (1 day to 16 years). Only seven (13.7%) patients presented in neonatal period. In total, 25 patients had ambiguous genitalia; 46, XX DSD were diagnosed in 24 (58.5%) patients, 46, XY DSD in 10 (24.4%) patients, and sex chromosome DSD in 7 (17.1%). Congenital adrenal hyperplasia (CAH) was the commonest disease diagnosed in 21 (51.2%) patients. Turner syndrome, Klinefelter syndrome, androgen insensitivity syndrome, 46, XX ovotesticular disorder, and 46, XY gonadal dysgenesis were diagnosed in 3, 3, 4, 3, and 5 patients, respectively. Eleven patients with CAH presented in shock and six had history of sib deaths. CONCLUSION: 46, XX DSD were the commonest etiological group in our study and CAH was the commonest individual disease. There is a need for educating general public and practitioners regarding DSD to allow early intervention. Moreover, there is a need to introduce routine neonatal screening for CAH in our country.&quot;,&quot;author&quot;:[{&quot;dropping-particle&quot;:&quot;&quot;,&quot;family&quot;:&quot;Dar&quot;,&quot;given&quot;:&quot;Sheeraz A&quot;,&quot;non-dropping-particle&quot;:&quot;&quot;,&quot;parse-names&quot;:false,&quot;suffix&quot;:&quot;&quot;},{&quot;dropping-particle&quot;:&quot;&quot;,&quot;family&quot;:&quot;Nazir&quot;,&quot;given&quot;:&quot;Mudasir&quot;,&quot;non-dropping-particle&quot;:&quot;&quot;,&quot;parse-names&quot;:false,&quot;suffix&quot;:&quot;&quot;},{&quot;dropping-particle&quot;:&quot;&quot;,&quot;family&quot;:&quot;Lone&quot;,&quot;given&quot;:&quot;Roumissa&quot;,&quot;non-dropping-particle&quot;:&quot;&quot;,&quot;parse-names&quot;:false,&quot;suffix&quot;:&quot;&quot;},{&quot;dropping-particle&quot;:&quot;&quot;,&quot;family&quot;:&quot;Sameen&quot;,&quot;given&quot;:&quot;Duri&quot;,&quot;non-dropping-particle&quot;:&quot;&quot;,&quot;parse-names&quot;:false,&quot;suffix&quot;:&quot;&quot;},{&quot;dropping-particle&quot;:&quot;&quot;,&quot;family&quot;:&quot;Ahmad&quot;,&quot;given&quot;:&quot;Ikhlas&quot;,&quot;non-dropping-particle&quot;:&quot;&quot;,&quot;parse-names&quot;:false,&quot;suffix&quot;:&quot;&quot;},{&quot;dropping-particle&quot;:&quot;&quot;,&quot;family&quot;:&quot;Wani&quot;,&quot;given&quot;:&quot;Wasim A&quot;,&quot;non-dropping-particle&quot;:&quot;&quot;,&quot;parse-names&quot;:false,&quot;suffix&quot;:&quot;&quot;},{&quot;dropping-particle&quot;:&quot;&quot;,&quot;family&quot;:&quot;Charoo&quot;,&quot;given&quot;:&quot;Bashir A&quot;,&quot;non-dropping-particle&quot;:&quot;&quot;,&quot;parse-names&quot;:false,&quot;suffix&quot;:&quot;&quot;}],&quot;container-title&quot;:&quot;Indian journal of endocrinology and metabolism&quot;,&quot;id&quot;:&quot;c2ce151f-ca31-51fd-8bb5-cdf0d4e2ef7b&quot;,&quot;issue&quot;:&quot;6&quot;,&quot;issued&quot;:{&quot;date-parts&quot;:[[&quot;2018&quot;]]},&quot;language&quot;:&quot;eng&quot;,&quot;page&quot;:&quot;774-779&quot;,&quot;publisher-place&quot;:&quot;India&quot;,&quot;title&quot;:&quot;Clinical Spectrum of Disorders of Sex Development: A Cross-sectional  Observational Study.&quot;,&quot;type&quot;:&quot;article-journal&quot;,&quot;volume&quot;:&quot;22&quot;,&quot;container-title-short&quot;:&quot;Indian J Endocrinol Metab&quot;},&quot;uris&quot;:[&quot;http://www.mendeley.com/documents/?uuid=dda366ff-353b-491f-96a1-04eda858fd20&quot;],&quot;isTemporary&quot;:false,&quot;legacyDesktopId&quot;:&quot;dda366ff-353b-491f-96a1-04eda858fd20&quot;},{&quot;id&quot;:&quot;90bacf0a-de2c-5d40-b81b-5537c4187f46&quot;,&quot;itemData&quot;:{&quot;ISSN&quot;:&quot;0031-4005&quot;,&quot;author&quot;:[{&quot;dropping-particle&quot;:&quot;&quot;,&quot;family&quot;:&quot;Lee&quot;,&quot;given&quot;:&quot;Peter A&quot;,&quot;non-dropping-particle&quot;:&quot;&quot;,&quot;parse-names&quot;:false,&quot;suffix&quot;:&quot;&quot;},{&quot;dropping-particle&quot;:&quot;&quot;,&quot;family&quot;:&quot;Houk&quot;,&quot;given&quot;:&quot;Christopher P&quot;,&quot;non-dropping-particle&quot;:&quot;&quot;,&quot;parse-names&quot;:false,&quot;suffix&quot;:&quot;&quot;},{&quot;dropping-particle&quot;:&quot;&quot;,&quot;family&quot;:&quot;Ahmed&quot;,&quot;given&quot;:&quot;S Faisal&quot;,&quot;non-dropping-particle&quot;:&quot;&quot;,&quot;parse-names&quot;:false,&quot;suffix&quot;:&quot;&quot;},{&quot;dropping-particle&quot;:&quot;&quot;,&quot;family&quot;:&quot;Hughes&quot;,&quot;given&quot;:&quot;Ieuan A&quot;,&quot;non-dropping-particle&quot;:&quot;&quot;,&quot;parse-names&quot;:false,&quot;suffix&quot;:&quot;&quot;},{&quot;dropping-particle&quot;:&quot;&quot;,&quot;family&quot;:&quot;Endocrinology&quot;,&quot;given&quot;:&quot;participants in the International Consensus Conference on Intersex organized by the Lawson Wilkins Pediatric Endocrine Society and the European Society for Paediatric&quot;,&quot;non-dropping-particle&quot;:&quot;&quot;,&quot;parse-names&quot;:false,&quot;suffix&quot;:&quot;&quot;}],&quot;container-title&quot;:&quot;Pediatrics&quot;,&quot;id&quot;:&quot;90bacf0a-de2c-5d40-b81b-5537c4187f46&quot;,&quot;issue&quot;:&quot;2&quot;,&quot;issued&quot;:{&quot;date-parts&quot;:[[&quot;2006&quot;]]},&quot;page&quot;:&quot;e488-e500&quot;,&quot;publisher&quot;:&quot;American Academy of Pediatrics&quot;,&quot;title&quot;:&quot;Consensus statement on management of intersex disorders&quot;,&quot;type&quot;:&quot;article-journal&quot;,&quot;volume&quot;:&quot;118&quot;,&quot;container-title-short&quot;:&quot;Pediatrics&quot;},&quot;uris&quot;:[&quot;http://www.mendeley.com/documents/?uuid=309ad3d5-ab2c-4bd7-9f8f-343fd6b67a67&quot;],&quot;isTemporary&quot;:false,&quot;legacyDesktopId&quot;:&quot;309ad3d5-ab2c-4bd7-9f8f-343fd6b67a67&quot;}]},{&quot;citationID&quot;:&quot;MENDELEY_CITATION_a9bed38f-2885-4a5c-95e6-f55df99d28c4&quot;,&quot;properties&quot;:{&quot;noteIndex&quot;:0},&quot;isEdited&quot;:false,&quot;manualOverride&quot;:{&quot;citeprocText&quot;:&quot;(Lee et al., 2006)&quot;,&quot;isManuallyOverridden&quot;:false,&quot;manualOverrideText&quot;:&quot;&quot;},&quot;citationTag&quot;:&quot;MENDELEY_CITATION_v3_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&quot;,&quot;citationItems&quot;:[{&quot;id&quot;:&quot;90bacf0a-de2c-5d40-b81b-5537c4187f46&quot;,&quot;itemData&quot;:{&quot;ISSN&quot;:&quot;0031-4005&quot;,&quot;author&quot;:[{&quot;dropping-particle&quot;:&quot;&quot;,&quot;family&quot;:&quot;Lee&quot;,&quot;given&quot;:&quot;Peter A&quot;,&quot;non-dropping-particle&quot;:&quot;&quot;,&quot;parse-names&quot;:false,&quot;suffix&quot;:&quot;&quot;},{&quot;dropping-particle&quot;:&quot;&quot;,&quot;family&quot;:&quot;Houk&quot;,&quot;given&quot;:&quot;Christopher P&quot;,&quot;non-dropping-particle&quot;:&quot;&quot;,&quot;parse-names&quot;:false,&quot;suffix&quot;:&quot;&quot;},{&quot;dropping-particle&quot;:&quot;&quot;,&quot;family&quot;:&quot;Ahmed&quot;,&quot;given&quot;:&quot;S Faisal&quot;,&quot;non-dropping-particle&quot;:&quot;&quot;,&quot;parse-names&quot;:false,&quot;suffix&quot;:&quot;&quot;},{&quot;dropping-particle&quot;:&quot;&quot;,&quot;family&quot;:&quot;Hughes&quot;,&quot;given&quot;:&quot;Ieuan A&quot;,&quot;non-dropping-particle&quot;:&quot;&quot;,&quot;parse-names&quot;:false,&quot;suffix&quot;:&quot;&quot;},{&quot;dropping-particle&quot;:&quot;&quot;,&quot;family&quot;:&quot;Endocrinology&quot;,&quot;given&quot;:&quot;participants in the International Consensus Conference on Intersex organized by the Lawson Wilkins Pediatric Endocrine Society and the European Society for Paediatric&quot;,&quot;non-dropping-particle&quot;:&quot;&quot;,&quot;parse-names&quot;:false,&quot;suffix&quot;:&quot;&quot;}],&quot;container-title&quot;:&quot;Pediatrics&quot;,&quot;id&quot;:&quot;90bacf0a-de2c-5d40-b81b-5537c4187f46&quot;,&quot;issue&quot;:&quot;2&quot;,&quot;issued&quot;:{&quot;date-parts&quot;:[[&quot;2006&quot;]]},&quot;page&quot;:&quot;e488-e500&quot;,&quot;publisher&quot;:&quot;American Academy of Pediatrics&quot;,&quot;title&quot;:&quot;Consensus statement on management of intersex disorders&quot;,&quot;type&quot;:&quot;article-journal&quot;,&quot;volume&quot;:&quot;118&quot;,&quot;container-title-short&quot;:&quot;Pediatrics&quot;},&quot;uris&quot;:[&quot;http://www.mendeley.com/documents/?uuid=309ad3d5-ab2c-4bd7-9f8f-343fd6b67a67&quot;],&quot;isTemporary&quot;:false,&quot;legacyDesktopId&quot;:&quot;309ad3d5-ab2c-4bd7-9f8f-343fd6b67a67&quot;}]},{&quot;citationID&quot;:&quot;MENDELEY_CITATION_9c40322a-ea63-4d8e-8d27-d119bfd1de26&quot;,&quot;properties&quot;:{&quot;noteIndex&quot;:0},&quot;isEdited&quot;:false,&quot;manualOverride&quot;:{&quot;citeprocText&quot;:&quot;(Rangaswamaiah et al., 2020)&quot;,&quot;isManuallyOverridden&quot;:false,&quot;manualOverrideText&quot;:&quot;&quot;},&quot;citationTag&quot;:&quot;MENDELEY_CITATION_v3_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&quot;,&quot;citationItems&quot;:[{&quot;id&quot;:&quot;d918e224-3d05-5ec3-adbb-feb50cc2b434&quot;,&quot;itemData&quot;:{&quot;DOI&quot;:&quot;10.3389/fendo.2020.00493&quot;,&quot;author&quot;:[{&quot;dropping-particle&quot;:&quot;&quot;,&quot;family&quot;:&quot;Rangaswamaiah&quot;,&quot;given&quot;:&quot;Swetha&quot;,&quot;non-dropping-particle&quot;:&quot;&quot;,&quot;parse-names&quot;:false,&quot;suffix&quot;:&quot;&quot;},{&quot;dropping-particle&quot;:&quot;&quot;,&quot;family&quot;:&quot;Gangathimmaiah&quot;,&quot;given&quot;:&quot;Vinay&quot;,&quot;non-dropping-particle&quot;:&quot;&quot;,&quot;parse-names&quot;:false,&quot;suffix&quot;:&quot;&quot;},{&quot;dropping-particle&quot;:&quot;&quot;,&quot;family&quot;:&quot;Nordenstrom&quot;,&quot;given&quot;:&quot;Anna&quot;,&quot;non-dropping-particle&quot;:&quot;&quot;,&quot;parse-names&quot;:false,&quot;suffix&quot;:&quot;&quot;}],&quot;id&quot;:&quot;d918e224-3d05-5ec3-adbb-feb50cc2b434&quot;,&quot;issue&quot;:&quot;July&quot;,&quot;issued&quot;:{&quot;date-parts&quot;:[[&quot;2020&quot;]]},&quot;page&quot;:&quot;1-15&quot;,&quot;title&quot;:&quot;Bone Mineral Density in Adults With Congenital Adrenal Hyperplasia : A Systematic Review and&quot;,&quot;type&quot;:&quot;article-journal&quot;,&quot;volume&quot;:&quot;11&quot;,&quot;container-title-short&quot;:&quot;&quot;},&quot;uris&quot;:[&quot;http://www.mendeley.com/documents/?uuid=d935ab52-1391-4953-9f55-b234531a120a&quot;],&quot;isTemporary&quot;:false,&quot;legacyDesktopId&quot;:&quot;d935ab52-1391-4953-9f55-b234531a120a&quot;}]},{&quot;citationID&quot;:&quot;MENDELEY_CITATION_ddb70444-b621-4f9c-8a72-a868581c256f&quot;,&quot;properties&quot;:{&quot;noteIndex&quot;:0},&quot;isEdited&quot;:false,&quot;manualOverride&quot;:{&quot;citeprocText&quot;:&quot;(Ahmed et al., 2016)&quot;,&quot;isManuallyOverridden&quot;:false,&quot;manualOverrideText&quot;:&quot;&quot;},&quot;citationTag&quot;:&quot;MENDELEY_CITATION_v3_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&quot;,&quot;citationItems&quot;:[{&quot;id&quot;:&quot;698c0915-b2ab-5d93-b590-370650aad085&quot;,&quot;itemData&quot;:{&quot;ISSN&quot;:&quot;0300-0664&quot;,&quot;author&quot;:[{&quot;dropping-particle&quot;:&quot;&quot;,&quot;family&quot;:&quot;Ahmed&quot;,&quot;given&quot;:&quot;S Faisal&quot;,&quot;non-dropping-particle&quot;:&quot;&quot;,&quot;parse-names&quot;:false,&quot;suffix&quot;:&quot;&quot;},{&quot;dropping-particle&quot;:&quot;&quot;,&quot;family&quot;:&quot;Achermann&quot;,&quot;given&quot;:&quot;John C&quot;,&quot;non-dropping-particle&quot;:&quot;&quot;,&quot;parse-names&quot;:false,&quot;suffix&quot;:&quot;&quot;},{&quot;dropping-particle&quot;:&quot;&quot;,&quot;family&quot;:&quot;Arlt&quot;,&quot;given&quot;:&quot;Wiebke&quot;,&quot;non-dropping-particle&quot;:&quot;&quot;,&quot;parse-names&quot;:false,&quot;suffix&quot;:&quot;&quot;},{&quot;dropping-particle&quot;:&quot;&quot;,&quot;family&quot;:&quot;Balen&quot;,&quot;given&quot;:&quot;Adam&quot;,&quot;non-dropping-particle&quot;:&quot;&quot;,&quot;parse-names&quot;:false,&quot;suffix&quot;:&quot;&quot;},{&quot;dropping-particle&quot;:&quot;&quot;,&quot;family&quot;:&quot;Conway&quot;,&quot;given&quot;:&quot;Gerry&quot;,&quot;non-dropping-particle&quot;:&quot;&quot;,&quot;parse-names&quot;:false,&quot;suffix&quot;:&quot;&quot;},{&quot;dropping-particle&quot;:&quot;&quot;,&quot;family&quot;:&quot;Edwards&quot;,&quot;given&quot;:&quot;Zoe&quot;,&quot;non-dropping-particle&quot;:&quot;&quot;,&quot;parse-names&quot;:false,&quot;suffix&quot;:&quot;&quot;},{&quot;dropping-particle&quot;:&quot;&quot;,&quot;family&quot;:&quot;Elford&quot;,&quot;given&quot;:&quot;Sue&quot;,&quot;non-dropping-particle&quot;:&quot;&quot;,&quot;parse-names&quot;:false,&quot;suffix&quot;:&quot;&quot;},{&quot;dropping-particle&quot;:&quot;&quot;,&quot;family&quot;:&quot;Hughes&quot;,&quot;given&quot;:&quot;Ieuan A&quot;,&quot;non-dropping-particle&quot;:&quot;&quot;,&quot;parse-names&quot;:false,&quot;suffix&quot;:&quot;&quot;},{&quot;dropping-particle&quot;:&quot;&quot;,&quot;family&quot;:&quot;Izatt&quot;,&quot;given&quot;:&quot;Louise&quot;,&quot;non-dropping-particle&quot;:&quot;&quot;,&quot;parse-names&quot;:false,&quot;suffix&quot;:&quot;&quot;},{&quot;dropping-particle&quot;:&quot;&quot;,&quot;family&quot;:&quot;Krone&quot;,&quot;given&quot;:&quot;Nils&quot;,&quot;non-dropping-particle&quot;:&quot;&quot;,&quot;parse-names&quot;:false,&quot;suffix&quot;:&quot;&quot;}],&quot;container-title&quot;:&quot;Clinical endocrinology&quot;,&quot;id&quot;:&quot;698c0915-b2ab-5d93-b590-370650aad085&quot;,&quot;issue&quot;:&quot;5&quot;,&quot;issued&quot;:{&quot;date-parts&quot;:[[&quot;2016&quot;]]},&quot;page&quot;:&quot;771-788&quot;,&quot;publisher&quot;:&quot;Wiley Online Library&quot;,&quot;title&quot;:&quot;Society for Endocrinology UK guidance on the initial evaluation of an infant or an adolescent with a suspected disorder of sex development (Revised 2015)&quot;,&quot;type&quot;:&quot;article-journal&quot;,&quot;volume&quot;:&quot;84&quot;,&quot;container-title-short&quot;:&quot;Clin Endocrinol (Oxf)&quot;},&quot;uris&quot;:[&quot;http://www.mendeley.com/documents/?uuid=89cfa719-ff36-40ea-9012-a138559309e3&quot;],&quot;isTemporary&quot;:false,&quot;legacyDesktopId&quot;:&quot;89cfa719-ff36-40ea-9012-a138559309e3&quot;}]},{&quot;citationID&quot;:&quot;MENDELEY_CITATION_ef922df6-ab23-49fe-baad-080780dfe681&quot;,&quot;properties&quot;:{&quot;noteIndex&quot;:0},&quot;isEdited&quot;:false,&quot;manualOverride&quot;:{&quot;citeprocText&quot;:&quot;(Claahsen - van der Grinten et al., 2022)&quot;,&quot;isManuallyOverridden&quot;:false,&quot;manualOverrideText&quot;:&quot;&quot;},&quot;citationTag&quot;:&quot;MENDELEY_CITATION_v3_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&quot;,&quot;citationItems&quot;:[{&quot;id&quot;:&quot;312c9a32-af25-5728-a030-b532590c4a02&quot;,&quot;itemData&quot;:{&quot;DOI&quot;:&quot;10.1210/endrev/bnab016&quot;,&quot;ISSN&quot;:&quot;0163-769X&quot;,&quot;abstract&quot;:&quot;Congenital adrenal hyperplasia (CAH) is a group of autosomal recessive disorders affecting cortisol biosynthesis. Reduced activity of an enzyme required for cortisol production leads to chronic overstimulation of the adrenal cortex and accumulation of precursors proximal to the blocked enzymatic step. The most common form of CAH is caused by steroid 21-hydroxylase deficiency due to mutations in CYP21A2. Since the last publication summarizing CAH in Endocrine Reviews in 2000, there have been numerous new developments. These include more detailed understanding of steroidogenic pathways, refinements in neonatal screening, improved diagnostic measurements utilizing chromatography and mass spectrometry coupled with steroid profiling, and improved genotyping methods. Clinical trials of alternative medications and modes of delivery have been recently completed or are under way. Genetic and cell-based treatments are being explored. A large body of data concerning long-term outcomes in patients affected by CAH, including psychosexual well-being, has been enhanced by the establishment of disease registries. This review provides the reader with current insights in CAH with special attention to these new developments.&quot;,&quot;author&quot;:[{&quot;dropping-particle&quot;:&quot;&quot;,&quot;family&quot;:&quot;Claahsen - van der Grinten&quot;,&quot;given&quot;:&quot;Hedi L&quot;,&quot;non-dropping-particle&quot;:&quot;&quot;,&quot;parse-names&quot;:false,&quot;suffix&quot;:&quot;&quot;},{&quot;dropping-particle&quot;:&quot;&quot;,&quot;family&quot;:&quot;Speiser&quot;,&quot;given&quot;:&quot;Phyllis W&quot;,&quot;non-dropping-particle&quot;:&quot;&quot;,&quot;parse-names&quot;:false,&quot;suffix&quot;:&quot;&quot;},{&quot;dropping-particle&quot;:&quot;&quot;,&quot;family&quot;:&quot;Ahmed&quot;,&quot;given&quot;:&quot;S Faisal&quot;,&quot;non-dropping-particle&quot;:&quot;&quot;,&quot;parse-names&quot;:false,&quot;suffix&quot;:&quot;&quot;},{&quot;dropping-particle&quot;:&quot;&quot;,&quot;family&quot;:&quot;Arlt&quot;,&quot;given&quot;:&quot;Wiebke&quot;,&quot;non-dropping-particle&quot;:&quot;&quot;,&quot;parse-names&quot;:false,&quot;suffix&quot;:&quot;&quot;},{&quot;dropping-particle&quot;:&quot;&quot;,&quot;family&quot;:&quot;Auchus&quot;,&quot;given&quot;:&quot;Richard J&quot;,&quot;non-dropping-particle&quot;:&quot;&quot;,&quot;parse-names&quot;:false,&quot;suffix&quot;:&quot;&quot;},{&quot;dropping-particle&quot;:&quot;&quot;,&quot;family&quot;:&quot;Falhammar&quot;,&quot;given&quot;:&quot;Henrik&quot;,&quot;non-dropping-particle&quot;:&quot;&quot;,&quot;parse-names&quot;:false,&quot;suffix&quot;:&quot;&quot;},{&quot;dropping-particle&quot;:&quot;&quot;,&quot;family&quot;:&quot;Flück&quot;,&quot;given&quot;:&quot;Christa E&quot;,&quot;non-dropping-particle&quot;:&quot;&quot;,&quot;parse-names&quot;:false,&quot;suffix&quot;:&quot;&quot;},{&quot;dropping-particle&quot;:&quot;&quot;,&quot;family&quot;:&quot;Guasti&quot;,&quot;given&quot;:&quot;Leonardo&quot;,&quot;non-dropping-particle&quot;:&quot;&quot;,&quot;parse-names&quot;:false,&quot;suffix&quot;:&quot;&quot;},{&quot;dropping-particle&quot;:&quot;&quot;,&quot;family&quot;:&quot;Huebner&quot;,&quot;given&quot;:&quot;Angela&quot;,&quot;non-dropping-particle&quot;:&quot;&quot;,&quot;parse-names&quot;:false,&quot;suffix&quot;:&quot;&quot;},{&quot;dropping-particle&quot;:&quot;&quot;,&quot;family&quot;:&quot;Kortmann&quot;,&quot;given&quot;:&quot;Barbara B M&quot;,&quot;non-dropping-particle&quot;:&quot;&quot;,&quot;parse-names&quot;:false,&quot;suffix&quot;:&quot;&quot;},{&quot;dropping-particle&quot;:&quot;&quot;,&quot;family&quot;:&quot;Krone&quot;,&quot;given&quot;:&quot;Nils&quot;,&quot;non-dropping-particle&quot;:&quot;&quot;,&quot;parse-names&quot;:false,&quot;suffix&quot;:&quot;&quot;},{&quot;dropping-particle&quot;:&quot;&quot;,&quot;family&quot;:&quot;Merke&quot;,&quot;given&quot;:&quot;Deborah P&quot;,&quot;non-dropping-particle&quot;:&quot;&quot;,&quot;parse-names&quot;:false,&quot;suffix&quot;:&quot;&quot;},{&quot;dropping-particle&quot;:&quot;&quot;,&quot;family&quot;:&quot;Miller&quot;,&quot;given&quot;:&quot;Walter L&quot;,&quot;non-dropping-particle&quot;:&quot;&quot;,&quot;parse-names&quot;:false,&quot;suffix&quot;:&quot;&quot;},{&quot;dropping-particle&quot;:&quot;&quot;,&quot;family&quot;:&quot;Nordenström&quot;,&quot;given&quot;:&quot;Anna&quot;,&quot;non-dropping-particle&quot;:&quot;&quot;,&quot;parse-names&quot;:false,&quot;suffix&quot;:&quot;&quot;},{&quot;dropping-particle&quot;:&quot;&quot;,&quot;family&quot;:&quot;Reisch&quot;,&quot;given&quot;:&quot;Nicole&quot;,&quot;non-dropping-particle&quot;:&quot;&quot;,&quot;parse-names&quot;:false,&quot;suffix&quot;:&quot;&quot;},{&quot;dropping-particle&quot;:&quot;&quot;,&quot;family&quot;:&quot;Sandberg&quot;,&quot;given&quot;:&quot;David E&quot;,&quot;non-dropping-particle&quot;:&quot;&quot;,&quot;parse-names&quot;:false,&quot;suffix&quot;:&quot;&quot;},{&quot;dropping-particle&quot;:&quot;&quot;,&quot;family&quot;:&quot;Stikkelbroeck&quot;,&quot;given&quot;:&quot;Nike M M L&quot;,&quot;non-dropping-particle&quot;:&quot;&quot;,&quot;parse-names&quot;:false,&quot;suffix&quot;:&quot;&quot;},{&quot;dropping-particle&quot;:&quot;&quot;,&quot;family&quot;:&quot;Touraine&quot;,&quot;given&quot;:&quot;Philippe&quot;,&quot;non-dropping-particle&quot;:&quot;&quot;,&quot;parse-names&quot;:false,&quot;suffix&quot;:&quot;&quot;},{&quot;dropping-particle&quot;:&quot;&quot;,&quot;family&quot;:&quot;Utari&quot;,&quot;given&quot;:&quot;Agustini&quot;,&quot;non-dropping-particle&quot;:&quot;&quot;,&quot;parse-names&quot;:false,&quot;suffix&quot;:&quot;&quot;},{&quot;dropping-particle&quot;:&quot;&quot;,&quot;family&quot;:&quot;Wudy&quot;,&quot;given&quot;:&quot;Stefan A&quot;,&quot;non-dropping-particle&quot;:&quot;&quot;,&quot;parse-names&quot;:false,&quot;suffix&quot;:&quot;&quot;},{&quot;dropping-particle&quot;:&quot;&quot;,&quot;family&quot;:&quot;White&quot;,&quot;given&quot;:&quot;Perrin C&quot;,&quot;non-dropping-particle&quot;:&quot;&quot;,&quot;parse-names&quot;:false,&quot;suffix&quot;:&quot;&quot;}],&quot;container-title&quot;:&quot;Endocrine Reviews&quot;,&quot;id&quot;:&quot;312c9a32-af25-5728-a030-b532590c4a02&quot;,&quot;issue&quot;:&quot;1&quot;,&quot;issued&quot;:{&quot;date-parts&quot;:[[&quot;2022&quot;,&quot;2&quot;,&quot;1&quot;]]},&quot;page&quot;:&quot;91-159&quot;,&quot;title&quot;:&quot;Congenital Adrenal Hyperplasia—Current Insights in Pathophysiology, Diagnostics, and Management&quot;,&quot;type&quot;:&quot;article-journal&quot;,&quot;volume&quot;:&quot;43&quot;,&quot;container-title-short&quot;:&quot;Endocr Rev&quot;},&quot;uris&quot;:[&quot;http://www.mendeley.com/documents/?uuid=45e118de-fac8-439d-9c6e-943dc1e0f547&quot;],&quot;isTemporary&quot;:false,&quot;legacyDesktopId&quot;:&quot;45e118de-fac8-439d-9c6e-943dc1e0f547&quot;}]},{&quot;citationID&quot;:&quot;MENDELEY_CITATION_de5f3795-f7f9-4d84-b169-fae804f642da&quot;,&quot;properties&quot;:{&quot;noteIndex&quot;:0},&quot;isEdited&quot;:false,&quot;manualOverride&quot;:{&quot;citeprocText&quot;:&quot;(Michael F. Holick, 2007)&quot;,&quot;isManuallyOverridden&quot;:false,&quot;manualOverrideText&quot;:&quot;&quot;},&quot;citationTag&quot;:&quot;MENDELEY_CITATION_v3_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&quot;,&quot;citationItems&quot;:[{&quot;id&quot;:&quot;cf65a95e-2b9d-5393-b5c6-36042ffa3a40&quot;,&quot;itemData&quot;:{&quot;author&quot;:[{&quot;dropping-particle&quot;:&quot;&quot;,&quot;family&quot;:&quot;Michael F. Holick&quot;,&quot;given&quot;:&quot;M.D&quot;,&quot;non-dropping-particle&quot;:&quot;&quot;,&quot;parse-names&quot;:false,&quot;suffix&quot;:&quot;&quot;}],&quot;container-title&quot;:&quot;The New English J ournal Medicine&quot;,&quot;id&quot;:&quot;cf65a95e-2b9d-5393-b5c6-36042ffa3a40&quot;,&quot;issue&quot;:&quot;3&quot;,&quot;issued&quot;:{&quot;date-parts&quot;:[[&quot;2007&quot;]]},&quot;page&quot;:&quot;266 - 281&quot;,&quot;title&quot;:&quot;nejmra070553&quot;,&quot;type&quot;:&quot;article-journal&quot;,&quot;volume&quot;:&quot;357&quot;,&quot;container-title-short&quot;:&quot;&quot;},&quot;uris&quot;:[&quot;http://www.mendeley.com/documents/?uuid=a3f047ba-4bd5-4c47-92af-67b9dba47290&quot;],&quot;isTemporary&quot;:false,&quot;legacyDesktopId&quot;:&quot;a3f047ba-4bd5-4c47-92af-67b9dba47290&quot;}]},{&quot;citationID&quot;:&quot;MENDELEY_CITATION_7f209f6b-e149-43c9-aab6-27cd8663b181&quot;,&quot;properties&quot;:{&quot;noteIndex&quot;:0},&quot;isEdited&quot;:false,&quot;manualOverride&quot;:{&quot;citeprocText&quot;:&quot;(Gravholt et al., 2017)&quot;,&quot;isManuallyOverridden&quot;:false,&quot;manualOverrideText&quot;:&quot;&quot;},&quot;citationTag&quot;:&quot;MENDELEY_CITATION_v3_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&quot;,&quot;citationItems&quot;:[{&quot;id&quot;:&quot;9d478f16-2d97-5e74-869f-8cefbee6c56a&quot;,&quot;itemData&quot;:{&quot;DOI&quot;:&quot;10.1530/EJE-17-0430&quot;,&quot;ISSN&quot;:&quot;0804-4643&quot;,&quot;abstract&quot;:&quot;Turner syndrome affects 25–50 per 100,000 females and can involve multiple organs through all stages of life, necessitating multidisciplinary approach to care. Previous guidelines have highlighted this, but numerous important advances have been noted recently. These advances cover all specialty fields involved in the care of girls and women with TS. This paper is based on an international effort that started with exploratory meetings in 2014 in both Europe and the USA, and culminated with a Consensus Meeting held in Cincinnati, Ohio, USA in July 2016. Prior to this meeting, five groups each addressed important areas in TS care: 1) diagnostic and genetic issues, 2) growth and development during childhood and adolescence, 3) congenital and acquired cardiovascular disease, 4) transition and adult care, and 5) other comorbidities and neurocognitive issues. These groups produced proposals for the present guidelines. Additionally, four pertinent questions were submitted for formal GRADE (Grading of Recommendations, Assessment, Development and Evaluation) evaluation with a separate systematic review of the literature. These four questions related to the efficacy and most optimal treatment of short stature, infertility, hypertension, and hormonal replacement therapy. The guidelines project was initiated by the European Society of Endocrinology and the Pediatric Endocrine Society, in collaboration with the European Society for Paediatric Endocrinology, the Endocrine Society, the European Society of Human Reproduction and Embryology, the American Heart Association, the Society for Endocrinology, and the European Society of Cardiology. The guideline has been formally endorsed by the European Society of Endocrinology, the Pediatric Endocrine Society, the European Society for Paediatric Endocrinology, the European Society of Human Reproduction and Embryology and the Endocrine Society. Advocacy groups appointed representatives who participated in pre-meeting discussions and in the consensus meeting.&quot;,&quot;author&quot;:[{&quot;dropping-particle&quot;:&quot;&quot;,&quot;family&quot;:&quot;Gravholt&quot;,&quot;given&quot;:&quot;Claus H&quot;,&quot;non-dropping-particle&quot;:&quot;&quot;,&quot;parse-names&quot;:false,&quot;suffix&quot;:&quot;&quot;},{&quot;dropping-particle&quot;:&quot;&quot;,&quot;family&quot;:&quot;Andersen&quot;,&quot;given&quot;:&quot;Niels H&quot;,&quot;non-dropping-particle&quot;:&quot;&quot;,&quot;parse-names&quot;:false,&quot;suffix&quot;:&quot;&quot;},{&quot;dropping-particle&quot;:&quot;&quot;,&quot;family&quot;:&quot;Conway&quot;,&quot;given&quot;:&quot;Gerard S&quot;,&quot;non-dropping-particle&quot;:&quot;&quot;,&quot;parse-names&quot;:false,&quot;suffix&quot;:&quot;&quot;},{&quot;dropping-particle&quot;:&quot;&quot;,&quot;family&quot;:&quot;Dekkers&quot;,&quot;given&quot;:&quot;Olaf M&quot;,&quot;non-dropping-particle&quot;:&quot;&quot;,&quot;parse-names&quot;:false,&quot;suffix&quot;:&quot;&quot;},{&quot;dropping-particle&quot;:&quot;&quot;,&quot;family&quot;:&quot;Geffner&quot;,&quot;given&quot;:&quot;Mitchell E&quot;,&quot;non-dropping-particle&quot;:&quot;&quot;,&quot;parse-names&quot;:false,&quot;suffix&quot;:&quot;&quot;},{&quot;dropping-particle&quot;:&quot;&quot;,&quot;family&quot;:&quot;Klein&quot;,&quot;given&quot;:&quot;Karen O&quot;,&quot;non-dropping-particle&quot;:&quot;&quot;,&quot;parse-names&quot;:false,&quot;suffix&quot;:&quot;&quot;},{&quot;dropping-particle&quot;:&quot;&quot;,&quot;family&quot;:&quot;Lin&quot;,&quot;given&quot;:&quot;Angela E&quot;,&quot;non-dropping-particle&quot;:&quot;&quot;,&quot;parse-names&quot;:false,&quot;suffix&quot;:&quot;&quot;},{&quot;dropping-particle&quot;:&quot;&quot;,&quot;family&quot;:&quot;Mauras&quot;,&quot;given&quot;:&quot;Nelly&quot;,&quot;non-dropping-particle&quot;:&quot;&quot;,&quot;parse-names&quot;:false,&quot;suffix&quot;:&quot;&quot;},{&quot;dropping-particle&quot;:&quot;&quot;,&quot;family&quot;:&quot;Quigley&quot;,&quot;given&quot;:&quot;Charmian A&quot;,&quot;non-dropping-particle&quot;:&quot;&quot;,&quot;parse-names&quot;:false,&quot;suffix&quot;:&quot;&quot;},{&quot;dropping-particle&quot;:&quot;&quot;,&quot;family&quot;:&quot;Rubin&quot;,&quot;given&quot;:&quot;Karen&quot;,&quot;non-dropping-particle&quot;:&quot;&quot;,&quot;parse-names&quot;:false,&quot;suffix&quot;:&quot;&quot;},{&quot;dropping-particle&quot;:&quot;&quot;,&quot;family&quot;:&quot;Sandberg&quot;,&quot;given&quot;:&quot;David E&quot;,&quot;non-dropping-particle&quot;:&quot;&quot;,&quot;parse-names&quot;:false,&quot;suffix&quot;:&quot;&quot;},{&quot;dropping-particle&quot;:&quot;&quot;,&quot;family&quot;:&quot;Sas&quot;,&quot;given&quot;:&quot;Theo C J&quot;,&quot;non-dropping-particle&quot;:&quot;&quot;,&quot;parse-names&quot;:false,&quot;suffix&quot;:&quot;&quot;},{&quot;dropping-particle&quot;:&quot;&quot;,&quot;family&quot;:&quot;Silberbach&quot;,&quot;given&quot;:&quot;Michael&quot;,&quot;non-dropping-particle&quot;:&quot;&quot;,&quot;parse-names&quot;:false,&quot;suffix&quot;:&quot;&quot;},{&quot;dropping-particle&quot;:&quot;&quot;,&quot;family&quot;:&quot;Söderström-Anttila&quot;,&quot;given&quot;:&quot;Viveca&quot;,&quot;non-dropping-particle&quot;:&quot;&quot;,&quot;parse-names&quot;:false,&quot;suffix&quot;:&quot;&quot;},{&quot;dropping-particle&quot;:&quot;&quot;,&quot;family&quot;:&quot;Stochholm&quot;,&quot;given&quot;:&quot;Kirstine&quot;,&quot;non-dropping-particle&quot;:&quot;&quot;,&quot;parse-names&quot;:false,&quot;suffix&quot;:&quot;&quot;},{&quot;dropping-particle&quot;:&quot;&quot;,&quot;family&quot;:&quot;Alfen-van derVelden&quot;,&quot;given&quot;:&quot;Janielle A&quot;,&quot;non-dropping-particle&quot;:&quot;van&quot;,&quot;parse-names&quot;:false,&quot;suffix&quot;:&quot;&quot;},{&quot;dropping-particle&quot;:&quot;&quot;,&quot;family&quot;:&quot;Woelfle&quot;,&quot;given&quot;:&quot;Joachim&quot;,&quot;non-dropping-particle&quot;:&quot;&quot;,&quot;parse-names&quot;:false,&quot;suffix&quot;:&quot;&quot;},{&quot;dropping-particle&quot;:&quot;&quot;,&quot;family&quot;:&quot;Backeljauw&quot;,&quot;given&quot;:&quot;Philippe F&quot;,&quot;non-dropping-particle&quot;:&quot;&quot;,&quot;parse-names&quot;:false,&quot;suffix&quot;:&quot;&quot;},{&quot;dropping-particle&quot;:&quot;&quot;,&quot;family&quot;:&quot;Group&quot;,&quot;given&quot;:&quot;the International Turner Syndrome Consensus&quot;,&quot;non-dropping-particle&quot;:&quot;&quot;,&quot;parse-names&quot;:false,&quot;suffix&quot;:&quot;&quot;}],&quot;container-title&quot;:&quot;European Journal of Endocrinology&quot;,&quot;id&quot;:&quot;9d478f16-2d97-5e74-869f-8cefbee6c56a&quot;,&quot;issue&quot;:&quot;3&quot;,&quot;issued&quot;:{&quot;date-parts&quot;:[[&quot;2017&quot;,&quot;9&quot;,&quot;1&quot;]]},&quot;page&quot;:&quot;G1-G70&quot;,&quot;title&quot;:&quot;Clinical practice guidelines for the care of girls and women with Turner syndrome: proceedings from the 2016 Cincinnati International Turner Syndrome Meeting&quot;,&quot;type&quot;:&quot;article-journal&quot;,&quot;volume&quot;:&quot;177&quot;,&quot;container-title-short&quot;:&quot;Eur J Endocrinol&quot;},&quot;uris&quot;:[&quot;http://www.mendeley.com/documents/?uuid=1d10105f-1ef7-4308-a141-d25497ec3e8a&quot;],&quot;isTemporary&quot;:false,&quot;legacyDesktopId&quot;:&quot;1d10105f-1ef7-4308-a141-d25497ec3e8a&quot;}]},{&quot;citationID&quot;:&quot;MENDELEY_CITATION_ecc07bc1-56a1-4fad-b59a-93ecccd8fa65&quot;,&quot;properties&quot;:{&quot;noteIndex&quot;:0},&quot;isEdited&quot;:false,&quot;manualOverride&quot;:{&quot;citeprocText&quot;:&quot;(El-Mansoury et al., 2005)&quot;,&quot;isManuallyOverridden&quot;:false,&quot;manualOverrideText&quot;:&quot;&quot;},&quot;citationTag&quot;:&quot;MENDELEY_CITATION_v3_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&quot;,&quot;citationItems&quot;:[{&quot;id&quot;:&quot;a891ef0f-9979-5991-87c9-e28eca7884bf&quot;,&quot;itemData&quot;:{&quot;DOI&quot;:&quot;10.1210/jc.2004-1262&quot;,&quot;ISSN&quot;:&quot;0021-972X (Print)&quot;,&quot;PMID&quot;:&quot;15623818&quot;,&quot;abstract&quot;:&quot;Turner syndrome (TS) is caused by a sex chromosome aberration. The aim was to  study the prevalence and incidence of thyroid disease in adults with TS. Women with TS (n = 91; mean age, 37.7 +/- 11 yr) were compared with an age-matched female random population sample (n = 228). At baseline, 15 (16%) TS women were treated for hypothyroidism, and elevated serum TSH was found in another eight (9%). As a result, hypothyroidism was more common in women with TS (25%) than in controls (2%; P &lt; 0.0001). Serum free T4 was lower (P = 0.02), and serum TSH was higher (P &lt; 0.0001) in TS women than in age-matched controls. Of all TS women with hypothyroidism, 10 (43%) had an elevated thyroid peroxidase antibody titer vs. 15 (22%) of those without hypothyroidism (P &lt; 0.05), evenly distributed between the karyotype 45,X and mosaicism. A high body mass index, but not a family history or blood lipids, was associated with hypothyroidism in TS. After the 5-yr follow-up, an additional 11 (16%) developed hypothyroidism, of whom four (36%) had elevated thyroid peroxidase. Altogether, 34 (37%) TS women had hypothyroidism after the 5-yr follow-up. Autoimmune hypothyroidism was common, with an annual incidence of 3.2% in TS. Thyroid function should be checked regularly in TS.&quot;,&quot;author&quot;:[{&quot;dropping-particle&quot;:&quot;&quot;,&quot;family&quot;:&quot;El-Mansoury&quot;,&quot;given&quot;:&quot;Mostafa&quot;,&quot;non-dropping-particle&quot;:&quot;&quot;,&quot;parse-names&quot;:false,&quot;suffix&quot;:&quot;&quot;},{&quot;dropping-particle&quot;:&quot;&quot;,&quot;family&quot;:&quot;Bryman&quot;,&quot;given&quot;:&quot;Inger&quot;,&quot;non-dropping-particle&quot;:&quot;&quot;,&quot;parse-names&quot;:false,&quot;suffix&quot;:&quot;&quot;},{&quot;dropping-particle&quot;:&quot;&quot;,&quot;family&quot;:&quot;Berntorp&quot;,&quot;given&quot;:&quot;Kerstin&quot;,&quot;non-dropping-particle&quot;:&quot;&quot;,&quot;parse-names&quot;:false,&quot;suffix&quot;:&quot;&quot;},{&quot;dropping-particle&quot;:&quot;&quot;,&quot;family&quot;:&quot;Hanson&quot;,&quot;given&quot;:&quot;Charles&quot;,&quot;non-dropping-particle&quot;:&quot;&quot;,&quot;parse-names&quot;:false,&quot;suffix&quot;:&quot;&quot;},{&quot;dropping-particle&quot;:&quot;&quot;,&quot;family&quot;:&quot;Wilhelmsen&quot;,&quot;given&quot;:&quot;Lars&quot;,&quot;non-dropping-particle&quot;:&quot;&quot;,&quot;parse-names&quot;:false,&quot;suffix&quot;:&quot;&quot;},{&quot;dropping-particle&quot;:&quot;&quot;,&quot;family&quot;:&quot;Landin-Wilhelmsen&quot;,&quot;given&quot;:&quot;Kerstin&quot;,&quot;non-dropping-particle&quot;:&quot;&quot;,&quot;parse-names&quot;:false,&quot;suffix&quot;:&quot;&quot;}],&quot;container-title&quot;:&quot;The Journal of clinical endocrinology and metabolism&quot;,&quot;id&quot;:&quot;a891ef0f-9979-5991-87c9-e28eca7884bf&quot;,&quot;issue&quot;:&quot;4&quot;,&quot;issued&quot;:{&quot;date-parts&quot;:[[&quot;2005&quot;,&quot;4&quot;]]},&quot;language&quot;:&quot;eng&quot;,&quot;page&quot;:&quot;2131-2135&quot;,&quot;publisher-place&quot;:&quot;United States&quot;,&quot;title&quot;:&quot;Hypothyroidism is common in turner syndrome: results of a five-year follow-up.&quot;,&quot;type&quot;:&quot;article-journal&quot;,&quot;volume&quot;:&quot;90&quot;,&quot;container-title-short&quot;:&quot;J Clin Endocrinol Metab&quot;},&quot;uris&quot;:[&quot;http://www.mendeley.com/documents/?uuid=79119d0b-3004-4654-9187-6afe3906858d&quot;],&quot;isTemporary&quot;:false,&quot;legacyDesktopId&quot;:&quot;79119d0b-3004-4654-9187-6afe3906858d&quot;}]},{&quot;citationID&quot;:&quot;MENDELEY_CITATION_51b7fd3d-d83c-481e-bbba-7943e1667de3&quot;,&quot;properties&quot;:{&quot;noteIndex&quot;:0},&quot;isEdited&quot;:false,&quot;manualOverride&quot;:{&quot;citeprocText&quot;:&quot;(Charmandari et al., 2014)&quot;,&quot;isManuallyOverridden&quot;:false,&quot;manualOverrideText&quot;:&quot;&quot;},&quot;citationTag&quot;:&quot;MENDELEY_CITATION_v3_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&quot;,&quot;citationItems&quot;:[{&quot;id&quot;:&quot;ed9d6d0f-8281-5d6d-a77b-7e0f701666d1&quot;,&quot;itemData&quot;:{&quot;ISSN&quot;:&quot;0140-6736&quot;,&quot;author&quot;:[{&quot;dropping-particle&quot;:&quot;&quot;,&quot;family&quot;:&quot;Charmandari&quot;,&quot;given&quot;:&quot;Evangelia&quot;,&quot;non-dropping-particle&quot;:&quot;&quot;,&quot;parse-names&quot;:false,&quot;suffix&quot;:&quot;&quot;},{&quot;dropping-particle&quot;:&quot;&quot;,&quot;family&quot;:&quot;Nicolaides&quot;,&quot;given&quot;:&quot;Nicolas C&quot;,&quot;non-dropping-particle&quot;:&quot;&quot;,&quot;parse-names&quot;:false,&quot;suffix&quot;:&quot;&quot;},{&quot;dropping-particle&quot;:&quot;&quot;,&quot;family&quot;:&quot;Chrousos&quot;,&quot;given&quot;:&quot;George P&quot;,&quot;non-dropping-particle&quot;:&quot;&quot;,&quot;parse-names&quot;:false,&quot;suffix&quot;:&quot;&quot;}],&quot;container-title&quot;:&quot;The Lancet&quot;,&quot;id&quot;:&quot;ed9d6d0f-8281-5d6d-a77b-7e0f701666d1&quot;,&quot;issue&quot;:&quot;9935&quot;,&quot;issued&quot;:{&quot;date-parts&quot;:[[&quot;2014&quot;]]},&quot;page&quot;:&quot;2152-2167&quot;,&quot;publisher&quot;:&quot;Elsevier&quot;,&quot;title&quot;:&quot;Adrenal insufficiency&quot;,&quot;type&quot;:&quot;article-journal&quot;,&quot;volume&quot;:&quot;383&quot;,&quot;container-title-short&quot;:&quot;&quot;},&quot;uris&quot;:[&quot;http://www.mendeley.com/documents/?uuid=f3a8f00c-5abd-4bee-9755-57a68d930c0e&quot;],&quot;isTemporary&quot;:false,&quot;legacyDesktopId&quot;:&quot;f3a8f00c-5abd-4bee-9755-57a68d930c0e&quot;}]},{&quot;citationID&quot;:&quot;MENDELEY_CITATION_d37951ae-8019-418b-b569-a154d7eeba24&quot;,&quot;properties&quot;:{&quot;noteIndex&quot;:0},&quot;isEdited&quot;:false,&quot;manualOverride&quot;:{&quot;citeprocText&quot;:&quot;(Sobh et al., 2022)&quot;,&quot;isManuallyOverridden&quot;:false,&quot;manualOverrideText&quot;:&quot;&quot;},&quot;citationTag&quot;:&quot;MENDELEY_CITATION_v3_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&quot;,&quot;citationItems&quot;:[{&quot;id&quot;:&quot;627ac8a9-6b1c-5b00-b7df-227184ce595d&quot;,&quot;itemData&quot;:{&quot;DOI&quot;:&quot;10.3390/jcm11092382&quot;,&quot;ISSN&quot;:&quot;2077-0383 (Print)&quot;,&quot;PMID&quot;:&quot;35566509&quot;,&quot;abstract&quot;:&quot;Fragility fracture is a worldwide problem and a main cause of disability and  impaired quality of life. It is primarily caused by osteoporosis, characterized by impaired bone quantity and or quality. Proper diagnosis of osteoporosis is essential for prevention of fragility fractures. Osteoporosis can be primary in postmenopausal women because of estrogen deficiency. Secondary forms of osteoporosis are not uncommon in both men and women. Most systemic illnesses and organ dysfunction can lead to osteoporosis. The kidney plays a crucial role in maintaining physiological bone homeostasis by controlling minerals, electrolytes, acid-base, vitamin D and parathyroid function. Chronic kidney disease with its uremic milieu disturbs this balance, leading to renal osteodystrophy. Diabetes mellitus represents the most common secondary cause of osteoporosis. Thyroid and parathyroid disorders can dysregulate the osteoblast/osteoclast functions. Gastrointestinal disorders, malnutrition and malabsorption can result in mineral and vitamin D deficiencies and bone loss. Patients with chronic liver disease have a higher risk of fracture due to hepatic osteodystrophy. Proinflammatory cytokines in infectious, autoimmune, and hematological disorders can stimulate osteoclastogenesis, leading to osteoporosis. Moreover, drug-induced osteoporosis is not uncommon. In this review, we focus on causes, pathogenesis, and management of secondary osteoporosis.&quot;,&quot;author&quot;:[{&quot;dropping-particle&quot;:&quot;&quot;,&quot;family&quot;:&quot;Sobh&quot;,&quot;given&quot;:&quot;Mahmoud M&quot;,&quot;non-dropping-particle&quot;:&quot;&quot;,&quot;parse-names&quot;:false,&quot;suffix&quot;:&quot;&quot;},{&quot;dropping-particle&quot;:&quot;&quot;,&quot;family&quot;:&quot;Abdalbary&quot;,&quot;given&quot;:&quot;Mohamed&quot;,&quot;non-dropping-particle&quot;:&quot;&quot;,&quot;parse-names&quot;:false,&quot;suffix&quot;:&quot;&quot;},{&quot;dropping-particle&quot;:&quot;&quot;,&quot;family&quot;:&quot;Elnagar&quot;,&quot;given&quot;:&quot;Sherouk&quot;,&quot;non-dropping-particle&quot;:&quot;&quot;,&quot;parse-names&quot;:false,&quot;suffix&quot;:&quot;&quot;},{&quot;dropping-particle&quot;:&quot;&quot;,&quot;family&quot;:&quot;Nagy&quot;,&quot;given&quot;:&quot;Eman&quot;,&quot;non-dropping-particle&quot;:&quot;&quot;,&quot;parse-names&quot;:false,&quot;suffix&quot;:&quot;&quot;},{&quot;dropping-particle&quot;:&quot;&quot;,&quot;family&quot;:&quot;Elshabrawy&quot;,&quot;given&quot;:&quot;Nehal&quot;,&quot;non-dropping-particle&quot;:&quot;&quot;,&quot;parse-names&quot;:false,&quot;suffix&quot;:&quot;&quot;},{&quot;dropping-particle&quot;:&quot;&quot;,&quot;family&quot;:&quot;Abdelsalam&quot;,&quot;given&quot;:&quot;Mostafa&quot;,&quot;non-dropping-particle&quot;:&quot;&quot;,&quot;parse-names&quot;:false,&quot;suffix&quot;:&quot;&quot;},{&quot;dropping-particle&quot;:&quot;&quot;,&quot;family&quot;:&quot;Asadipooya&quot;,&quot;given&quot;:&quot;Kamyar&quot;,&quot;non-dropping-particle&quot;:&quot;&quot;,&quot;parse-names&quot;:false,&quot;suffix&quot;:&quot;&quot;},{&quot;dropping-particle&quot;:&quot;&quot;,&quot;family&quot;:&quot;El-Husseini&quot;,&quot;given&quot;:&quot;Amr&quot;,&quot;non-dropping-particle&quot;:&quot;&quot;,&quot;parse-names&quot;:false,&quot;suffix&quot;:&quot;&quot;}],&quot;container-title&quot;:&quot;Journal of clinical medicine&quot;,&quot;id&quot;:&quot;627ac8a9-6b1c-5b00-b7df-227184ce595d&quot;,&quot;issue&quot;:&quot;9&quot;,&quot;issued&quot;:{&quot;date-parts&quot;:[[&quot;2022&quot;,&quot;4&quot;]]},&quot;language&quot;:&quot;eng&quot;,&quot;publisher-place&quot;:&quot;Switzerland&quot;,&quot;title&quot;:&quot;Secondary Osteoporosis and Metabolic Bone Diseases.&quot;,&quot;type&quot;:&quot;article-journal&quot;,&quot;volume&quot;:&quot;11&quot;,&quot;container-title-short&quot;:&quot;J Clin Med&quot;},&quot;uris&quot;:[&quot;http://www.mendeley.com/documents/?uuid=0cf0fffc-5fa0-408a-a6bc-190291ef35e1&quot;],&quot;isTemporary&quot;:false,&quot;legacyDesktopId&quot;:&quot;0cf0fffc-5fa0-408a-a6bc-190291ef35e1&quot;}]},{&quot;citationID&quot;:&quot;MENDELEY_CITATION_439b8376-9b06-4427-ad4a-d0a348cf4630&quot;,&quot;properties&quot;:{&quot;noteIndex&quot;:0},&quot;isEdited&quot;:false,&quot;manualOverride&quot;:{&quot;citeprocText&quot;:&quot;(He et al., 2022)&quot;,&quot;isManuallyOverridden&quot;:false,&quot;manualOverrideText&quot;:&quot;&quot;},&quot;citationTag&quot;:&quot;MENDELEY_CITATION_v3_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&quot;,&quot;citationItems&quot;:[{&quot;id&quot;:&quot;e50711d1-9fcd-5469-8f09-38ccb986c694&quot;,&quot;itemData&quot;:{&quot;DOI&quot;:&quot;10.3389/fnut.2022.984423&quot;,&quot;ISSN&quot;:&quot;2296-861X (Print)&quot;,&quot;PMID&quot;:&quot;36238458&quot;,&quot;abstract&quot;:&quot;BACKGROUND: This study aimed to assess the methodological and reporting quality  of the guidelines and consensus on calcium and vitamin D supplementation in healthy children, and the consistency of these recommendations. METHODS: A systematic search of relevant guideline websites and databases, including PubMed, Embase, CNKI, WangFang, and SinoMed, was undertaken from inception to April 7, 2021, by two independent reviewers who assessed the eligible guidelines using the validated Appraisal of Guidelines for Research and Evaluation Instrument II (AGREE II) and the Reporting Items for Practice Guidelines in Healthcare (RIGHT) tools. Overall, the between-reviewer agreement was evaluated using an intra-class correlation coefficient. RESULTS: A total of 24 guidelines and consensuses from 2002 to 2022 were identified from China, the United States, Canada, France, Australia, New Zealand, Europe, and other countries and regions. These were of mixed quality, and scored poorly in the rigor of development, editorial independence, and applicability of the domains of AGREE II. Among the seven domains of the RIGHT checklist, domain one (basic information) had the highest reporting rate (69.3%), whereas domain five (review and quality assurance) had the lowest reporting rate (11.5%). The overall quality of the included guidelines and consensuses was low. Only 12 guidelines were recommended, with modifications. The recommended calcium intake for children of different ages varies greatly (400-1,150 mg/day). Among the included guidelines and consensuses, a vitamin D (VD) prevention dose of 400 IU/day in infants was generally considered safe, and 25-hydroxyvitamin-D [25(OH)D] levels of &lt;20 ng/mL (50 nmol/L) or 20-30 ng/mL (50-75 nmol/L) indicated VD deficiency or insufficiency. However, the recommended amount of VD for children of different age groups and risk strata differed considerably (400-4,000 IU/day or 10-100 μg/day). The choice of VD2 or VD3 supplements and sunlight exposure also differed across the guidelines and consensuses. CONCLUSION: There is considerable variability in calcium and VD guidelines and consensus development methods in calcium and VD supplementation for healthy children. Therefore, efforts are necessary to strengthen the methodological rigor of guideline development and utilize the best available evidence to underpin recommendations.&quot;,&quot;author&quot;:[{&quot;dropping-particle&quot;:&quot;&quot;,&quot;family&quot;:&quot;He&quot;,&quot;given&quot;:&quot;Lanzhi&quot;,&quot;non-dropping-particle&quot;:&quot;&quot;,&quot;parse-names&quot;:false,&quot;suffix&quot;:&quot;&quot;},{&quot;dropping-particle&quot;:&quot;&quot;,&quot;family&quot;:&quot;Zhou&quot;,&quot;given&quot;:&quot;Pengxiang&quot;,&quot;non-dropping-particle&quot;:&quot;&quot;,&quot;parse-names&quot;:false,&quot;suffix&quot;:&quot;&quot;},{&quot;dropping-particle&quot;:&quot;&quot;,&quot;family&quot;:&quot;Zhou&quot;,&quot;given&quot;:&quot;Xin&quot;,&quot;non-dropping-particle&quot;:&quot;&quot;,&quot;parse-names&quot;:false,&quot;suffix&quot;:&quot;&quot;},{&quot;dropping-particle&quot;:&quot;&quot;,&quot;family&quot;:&quot;Tian&quot;,&quot;given&quot;:&quot;Shuxia&quot;,&quot;non-dropping-particle&quot;:&quot;&quot;,&quot;parse-names&quot;:false,&quot;suffix&quot;:&quot;&quot;},{&quot;dropping-particle&quot;:&quot;&quot;,&quot;family&quot;:&quot;Han&quot;,&quot;given&quot;:&quot;Jing&quot;,&quot;non-dropping-particle&quot;:&quot;&quot;,&quot;parse-names&quot;:false,&quot;suffix&quot;:&quot;&quot;},{&quot;dropping-particle&quot;:&quot;&quot;,&quot;family&quot;:&quot;Zhai&quot;,&quot;given&quot;:&quot;Suodi&quot;,&quot;non-dropping-particle&quot;:&quot;&quot;,&quot;parse-names&quot;:false,&quot;suffix&quot;:&quot;&quot;}],&quot;container-title&quot;:&quot;Frontiers in nutrition&quot;,&quot;id&quot;:&quot;e50711d1-9fcd-5469-8f09-38ccb986c694&quot;,&quot;issued&quot;:{&quot;date-parts&quot;:[[&quot;2022&quot;]]},&quot;language&quot;:&quot;eng&quot;,&quot;page&quot;:&quot;984423&quot;,&quot;publisher-place&quot;:&quot;Switzerland&quot;,&quot;title&quot;:&quot;Evaluation of the clinical practice guidelines and consensuses on calcium and  vitamin D supplementation in healthy children using the Appraisal of Guidelines for Research and Evaluation II instrument and Reporting Items for Practice Guidelines in Healthcare statement.&quot;,&quot;type&quot;:&quot;article-journal&quot;,&quot;volume&quot;:&quot;9&quot;,&quot;container-title-short&quot;:&quot;Front Nutr&quot;},&quot;uris&quot;:[&quot;http://www.mendeley.com/documents/?uuid=2251b6b0-d0d1-4749-8fc1-4d28c726e967&quot;],&quot;isTemporary&quot;:false,&quot;legacyDesktopId&quot;:&quot;2251b6b0-d0d1-4749-8fc1-4d28c726e96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mendeley</b:Tag>
    <b:RefOrder>1</b:RefOrder>
  </b:Source>
</b:Sources>
</file>

<file path=customXml/itemProps1.xml><?xml version="1.0" encoding="utf-8"?>
<ds:datastoreItem xmlns:ds="http://schemas.openxmlformats.org/officeDocument/2006/customXml" ds:itemID="{112756B2-C74B-49E8-AA32-120F09CA3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2933</TotalTime>
  <Pages>16</Pages>
  <Words>25810</Words>
  <Characters>147122</Characters>
  <Application>Microsoft Office Word</Application>
  <DocSecurity>0</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63</cp:revision>
  <dcterms:created xsi:type="dcterms:W3CDTF">2025-05-28T12:10:00Z</dcterms:created>
  <dcterms:modified xsi:type="dcterms:W3CDTF">2025-07-21T15:18:00Z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4c812b25-3832-32f8-aec1-aae16c009777</vt:lpwstr>
  </property>
  <property fmtid="{D5CDD505-2E9C-101B-9397-08002B2CF9AE}" pid="24" name="Mendeley Citation Style_1">
    <vt:lpwstr>http://www.zotero.org/styles/ieee</vt:lpwstr>
  </property>
</Properties>
</file>