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rPr>
          <w:sz w:val="24"/>
          <w:szCs w:val="24"/>
        </w:rPr>
      </w:pPr>
      <w:bookmarkStart w:id="0" w:name="_GoBack"/>
      <w:bookmarkEnd w:id="0"/>
      <w:r>
        <w:rPr>
          <w:sz w:val="24"/>
          <w:szCs w:val="24"/>
        </w:rPr>
        <w:t>GLP‑1 Receptor Agonists and Their Effect on Gastric Emptying and Symptom Relief in Diabetic Gastroparesi</w:t>
      </w:r>
      <w:r>
        <w:rPr>
          <w:sz w:val="24"/>
          <w:szCs w:val="24"/>
          <w:lang w:val="en-US"/>
        </w:rPr>
        <w:t>s.</w:t>
      </w:r>
    </w:p>
    <w:p>
      <w:pPr>
        <w:pStyle w:val="style0"/>
        <w:rPr>
          <w:sz w:val="24"/>
          <w:szCs w:val="24"/>
        </w:rPr>
      </w:pPr>
      <w:r>
        <w:rPr>
          <w:sz w:val="24"/>
          <w:szCs w:val="24"/>
        </w:rPr>
        <w:t>Introduction</w:t>
      </w:r>
    </w:p>
    <w:p>
      <w:pPr>
        <w:pStyle w:val="style0"/>
        <w:rPr>
          <w:sz w:val="24"/>
          <w:szCs w:val="24"/>
        </w:rPr>
      </w:pPr>
      <w:r>
        <w:rPr>
          <w:sz w:val="24"/>
          <w:szCs w:val="24"/>
          <w:lang w:val="en-US"/>
        </w:rPr>
        <w:t>Diabetic gastroparesis leads to delayed gastric emptying and distressing symptoms. While several researchers have explored Glucagon-like peptide-1 receptor agonists (GLP‑1 RAs) are recommended for glycemic control and cardiometabolic benefits in type 2 diabetes mellitus (T2DM), there remains a paucity of studies address theiir impact on gastric motility. This study aims to  fill a notable gap in the current knowledge by focusing on influence of GLP‑1 RAs on gastric emptying parameters and symptom burden in this high-risk population.</w:t>
      </w:r>
    </w:p>
    <w:p>
      <w:pPr>
        <w:pStyle w:val="style0"/>
        <w:rPr>
          <w:sz w:val="24"/>
          <w:szCs w:val="24"/>
        </w:rPr>
      </w:pPr>
      <w:r>
        <w:rPr>
          <w:sz w:val="24"/>
          <w:szCs w:val="24"/>
        </w:rPr>
        <w:t>Methods</w:t>
      </w:r>
    </w:p>
    <w:p>
      <w:pPr>
        <w:pStyle w:val="style0"/>
        <w:rPr>
          <w:sz w:val="24"/>
          <w:szCs w:val="24"/>
        </w:rPr>
      </w:pPr>
      <w:r>
        <w:rPr>
          <w:sz w:val="24"/>
          <w:szCs w:val="24"/>
          <w:lang w:val="en-US"/>
        </w:rPr>
        <w:t>We conducted retrospective cohort study of 150 adults with type 2 diabetes mellitus (T2DM) and confirmed gastroparesis (gastric scintigraphy showing &gt;60% retention at 2 hours).Data were gathered  from electronic records across three tertiary care centers over a 12-month period. Patients were stratified into GLP‑1 receptor agonist (exenatide or liraglutide) users and non-users.We analyzed the effect of GLP‑1 receptor agonist therapy on gastric motility by evaluating changes in in gastric emptying (scintigraphy), symptom severity (GCSI) and metabolic parameters, including hemoglobin A1c (HbA1c) and body weight, over the course of treatment. Statistical Analyses included paired t-tests and multivariate regression adjusted for age, sex, diabetes duration, BMI, and glycemic control. Missing data were handled via multiple imputation, and a significance level of p&lt;0.05 was considered statistically significant.</w:t>
      </w:r>
    </w:p>
    <w:p>
      <w:pPr>
        <w:pStyle w:val="style0"/>
        <w:rPr>
          <w:sz w:val="24"/>
          <w:szCs w:val="24"/>
          <w:lang w:val="en-US"/>
        </w:rPr>
      </w:pPr>
      <w:r>
        <w:rPr>
          <w:sz w:val="24"/>
          <w:szCs w:val="24"/>
          <w:lang w:val="en-US"/>
        </w:rPr>
        <w:t>Result:</w:t>
      </w:r>
    </w:p>
    <w:p>
      <w:pPr>
        <w:pStyle w:val="style0"/>
        <w:rPr>
          <w:sz w:val="24"/>
          <w:szCs w:val="24"/>
        </w:rPr>
      </w:pPr>
      <w:r>
        <w:rPr>
          <w:sz w:val="24"/>
          <w:szCs w:val="24"/>
          <w:lang w:val="en-US"/>
        </w:rPr>
        <w:t>Among 150 patients, 80 received GLP‑1 receptor agonists while 70 did not. In the GLP‑1 RA group, mean gastric retention at 2 hours significantly decreased from 75% to 55% (p&lt;0.01), with a corresponding improvement in symptom burden reflected by a 1.5-point reduction in GCSI scores (p&lt;0.005). In contrast, the non-GLP‑1 group showed no significant change in either gastric retention or symptom scores. Additionally, GLP‑1 RA therapy was associated with a significant reduction in HbA1c levels (−0.8%, p&lt;0.001) and mean body weight loss of 4 kg (p&lt;0.01), after adjustment for baseline demographics and clinical covariates.</w:t>
      </w:r>
    </w:p>
    <w:p>
      <w:pPr>
        <w:pStyle w:val="style0"/>
        <w:rPr>
          <w:sz w:val="24"/>
          <w:szCs w:val="24"/>
        </w:rPr>
      </w:pPr>
      <w:r>
        <w:rPr>
          <w:sz w:val="24"/>
          <w:szCs w:val="24"/>
        </w:rPr>
        <w:t>Conclusion</w:t>
      </w:r>
    </w:p>
    <w:p>
      <w:pPr>
        <w:pStyle w:val="style0"/>
        <w:rPr>
          <w:sz w:val="24"/>
          <w:szCs w:val="24"/>
        </w:rPr>
      </w:pPr>
      <w:r>
        <w:rPr>
          <w:sz w:val="24"/>
          <w:szCs w:val="24"/>
          <w:lang w:val="en-US"/>
        </w:rPr>
        <w:t>GLP‑1 receptor agonist therapy demonstrated a favorable impact on gastric motility and symptom relief in patients with diabetic gastroparesis, alongside significant improvements in glycemic control and weight reduction. These findings underscore prior safety concerns and support the therapeutic potential of GLP‑1 RAs in managing complex metabolic and gastrointestinal manifestations of diabetes.</w:t>
      </w:r>
    </w:p>
    <w:p>
      <w:pPr>
        <w:pStyle w:val="style0"/>
        <w:rPr>
          <w:sz w:val="24"/>
          <w:szCs w:val="24"/>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alibri"/>
    <w:panose1 w:val="020f0502020002030204"/>
    <w:charset w:val="00"/>
    <w:family w:val="swiss"/>
    <w:pitch w:val="variable"/>
    <w:sig w:usb0="E4002EFF" w:usb1="C000247B" w:usb2="00000009" w:usb3="00000000" w:csb0="000001FF" w:csb1="00000000"/>
  </w:font>
  <w:font w:name="宋体">
    <w:altName w:val="SimSun"/>
    <w:panose1 w:val="02010600030001010101"/>
    <w:charset w:val="86"/>
    <w:family w:val="auto"/>
    <w:pitch w:val="variable"/>
    <w:sig w:usb0="00000003" w:usb1="288F0000" w:usb2="00000016" w:usb3="00000000" w:csb0="00040001" w:csb1="00000000"/>
  </w:font>
  <w:font w:name="Times New Roman">
    <w:altName w:val="Times New Roman"/>
    <w:panose1 w:val="02020603050004020304"/>
    <w:charset w:val="00"/>
    <w:family w:val="roman"/>
    <w:pitch w:val="variable"/>
    <w:sig w:usb0="E0002EFF" w:usb1="C000785B" w:usb2="00000009" w:usb3="00000000" w:csb0="000001FF" w:csb1="00000000"/>
  </w:font>
  <w:font w:name="等线 Light">
    <w:altName w:val="等线 Light"/>
    <w:panose1 w:val="02010600030001010101"/>
    <w:charset w:val="86"/>
    <w:family w:val="auto"/>
    <w:pitch w:val="variable"/>
    <w:sig w:usb0="A00002BF" w:usb1="38CF7CFA" w:usb2="00000016" w:usb3="00000000" w:csb0="0004000F" w:csb1="00000000"/>
  </w:font>
  <w:font w:name="等线">
    <w:altName w:val="DengXian"/>
    <w:panose1 w:val="020106000300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w="http://schemas.openxmlformats.org/wordprocessingml/2006/main" xmlns:r="http://schemas.openxmlformats.org/officeDocument/2006/relationships" xmlns:m="http://schemas.openxmlformats.org/officeDocument/2006/math">
  <w:zoom w:percent="100"/>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oNotTrackMoves/>
  <w:defaultTabStop w:val="720"/>
  <w:doNotShadeFormData/>
  <w:characterSpacingControl w:val="doNotCompress"/>
  <w:savePreviewPicture/>
  <w:doNotValidateAgainstSchema/>
  <w:doNotDemarcateInvalidXml/>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Times New Roman" w:eastAsia="宋体" w:hAnsi="Calibri"/>
        <w:lang w:val="en-US" w:bidi="ar-SA" w:eastAsia="zh-CN"/>
      </w:rPr>
    </w:rPrDefault>
    <w:pPrDefault>
      <w:pPr/>
    </w:pPrDefault>
  </w:docDefaults>
  <w:style w:type="paragraph" w:default="1" w:styleId="style0">
    <w:name w:val="Normal"/>
    <w:next w:val="style0"/>
    <w:qFormat/>
    <w:pPr>
      <w:spacing w:after="200" w:lineRule="auto" w:line="276"/>
    </w:pPr>
    <w:rPr>
      <w:sz w:val="22"/>
      <w:szCs w:val="22"/>
    </w:rPr>
  </w:style>
  <w:style w:type="character" w:default="1" w:styleId="style65">
    <w:name w:val="Default Paragraph Font"/>
    <w:next w:val="style65"/>
    <w:rPr>
      <w:rFonts w:ascii="Calibri" w:cs="Times New Roman" w:eastAsia="宋体" w:hAnsi="Calibri"/>
    </w:rPr>
  </w:style>
  <w:style w:type="table" w:default="1" w:styleId="style105">
    <w:name w:val="Normal Table"/>
    <w:next w:val="style105"/>
    <w:pPr/>
    <w:rPr/>
    <w:tblPr>
      <w:tblInd w:w="0" w:type="dxa"/>
      <w:tblCellMar>
        <w:top w:w="0" w:type="dxa"/>
        <w:left w:w="108" w:type="dxa"/>
        <w:bottom w:w="0" w:type="dxa"/>
        <w:right w:w="108" w:type="dxa"/>
      </w:tblCellMar>
    </w:tblPr>
    <w:tcPr>
      <w:tcBorders/>
    </w:tcPr>
  </w:style>
  <w:style w:type="numbering" w:default="1" w:styleId="style107">
    <w:name w:val="No List"/>
    <w:next w:val="style107"/>
    <w:p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Words>365</Words>
  <Characters>2256</Characters>
  <Application>WPS Office</Application>
  <Paragraphs>10</Paragraphs>
  <CharactersWithSpaces>2614</CharactersWithSpaces>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2025-08-07T13:46:50Z</dcterms:created>
  <dc:creator>2311DRN14I</dc:creator>
  <lastModifiedBy>2311DRN14I</lastModifiedBy>
  <dcterms:modified xsi:type="dcterms:W3CDTF">2025-08-07T14:24:22Z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119d696a3d3440ba9ef52e50d2e02b5d</vt:lpwstr>
  </property>
</Properties>
</file>