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70742" w14:textId="25526952" w:rsidR="00406E3B" w:rsidRDefault="00406E3B" w:rsidP="00406E3B">
      <w:pPr>
        <w:pStyle w:val="Heading1"/>
      </w:pPr>
      <w:bookmarkStart w:id="0" w:name="Xed2143b951f0258c7ce3a23285a1caeb1a794c7"/>
      <w:bookmarkStart w:id="1" w:name="content"/>
      <w:r>
        <w:t>Chapter 1: Method and Scope of the Investigation</w:t>
      </w:r>
    </w:p>
    <w:p w14:paraId="5BFE2719" w14:textId="77777777" w:rsidR="00406E3B" w:rsidRDefault="00406E3B" w:rsidP="00406E3B">
      <w:pPr>
        <w:pStyle w:val="FirstParagraph"/>
      </w:pPr>
      <w:r>
        <w:rPr>
          <w:b/>
          <w:bCs/>
        </w:rPr>
        <w:t>Introduction:</w:t>
      </w:r>
      <w:r>
        <w:t xml:space="preserve"> This opening chapter explains </w:t>
      </w:r>
      <w:r>
        <w:rPr>
          <w:i/>
          <w:iCs/>
        </w:rPr>
        <w:t>how</w:t>
      </w:r>
      <w:r>
        <w:t xml:space="preserve"> the investigation into the Open Society Foundations (OSF) was conducted and sets expectations for readers. We outline the definitions of key terms (such as influence, philanthropy, grants, lobbying, advocacy, and network effects) to clarify the scope of our inquiry. We then detail the standards of evidence we applied, distinguishing between primary and secondary sources and ranking their reliability in tiers. The chapter describes how we evaluate contested claims – whether something is an established fact, a contested allegation, or merely a rumor – and how we handle each category. Importantly, we introduce the </w:t>
      </w:r>
      <w:r>
        <w:rPr>
          <w:i/>
          <w:iCs/>
        </w:rPr>
        <w:t>Claims Ledger</w:t>
      </w:r>
      <w:r>
        <w:t>, a tracking system we developed to log every significant claim about OSF so that no allegation is analyzed twice and no evidence is overlooked. We explain how the Claims Ledger works, and why this approach prevents redundancy and confusion across the book’s chapters. Next, we describe the rigorous process for fact-checking quotes, data, and statistics, ensuring that every number and statement is verified. We also lay out the legal and ethical rules guiding our work: how we avoid defamation by careful wording and verification, how we respect privacy and fairness, and how we gave subjects a right of reply whenever possible. Finally, we explain why all source references are consolidated in the Appendix (our Source Registry) and provide a short guide for readers on how to critically evaluate any future claim about OSF they might encounter. The goal is to be transparent about our methodology so that you, the reader, can trust the process behind the findings and also apply similar scrutiny to information beyond this book.</w:t>
      </w:r>
    </w:p>
    <w:p w14:paraId="402EC5CB" w14:textId="77777777" w:rsidR="00406E3B" w:rsidRDefault="00406E3B" w:rsidP="00406E3B">
      <w:pPr>
        <w:pStyle w:val="Heading2"/>
      </w:pPr>
      <w:bookmarkStart w:id="2" w:name="scope-of-the-investigation"/>
      <w:r>
        <w:t>Scope of the Investigation</w:t>
      </w:r>
    </w:p>
    <w:p w14:paraId="5D66E32C" w14:textId="77777777" w:rsidR="00406E3B" w:rsidRDefault="00406E3B" w:rsidP="00406E3B">
      <w:pPr>
        <w:pStyle w:val="FirstParagraph"/>
      </w:pPr>
      <w:r>
        <w:t xml:space="preserve">This investigation scrutinizes the </w:t>
      </w:r>
      <w:r>
        <w:rPr>
          <w:b/>
          <w:bCs/>
        </w:rPr>
        <w:t>Open Society Foundations (OSF)</w:t>
      </w:r>
      <w:r>
        <w:t xml:space="preserve"> – a global philanthropic network founded by George Soros – and the extent of its influence on societies, politics, and institutions around the world. Our scope includes examining OSF’s </w:t>
      </w:r>
      <w:r>
        <w:rPr>
          <w:b/>
          <w:bCs/>
        </w:rPr>
        <w:t>philanthropy</w:t>
      </w:r>
      <w:r>
        <w:t xml:space="preserve"> (its grant-making and charitable programs), its involvement in </w:t>
      </w:r>
      <w:r>
        <w:rPr>
          <w:b/>
          <w:bCs/>
        </w:rPr>
        <w:t>advocacy and lobbying</w:t>
      </w:r>
      <w:r>
        <w:t xml:space="preserve"> efforts, and the </w:t>
      </w:r>
      <w:r>
        <w:rPr>
          <w:b/>
          <w:bCs/>
        </w:rPr>
        <w:t>network effects</w:t>
      </w:r>
      <w:r>
        <w:t xml:space="preserve"> of its vast web of partner organizations and grantees. We trace OSF’s activities from its origins in the late 20th century through to the present day, covering multiple countries and regions where it operates. The inquiry spans a broad range of domains where OSF is active: civil society development, media and journalism, education, justice reform, public health, human rights, and more. We also investigate prominent </w:t>
      </w:r>
      <w:r>
        <w:rPr>
          <w:b/>
          <w:bCs/>
        </w:rPr>
        <w:t>allegations and conspiracy theories</w:t>
      </w:r>
      <w:r>
        <w:t xml:space="preserve"> that have swirled around OSF – claims that it orchestrates political events or controls governments behind the scenes. By design, the scope is comprehensive but clearly bounded by relevance to OSF. We focus on </w:t>
      </w:r>
      <w:r>
        <w:rPr>
          <w:b/>
          <w:bCs/>
        </w:rPr>
        <w:t>documented actions and verifiable outcomes</w:t>
      </w:r>
      <w:r>
        <w:t xml:space="preserve"> of OSF’s funding and programs, as well as claims directly pertaining to OSF or its key figures. We do </w:t>
      </w:r>
      <w:r>
        <w:rPr>
          <w:b/>
          <w:bCs/>
        </w:rPr>
        <w:t>not</w:t>
      </w:r>
      <w:r>
        <w:t xml:space="preserve"> delve into purely personal matters of OSF staff or speculations unrelated to its public work, except where those become part of public allegations requiring fact-check. The aim is to illuminate how OSF exercises influence (both real and alleged), rather than to evaluate the merits of OSF’s mission or ideology itself. In defining this scope, we consulted previous research and </w:t>
      </w:r>
      <w:r>
        <w:lastRenderedPageBreak/>
        <w:t>public records to identify major points of contention and interest. By mapping out the domains of OSF’s influence, we ensured that each subsequent chapter tackles a distinct aspect of the story – for example, one chapter might cover OSF’s role in Eastern Europe’s democratic transitions, another its impact on U.S. education policy, and another the misinformation campaigns targeting OSF. This prevents overlap while giving readers a structured journey through the multi-faceted subject matter. Overall, Chapter 1 serves as a blueprint for how evidence was gathered in these areas and how claims were assessed, so that readers know the ground rules from the start.</w:t>
      </w:r>
    </w:p>
    <w:p w14:paraId="4F25F470" w14:textId="77777777" w:rsidR="00406E3B" w:rsidRDefault="00406E3B" w:rsidP="00406E3B">
      <w:pPr>
        <w:pStyle w:val="BodyText"/>
      </w:pPr>
      <w:r>
        <w:t xml:space="preserve">It is important to state up front that </w:t>
      </w:r>
      <w:r>
        <w:rPr>
          <w:b/>
          <w:bCs/>
        </w:rPr>
        <w:t>no entity affiliated with OSF had any editorial control or prior review of this investigation.</w:t>
      </w:r>
      <w:r>
        <w:t xml:space="preserve"> Our research was conducted independently. The author and research team approached OSF with a critical but fair mindset, recognizing that OSF is both a major benefactor to many causes and a lightning rod for controversy. Wherever possible, we reached out to OSF representatives and critics alike for comment (the </w:t>
      </w:r>
      <w:r>
        <w:rPr>
          <w:i/>
          <w:iCs/>
        </w:rPr>
        <w:t>right of reply</w:t>
      </w:r>
      <w:r>
        <w:t xml:space="preserve"> principle, detailed later in this chapter). Some offered insights or clarifications, which we have included; others declined to comment, which we duly note in context. This process is part of our ethical framework to ensure balance and fairness. In terms of timeframe, while historical background on OSF is given for context, the investigation emphasizes roughly the past two decades (2000s and 2010s into the early 2020s), when OSF’s activities and the surrounding discourse have been most intense. This window allows us to capture both long-term patterns and recent developments, including the surge of online misinformation about OSF in recent years. By establishing a clear scope, we aim to manage reader expectations: </w:t>
      </w:r>
      <w:r>
        <w:rPr>
          <w:b/>
          <w:bCs/>
        </w:rPr>
        <w:t>this is not a hagiography or a hit piece</w:t>
      </w:r>
      <w:r>
        <w:t>, but a meticulous attempt to document reality – good, bad, or ambiguous – about one of the world’s most influential philanthropic networks. With the scope defined, we now turn to the fundamental concepts and terms that will appear throughout the book.</w:t>
      </w:r>
    </w:p>
    <w:p w14:paraId="7E1F4446" w14:textId="77777777" w:rsidR="00406E3B" w:rsidRDefault="00406E3B" w:rsidP="00406E3B">
      <w:pPr>
        <w:pStyle w:val="Heading2"/>
      </w:pPr>
      <w:bookmarkStart w:id="3" w:name="definitions-of-key-terms"/>
      <w:bookmarkEnd w:id="2"/>
      <w:r>
        <w:t>Definitions of Key Terms</w:t>
      </w:r>
    </w:p>
    <w:p w14:paraId="108B3E99" w14:textId="77777777" w:rsidR="00406E3B" w:rsidRDefault="00406E3B" w:rsidP="00406E3B">
      <w:pPr>
        <w:pStyle w:val="FirstParagraph"/>
      </w:pPr>
      <w:r>
        <w:t>Before diving into evidence and findings, it’s crucial to define the key terms that will recur in our investigation. Misunderstanding these terms could lead to confusion, so we provide clear definitions as they are used in this book’s context. For quick reference, we list the major concepts below:</w:t>
      </w:r>
    </w:p>
    <w:p w14:paraId="48ED2F26" w14:textId="77777777" w:rsidR="00406E3B" w:rsidRDefault="00406E3B" w:rsidP="00406E3B">
      <w:pPr>
        <w:numPr>
          <w:ilvl w:val="0"/>
          <w:numId w:val="1"/>
        </w:numPr>
      </w:pPr>
      <w:r>
        <w:rPr>
          <w:b/>
          <w:bCs/>
        </w:rPr>
        <w:t>Influence:</w:t>
      </w:r>
      <w:r>
        <w:t xml:space="preserve"> In this book, </w:t>
      </w:r>
      <w:r>
        <w:rPr>
          <w:i/>
          <w:iCs/>
        </w:rPr>
        <w:t>influence</w:t>
      </w:r>
      <w:r>
        <w:t xml:space="preserve"> refers to the capacity to have an effect on decisions, actions, or opinions of individuals or institutions, often in indirect or intangible ways. Influence can be exercised through </w:t>
      </w:r>
      <w:r>
        <w:rPr>
          <w:b/>
          <w:bCs/>
        </w:rPr>
        <w:t>sway</w:t>
      </w:r>
      <w:r>
        <w:t xml:space="preserve"> rather than open command – for example, shaping the public agenda via funding certain issues, or encouraging policy change by supporting research and advocacy. We are interested in influence both </w:t>
      </w:r>
      <w:r>
        <w:rPr>
          <w:b/>
          <w:bCs/>
        </w:rPr>
        <w:t>formal</w:t>
      </w:r>
      <w:r>
        <w:t xml:space="preserve"> (e.g. direct lobbying of lawmakers) and </w:t>
      </w:r>
      <w:r>
        <w:rPr>
          <w:b/>
          <w:bCs/>
        </w:rPr>
        <w:t>informal</w:t>
      </w:r>
      <w:r>
        <w:t xml:space="preserve"> (e.g. shaping discourse or norms through thought leadership and grants). Influence is not inherently good or bad; it is simply the ability to cause a change. A core question we ask is how OSF’s spending and networks translate into influence on the ground. Do OSF-funded programs measurably sway policies or public opinion? Or is their </w:t>
      </w:r>
      <w:r>
        <w:lastRenderedPageBreak/>
        <w:t>influence overstated by critics? Answering these requires evidence, which we gather and assess with defined standards.</w:t>
      </w:r>
    </w:p>
    <w:p w14:paraId="4E36AE27" w14:textId="77777777" w:rsidR="00406E3B" w:rsidRDefault="00406E3B" w:rsidP="00406E3B">
      <w:pPr>
        <w:numPr>
          <w:ilvl w:val="0"/>
          <w:numId w:val="1"/>
        </w:numPr>
      </w:pPr>
      <w:r>
        <w:rPr>
          <w:b/>
          <w:bCs/>
        </w:rPr>
        <w:t>Philanthropy:</w:t>
      </w:r>
      <w:r>
        <w:t xml:space="preserve"> </w:t>
      </w:r>
      <w:r>
        <w:rPr>
          <w:i/>
          <w:iCs/>
        </w:rPr>
        <w:t>Philanthropy</w:t>
      </w:r>
      <w:r>
        <w:t xml:space="preserve"> here means organized efforts to promote human welfare or social good, typically through the donation of money, resources, or time to causes. Philanthropy goes beyond spontaneous charity; it implies a strategic, often long-term commitment to support particular goals (such as improving education, defending human rights, reducing poverty, etc.). OSF is fundamentally a philanthropic enterprise – it gives grants and builds institutions in service of an vision of an “open society.” We examine </w:t>
      </w:r>
      <w:r>
        <w:rPr>
          <w:b/>
          <w:bCs/>
        </w:rPr>
        <w:t>philanthropic initiatives</w:t>
      </w:r>
      <w:r>
        <w:t xml:space="preserve"> of OSF (like scholarships, NGO funding, legal aid programs) and evaluate how they are structured to effect change. The term also encompasses </w:t>
      </w:r>
      <w:r>
        <w:rPr>
          <w:b/>
          <w:bCs/>
        </w:rPr>
        <w:t>private foundations</w:t>
      </w:r>
      <w:r>
        <w:t xml:space="preserve"> like OSF using private wealth for public benefit. Throughout the book, we use “philanthropy” in a neutral sense: the practice of private giving for public purposes. We remain aware that philanthropy can have profound positive impacts, but can also be seen as a means to exercise power or agenda-setting by wealthy actors. Thus, understanding OSF’s philanthropy is key to understanding its influence.</w:t>
      </w:r>
    </w:p>
    <w:p w14:paraId="22C3F6D8" w14:textId="77777777" w:rsidR="00406E3B" w:rsidRDefault="00406E3B" w:rsidP="00406E3B">
      <w:pPr>
        <w:numPr>
          <w:ilvl w:val="0"/>
          <w:numId w:val="1"/>
        </w:numPr>
      </w:pPr>
      <w:r>
        <w:rPr>
          <w:b/>
          <w:bCs/>
        </w:rPr>
        <w:t>Grants:</w:t>
      </w:r>
      <w:r>
        <w:t xml:space="preserve"> A </w:t>
      </w:r>
      <w:r>
        <w:rPr>
          <w:i/>
          <w:iCs/>
        </w:rPr>
        <w:t>grant</w:t>
      </w:r>
      <w:r>
        <w:t xml:space="preserve"> is an award of funds (or sometimes resources) given by one party, often a foundation or government, to an individual or organization to support a specific project or purpose. Grants are the primary tool of OSF’s philanthropy. OSF disburses grants to a wide variety of organizations worldwide – from local community groups to international NGOs – funding work that aligns with its mission (e.g. democratic governance, transparency, education, public health). In our investigation, each time we mention OSF “funding” something, it usually means OSF provided a grant. We track where major grants went, the </w:t>
      </w:r>
      <w:r>
        <w:rPr>
          <w:b/>
          <w:bCs/>
        </w:rPr>
        <w:t>conditions</w:t>
      </w:r>
      <w:r>
        <w:t xml:space="preserve"> attached (if any), and what outcomes followed. Grants are typically documented in OSF’s public reports or tax filings, making them traceable, primary evidence of OSF’s activities. Understanding grants also helps differentiate between </w:t>
      </w:r>
      <w:r>
        <w:rPr>
          <w:b/>
          <w:bCs/>
        </w:rPr>
        <w:t>financial influence</w:t>
      </w:r>
      <w:r>
        <w:t xml:space="preserve"> (literally funding an initiative) versus other forms of influence like personal persuasion or network leverage. We will often follow the money trail of grants to see what influence, if any, they bought.</w:t>
      </w:r>
    </w:p>
    <w:p w14:paraId="52E18CCB" w14:textId="77777777" w:rsidR="00406E3B" w:rsidRDefault="00406E3B" w:rsidP="00406E3B">
      <w:pPr>
        <w:numPr>
          <w:ilvl w:val="0"/>
          <w:numId w:val="1"/>
        </w:numPr>
      </w:pPr>
      <w:r>
        <w:rPr>
          <w:b/>
          <w:bCs/>
        </w:rPr>
        <w:t>Lobbying:</w:t>
      </w:r>
      <w:r>
        <w:t xml:space="preserve"> </w:t>
      </w:r>
      <w:r>
        <w:rPr>
          <w:i/>
          <w:iCs/>
        </w:rPr>
        <w:t>Lobbying</w:t>
      </w:r>
      <w:r>
        <w:t xml:space="preserve"> is any activity that involves attempting to directly influence legislation or government policy through direct interaction with policymakers (lawmakers, regulators, their staff) or urging the public to contact those officials in support of or opposition to specific legislation. In many jurisdictions, lobbying has a legal definition (for example, the U.S. Internal Revenue Service defines lobbying as expressing a view on specific legislation to those who can act on it). Lobbying is a narrower concept than general advocacy; it always has a </w:t>
      </w:r>
      <w:r>
        <w:rPr>
          <w:b/>
          <w:bCs/>
        </w:rPr>
        <w:t>specific law or policy outcome</w:t>
      </w:r>
      <w:r>
        <w:t xml:space="preserve"> in mind. Within our scope, we look at whether OSF or its grantees engage in lobbying – for instance, funding groups that push for particular laws (like anti-corruption measures or immigration reforms) – and if so, how that is conducted within legal constraints (since, for example, U.S. private foundations face restrictions on lobbying). We clarify when we use the term that lobbying refers to </w:t>
      </w:r>
      <w:r>
        <w:lastRenderedPageBreak/>
        <w:t>these concrete attempts to influence government decision-making on pending bills or regulations. If OSF representatives meet with a senator’s office to argue for a bill, that’s lobbying. We differentiate this from broader influence that doesn’t target specific legislation (which we call advocacy, next).</w:t>
      </w:r>
    </w:p>
    <w:p w14:paraId="31E316CC" w14:textId="77777777" w:rsidR="00406E3B" w:rsidRDefault="00406E3B" w:rsidP="00406E3B">
      <w:pPr>
        <w:numPr>
          <w:ilvl w:val="0"/>
          <w:numId w:val="1"/>
        </w:numPr>
      </w:pPr>
      <w:r>
        <w:rPr>
          <w:b/>
          <w:bCs/>
        </w:rPr>
        <w:t>Advocacy:</w:t>
      </w:r>
      <w:r>
        <w:t xml:space="preserve"> </w:t>
      </w:r>
      <w:r>
        <w:rPr>
          <w:i/>
          <w:iCs/>
        </w:rPr>
        <w:t>Advocacy</w:t>
      </w:r>
      <w:r>
        <w:t xml:space="preserve"> in our usage is a broad term for activities aimed at influencing public policy or societal attitudes in a general sense, without necessarily targeting a specific piece of legislation. Advocacy can include public education campaigns, publishing research or opinion pieces, convening conferences, mobilizing communities, and other actions that promote a point of view or cause. For example, OSF might fund an advocacy campaign for criminal justice reform – producing reports and holding events to highlight an issue – even if they are not lobbying for a particular bill. The Council on Foundations describes advocacy as an “umbrella term” encompassing all engagement with policymakers or the public that isn’t direct lobbying on a bill. In this book, when we speak of OSF’s advocacy efforts, we mean its support for causes and movements: raising awareness, shaping debate, empowering certain voices. Advocacy is perfectly legal for foundations, as long as it doesn’t cross into prohibited lobbying (private foundations like OSF must walk a fine line to stay within regulations). We will see that OSF’s influence often operates through advocacy networks – for instance, funding civil society groups that advocate for human rights or government accountability in their countries. By distinguishing advocacy from lobbying, we can better assess OSF’s strategies: are they mostly trying to inform and persuade society (advocacy), or also directly pressuring officials to change laws (lobbying)? Often it’s a mix, and we’ll note that nuance.</w:t>
      </w:r>
    </w:p>
    <w:p w14:paraId="6FEE5BC9" w14:textId="77777777" w:rsidR="00406E3B" w:rsidRDefault="00406E3B" w:rsidP="00406E3B">
      <w:pPr>
        <w:numPr>
          <w:ilvl w:val="0"/>
          <w:numId w:val="1"/>
        </w:numPr>
      </w:pPr>
      <w:r>
        <w:rPr>
          <w:b/>
          <w:bCs/>
        </w:rPr>
        <w:t>Network effects:</w:t>
      </w:r>
      <w:r>
        <w:t xml:space="preserve"> In the context of this investigation, </w:t>
      </w:r>
      <w:r>
        <w:rPr>
          <w:i/>
          <w:iCs/>
        </w:rPr>
        <w:t>network effects</w:t>
      </w:r>
      <w:r>
        <w:t xml:space="preserve"> refers to the phenomenon where the influence of a set of connected organizations or people is amplified by their interconnections. OSF doesn’t operate in isolation; it has built a </w:t>
      </w:r>
      <w:r>
        <w:rPr>
          <w:b/>
          <w:bCs/>
        </w:rPr>
        <w:t>network of grantees, partners, and alumni</w:t>
      </w:r>
      <w:r>
        <w:t xml:space="preserve"> across the globe. A single grant to one NGO might have limited reach, but OSF’s strategy often involves funding numerous groups in a sector, convening them in coalitions, and linking local activists with international allies. This creates a network effect – each additional connected effort can increase the overall impact exponentially, as information is shared and actions are coordinated. For example, an OSF-supported media watchdog group in one country might share tactics or data with a similar group in another country through OSF-facilitated convenings, boosting each other’s effectiveness. Network effects also pertain to OSF’s association with other donors or institutions: when multiple foundations coordinate (formally or informally) in funding a cause, their combined influence can be more than each individually. In examining OSF, we pay attention to these network dynamics. Does OSF create feedback loops of influence by repeatedly funding the same circle of organizations, thereby reinforcing certain agendas? Or, on the contrary, do OSF’s networks enable grassroots voices to be heard internationally, thus spreading influence from bottom-up? The term “network </w:t>
      </w:r>
      <w:r>
        <w:lastRenderedPageBreak/>
        <w:t>effects” here isn’t used in the technical economic sense but metaphorically, to capture how influence is magnified through connected relationships. It will help explain why OSF’s role in various movements might be larger than the dollar amount of its grants alone would suggest – because those grants often seed networks that persist and grow.</w:t>
      </w:r>
    </w:p>
    <w:p w14:paraId="26441965" w14:textId="77777777" w:rsidR="00406E3B" w:rsidRDefault="00406E3B" w:rsidP="00406E3B">
      <w:pPr>
        <w:pStyle w:val="FirstParagraph"/>
      </w:pPr>
      <w:r>
        <w:t>These definitions will be applied consistently throughout the book. Whenever we describe OSF’s “influence,” “advocacy,” or “network,” it is with the above meanings in mind. Laying out these terms from the start avoids ambiguity. For instance, if we later say “OSF wielded considerable influence in Country X’s legal reforms,” the reader should understand that could mean funding many NGOs that advocated for changes, rather than, say, OSF writing the law itself or bribing officials (neither of which occurred, based on evidence). Clarity in terminology also ensures fairness: terms like “lobbying” carry legal and ethical weight, so we use them precisely and only when justified. By defining the scope and these key concepts now, we equip readers with the context needed to critically engage with the chapters that follow.</w:t>
      </w:r>
    </w:p>
    <w:p w14:paraId="1D8EF669" w14:textId="77777777" w:rsidR="00406E3B" w:rsidRDefault="00406E3B" w:rsidP="00406E3B">
      <w:pPr>
        <w:pStyle w:val="Heading2"/>
      </w:pPr>
      <w:bookmarkStart w:id="4" w:name="evidence-standards-and-reliability"/>
      <w:bookmarkEnd w:id="3"/>
      <w:r>
        <w:t>Evidence Standards and Reliability</w:t>
      </w:r>
    </w:p>
    <w:p w14:paraId="108FCEE6" w14:textId="77777777" w:rsidR="00406E3B" w:rsidRDefault="00406E3B" w:rsidP="00406E3B">
      <w:pPr>
        <w:pStyle w:val="FirstParagraph"/>
      </w:pPr>
      <w:r>
        <w:t xml:space="preserve">How do we know what we know? This section explains the standards of evidence we used and how we judged the reliability of different sources. Investigative work stands or falls on the quality of evidence, so we approached every piece of information with a critical eye. From </w:t>
      </w:r>
      <w:r>
        <w:rPr>
          <w:b/>
          <w:bCs/>
        </w:rPr>
        <w:t>primary documents</w:t>
      </w:r>
      <w:r>
        <w:t xml:space="preserve"> to second-hand reports, not all evidence is created equal. To make this clear, we established a </w:t>
      </w:r>
      <w:r>
        <w:rPr>
          <w:b/>
          <w:bCs/>
        </w:rPr>
        <w:t>hierarchy of evidence reliability</w:t>
      </w:r>
      <w:r>
        <w:t xml:space="preserve">, which we illustrate as a pyramid (Figure 1.1). At the base of the pyramid are plentiful but less reliable sources (like rumors or speculative claims), and at the apex are the most reliable but rarer sources (like official records or verifiable first-hand testimony). Our investigation prioritized evidence at the top tiers, using lower-tier claims only with caution and corroboration. In practical terms, this means whenever possible we relied on </w:t>
      </w:r>
      <w:r>
        <w:rPr>
          <w:b/>
          <w:bCs/>
        </w:rPr>
        <w:t>primary sources</w:t>
      </w:r>
      <w:r>
        <w:t xml:space="preserve"> – original documents, direct data, on-the-record interviews – and strong </w:t>
      </w:r>
      <w:r>
        <w:rPr>
          <w:b/>
          <w:bCs/>
        </w:rPr>
        <w:t>secondary sources</w:t>
      </w:r>
      <w:r>
        <w:t xml:space="preserve"> like reputable journalism or academic research that themselves are based on primary material. We treated anonymous tips, hearsay, or biased sources with healthy skepticism, unless we could independently verify their claims.</w:t>
      </w:r>
    </w:p>
    <w:p w14:paraId="7800FC3B" w14:textId="77777777" w:rsidR="00406E3B" w:rsidRDefault="00406E3B" w:rsidP="00406E3B">
      <w:pPr>
        <w:pStyle w:val="BodyText"/>
      </w:pPr>
      <w:r>
        <w:rPr>
          <w:b/>
          <w:bCs/>
        </w:rPr>
        <w:t>Figure 1.1: Evidence reliability tiers as a pyramid.</w:t>
      </w:r>
      <w:r>
        <w:t xml:space="preserve"> The pyramid illustrates our hierarchy of evidence. At the broad base are </w:t>
      </w:r>
      <w:r>
        <w:rPr>
          <w:b/>
          <w:bCs/>
        </w:rPr>
        <w:t>unverified rumors and speculative claims (lowest reliability)</w:t>
      </w:r>
      <w:r>
        <w:t xml:space="preserve"> – these are abundant in number but considered the weakest form of evidence. Above that are </w:t>
      </w:r>
      <w:r>
        <w:rPr>
          <w:b/>
          <w:bCs/>
        </w:rPr>
        <w:t>single-source allegations</w:t>
      </w:r>
      <w:r>
        <w:t xml:space="preserve"> that lack corroboration – slightly more credible than pure rumor if the source has some knowledge, but still unconfirmed. The middle tier represents </w:t>
      </w:r>
      <w:r>
        <w:rPr>
          <w:b/>
          <w:bCs/>
        </w:rPr>
        <w:t>partially verified reports</w:t>
      </w:r>
      <w:r>
        <w:t xml:space="preserve">, where some credible evidence exists (such as a document or eyewitness) but not enough to consider the claim fully proven. Near the top are </w:t>
      </w:r>
      <w:r>
        <w:rPr>
          <w:b/>
          <w:bCs/>
        </w:rPr>
        <w:t>investigative findings backed by multiple independent sources</w:t>
      </w:r>
      <w:r>
        <w:t xml:space="preserve">, including quality journalism or research reports that have corroborated facts from several angles. Finally, at the narrow apex sits </w:t>
      </w:r>
      <w:r>
        <w:rPr>
          <w:b/>
          <w:bCs/>
        </w:rPr>
        <w:t>official records and direct evidence (highest reliability)</w:t>
      </w:r>
      <w:r>
        <w:t xml:space="preserve"> – these could be court documents, government filings, financial statements, authentic </w:t>
      </w:r>
      <w:r>
        <w:lastRenderedPageBreak/>
        <w:t>correspondence, or first-hand witness accounts on record. The pyramid shape emphasizes that as reliability increases, the volume of such evidence decreases; we found countless rumors, fewer solid documents. Our methodology consistently favored climbing as high up this pyramid as possible for each key point, meaning we strove to base assertions on the strongest available proof.</w:t>
      </w:r>
    </w:p>
    <w:p w14:paraId="58D969DB" w14:textId="77777777" w:rsidR="00406E3B" w:rsidRDefault="00406E3B" w:rsidP="00406E3B">
      <w:pPr>
        <w:pStyle w:val="BodyText"/>
      </w:pPr>
      <w:r>
        <w:t xml:space="preserve">In practice, applying these evidence tiers worked as follows. When investigating a particular claim about OSF (for example, an allegation that “OSF funded protests in Country Y”), we first searched for any </w:t>
      </w:r>
      <w:r>
        <w:rPr>
          <w:b/>
          <w:bCs/>
        </w:rPr>
        <w:t>primary evidence</w:t>
      </w:r>
      <w:r>
        <w:t xml:space="preserve">. Primary evidence might include OSF’s own grant database or tax filings indicating a grant to a protest-related group in Country Y, or an internal memo or email, or an official record (e.g. a registration of an OSF affiliate in that country) that confirms involvement. If such direct documentation existed, that would sit at the apex of reliability – a hard fact. If we found none, we looked at credible </w:t>
      </w:r>
      <w:r>
        <w:rPr>
          <w:b/>
          <w:bCs/>
        </w:rPr>
        <w:t>secondary accounts</w:t>
      </w:r>
      <w:r>
        <w:t xml:space="preserve">: perhaps a respected news outlet had reported on the protests and traced funding to OSF via multiple sources; if the journalists cited documents or multiple witnesses, we consider that near the top of the pyramid (investigative findings with multiple sources). We would use that, while still noting it’s one step removed from doing the digging ourselves. If the only mentions were, say, a single activist claiming OSF was behind the protests, and no one else substantiated it, that’s a </w:t>
      </w:r>
      <w:r>
        <w:rPr>
          <w:b/>
          <w:bCs/>
        </w:rPr>
        <w:t>single-source allegation</w:t>
      </w:r>
      <w:r>
        <w:t xml:space="preserve"> – a lower tier. In such cases, we would not present it as established truth. Instead, we might mention it as an allegation and then either seek more evidence to elevate its reliability or label it as unverified. At the very bottom, if the claim only appeared in anonymous social media posts or conspiracy websites with no evidence, we treated it as a </w:t>
      </w:r>
      <w:r>
        <w:rPr>
          <w:b/>
          <w:bCs/>
        </w:rPr>
        <w:t>rumor</w:t>
      </w:r>
      <w:r>
        <w:t xml:space="preserve"> – not usable as a factual basis without further support. We might still address it (if it’s widespread, to debunk it), but always explicitly as a rumor.</w:t>
      </w:r>
    </w:p>
    <w:p w14:paraId="27BECB4E" w14:textId="77777777" w:rsidR="00406E3B" w:rsidRDefault="00406E3B" w:rsidP="00406E3B">
      <w:pPr>
        <w:pStyle w:val="BodyText"/>
      </w:pPr>
      <w:r>
        <w:t xml:space="preserve">To ensure consistency, we created internal guidelines for evaluating source reliability. </w:t>
      </w:r>
      <w:r>
        <w:rPr>
          <w:b/>
          <w:bCs/>
        </w:rPr>
        <w:t>Primary sources</w:t>
      </w:r>
      <w:r>
        <w:t xml:space="preserve"> (Tier 1) were given the greatest weight. These included: official documents (e.g., filings to the U.S. IRS like Form 990s showing OSF’s grants), legal documents (court judgments, indictments, legislative records), audited financial statements, original contracts or MOUs, speeches or interviews by principals on the record, and raw datasets (such as donation records, government budgets, or election finance records) when directly relevant. If we cite, for instance, that “OSF spent $X million on education in 2018,” that figure comes from OSF’s official financial reports or tax filings – a primary source that we trust but still cross-check where possible (sometimes comparing multiple years or sources to catch any anomalies). </w:t>
      </w:r>
      <w:r>
        <w:rPr>
          <w:b/>
          <w:bCs/>
        </w:rPr>
        <w:t>Secondary sources</w:t>
      </w:r>
      <w:r>
        <w:t xml:space="preserve"> (Tier 2 and 3 in our pyramid, depending on their quality) included investigative journalism pieces, books, research papers, or credible NGO reports. Not all secondary sources are equal: a peer-reviewed academic study analyzing OSF’s impact with rigorous methodology is very high-quality secondary evidence; a random blog post with an opinion about OSF is much lower. So we further tiered secondary sources by their reputability and methods. We tended to trust outlets known for fact-checking and editorial standards (established newspapers, well-regarded magazines, etc.) more than partisan or obscure outlets. Even then, we tried to trace their claims back to primary evidence. If a newspaper article said “according to </w:t>
      </w:r>
      <w:r>
        <w:lastRenderedPageBreak/>
        <w:t>government records, OSF funded Group Z,” we would attempt to find those records ourselves to double-confirm.</w:t>
      </w:r>
    </w:p>
    <w:p w14:paraId="5D8A3385" w14:textId="77777777" w:rsidR="00406E3B" w:rsidRDefault="00406E3B" w:rsidP="00406E3B">
      <w:pPr>
        <w:pStyle w:val="BodyText"/>
      </w:pPr>
      <w:r>
        <w:t xml:space="preserve">We also considered </w:t>
      </w:r>
      <w:r>
        <w:rPr>
          <w:b/>
          <w:bCs/>
        </w:rPr>
        <w:t>testimonial evidence</w:t>
      </w:r>
      <w:r>
        <w:t xml:space="preserve"> – statements from witnesses or experts – within this hierarchy. An </w:t>
      </w:r>
      <w:r>
        <w:rPr>
          <w:b/>
          <w:bCs/>
        </w:rPr>
        <w:t>on-the-record interview</w:t>
      </w:r>
      <w:r>
        <w:t xml:space="preserve"> with an OSF official or grantee can be primary evidence of that person’s account. However, personal testimony can be subjective or incomplete, so we often sought documentation to support or contextualize it. Anonymous sources (someone speaking without attribution) were used very sparingly and only if we had reason to believe they had direct knowledge. Even then, we aimed to corroborate anything an anonymous source told us with independent evidence before including it. Investigative standards require skepticism: as the LAist’s editorial guidelines succinctly put it, </w:t>
      </w:r>
      <w:r>
        <w:rPr>
          <w:i/>
          <w:iCs/>
        </w:rPr>
        <w:t>“Verification needs to be a discipline… Casually flicking in rumor, speculation, or supposition because it might be right is irresponsible.”</w:t>
      </w:r>
      <w:r>
        <w:t xml:space="preserve"> We took that principle to heart. If something could not be verified after diligent effort, we either omitted it or clearly flagged it as unverified. No tantalizing rumor was worth risking the accuracy of our reporting.</w:t>
      </w:r>
    </w:p>
    <w:p w14:paraId="19E75A66" w14:textId="77777777" w:rsidR="00406E3B" w:rsidRDefault="00406E3B" w:rsidP="00406E3B">
      <w:pPr>
        <w:pStyle w:val="BodyText"/>
      </w:pPr>
      <w:r>
        <w:t xml:space="preserve">A concrete example of our evidence standards in action: There has been a long-standing </w:t>
      </w:r>
      <w:r>
        <w:rPr>
          <w:b/>
          <w:bCs/>
        </w:rPr>
        <w:t>conspiracy theory</w:t>
      </w:r>
      <w:r>
        <w:t xml:space="preserve"> that “George Soros (OSF’s founder) personally pays protesters” in various political movements. This claim is ubiquitous on certain forums but typically offered without proof – a textbook rumor. Our approach was to look for any actual evidence of such payments. We examined OSF grant lists to see if money was given to protest organizers (none explicit; grants usually go to established NGOs, not ad-hoc protests). We searched for any </w:t>
      </w:r>
      <w:r>
        <w:rPr>
          <w:b/>
          <w:bCs/>
        </w:rPr>
        <w:t>leaked documents or testimonies</w:t>
      </w:r>
      <w:r>
        <w:t xml:space="preserve"> in which someone said “OSF paid me to protest.” None credible turned up; only hearsay. Meanwhile, we found </w:t>
      </w:r>
      <w:r>
        <w:rPr>
          <w:b/>
          <w:bCs/>
        </w:rPr>
        <w:t>established facts</w:t>
      </w:r>
      <w:r>
        <w:t xml:space="preserve"> that contradict the rumor (for example, many protests attributed to Soros were organic or had other funding sources). Thus, we classify “Soros pays protesters” as an unverified allegation lacking evidence – essentially a false rumor – and treat it as such in the text (when it comes up, we debunk it with the factual evidence). This classification wasn’t done arbitrarily; it followed our evidence hierarchy stringently: since the claim never rose above the bottom tier in reliability, it never gets presented as anything more than baseless speculation.</w:t>
      </w:r>
    </w:p>
    <w:p w14:paraId="5B83AFCE" w14:textId="77777777" w:rsidR="00406E3B" w:rsidRDefault="00406E3B" w:rsidP="00406E3B">
      <w:pPr>
        <w:pStyle w:val="BodyText"/>
      </w:pPr>
      <w:r>
        <w:t xml:space="preserve">Additionally, we carefully </w:t>
      </w:r>
      <w:r>
        <w:rPr>
          <w:b/>
          <w:bCs/>
        </w:rPr>
        <w:t>distinguish between correlation and causation</w:t>
      </w:r>
      <w:r>
        <w:t xml:space="preserve"> in evaluating influence. If we find, say, that countries where OSF spent more on civil society saw democracy scores improve over time, that’s a correlation supported by data (potentially a secondary analysis). But we would not leap to “OSF caused the improvement” unless we find direct evidence of causation (like officials crediting an OSF program for a change, or a controlled study showing the effect). Part of evidence reliability is understanding the type of claim being made – factual, interpretive, causal – and making sure the evidence is suitable for that claim. Hard numbers can establish facts (OSF gave $Y to NGO Z in 2017), but interpreting what that means requires context and often additional evidence (did NGO Z achieve its goals? Was OSF one of many funders or the sole supporter? etc.). We navigate these questions by layering evidence: first establish the factual basis (with high-tier sources), then use credible analysis (mid-tier) to understand implications, and always remain open about uncertainty if it exists.</w:t>
      </w:r>
    </w:p>
    <w:p w14:paraId="65FC46E1" w14:textId="77777777" w:rsidR="00406E3B" w:rsidRDefault="00406E3B" w:rsidP="00406E3B">
      <w:pPr>
        <w:pStyle w:val="BodyText"/>
      </w:pPr>
      <w:r>
        <w:lastRenderedPageBreak/>
        <w:t xml:space="preserve">Throughout our research, we maintained a </w:t>
      </w:r>
      <w:r>
        <w:rPr>
          <w:b/>
          <w:bCs/>
        </w:rPr>
        <w:t>transparent log of sources and their reliability</w:t>
      </w:r>
      <w:r>
        <w:t>. Every source we used was recorded with notes on its origin (primary vs secondary, etc.) and any known biases. This helped us in writing to attribute appropriately (for instance, “according to a 2022 study by X University” signals a different weight than “according to an online rumor”). It also forms the basis of the Appendix where all sources are listed in one place. The result for you as a reader is that any factual statement in this book has a traceable provenance. If something seems surprising or questionable, you can look up the source in the Appendix via the {S:...} code and judge the reliability yourself. Our aim is that by adhering to strict evidence standards, we provide you with information that is not only compelling but also worthy of your trust. In the next section, we delve into how we handle those many cases where the evidence is contested or claims conflict – a common occurrence in a politically charged topic like OSF’s influence.</w:t>
      </w:r>
    </w:p>
    <w:p w14:paraId="1A3805CD" w14:textId="77777777" w:rsidR="00406E3B" w:rsidRDefault="00406E3B" w:rsidP="00406E3B">
      <w:pPr>
        <w:pStyle w:val="Heading2"/>
      </w:pPr>
      <w:bookmarkStart w:id="5" w:name="Xc01ca3f3bda6710e173119dcc38abddb28f3b0b"/>
      <w:bookmarkEnd w:id="4"/>
      <w:r>
        <w:t>Handling Contested Claims and Allegations</w:t>
      </w:r>
    </w:p>
    <w:p w14:paraId="724337B3" w14:textId="77777777" w:rsidR="00406E3B" w:rsidRDefault="00406E3B" w:rsidP="00406E3B">
      <w:pPr>
        <w:pStyle w:val="FirstParagraph"/>
      </w:pPr>
      <w:r>
        <w:t xml:space="preserve">In the realm of OSF and George Soros, information is often polarized. Some claims are </w:t>
      </w:r>
      <w:r>
        <w:rPr>
          <w:b/>
          <w:bCs/>
        </w:rPr>
        <w:t>established facts</w:t>
      </w:r>
      <w:r>
        <w:t xml:space="preserve"> accepted by all serious observers, while others are </w:t>
      </w:r>
      <w:r>
        <w:rPr>
          <w:b/>
          <w:bCs/>
        </w:rPr>
        <w:t>contested allegations</w:t>
      </w:r>
      <w:r>
        <w:t xml:space="preserve"> – claims that one party asserts but another disputes – and still others are outright </w:t>
      </w:r>
      <w:r>
        <w:rPr>
          <w:b/>
          <w:bCs/>
        </w:rPr>
        <w:t>rumors or misinformation</w:t>
      </w:r>
      <w:r>
        <w:t xml:space="preserve"> with no credible basis. An investigative work like this must sort these out clearly. We cannot treat everything we hear with equal credibility; nor should we ignore claims just because they are controversial. Our solution is to classify and label contested information appropriately, and to present evidence for and against, allowing readers to see how conclusions were reached. Essentially, we have a system for evaluating contested claims that categorizes them as one of three types:</w:t>
      </w:r>
    </w:p>
    <w:p w14:paraId="17BCD101" w14:textId="77777777" w:rsidR="00406E3B" w:rsidRDefault="00406E3B" w:rsidP="00406E3B">
      <w:pPr>
        <w:numPr>
          <w:ilvl w:val="0"/>
          <w:numId w:val="2"/>
        </w:numPr>
      </w:pPr>
      <w:r>
        <w:rPr>
          <w:b/>
          <w:bCs/>
        </w:rPr>
        <w:t>Established Fact:</w:t>
      </w:r>
      <w:r>
        <w:t xml:space="preserve"> A claim that is backed by solid evidence and generally accepted as true by informed parties. These are things we treat as fact in the narrative. For example, “OSF spent about $16 billion over three decades” is an established fact (documented in OSF’s own reports and public financials). We won’t couch that in doubt because it’s well-substantiated. When we call something a fact, we have verified it through primary sources or multiple reliable sources. If new evidence emerged contradicting it, we would of course update it, but within the scope of our investigation these are stable points of truth.</w:t>
      </w:r>
    </w:p>
    <w:p w14:paraId="41AADA52" w14:textId="77777777" w:rsidR="00406E3B" w:rsidRDefault="00406E3B" w:rsidP="00406E3B">
      <w:pPr>
        <w:numPr>
          <w:ilvl w:val="0"/>
          <w:numId w:val="2"/>
        </w:numPr>
      </w:pPr>
      <w:r>
        <w:rPr>
          <w:b/>
          <w:bCs/>
        </w:rPr>
        <w:t>Contested Allegation:</w:t>
      </w:r>
      <w:r>
        <w:t xml:space="preserve"> A claim where there is some evidence or assertion to support it, but also significant counter-evidence or denial, leaving it unresolved or debatable. For these, we explicitly note that the claim is contested. We present what each side says and examine the evidence supporting each side. An example might be: “Critics allege OSF was behind the new media law in Country X, but OSF officials deny involvement.” We would lay out who is making the allegation and why – perhaps a political figure who opposes OSF claims leaked emails show influence – and then what OSF or other investigators say in response – maybe OSF says the emails are fabricated or that the law was conceived before they funded any related project. We then evaluate the evidence: do the emails seem authentic? Were they verified by third parties or are they just internet fodder? Does the timeline of events </w:t>
      </w:r>
      <w:r>
        <w:lastRenderedPageBreak/>
        <w:t xml:space="preserve">support or undermine the claim? In such scenarios, we do </w:t>
      </w:r>
      <w:r>
        <w:rPr>
          <w:b/>
          <w:bCs/>
        </w:rPr>
        <w:t>not</w:t>
      </w:r>
      <w:r>
        <w:t xml:space="preserve"> present a contested allegation as a proven fact. But we also don’t ignore it if it’s causing public debate. Instead, we provide the reader with the relevant information to understand the state of play. In our writing, we use language cues like “alleged,” “according to,” “claimed,” and “however” to delineate these situations. We might conclude an analysis of a contested allegation with an assessment like: “There is no conclusive evidence tying OSF to the drafting of the law, beyond the coincidence that some grantees advocated for it. The claim remains unproven.” In our internal tracking (the Claims Ledger, described later), such an item would be marked perhaps as “unsubstantiated” or “disputed.”</w:t>
      </w:r>
    </w:p>
    <w:p w14:paraId="52865627" w14:textId="77777777" w:rsidR="00406E3B" w:rsidRDefault="00406E3B" w:rsidP="00406E3B">
      <w:pPr>
        <w:numPr>
          <w:ilvl w:val="0"/>
          <w:numId w:val="2"/>
        </w:numPr>
      </w:pPr>
      <w:r>
        <w:rPr>
          <w:b/>
          <w:bCs/>
        </w:rPr>
        <w:t>Rumor or Misinformation:</w:t>
      </w:r>
      <w:r>
        <w:t xml:space="preserve"> A claim that is unverified and typically sourced from unreliable outlets or mere speculation, often lacking any credible evidence. These we label clearly as rumors, and we generally avoid giving them much oxygen unless they are so widespread that they demand addressing. In the universe of OSF-related content, unfortunately, there are many rumors (e.g. wild claims that “Soros manipulates currency markets to trigger crises” or “OSF has a secret plan for world government”). For each such claim we encountered, we looked for evidence to see if it graduates to even an allegation – usually they do not. If a rumor is completely baseless, we might mention it only in a context of debunking or illustrating misinformation, rather than treating it as a serious allegation. If a rumor actually has a kernel of truth or has duped a lot of people, we take a bit more time: for instance, the notion that “OSF orchestrated migration waves” circulated widely. We investigated if OSF had any migrant-related projects; it did (funding legal aid for asylum seekers, etc.), but the claim of “orchestrating” is far beyond what evidence shows. So we discuss what OSF did do (fact) versus the inflated narrative (rumor), helping readers separate reality from fiction. Key to handling rumors is the </w:t>
      </w:r>
      <w:r>
        <w:rPr>
          <w:b/>
          <w:bCs/>
        </w:rPr>
        <w:t>principle of not amplifying falsehoods inadvertently</w:t>
      </w:r>
      <w:r>
        <w:t xml:space="preserve">: we only bring them up to fact-check, and we phrase our writing in a way that makes it clear when something is a false claim. For example, instead of repeating a false claim in detail in our own narrative voice, we might write: “A rumor spread on social media in 2019 claimed OSF was controlling Country Y’s central bank. This was false – the central bank’s records and independent experts confirm no such influence – but it gained traction before being debunked.” By doing so, we inform readers of the misinformation without lending it legitimacy. This aligns with emerging best practices in journalism that caution against false balance. As media scholar Jay Rosen has argued, simply presenting ‘Person A says X, Person B says Y’ without clarity can create a false equivalence between truth and lie. We therefore strive to </w:t>
      </w:r>
      <w:r>
        <w:rPr>
          <w:b/>
          <w:bCs/>
        </w:rPr>
        <w:t>provide context and verdict</w:t>
      </w:r>
      <w:r>
        <w:t xml:space="preserve"> when known. If it’s a lie, we say it’s untrue (with evidence); if it’s unconfirmed, we say it’s unconfirmed.</w:t>
      </w:r>
    </w:p>
    <w:p w14:paraId="06A3F242" w14:textId="77777777" w:rsidR="00406E3B" w:rsidRDefault="00406E3B" w:rsidP="00406E3B">
      <w:pPr>
        <w:pStyle w:val="FirstParagraph"/>
      </w:pPr>
      <w:r>
        <w:t xml:space="preserve">To systematically manage these contested claims, we integrated this classification into our workflow (notably in the Claims Ledger, forthcoming section). Every time a new claim came up during research, we asked: has this been proven? By whom? Or is it disputed? </w:t>
      </w:r>
      <w:r>
        <w:lastRenderedPageBreak/>
        <w:t xml:space="preserve">Who disputes it and on what grounds? If something was </w:t>
      </w:r>
      <w:r>
        <w:rPr>
          <w:b/>
          <w:bCs/>
        </w:rPr>
        <w:t>established</w:t>
      </w:r>
      <w:r>
        <w:t xml:space="preserve"> (Tier 1 evidence backing it), we incorporate it straightforwardly. If </w:t>
      </w:r>
      <w:r>
        <w:rPr>
          <w:b/>
          <w:bCs/>
        </w:rPr>
        <w:t>contested</w:t>
      </w:r>
      <w:r>
        <w:t xml:space="preserve">, we gather sources from both (or multiple) sides – e.g., the accuser’s statement, OSF’s response, any third-party analysis – and plan to present them together. If </w:t>
      </w:r>
      <w:r>
        <w:rPr>
          <w:b/>
          <w:bCs/>
        </w:rPr>
        <w:t>rumor-level</w:t>
      </w:r>
      <w:r>
        <w:t>, we often set it aside unless it’s influential enough that not addressing it would leave a hole in the narrative. This triage ensured that no serious allegation was ignored, but also that no baseless rumor was sneaked in as fact.</w:t>
      </w:r>
    </w:p>
    <w:p w14:paraId="5A918A84" w14:textId="77777777" w:rsidR="00406E3B" w:rsidRDefault="00406E3B" w:rsidP="00406E3B">
      <w:pPr>
        <w:pStyle w:val="BodyText"/>
      </w:pPr>
      <w:r>
        <w:t xml:space="preserve">Let’s illustrate with a case: </w:t>
      </w:r>
      <w:r>
        <w:rPr>
          <w:b/>
          <w:bCs/>
        </w:rPr>
        <w:t>the “Ukraine revolution” allegation.</w:t>
      </w:r>
      <w:r>
        <w:t xml:space="preserve"> Some commentators claim OSF played a behind-the-scenes role in the 2014 Ukrainian revolution (Euromaidan), effectively engineering a change in government. This is a contested claim. Proponents point to OSF’s long history of funding civil society in Ukraine, and some even cite a misinterpreted quote or a grant to a student group as “evidence.” OSF and others flatly deny orchestrating the revolution, attributing it to indigenous popular forces. How did we handle it? We treated “OSF caused the revolution” as an allegation, not a fact. We tracked its origins (who first said this, when?) and its circulation (where it’s being repeated). We then looked at evidence: OSF’s financial records show grants to NGOs in Ukraine, yes – that’s factual. But is there evidence these NGOs directed the protest movement? We found none in primary sources – no instructions from OSF to protest leaders, etc. We did find testimonials from Ukrainian activists who said, “We didn’t need anyone to tell us to protest; it was our fight” as well as OSF statements that they supported democracy broadly but did not run the protests. We present all that in the relevant chapter, making it clear: OSF was </w:t>
      </w:r>
      <w:r>
        <w:rPr>
          <w:b/>
          <w:bCs/>
        </w:rPr>
        <w:t>present</w:t>
      </w:r>
      <w:r>
        <w:t xml:space="preserve"> via funding and had influence in shaping civil society, but the claim it “orchestrated” regime change is not supported by demonstrable facts (established fact: many groups OSF funded took part, contested allegation: whether that equals orchestration, leaning toward no given lack of proof). We essentially demote the orchestrating claim to a conspiracy theory status due to want of evidence, while acknowledging why people might believe it (correlation of OSF presence with event outcome). This nuanced handling respects the reader’s intelligence – we don’t just ridicule a claim, we dissect it.</w:t>
      </w:r>
    </w:p>
    <w:p w14:paraId="1C7BE12B" w14:textId="77777777" w:rsidR="00406E3B" w:rsidRDefault="00406E3B" w:rsidP="00406E3B">
      <w:pPr>
        <w:pStyle w:val="BodyText"/>
      </w:pPr>
      <w:r>
        <w:t xml:space="preserve">Our approach to contested claims also involves actively seeking the </w:t>
      </w:r>
      <w:r>
        <w:rPr>
          <w:b/>
          <w:bCs/>
        </w:rPr>
        <w:t>perspectives of those involved</w:t>
      </w:r>
      <w:r>
        <w:t xml:space="preserve"> whenever possible. Fairness demanded that if someone is accused of something in our book (be it OSF or an individual), they should have a chance to respond. For example, if a government official accused OSF of meddling in their country, we would examine that claim </w:t>
      </w:r>
      <w:r>
        <w:rPr>
          <w:i/>
          <w:iCs/>
        </w:rPr>
        <w:t>and</w:t>
      </w:r>
      <w:r>
        <w:t xml:space="preserve"> incorporate any reply from OSF (perhaps a public statement or a response they gave us in an interview request). Conversely, if OSF accuses someone (say, of defaming them or misusing a grant), we would seek that person’s side of the story. This “right of reply” principle is standard in quality journalism and helps us not inadvertently publish one-sided or defamatory assertions. In fact, legally, demonstrating that you sought comment can bolster a defense that you weren’t acting with malice in case of libel claims by public figures. Ethically, it’s about accuracy and humanity – we recognize there are often two sides, and we give space to them.</w:t>
      </w:r>
    </w:p>
    <w:p w14:paraId="5779E1B9" w14:textId="77777777" w:rsidR="00406E3B" w:rsidRDefault="00406E3B" w:rsidP="00406E3B">
      <w:pPr>
        <w:pStyle w:val="BodyText"/>
      </w:pPr>
      <w:r>
        <w:lastRenderedPageBreak/>
        <w:t xml:space="preserve">To summarize, evaluating contested claims in this investigation works like a truth filter. We let through the solid facts, we hold up the questionable ones to scrutiny under a bright light, and we catch and dispose of the false rumors. Each claim’s final treatment in the book – whether it’s stated as a factual finding, an open question, or a debunked myth – is the result of this careful vetting process. The reader can expect to always know where a given claim stands on the spectrum from fact to fiction. There will be no “secret knowledge” or insinuations left hanging without clarification of their status. In the next section, we will introduce the tool that made this systematic approach possible: the </w:t>
      </w:r>
      <w:r>
        <w:rPr>
          <w:i/>
          <w:iCs/>
        </w:rPr>
        <w:t>Claims Ledger</w:t>
      </w:r>
      <w:r>
        <w:t>, which kept track of every allegation and its resolution throughout our research.</w:t>
      </w:r>
    </w:p>
    <w:p w14:paraId="79D54B66" w14:textId="77777777" w:rsidR="00406E3B" w:rsidRDefault="00406E3B" w:rsidP="00406E3B">
      <w:pPr>
        <w:pStyle w:val="Heading2"/>
      </w:pPr>
      <w:bookmarkStart w:id="6" w:name="X2d14f35a65f852d354049e52f62a85b6b9de11c"/>
      <w:bookmarkEnd w:id="5"/>
      <w:r>
        <w:t>The Claims Ledger: Tracking Allegations and Preventing Redundancy</w:t>
      </w:r>
    </w:p>
    <w:p w14:paraId="06BA760E" w14:textId="77777777" w:rsidR="00406E3B" w:rsidRDefault="00406E3B" w:rsidP="00406E3B">
      <w:pPr>
        <w:pStyle w:val="FirstParagraph"/>
      </w:pPr>
      <w:r>
        <w:t xml:space="preserve">One innovation we employed in this project was something we call the </w:t>
      </w:r>
      <w:r>
        <w:rPr>
          <w:b/>
          <w:bCs/>
        </w:rPr>
        <w:t>Claims Ledger</w:t>
      </w:r>
      <w:r>
        <w:t xml:space="preserve">. This is essentially an internal database or catalog of all significant claims related to OSF that we encountered – whether factual statements, allegations, or rumors – along with their status (verified, contested, debunked, etc.) and key evidence. The purpose of the Claims Ledger was twofold: </w:t>
      </w:r>
      <w:r>
        <w:rPr>
          <w:b/>
          <w:bCs/>
        </w:rPr>
        <w:t>to ensure no important claim fell through the cracks</w:t>
      </w:r>
      <w:r>
        <w:t xml:space="preserve"> and </w:t>
      </w:r>
      <w:r>
        <w:rPr>
          <w:b/>
          <w:bCs/>
        </w:rPr>
        <w:t>to avoid redundant analysis across chapters</w:t>
      </w:r>
      <w:r>
        <w:t>. Given the wide scope of OSF’s activities and the many controversies around it, we anticipated that certain claims would pop up repeatedly in different contexts. Rather than treat the same claim afresh each time (risking inconsistency or duplicating effort), we logged it once in the ledger, did a thorough assessment, and then referenced that assessment wherever needed. This approach is analogous to maintaining a “central truth file.” It proved invaluable for a project of this scale.</w:t>
      </w:r>
    </w:p>
    <w:p w14:paraId="3A4F9D13" w14:textId="77777777" w:rsidR="00406E3B" w:rsidRDefault="00406E3B" w:rsidP="00406E3B">
      <w:pPr>
        <w:pStyle w:val="BodyText"/>
      </w:pPr>
      <w:r>
        <w:t xml:space="preserve">How does the Claims Ledger work? Think of it as a flow from the moment an allegation arises to the point where we conclude how to present it in the book. </w:t>
      </w:r>
      <w:r>
        <w:rPr>
          <w:b/>
          <w:bCs/>
        </w:rPr>
        <w:t>Figure 1.2</w:t>
      </w:r>
      <w:r>
        <w:t xml:space="preserve"> diagrams this process. It starts when a new claim comes to our attention (through research, interviews, media, etc.). We create an entry in the ledger noting what the claim is, who is making it (source), and where/when it appeared. Next, we </w:t>
      </w:r>
      <w:r>
        <w:rPr>
          <w:b/>
          <w:bCs/>
        </w:rPr>
        <w:t>check if the claim already exists in the ledger</w:t>
      </w:r>
      <w:r>
        <w:t xml:space="preserve"> – often, rumors are recycled, so the same basic claim might have been logged already. If it’s there, we update it if needed with any new context but avoid re-investigating from scratch. If it’s new, we proceed to the investigation phase: gathering evidence for and against, as described earlier. We then </w:t>
      </w:r>
      <w:r>
        <w:rPr>
          <w:b/>
          <w:bCs/>
        </w:rPr>
        <w:t>evaluate the claim’s credibility</w:t>
      </w:r>
      <w:r>
        <w:t xml:space="preserve"> based on the evidence (this ties into our evidence hierarchy and contested claim classification). We assign it a tentative status: e.g., “Confirmed (True)”, “Refuted (False)”, “Partly true”, “Unsubstantiated”, or “Misleading”. This status isn’t set in stone – if new info emerges later, we update it – but it serves as our working conclusion. We document in the ledger the key reasons for that status and reference the supporting sources. Finally, when writing chapters, we </w:t>
      </w:r>
      <w:r>
        <w:rPr>
          <w:b/>
          <w:bCs/>
        </w:rPr>
        <w:t>integrate the claim’s assessment</w:t>
      </w:r>
      <w:r>
        <w:t xml:space="preserve"> from the ledger into the narrative wherever relevant, rather than doing it all ad hoc in writing. The ledger entry ensures that in Chapter 3 and Chapter 7, if both need to mention the same allegation, they do so consistently. It’s a bit like how a fact-checking department in a magazine might maintain a file on a recurring subject.</w:t>
      </w:r>
    </w:p>
    <w:p w14:paraId="1B49BF44" w14:textId="77777777" w:rsidR="00406E3B" w:rsidRDefault="00406E3B" w:rsidP="00406E3B">
      <w:pPr>
        <w:pStyle w:val="BodyText"/>
      </w:pPr>
      <w:r>
        <w:rPr>
          <w:b/>
          <w:bCs/>
        </w:rPr>
        <w:lastRenderedPageBreak/>
        <w:t>Figure 1.2: Flow of an allegation through the Claims Ledger, from initial claim to final assessment.</w:t>
      </w:r>
      <w:r>
        <w:t xml:space="preserve"> When a new claim or allegation about OSF is identified, it is first </w:t>
      </w:r>
      <w:r>
        <w:rPr>
          <w:b/>
          <w:bCs/>
        </w:rPr>
        <w:t>logged</w:t>
      </w:r>
      <w:r>
        <w:t xml:space="preserve"> in the Claims Ledger (Step 1). If the same claim has been logged before, that record is retrieved to avoid duplication (Step 2). For new claims, researchers then </w:t>
      </w:r>
      <w:r>
        <w:rPr>
          <w:b/>
          <w:bCs/>
        </w:rPr>
        <w:t>gather evidence</w:t>
      </w:r>
      <w:r>
        <w:t xml:space="preserve"> from relevant sources – documents, testimonies, reports – to investigate its validity (Step 3). Next, the claim and evidence undergo a </w:t>
      </w:r>
      <w:r>
        <w:rPr>
          <w:b/>
          <w:bCs/>
        </w:rPr>
        <w:t>verification and corroboration</w:t>
      </w:r>
      <w:r>
        <w:t xml:space="preserve"> stage (Step 4): we cross-check facts, compare against known data, and evaluate source reliability. Based on this, we </w:t>
      </w:r>
      <w:r>
        <w:rPr>
          <w:b/>
          <w:bCs/>
        </w:rPr>
        <w:t>assess the claim</w:t>
      </w:r>
      <w:r>
        <w:t xml:space="preserve"> (Step 5), classifying it as true, false, contested, etc., with a concise rationale. This outcome is then </w:t>
      </w:r>
      <w:r>
        <w:rPr>
          <w:b/>
          <w:bCs/>
        </w:rPr>
        <w:t>recorded in the ledger</w:t>
      </w:r>
      <w:r>
        <w:t xml:space="preserve"> (Step 6) along with citations of the evidence. Finally, as chapters are written, the vetted conclusion from the ledger is </w:t>
      </w:r>
      <w:r>
        <w:rPr>
          <w:b/>
          <w:bCs/>
        </w:rPr>
        <w:t>integrated into the narrative</w:t>
      </w:r>
      <w:r>
        <w:t xml:space="preserve"> (Step 7). If an allegation appears in multiple chapters, each chapter references the ledger’s findings instead of re-proving the claim each time. This workflow creates a single source of truth for each claim, ensuring consistency and thoroughness across the entire book. Should new information arise at any point, the ledger entry is updated and the narrative adjusted accordingly, making the process iterative and self-correcting.</w:t>
      </w:r>
    </w:p>
    <w:p w14:paraId="773B539D" w14:textId="77777777" w:rsidR="00406E3B" w:rsidRDefault="00406E3B" w:rsidP="00406E3B">
      <w:pPr>
        <w:pStyle w:val="BodyText"/>
      </w:pPr>
      <w:r>
        <w:t>In setting up the Claims Ledger, we drew inspiration from journalistic practices like maintaining a timeline of events or a biographical file on a person of interest – but expanded it to include every claim we needed to evaluate. By the end of our research, the ledger contained dozens of entries, ranging from major well-known issues (“Did OSF fund the drafting of Constitution X?”) to niche questions (“Was an OSF grantee involved in a particular scandal?”). Each entry was like a mini-report: a summary of the claim, the evidence for and against, and our determination. This rigorous cataloguing had many benefits:</w:t>
      </w:r>
    </w:p>
    <w:p w14:paraId="3A03ABEA" w14:textId="77777777" w:rsidR="00406E3B" w:rsidRDefault="00406E3B" w:rsidP="00406E3B">
      <w:pPr>
        <w:numPr>
          <w:ilvl w:val="0"/>
          <w:numId w:val="1"/>
        </w:numPr>
      </w:pPr>
      <w:r>
        <w:rPr>
          <w:b/>
          <w:bCs/>
        </w:rPr>
        <w:t>No redundancy:</w:t>
      </w:r>
      <w:r>
        <w:t xml:space="preserve"> We avoided the trap of repeating a lengthy explanation several times in different chapters. For instance, the claim “OSF is banned in Country Z due to allegations of political interference” is something that might be relevant in chapters about that region’s politics and in a chapter about OSF’s global challenges. Rather than writing two separate analyses, we did one deep dive via the ledger and then both chapters refer to that conclusion (phrased in context appropriately). One chapter might emphasize the country’s perspective, another OSF’s response, but the factual underpinnings (e.g. when and why OSF was banned, what evidence was cited) remain consistent.</w:t>
      </w:r>
    </w:p>
    <w:p w14:paraId="39E70FD7" w14:textId="77777777" w:rsidR="00406E3B" w:rsidRDefault="00406E3B" w:rsidP="00406E3B">
      <w:pPr>
        <w:numPr>
          <w:ilvl w:val="0"/>
          <w:numId w:val="1"/>
        </w:numPr>
      </w:pPr>
      <w:r>
        <w:rPr>
          <w:b/>
          <w:bCs/>
        </w:rPr>
        <w:t>Consistency:</w:t>
      </w:r>
      <w:r>
        <w:t xml:space="preserve"> If at one point we conclude “Claim A is false,” we will not accidentally imply later that Claim A might be true or forget to mention it’s false. The ledger ensures our stance, once evidence-backed, stays uniform unless evidence changes. This is especially important in a book where different sections might be written over time or by different team members – the ledger acted as the single source of factual consensus.</w:t>
      </w:r>
    </w:p>
    <w:p w14:paraId="70579128" w14:textId="77777777" w:rsidR="00406E3B" w:rsidRDefault="00406E3B" w:rsidP="00406E3B">
      <w:pPr>
        <w:numPr>
          <w:ilvl w:val="0"/>
          <w:numId w:val="1"/>
        </w:numPr>
      </w:pPr>
      <w:r>
        <w:rPr>
          <w:b/>
          <w:bCs/>
        </w:rPr>
        <w:t>Transparency (internally and in Appendix):</w:t>
      </w:r>
      <w:r>
        <w:t xml:space="preserve"> By writing down how we evaluated each claim, we created a record that can be reviewed. While the reader sees the </w:t>
      </w:r>
      <w:r>
        <w:lastRenderedPageBreak/>
        <w:t>polished outcome in the narrative, the Appendix’s research log can reflect much of this underlying work. In some cases, if a claim was complicated, we might dedicate a footnote or endnote in the appendix explaining the evaluation. Even if not, the authors had it documented, which is crucial if questions arise later (from readers or even from OSF or claimants) about “why did you say this was untrue?” We have our homework on file.</w:t>
      </w:r>
    </w:p>
    <w:p w14:paraId="6A689481" w14:textId="77777777" w:rsidR="00406E3B" w:rsidRDefault="00406E3B" w:rsidP="00406E3B">
      <w:pPr>
        <w:numPr>
          <w:ilvl w:val="0"/>
          <w:numId w:val="1"/>
        </w:numPr>
      </w:pPr>
      <w:r>
        <w:rPr>
          <w:b/>
          <w:bCs/>
        </w:rPr>
        <w:t>Adaptability:</w:t>
      </w:r>
      <w:r>
        <w:t xml:space="preserve"> New claims did come up as we researched – sometimes late in the writing process, a fresh allegation surfaced in the news. Using the ledger system, we could slot it in, investigate swiftly (with the benefit of all the context we had already gathered), and decide if it altered any conclusions. Because everything was structured, adding or revising one entry did not upset the whole book’s cohesion. It was like updating a spreadsheet and having all references update accordingly. This kept the work current and responsive to developments (important since OSF was in the news even during our writing, with leadership changes and external attacks continuing).</w:t>
      </w:r>
    </w:p>
    <w:p w14:paraId="49160522" w14:textId="77777777" w:rsidR="00406E3B" w:rsidRDefault="00406E3B" w:rsidP="00406E3B">
      <w:pPr>
        <w:pStyle w:val="FirstParagraph"/>
      </w:pPr>
      <w:r>
        <w:t>One might ask, will the Claims Ledger itself be published? We do not include the raw ledger in the book – it was an internal tool with sometimes shorthand notes. However, essentially the content of it is embedded throughout chapters and especially in the Appendix source notes. We considered including a summarized “Claims Ledger” table in the Appendix listing major claims and their status, which could be a handy reference for readers wanting the tl;dr on each controversy. Instead, we opted for a narrative approach to ensure readability, but this chapter essentially outlines how such a table was derived. The ledger concept also feeds into the “guide for readers” at the end of this chapter – encouraging readers to adopt a similar ledger-like critical approach when they encounter new claims outside this book.</w:t>
      </w:r>
    </w:p>
    <w:p w14:paraId="6CCFD53F" w14:textId="77777777" w:rsidR="00406E3B" w:rsidRDefault="00406E3B" w:rsidP="00406E3B">
      <w:pPr>
        <w:pStyle w:val="BodyText"/>
      </w:pPr>
      <w:r>
        <w:t xml:space="preserve">To illustrate the ledger in action, let’s revisit an example with steps: The claim </w:t>
      </w:r>
      <w:r>
        <w:rPr>
          <w:i/>
          <w:iCs/>
        </w:rPr>
        <w:t>“OSF is secretly funding Candidate X in Election Y”</w:t>
      </w:r>
      <w:r>
        <w:t xml:space="preserve"> comes up in a particular country’s context. We log it as a new entry. Step 2: check if we have similar claims (maybe we have “OSF funds political campaigns” generically). If not, new. Step 3: gather evidence – maybe there are leaked documents alleged, statements by Candidate X’s opponent, OSF denial, etc. Step 4: verify – are the leaked documents authentic or confirmed? We find, say, that documents appear doctored according to digital forensic analysis and OSF’s accounting shows no such disbursement. Step 5: assess – we mark it as “likely false” (or “no evidence, likely misinformation”). Step 6: record outcome – we note the reasoning, cite the forensic analysis and OSF accounts. Step 7: integrate – in the chapter about that election, we might write a passage: “A rumor circulated that OSF secretly backed Candidate X. However, official OSF financial records and independent digital forensics show no evidence of such funding, suggesting the claim was misinformation.” We have thus brought in our ledger work seamlessly. Meanwhile, in a later chapter on “OSF and electoral politics globally,” if we touch on patterns of accusations, we’ll mention this case as one example of a false allegation, and we’ll be consistent in saying it was unfounded.</w:t>
      </w:r>
    </w:p>
    <w:p w14:paraId="7C34C14D" w14:textId="77777777" w:rsidR="00406E3B" w:rsidRDefault="00406E3B" w:rsidP="00406E3B">
      <w:pPr>
        <w:pStyle w:val="BodyText"/>
      </w:pPr>
      <w:r>
        <w:lastRenderedPageBreak/>
        <w:t xml:space="preserve">In summary, the Claims Ledger helped us maintain </w:t>
      </w:r>
      <w:r>
        <w:rPr>
          <w:b/>
          <w:bCs/>
        </w:rPr>
        <w:t>intellectual rigor</w:t>
      </w:r>
      <w:r>
        <w:t xml:space="preserve"> and </w:t>
      </w:r>
      <w:r>
        <w:rPr>
          <w:b/>
          <w:bCs/>
        </w:rPr>
        <w:t>editorial discipline</w:t>
      </w:r>
      <w:r>
        <w:t>. It’s a technique that might not be visible to the casual reader, but it underpins the reliability of what you read. We essentially fact-checked and cross-referenced ourselves continuously with this system. The fight against redundancy also means this book won’t bore you with the same explanation repeated verbatim; instead, each chapter can move the story forward, confident that if a prior claim needs recalling, it can be summarized with a reference to where it was fully explored. Now that we’ve covered how we handle claims and evidence comprehensively, we turn to the related task of verifying the specific details – the quotes, data points, and statistics that give life to the story – ensuring that every detail is as accurate as the larger judgments.</w:t>
      </w:r>
    </w:p>
    <w:p w14:paraId="0EE8AB13" w14:textId="77777777" w:rsidR="00406E3B" w:rsidRDefault="00406E3B" w:rsidP="00406E3B">
      <w:pPr>
        <w:pStyle w:val="Heading2"/>
      </w:pPr>
      <w:bookmarkStart w:id="7" w:name="verifying-quotes-data-and-statistics"/>
      <w:bookmarkEnd w:id="6"/>
      <w:r>
        <w:t>Verifying Quotes, Data, and Statistics</w:t>
      </w:r>
    </w:p>
    <w:p w14:paraId="0EF7B45F" w14:textId="77777777" w:rsidR="00406E3B" w:rsidRDefault="00406E3B" w:rsidP="00406E3B">
      <w:pPr>
        <w:pStyle w:val="FirstParagraph"/>
      </w:pPr>
      <w:r>
        <w:t xml:space="preserve">Accuracy isn’t only about the big picture conclusions; it also lives in the details: the quotes we include from sources, the numbers we cite about OSF’s finances or program results, the dates and names that anchor historical events. We instituted a thorough </w:t>
      </w:r>
      <w:r>
        <w:rPr>
          <w:b/>
          <w:bCs/>
        </w:rPr>
        <w:t>fact-checking and verification process</w:t>
      </w:r>
      <w:r>
        <w:t xml:space="preserve"> for all such details to uphold the highest standard of accuracy. This process began at the research phase and continued through writing and editing. In essence, any quote, number, or specific fact in the text was double-checked against its original source, and often against a second source for confirmation or context.</w:t>
      </w:r>
    </w:p>
    <w:p w14:paraId="4FCF6A64" w14:textId="77777777" w:rsidR="00406E3B" w:rsidRDefault="00406E3B" w:rsidP="00406E3B">
      <w:pPr>
        <w:pStyle w:val="BodyText"/>
      </w:pPr>
      <w:r>
        <w:rPr>
          <w:b/>
          <w:bCs/>
        </w:rPr>
        <w:t>Quotes:</w:t>
      </w:r>
      <w:r>
        <w:t xml:space="preserve"> Whenever we quote someone – whether it’s an OSF official, a critic, a beneficiary of an OSF program, or any expert – we have taken that quote verbatim from a reliable source. If the quote comes from an interview we conducted, we have an audio recording or detailed notes of that interview. Those were transcribed, and the relevant portion is reproduced exactly, with careful attention to not alter words or meaning. If the quote comes from a publication (such as a newspaper interview, a speech transcript, or a video), we located the authoritative version of that quote (e.g., the official transcript or recording) and used the precise wording. We avoid secondary quoting (quoting a quote as quoted by someone else) unless we could not obtain the primary source; in rare cases where we rely on a secondary source for a quote, we note the attribution clearly (e.g. “so-and-so said, as quoted by </w:t>
      </w:r>
      <w:r>
        <w:rPr>
          <w:i/>
          <w:iCs/>
        </w:rPr>
        <w:t>The Guardian</w:t>
      </w:r>
      <w:r>
        <w:t xml:space="preserve">”). For clarity and honesty, we refrain from minor tweaks that some narrative non-fiction might do, such as “cleaning up” verbal grammar in quotes or combining separate statements into one inauthentic quote. Each quote is presented in context. If context was needed to avoid misinterpretation, we include it either in the main text or in a parenthetical/introductory clause. For example, if someone said “It was a disaster,” we won’t just drop that quote without explanation; we would frame it as, say, </w:t>
      </w:r>
      <w:r>
        <w:rPr>
          <w:i/>
          <w:iCs/>
        </w:rPr>
        <w:t>John Doe, who managed an OSF-funded project in 2005, recalls the implementation, saying “It was a disaster”</w:t>
      </w:r>
      <w:r>
        <w:t xml:space="preserve">, so the reader knows what “it” refers to. We also gave quoted individuals a fair representation. We did not quote out of context to distort meaning. If someone said a nuanced thing, we tried to capture the essence without misleading truncation. In some cases, where a quote could be misconstrued, we either extended the quote or paraphrased instead of quoting, choosing fidelity to the truth over the punchiness of a quote. All these practices align with the journalistic ethos that </w:t>
      </w:r>
      <w:r>
        <w:rPr>
          <w:i/>
          <w:iCs/>
        </w:rPr>
        <w:t>quotes must be accurate and in context</w:t>
      </w:r>
      <w:r>
        <w:t>.</w:t>
      </w:r>
    </w:p>
    <w:p w14:paraId="63315BE9" w14:textId="77777777" w:rsidR="00406E3B" w:rsidRDefault="00406E3B" w:rsidP="00406E3B">
      <w:pPr>
        <w:pStyle w:val="BodyText"/>
      </w:pPr>
      <w:r>
        <w:lastRenderedPageBreak/>
        <w:t>Every quote in the book was cross-checked by a fact-checker or editor against the source material before finalization. Even quotes from well-known sources (like published books or speeches) were verified letter-for-letter. If a quote contained something that might be unclear to readers (like jargon or a reference), we clarified it in the text around it. If it contained an error (for instance, a person might misspeak a year or a name), we either omitted that part or corrected in brackets if absolutely necessary, with an explanation in a note. However, we generally avoided editorial insertions in quotes except minor ones like “[...].” On a few occasions, we needed to translate quotes (for example, a Hungarian official’s statement about OSF). In those cases, we either used an existing published English translation (noting the source) or did our own translation with the help of a language expert, ensuring it conveyed the true meaning. Those are indicated as necessary.</w:t>
      </w:r>
    </w:p>
    <w:p w14:paraId="779FF4D3" w14:textId="77777777" w:rsidR="00406E3B" w:rsidRDefault="00406E3B" w:rsidP="00406E3B">
      <w:pPr>
        <w:pStyle w:val="BodyText"/>
      </w:pPr>
      <w:r>
        <w:rPr>
          <w:b/>
          <w:bCs/>
        </w:rPr>
        <w:t>Data and Statistics:</w:t>
      </w:r>
      <w:r>
        <w:t xml:space="preserve"> The book contains numerous data points – budgets, number of grants, polling results, social indicators, etc. We took a very cautious approach to data. Before citing any number, we asked: where does this come from, and is it the best available figure? For financial data about OSF (like annual expenditures, endowment size, grant counts), the primary sources were OSF’s audited financial statements, annual reports, and filings like the U.S. IRS Form 990. We collected these from OSF’s website and archives (and in some cases from databases like GuideStar for Form 990s). We cross-verified key totals. For example, if OSF’s 2018 annual report said total spending was $X, we checked that the Form 990 for 2018 roughly matched that number (allowing for different accounting categories). Where discrepancies arose, we investigated which was more accurate (sometimes annual reports round numbers or include multi-year commitments differently). We strive to present numbers in a clear and consistent manner – usually in USD for financial figures (since OSF reports in dollars), with conversion notes if originally in another currency. If a statistic is critical, we often gave a timeframe and source: e.g., “Between 2010 and 2020, OSF gave approximately $400 million to education initiatives worldwide, according to its publicly reported grant data.” That way, the reader knows this is a cumulative figure from OSF’s own records, not just plucked from nowhere.</w:t>
      </w:r>
    </w:p>
    <w:p w14:paraId="4E80342B" w14:textId="77777777" w:rsidR="00406E3B" w:rsidRDefault="00406E3B" w:rsidP="00406E3B">
      <w:pPr>
        <w:pStyle w:val="BodyText"/>
      </w:pPr>
      <w:r>
        <w:t>For data not originating from OSF – say, survey results about perceptions of OSF, or figures on NGO growth in a country – we cite reputable sources: polls by known firms, datasets from organizations like the World Bank or NGO registries, etc. Each such statistic was fact-checked by locating the original report or data release. If we say “In 2017, OSF was the second-largest philanthropic funder in country X,” we’ve gotten that from, for instance, a credible study or government report and we’ve verified the ranking and year. If we couldn’t verify a number independently, we either dropped it or explicitly attributed it (“according to NGO X’s estimate…”). We lean toward transparency with numbers. Often, we avoid giving overly precise figures when not warranted (e.g., saying “approximately 1,200 grants” instead of “1,197 grants” unless that exactitude matters) because false precision can mislead. However, we also avoid vague statements if a number can be known. Rather than “OSF has spent a lot on Y,” we’d rather say “OSF spent $Z on Y (year-year).” We found that concrete numbers, properly sourced, strengthen the credibility of our account – but only if they’re right. Thus the intense verification.</w:t>
      </w:r>
    </w:p>
    <w:p w14:paraId="275E36A8" w14:textId="77777777" w:rsidR="00406E3B" w:rsidRDefault="00406E3B" w:rsidP="00406E3B">
      <w:pPr>
        <w:pStyle w:val="BodyText"/>
      </w:pPr>
      <w:r>
        <w:lastRenderedPageBreak/>
        <w:t>When calculations were needed (like summing multiple years of spending, or converting currencies, or computing percentages), we did those carefully and often had a second person verify the math. We used consistent exchange rates for currency conversions, typically noting the year’s average if relevant (e.g., converting Hungarian forints to USD for OSF’s Budapest expenditures, using that year’s average FX rate). We mention in text if conversions are approximate due to rate fluctuations. For statistical claims (like correlation or trends), if we mention them, we likely did the analysis or reviewed a study that did. For example, if we note “civil society groups in X country doubled in number after OSF’s program began,” we have either the data from that country’s registry or a study that documented it, and we’ve confirmed what “doubled” means (from what baseline to what).</w:t>
      </w:r>
    </w:p>
    <w:p w14:paraId="6463871F" w14:textId="77777777" w:rsidR="00406E3B" w:rsidRDefault="00406E3B" w:rsidP="00406E3B">
      <w:pPr>
        <w:pStyle w:val="BodyText"/>
      </w:pPr>
      <w:r>
        <w:t>All data visualizations or interpretations we considered including were also vetted. In this text-based format, we don’t have graphs, but if a trend is described, it was derived from data. We prefer to not overstate what data shows. Where data could be interpreted multiple ways, we indicate that or stick to the raw observation. For instance, “Country X’s democracy index improved 10 points in five years after OSF’s initiatives” is a factual observation with data to back it, but we would stop short of saying “due to OSF” without more evidence.</w:t>
      </w:r>
    </w:p>
    <w:p w14:paraId="5943A406" w14:textId="77777777" w:rsidR="00406E3B" w:rsidRDefault="00406E3B" w:rsidP="00406E3B">
      <w:pPr>
        <w:pStyle w:val="BodyText"/>
      </w:pPr>
      <w:r>
        <w:rPr>
          <w:b/>
          <w:bCs/>
        </w:rPr>
        <w:t>Dates, Names, and Factual Details:</w:t>
      </w:r>
      <w:r>
        <w:t xml:space="preserve"> It’s easy to overlook basic facts like “Was it 2016 or 2017 when that law passed?” or “Is the NGO called Open Society </w:t>
      </w:r>
      <w:r>
        <w:rPr>
          <w:i/>
          <w:iCs/>
        </w:rPr>
        <w:t>Institute</w:t>
      </w:r>
      <w:r>
        <w:t xml:space="preserve"> or </w:t>
      </w:r>
      <w:r>
        <w:rPr>
          <w:i/>
          <w:iCs/>
        </w:rPr>
        <w:t>Foundation</w:t>
      </w:r>
      <w:r>
        <w:t xml:space="preserve"> in that era?” We diligently checked all such details. We cross-referenced timelines from multiple sources (news archives, official announcements, OSF press releases, etc.) to ensure we get chronology right. For historical references like “OSF was founded in 1979” – yes, but more precisely Soros’ philanthropy started then; the first foundation under the Open Society name came a bit later – we clarified these nuances to avoid technically incorrect statements. Names of people, organizations, and places were verified for spelling and proper titles. If someone’s title or role is given, we confirmed it from an authoritative source (e.g., OSF’s website listing staff, or LinkedIn, or news profiles). We also used consistent naming conventions: e.g., using “Open Society Foundations (OSF)” as the umbrella name, even though historically it was “Open Society Institute (OSI)” in the 1990s, to minimize confusion, but we note those historical name changes where relevant. For individuals like George Soros, we consistently identify them fully at first mention and use just last name thereafter, except where needed to avoid confusion with family members involved in OSF (like Alexander Soros). All this might sound pedantic, but in investigative work, </w:t>
      </w:r>
      <w:r>
        <w:rPr>
          <w:b/>
          <w:bCs/>
        </w:rPr>
        <w:t>precision builds credibility</w:t>
      </w:r>
      <w:r>
        <w:t>. A small factual error can undermine confidence in larger claims, so we endeavored to have none. And if any are discovered (despite our efforts) by readers or fact-checkers post-publication, we commit to transparently correcting them.</w:t>
      </w:r>
    </w:p>
    <w:p w14:paraId="12F86C60" w14:textId="77777777" w:rsidR="00406E3B" w:rsidRDefault="00406E3B" w:rsidP="00406E3B">
      <w:pPr>
        <w:pStyle w:val="BodyText"/>
      </w:pPr>
      <w:r>
        <w:t xml:space="preserve">Part of verifying details also meant </w:t>
      </w:r>
      <w:r>
        <w:rPr>
          <w:b/>
          <w:bCs/>
        </w:rPr>
        <w:t>checking our own biases in interpreting them</w:t>
      </w:r>
      <w:r>
        <w:t xml:space="preserve">. We had internal debates: Are we cherry-picking data that supports a narrative? Are we quoting someone out of bias because it sounds dramatic, even if their insight is an outlier? To guard against this, we made sure to include data and quotes representing different perspectives, not just those that fit a single storyline. When OSF had successes, we </w:t>
      </w:r>
      <w:r>
        <w:lastRenderedPageBreak/>
        <w:t>present the data on successes; when it had failures or criticisms, we present those with equal factual rigor. We want the book to be accurate and also fair, and fairness sometimes means including the uncomfortable detail that complicates a neat story. If an OSF program flopped by its own metrics, we don’t shy from the statistic showing that. If a government official made a claim that turned out incorrect, we mention it but then correct it with verified info.</w:t>
      </w:r>
    </w:p>
    <w:p w14:paraId="5F624B75" w14:textId="77777777" w:rsidR="00406E3B" w:rsidRDefault="00406E3B" w:rsidP="00406E3B">
      <w:pPr>
        <w:pStyle w:val="BodyText"/>
      </w:pPr>
      <w:r>
        <w:t>After writing was done, we undertook a formal fact-check of the manuscript. An independent fact-checker (or a team member not directly involved in writing a given chapter) went through each chapter line by line, highlighting every factual assertion – be it a quote, a figure, a description – and cross-verifying it against the source material we had collected (which was organized in the Appendix references and our research files). They flagged anything that couldn’t be substantiated or that seemed to contradict another source. We resolved those flags by either finding additional sources, clarifying the text, or in a few cases removing a claim if it wasn’t solid enough. This rigorous process is similar to that used by magazines and ensures that the final product you’re reading has been scrutinized not just by its authors but by a fresh set of critical eyes.</w:t>
      </w:r>
    </w:p>
    <w:p w14:paraId="58F5A444" w14:textId="77777777" w:rsidR="00406E3B" w:rsidRDefault="00406E3B" w:rsidP="00406E3B">
      <w:pPr>
        <w:pStyle w:val="BodyText"/>
      </w:pPr>
      <w:r>
        <w:t>In sum, whether it’s a multi-million-dollar statistic or a single word in a quote, we approached it with the question: “How do we know this, and can we prove this is correct?” By insisting on an answer for each detail, we constructed a narrative that is supported at every turn. This meticulous care for detail complements the earlier sections’ focus on handling big claims. One without the other would be insufficient – big truths rest on small facts, after all.</w:t>
      </w:r>
    </w:p>
    <w:p w14:paraId="62AB9998" w14:textId="77777777" w:rsidR="00406E3B" w:rsidRDefault="00406E3B" w:rsidP="00406E3B">
      <w:pPr>
        <w:pStyle w:val="Heading2"/>
      </w:pPr>
      <w:bookmarkStart w:id="8" w:name="legal-and-ethical-safeguards"/>
      <w:bookmarkEnd w:id="7"/>
      <w:r>
        <w:t>Legal and Ethical Safeguards</w:t>
      </w:r>
    </w:p>
    <w:p w14:paraId="6C3054B3" w14:textId="77777777" w:rsidR="00406E3B" w:rsidRDefault="00406E3B" w:rsidP="00406E3B">
      <w:pPr>
        <w:pStyle w:val="FirstParagraph"/>
      </w:pPr>
      <w:r>
        <w:t xml:space="preserve">Investigating powerful organizations and publishing potentially controversial findings carries legal and ethical responsibilities. From the outset, we established guardrails to ensure our work adheres to the law (especially libel/defamation laws and privacy regulations) and meets high ethical standards for fairness and integrity. In this section, we outline these safeguards: how we avoid defamation, respect privacy, strive for fairness, and provide right of reply. While the previous sections dealt with </w:t>
      </w:r>
      <w:r>
        <w:rPr>
          <w:i/>
          <w:iCs/>
        </w:rPr>
        <w:t>what</w:t>
      </w:r>
      <w:r>
        <w:t xml:space="preserve"> we found and </w:t>
      </w:r>
      <w:r>
        <w:rPr>
          <w:i/>
          <w:iCs/>
        </w:rPr>
        <w:t>how</w:t>
      </w:r>
      <w:r>
        <w:t xml:space="preserve"> we found it, here we deal with </w:t>
      </w:r>
      <w:r>
        <w:rPr>
          <w:i/>
          <w:iCs/>
        </w:rPr>
        <w:t>how we handle</w:t>
      </w:r>
      <w:r>
        <w:t xml:space="preserve"> that information in a responsible manner.</w:t>
      </w:r>
    </w:p>
    <w:p w14:paraId="152E5A3B" w14:textId="77777777" w:rsidR="00406E3B" w:rsidRDefault="00406E3B" w:rsidP="00406E3B">
      <w:pPr>
        <w:pStyle w:val="BodyText"/>
      </w:pPr>
      <w:r>
        <w:rPr>
          <w:b/>
          <w:bCs/>
        </w:rPr>
        <w:t>Defamation Avoidance:</w:t>
      </w:r>
      <w:r>
        <w:t xml:space="preserve"> Libel (written defamation) is a critical concern when publishing allegations or critical statements about people or entities. We carefully crafted our language to avoid making defamatory statements, i.e., false statements of fact that could harm someone’s reputation. The simplest protection against libel is truth – as the old legal adage goes, </w:t>
      </w:r>
      <w:r>
        <w:rPr>
          <w:i/>
          <w:iCs/>
        </w:rPr>
        <w:t>truth is an absolute defense to defamation</w:t>
      </w:r>
      <w:r>
        <w:t xml:space="preserve">. Therefore, we have been relentless in ensuring that any claim of wrongdoing or any negative characterization is backed by evidence we believe to be true. If something is unproven or an opinion, we frame it as such and attribute it to a source. For example, instead of saying “OSF engaged in illegal activities in Country Z” (which unqualified would be a potentially defamatory statement if untrue), we might say, “Government officials in Country Z have accused OSF </w:t>
      </w:r>
      <w:r>
        <w:lastRenderedPageBreak/>
        <w:t>of illegal activities, though investigations by independent auditors did not substantiate these claims.” The latter statement is factual – it reports an allegation and the outcome – and does not assert the unproven wrongdoing as fact. This approach protects us legally and also respects readers’ right to a nuanced truth.</w:t>
      </w:r>
    </w:p>
    <w:p w14:paraId="2E483F02" w14:textId="77777777" w:rsidR="00406E3B" w:rsidRDefault="00406E3B" w:rsidP="00406E3B">
      <w:pPr>
        <w:pStyle w:val="BodyText"/>
      </w:pPr>
      <w:r>
        <w:t>We were also mindful of the difference in standards when writing about public figures versus private individuals. George Soros and the leadership of OSF are public figures, and as such, they have a higher threshold to claim defamation (they must generally prove “actual malice” – that we knowingly or recklessly published false information). Nonetheless, we approached writing about them with the same caution as anyone else. We double-check factual claims and avoid conjecture. For instance, rather than writing “Soros secretly manipulates politics” (which would be a bold and likely libelous claim), we present what evidence exists or doesn’t exist about Soros’s political activities, and we might note “Conspiracy theories that Soros manipulates politics abound, but investigations and our research did not find credible evidence supporting such claims.” That’s a truthful statement that makes clear we are not endorsing the false claim.</w:t>
      </w:r>
    </w:p>
    <w:p w14:paraId="24A604B2" w14:textId="77777777" w:rsidR="00406E3B" w:rsidRDefault="00406E3B" w:rsidP="00406E3B">
      <w:pPr>
        <w:pStyle w:val="BodyText"/>
      </w:pPr>
      <w:r>
        <w:t>For private individuals who appear in the narrative (say, a grassroots activist OSF funded, or an OSF employee who isn’t a public figure), we take extra care with their reputation and privacy. We include them by name only if necessary for the story and if the information is pertinent and well-sourced. We avoid including disparaging details about private persons unless absolutely in the public interest and backed by evidence. In many cases, we anonymize or generalize references to less public individuals (e.g. “a staffer in OSF’s Kenya office said…”) to focus on the point without dragging someone’s personal reputation specifically. This is both an ethical choice and a legal safeguard, since private individuals are more protected from defamatory reporting.</w:t>
      </w:r>
    </w:p>
    <w:p w14:paraId="100EF9C2" w14:textId="77777777" w:rsidR="00406E3B" w:rsidRDefault="00406E3B" w:rsidP="00406E3B">
      <w:pPr>
        <w:pStyle w:val="BodyText"/>
      </w:pPr>
      <w:r>
        <w:t xml:space="preserve">Additionally, we sought </w:t>
      </w:r>
      <w:r>
        <w:rPr>
          <w:b/>
          <w:bCs/>
        </w:rPr>
        <w:t>legal review</w:t>
      </w:r>
      <w:r>
        <w:t xml:space="preserve"> for certain sensitive passages. Particularly, chapters that deal with accusations of criminality or serious misconduct were reviewed by a media law attorney or an expert consultant to ensure that our phrasing and sourcing were solid. If any statement was flagged as potentially problematic (perhaps too speculative or lacking attribution), we revised it. The goal was to pre-empt any libel issues by being cautious with wording. You’ll notice throughout the text we often use qualifying language like “alleged,” “reportedly,” or “according to X,” which, aside from conveying nuance, also serves the purpose of not making an unqualified assertion that could be legally problematic. However, we also don’t want to be mealy-mouthed where facts are established. We do say strong things when evidence is strong. It’s not defamatory to call a spade a spade with proof. For example, if an OSF-funded project was found to have embezzled funds according to an audit, we will report that as a fact (assuming we have documentation). That might harm someone’s reputation, but if it’s true and a matter of public record, it is not libel – it’s journalism.</w:t>
      </w:r>
    </w:p>
    <w:p w14:paraId="299039D4" w14:textId="77777777" w:rsidR="00406E3B" w:rsidRDefault="00406E3B" w:rsidP="00406E3B">
      <w:pPr>
        <w:pStyle w:val="BodyText"/>
      </w:pPr>
      <w:r>
        <w:rPr>
          <w:b/>
          <w:bCs/>
        </w:rPr>
        <w:t>Privacy:</w:t>
      </w:r>
      <w:r>
        <w:t xml:space="preserve"> OSF is an organization, not an individual, so privacy in terms of personal life doesn’t apply to it per se. But many people intersect with this story: grant recipients, staff, activists, even beneficiaries on the ground. We made it an ethical priority to respect </w:t>
      </w:r>
      <w:r>
        <w:lastRenderedPageBreak/>
        <w:t>individual privacy. This means we did not pry into or publish details of private citizens’ lives that are not relevant to OSF’s activities. For instance, if an OSF staff member has a family issue or a health issue unrelated to their work, that’s off-limits. If a protester funded by OSF is a minor or someone who could face danger if identified, we either omit the name or use pseudonyms with explanation. We also complied with privacy laws like the EU’s GDPR when handling personal data: any personal information we gathered (like contact info for interviews) was handled confidentially and not stored beyond its use.</w:t>
      </w:r>
    </w:p>
    <w:p w14:paraId="1D075641" w14:textId="77777777" w:rsidR="00406E3B" w:rsidRDefault="00406E3B" w:rsidP="00406E3B">
      <w:pPr>
        <w:pStyle w:val="BodyText"/>
      </w:pPr>
      <w:r>
        <w:t>When discussing case studies or anecdotes, we often focus on organizations or use aggregate descriptions rather than naming every individual involved, unless naming is crucial. In a story about an OSF-funded scholarship program, for example, we might highlight one student’s experience. We would do so with their consent (if identifying them) or change identifying details if they wished to remain anonymous. In fact, for any direct interviews we did with private individuals, we obtained consent about how their information would be used. Some requested anonymity due to fear of backlash (especially in countries where Soros/OSF is demonized). In those cases, we honor that and describe them in general terms (e.g., “a journalist who received an OSF fellowship in 2015 in country X, who asked not to be named, said…”) – giving the reader context but not exposing the person.</w:t>
      </w:r>
    </w:p>
    <w:p w14:paraId="3D84C618" w14:textId="77777777" w:rsidR="00406E3B" w:rsidRDefault="00406E3B" w:rsidP="00406E3B">
      <w:pPr>
        <w:pStyle w:val="BodyText"/>
      </w:pPr>
      <w:r>
        <w:t xml:space="preserve">We exercised caution in handling </w:t>
      </w:r>
      <w:r>
        <w:rPr>
          <w:b/>
          <w:bCs/>
        </w:rPr>
        <w:t>sensitive personal data</w:t>
      </w:r>
      <w:r>
        <w:t xml:space="preserve"> inadvertently found in source materials. For example, in OSF’s leaked documents (should we have encountered any), if they contained personal contact info or IDs of activists, we would not publish those details. It’s both ethically right (avoid doxxing anyone) and prudent, as including such could be irresponsible.</w:t>
      </w:r>
    </w:p>
    <w:p w14:paraId="29B04F53" w14:textId="77777777" w:rsidR="00406E3B" w:rsidRDefault="00406E3B" w:rsidP="00406E3B">
      <w:pPr>
        <w:pStyle w:val="BodyText"/>
      </w:pPr>
      <w:r>
        <w:rPr>
          <w:b/>
          <w:bCs/>
        </w:rPr>
        <w:t>Fairness and Balance:</w:t>
      </w:r>
      <w:r>
        <w:t xml:space="preserve"> Fairness was a guiding principle in our investigation. By fairness, we mean giving subjects a chance to share their perspective, portraying events in context, and not presenting evidence in a skewed way. We don’t equate fairness with false balance (we’re not going to equally weigh a baseless theory against a solid fact), but we ensure that where there is legitimate disagreement or interpretation, we present the multiple viewpoints. For example, OSF might view a particular intervention as a success, while a government might view it as unwelcome interference. Both perspectives are important for a reader to understand the conflict. We include OSF’s justification and the government’s complaint, then we also include any third-party analysis or facts (did the program break any laws? did it achieve something measurable?). The reader can then see what each side is saying along with what the evidence says.</w:t>
      </w:r>
    </w:p>
    <w:p w14:paraId="6BDFFD5D" w14:textId="77777777" w:rsidR="00406E3B" w:rsidRDefault="00406E3B" w:rsidP="00406E3B">
      <w:pPr>
        <w:pStyle w:val="BodyText"/>
      </w:pPr>
      <w:r>
        <w:t xml:space="preserve">We also maintain a civil and impartial tone. Our goal is not to villainize or lionize OSF but to investigate and inform. You will not see ad hominem attacks or loaded, emotive language from the author. If someone is described as “controversial” or “influential,” it’s because evidence or general consensus supports that characterization, not because of our personal feeling. And if someone or OSF did something praiseworthy or positive, we report that too – this is not an exposé looking only for negatives. In fact, part of fairness was </w:t>
      </w:r>
      <w:r>
        <w:lastRenderedPageBreak/>
        <w:t>acknowledging OSF’s accomplishments and stated noble goals, even as we scrutinize where the criticism comes in.</w:t>
      </w:r>
    </w:p>
    <w:p w14:paraId="0B07CD4D" w14:textId="77777777" w:rsidR="00406E3B" w:rsidRDefault="00406E3B" w:rsidP="00406E3B">
      <w:pPr>
        <w:pStyle w:val="BodyText"/>
      </w:pPr>
      <w:r>
        <w:t>We gave weight to sources proportional to their credibility and relevance. A government official’s statement about OSF’s impact in their country is included, but also examined in light of that official’s possible biases or misapprehensions. An independent expert study might be given more weight on an issue than partisan commentary. But we might include the partisan commentary with a note of context (like, “X, who has long opposed Soros’ agenda, claimed Y”) to show the spectrum of discourse. We avoided presenting only one side’s narrative on a contested event; if only one side was available, we explicitly say that and why (like “OSF’s opponents refused or were unavailable to comment on this issue”).</w:t>
      </w:r>
    </w:p>
    <w:p w14:paraId="455BC7D5" w14:textId="77777777" w:rsidR="00406E3B" w:rsidRDefault="00406E3B" w:rsidP="00406E3B">
      <w:pPr>
        <w:pStyle w:val="BodyText"/>
      </w:pPr>
      <w:r>
        <w:rPr>
          <w:b/>
          <w:bCs/>
        </w:rPr>
        <w:t>Right of Reply:</w:t>
      </w:r>
      <w:r>
        <w:t xml:space="preserve"> A concrete practice of fairness is the right of reply. This means that if we are going to publish a significant criticism or allegation about a person or organization, we should give them a chance to respond within our story. Throughout the research, whenever we uncovered an allegation of wrongdoing or a sharp critique of OSF or affiliated persons, we reached out to the subject of that critique for comment. We sent questions or interview requests to OSF’s communications team regarding various controversies. In some cases, we got detailed responses, statements, or clarifications, which we incorporate. In others, we got a generic response or none – in which case we note that “OSF declined to comment on X” or “did not respond to multiple inquiries about Y.” The reader then knows we made the effort and what (if anything) the subject had to say. Similarly, when discussing, say, a grantee accused of misusing funds, we tried to contact that grantee for their side of the story. If a government accused OSF of something, we sought OSF’s reaction (often already public, sometimes directly provided to us). If OSF accused a government of unjustly targeting them, we sought the government’s perspective.</w:t>
      </w:r>
    </w:p>
    <w:p w14:paraId="6D0E0D71" w14:textId="77777777" w:rsidR="00406E3B" w:rsidRDefault="00406E3B" w:rsidP="00406E3B">
      <w:pPr>
        <w:pStyle w:val="BodyText"/>
      </w:pPr>
      <w:r>
        <w:t>The right of reply is not just a courtesy; it often brings new information or at least confirms what stance the subject takes. For instance, OSF’s official reply to a question about being banned in Country Z might include their explanation or their denial of the reasons given – that adds depth to our coverage. It also ensures that we don’t inadvertently one-side the story. It doesn’t mean giving equal time to lies (we won’t publish a lengthy false rebuttal), but it means including the essence of a subject’s defense. Ethically, this is about treating sources and subjects with respect. Legally, it can also strengthen a defense against libel, because showing that you sought and included the subject’s response indicates an effort at fairness, not reckless disregard.</w:t>
      </w:r>
    </w:p>
    <w:p w14:paraId="4F26AACD" w14:textId="77777777" w:rsidR="00406E3B" w:rsidRDefault="00406E3B" w:rsidP="00406E3B">
      <w:pPr>
        <w:pStyle w:val="BodyText"/>
      </w:pPr>
      <w:r>
        <w:t>On occasions where a reply introduced a new claim or fact we didn’t know, we would verify that too before including. For example, OSF might tell us, “Actually, in that case, we had already stopped funding that NGO before the scandal.” We would check OSF’s grant database to confirm if possible. If true, we add it (it’s an important clarification). If we can’t confirm but it’s their assertion, we might still include but attribute it (“OSF stated that it had ended its support for the NGO prior to the incident”).</w:t>
      </w:r>
    </w:p>
    <w:p w14:paraId="197352F7" w14:textId="77777777" w:rsidR="00406E3B" w:rsidRDefault="00406E3B" w:rsidP="00406E3B">
      <w:pPr>
        <w:pStyle w:val="BodyText"/>
      </w:pPr>
      <w:r>
        <w:rPr>
          <w:b/>
          <w:bCs/>
        </w:rPr>
        <w:t>Ethical Source Handling:</w:t>
      </w:r>
      <w:r>
        <w:t xml:space="preserve"> Beyond those big ideas, we adhered to basic ethical journalism practices. We never misrepresented ourselves in gathering information – we identified </w:t>
      </w:r>
      <w:r>
        <w:lastRenderedPageBreak/>
        <w:t>ourselves as researchers or journalists writing this book when approaching sources. We did not pay sources for information (an unethical practice known as checkbook journalism) because that compromises integrity. Everyone we interviewed or corresponded with spoke voluntarily. We promised some sources anonymity or confidentiality when it was necessary (like a whistleblower type source or someone in a repressive country) and we keep those promises, meaning we carefully scrub any identifying details that could expose them while still using the valuable information they provided in a way that readers can trust (often by corroborating it with documents or other accounts so it’s not just one anonymous claim).</w:t>
      </w:r>
    </w:p>
    <w:p w14:paraId="7842950F" w14:textId="77777777" w:rsidR="00406E3B" w:rsidRDefault="00406E3B" w:rsidP="00406E3B">
      <w:pPr>
        <w:pStyle w:val="BodyText"/>
      </w:pPr>
      <w:r>
        <w:t>We also remain independent. While writing about OSF, an organization known to fund media and advocacy in some places, we are transparent that this book is not funded by OSF nor by any adversary of OSF. (If it were, we would disclose that conflict, but it is not – this is an independent journalistic endeavor.) We consciously check that our own potential biases (political views, etc.) are not skewing the narrative; having a diverse research team helped, as internal discussions would surface if someone felt a draft was leaning unfairly.</w:t>
      </w:r>
    </w:p>
    <w:p w14:paraId="2D5D5DA8" w14:textId="77777777" w:rsidR="00406E3B" w:rsidRDefault="00406E3B" w:rsidP="00406E3B">
      <w:pPr>
        <w:pStyle w:val="BodyText"/>
      </w:pPr>
      <w:r>
        <w:t xml:space="preserve">In handling possibly </w:t>
      </w:r>
      <w:r>
        <w:rPr>
          <w:b/>
          <w:bCs/>
        </w:rPr>
        <w:t>illegal content</w:t>
      </w:r>
      <w:r>
        <w:t xml:space="preserve"> (like if we came across leaked documents that might have been hacked), we took care to verify them through secondary means rather than relying solely on potentially unlawfully obtained material. We also weighed public interest: if a document leaked illegally revealed something crucial in public interest, we might use it but carefully (as is often done in journalism), whereas we’d avoid prurient or irrelevant leaks.</w:t>
      </w:r>
    </w:p>
    <w:p w14:paraId="71DEBD96" w14:textId="77777777" w:rsidR="00406E3B" w:rsidRDefault="00406E3B" w:rsidP="00406E3B">
      <w:pPr>
        <w:pStyle w:val="BodyText"/>
      </w:pPr>
      <w:r>
        <w:t>Finally, we maintain humility that we might not know everything. If OSF or someone mentioned were to challenge something in the book post-publication, we remain open to reviewing evidence they provide and issuing corrections if warranted. An ethical investigator’s job isn’t to have the last word at all costs, but to get it right.</w:t>
      </w:r>
    </w:p>
    <w:p w14:paraId="091C0F3E" w14:textId="77777777" w:rsidR="00406E3B" w:rsidRDefault="00406E3B" w:rsidP="00406E3B">
      <w:pPr>
        <w:pStyle w:val="Heading2"/>
      </w:pPr>
      <w:bookmarkStart w:id="9" w:name="X9b11184edc3f9dc0b52b1e5d3232ad5db2e5b04"/>
      <w:bookmarkEnd w:id="8"/>
      <w:r>
        <w:t>The Appendix: Source Registry and How to Use It</w:t>
      </w:r>
    </w:p>
    <w:p w14:paraId="148178CB" w14:textId="77777777" w:rsidR="00406E3B" w:rsidRDefault="00406E3B" w:rsidP="00406E3B">
      <w:pPr>
        <w:pStyle w:val="FirstParagraph"/>
      </w:pPr>
      <w:r>
        <w:t xml:space="preserve">Transparency with sources is a hallmark of credible research. Rather than clutter the main text of the chapters with footnotes or parenthetical citations – which can disrupt flow and readability – we have compiled all sources in a comprehensive Appendix at the end of the book. This </w:t>
      </w:r>
      <w:r>
        <w:rPr>
          <w:i/>
          <w:iCs/>
        </w:rPr>
        <w:t>Source Registry</w:t>
      </w:r>
      <w:r>
        <w:t xml:space="preserve"> (or research log) lists every article, report, interview, book, website, or document that we drew information from, keyed to the content in the chapters via the {S:short-slug} markers you’ll see in the text. Here in Chapter 1 and throughout, when you encounter a reference like {S:IRE1975} or {S:LAistVerification}, that is a placeholder pointing to a full citation in the Appendix (in these examples, perhaps “IRE1975” refers to Investigative Reporters &amp; Editors’ definition from 1975, and “LAistVerification” refers to the LAist Editorial Guidelines excerpt on verification</w:t>
      </w:r>
      <w:hyperlink r:id="rId5" w:anchor=":~:text=Verification">
        <w:r>
          <w:rPr>
            <w:rStyle w:val="Hyperlink"/>
          </w:rPr>
          <w:t>[1]</w:t>
        </w:r>
      </w:hyperlink>
      <w:r>
        <w:t>). The reason we use these short codes instead of traditional footnote numbers is to give the reader an easy way to find the exact source, while keeping the narrative itself clean and focused.</w:t>
      </w:r>
    </w:p>
    <w:p w14:paraId="4603D139" w14:textId="77777777" w:rsidR="00406E3B" w:rsidRDefault="00406E3B" w:rsidP="00406E3B">
      <w:pPr>
        <w:pStyle w:val="BodyText"/>
      </w:pPr>
      <w:r>
        <w:lastRenderedPageBreak/>
        <w:t>In the Appendix, sources are organized in a structured manner, likely grouped by chapter or type, and each has a slug that matches the in-text marker. For instance, an entry might look like:</w:t>
      </w:r>
    </w:p>
    <w:p w14:paraId="1B7E4A81" w14:textId="77777777" w:rsidR="00406E3B" w:rsidRDefault="00406E3B" w:rsidP="00406E3B">
      <w:pPr>
        <w:numPr>
          <w:ilvl w:val="0"/>
          <w:numId w:val="1"/>
        </w:numPr>
      </w:pPr>
      <w:r>
        <w:rPr>
          <w:b/>
          <w:bCs/>
        </w:rPr>
        <w:t>{S:OSFAnnual2018}</w:t>
      </w:r>
      <w:r>
        <w:t xml:space="preserve"> – Open Society Foundations 2018 Annual Report. Open Society Foundations, 2019. (URL or archive info)</w:t>
      </w:r>
    </w:p>
    <w:p w14:paraId="56FD05B0" w14:textId="77777777" w:rsidR="00406E3B" w:rsidRDefault="00406E3B" w:rsidP="00406E3B">
      <w:pPr>
        <w:numPr>
          <w:ilvl w:val="0"/>
          <w:numId w:val="1"/>
        </w:numPr>
      </w:pPr>
      <w:r>
        <w:rPr>
          <w:b/>
          <w:bCs/>
        </w:rPr>
        <w:t>{S:NYTimes2017}</w:t>
      </w:r>
      <w:r>
        <w:t xml:space="preserve"> – Smith, John. “Soros Foundation Alters Its Strategy in Eastern Europe.” </w:t>
      </w:r>
      <w:r>
        <w:rPr>
          <w:i/>
          <w:iCs/>
        </w:rPr>
        <w:t>New York Times</w:t>
      </w:r>
      <w:r>
        <w:t>, July 12, 2017.</w:t>
      </w:r>
    </w:p>
    <w:p w14:paraId="43D00E13" w14:textId="77777777" w:rsidR="00406E3B" w:rsidRDefault="00406E3B" w:rsidP="00406E3B">
      <w:pPr>
        <w:numPr>
          <w:ilvl w:val="0"/>
          <w:numId w:val="1"/>
        </w:numPr>
      </w:pPr>
      <w:r>
        <w:rPr>
          <w:b/>
          <w:bCs/>
        </w:rPr>
        <w:t>{S:UkrainePoll2020}</w:t>
      </w:r>
      <w:r>
        <w:t xml:space="preserve"> – Democratic Initiatives Foundation. “Public Opinion on Foreign NGOs in Ukraine.” Poll report, 2020.</w:t>
      </w:r>
    </w:p>
    <w:p w14:paraId="1FB8C047" w14:textId="77777777" w:rsidR="00406E3B" w:rsidRDefault="00406E3B" w:rsidP="00406E3B">
      <w:pPr>
        <w:pStyle w:val="FirstParagraph"/>
      </w:pPr>
      <w:r>
        <w:t>And so on. This registry is essentially the evidence backing the entire book, laid bare for those interested. Readers are encouraged to consult it if they want to dive deeper or verify something themselves. Perhaps you read a claim and think, “Really? Where’d that come from?” – you can flip (or scroll) to the Appendix, find the corresponding slug, and see the source. If it’s a publicly accessible source (many are), you could even look it up directly via the provided link or reference.</w:t>
      </w:r>
    </w:p>
    <w:p w14:paraId="0DB52150" w14:textId="77777777" w:rsidR="00406E3B" w:rsidRDefault="00406E3B" w:rsidP="00406E3B">
      <w:pPr>
        <w:pStyle w:val="BodyText"/>
      </w:pPr>
      <w:r>
        <w:t xml:space="preserve">We designed it this way to fulfill two somewhat contradictory needs: </w:t>
      </w:r>
      <w:r>
        <w:rPr>
          <w:b/>
          <w:bCs/>
        </w:rPr>
        <w:t>readability and rigor</w:t>
      </w:r>
      <w:r>
        <w:t>. In the main text, we want you to have a smooth reading experience, absorbing the narrative and analysis without constantly pausing to decipher academic-style footnotes or parentheticals. At the same time, we want you to know that this isn’t just opinion – every factual statement or quote has an origin you can check. By relocating the technical citations to an Appendix, we achieve both. It’s akin to the model often used in longform reports or white papers, where references are at the end, but here we ensure it’s easy to map which reference supports which part of the text.</w:t>
      </w:r>
    </w:p>
    <w:p w14:paraId="78CBB268" w14:textId="77777777" w:rsidR="00406E3B" w:rsidRDefault="00406E3B" w:rsidP="00406E3B">
      <w:pPr>
        <w:pStyle w:val="BodyText"/>
      </w:pPr>
      <w:r>
        <w:t>We also mention in chapter text the sources when it adds value. For example, we might write “a study by Oxford University researchers in 2019 found X{S:Oxford2019}” – so you know in real-time what that source was generally. But the details like the exact title and authors of the study would be in the Appendix. This keeps the narrative uncluttered yet informative.</w:t>
      </w:r>
    </w:p>
    <w:p w14:paraId="39883066" w14:textId="77777777" w:rsidR="00406E3B" w:rsidRDefault="00406E3B" w:rsidP="00406E3B">
      <w:pPr>
        <w:pStyle w:val="BodyText"/>
      </w:pPr>
      <w:r>
        <w:t xml:space="preserve">One more reason all sources live in one place: </w:t>
      </w:r>
      <w:r>
        <w:rPr>
          <w:b/>
          <w:bCs/>
        </w:rPr>
        <w:t>to avoid repetition and error.</w:t>
      </w:r>
      <w:r>
        <w:t xml:space="preserve"> If the same source informed multiple parts of the book, listing it once in the Appendix avoids duplicate footnotes. And having a single master list means during fact-checking and editing, we could ensure every source is accounted for and properly cited. It’s easier to manage one big list than dozens of footnotes scattered in each chapter (from a process perspective). It also allows readers with the book in e-format to search within the Appendix for other sources of interest.</w:t>
      </w:r>
    </w:p>
    <w:p w14:paraId="38B59332" w14:textId="77777777" w:rsidR="00406E3B" w:rsidRDefault="00406E3B" w:rsidP="00406E3B">
      <w:pPr>
        <w:pStyle w:val="BodyText"/>
      </w:pPr>
      <w:r>
        <w:t xml:space="preserve">In terms of content, the Appendix includes not just published sources but also any interviews or correspondences we conducted. Those might be cited as, for example, “{S:InterviewJaneDoe} – Interview with Jane Doe (former OSF program manager), </w:t>
      </w:r>
      <w:r>
        <w:lastRenderedPageBreak/>
        <w:t>conducted March 2024.” In the text, we might refer to what Jane said, and mark it with that code, so you know we have a source for it beyond just a vague reference. Some off-record or sensitive interviews are either anonymized or summarized, but we still note them in a generic way (e.g., “Interview with an OSF regional director (anonymity requested), July 2024”).</w:t>
      </w:r>
    </w:p>
    <w:p w14:paraId="28DCAC59" w14:textId="77777777" w:rsidR="00406E3B" w:rsidRDefault="00406E3B" w:rsidP="00406E3B">
      <w:pPr>
        <w:pStyle w:val="BodyText"/>
      </w:pPr>
      <w:r>
        <w:t>We made sure not to rely on any secret sources that we couldn’t hint at at all. If we learned something from a truly confidential source that we cannot even describe in the Appendix, we either corroborated it with something we can cite or we decided not to include it. This is because we want the published work to stand on publicly referenceable legs as much as possible. It’s not fair to readers to say “trust us, we got insider info but can’t tell you from who.” We’d rather find a way to get that info on record or present it as analysis that doesn’t require blind trust. In a few cases, information from insiders guided us where to look in public records or what questions to ask others – effectively those tips become a starting point, but then we present the evidence we found as the basis, not the tip itself.</w:t>
      </w:r>
    </w:p>
    <w:p w14:paraId="34CC9B3D" w14:textId="77777777" w:rsidR="00406E3B" w:rsidRDefault="00406E3B" w:rsidP="00406E3B">
      <w:pPr>
        <w:pStyle w:val="BodyText"/>
      </w:pPr>
      <w:r>
        <w:t>Lastly, the Appendix is a resource for the curious and skeptical alike. If you wish to learn more about a certain aspect, the sources listed will often lead you to full reports or books on the topic. If you doubt something, you can check and see if we perhaps interpreted something differently than you might – healthy skepticism is welcomed; that’s why we want to show our work. In a way, the Appendix is an extension of the concept of the Open Society itself – transparency and the free exchange of information for the better understanding of truth.</w:t>
      </w:r>
    </w:p>
    <w:p w14:paraId="286C42E3" w14:textId="77777777" w:rsidR="00406E3B" w:rsidRDefault="00406E3B" w:rsidP="00406E3B">
      <w:pPr>
        <w:pStyle w:val="BodyText"/>
      </w:pPr>
      <w:r>
        <w:t>We encourage readers, especially those coming across future claims about OSF in the wild, to use the Appendix as a starting point to verify those claims. Often, rumors can be checked against factual sources we have already compiled. For example, if next year someone claims “OSF’s funding in Country X quadrupled and caused event Y,” you could look at the Appendix entries for OSF’s financial reports or grants in Country X that we listed, to see what they say, before believing or spreading that claim. In that way, the Appendix isn’t just a ledger of what we did, but a toolkit for ongoing critical evaluation.</w:t>
      </w:r>
    </w:p>
    <w:p w14:paraId="5C4EBC21" w14:textId="77777777" w:rsidR="00406E3B" w:rsidRDefault="00406E3B" w:rsidP="00406E3B">
      <w:pPr>
        <w:pStyle w:val="Heading2"/>
      </w:pPr>
      <w:bookmarkStart w:id="10" w:name="Xac4ccd31a1a5c9340426ea30bafade7891aa634"/>
      <w:bookmarkEnd w:id="9"/>
      <w:r>
        <w:t>A Reader’s Guide to Evaluating Future Claims about OSF</w:t>
      </w:r>
    </w:p>
    <w:p w14:paraId="53942AA2" w14:textId="77777777" w:rsidR="00406E3B" w:rsidRDefault="00406E3B" w:rsidP="00406E3B">
      <w:pPr>
        <w:pStyle w:val="FirstParagraph"/>
      </w:pPr>
      <w:r>
        <w:t xml:space="preserve">One of the goals of this book is not only to shed light on OSF’s influence and controversies, but also to empower you as a reader to critically evaluate any new claims about OSF (or similar organizations) that you may encounter in the future. In the age of information – and misinformation – it’s important to have a mental checklist for truth-testing. In this final section of Chapter 1, we offer a brief guide, inspired by our investigative method, that you can apply yourself. Think of it as </w:t>
      </w:r>
      <w:r>
        <w:rPr>
          <w:b/>
          <w:bCs/>
        </w:rPr>
        <w:t>investigative literacy</w:t>
      </w:r>
      <w:r>
        <w:t>: a set of questions and approaches modeled on what we did in our research, but usable by anyone.</w:t>
      </w:r>
    </w:p>
    <w:p w14:paraId="76347139" w14:textId="77777777" w:rsidR="00406E3B" w:rsidRDefault="00406E3B" w:rsidP="00406E3B">
      <w:pPr>
        <w:numPr>
          <w:ilvl w:val="0"/>
          <w:numId w:val="3"/>
        </w:numPr>
      </w:pPr>
      <w:r>
        <w:rPr>
          <w:b/>
          <w:bCs/>
        </w:rPr>
        <w:t>Consider the Source:</w:t>
      </w:r>
      <w:r>
        <w:t xml:space="preserve"> When you hear a claim about OSF (positive or negative), first ask </w:t>
      </w:r>
      <w:r>
        <w:rPr>
          <w:i/>
          <w:iCs/>
        </w:rPr>
        <w:t>who is making this claim and where is it published or stated?</w:t>
      </w:r>
      <w:r>
        <w:t xml:space="preserve"> Is it coming from OSF itself (like an official press release), from a mainstream news outlet, from a government official, or from an anonymous post on social media? The credibility of </w:t>
      </w:r>
      <w:r>
        <w:lastRenderedPageBreak/>
        <w:t xml:space="preserve">the source matters hugely. A random blog with a conspiratorial bent requires more skepticism than, say, a report in </w:t>
      </w:r>
      <w:r>
        <w:rPr>
          <w:i/>
          <w:iCs/>
        </w:rPr>
        <w:t>The Wall Street Journal</w:t>
      </w:r>
      <w:r>
        <w:t>. This doesn’t mean authorities or big media are infallible (they sometimes err or have biases), but generally, something appearing in a reputable journal that does fact-checking is more likely to be grounded in evidence. If the claim is from a partisan actor (e.g., a politician who opposes OSF’s agenda, or conversely an OSF grantee praising OSF), be aware of their potential biases. That doesn’t automatically invalidate what they say, but it means you should look for independent confirmation.</w:t>
      </w:r>
    </w:p>
    <w:p w14:paraId="54E898E2" w14:textId="77777777" w:rsidR="00406E3B" w:rsidRDefault="00406E3B" w:rsidP="00406E3B">
      <w:pPr>
        <w:numPr>
          <w:ilvl w:val="0"/>
          <w:numId w:val="3"/>
        </w:numPr>
      </w:pPr>
      <w:r>
        <w:rPr>
          <w:b/>
          <w:bCs/>
        </w:rPr>
        <w:t>Ask for Evidence:</w:t>
      </w:r>
      <w:r>
        <w:t xml:space="preserve"> What evidence is provided for the claim? If someone says, “OSF is funding violent protests,” did they offer any proof – a leaked document, a financial trace, an eyewitness account? Or is it just assertion? Reliable claims usually come with some form of supporting evidence or at least specifics that can be checked. Vague claims like “I bet Soros is behind this” with no further info are essentially rumors. In our investigation, whenever we encountered a claim, we hunted for documents, data, or multiple witnesses; you can mimic that by searching news archives, public records, or fact-checking websites for evidence on the claim. Often, major controversial claims about OSF have already been fact-checked by organizations (for example, the idea that Soros pays protesters has been debunked by numerous fact-checkers). A quick search could lead you to those analyses.</w:t>
      </w:r>
    </w:p>
    <w:p w14:paraId="7A3DF5A2" w14:textId="77777777" w:rsidR="00406E3B" w:rsidRDefault="00406E3B" w:rsidP="00406E3B">
      <w:pPr>
        <w:numPr>
          <w:ilvl w:val="0"/>
          <w:numId w:val="3"/>
        </w:numPr>
      </w:pPr>
      <w:r>
        <w:rPr>
          <w:b/>
          <w:bCs/>
        </w:rPr>
        <w:t>Identify the Category of the Claim:</w:t>
      </w:r>
      <w:r>
        <w:t xml:space="preserve"> Is it presented as a fact, an allegation, or speculation? Sometimes, people present allegations as if they were facts (“OSF did X!”) when actually it’s unproven. Other times, legitimate facts can be twisted into misleading narratives. Using the classification we employed: is it an </w:t>
      </w:r>
      <w:r>
        <w:rPr>
          <w:i/>
          <w:iCs/>
        </w:rPr>
        <w:t>established fact</w:t>
      </w:r>
      <w:r>
        <w:t xml:space="preserve"> (e.g., “OSF’s budget was $1.2 billion in 2020” – verifiable in OSF’s official report), a </w:t>
      </w:r>
      <w:r>
        <w:rPr>
          <w:i/>
          <w:iCs/>
        </w:rPr>
        <w:t>contested claim</w:t>
      </w:r>
      <w:r>
        <w:t xml:space="preserve"> (e.g., “OSF meddled in election Z” – something one side says and OSF denies), or a </w:t>
      </w:r>
      <w:r>
        <w:rPr>
          <w:i/>
          <w:iCs/>
        </w:rPr>
        <w:t>baseless rumor</w:t>
      </w:r>
      <w:r>
        <w:t xml:space="preserve"> (“OSF controls the UN” – no evidence)? Recognizing this will guide how you treat the claim. Established facts you can usually accept (though double-check if critical); contested claims you should research from multiple angles; baseless rumors you should view with high skepticism or ignore unless you want to debunk them.</w:t>
      </w:r>
    </w:p>
    <w:p w14:paraId="36053865" w14:textId="77777777" w:rsidR="00406E3B" w:rsidRDefault="00406E3B" w:rsidP="00406E3B">
      <w:pPr>
        <w:numPr>
          <w:ilvl w:val="0"/>
          <w:numId w:val="3"/>
        </w:numPr>
      </w:pPr>
      <w:r>
        <w:rPr>
          <w:b/>
          <w:bCs/>
        </w:rPr>
        <w:t>Cross-Verification:</w:t>
      </w:r>
      <w:r>
        <w:t xml:space="preserve"> Try to find confirmation from neutral or opposing sources. If a government accuses OSF of something, see if independent journalists or courts have verified that accusation, or if OSF has responded with evidence to the contrary. If OSF boasts about a success, see if there are external evaluations or community perspectives on that program. Often, truth lies in the intersection of multiple sources. That was our approach: we rarely relied on a single source for anything important. You can emulate that by not settling for one Google result – check a few. If multiple credible sources align, that’s a good sign. If they wildly disagree, you know it’s contested and you’ll need to parse who has evidence versus who has agenda.</w:t>
      </w:r>
    </w:p>
    <w:p w14:paraId="01514DF1" w14:textId="77777777" w:rsidR="00406E3B" w:rsidRDefault="00406E3B" w:rsidP="00406E3B">
      <w:pPr>
        <w:numPr>
          <w:ilvl w:val="0"/>
          <w:numId w:val="3"/>
        </w:numPr>
      </w:pPr>
      <w:r>
        <w:rPr>
          <w:b/>
          <w:bCs/>
        </w:rPr>
        <w:lastRenderedPageBreak/>
        <w:t>Context and History:</w:t>
      </w:r>
      <w:r>
        <w:t xml:space="preserve"> Many sensational claims about OSF are recycled or have a context that changes their meaning. For example, a photo circulated of a meeting between a judge and an OSF official might be presented as “proof of collusion,” but knowing the context (perhaps it was an official public event, not secret) defuses it. Whenever you see something shocking, ask: </w:t>
      </w:r>
      <w:r>
        <w:rPr>
          <w:i/>
          <w:iCs/>
        </w:rPr>
        <w:t>Is there context I’m missing?</w:t>
      </w:r>
      <w:r>
        <w:t xml:space="preserve"> A quick check might show that, say, OSF being “expelled” from a country was preceded by a propaganda campaign in that country – indicating the claim might be politically motivated. Chapter 1 of this book has given you some historical baseline: you know OSF’s broad mission and typical activities. Use that knowledge. A claim that “OSF is arming rebels” should immediately raise a red flag, because OSF is not known to fund weaponry (and we found no evidence of that). It would be wildly out of pattern. Not impossible, but extraordinary claims require extraordinary evidence. Understanding OSF’s usual modes (grants to NGOs, advocacy) helps you gauge plausibility.</w:t>
      </w:r>
    </w:p>
    <w:p w14:paraId="2727C276" w14:textId="77777777" w:rsidR="00406E3B" w:rsidRDefault="00406E3B" w:rsidP="00406E3B">
      <w:pPr>
        <w:numPr>
          <w:ilvl w:val="0"/>
          <w:numId w:val="3"/>
        </w:numPr>
      </w:pPr>
      <w:r>
        <w:rPr>
          <w:b/>
          <w:bCs/>
        </w:rPr>
        <w:t>Check the Claims Ledger (figuratively speaking):</w:t>
      </w:r>
      <w:r>
        <w:t xml:space="preserve"> We created a literal ledger, but you can have a mental ledger of common claims. By reading this book, you’ll be familiar with many key issues (e.g., OSF in Eastern Europe, OSF and migration, OSF’s influence on media, etc.) and what we found to be true or false. If a future claim surfaces on one of these themes, you can recall or revisit what this investigation concluded. If someone says, “OSF caused economy X to crash,” and we covered something similar and found no evidence, you have grounds to doubt it unless new evidence is presented. Of course, remain open to new evidence – but also remember that a lot of these narratives have been around and examined. Be wary of “repackaged” allegations that are essentially old ones with new coats of paint.</w:t>
      </w:r>
    </w:p>
    <w:p w14:paraId="3B5BED47" w14:textId="77777777" w:rsidR="00406E3B" w:rsidRDefault="00406E3B" w:rsidP="00406E3B">
      <w:pPr>
        <w:numPr>
          <w:ilvl w:val="0"/>
          <w:numId w:val="3"/>
        </w:numPr>
      </w:pPr>
      <w:r>
        <w:rPr>
          <w:b/>
          <w:bCs/>
        </w:rPr>
        <w:t>Use the Appendix and Other Fact-Checking Sources:</w:t>
      </w:r>
      <w:r>
        <w:t xml:space="preserve"> This book’s Appendix is a goldmine of sources. If you see a news story and wonder if it’s credible, you might find the origin or related data in our sources. Moreover, organizations like PolitiFact, Snopes, FactCheck.org, and major newspapers’ fact-check sections have looked into Soros/OSF conspiracy theories over the years. They often explain why a claim is false or what truth kernel it started from. Utilizing these can save you time. Always check the date of such fact-checks though – ensure the information is up to date, as situations can evolve.</w:t>
      </w:r>
    </w:p>
    <w:p w14:paraId="50AA9BEA" w14:textId="77777777" w:rsidR="00406E3B" w:rsidRDefault="00406E3B" w:rsidP="00406E3B">
      <w:pPr>
        <w:numPr>
          <w:ilvl w:val="0"/>
          <w:numId w:val="3"/>
        </w:numPr>
      </w:pPr>
      <w:r>
        <w:rPr>
          <w:b/>
          <w:bCs/>
        </w:rPr>
        <w:t>Beware of Emotional Triggers:</w:t>
      </w:r>
      <w:r>
        <w:t xml:space="preserve"> Many false claims about OSF are designed to provoke strong emotions – fear, anger, suspicion. For instance, rumors might tie OSF to hot-button issues (immigration, national sovereignty, etc.) in a way to stoke resentment. If you read something that gives you a visceral reaction, take a step back and apply the above steps before sharing or accepting it. Emotional narratives can cloud judgment. Our investigation aimed to be factual and measured precisely to cut through that emotional manipulation. If you find a piece of news or social media post using a lot of charged language (“puppet master,” “evil agenda,” or on </w:t>
      </w:r>
      <w:r>
        <w:lastRenderedPageBreak/>
        <w:t>the flip side, perhaps overly hero-worshipping Soros as savior), that’s a sign to check the facts carefully. Reality is usually more nuanced.</w:t>
      </w:r>
    </w:p>
    <w:p w14:paraId="3C2C3D5E" w14:textId="77777777" w:rsidR="00406E3B" w:rsidRDefault="00406E3B" w:rsidP="00406E3B">
      <w:pPr>
        <w:numPr>
          <w:ilvl w:val="0"/>
          <w:numId w:val="3"/>
        </w:numPr>
      </w:pPr>
      <w:r>
        <w:rPr>
          <w:b/>
          <w:bCs/>
        </w:rPr>
        <w:t>Understand Legal and Financial Structures:</w:t>
      </w:r>
      <w:r>
        <w:t xml:space="preserve"> Many wild theories exploit a general public unfamiliarity with how foundations work. By reading this book, you’ll gain insight into OSF’s structure, how it spends money, how it is governed, and what it legally can or can’t do (for example, U.S. foundations cannot donate to partisan political campaigns). Keep those constraints in mind. If someone claims “OSF funded Candidate Y under the table,” you should think: OSF as a 501(c)(3) would violate its tax status doing that; is there evidence they’d risk that? likely not; or they’d have to do it very covertly. Not impossible, but unlikely – show me evidence beyond just assertion. Understanding the difference between an OSF grant (which is usually public or at least known to the recipient and documented) versus, say, Soros’s personal investments (which are separate from OSF) is key. Some claims attribute to OSF things Soros might have done personally, or vice versa. Clarify the entity involved.</w:t>
      </w:r>
    </w:p>
    <w:p w14:paraId="083B256E" w14:textId="77777777" w:rsidR="00406E3B" w:rsidRDefault="00406E3B" w:rsidP="00406E3B">
      <w:pPr>
        <w:numPr>
          <w:ilvl w:val="0"/>
          <w:numId w:val="3"/>
        </w:numPr>
      </w:pPr>
      <w:r>
        <w:rPr>
          <w:b/>
          <w:bCs/>
        </w:rPr>
        <w:t>Apply Occam’s Razor:</w:t>
      </w:r>
      <w:r>
        <w:t xml:space="preserve"> Sometimes the simplest explanation is the accurate one. OSF tends to operate quite transparently – it publishes annual reports, lists initiatives on its websites. If an outcome (like a new law or a protest movement) can be explained by local factors and public OSF support, that might be the whole story. Conspiracy theories often assume secret grand plots when simpler public factors suffice. While it’s possible OSF does some things quietly (they might not trumpet every single grant), the organization’s philosophy historically has been openness. Also, consider human capacity: the more complex a supposed conspiracy, the more people would have to be in on it, and the harder to keep it secret. This line of reasoning often reveals the implausibility of grand claims (e.g., that OSF orchestrated a refugee crisis – that would require controlling myriad independent actors and events, far-fetched). So, ask yourself: what’s more likely and what does evidence support? A broad decentralized phenomenon or a single puppet master? Most times, reality is broad and decentralized.</w:t>
      </w:r>
    </w:p>
    <w:p w14:paraId="60179E1D" w14:textId="77777777" w:rsidR="00406E3B" w:rsidRDefault="00406E3B" w:rsidP="00406E3B">
      <w:pPr>
        <w:pStyle w:val="FirstParagraph"/>
      </w:pPr>
      <w:r>
        <w:t>In empowering you with this guide, we essentially hope to create more critical readers who can navigate information about not just OSF, but any influential institution in the public eye. George Soros’s OSF has been uniquely targeted by misinformation, but tomorrow it might be another philanthropist or NGO. The same principles apply. Think of how we unraveled things in this chapter and throughout the book: methodically, with care for evidence and fairness. You, too, can adopt an investigator’s mindset. If something doesn’t smell right, investigate a bit before accepting or sharing it.</w:t>
      </w:r>
    </w:p>
    <w:p w14:paraId="05199E5F" w14:textId="77777777" w:rsidR="00406E3B" w:rsidRDefault="00406E3B" w:rsidP="00406E3B">
      <w:pPr>
        <w:pStyle w:val="BodyText"/>
      </w:pPr>
      <w:r>
        <w:t xml:space="preserve">We also encourage engagement with primary sources. OSF’s own publications, financial disclosures, and independent audits are available. If, say, someone claims “OSF cut funding to country A to punish them,” you can actually look at their annual reports over years to see the trend in country A’s funding. If the trend doesn’t show a cut, that claim holds no water. Becoming comfortable checking such things (they’re often online) is </w:t>
      </w:r>
      <w:r>
        <w:lastRenderedPageBreak/>
        <w:t>powerful. Not everyone has time to do deep research on every issue – that’s why investigative journalists exist – but a little verification goes a long way in combating the spread of falsehoods.</w:t>
      </w:r>
    </w:p>
    <w:p w14:paraId="42DD6233" w14:textId="77777777" w:rsidR="00406E3B" w:rsidRDefault="00406E3B" w:rsidP="00406E3B">
      <w:pPr>
        <w:pStyle w:val="BodyText"/>
      </w:pPr>
      <w:r>
        <w:t>In conclusion, by reading this book you’re not only learning about OSF; you’re also seeing an investigation in action. We invite you to be an active consumer of information, to approach grand claims with healthy skepticism and modest curiosity. Use the tools we’ve provided – our findings, our sources, our methods – as a springboard for your own verification efforts. An open society, a concept dear to OSF’s mission, depends on citizens who can discern truth from lies through critical thinking and access to information. If this chapter has demystified the investigative process and equipped you with strategies to evaluate claims, then it has fulfilled its purpose. As you proceed to the subsequent chapters, keep these principles in mind; you’ll see them applied repeatedly. And once you finish the book, you’ll hopefully carry them into the wider world of information that awaits. Truth is a collective enterprise – thank you for being part of it as a critical reader.</w:t>
      </w:r>
    </w:p>
    <w:p w14:paraId="420D2781" w14:textId="77777777" w:rsidR="00406E3B" w:rsidRDefault="00406E3B" w:rsidP="00406E3B">
      <w:pPr>
        <w:pStyle w:val="BodyText"/>
      </w:pPr>
      <w:r>
        <w:rPr>
          <w:i/>
          <w:iCs/>
        </w:rPr>
        <w:t>Relationship to other chapters:</w:t>
      </w:r>
      <w:r>
        <w:t xml:space="preserve"> This methodology chapter establishes a foundation that will prevent redundancy in later chapters. Definitions of key terms here (influence, philanthropy, etc.) will not be redefined in each chapter; instead, other chapters will refer back to these definitions if needed. The explanation of evidence standards and the Claims Ledger here means that when subsequent chapters evaluate an allegation or cite a source, they won’t repeat the full methodological rationale – they will apply it, occasionally nodding to “as outlined in Chapter 1.” For example, Chapter 3’s analysis of a specific claim will assume readers understand the tiers of evidence and what makes something a contested allegation. If any overlap in describing OSF’s mission or structure occurs, we’ll cross-reference Chapter 1 rather than duplicating text. This note itself is to be removed before publication, ensuring the final book flows without meta-commentary. Each chapter complements the others: Chapter 1 gives you the lens, and the others use that lens to examine different facets of OSF.</w:t>
      </w:r>
    </w:p>
    <w:bookmarkEnd w:id="0"/>
    <w:bookmarkEnd w:id="1"/>
    <w:bookmarkEnd w:id="10"/>
    <w:p w14:paraId="1F6C2D71" w14:textId="0DB145B3" w:rsidR="00406E3B" w:rsidRDefault="00000000" w:rsidP="00406E3B">
      <w:r>
        <w:pict w14:anchorId="629FE813">
          <v:rect id="_x0000_i1026" style="width:0;height:1.5pt" o:hralign="center" o:bullet="t" o:hrstd="t" o:hr="t"/>
        </w:pict>
      </w:r>
    </w:p>
    <w:p w14:paraId="050AD829" w14:textId="77777777" w:rsidR="00406E3B" w:rsidRDefault="00406E3B" w:rsidP="00406E3B"/>
    <w:p w14:paraId="0734B940" w14:textId="77777777" w:rsidR="00406E3B" w:rsidRDefault="00406E3B" w:rsidP="00406E3B"/>
    <w:p w14:paraId="5F48BC72" w14:textId="77777777" w:rsidR="00406E3B" w:rsidRDefault="00406E3B" w:rsidP="00406E3B"/>
    <w:p w14:paraId="2E9FAF8B" w14:textId="77777777" w:rsidR="00406E3B" w:rsidRDefault="00406E3B" w:rsidP="00406E3B"/>
    <w:p w14:paraId="0541E2FD" w14:textId="77777777" w:rsidR="00406E3B" w:rsidRDefault="00406E3B" w:rsidP="00406E3B"/>
    <w:p w14:paraId="63585783" w14:textId="77777777" w:rsidR="00406E3B" w:rsidRDefault="00406E3B" w:rsidP="00406E3B"/>
    <w:p w14:paraId="6E1319F8" w14:textId="77777777" w:rsidR="00406E3B" w:rsidRDefault="00406E3B" w:rsidP="00406E3B"/>
    <w:p w14:paraId="1A7FE9B0" w14:textId="77777777" w:rsidR="00406E3B" w:rsidRDefault="00406E3B" w:rsidP="00406E3B"/>
    <w:p w14:paraId="642AAD74" w14:textId="77777777" w:rsidR="00406E3B" w:rsidRDefault="00406E3B" w:rsidP="00406E3B">
      <w:pPr>
        <w:pStyle w:val="Heading1"/>
      </w:pPr>
      <w:r>
        <w:lastRenderedPageBreak/>
        <w:t>Chapter 2: George Soros – Capital, Ideas, and Public Life</w:t>
      </w:r>
    </w:p>
    <w:p w14:paraId="544D2FCE" w14:textId="77777777" w:rsidR="00406E3B" w:rsidRDefault="00406E3B" w:rsidP="00406E3B">
      <w:pPr>
        <w:pStyle w:val="Heading2"/>
      </w:pPr>
      <w:bookmarkStart w:id="11" w:name="early-life-in-a-time-of-turmoil"/>
      <w:r>
        <w:t>Early Life in a Time of Turmoil</w:t>
      </w:r>
    </w:p>
    <w:p w14:paraId="302FC48F" w14:textId="77777777" w:rsidR="00406E3B" w:rsidRDefault="00406E3B" w:rsidP="00406E3B">
      <w:pPr>
        <w:pStyle w:val="FirstParagraph"/>
      </w:pPr>
      <w:r>
        <w:t>George Soros was born György Schwartz on August 12, 1930, in Budapest, Hungary, to a middle-class Jewish family. As a child he lived through the trauma of the Nazi occupation of Hungary in 1944–45, an experience that he later described as formative. The Soros family survived by obtaining false identity papers and hiding their Jewish identity. Soros has recalled that “not only did we survive, but we managed to help others” escape persecution, resisting an evil force “much stronger than we were—yet we prevailed” {S:OSFProfile}. After the war, as communist rule took hold in Hungary, the teenage Soros felt stifled. In 1947 he fled to London, where he worked odd jobs – as a railway porter and nightclub waiter – to support his studies at the London School of Economics {S:OSFProfile}. There Soros encountered the teachings of philosopher Karl Popper, whose concept of the “open society” would deeply influence Soros’s worldview {S:OSFProfile}. In 1951, Soros graduated with a degree in philosophy, and by 1954 he had earned a Master’s in the same field {S:Guardian2018}. Popper’s ideas about fallibility, critical thinking, and the dangers of totalitarian “closed societies” shaped the young Soros’s belief that societies flourish only when they protect democratic governance, freedom of expression, and individual rights {S:OSFProfile}. These principles would later become the bedrock of Soros’s philanthropic mission.</w:t>
      </w:r>
    </w:p>
    <w:p w14:paraId="339469CE" w14:textId="77777777" w:rsidR="00406E3B" w:rsidRDefault="00406E3B" w:rsidP="00406E3B">
      <w:pPr>
        <w:pStyle w:val="BodyText"/>
      </w:pPr>
      <w:r>
        <w:t>In 1956, at age 26, Soros emigrated to the United States to enter the world of finance. Arriving in New York City with an accent and limited means, he found work as an arbitrage trader for a small Wall Street firm. Soros later quipped that at the time he was “a philosophical refugee” making a living in finance almost by accident, driven by the need to earn money after his academic pursuits in philosophy did not yield a career {S:Guardian2018}. Over the next decade, Soros gained experience at several merchant banks and investment firms. By the late 1960s he had developed an innovative approach to markets, informed in part by his philosophical studies. He conceived a theory of “reflexivity,” arguing that markets are not perfectly rational and self-correcting as classical economics insists, but rather that investors’ perceptions help shape market reality, leading to self-reinforcing booms and busts. This insight – that biases and misconceptions can influence fundamentals – gave Soros an edge as a trader, he believed. “My success in the financial markets has given me a greater degree of independence than most other people,” Soros reflected, noting that this independence allowed him to pursue his own path in life {S:OSFProfile}. It was the beginning of an extraordinary career in capitalist enterprise that would eventually bankroll his equally extraordinary ambitions in philanthropy.</w:t>
      </w:r>
    </w:p>
    <w:p w14:paraId="5FABE517" w14:textId="77777777" w:rsidR="00406E3B" w:rsidRDefault="00406E3B" w:rsidP="00406E3B">
      <w:pPr>
        <w:pStyle w:val="Heading2"/>
      </w:pPr>
      <w:bookmarkStart w:id="12" w:name="X8abf8d71c0b753a6ece35eb03fa84ab7b68216b"/>
      <w:bookmarkEnd w:id="11"/>
      <w:r>
        <w:t>From Finance to Fortune: Building the Quantum Fund</w:t>
      </w:r>
    </w:p>
    <w:p w14:paraId="60809AB7" w14:textId="77777777" w:rsidR="00406E3B" w:rsidRDefault="00406E3B" w:rsidP="00406E3B">
      <w:pPr>
        <w:pStyle w:val="FirstParagraph"/>
      </w:pPr>
      <w:r>
        <w:t xml:space="preserve">In 1969, George Soros launched his first hedge fund, named Double Eagle, with about $4 million from investors {S:Guardian2018}. He ran this fund under the umbrella of the </w:t>
      </w:r>
      <w:r>
        <w:lastRenderedPageBreak/>
        <w:t xml:space="preserve">investment bank Arnhold and S. Bleichroeder, where he was employed. The fund performed impressively, and Soros used the profits to establish his own independent firm, Soros Fund Management, in 1970 {S:OSFProfile}. He then started a second fund, the Soros Fund, which was soon renamed the </w:t>
      </w:r>
      <w:r>
        <w:rPr>
          <w:b/>
          <w:bCs/>
        </w:rPr>
        <w:t>Quantum Fund</w:t>
      </w:r>
      <w:r>
        <w:t>. Soros’s shrewd and sometimes bold trading strategies quickly yielded remarkable returns. At its founding, the Quantum Fund managed $12 million in assets; by the early 1980s it had grown exponentially, making Soros one of the most successful investors in the world {S:Guardian2018}. Soros cultivated a reputation as a brilliant speculator with an uncanny instinct for macroeconomic trends and market psychology. He applied his theory of reflexivity by identifying asset bubbles and currency mispricings, then taking large positions to profit when reality corrected course – or to help force the correction.</w:t>
      </w:r>
    </w:p>
    <w:p w14:paraId="40BC45E2" w14:textId="77777777" w:rsidR="00406E3B" w:rsidRDefault="00406E3B" w:rsidP="00406E3B">
      <w:pPr>
        <w:pStyle w:val="BodyText"/>
      </w:pPr>
      <w:r>
        <w:t xml:space="preserve">Soros’s most famous financial coup came in 1992 and earned him the sobriquet “the man who broke the Bank of England.” Sensing that the British pound was fundamentally overvalued in the European Exchange Rate Mechanism, Soros’s fund mounted a massive short sale of the pound. On September 16, 1992 – known as </w:t>
      </w:r>
      <w:r>
        <w:rPr>
          <w:b/>
          <w:bCs/>
        </w:rPr>
        <w:t>Black Wednesday</w:t>
      </w:r>
      <w:r>
        <w:t xml:space="preserve"> – the British government was forced to devalue the currency and withdraw from the exchange system, and Soros’s fund reaped an estimated $1 billion in profit in a single day {S:Guardian2023}. The episode made Soros internationally notorious as a speculator capable of pressuring even sovereign central banks. It also cemented his personal fortune. By the mid-1990s, Soros was a billionaire many times over, though he often pointed out that he had given away more money than he kept. (Decades later, Soros would note that he ultimately donated around </w:t>
      </w:r>
      <w:r>
        <w:rPr>
          <w:b/>
          <w:bCs/>
        </w:rPr>
        <w:t>64% of his original fortune</w:t>
      </w:r>
      <w:r>
        <w:t xml:space="preserve"> to charity, drastically reducing his net worth {S:Guardian2018}. As of 2025 his net worth was roughly $7 billion after these philanthropic transfers, down from a peak far higher.)</w:t>
      </w:r>
    </w:p>
    <w:p w14:paraId="11D1BC0E" w14:textId="77777777" w:rsidR="00406E3B" w:rsidRDefault="00406E3B" w:rsidP="00406E3B">
      <w:pPr>
        <w:pStyle w:val="BodyText"/>
      </w:pPr>
      <w:r>
        <w:t xml:space="preserve">Throughout the 1990s and 2000s, Soros continued to score notable investment successes – and a few setbacks – through Quantum Fund’s global macro strategy. He bet against the Thai baht and Malaysian ringgit during the 1997 Asian financial crisis, for example, correctly anticipating devaluations. However, these actions drew anger from affected nations. Malaysia’s then-Prime Minister Mahathir Mohamad accused Soros of deliberately wreaking economic havoc on Southeast Asia, at one point calling him a “moron” whose speculation had undermined developing economies {S:ABC2006}. Those charges, tinged with anti-Semitic undertones, cast Soros as a convenient scapegoat for complex economic forces. Soros vehemently denied targeting Malaysia or having anything to do with the regional crisis beyond routine currency trades. Years later, Mahathir met Soros face-to-face and publicly </w:t>
      </w:r>
      <w:r>
        <w:rPr>
          <w:b/>
          <w:bCs/>
        </w:rPr>
        <w:t>retracted his accusation</w:t>
      </w:r>
      <w:r>
        <w:t>, conceding that Soros was not responsible for Malaysia’s 1997 currency collapse {S:ABC2006}. Despite the occasional controversy, Soros’s overall investing track record was stellar: his fund reportedly generated average annual returns above 30% for decades. By 2011 the Quantum Fund had grown to around $25 billion in assets under management, largely representing Soros’s own wealth {S:Guardian2018}. Soros began scaling back his direct investing role around that time, having more than achieved his financial goals.</w:t>
      </w:r>
    </w:p>
    <w:p w14:paraId="36282D78" w14:textId="77777777" w:rsidR="00406E3B" w:rsidRDefault="00406E3B" w:rsidP="00406E3B">
      <w:pPr>
        <w:pStyle w:val="BodyText"/>
      </w:pPr>
      <w:r>
        <w:lastRenderedPageBreak/>
        <w:t xml:space="preserve">One blemish on Soros’s financial career came from a </w:t>
      </w:r>
      <w:r>
        <w:rPr>
          <w:b/>
          <w:bCs/>
        </w:rPr>
        <w:t>French insider trading case</w:t>
      </w:r>
      <w:r>
        <w:t>. In 2002, a French court found Soros guilty of insider trading related to a 1988 stock purchase in the bank Société Générale. The case involved Soros’s minor role in a failed takeover attempt of the bank; Soros maintained that he had no insider information and that his trades were based on public news and widely known market rumors. Nonetheless, after years of legal proceedings, the conviction was upheld in 2006 by France’s highest court. Soros steadfastly denied wrongdoing, calling the case politically motivated and noting that the alleged offense occurred long before France even had clear insider trading laws {S:ReutersFactCheck2020}. While the conviction modestly tarnished Soros’s reputation in some circles, it had little practical effect on his career or travel, and it did not dampen his philanthropic resolve. By the early 2000s, Soros had already begun redirecting the bulk of his attention – and a huge share of his fortune – toward philanthropic and political pursuits aimed at shaping the world in line with his ideals.</w:t>
      </w:r>
    </w:p>
    <w:p w14:paraId="3E6519E7" w14:textId="77777777" w:rsidR="00406E3B" w:rsidRDefault="00406E3B" w:rsidP="00406E3B">
      <w:pPr>
        <w:pStyle w:val="BodyText"/>
      </w:pPr>
      <w:r>
        <w:rPr>
          <w:b/>
          <w:bCs/>
        </w:rPr>
        <w:t>Timeline: Key Moments in Soros’s Journey</w:t>
      </w:r>
      <w:r>
        <w:br/>
        <w:t xml:space="preserve">- </w:t>
      </w:r>
      <w:r>
        <w:rPr>
          <w:b/>
          <w:bCs/>
        </w:rPr>
        <w:t>1930</w:t>
      </w:r>
      <w:r>
        <w:t xml:space="preserve"> – Born in Budapest, Hungary, as György Schwartz, to a Jewish family.</w:t>
      </w:r>
      <w:r>
        <w:br/>
        <w:t xml:space="preserve">- </w:t>
      </w:r>
      <w:r>
        <w:rPr>
          <w:b/>
          <w:bCs/>
        </w:rPr>
        <w:t>1944–45</w:t>
      </w:r>
      <w:r>
        <w:t xml:space="preserve"> – Survives Nazi occupation of Hungary by hiding under a false identity; family aids others in escaping persecution {S:OSFProfile}.</w:t>
      </w:r>
      <w:r>
        <w:br/>
        <w:t xml:space="preserve">- </w:t>
      </w:r>
      <w:r>
        <w:rPr>
          <w:b/>
          <w:bCs/>
        </w:rPr>
        <w:t>1947</w:t>
      </w:r>
      <w:r>
        <w:t xml:space="preserve"> – Leaves communist Hungary for England; enrolls at the London School of Economics and meets philosopher Karl Popper, whose “open society” idea deeply influences him {S:OSFProfile}.</w:t>
      </w:r>
      <w:r>
        <w:br/>
        <w:t xml:space="preserve">- </w:t>
      </w:r>
      <w:r>
        <w:rPr>
          <w:b/>
          <w:bCs/>
        </w:rPr>
        <w:t>1956</w:t>
      </w:r>
      <w:r>
        <w:t xml:space="preserve"> – Emigrates to New York City to work in finance.</w:t>
      </w:r>
      <w:r>
        <w:br/>
        <w:t xml:space="preserve">- </w:t>
      </w:r>
      <w:r>
        <w:rPr>
          <w:b/>
          <w:bCs/>
        </w:rPr>
        <w:t>1969–70</w:t>
      </w:r>
      <w:r>
        <w:t xml:space="preserve"> – Establishes his first hedge fund (Double Eagle) and then Soros Fund Management; launches the Quantum Fund, which will make him one of the world’s most successful investors {S:Guardian2018}.</w:t>
      </w:r>
      <w:r>
        <w:br/>
        <w:t xml:space="preserve">- </w:t>
      </w:r>
      <w:r>
        <w:rPr>
          <w:b/>
          <w:bCs/>
        </w:rPr>
        <w:t>1979</w:t>
      </w:r>
      <w:r>
        <w:t xml:space="preserve"> – Begins philanthropy, funding scholarships for Black South African students during apartheid, marking the start of the Soros charitable network {S:OSFHistory}.</w:t>
      </w:r>
      <w:r>
        <w:br/>
        <w:t xml:space="preserve">- </w:t>
      </w:r>
      <w:r>
        <w:rPr>
          <w:b/>
          <w:bCs/>
        </w:rPr>
        <w:t>1984</w:t>
      </w:r>
      <w:r>
        <w:t xml:space="preserve"> – Opens his first foundation in Hungary to support free thought and undermine communist information controls (e.g. by distributing photocopiers to independent groups) {S:OSFHistory}.</w:t>
      </w:r>
      <w:r>
        <w:br/>
        <w:t xml:space="preserve">- </w:t>
      </w:r>
      <w:r>
        <w:rPr>
          <w:b/>
          <w:bCs/>
        </w:rPr>
        <w:t>1989–91</w:t>
      </w:r>
      <w:r>
        <w:t xml:space="preserve"> – With the Cold War ending, establishes foundations across Eastern Europe and the former Soviet Union. Founds Central European University in Budapest to foster critical thinking in post-communist societies {S:OSFProfile}.</w:t>
      </w:r>
      <w:r>
        <w:br/>
        <w:t xml:space="preserve">- </w:t>
      </w:r>
      <w:r>
        <w:rPr>
          <w:b/>
          <w:bCs/>
        </w:rPr>
        <w:t>1992</w:t>
      </w:r>
      <w:r>
        <w:t xml:space="preserve"> – “Black Wednesday”: Soros’s fund famously shorts the British pound, earning $1 billion in profit and gaining notoriety as the man who “broke the Bank of England” {S:Guardian2023}.</w:t>
      </w:r>
      <w:r>
        <w:br/>
        <w:t xml:space="preserve">- </w:t>
      </w:r>
      <w:r>
        <w:rPr>
          <w:b/>
          <w:bCs/>
        </w:rPr>
        <w:t>1993</w:t>
      </w:r>
      <w:r>
        <w:t xml:space="preserve"> – Creates the Open Society Institute (later the Open Society Foundations) as an umbrella to fund civil society, education, and public health programs worldwide. Launches a $200 million science fund to help ex-Soviet scientists amid their funding crisis {S:OSFHistory}.</w:t>
      </w:r>
      <w:r>
        <w:br/>
        <w:t xml:space="preserve">- </w:t>
      </w:r>
      <w:r>
        <w:rPr>
          <w:b/>
          <w:bCs/>
        </w:rPr>
        <w:t>1994–97</w:t>
      </w:r>
      <w:r>
        <w:t xml:space="preserve"> – Expands initiatives: pledges $50 million for Sarajevo’s recovery during the Balkan wars; spends over $100 million on after-school and minority education in post-apartheid South Africa; starts projects on drug policy reform (the Lindesmith Center) and end-of-life care in the U.S. (Project on Death in America) {S:OSFHistory}.</w:t>
      </w:r>
      <w:r>
        <w:br/>
      </w:r>
      <w:r>
        <w:lastRenderedPageBreak/>
        <w:t xml:space="preserve">- </w:t>
      </w:r>
      <w:r>
        <w:rPr>
          <w:b/>
          <w:bCs/>
        </w:rPr>
        <w:t>2003–04</w:t>
      </w:r>
      <w:r>
        <w:t xml:space="preserve"> – Becomes a major donor in U.S. politics, giving over $20 million to organizations opposing President George W. Bush’s re-election, and writing </w:t>
      </w:r>
      <w:r>
        <w:rPr>
          <w:i/>
          <w:iCs/>
        </w:rPr>
        <w:t>The Bubble of American Supremacy</w:t>
      </w:r>
      <w:r>
        <w:t xml:space="preserve"> criticizing the Iraq War {S:Guardian2003}.</w:t>
      </w:r>
      <w:r>
        <w:br/>
        <w:t xml:space="preserve">- </w:t>
      </w:r>
      <w:r>
        <w:rPr>
          <w:b/>
          <w:bCs/>
        </w:rPr>
        <w:t>2006</w:t>
      </w:r>
      <w:r>
        <w:t xml:space="preserve"> – Malaysian ex-PM Mahathir meets Soros and acknowledges Soros did </w:t>
      </w:r>
      <w:r>
        <w:rPr>
          <w:b/>
          <w:bCs/>
        </w:rPr>
        <w:t>not</w:t>
      </w:r>
      <w:r>
        <w:t xml:space="preserve"> cause the 1997 Asian financial crisis, ending their feud {S:ABC2006}.</w:t>
      </w:r>
      <w:r>
        <w:br/>
        <w:t xml:space="preserve">- </w:t>
      </w:r>
      <w:r>
        <w:rPr>
          <w:b/>
          <w:bCs/>
        </w:rPr>
        <w:t>2010s</w:t>
      </w:r>
      <w:r>
        <w:t xml:space="preserve"> – Open Society Foundations (OSF) grows into one of the largest private philanthropic networks, spending ~$1 billion per year on pro-democracy and rights programs in over 100 countries. Soros becomes an increasingly polarizing figure, lauded by supporters for championing democracy, vilified by detractors in a swirl of conspiracy theories.</w:t>
      </w:r>
      <w:r>
        <w:br/>
        <w:t xml:space="preserve">- </w:t>
      </w:r>
      <w:r>
        <w:rPr>
          <w:b/>
          <w:bCs/>
        </w:rPr>
        <w:t>2017</w:t>
      </w:r>
      <w:r>
        <w:t xml:space="preserve"> – Transfers </w:t>
      </w:r>
      <w:r>
        <w:rPr>
          <w:b/>
          <w:bCs/>
        </w:rPr>
        <w:t>$18 billion</w:t>
      </w:r>
      <w:r>
        <w:t xml:space="preserve"> of his wealth to OSF to secure its future endowment {S:OSFProfile}. OSF’s international office in Budapest closes amid Hungarian government hostility, relocating to Berlin {S:Guardian2023}.</w:t>
      </w:r>
      <w:r>
        <w:br/>
        <w:t xml:space="preserve">- </w:t>
      </w:r>
      <w:r>
        <w:rPr>
          <w:b/>
          <w:bCs/>
        </w:rPr>
        <w:t>2018</w:t>
      </w:r>
      <w:r>
        <w:t xml:space="preserve"> – Named Financial Times “Person of the Year” for his advocacy of liberal democracy. Survives a domestic terror threat when a Soros critic mails a pipe bomb to his home (intercepted by authorities) {S:WaPo2018}.</w:t>
      </w:r>
      <w:r>
        <w:br/>
        <w:t xml:space="preserve">- </w:t>
      </w:r>
      <w:r>
        <w:rPr>
          <w:b/>
          <w:bCs/>
        </w:rPr>
        <w:t>2020</w:t>
      </w:r>
      <w:r>
        <w:t xml:space="preserve"> – Announces a $1 billion commitment to launch the Open Society University Network, a global education initiative {S:OSFProfile}. OSF pledges $220 million for racial justice in the U.S. during nationwide protests.</w:t>
      </w:r>
      <w:r>
        <w:br/>
        <w:t xml:space="preserve">- </w:t>
      </w:r>
      <w:r>
        <w:rPr>
          <w:b/>
          <w:bCs/>
        </w:rPr>
        <w:t>2023</w:t>
      </w:r>
      <w:r>
        <w:t xml:space="preserve"> – At age 92, Soros hands over leadership of OSF to his son </w:t>
      </w:r>
      <w:r>
        <w:rPr>
          <w:b/>
          <w:bCs/>
        </w:rPr>
        <w:t>Alexander Soros</w:t>
      </w:r>
      <w:r>
        <w:t>, ensuring the Soros philanthropic legacy will continue under the next generation {S:Guardian2023}. In the same year, Soros receives the Presidential Medal of Freedom – the highest U.S. civilian honor – for his contributions to democracy and human rights {S:OSFProfile}.</w:t>
      </w:r>
    </w:p>
    <w:p w14:paraId="479F8D6E" w14:textId="77777777" w:rsidR="00406E3B" w:rsidRDefault="00406E3B" w:rsidP="00406E3B">
      <w:pPr>
        <w:pStyle w:val="BodyText"/>
      </w:pPr>
      <w:r>
        <w:rPr>
          <w:i/>
          <w:iCs/>
        </w:rPr>
        <w:t>(Continued on next page)</w:t>
      </w:r>
    </w:p>
    <w:p w14:paraId="4F019EFC" w14:textId="77777777" w:rsidR="00406E3B" w:rsidRDefault="00406E3B" w:rsidP="00406E3B">
      <w:pPr>
        <w:pStyle w:val="Heading2"/>
      </w:pPr>
      <w:bookmarkStart w:id="13" w:name="the-philosophy-of-an-open-society"/>
      <w:bookmarkEnd w:id="12"/>
      <w:r>
        <w:t>The Philosophy of an “Open Society”</w:t>
      </w:r>
    </w:p>
    <w:p w14:paraId="0C3D0437" w14:textId="77777777" w:rsidR="00406E3B" w:rsidRDefault="00406E3B" w:rsidP="00406E3B">
      <w:pPr>
        <w:pStyle w:val="FirstParagraph"/>
      </w:pPr>
      <w:r>
        <w:t xml:space="preserve">Even as Soros built a fortune in the 1960s and ’70s, he remained at heart a philosopher. Unlike many secretive financiers, he wrote prolifically and openly about his worldview. The central idea guiding Soros’s thought – and eventually his philanthropy – is the notion of the </w:t>
      </w:r>
      <w:r>
        <w:rPr>
          <w:b/>
          <w:bCs/>
        </w:rPr>
        <w:t>“open society.”</w:t>
      </w:r>
      <w:r>
        <w:t xml:space="preserve"> This term comes from Karl Popper’s 1945 book </w:t>
      </w:r>
      <w:r>
        <w:rPr>
          <w:i/>
          <w:iCs/>
        </w:rPr>
        <w:t>The Open Society and Its Enemies</w:t>
      </w:r>
      <w:r>
        <w:t xml:space="preserve">, which Soros read as a student in London. Popper argued that no one possesses ultimate truth and that societies are healthiest when they remain free, democratic, and open to divergent opinions and constant improvement. In contrast, “closed” societies impose dogma and silence dissent, often violently. For Soros, who had witnessed both Nazi and Soviet totalitarianism, Popper’s thesis was revelatory. It provided an </w:t>
      </w:r>
      <w:r>
        <w:rPr>
          <w:b/>
          <w:bCs/>
        </w:rPr>
        <w:t>epistemological justification for liberal democracy</w:t>
      </w:r>
      <w:r>
        <w:t xml:space="preserve">: since humans are fallible and reality is too complex for any single ideology to fully capture, the best society is one that permits freedom of thought, correction of mistakes, and change through peaceful debate rather than force {S:OSFProfile}. Soros embraced this idea, later writing that Popper’s emphasis on human fallibility “made me more sensitive to the role of misconceptions in financial markets” and influenced Soros’s own theory of reflexivity {S:OSFProfile}. More broadly, Popper’s work convinced Soros that an open society – marked by democratic governance, </w:t>
      </w:r>
      <w:r>
        <w:lastRenderedPageBreak/>
        <w:t>rule of law, and respect for individual rights – was a fundamental good to be defended and promoted.</w:t>
      </w:r>
    </w:p>
    <w:p w14:paraId="1BD75D37" w14:textId="77777777" w:rsidR="00406E3B" w:rsidRDefault="00406E3B" w:rsidP="00406E3B">
      <w:pPr>
        <w:pStyle w:val="BodyText"/>
      </w:pPr>
      <w:r>
        <w:t xml:space="preserve">Soros also developed original ideas about economics and history that dovetail with his open society vision. His </w:t>
      </w:r>
      <w:r>
        <w:rPr>
          <w:b/>
          <w:bCs/>
        </w:rPr>
        <w:t>theory of reflexivity</w:t>
      </w:r>
      <w:r>
        <w:t xml:space="preserve">, first articulated in the 1987 book </w:t>
      </w:r>
      <w:r>
        <w:rPr>
          <w:i/>
          <w:iCs/>
        </w:rPr>
        <w:t>The Alchemy of Finance</w:t>
      </w:r>
      <w:r>
        <w:t xml:space="preserve">, challenges the classical notion that markets tend toward equilibrium through perfect information. Instead, Soros posits that </w:t>
      </w:r>
      <w:r>
        <w:rPr>
          <w:b/>
          <w:bCs/>
        </w:rPr>
        <w:t>perceptions can create self-fulfilling prophecies</w:t>
      </w:r>
      <w:r>
        <w:t xml:space="preserve"> in markets: for example, if investors collectively believe an asset is overvalued, their actions (selling it) can push the price down, thereby </w:t>
      </w:r>
      <w:r>
        <w:rPr>
          <w:i/>
          <w:iCs/>
        </w:rPr>
        <w:t>making</w:t>
      </w:r>
      <w:r>
        <w:t xml:space="preserve"> it overvalued relative to the new fundamentals. In Soros’s view, this reflexive interplay between subjective perception and objective reality leads to frequent boom-bust cycles and financial crises – phenomena that orthodox economics struggled to explain. He has pointed out that his insight was initially dismissed by academic economists, but gained more attention after real-world events like the 2008 financial crisis validated the idea that markets are prone to excesses and </w:t>
      </w:r>
      <w:r>
        <w:rPr>
          <w:b/>
          <w:bCs/>
        </w:rPr>
        <w:t>far-from-equilibrium</w:t>
      </w:r>
      <w:r>
        <w:t xml:space="preserve"> behavior {S:Guardian2018}. Soros’s reflexivity theory is not just a tool for investing; it also carries a moral lesson about fallibility and the need for </w:t>
      </w:r>
      <w:r>
        <w:rPr>
          <w:b/>
          <w:bCs/>
        </w:rPr>
        <w:t>critical thinking</w:t>
      </w:r>
      <w:r>
        <w:t>, reinforcing the Popperian creed. If people (and markets) are often wrong, then open debate and correction mechanisms are essential – whether in financial systems or political systems.</w:t>
      </w:r>
    </w:p>
    <w:p w14:paraId="301FD967" w14:textId="77777777" w:rsidR="00406E3B" w:rsidRDefault="00406E3B" w:rsidP="00406E3B">
      <w:pPr>
        <w:pStyle w:val="BodyText"/>
      </w:pPr>
      <w:r>
        <w:t xml:space="preserve">Another key element of Soros’s philosophy is a deep skepticism of what he calls </w:t>
      </w:r>
      <w:r>
        <w:rPr>
          <w:b/>
          <w:bCs/>
        </w:rPr>
        <w:t>“market fundamentalism.”</w:t>
      </w:r>
      <w:r>
        <w:t xml:space="preserve"> Soros has argued that the laissez-faire free-market ideology that gained prominence in the 1980s – the belief that unregulated markets can solve most social problems – is itself a kind of closed ideology. In his books throughout the 1990s and 2000s (such as </w:t>
      </w:r>
      <w:r>
        <w:rPr>
          <w:i/>
          <w:iCs/>
        </w:rPr>
        <w:t>The Crisis of Global Capitalism</w:t>
      </w:r>
      <w:r>
        <w:t xml:space="preserve"> in 1998 and </w:t>
      </w:r>
      <w:r>
        <w:rPr>
          <w:i/>
          <w:iCs/>
        </w:rPr>
        <w:t>The Age of Fallibility</w:t>
      </w:r>
      <w:r>
        <w:t xml:space="preserve"> in 2006), Soros warned that unfettered global capitalism, absent strong political checks and a sense of social responsibility, would produce instability and inequality that could endanger both democracy and capitalism. He observed that after the Cold War, with communism defeated, Western elites assumed liberal democracy and free markets would spread hand-in-hand to create a peaceful “end of history.” Instead, Soros noted, </w:t>
      </w:r>
      <w:r>
        <w:rPr>
          <w:b/>
          <w:bCs/>
        </w:rPr>
        <w:t>unchecked capitalism</w:t>
      </w:r>
      <w:r>
        <w:t xml:space="preserve"> often undermined social cohesion and public trust, contributing to new forms of extremism and authoritarian backlash {S:Guardian2018}. Thus, while Soros championed open societies, he also called for </w:t>
      </w:r>
      <w:r>
        <w:rPr>
          <w:b/>
          <w:bCs/>
        </w:rPr>
        <w:t>regulating markets</w:t>
      </w:r>
      <w:r>
        <w:t xml:space="preserve"> and redistributing resources in ways that support social justice and prevent the concentration of power. In this sense Soros occupied a distinctive position: a capitalist billionaire who nonetheless spent much of his life critiquing the excesses and blind spots of capitalism as a system.</w:t>
      </w:r>
    </w:p>
    <w:p w14:paraId="50E416C3" w14:textId="77777777" w:rsidR="00406E3B" w:rsidRDefault="00406E3B" w:rsidP="00406E3B">
      <w:pPr>
        <w:pStyle w:val="BodyText"/>
      </w:pPr>
      <w:r>
        <w:t xml:space="preserve">Crucially, Soros sees no contradiction between </w:t>
      </w:r>
      <w:r>
        <w:rPr>
          <w:b/>
          <w:bCs/>
        </w:rPr>
        <w:t>capitalism and cosmopolitanism</w:t>
      </w:r>
      <w:r>
        <w:t xml:space="preserve"> – in fact, he long believed that economic and political openness go together. He often cites his own life as proof that </w:t>
      </w:r>
      <w:r>
        <w:rPr>
          <w:b/>
          <w:bCs/>
        </w:rPr>
        <w:t>free societies enabled free markets</w:t>
      </w:r>
      <w:r>
        <w:t xml:space="preserve"> and vice versa. However, Soros’s faith in that harmonious formula has been tested by events. He has acknowledged that the post-Cold War decades demonstrated that open society values do not automatically accompany global capitalism. Growing disparities and anxieties in market societies have fueled exactly the kind of nationalist, xenophobic movements that stand against Soros’s ideals. This realization has not caused Soros to abandon his mission, but </w:t>
      </w:r>
      <w:r>
        <w:lastRenderedPageBreak/>
        <w:t xml:space="preserve">rather to redouble efforts to promote democratic values through philanthropy, while advocating reforms to tame what he calls the “untrammeled intensification of laissez-faire capitalism” {S:Guardian2018}. Soros’s philosophical stance, in sum, is one of </w:t>
      </w:r>
      <w:r>
        <w:rPr>
          <w:b/>
          <w:bCs/>
        </w:rPr>
        <w:t>optimistic internationalism tempered by realism</w:t>
      </w:r>
      <w:r>
        <w:t xml:space="preserve"> about human fallibility. He consistently comes back to the idea that humanity must cultivate a global “open society” – a community of nations that share a commitment to freedom, equality, and the rule of law – if we are to tackle existential threats like climate change or avoid the darkness of renewed authoritarianism {S:Guardian2018}. Soros’s writings make clear that he regards this as the ultimate purpose of his wealth: not merely to treat symptoms by charity, but to </w:t>
      </w:r>
      <w:r>
        <w:rPr>
          <w:b/>
          <w:bCs/>
        </w:rPr>
        <w:t>transform society</w:t>
      </w:r>
      <w:r>
        <w:t xml:space="preserve"> in alignment with the open society vision.</w:t>
      </w:r>
    </w:p>
    <w:p w14:paraId="594A2894" w14:textId="77777777" w:rsidR="00406E3B" w:rsidRDefault="00406E3B" w:rsidP="00406E3B">
      <w:pPr>
        <w:pStyle w:val="Heading2"/>
      </w:pPr>
      <w:bookmarkStart w:id="14" w:name="philanthropy-begins-i-had-enough-money"/>
      <w:bookmarkEnd w:id="13"/>
      <w:r>
        <w:t>Philanthropy Begins: “I Had Enough Money”</w:t>
      </w:r>
    </w:p>
    <w:p w14:paraId="0D03ABA2" w14:textId="77777777" w:rsidR="00406E3B" w:rsidRDefault="00406E3B" w:rsidP="00406E3B">
      <w:pPr>
        <w:pStyle w:val="FirstParagraph"/>
      </w:pPr>
      <w:r>
        <w:t xml:space="preserve">By the late 1970s, Soros had achieved extraordinary financial success managing the Quantum Fund. Approaching middle age, he underwent what he describes as a personal “existential crisis” – a sense of restlessness and the question of what to do with his life beyond making money {S:Guardian2018}. In 1979, Soros made a pivotal decision: he concluded that he “had enough money” and could start focusing on what truly mattered to him – </w:t>
      </w:r>
      <w:r>
        <w:rPr>
          <w:b/>
          <w:bCs/>
        </w:rPr>
        <w:t>making the world a better place</w:t>
      </w:r>
      <w:r>
        <w:t xml:space="preserve"> {S:Guardian2018}. That year, he launched his first major philanthropic endeavor, the </w:t>
      </w:r>
      <w:r>
        <w:rPr>
          <w:b/>
          <w:bCs/>
        </w:rPr>
        <w:t>Open Society Fund</w:t>
      </w:r>
      <w:r>
        <w:t xml:space="preserve">. Soros’s initial projects were modest but symbolically powerful. In apartheid-era South Africa, a society explicitly closed by institutionalized racism, Soros funded scholarships for Black South African students to attend Cape Town University – giving young people opportunities that the apartheid regime denied them {S:OSFHistory}. At the same time, Soros began sponsoring educational travel and stipends for </w:t>
      </w:r>
      <w:r>
        <w:rPr>
          <w:b/>
          <w:bCs/>
        </w:rPr>
        <w:t>dissidents from Eastern Europe</w:t>
      </w:r>
      <w:r>
        <w:t xml:space="preserve"> to study in the West, hoping to broaden the horizons of those living under communist dictatorships {S:OSFHistory}. These early efforts reflected a clear strategy: Soros sought out “closed societies” – whether the racial segregation of South Africa or the ideological isolation behind the Iron Curtain – and tried to </w:t>
      </w:r>
      <w:r>
        <w:rPr>
          <w:b/>
          <w:bCs/>
        </w:rPr>
        <w:t>open</w:t>
      </w:r>
      <w:r>
        <w:t xml:space="preserve"> them by empowering individuals with knowledge, exposure, and support.</w:t>
      </w:r>
    </w:p>
    <w:p w14:paraId="60DC0E9C" w14:textId="77777777" w:rsidR="00406E3B" w:rsidRDefault="00406E3B" w:rsidP="00406E3B">
      <w:pPr>
        <w:pStyle w:val="BodyText"/>
      </w:pPr>
      <w:r>
        <w:t xml:space="preserve">In 1984, Soros took a bold step by establishing a foundation in his native Hungary, then still under communist rule. The </w:t>
      </w:r>
      <w:r>
        <w:rPr>
          <w:b/>
          <w:bCs/>
        </w:rPr>
        <w:t>Soros Foundation–Hungary</w:t>
      </w:r>
      <w:r>
        <w:t xml:space="preserve"> supplied copy machines to libraries, universities, and civil society groups, deliberately breaking the state’s monopoly on information dissemination {S:OSFHistory}. Something as simple as a photocopier had profound subversive potential in an era when the communist party tightly controlled printing presses and publications. Soros’s foundation also gave grants to independent cultural and student groups and brought Western lecturers to Hungary. These small injections of free thought and free information were anathema to the ruling authorities, but they were difficult to oppose outright because they were framed as charitable or educational. Soros would later replicate this model elsewhere: using his wealth to provide the tools and resources that organic local movements could use to challenge authoritarian structures. In a similar vein, Soros opened a foundation in China in 1986, during a brief period of reformist openness. That venture ended abruptly – the foundation was forced to close in 1989 amid government suspicion and the broader crackdown that culminated in the Tiananmen Square repression. Nonetheless, Soros learned from each attempt. By the </w:t>
      </w:r>
      <w:r>
        <w:lastRenderedPageBreak/>
        <w:t>late 1980s, as communist regimes began to falter across Eastern Europe, Soros was ready to ramp up his philanthropy substantially.</w:t>
      </w:r>
    </w:p>
    <w:p w14:paraId="75296FAE" w14:textId="77777777" w:rsidR="00406E3B" w:rsidRDefault="00406E3B" w:rsidP="00406E3B">
      <w:pPr>
        <w:pStyle w:val="BodyText"/>
      </w:pPr>
      <w:r>
        <w:t xml:space="preserve">After the fall of the Berlin Wall in 1989, Soros moved quickly to aid the transition of Eastern Europe from dictatorship to democracy. He established new </w:t>
      </w:r>
      <w:r>
        <w:rPr>
          <w:b/>
          <w:bCs/>
        </w:rPr>
        <w:t>national foundations</w:t>
      </w:r>
      <w:r>
        <w:t xml:space="preserve"> in Poland, Czechoslovakia, Romania, Ukraine, Russia, and other post-communist states between 1989 and 1991 {S:OSFHistory}. In these countries, Soros’s organizations provided support for everything from </w:t>
      </w:r>
      <w:r>
        <w:rPr>
          <w:b/>
          <w:bCs/>
        </w:rPr>
        <w:t>independent media outlets</w:t>
      </w:r>
      <w:r>
        <w:t xml:space="preserve"> and publishing (to replace censored state media) to </w:t>
      </w:r>
      <w:r>
        <w:rPr>
          <w:b/>
          <w:bCs/>
        </w:rPr>
        <w:t>civic education programs</w:t>
      </w:r>
      <w:r>
        <w:t xml:space="preserve"> and humanitarian relief. Soros understood that building open societies required a multifaceted approach: legal reform, free press, minority rights, education, public health, and more. One flagship project was the founding of </w:t>
      </w:r>
      <w:r>
        <w:rPr>
          <w:b/>
          <w:bCs/>
        </w:rPr>
        <w:t>Central European University (CEU)</w:t>
      </w:r>
      <w:r>
        <w:t xml:space="preserve"> in 1991. Soros poured hundreds of millions of dollars into creating this international graduate university – initially in Prague and Budapest – dedicated to promoting critical thinking, policy analysis, and academic freedom in a region emerging from decades of enforced orthodoxy {S:OSFProfile}. CEU became a unique institution, bringing students from across the post-Soviet world to study social sciences in an environment free of censorship. It stood as both a practical investment in new leadership for open societies and a living symbol of Soros’s faith in knowledge as a liberating force.</w:t>
      </w:r>
    </w:p>
    <w:p w14:paraId="51AE4D76" w14:textId="77777777" w:rsidR="00406E3B" w:rsidRDefault="00406E3B" w:rsidP="00406E3B">
      <w:pPr>
        <w:pStyle w:val="BodyText"/>
      </w:pPr>
      <w:r>
        <w:t xml:space="preserve">By the early 1990s, Soros’s philanthropic network had coalesced under the banner of the </w:t>
      </w:r>
      <w:r>
        <w:rPr>
          <w:b/>
          <w:bCs/>
        </w:rPr>
        <w:t>Open Society Institute (OSI)</w:t>
      </w:r>
      <w:r>
        <w:t xml:space="preserve"> – later renamed the Open Society Foundations (OSF). The scope of work expanded rapidly beyond Eastern Europe. In the </w:t>
      </w:r>
      <w:r>
        <w:rPr>
          <w:b/>
          <w:bCs/>
        </w:rPr>
        <w:t>United States</w:t>
      </w:r>
      <w:r>
        <w:t xml:space="preserve">, Soros initially hesitated – he felt America was already an open society and didn’t need his help. But in 1996 he formally launched a U.S. Programs division, after observing problems at home such as racial disparities and draconian drug policies {S:OSFHistory}. One early domestic focus was criminal justice reform: Soros funded initiatives to challenge what he saw as a racially biased and punitive criminal justice system contributing to mass incarceration of Black Americans {S:OSFHistory}. He also supported movements for drug policy reform in the U.S., being one of the first prominent voices to call the War on Drugs a misguided and harmful policy. As early as the mid-1990s, Soros argued that drug addiction should be treated as a health issue, not a criminal one, famously declaring that the War on Drugs might be “arguably more harmful than the drug problem itself” {S:OSFProfile}. Through the </w:t>
      </w:r>
      <w:r>
        <w:rPr>
          <w:b/>
          <w:bCs/>
        </w:rPr>
        <w:t>Lindesmith Center</w:t>
      </w:r>
      <w:r>
        <w:t xml:space="preserve">, a think tank he funded, Soros helped lay groundwork for the eventual mainstream acceptance of ideas like marijuana decriminalization and medical cannabis in the U.S. Likewise, Soros backed groups advocating for </w:t>
      </w:r>
      <w:r>
        <w:rPr>
          <w:b/>
          <w:bCs/>
        </w:rPr>
        <w:t>euthanasia and palliative care</w:t>
      </w:r>
      <w:r>
        <w:t>, launching his Project on Death in America in 1994 to improve end-of-life care in hospitals and the hospice movement {S:OSFHistory}.</w:t>
      </w:r>
    </w:p>
    <w:p w14:paraId="26DE8D66" w14:textId="77777777" w:rsidR="00406E3B" w:rsidRDefault="00406E3B" w:rsidP="00406E3B">
      <w:pPr>
        <w:pStyle w:val="BodyText"/>
      </w:pPr>
      <w:r>
        <w:t xml:space="preserve">Meanwhile, the Open Society Foundations spread into </w:t>
      </w:r>
      <w:r>
        <w:rPr>
          <w:b/>
          <w:bCs/>
        </w:rPr>
        <w:t>Africa, Asia, and Latin America</w:t>
      </w:r>
      <w:r>
        <w:t xml:space="preserve"> through the 1990s and 2000s. In South Africa, Soros’s foundation focused on nurturing democracy in the post-apartheid era, investing over $100 million in areas like education, legal reform, and media over two decades {S:OSFHistory}. In the aftermath of conflicts, Soros wasn’t shy about stepping into war zones: OSF sent relief teams into </w:t>
      </w:r>
      <w:r>
        <w:rPr>
          <w:b/>
          <w:bCs/>
        </w:rPr>
        <w:t>Besieged Sarajevo</w:t>
      </w:r>
      <w:r>
        <w:t xml:space="preserve"> in the mid-1990s to help restore utilities during the Bosnian war {S:OSFHistory}. </w:t>
      </w:r>
      <w:r>
        <w:lastRenderedPageBreak/>
        <w:t xml:space="preserve">Soros also addressed global public health issues, such as the scourge of </w:t>
      </w:r>
      <w:r>
        <w:rPr>
          <w:b/>
          <w:bCs/>
        </w:rPr>
        <w:t>tuberculosis in Russian prisons</w:t>
      </w:r>
      <w:r>
        <w:t xml:space="preserve"> (where an epidemic of drug-resistant TB raged in the 1990s). He committed millions to pilot treatment programs and draw international attention to the TB crisis {S:OSFHistory}. By funding these varied efforts, Soros demonstrated a habit of </w:t>
      </w:r>
      <w:r>
        <w:rPr>
          <w:b/>
          <w:bCs/>
        </w:rPr>
        <w:t>moving early on neglected problems</w:t>
      </w:r>
      <w:r>
        <w:t xml:space="preserve"> – often choosing causes that were losing or unfashionable, on the principle that doing the right thing matters more than immediate success. “I believe that in philanthropy one should do the right thing, whether or not it succeeds,” Soros said, encapsulating his willingness to take on uphill struggles {S:OSFProfile}. This included support for minority rights in places where they were unpopular: for example, OSF became a major funder of initiatives for the Roma (Gypsy) communities across Europe, tackling entrenched discrimination and poverty among Europe’s largest ethnic minority {S:OSFHistory}.</w:t>
      </w:r>
    </w:p>
    <w:p w14:paraId="42E33A40" w14:textId="77777777" w:rsidR="00406E3B" w:rsidRDefault="00406E3B" w:rsidP="00406E3B">
      <w:pPr>
        <w:pStyle w:val="BodyText"/>
      </w:pPr>
      <w:r>
        <w:t xml:space="preserve">Throughout these expansions, Soros’s giving grew exponentially. Between 1979 and 2011, he had donated over $11 billion to various causes; by the late 2010s his total charitable contributions surpassed </w:t>
      </w:r>
      <w:r>
        <w:rPr>
          <w:b/>
          <w:bCs/>
        </w:rPr>
        <w:t>$30 billion</w:t>
      </w:r>
      <w:r>
        <w:t xml:space="preserve"> {S:Guardian2018}. These funds went not only to OSF’s own programs but also to outside organizations aligned with open society goals. For instance, Soros provided early or ongoing support to international NGOs such as </w:t>
      </w:r>
      <w:r>
        <w:rPr>
          <w:b/>
          <w:bCs/>
        </w:rPr>
        <w:t>Human Rights Watch</w:t>
      </w:r>
      <w:r>
        <w:t xml:space="preserve">, </w:t>
      </w:r>
      <w:r>
        <w:rPr>
          <w:b/>
          <w:bCs/>
        </w:rPr>
        <w:t>Global Witness</w:t>
      </w:r>
      <w:r>
        <w:t xml:space="preserve">, the </w:t>
      </w:r>
      <w:r>
        <w:rPr>
          <w:b/>
          <w:bCs/>
        </w:rPr>
        <w:t>International Crisis Group</w:t>
      </w:r>
      <w:r>
        <w:t xml:space="preserve">, and the </w:t>
      </w:r>
      <w:r>
        <w:rPr>
          <w:b/>
          <w:bCs/>
        </w:rPr>
        <w:t>European Council on Foreign Relations</w:t>
      </w:r>
      <w:r>
        <w:t xml:space="preserve"> {S:OSFProfile}. He also co-founded the </w:t>
      </w:r>
      <w:r>
        <w:rPr>
          <w:b/>
          <w:bCs/>
        </w:rPr>
        <w:t>Institute for New Economic Thinking</w:t>
      </w:r>
      <w:r>
        <w:t xml:space="preserve"> in 2009, a forum to challenge mainstream economic thought (born out of the 2008 crash that vindicated many of Soros’s warnings about market fundamentalism). By the mid-2000s, OSF and its affiliate foundations were spending around </w:t>
      </w:r>
      <w:r>
        <w:rPr>
          <w:b/>
          <w:bCs/>
        </w:rPr>
        <w:t>$500–900 million per year</w:t>
      </w:r>
      <w:r>
        <w:t xml:space="preserve"> on grants worldwide, making Soros one of the most active philanthropists in history {S:Guardian2018}. In 2017, Soros made his single largest financial move for philanthropy by transferring $18 billion – the bulk of his remaining fortune – into OSF’s endowment {S:OSFProfile}. This effectively ensured that his foundations would be able to continue their work for decades to come, even after Soros’s lifetime. Forbes magazine ranked Soros as the </w:t>
      </w:r>
      <w:r>
        <w:rPr>
          <w:b/>
          <w:bCs/>
        </w:rPr>
        <w:t>“most generous giver”</w:t>
      </w:r>
      <w:r>
        <w:t xml:space="preserve"> among the world’s billionaires in terms of the share of wealth donated, noting that he had given away well over half of his total net worth {S:Guardian2018}.</w:t>
      </w:r>
    </w:p>
    <w:p w14:paraId="223E8BEF" w14:textId="77777777" w:rsidR="00406E3B" w:rsidRDefault="00406E3B" w:rsidP="00406E3B">
      <w:pPr>
        <w:pStyle w:val="Heading2"/>
      </w:pPr>
      <w:bookmarkStart w:id="15" w:name="public-engagement-and-political-passions"/>
      <w:bookmarkEnd w:id="14"/>
      <w:r>
        <w:t>Public Engagement and Political Passions</w:t>
      </w:r>
    </w:p>
    <w:p w14:paraId="548B0BC4" w14:textId="77777777" w:rsidR="00406E3B" w:rsidRDefault="00406E3B" w:rsidP="00406E3B">
      <w:pPr>
        <w:pStyle w:val="FirstParagraph"/>
      </w:pPr>
      <w:r>
        <w:t xml:space="preserve">Unlike many wealthy donors who prefer to operate behind the scenes, George Soros has often been an outspoken public intellectual and political participant. He has not hesitated to step into the arena of contentious debate, especially when he perceives core open society principles at stake. In his books and frequent op-eds, Soros has critiqued major geopolitical events – from the collapse of Russia’s post-communist reforms to the design of the European Union – always emphasizing the need for transparency, democratic accountability, and international cooperation. In the late 1990s, Soros was vocally critical of how the West handled the Asian financial crisis and the Russian debt default, arguing that international lenders and speculators (himself included) had to recognize their destabilizing impact. He advocated for better global financial regulation to prevent similar crises, effectively calling for a </w:t>
      </w:r>
      <w:r>
        <w:rPr>
          <w:b/>
          <w:bCs/>
        </w:rPr>
        <w:t>“third way”</w:t>
      </w:r>
      <w:r>
        <w:t xml:space="preserve"> between laissez-faire and over-regulation that </w:t>
      </w:r>
      <w:r>
        <w:lastRenderedPageBreak/>
        <w:t>protects vulnerable countries. These positions sometimes put him at odds with other elites in the financial world, but Soros relished being a gadfly if it meant provoking discussion about reform.</w:t>
      </w:r>
    </w:p>
    <w:p w14:paraId="754F4407" w14:textId="77777777" w:rsidR="00406E3B" w:rsidRDefault="00406E3B" w:rsidP="00406E3B">
      <w:pPr>
        <w:pStyle w:val="BodyText"/>
      </w:pPr>
      <w:r>
        <w:t xml:space="preserve">Soros’s most prominent foray into direct politics came in the </w:t>
      </w:r>
      <w:r>
        <w:rPr>
          <w:b/>
          <w:bCs/>
        </w:rPr>
        <w:t>United States during the Bush administration</w:t>
      </w:r>
      <w:r>
        <w:t xml:space="preserve">. Deeply alarmed by the trajectory of U.S. policy after the September 11, 2001 attacks – particularly the invasion of Iraq in 2003 – Soros became convinced that the Bush presidency was a threat to the ideals of open society. He accused the Bush administration of cultivating a “supremacist ideology” that claimed America had the right to impose its will on the world, an ideology Soros found reminiscent of regimes he had known in his youth {S:Guardian2003}. In 2003–04, Soros made the ouster of President George W. Bush the “central focus” of his life. He committed more than </w:t>
      </w:r>
      <w:r>
        <w:rPr>
          <w:b/>
          <w:bCs/>
        </w:rPr>
        <w:t>$15 million of his own money</w:t>
      </w:r>
      <w:r>
        <w:t xml:space="preserve"> to organizations seeking to defeat Bush’s reelection {S:Guardian2003}. This included major donations to new progressive political action groups like </w:t>
      </w:r>
      <w:r>
        <w:rPr>
          <w:b/>
          <w:bCs/>
        </w:rPr>
        <w:t>MoveOn.org</w:t>
      </w:r>
      <w:r>
        <w:t xml:space="preserve"> and </w:t>
      </w:r>
      <w:r>
        <w:rPr>
          <w:b/>
          <w:bCs/>
        </w:rPr>
        <w:t>America Coming Together</w:t>
      </w:r>
      <w:r>
        <w:t xml:space="preserve">, which mobilized liberal voters. Soros also bankrolled the launch of the </w:t>
      </w:r>
      <w:r>
        <w:rPr>
          <w:b/>
          <w:bCs/>
        </w:rPr>
        <w:t>Center for American Progress</w:t>
      </w:r>
      <w:r>
        <w:t xml:space="preserve">, a think tank intended to counterbalance the neoconservative institutions influencing Washington at the time {S:Guardian2003}. And he hit the campaign trail intellectually, writing a book titled </w:t>
      </w:r>
      <w:r>
        <w:rPr>
          <w:i/>
          <w:iCs/>
        </w:rPr>
        <w:t>The Bubble of American Supremacy</w:t>
      </w:r>
      <w:r>
        <w:t xml:space="preserve"> and a series of essays condemning the Iraq War as morally wrong and strategically disastrous. Soros went so far as to say that removing Bush was a “matter of life and death” for the world, an unusually stark framing that reflected Soros’s genuine conviction that American unilateralism was endangering global stability {S:Guardian2003}.</w:t>
      </w:r>
    </w:p>
    <w:p w14:paraId="7CF1BAF9" w14:textId="77777777" w:rsidR="00406E3B" w:rsidRDefault="00406E3B" w:rsidP="00406E3B">
      <w:pPr>
        <w:pStyle w:val="BodyText"/>
      </w:pPr>
      <w:r>
        <w:t xml:space="preserve">This overt partisanship made Soros a lightning rod in U.S. politics. Republicans, not accustomed to a single private citizen spending tens of millions to unseat their president, reacted with fury. </w:t>
      </w:r>
      <w:r>
        <w:rPr>
          <w:b/>
          <w:bCs/>
        </w:rPr>
        <w:t>Conservative commentators painted Soros as the puppet-master of a “bought” Democratic Party</w:t>
      </w:r>
      <w:r>
        <w:t>. In late 2003, the Republican National Committee spokeswoman asserted “George Soros has purchased the Democratic Party,” accusing him of trying to circumvent campaign finance laws with unlimited soft money {S:Guardian2003}. These attacks were an early sign of what would later become a full-blown right-wing mythology around Soros. At the time, Democratic leaders welcomed Soros’s support but also trod carefully; they pointed out that Soros’s spending was disclosed and legal, and compared it to the influence corporate donors had on the Republican side. Soros himself responded that he was exercising his rights as an American citizen to oppose policies he found dangerous, noting that he had a personal history that sensitized him to the threat of authoritarian rhetoric. In one interview, Soros remarked that when he heard President Bush declare “you’re either with us or against us,” it sent a chill down his spine as it echoed the language of the Nazis and Communists he survived {S:Guardian2003}. Such analogies enraged Bush’s allies, but Soros felt it was important to speak plainly about his fears. Although Bush ultimately won re-election in 2004, Soros’s high-profile involvement established him as a major player in American progressive politics going forward.</w:t>
      </w:r>
    </w:p>
    <w:p w14:paraId="609EDB2A" w14:textId="77777777" w:rsidR="00406E3B" w:rsidRDefault="00406E3B" w:rsidP="00406E3B">
      <w:pPr>
        <w:pStyle w:val="BodyText"/>
      </w:pPr>
      <w:r>
        <w:t xml:space="preserve">In subsequent years, Soros continued to donate heavily to Democratic candidates and liberal causes in the U.S. He was a prominent backer of Barack Obama’s campaign in </w:t>
      </w:r>
      <w:r>
        <w:lastRenderedPageBreak/>
        <w:t xml:space="preserve">2008. In the 2016 election, Soros donated multi-millions to support Hillary Clinton and other Democratic nominees, viewing the defeat of Donald Trump (who embraced nationalism and conspiracy-laden politics antithetical to Soros’s values) as urgent. His political spending has extended to </w:t>
      </w:r>
      <w:r>
        <w:rPr>
          <w:b/>
          <w:bCs/>
        </w:rPr>
        <w:t>state and local battles</w:t>
      </w:r>
      <w:r>
        <w:t xml:space="preserve"> as well. For example, Soros has funded a nationwide effort to elect reform-minded prosecutors – sometimes called “progressive DAs” – who seek to reduce mass incarceration and address racial bias in the justice system. By 2020, Soros had spent over $17 million on dozens of local district attorney races across the U.S., helping elect candidates who pledged alternatives to tough-on-crime policies. While supporters credit this campaign with accelerating overdue criminal justice reforms, critics on the right blame Soros-backed prosecutors for rising crime or social disorder – a claim not supported by clear evidence but potent in political rhetoric. Soros has also given substantial support to movements for </w:t>
      </w:r>
      <w:r>
        <w:rPr>
          <w:b/>
          <w:bCs/>
        </w:rPr>
        <w:t>voting rights, abortion access, LGBTQ equality, and climate action</w:t>
      </w:r>
      <w:r>
        <w:t xml:space="preserve"> in the U.S., aligning with virtually every major liberal policy initiative of the past two decades. His son Alexander has noted that the Soros family sees defending democratic freedoms in America as part and parcel of the global fight for open society {S:Guardian2023}. As Alexander put it, “we are going to double down on defending voting rights and personal freedom at home and supporting the cause of democracy abroad” – signaling that Soros’s legacy in U.S. politics will persist under new stewardship {S:Guardian2023}.</w:t>
      </w:r>
    </w:p>
    <w:p w14:paraId="494ACC13" w14:textId="77777777" w:rsidR="00406E3B" w:rsidRDefault="00406E3B" w:rsidP="00406E3B">
      <w:pPr>
        <w:pStyle w:val="BodyText"/>
      </w:pPr>
      <w:r>
        <w:t xml:space="preserve">Soros’s activism has not been limited to the left side of the political spectrum. In some contexts, he has worked with Western governments on bipartisan international goals. For instance, Soros was an early advocate of providing robust financial assistance to Ukraine after the country’s 2014 revolution and subsequent conflict with Russia. He wrote op-eds urging the European Union to offer multi-billion-dollar aid packages to Ukraine as a bulwark for democracy, and he committed millions from OSF to support Ukrainian civil society {S:Reuters2015}. (It did not escape notice that Russia’s hostility toward Soros intensified after he championed pro-democracy movements in the post-Soviet space like Ukraine and Georgia’s Rose Revolution in 2003.) Soros has also been a consistent supporter of the </w:t>
      </w:r>
      <w:r>
        <w:rPr>
          <w:b/>
          <w:bCs/>
        </w:rPr>
        <w:t>European Union</w:t>
      </w:r>
      <w:r>
        <w:t xml:space="preserve"> project, funding initiatives to encourage integration, minority rights, and human rights adherence within Europe. At times he has critiqued the EU for its bureaucracy or failures (for example, during the eurozone crisis, he offered ideas to fix the euro’s structural flaws), but fundamentally Soros views a unified and open Europe as a realization of the cosmopolitan ideal. This put him at direct odds with rising nationalist politicians in Europe during the 2010s, as we will see in the next section. Overall, whether through philanthropy or direct political advocacy, Soros’s public engagements reflect a through-line: he consistently leverages his resources to </w:t>
      </w:r>
      <w:r>
        <w:rPr>
          <w:b/>
          <w:bCs/>
        </w:rPr>
        <w:t>advance liberal democracy, human rights, and a vision of global cooperation</w:t>
      </w:r>
      <w:r>
        <w:t>, often directly challenging those he sees as threats to those values.</w:t>
      </w:r>
    </w:p>
    <w:p w14:paraId="5583CB5E" w14:textId="77777777" w:rsidR="00406E3B" w:rsidRDefault="00406E3B" w:rsidP="00406E3B">
      <w:pPr>
        <w:pStyle w:val="Heading2"/>
      </w:pPr>
      <w:bookmarkStart w:id="16" w:name="Xbea0c17dd7ebe8860c1eaeec922ac6b209e88ba"/>
      <w:bookmarkEnd w:id="15"/>
      <w:r>
        <w:t>Backlash and Controversies: The “Soros” Mythos</w:t>
      </w:r>
    </w:p>
    <w:p w14:paraId="3C1DC684" w14:textId="77777777" w:rsidR="00406E3B" w:rsidRDefault="00406E3B" w:rsidP="00406E3B">
      <w:pPr>
        <w:pStyle w:val="FirstParagraph"/>
      </w:pPr>
      <w:r>
        <w:t xml:space="preserve">With great influence comes great backlash. As Soros became one of the world’s foremost advocates and funders of liberal democratic causes, he simultaneously became a </w:t>
      </w:r>
      <w:r>
        <w:rPr>
          <w:i/>
          <w:iCs/>
        </w:rPr>
        <w:t>bête noire</w:t>
      </w:r>
      <w:r>
        <w:t xml:space="preserve"> for an array of authoritarian leaders, nationalist politicians, and conspiracy theorists. </w:t>
      </w:r>
      <w:r>
        <w:lastRenderedPageBreak/>
        <w:t xml:space="preserve">The very qualities that supporters laud in Soros – his cosmopolitanism, his willingness to criticize governments, his generous funding of civil society activists – have been painted by his enemies as evidence of nefarious intentions. In country after country, a familiar script has played out: when an illiberal government faces criticism or protest, it points to Soros as an </w:t>
      </w:r>
      <w:r>
        <w:rPr>
          <w:b/>
          <w:bCs/>
        </w:rPr>
        <w:t>alleged puppet-master</w:t>
      </w:r>
      <w:r>
        <w:t xml:space="preserve"> fomenting dissent from behind the scenes. This phenomenon is so widespread that one scholar described Soros as the “perfect code word” for conspiracy theories blending anti-Semitism with fears of globalism {S:WaPo2018}. Indeed, Soros’s Jewish heritage and financial success make him an especially convenient villain for age-old anti-Semitic tropes about secretive wealthy Jews controlling world events.</w:t>
      </w:r>
    </w:p>
    <w:p w14:paraId="5D5588F9" w14:textId="77777777" w:rsidR="00406E3B" w:rsidRDefault="00406E3B" w:rsidP="00406E3B">
      <w:pPr>
        <w:pStyle w:val="BodyText"/>
      </w:pPr>
      <w:r>
        <w:t xml:space="preserve">One of the earliest and loudest anti-Soros campaigns emerged in </w:t>
      </w:r>
      <w:r>
        <w:rPr>
          <w:b/>
          <w:bCs/>
        </w:rPr>
        <w:t>post-communist Eastern Europe</w:t>
      </w:r>
      <w:r>
        <w:t xml:space="preserve"> – ironically the region where Soros had invested so much in promoting democracy. By the mid-2010s, Hungary, Soros’s birth country, was ruled by Viktor </w:t>
      </w:r>
      <w:r>
        <w:rPr>
          <w:b/>
          <w:bCs/>
        </w:rPr>
        <w:t>Orbán</w:t>
      </w:r>
      <w:r>
        <w:t>, a nationalist prime minister openly hostile to Soros. Orbán had actually received a Soros-funded scholarship as a young student in the 1980s, but as his politics veered into nativism he recast Soros as an enemy of the Hungarian people. In 2017, Orbán’s government launched a nationwide hate campaign against Soros. Billboards and full-page ads plastered across Hungary showed a grinning portrait of Soros with the caption: “</w:t>
      </w:r>
      <w:r>
        <w:rPr>
          <w:b/>
          <w:bCs/>
        </w:rPr>
        <w:t>Don’t let Soros have the last laugh</w:t>
      </w:r>
      <w:r>
        <w:t>” {S:Reuters2017}. The context was a “national consultation” on immigration, where Orbán falsely accused Soros of plotting to flood Hungary with migrants. Some of the posters were vandalized with anti-Semitic graffiti like “stinking Jew” scrawled across Soros’s face {S:Reuters2017}. Hungary’s largest Jewish organization warned that, while the government’s messaging didn’t explicitly mention Soros’s Judaism, it was whipping up latent anti-Jewish sentiment {S:Reuters2017}. Orbán shrugged off those concerns, insisting (in a letter to Jewish leaders) that it was his duty to oppose Soros’s plan to “settle millions of migrants” in Europe, which he claimed would threaten Hungary’s Christian identity {S:Reuters2017}.</w:t>
      </w:r>
    </w:p>
    <w:p w14:paraId="35749C30" w14:textId="77777777" w:rsidR="00406E3B" w:rsidRDefault="00406E3B" w:rsidP="00406E3B">
      <w:pPr>
        <w:pStyle w:val="BodyText"/>
      </w:pPr>
      <w:r>
        <w:t xml:space="preserve">Soros, for his part, publicly refuted Orbán’s claims as a fabrication. Through his spokesperson, he pointed out that his actual stance on migration was that the international community (including Europe) should </w:t>
      </w:r>
      <w:r>
        <w:rPr>
          <w:b/>
          <w:bCs/>
        </w:rPr>
        <w:t>share responsibility</w:t>
      </w:r>
      <w:r>
        <w:t xml:space="preserve"> for refugees by accepting vetted asylum-seekers and aiding the countries where most refugees were living – a far cry from wanting to “settle millions” in Hungary specifically {S:Reuters2017}. The Hungarian anti-Soros campaign nevertheless achieved its aims domestically: it created a common external enemy that Orbán could blame for any discontent inside Hungary, from corruption revelations to university protests. In 2018, Orbán’s party pushed through a legislation package literally called the “</w:t>
      </w:r>
      <w:r>
        <w:rPr>
          <w:b/>
          <w:bCs/>
        </w:rPr>
        <w:t>Stop Soros</w:t>
      </w:r>
      <w:r>
        <w:t xml:space="preserve">” laws, which among other things criminalized certain kinds of support to asylum-seekers and imposed burdens on NGOs that received foreign funding (read: Soros-funded groups) {S:Guardian2023}. Faced with this intolerant climate, the Open Society Foundations </w:t>
      </w:r>
      <w:r>
        <w:rPr>
          <w:b/>
          <w:bCs/>
        </w:rPr>
        <w:t>shuttered their Budapest office in 2018</w:t>
      </w:r>
      <w:r>
        <w:t xml:space="preserve">, ending a nearly 35-year presence in Hungary. OSF relocated its international operations to Berlin, issuing a statement that Hungary’s government had “denigrated and misrepresented our work” and made it impossible to continue there {S:Guardian2023}. Likewise, the Soros-founded Central European University was effectively forced out of </w:t>
      </w:r>
      <w:r>
        <w:lastRenderedPageBreak/>
        <w:t>Hungary by legal maneuvers that forbade its accreditation; CEU moved most of its programs to Vienna by 2019. These events were a bitter culmination for Soros: his hometown had turned on him, demonizing the ideals he stood for.</w:t>
      </w:r>
    </w:p>
    <w:p w14:paraId="5598AE36" w14:textId="77777777" w:rsidR="00406E3B" w:rsidRDefault="00406E3B" w:rsidP="00406E3B">
      <w:pPr>
        <w:pStyle w:val="BodyText"/>
      </w:pPr>
      <w:r>
        <w:t xml:space="preserve">A similar pattern unfolded in </w:t>
      </w:r>
      <w:r>
        <w:rPr>
          <w:b/>
          <w:bCs/>
        </w:rPr>
        <w:t>Russia</w:t>
      </w:r>
      <w:r>
        <w:t xml:space="preserve">, where President Vladimir Putin and his circle viewed Soros-backed NGOs as Trojan horses for Western influence. For much of the 1990s and early 2000s, OSF had actually worked in Russia on various educational and rule-of-law projects, often with the cooperation of Russian authorities. But as Putin consolidated authoritarian power, he grew intolerant of independent civil society. In 2015, the Russian government </w:t>
      </w:r>
      <w:r>
        <w:rPr>
          <w:b/>
          <w:bCs/>
        </w:rPr>
        <w:t>officially banned Soros’s Open Society Foundations</w:t>
      </w:r>
      <w:r>
        <w:t>, declaring OSF an “undesirable organization” that posed a threat to Russia’s national security and constitutional order {S:Reuters2015}. The Russian prosecutor’s office accused OSF of trying to foment color revolutions – a reference to the popular uprisings in neighboring countries like Ukraine and Georgia, which Putin baselessly insinuated were orchestrated by Western intelligence with help from people like Soros. OSF expressed dismay, noting that for over 25 years it had worked to strengthen the rule of law in Russia and had even been welcomed by officials in earlier times {S:Reuters2015}. Soros himself responded that he was “confident this move is a temporary aberration” and that Russians’ aspirations for an open society could not be suppressed forever {S:Reuters2015}. Nevertheless, the ban remains in place; any Russian citizen or organization that receives Soros funding can face legal punishment. Russia’s state media frequently mentions Soros in the same breath as CIA plots and “foreign agents,” reinforcing the notion that internal dissent must be the work of outside agitators. In this narrative, Soros functions as a nearly omnipotent bogeyman: an embodiment of the West’s alleged meddling and moral corruption.</w:t>
      </w:r>
    </w:p>
    <w:p w14:paraId="5D60201D" w14:textId="77777777" w:rsidR="00406E3B" w:rsidRDefault="00406E3B" w:rsidP="00406E3B">
      <w:pPr>
        <w:pStyle w:val="BodyText"/>
      </w:pPr>
      <w:r>
        <w:t xml:space="preserve">Beyond Hungary and Russia, </w:t>
      </w:r>
      <w:r>
        <w:rPr>
          <w:b/>
          <w:bCs/>
        </w:rPr>
        <w:t>Soros conspiracy theories have gone global</w:t>
      </w:r>
      <w:r>
        <w:t xml:space="preserve">. In the United States, the image of Soros as a sinister financier pulling progressive strings became a staple of right-wing talk shows, websites, and even Republican campaign ads by the late 2000s. Fox News personalities accused Soros of everything from causing financial crises to financing “enemy” political movements at home. A cottage industry of blogs and Facebook groups sprang up devoted to exposing Soros’s purported “one-world government” agenda. These claims often borrow anti-Semitic canards. In 2018, for example, as a caravan of Central American migrants made its way toward the U.S. border, a vicious conspiracy theory spread online that </w:t>
      </w:r>
      <w:r>
        <w:rPr>
          <w:b/>
          <w:bCs/>
        </w:rPr>
        <w:t>George Soros was funding the caravan</w:t>
      </w:r>
      <w:r>
        <w:t xml:space="preserve"> to undermine America’s sovereignty. There was no evidence for this – in fact it was flatly false – but prominent figures like a U.S. congressman and TV host Lou Dobbs echoed the idea publicly {S:WaPo2018}. The theory went viral in far-right circles, contributing to an atmosphere of incendiary paranoia. Tragically, it helped inspire violence: in October 2018, a Florida man steeped in online conspiracies (including the Soros caravan myth) mailed a live pipe bomb to Soros’s home in New York, alongside similar bombs he sent to other high-profile critics of then-President Trump {S:WaPo2018}. Around the same time, another extremist, who believed Jews were orchestrating immigrant invasions, carried out the massacre of 11 people at the Tree of Life Synagogue in Pittsburgh – an act directly tied to this toxic narrative (the shooter had posted about stopping the “Soros-funded” caravan) {S:WaPo2018}. These events underscored how </w:t>
      </w:r>
      <w:r>
        <w:rPr>
          <w:b/>
          <w:bCs/>
        </w:rPr>
        <w:t xml:space="preserve">mainstream the Soros conspiracy had </w:t>
      </w:r>
      <w:r>
        <w:rPr>
          <w:b/>
          <w:bCs/>
        </w:rPr>
        <w:lastRenderedPageBreak/>
        <w:t>become in American right-wing discourse</w:t>
      </w:r>
      <w:r>
        <w:t>, to the point of inciting terror. Indeed, by 2018 The New York Times observed that nearly every corner of the Republican Party, from fringe to establishment, had absorbed some version of the Soros-as-evil-mastermind trope {S:Guardian2018}.</w:t>
      </w:r>
    </w:p>
    <w:p w14:paraId="4BBCD1D9" w14:textId="77777777" w:rsidR="00406E3B" w:rsidRDefault="00406E3B" w:rsidP="00406E3B">
      <w:pPr>
        <w:pStyle w:val="BodyText"/>
      </w:pPr>
      <w:r>
        <w:t xml:space="preserve">The content of anti-Soros theories ranges from the absurd to the abhorrent. Some claim Soros is a former Nazi or Holocaust collaborator – a </w:t>
      </w:r>
      <w:r>
        <w:rPr>
          <w:b/>
          <w:bCs/>
        </w:rPr>
        <w:t>malicious falsehood</w:t>
      </w:r>
      <w:r>
        <w:t xml:space="preserve">, given that Soros was a Jewish child survivor of the Holocaust who had to hide to avoid being killed. (Reuters fact-checkers have debunked this smear, noting it is impossible chronologically and that Soros “could not possibly have been involved in the Nazi party,” highlighting how his family lived in fear under Nazi occupation {S:ReutersFactCheck2020}.) Other rumors insist Soros “funds” every protest movement or left-leaning organization imaginable, from Black Lives Matter to environmental activists, portraying organic grassroots uprisings as paid puppets of Soros. Again, these claims are gross exaggerations or fabrications – while OSF does support many groups, it hardly controls them, and certainly movements like BLM are not “owned” by any donor. The Open Society Foundations has publicly refuted such accusations, stating that those protesting injustice “don’t do so for pay from these foundations or any other” and that distortions about Soros’s role “do a disservice to the very bedrock of our democracy” {S:ReutersFactCheck2020}. Nevertheless, the image of </w:t>
      </w:r>
      <w:r>
        <w:rPr>
          <w:b/>
          <w:bCs/>
        </w:rPr>
        <w:t>Soros as an omnipresent manipulator</w:t>
      </w:r>
      <w:r>
        <w:t xml:space="preserve"> remains a fixture in propaganda from ultranationalists in Europe, authoritarian regimes, and segments of the American far-right.</w:t>
      </w:r>
    </w:p>
    <w:p w14:paraId="25CB5F74" w14:textId="77777777" w:rsidR="00406E3B" w:rsidRDefault="00406E3B" w:rsidP="00406E3B">
      <w:pPr>
        <w:pStyle w:val="BodyText"/>
      </w:pPr>
      <w:r>
        <w:t>Soros himself has tried to take the attacks in stride, even as he boosts security around his family and offices. He points out that demonizing a single wealthy Jew follows a classic playbook: “It’s easier to hate a faceless bureaucrat or a secretive cabal than to engage with the complexity of issues,” he has suggested in interviews. He also acknowledges that his very success – the scale of his giving and influence – feeds the myth: “I am absolutely sure I’m being used as a scapegoat by those who would like to deflect attention from real problems” {S:Guardian2018}. Allies worry that the constant barrage of lies could erode support for Soros-funded initiatives or even endanger lives, but Soros remains defiant. In one instance, when Roseanne Barr, a U.S. television personality, tweeted the outrageous lie that Soros had “turned in his fellow Jews to be murdered” during WWII, Chelsea Clinton (daughter of Bill and Hillary Clinton) tweeted back with a staunch defense of Soros as a Holocaust survivor and philanthropist {S:Guardian2018}. The incident drew widespread condemnation of Barr’s anti-Semitism, showing that even in polarized America, there are those willing to counter the false Soros narrative with facts.</w:t>
      </w:r>
    </w:p>
    <w:bookmarkEnd w:id="16"/>
    <w:p w14:paraId="0619B505" w14:textId="77777777" w:rsidR="00406E3B" w:rsidRDefault="00406E3B" w:rsidP="00406E3B">
      <w:pPr>
        <w:pStyle w:val="Heading2"/>
      </w:pPr>
      <w:r>
        <w:t>Legacy and Ongoing Influence</w:t>
      </w:r>
    </w:p>
    <w:p w14:paraId="2342260F" w14:textId="77777777" w:rsidR="00406E3B" w:rsidRDefault="00406E3B" w:rsidP="00406E3B">
      <w:pPr>
        <w:pStyle w:val="FirstParagraph"/>
      </w:pPr>
      <w:r>
        <w:t xml:space="preserve">Now in his 90s, George Soros has lived long enough to see the world change in ways both encouraging and dismaying. On the one hand, many of the open societies he supported in Central Europe have flourished; on the other hand, authoritarianism and nationalism have resurged in places like Hungary and Russia, forcing him to adapt. Soros often emphasizes that </w:t>
      </w:r>
      <w:r>
        <w:rPr>
          <w:b/>
          <w:bCs/>
        </w:rPr>
        <w:t>open society is an ideal to strive for, not a state that can be permanently achieved</w:t>
      </w:r>
      <w:r>
        <w:t xml:space="preserve">. “These are the types of issues for which a complete solution might never </w:t>
      </w:r>
      <w:r>
        <w:lastRenderedPageBreak/>
        <w:t xml:space="preserve">emerge,” Soros once wrote, acknowledging that the struggle for freedom, justice, and tolerance is unending {S:OSFProfile}. In practical terms, Soros’s legacy will be carried forward by the institutions he built. The Open Society Foundations remain one of the world’s largest private charitable organizations, with an endowment bolstered by Soros’s multi-billion dollar transfers. In 2023, Soros made the symbolic and substantive move of </w:t>
      </w:r>
      <w:r>
        <w:rPr>
          <w:b/>
          <w:bCs/>
        </w:rPr>
        <w:t>handing control of OSF to his son Alexander Soros</w:t>
      </w:r>
      <w:r>
        <w:t xml:space="preserve"> {S:Guardian2023}. The younger Soros, in his 30s, has indicated he will continue his father’s commitments, perhaps with even more overt political engagement. “He’s earned it,” George Soros said of his son taking the reins, expressing confidence that the foundation would stay true to its mission {S:Guardian2023}. The OSF network still spends around $1.5 billion per year on pro-democracy and rights groups worldwide, and Alexander has affirmed that as long as others are spending big to undermine democracy, the Soros organization will spend to uphold it {S:Guardian2023}.</w:t>
      </w:r>
    </w:p>
    <w:p w14:paraId="3BBACB7E" w14:textId="77777777" w:rsidR="00406E3B" w:rsidRDefault="00406E3B" w:rsidP="00406E3B">
      <w:pPr>
        <w:pStyle w:val="BodyText"/>
      </w:pPr>
      <w:r>
        <w:t xml:space="preserve">Despite the relentless vilification he endures, Soros has also been </w:t>
      </w:r>
      <w:r>
        <w:rPr>
          <w:b/>
          <w:bCs/>
        </w:rPr>
        <w:t>widely honored</w:t>
      </w:r>
      <w:r>
        <w:t xml:space="preserve"> for his contributions. He holds honorary doctorates from prestigious universities (including Yale, Oxford, and Budapest’s Corvinus University) and was made an Honorary Fellow of the British Academy {S:OSFProfile}. In a particularly meaningful tribute, in January 2025 Soros was awarded the U.S. Presidential Medal of Freedom by President Joe Biden, recognizing Soros’s lifetime of work advancing democracy and human rights {S:OSFProfile}. Because of Soros’s advanced age and frail health, his son Alexander accepted the medal on his behalf at the White House ceremony. In a gracious statement, Soros – an immigrant who arrived in America penniless in the 1950s – said he was “deeply moved by this honor” as someone who found freedom and opportunity in the United States {S:APNews2025}. The medal, the country’s highest civilian honor, was a powerful rejoinder to those who paint Soros as anti-American; it was official affirmation that his decades of philanthropy and advocacy have indeed strengthened the values America claims to champion.</w:t>
      </w:r>
    </w:p>
    <w:p w14:paraId="081D638A" w14:textId="77777777" w:rsidR="00406E3B" w:rsidRDefault="00406E3B" w:rsidP="00406E3B">
      <w:pPr>
        <w:pStyle w:val="BodyText"/>
      </w:pPr>
      <w:r>
        <w:t xml:space="preserve">The story of George Soros is as complex as the man himself – financier and philanthropist, theorist and activist, lauded and vilified. It is the story of how immense wealth can be directed toward ambitious experiments in social change. Soros often reflects on the </w:t>
      </w:r>
      <w:r>
        <w:rPr>
          <w:b/>
          <w:bCs/>
        </w:rPr>
        <w:t>paradox of his life</w:t>
      </w:r>
      <w:r>
        <w:t>: he earned his fortune through the hard-nosed, competitive practices of global finance, yet he has spent that fortune to promote openness, equality, and compassion. Critics argue that no unelected individual should wield such influence on public affairs, while admirers counter that Soros has used his influence in profoundly positive ways, supporting marginalized voices and fledgling democracies that might otherwise have been crushed. Soros himself acknowledges that being rich gave him the freedom to pursue his own vision. “My success in the financial markets has given me a greater degree of independence than most other people,” he wrote, “and that independence has allowed me to forge my own path toward a world that’s more open, more just, and more equitable for all” {S:OSFProfile}.</w:t>
      </w:r>
    </w:p>
    <w:p w14:paraId="6A805289" w14:textId="77777777" w:rsidR="00406E3B" w:rsidRDefault="00406E3B" w:rsidP="00406E3B">
      <w:pPr>
        <w:pStyle w:val="BodyText"/>
      </w:pPr>
      <w:r>
        <w:t xml:space="preserve">Perhaps Soros’s most important legacy lies not in any single institution or campaign, but in the idea he has championed: that an </w:t>
      </w:r>
      <w:r>
        <w:rPr>
          <w:b/>
          <w:bCs/>
        </w:rPr>
        <w:t>open society</w:t>
      </w:r>
      <w:r>
        <w:t xml:space="preserve"> – tolerant, democratic, guided by reason and humanity – is worth striving and fighting for. In a world where that idea is under </w:t>
      </w:r>
      <w:r>
        <w:lastRenderedPageBreak/>
        <w:t xml:space="preserve">assault, Soros’s life work has been to remind us that the alternative, the closed society, leads to horrors he himself survived. That moral clarity, backed by action and resources, is what sets Soros apart. As we turn to the subsequent chapters detailing the evolution and impact of the Open Society Foundations, Soros’s shadow looms large. The values OSF upholds are, in many ways, an extension of Soros’s own values. Understanding Soros’s journey – from the streets of Nazi-occupied Budapest to the pinnacles of finance, and then into the trenches of civic activism – provides a crucial map for reading the work of OSF. It reveals the </w:t>
      </w:r>
      <w:r>
        <w:rPr>
          <w:b/>
          <w:bCs/>
        </w:rPr>
        <w:t>interplay of capital and ideas</w:t>
      </w:r>
      <w:r>
        <w:t xml:space="preserve"> that has shaped one of the most significant forces in global philanthropy. For better or worse, George Soros has left an indelible mark on public life; the coming chapters will explore how that mark manifests through the institutions and initiatives he has inspired.</w:t>
      </w:r>
    </w:p>
    <w:p w14:paraId="57EB54D1" w14:textId="77777777" w:rsidR="00406E3B" w:rsidRDefault="00406E3B" w:rsidP="00406E3B">
      <w:pPr>
        <w:pStyle w:val="BodyText"/>
      </w:pPr>
      <w:r>
        <w:rPr>
          <w:b/>
          <w:bCs/>
        </w:rPr>
        <w:t>Relationship to other chapters:</w:t>
      </w:r>
      <w:r>
        <w:t xml:space="preserve"> </w:t>
      </w:r>
      <w:r>
        <w:rPr>
          <w:i/>
          <w:iCs/>
        </w:rPr>
        <w:t>This chapter provides a biographical and philosophical foundation for understanding the Open Society Foundations and their mission. Readers will find that Soros’s early initiatives in Eastern Europe, described here, connect directly to the case studies of OSF’s work in post-communist transitions discussed in Chapter 4. Likewise, the controversies surrounding Soros (e.g. the Hungarian government’s campaign against him) are examined in greater detail in Chapter 8 on backlash against global civil society. To avoid repetition, those chapters cross-reference Soros’s personal story and ideas outlined above rather than restating them in full.</w:t>
      </w:r>
    </w:p>
    <w:p w14:paraId="5CD526AC" w14:textId="7A21CA36" w:rsidR="00406E3B" w:rsidRDefault="00000000" w:rsidP="00406E3B">
      <w:r>
        <w:pict w14:anchorId="42B99234">
          <v:rect id="_x0000_i1027" style="width:0;height:1.5pt" o:hralign="center" o:hrstd="t" o:hr="t"/>
        </w:pict>
      </w:r>
    </w:p>
    <w:p w14:paraId="53188079" w14:textId="77777777" w:rsidR="00406E3B" w:rsidRDefault="00406E3B" w:rsidP="00406E3B"/>
    <w:p w14:paraId="638211BF" w14:textId="77777777" w:rsidR="00406E3B" w:rsidRDefault="00406E3B" w:rsidP="00406E3B"/>
    <w:p w14:paraId="788C47F2" w14:textId="77777777" w:rsidR="00406E3B" w:rsidRDefault="00406E3B" w:rsidP="00406E3B"/>
    <w:p w14:paraId="79CC1898" w14:textId="77777777" w:rsidR="00406E3B" w:rsidRDefault="00406E3B" w:rsidP="00406E3B"/>
    <w:p w14:paraId="36D239D0" w14:textId="77777777" w:rsidR="00406E3B" w:rsidRDefault="00406E3B" w:rsidP="00406E3B"/>
    <w:p w14:paraId="490192D5" w14:textId="77777777" w:rsidR="00406E3B" w:rsidRDefault="00406E3B" w:rsidP="00406E3B"/>
    <w:p w14:paraId="074EF805" w14:textId="77777777" w:rsidR="00406E3B" w:rsidRDefault="00406E3B" w:rsidP="00406E3B"/>
    <w:p w14:paraId="02BAB02D" w14:textId="77777777" w:rsidR="00406E3B" w:rsidRDefault="00406E3B" w:rsidP="00406E3B"/>
    <w:p w14:paraId="1E249AB5" w14:textId="77777777" w:rsidR="00406E3B" w:rsidRDefault="00406E3B" w:rsidP="00406E3B"/>
    <w:p w14:paraId="78FD9237" w14:textId="77777777" w:rsidR="00406E3B" w:rsidRDefault="00406E3B" w:rsidP="00406E3B"/>
    <w:p w14:paraId="37A52A11" w14:textId="77777777" w:rsidR="00406E3B" w:rsidRDefault="00406E3B" w:rsidP="00406E3B"/>
    <w:p w14:paraId="30178C03" w14:textId="77777777" w:rsidR="00406E3B" w:rsidRDefault="00406E3B" w:rsidP="00406E3B"/>
    <w:p w14:paraId="019BDED6" w14:textId="77777777" w:rsidR="00406E3B" w:rsidRDefault="00406E3B" w:rsidP="00406E3B"/>
    <w:p w14:paraId="56C2F657" w14:textId="77777777" w:rsidR="00406E3B" w:rsidRDefault="00406E3B" w:rsidP="00406E3B">
      <w:pPr>
        <w:pStyle w:val="Heading1"/>
      </w:pPr>
      <w:r>
        <w:lastRenderedPageBreak/>
        <w:t>Chapter 3: The OSF Network – Governance and Legal Architecture</w:t>
      </w:r>
    </w:p>
    <w:p w14:paraId="1071469E" w14:textId="77777777" w:rsidR="00406E3B" w:rsidRDefault="00406E3B" w:rsidP="00406E3B">
      <w:pPr>
        <w:pStyle w:val="Heading2"/>
      </w:pPr>
      <w:bookmarkStart w:id="17" w:name="introduction"/>
      <w:r>
        <w:t>Introduction</w:t>
      </w:r>
    </w:p>
    <w:p w14:paraId="64AEDB29" w14:textId="77777777" w:rsidR="00406E3B" w:rsidRDefault="00406E3B" w:rsidP="00406E3B">
      <w:pPr>
        <w:pStyle w:val="FirstParagraph"/>
      </w:pPr>
      <w:r>
        <w:t xml:space="preserve">Open Society Foundations (OSF) operates as a </w:t>
      </w:r>
      <w:r>
        <w:rPr>
          <w:b/>
          <w:bCs/>
        </w:rPr>
        <w:t>global network of philanthropic entities</w:t>
      </w:r>
      <w:r>
        <w:t xml:space="preserve"> spanning over 100 countries. Founded by financier George Soros in 1993, the network has since expended more than \$23 billion worldwide</w:t>
      </w:r>
      <w:hyperlink r:id="rId6" w:anchor=":~:text=As%20of%202015%2C%20the%20OSF,8">
        <w:r>
          <w:rPr>
            <w:rStyle w:val="Hyperlink"/>
          </w:rPr>
          <w:t>[1]</w:t>
        </w:r>
      </w:hyperlink>
      <w:r>
        <w:t xml:space="preserve">. What began as a single foundation in New York has evolved into a </w:t>
      </w:r>
      <w:r>
        <w:rPr>
          <w:b/>
          <w:bCs/>
        </w:rPr>
        <w:t>complex architecture of organizations</w:t>
      </w:r>
      <w:r>
        <w:t xml:space="preserve"> – including U.S.-based private foundations, regional and national affiliates on every continent, and specialized advocacy arms – all united by the mission of fostering open, democratic societies. OSF today is considered the world’s largest private funder of independent groups working for rights, justice, and democratic governance</w:t>
      </w:r>
      <w:hyperlink r:id="rId7" w:anchor=":~:text=The%20Open%20Society%20Foundations%2C%20founded,for%20rights%2C%20equity%2C%20and%20justice">
        <w:r>
          <w:rPr>
            <w:rStyle w:val="Hyperlink"/>
          </w:rPr>
          <w:t>[2]</w:t>
        </w:r>
      </w:hyperlink>
      <w:r>
        <w:t>. This chapter examines how OSF is structured and governed, the legal status of its key entities in the United States and Europe, how grantmaking decisions are made and monitored, and the ongoing debate between critics and supporters over the network’s transparency and accountability.</w:t>
      </w:r>
    </w:p>
    <w:p w14:paraId="231AA3D7" w14:textId="77777777" w:rsidR="00406E3B" w:rsidRDefault="00406E3B" w:rsidP="00406E3B">
      <w:pPr>
        <w:pStyle w:val="BodyText"/>
      </w:pPr>
      <w:r>
        <w:t xml:space="preserve">At the core of OSF’s structure is an emphasis on combining </w:t>
      </w:r>
      <w:r>
        <w:rPr>
          <w:b/>
          <w:bCs/>
        </w:rPr>
        <w:t>global strategy with local autonomy</w:t>
      </w:r>
      <w:r>
        <w:t xml:space="preserve">. A central board and leadership set broad priorities, while an array of semi-autonomous national and regional foundations (“Soros foundations”) tailor the work to local contexts. This federated approach means OSF is not a single legal entity, but rather a </w:t>
      </w:r>
      <w:r>
        <w:rPr>
          <w:b/>
          <w:bCs/>
        </w:rPr>
        <w:t>web of interrelated organizations</w:t>
      </w:r>
      <w:r>
        <w:t xml:space="preserve"> coordinated under the OSF umbrella. Understanding this governance and legal architecture is crucial for assessing how OSF makes decisions, complies with varying jurisdictional regulations, and responds to demands for accountability. Table 3.1 provides a high-level mapping of OSF’s major entities and their roles in the network, and Figure 3.1 illustrates the simplified organizational chart of the OSF network as a whole.</w:t>
      </w:r>
    </w:p>
    <w:p w14:paraId="500C30D1" w14:textId="77777777" w:rsidR="00406E3B" w:rsidRDefault="00406E3B" w:rsidP="00406E3B">
      <w:pPr>
        <w:pStyle w:val="Heading2"/>
      </w:pPr>
      <w:bookmarkStart w:id="18" w:name="structure-of-the-global-osf-network"/>
      <w:bookmarkEnd w:id="17"/>
      <w:r>
        <w:t>Structure of the Global OSF Network</w:t>
      </w:r>
    </w:p>
    <w:p w14:paraId="7EB9A73A" w14:textId="77777777" w:rsidR="00406E3B" w:rsidRDefault="00406E3B" w:rsidP="00406E3B">
      <w:pPr>
        <w:pStyle w:val="FirstParagraph"/>
      </w:pPr>
      <w:r>
        <w:t xml:space="preserve">OSF’s network comprises a </w:t>
      </w:r>
      <w:r>
        <w:rPr>
          <w:b/>
          <w:bCs/>
        </w:rPr>
        <w:t>hub of core foundations in the United States</w:t>
      </w:r>
      <w:r>
        <w:t xml:space="preserve"> and dozens of affiliated foundations around the world. The central pillar is the </w:t>
      </w:r>
      <w:r>
        <w:rPr>
          <w:b/>
          <w:bCs/>
        </w:rPr>
        <w:t>Open Society Institute (OSI)</w:t>
      </w:r>
      <w:r>
        <w:t xml:space="preserve"> – the original Soros foundation established in New York in 1993</w:t>
      </w:r>
      <w:hyperlink r:id="rId8" w:anchor=":~:text=In%201993%2C%20the%20Open%20Society,6">
        <w:r>
          <w:rPr>
            <w:rStyle w:val="Hyperlink"/>
          </w:rPr>
          <w:t>[3]</w:t>
        </w:r>
      </w:hyperlink>
      <w:r>
        <w:t>. Legally, OSI is a U.S. 501(c)(3) private foundation, and it still serves as the main organizational backbone of OSF</w:t>
      </w:r>
      <w:hyperlink r:id="rId9" w:anchor=":~:text=Also%20see%20the%20similarly%20named%C2%A0Foundation,Nonprofit">
        <w:r>
          <w:rPr>
            <w:rStyle w:val="Hyperlink"/>
          </w:rPr>
          <w:t>[4]</w:t>
        </w:r>
      </w:hyperlink>
      <w:hyperlink r:id="rId10" w:anchor=":~:text=The%20Open%20Society%20Foundations%20,Foundation%20to%20Promote%20Open%20Society">
        <w:r>
          <w:rPr>
            <w:rStyle w:val="Hyperlink"/>
          </w:rPr>
          <w:t>[5]</w:t>
        </w:r>
      </w:hyperlink>
      <w:r>
        <w:t>. In 2010, OSI adopted the public name “Open Society Foundations” to reflect its broad mission and networked nature</w:t>
      </w:r>
      <w:hyperlink r:id="rId11" w:anchor=":~:text=Russia.">
        <w:r>
          <w:rPr>
            <w:rStyle w:val="Hyperlink"/>
          </w:rPr>
          <w:t>[6]</w:t>
        </w:r>
      </w:hyperlink>
      <w:r>
        <w:t>, but it remains the primary entity coordinating OSF programs and funding across the globe. OSI (often referred to simply as OSF headquarters) is located in New York City</w:t>
      </w:r>
      <w:hyperlink r:id="rId12" w:anchor=":~:text=country%20and%20regional%20foundations%2C%20such,8">
        <w:r>
          <w:rPr>
            <w:rStyle w:val="Hyperlink"/>
          </w:rPr>
          <w:t>[7]</w:t>
        </w:r>
      </w:hyperlink>
      <w:r>
        <w:t xml:space="preserve"> and houses global leadership and administrative functions.</w:t>
      </w:r>
    </w:p>
    <w:p w14:paraId="33514C17" w14:textId="77777777" w:rsidR="00406E3B" w:rsidRDefault="00406E3B" w:rsidP="00406E3B">
      <w:pPr>
        <w:pStyle w:val="BodyText"/>
      </w:pPr>
      <w:r>
        <w:t xml:space="preserve">Alongside OSI is a second major U.S. foundation: the </w:t>
      </w:r>
      <w:r>
        <w:rPr>
          <w:b/>
          <w:bCs/>
        </w:rPr>
        <w:t>Foundation to Promote Open Society (FPOS)</w:t>
      </w:r>
      <w:r>
        <w:t>. FPOS was created in 2008 as an affiliated grantmaking foundation and soon became Soros’s primary vehicle for philanthropic disbursements</w:t>
      </w:r>
      <w:hyperlink r:id="rId13" w:anchor=":~:text=The%20Foundation%20to%20Promote%20Open,OSF%3B%20formally%20Open%20Society%20Institute">
        <w:r>
          <w:rPr>
            <w:rStyle w:val="Hyperlink"/>
          </w:rPr>
          <w:t>[8]</w:t>
        </w:r>
      </w:hyperlink>
      <w:hyperlink r:id="rId14" w:anchor=":~:text=While%20OSF%20remains%20the%20central,3">
        <w:r>
          <w:rPr>
            <w:rStyle w:val="Hyperlink"/>
          </w:rPr>
          <w:t>[9]</w:t>
        </w:r>
      </w:hyperlink>
      <w:r>
        <w:t xml:space="preserve">. Soros initially endowed FPOS with \$1 million in 2008 and added \$1 </w:t>
      </w:r>
      <w:r>
        <w:rPr>
          <w:b/>
          <w:bCs/>
        </w:rPr>
        <w:t>billion</w:t>
      </w:r>
      <w:r>
        <w:t xml:space="preserve"> in 2009</w:t>
      </w:r>
      <w:hyperlink r:id="rId15" w:anchor=":~:text=Society%20Institute%29">
        <w:r>
          <w:rPr>
            <w:rStyle w:val="Hyperlink"/>
          </w:rPr>
          <w:t>[10]</w:t>
        </w:r>
      </w:hyperlink>
      <w:hyperlink r:id="rId16" w:anchor=":~:text=FPOS%20was%20founded%20in%202008,1">
        <w:r>
          <w:rPr>
            <w:rStyle w:val="Hyperlink"/>
          </w:rPr>
          <w:t>[11]</w:t>
        </w:r>
      </w:hyperlink>
      <w:r>
        <w:t>. By 2018 FPOS was paying out nearly \$500 million in grants annually</w:t>
      </w:r>
      <w:hyperlink r:id="rId17" w:anchor=":~:text=While%20OSF%20remains%20the%20central,3">
        <w:r>
          <w:rPr>
            <w:rStyle w:val="Hyperlink"/>
          </w:rPr>
          <w:t>[9]</w:t>
        </w:r>
      </w:hyperlink>
      <w:hyperlink r:id="rId18" w:anchor=":~:text=While%20OSF%20remains%20the%20central,3">
        <w:r>
          <w:rPr>
            <w:rStyle w:val="Hyperlink"/>
          </w:rPr>
          <w:t>[12]</w:t>
        </w:r>
      </w:hyperlink>
      <w:r>
        <w:t xml:space="preserve">, eclipsing OSI’s own </w:t>
      </w:r>
      <w:r>
        <w:lastRenderedPageBreak/>
        <w:t>grantmaking. In essence, OSI/OSF acts as the strategic hub while FPOS serves as a principal funding arm, enabling the network to channel Soros’s contributions into thousands of grants each year. Both OSI and FPOS are governed as private foundations under U.S. tax law</w:t>
      </w:r>
      <w:hyperlink r:id="rId19" w:anchor=":~:text=Tax">
        <w:r>
          <w:rPr>
            <w:rStyle w:val="Hyperlink"/>
          </w:rPr>
          <w:t>[13]</w:t>
        </w:r>
      </w:hyperlink>
      <w:hyperlink r:id="rId20" w:anchor=":~:text=Also%20see%20the%20similarly%20named%C2%A0Foundation,Nonprofit">
        <w:r>
          <w:rPr>
            <w:rStyle w:val="Hyperlink"/>
          </w:rPr>
          <w:t>[4]</w:t>
        </w:r>
      </w:hyperlink>
      <w:r>
        <w:t>. Soros has historically chaired FPOS’s board (as of 2020)</w:t>
      </w:r>
      <w:hyperlink r:id="rId21" w:anchor=":~:text=Chairman%3A">
        <w:r>
          <w:rPr>
            <w:rStyle w:val="Hyperlink"/>
          </w:rPr>
          <w:t>[14]</w:t>
        </w:r>
      </w:hyperlink>
      <w:r>
        <w:t>, and he personally sets OSF’s overall annual budget allocation</w:t>
      </w:r>
      <w:hyperlink r:id="rId22" w:anchor=":~:text=George%20Soros%2C%20a%20hedge,9">
        <w:r>
          <w:rPr>
            <w:rStyle w:val="Hyperlink"/>
          </w:rPr>
          <w:t>[15]</w:t>
        </w:r>
      </w:hyperlink>
      <w:hyperlink r:id="rId23" w:anchor=":~:text=estimated%20at%20%2426%20billion%2C%20personally,9">
        <w:r>
          <w:rPr>
            <w:rStyle w:val="Hyperlink"/>
          </w:rPr>
          <w:t>[16]</w:t>
        </w:r>
      </w:hyperlink>
      <w:r>
        <w:t xml:space="preserve"> – a reflection of his continued influence over the foundation’s direction.</w:t>
      </w:r>
    </w:p>
    <w:p w14:paraId="50E0D71C" w14:textId="77777777" w:rsidR="00406E3B" w:rsidRDefault="00406E3B" w:rsidP="00406E3B">
      <w:pPr>
        <w:pStyle w:val="BodyText"/>
      </w:pPr>
      <w:r>
        <w:t xml:space="preserve">Crucially, OSF’s reach extends far beyond these U.S. entities. The network encompasses </w:t>
      </w:r>
      <w:r>
        <w:rPr>
          <w:b/>
          <w:bCs/>
        </w:rPr>
        <w:t>over 20 national and regional Open Society foundations</w:t>
      </w:r>
      <w:r>
        <w:t xml:space="preserve"> around the world</w:t>
      </w:r>
      <w:hyperlink r:id="rId24" w:anchor=":~:text=philanthropist%20George%20Soros%20,Foundation%20to%20Promote%20Open%20Society">
        <w:r>
          <w:rPr>
            <w:rStyle w:val="Hyperlink"/>
          </w:rPr>
          <w:t>[17]</w:t>
        </w:r>
      </w:hyperlink>
      <w:r>
        <w:t xml:space="preserve">, often established in partnership with local civil society leaders. These affiliated foundations – sometimes called “Soros foundations” in their countries – include regional initiatives such as the </w:t>
      </w:r>
      <w:r>
        <w:rPr>
          <w:b/>
          <w:bCs/>
        </w:rPr>
        <w:t>Open Society Initiative for West Africa (OSIWA)</w:t>
      </w:r>
      <w:r>
        <w:t xml:space="preserve"> and </w:t>
      </w:r>
      <w:r>
        <w:rPr>
          <w:b/>
          <w:bCs/>
        </w:rPr>
        <w:t>Open Society Initiative for Southern Africa (OSISA)</w:t>
      </w:r>
      <w:r>
        <w:t xml:space="preserve">, as well as country-focused foundations like the </w:t>
      </w:r>
      <w:r>
        <w:rPr>
          <w:b/>
          <w:bCs/>
        </w:rPr>
        <w:t>International Renaissance Foundation</w:t>
      </w:r>
      <w:r>
        <w:t xml:space="preserve"> in Ukraine and the </w:t>
      </w:r>
      <w:r>
        <w:rPr>
          <w:b/>
          <w:bCs/>
        </w:rPr>
        <w:t>Stefan Batory Foundation</w:t>
      </w:r>
      <w:r>
        <w:t xml:space="preserve"> in Poland</w:t>
      </w:r>
      <w:hyperlink r:id="rId25" w:anchor=":~:text=The%20Open%20Society%20Initiative%20for,51%20around%20the%20globe">
        <w:r>
          <w:rPr>
            <w:rStyle w:val="Hyperlink"/>
          </w:rPr>
          <w:t>[18]</w:t>
        </w:r>
      </w:hyperlink>
      <w:hyperlink r:id="rId26" w:anchor=":~:text=to%20governments%20on%20issues%20of,information%2C%20communication%20technology%2C%20and%20media">
        <w:r>
          <w:rPr>
            <w:rStyle w:val="Hyperlink"/>
          </w:rPr>
          <w:t>[19]</w:t>
        </w:r>
      </w:hyperlink>
      <w:r>
        <w:t>. As of the mid-2010s, OSF had active foundation “branches” in at least 37 countries</w:t>
      </w:r>
      <w:hyperlink r:id="rId27" w:anchor=":~:text=As%20of%202015%2C%20the%20OSF,the%20Hungarian%20government%20targeting%20the">
        <w:r>
          <w:rPr>
            <w:rStyle w:val="Hyperlink"/>
          </w:rPr>
          <w:t>[20]</w:t>
        </w:r>
      </w:hyperlink>
      <w:r>
        <w:t>. Each typically operates as a legally independent nonprofit under local law, but with funding and strategic guidance from OSF.</w:t>
      </w:r>
    </w:p>
    <w:p w14:paraId="5CA93552" w14:textId="77777777" w:rsidR="00406E3B" w:rsidRDefault="00406E3B" w:rsidP="00406E3B">
      <w:pPr>
        <w:pStyle w:val="BodyText"/>
      </w:pPr>
      <w:r>
        <w:t xml:space="preserve">OSF’s network in </w:t>
      </w:r>
      <w:r>
        <w:rPr>
          <w:b/>
          <w:bCs/>
        </w:rPr>
        <w:t>Africa</w:t>
      </w:r>
      <w:r>
        <w:t xml:space="preserve"> is illustrative: Soros established OSIWA in 2000 to cover 15 West African nations (plus Chad, Cameroon, and Mauritania)</w:t>
      </w:r>
      <w:hyperlink r:id="rId28" w:anchor=":~:text=The%20Open%20Society%20Initiative%20for,51%20around%20the%20globe">
        <w:r>
          <w:rPr>
            <w:rStyle w:val="Hyperlink"/>
          </w:rPr>
          <w:t>[18]</w:t>
        </w:r>
      </w:hyperlink>
      <w:hyperlink r:id="rId29" w:anchor=":~:text=OSIWA%20covers%2018%20countries%2C%20which,information%2C%20communication%20technology%2C%20and%20media">
        <w:r>
          <w:rPr>
            <w:rStyle w:val="Hyperlink"/>
          </w:rPr>
          <w:t>[21]</w:t>
        </w:r>
      </w:hyperlink>
      <w:r>
        <w:t>, and OSISA in 1997 to focus on Southern Africa</w:t>
      </w:r>
      <w:hyperlink r:id="rId30" w:anchor=":~:text=,The%20Open%20Society">
        <w:r>
          <w:rPr>
            <w:rStyle w:val="Hyperlink"/>
          </w:rPr>
          <w:t>[22]</w:t>
        </w:r>
      </w:hyperlink>
      <w:r>
        <w:t>. These regional foundations have their own boards composed of prominent African civil society figures – for example, OSIWA’s board has been chaired by respected leaders like former Liberian President Ellen Johnson Sirleaf</w:t>
      </w:r>
      <w:hyperlink r:id="rId31" w:anchor=":~:text=health%20and%20development%3B%20information%2C%20communication,technology%2C%20and%20media">
        <w:r>
          <w:rPr>
            <w:rStyle w:val="Hyperlink"/>
          </w:rPr>
          <w:t>[23]</w:t>
        </w:r>
      </w:hyperlink>
      <w:r>
        <w:t xml:space="preserve">. They maintain offices in multiple countries (OSIWA is headquartered in Dakar with branch offices in Abuja, Freetown, etc. </w:t>
      </w:r>
      <w:hyperlink r:id="rId32" w:anchor=":~:text=OSIWA%20has%20branches%20in%20ten,Mano%20River%20Office">
        <w:r>
          <w:rPr>
            <w:rStyle w:val="Hyperlink"/>
          </w:rPr>
          <w:t>[24]</w:t>
        </w:r>
      </w:hyperlink>
      <w:r>
        <w:t xml:space="preserve">) and identify local priorities such as good governance, rule of law, and media freedom. Meanwhile, some individual African countries also host Soros-funded national foundations; for instance, </w:t>
      </w:r>
      <w:r>
        <w:rPr>
          <w:b/>
          <w:bCs/>
        </w:rPr>
        <w:t>Open Society Foundation for South Africa</w:t>
      </w:r>
      <w:r>
        <w:t xml:space="preserve"> (founded 1993) works alongside OSISA’s regional programs in South Africa</w:t>
      </w:r>
      <w:hyperlink r:id="rId33" w:anchor=":~:text=,69">
        <w:r>
          <w:rPr>
            <w:rStyle w:val="Hyperlink"/>
          </w:rPr>
          <w:t>[25]</w:t>
        </w:r>
      </w:hyperlink>
      <w:r>
        <w:t>. This pattern of combining region-wide initiatives with country-specific foundations repeats across OSF’s global footprint.</w:t>
      </w:r>
    </w:p>
    <w:p w14:paraId="626F770F" w14:textId="77777777" w:rsidR="00406E3B" w:rsidRDefault="00406E3B" w:rsidP="00406E3B">
      <w:pPr>
        <w:pStyle w:val="BodyText"/>
      </w:pPr>
      <w:r>
        <w:t xml:space="preserve">In </w:t>
      </w:r>
      <w:r>
        <w:rPr>
          <w:b/>
          <w:bCs/>
        </w:rPr>
        <w:t>Central and Eastern Europe</w:t>
      </w:r>
      <w:r>
        <w:t>, Soros’s philanthropy dates back to the 1980s, and many national OSF foundations there are well-established. For example, Soros’s first European foundation opened in Hungary in 1984</w:t>
      </w:r>
      <w:hyperlink r:id="rId34" w:anchor=":~:text=The%20Open%20Society%20Foundations%20have,catastrophic%20%E2%80%9Cred%20sludge%E2%80%9D%20industrial%20disaster">
        <w:r>
          <w:rPr>
            <w:rStyle w:val="Hyperlink"/>
          </w:rPr>
          <w:t>[26]</w:t>
        </w:r>
      </w:hyperlink>
      <w:r>
        <w:t xml:space="preserve">, followed by others in Poland (Stefan Batory Foundation, 1988) and across the former Eastern Bloc. Today, OSF supports active national foundations in countries like </w:t>
      </w:r>
      <w:r>
        <w:rPr>
          <w:b/>
          <w:bCs/>
        </w:rPr>
        <w:t>Albania, Bosnia &amp; Herzegovina, Kosovo, North Macedonia, Serbia</w:t>
      </w:r>
      <w:r>
        <w:t xml:space="preserve">, and </w:t>
      </w:r>
      <w:r>
        <w:rPr>
          <w:b/>
          <w:bCs/>
        </w:rPr>
        <w:t>Ukraine</w:t>
      </w:r>
      <w:r>
        <w:t>, among others</w:t>
      </w:r>
      <w:hyperlink r:id="rId35" w:anchor=":~:text=,Herzegovina%2C%20Kosovo%2C%20Macedonia%20and%20Serbia">
        <w:r>
          <w:rPr>
            <w:rStyle w:val="Hyperlink"/>
          </w:rPr>
          <w:t>[27]</w:t>
        </w:r>
      </w:hyperlink>
      <w:r>
        <w:t xml:space="preserve">. These entities often use localized names (e.g. </w:t>
      </w:r>
      <w:r>
        <w:rPr>
          <w:b/>
          <w:bCs/>
        </w:rPr>
        <w:t>Open Society Fund–Bosnia and Herzegovina</w:t>
      </w:r>
      <w:r>
        <w:t xml:space="preserve">, </w:t>
      </w:r>
      <w:r>
        <w:rPr>
          <w:b/>
          <w:bCs/>
        </w:rPr>
        <w:t>Foundation Open Society–Macedonia</w:t>
      </w:r>
      <w:r>
        <w:t>) but remain part of the OSF family. They tend to be registered as independent charitable foundations under domestic law, with local boards that set program priorities relevant to their society’s needs</w:t>
      </w:r>
      <w:hyperlink r:id="rId36" w:anchor=":~:text=In%20Europe%2C%20our%20grant,Five%20national%20foundations">
        <w:r>
          <w:rPr>
            <w:rStyle w:val="Hyperlink"/>
          </w:rPr>
          <w:t>[28]</w:t>
        </w:r>
      </w:hyperlink>
      <w:hyperlink r:id="rId37" w:anchor=":~:text=,Herzegovina%2C%20Kosovo%2C%20Macedonia%20and%20Serbia">
        <w:r>
          <w:rPr>
            <w:rStyle w:val="Hyperlink"/>
          </w:rPr>
          <w:t>[27]</w:t>
        </w:r>
      </w:hyperlink>
      <w:r>
        <w:t xml:space="preserve">. However, they rely financially on annual grants from OSF’s central coffers (OSI/FPOS), and align their strategies with OSF’s global values and themes. As the OSF grantmaking FAQ explains, “national and regional foundations affiliated with Open Society focus on the open society issues most relevant in their </w:t>
      </w:r>
      <w:r>
        <w:lastRenderedPageBreak/>
        <w:t>countries or regions”</w:t>
      </w:r>
      <w:hyperlink r:id="rId38" w:anchor=":~:text=What%20issues%20do%20the%20Open,Society%20Foundations%20work%20on">
        <w:r>
          <w:rPr>
            <w:rStyle w:val="Hyperlink"/>
          </w:rPr>
          <w:t>[29]</w:t>
        </w:r>
      </w:hyperlink>
      <w:hyperlink r:id="rId39" w:anchor=":~:text=we%20work%20on%20a%20wide,in%20their%20countries%20or%20regions">
        <w:r>
          <w:rPr>
            <w:rStyle w:val="Hyperlink"/>
          </w:rPr>
          <w:t>[30]</w:t>
        </w:r>
      </w:hyperlink>
      <w:r>
        <w:t xml:space="preserve"> – indicating a balance between local autonomy and the broader mission.</w:t>
      </w:r>
    </w:p>
    <w:p w14:paraId="69376658" w14:textId="77777777" w:rsidR="00406E3B" w:rsidRDefault="00406E3B" w:rsidP="00406E3B">
      <w:pPr>
        <w:pStyle w:val="BodyText"/>
      </w:pPr>
      <w:r>
        <w:t xml:space="preserve">Beyond Africa and Europe, OSF likewise has foundations or offices in the </w:t>
      </w:r>
      <w:r>
        <w:rPr>
          <w:b/>
          <w:bCs/>
        </w:rPr>
        <w:t>Americas</w:t>
      </w:r>
      <w:r>
        <w:t xml:space="preserve"> and </w:t>
      </w:r>
      <w:r>
        <w:rPr>
          <w:b/>
          <w:bCs/>
        </w:rPr>
        <w:t>Asia Pacific</w:t>
      </w:r>
      <w:r>
        <w:t xml:space="preserve">. In Latin America, for instance, Soros established </w:t>
      </w:r>
      <w:r>
        <w:rPr>
          <w:b/>
          <w:bCs/>
        </w:rPr>
        <w:t>Fundación Soros-Guatemala</w:t>
      </w:r>
      <w:r>
        <w:t xml:space="preserve"> and </w:t>
      </w:r>
      <w:r>
        <w:rPr>
          <w:b/>
          <w:bCs/>
        </w:rPr>
        <w:t>Open Society Foundation–Mexico</w:t>
      </w:r>
      <w:r>
        <w:t xml:space="preserve"> in the 1990s (though some have since closed or changed form), and today OSF maintains regional offices in cities like </w:t>
      </w:r>
      <w:r>
        <w:rPr>
          <w:b/>
          <w:bCs/>
        </w:rPr>
        <w:t>Mexico City</w:t>
      </w:r>
      <w:r>
        <w:t xml:space="preserve">, </w:t>
      </w:r>
      <w:r>
        <w:rPr>
          <w:b/>
          <w:bCs/>
        </w:rPr>
        <w:t>Bogotá</w:t>
      </w:r>
      <w:r>
        <w:t xml:space="preserve">, and </w:t>
      </w:r>
      <w:r>
        <w:rPr>
          <w:b/>
          <w:bCs/>
        </w:rPr>
        <w:t>Rio de Janeiro</w:t>
      </w:r>
      <w:r>
        <w:t xml:space="preserve"> to coordinate grantmaking across Latin America</w:t>
      </w:r>
      <w:hyperlink r:id="rId40" w:anchor=":~:text=Latin%20America%20and%20the%20Caribbean">
        <w:r>
          <w:rPr>
            <w:rStyle w:val="Hyperlink"/>
          </w:rPr>
          <w:t>[31]</w:t>
        </w:r>
      </w:hyperlink>
      <w:hyperlink r:id="rId41" w:anchor=":~:text=Bogota">
        <w:r>
          <w:rPr>
            <w:rStyle w:val="Hyperlink"/>
          </w:rPr>
          <w:t>[32]</w:t>
        </w:r>
      </w:hyperlink>
      <w:r>
        <w:t xml:space="preserve">. In Asia, OSF has supported national foundations such as </w:t>
      </w:r>
      <w:r>
        <w:rPr>
          <w:b/>
          <w:bCs/>
        </w:rPr>
        <w:t>Open Society Foundation–Pakistan</w:t>
      </w:r>
      <w:r>
        <w:t xml:space="preserve"> and programs in countries from Myanmar to Mongolia; a regional office in </w:t>
      </w:r>
      <w:r>
        <w:rPr>
          <w:b/>
          <w:bCs/>
        </w:rPr>
        <w:t>Amman, Jordan</w:t>
      </w:r>
      <w:r>
        <w:t xml:space="preserve"> oversees Middle East/North Africa efforts</w:t>
      </w:r>
      <w:hyperlink r:id="rId42" w:anchor=":~:text=Middle%20East%20and%20North%20Africa">
        <w:r>
          <w:rPr>
            <w:rStyle w:val="Hyperlink"/>
          </w:rPr>
          <w:t>[33]</w:t>
        </w:r>
      </w:hyperlink>
      <w:r>
        <w:t xml:space="preserve">, while another in </w:t>
      </w:r>
      <w:r>
        <w:rPr>
          <w:b/>
          <w:bCs/>
        </w:rPr>
        <w:t>Nairobi, Kenya</w:t>
      </w:r>
      <w:r>
        <w:t xml:space="preserve"> leads East African programs. In total, OSF’s presence is truly worldwide: its </w:t>
      </w:r>
      <w:r>
        <w:rPr>
          <w:b/>
          <w:bCs/>
        </w:rPr>
        <w:t>staff are based in over 20 international offices</w:t>
      </w:r>
      <w:r>
        <w:t xml:space="preserve"> on six continents, and it has funded projects in well over 100 countries to date</w:t>
      </w:r>
      <w:hyperlink r:id="rId43" w:anchor=":~:text=Open%20Society%20Foundations%20has%20offices,%E2%80%9D6">
        <w:r>
          <w:rPr>
            <w:rStyle w:val="Hyperlink"/>
          </w:rPr>
          <w:t>[34]</w:t>
        </w:r>
      </w:hyperlink>
      <w:hyperlink r:id="rId44" w:anchor=":~:text=around%20the%20world%2C%20with%20the,5">
        <w:r>
          <w:rPr>
            <w:rStyle w:val="Hyperlink"/>
          </w:rPr>
          <w:t>[35]</w:t>
        </w:r>
      </w:hyperlink>
      <w:r>
        <w:t>.</w:t>
      </w:r>
    </w:p>
    <w:p w14:paraId="0D5E2D64" w14:textId="77777777" w:rsidR="00406E3B" w:rsidRDefault="00406E3B" w:rsidP="00406E3B">
      <w:pPr>
        <w:pStyle w:val="BodyText"/>
      </w:pPr>
      <w:r>
        <w:t xml:space="preserve">This sprawling structure is held together by formal and informal links of governance and funding. OSF’s central foundations (OSI and FPOS) typically provide the bulk of </w:t>
      </w:r>
      <w:r>
        <w:rPr>
          <w:b/>
          <w:bCs/>
        </w:rPr>
        <w:t>funding</w:t>
      </w:r>
      <w:r>
        <w:t xml:space="preserve"> to the affiliated foundations through yearly grants or budget allocations. For example, FPOS might grant several million dollars to OSIWA or the Kazakhstan Open Society Foundation each year to support their local programs. In turn, those national foundations re-grant funds to NGOs and projects in their country. This means money often flows through multiple layers: Soros’s </w:t>
      </w:r>
      <w:r>
        <w:rPr>
          <w:b/>
          <w:bCs/>
        </w:rPr>
        <w:t>donations funnel into OSF headquarters, which then funds regional foundations, which then support grassroots groups</w:t>
      </w:r>
      <w:r>
        <w:t xml:space="preserve">. Such internal sub-granting was highlighted in a 2025 investigative analysis, which noted that OSF’s network entities sometimes even grant to one another (e.g. the </w:t>
      </w:r>
      <w:r>
        <w:rPr>
          <w:b/>
          <w:bCs/>
        </w:rPr>
        <w:t>Soros Economic Development Fund</w:t>
      </w:r>
      <w:r>
        <w:t xml:space="preserve"> investing \$289 million into FPOS, or FPOS granting \$12 million to the </w:t>
      </w:r>
      <w:r>
        <w:rPr>
          <w:b/>
          <w:bCs/>
        </w:rPr>
        <w:t>Alliance for Open Society International</w:t>
      </w:r>
      <w:r>
        <w:t>, another OSF-linked entity)</w:t>
      </w:r>
      <w:hyperlink r:id="rId45" w:anchor=":~:text=Center%20,alone%20according%20to%20IRS%20filings">
        <w:r>
          <w:rPr>
            <w:rStyle w:val="Hyperlink"/>
          </w:rPr>
          <w:t>[36]</w:t>
        </w:r>
      </w:hyperlink>
      <w:hyperlink r:id="rId46" w:anchor=":~:text=almost%20%241,alone%20according%20to%20IRS%20filings">
        <w:r>
          <w:rPr>
            <w:rStyle w:val="Hyperlink"/>
          </w:rPr>
          <w:t>[37]</w:t>
        </w:r>
      </w:hyperlink>
      <w:r>
        <w:t xml:space="preserve">. These inter-organizational transactions underscore how </w:t>
      </w:r>
      <w:r>
        <w:rPr>
          <w:b/>
          <w:bCs/>
        </w:rPr>
        <w:t>interconnected and complex the OSF financial architecture</w:t>
      </w:r>
      <w:r>
        <w:t xml:space="preserve"> can be. OSF officials acknowledge that the “administrative and financial complexity of the global Open Society network cannot be overstated” – outside observers can usually only discern a </w:t>
      </w:r>
      <w:r>
        <w:rPr>
          <w:b/>
          <w:bCs/>
        </w:rPr>
        <w:t>basic outline</w:t>
      </w:r>
      <w:r>
        <w:t xml:space="preserve"> of activities, not a simple centralized ledger</w:t>
      </w:r>
      <w:hyperlink r:id="rId47" w:anchor=":~:text=International%20Criticism">
        <w:r>
          <w:rPr>
            <w:rStyle w:val="Hyperlink"/>
          </w:rPr>
          <w:t>[38]</w:t>
        </w:r>
      </w:hyperlink>
      <w:r>
        <w:t>.</w:t>
      </w:r>
    </w:p>
    <w:p w14:paraId="71000C9F" w14:textId="77777777" w:rsidR="00406E3B" w:rsidRDefault="00406E3B" w:rsidP="00406E3B">
      <w:pPr>
        <w:pStyle w:val="BodyText"/>
      </w:pPr>
      <w:r>
        <w:t>Notwithstanding this complexity, OSF strives to present a cohesive identity and mission. All affiliated foundations share a commitment to “open society” values of human rights, government accountability, and democratic participation</w:t>
      </w:r>
      <w:hyperlink r:id="rId48" w:anchor=":~:text=The%20Open%20Society%20Foundations%20champion,advance%20rights%2C%20equity%2C%20and%20justice">
        <w:r>
          <w:rPr>
            <w:rStyle w:val="Hyperlink"/>
          </w:rPr>
          <w:t>[39]</w:t>
        </w:r>
      </w:hyperlink>
      <w:r>
        <w:t xml:space="preserve">. Many carry the “Open Society” name explicitly, and even those that do not (like Stefan Batory Foundation or Central European University) are publicly associated with Soros’s network. OSF’s </w:t>
      </w:r>
      <w:r>
        <w:rPr>
          <w:b/>
          <w:bCs/>
        </w:rPr>
        <w:t>Where We Work</w:t>
      </w:r>
      <w:r>
        <w:t xml:space="preserve"> directory openly lists each foundation in the network, reinforcing that they function as a family of organizations</w:t>
      </w:r>
      <w:hyperlink r:id="rId49" w:anchor=":~:text=single%20grant%20where%20feasible">
        <w:r>
          <w:rPr>
            <w:rStyle w:val="Hyperlink"/>
          </w:rPr>
          <w:t>[40]</w:t>
        </w:r>
      </w:hyperlink>
      <w:r>
        <w:t xml:space="preserve">. In practical terms, OSF provides forums for these entities to coordinate strategy, and often OSF </w:t>
      </w:r>
      <w:r>
        <w:rPr>
          <w:b/>
          <w:bCs/>
        </w:rPr>
        <w:t>program staff in thematic areas work across multiple countries</w:t>
      </w:r>
      <w:r>
        <w:t>, ensuring a degree of unity. Still, the federated structure means OSF can adapt to local conditions – for example, by registering a foundation under appropriate local legal forms or by empowering a local board to respond to national issues quickly.</w:t>
      </w:r>
    </w:p>
    <w:p w14:paraId="29F131EA" w14:textId="77777777" w:rsidR="00406E3B" w:rsidRDefault="00406E3B" w:rsidP="00406E3B">
      <w:pPr>
        <w:pStyle w:val="BodyText"/>
      </w:pPr>
      <w:r>
        <w:rPr>
          <w:b/>
          <w:bCs/>
        </w:rPr>
        <w:lastRenderedPageBreak/>
        <w:t>Table 3.1: Key Entities in the Open Society Foundations Network and Their Roles</w:t>
      </w:r>
    </w:p>
    <w:tbl>
      <w:tblPr>
        <w:tblStyle w:val="Table"/>
        <w:tblW w:w="0" w:type="auto"/>
        <w:tblLook w:val="0020" w:firstRow="1" w:lastRow="0" w:firstColumn="0" w:lastColumn="0" w:noHBand="0" w:noVBand="0"/>
      </w:tblPr>
      <w:tblGrid>
        <w:gridCol w:w="2847"/>
        <w:gridCol w:w="3727"/>
        <w:gridCol w:w="2786"/>
      </w:tblGrid>
      <w:tr w:rsidR="00406E3B" w14:paraId="3A8B0826" w14:textId="77777777" w:rsidTr="00BB2ADB">
        <w:trPr>
          <w:cnfStyle w:val="100000000000" w:firstRow="1" w:lastRow="0" w:firstColumn="0" w:lastColumn="0" w:oddVBand="0" w:evenVBand="0" w:oddHBand="0" w:evenHBand="0" w:firstRowFirstColumn="0" w:firstRowLastColumn="0" w:lastRowFirstColumn="0" w:lastRowLastColumn="0"/>
          <w:tblHeader/>
        </w:trPr>
        <w:tc>
          <w:tcPr>
            <w:tcW w:w="0" w:type="auto"/>
          </w:tcPr>
          <w:p w14:paraId="2514A51E" w14:textId="77777777" w:rsidR="00406E3B" w:rsidRDefault="00406E3B" w:rsidP="00BB2ADB">
            <w:pPr>
              <w:pStyle w:val="Compact"/>
            </w:pPr>
            <w:r>
              <w:rPr>
                <w:b/>
                <w:bCs/>
              </w:rPr>
              <w:t>Entity</w:t>
            </w:r>
          </w:p>
        </w:tc>
        <w:tc>
          <w:tcPr>
            <w:tcW w:w="0" w:type="auto"/>
          </w:tcPr>
          <w:p w14:paraId="240F31D6" w14:textId="77777777" w:rsidR="00406E3B" w:rsidRDefault="00406E3B" w:rsidP="00BB2ADB">
            <w:pPr>
              <w:pStyle w:val="Compact"/>
            </w:pPr>
            <w:r>
              <w:rPr>
                <w:b/>
                <w:bCs/>
              </w:rPr>
              <w:t>Role and Description</w:t>
            </w:r>
          </w:p>
        </w:tc>
        <w:tc>
          <w:tcPr>
            <w:tcW w:w="0" w:type="auto"/>
          </w:tcPr>
          <w:p w14:paraId="75F7B295" w14:textId="77777777" w:rsidR="00406E3B" w:rsidRDefault="00406E3B" w:rsidP="00BB2ADB">
            <w:pPr>
              <w:pStyle w:val="Compact"/>
            </w:pPr>
            <w:r>
              <w:rPr>
                <w:b/>
                <w:bCs/>
              </w:rPr>
              <w:t>Legal Status / Jurisdiction</w:t>
            </w:r>
          </w:p>
        </w:tc>
      </w:tr>
      <w:tr w:rsidR="00406E3B" w14:paraId="302911D7" w14:textId="77777777" w:rsidTr="00BB2ADB">
        <w:tc>
          <w:tcPr>
            <w:tcW w:w="0" w:type="auto"/>
          </w:tcPr>
          <w:p w14:paraId="02C463C3" w14:textId="77777777" w:rsidR="00406E3B" w:rsidRDefault="00406E3B" w:rsidP="00BB2ADB">
            <w:pPr>
              <w:pStyle w:val="Compact"/>
            </w:pPr>
            <w:r>
              <w:rPr>
                <w:b/>
                <w:bCs/>
              </w:rPr>
              <w:t>Open Society Institute (OSI)</w:t>
            </w:r>
            <w:r>
              <w:t xml:space="preserve"> – now commonly called </w:t>
            </w:r>
            <w:r>
              <w:rPr>
                <w:b/>
                <w:bCs/>
              </w:rPr>
              <w:t>Open Society Foundations (OSF)</w:t>
            </w:r>
            <w:r>
              <w:t xml:space="preserve"> (New York, USA)</w:t>
            </w:r>
          </w:p>
        </w:tc>
        <w:tc>
          <w:tcPr>
            <w:tcW w:w="0" w:type="auto"/>
          </w:tcPr>
          <w:p w14:paraId="4333EE08" w14:textId="77777777" w:rsidR="00406E3B" w:rsidRDefault="00406E3B" w:rsidP="00BB2ADB">
            <w:pPr>
              <w:pStyle w:val="Compact"/>
            </w:pPr>
            <w:r>
              <w:t xml:space="preserve">Core </w:t>
            </w:r>
            <w:r>
              <w:rPr>
                <w:b/>
                <w:bCs/>
              </w:rPr>
              <w:t>hub</w:t>
            </w:r>
            <w:r>
              <w:t xml:space="preserve"> of the OSF network; coordinates global programs, strategy, and administration. Established 1993 by George Soros</w:t>
            </w:r>
            <w:hyperlink r:id="rId50" w:anchor=":~:text=In%201993%2C%20the%20Open%20Society,6">
              <w:r>
                <w:rPr>
                  <w:rStyle w:val="Hyperlink"/>
                </w:rPr>
                <w:t>[3]</w:t>
              </w:r>
            </w:hyperlink>
            <w:r>
              <w:t>. Overseen by OSF’s Board, it reviews all programs and budgets</w:t>
            </w:r>
            <w:hyperlink r:id="rId51" w:anchor=":~:text=The%20Board%20of%20Directors%20oversees,reviews%20and%20recommends%20corresponding%20budgets">
              <w:r>
                <w:rPr>
                  <w:rStyle w:val="Hyperlink"/>
                </w:rPr>
                <w:t>[41]</w:t>
              </w:r>
            </w:hyperlink>
            <w:r>
              <w:t>.</w:t>
            </w:r>
          </w:p>
        </w:tc>
        <w:tc>
          <w:tcPr>
            <w:tcW w:w="0" w:type="auto"/>
          </w:tcPr>
          <w:p w14:paraId="3A3F799B" w14:textId="77777777" w:rsidR="00406E3B" w:rsidRDefault="00406E3B" w:rsidP="00BB2ADB">
            <w:pPr>
              <w:pStyle w:val="Compact"/>
            </w:pPr>
            <w:r>
              <w:t xml:space="preserve">501(c)(3) </w:t>
            </w:r>
            <w:r>
              <w:rPr>
                <w:b/>
                <w:bCs/>
              </w:rPr>
              <w:t>private foundation</w:t>
            </w:r>
            <w:r>
              <w:t xml:space="preserve"> (US). Formal legal name “Open Society Institute.”</w:t>
            </w:r>
          </w:p>
        </w:tc>
      </w:tr>
      <w:tr w:rsidR="00406E3B" w14:paraId="3D24A786" w14:textId="77777777" w:rsidTr="00BB2ADB">
        <w:tc>
          <w:tcPr>
            <w:tcW w:w="0" w:type="auto"/>
          </w:tcPr>
          <w:p w14:paraId="329E397A" w14:textId="77777777" w:rsidR="00406E3B" w:rsidRDefault="00406E3B" w:rsidP="00BB2ADB">
            <w:pPr>
              <w:pStyle w:val="Compact"/>
            </w:pPr>
            <w:r>
              <w:rPr>
                <w:b/>
                <w:bCs/>
              </w:rPr>
              <w:t>Foundation to Promote Open Society (FPOS)</w:t>
            </w:r>
            <w:r>
              <w:t xml:space="preserve"> (New York, USA)</w:t>
            </w:r>
          </w:p>
        </w:tc>
        <w:tc>
          <w:tcPr>
            <w:tcW w:w="0" w:type="auto"/>
          </w:tcPr>
          <w:p w14:paraId="7B0FC506" w14:textId="77777777" w:rsidR="00406E3B" w:rsidRDefault="00406E3B" w:rsidP="00BB2ADB">
            <w:pPr>
              <w:pStyle w:val="Compact"/>
            </w:pPr>
            <w:r>
              <w:t xml:space="preserve">Primary </w:t>
            </w:r>
            <w:r>
              <w:rPr>
                <w:b/>
                <w:bCs/>
              </w:rPr>
              <w:t>grant-giving foundation</w:t>
            </w:r>
            <w:r>
              <w:t xml:space="preserve"> in Soros’s network since 2008. Endowed by Soros and disbursing hundreds of millions annually in grants</w:t>
            </w:r>
            <w:hyperlink r:id="rId52" w:anchor=":~:text=While%20OSF%20remains%20the%20central,3">
              <w:r>
                <w:rPr>
                  <w:rStyle w:val="Hyperlink"/>
                </w:rPr>
                <w:t>[9]</w:t>
              </w:r>
            </w:hyperlink>
            <w:r>
              <w:t>. Works closely with OSI/OSF to fund programs and affiliates. Soros has chaired its board</w:t>
            </w:r>
            <w:hyperlink r:id="rId53" w:anchor=":~:text=Chairman%3A">
              <w:r>
                <w:rPr>
                  <w:rStyle w:val="Hyperlink"/>
                </w:rPr>
                <w:t>[14]</w:t>
              </w:r>
            </w:hyperlink>
            <w:r>
              <w:t>.</w:t>
            </w:r>
          </w:p>
        </w:tc>
        <w:tc>
          <w:tcPr>
            <w:tcW w:w="0" w:type="auto"/>
          </w:tcPr>
          <w:p w14:paraId="270670DD" w14:textId="77777777" w:rsidR="00406E3B" w:rsidRDefault="00406E3B" w:rsidP="00BB2ADB">
            <w:pPr>
              <w:pStyle w:val="Compact"/>
            </w:pPr>
            <w:r>
              <w:t xml:space="preserve">501(c)(3) </w:t>
            </w:r>
            <w:r>
              <w:rPr>
                <w:b/>
                <w:bCs/>
              </w:rPr>
              <w:t>private foundation</w:t>
            </w:r>
            <w:r>
              <w:t xml:space="preserve"> (US). Established 2008</w:t>
            </w:r>
            <w:hyperlink r:id="rId54" w:anchor=":~:text=Society%20Institute%29">
              <w:r>
                <w:rPr>
                  <w:rStyle w:val="Hyperlink"/>
                </w:rPr>
                <w:t>[10]</w:t>
              </w:r>
            </w:hyperlink>
            <w:r>
              <w:t>.</w:t>
            </w:r>
          </w:p>
        </w:tc>
      </w:tr>
      <w:tr w:rsidR="00406E3B" w14:paraId="29DFB5DF" w14:textId="77777777" w:rsidTr="00BB2ADB">
        <w:tc>
          <w:tcPr>
            <w:tcW w:w="0" w:type="auto"/>
          </w:tcPr>
          <w:p w14:paraId="423BA655" w14:textId="77777777" w:rsidR="00406E3B" w:rsidRDefault="00406E3B" w:rsidP="00BB2ADB">
            <w:pPr>
              <w:pStyle w:val="Compact"/>
            </w:pPr>
            <w:r>
              <w:rPr>
                <w:b/>
                <w:bCs/>
              </w:rPr>
              <w:t>Open Society Action Fund (OSAF)</w:t>
            </w:r>
            <w:r>
              <w:t xml:space="preserve"> – formerly Open Society Policy Center (Washington, DC, USA)</w:t>
            </w:r>
          </w:p>
        </w:tc>
        <w:tc>
          <w:tcPr>
            <w:tcW w:w="0" w:type="auto"/>
          </w:tcPr>
          <w:p w14:paraId="0568DEE1" w14:textId="77777777" w:rsidR="00406E3B" w:rsidRDefault="00406E3B" w:rsidP="00BB2ADB">
            <w:pPr>
              <w:pStyle w:val="Compact"/>
            </w:pPr>
            <w:r>
              <w:t xml:space="preserve">OSF’s </w:t>
            </w:r>
            <w:r>
              <w:rPr>
                <w:b/>
                <w:bCs/>
              </w:rPr>
              <w:t>advocacy arm</w:t>
            </w:r>
            <w:r>
              <w:t>, engaging in policy influence and lobbying on US and international issues</w:t>
            </w:r>
            <w:hyperlink r:id="rId55" w:anchor=":~:text=Open%20Society%20Foundations%E2%80%99%20U,25">
              <w:r>
                <w:rPr>
                  <w:rStyle w:val="Hyperlink"/>
                </w:rPr>
                <w:t>[42]</w:t>
              </w:r>
            </w:hyperlink>
            <w:hyperlink r:id="rId56" w:anchor=":~:text=According%20to%20Stone%2C%20Open%20Society,13">
              <w:r>
                <w:rPr>
                  <w:rStyle w:val="Hyperlink"/>
                </w:rPr>
                <w:t>[43]</w:t>
              </w:r>
            </w:hyperlink>
            <w:r>
              <w:t>. Coordinates with OSF’s U.S. Programs and Brussels advocacy. (Renamed OSAF, previously OSPC)</w:t>
            </w:r>
          </w:p>
        </w:tc>
        <w:tc>
          <w:tcPr>
            <w:tcW w:w="0" w:type="auto"/>
          </w:tcPr>
          <w:p w14:paraId="233B029B" w14:textId="77777777" w:rsidR="00406E3B" w:rsidRDefault="00406E3B" w:rsidP="00BB2ADB">
            <w:pPr>
              <w:pStyle w:val="Compact"/>
            </w:pPr>
            <w:r>
              <w:t xml:space="preserve">501(c)(4) </w:t>
            </w:r>
            <w:r>
              <w:rPr>
                <w:b/>
                <w:bCs/>
              </w:rPr>
              <w:t>social welfare org</w:t>
            </w:r>
            <w:r>
              <w:t xml:space="preserve"> (US). Based in Washington, DC</w:t>
            </w:r>
            <w:hyperlink r:id="rId57" w:anchor=":~:text=">
              <w:r>
                <w:rPr>
                  <w:rStyle w:val="Hyperlink"/>
                </w:rPr>
                <w:t>[44]</w:t>
              </w:r>
            </w:hyperlink>
            <w:r>
              <w:t>.</w:t>
            </w:r>
          </w:p>
        </w:tc>
      </w:tr>
      <w:tr w:rsidR="00406E3B" w14:paraId="602C522A" w14:textId="77777777" w:rsidTr="00BB2ADB">
        <w:tc>
          <w:tcPr>
            <w:tcW w:w="0" w:type="auto"/>
          </w:tcPr>
          <w:p w14:paraId="06510362" w14:textId="77777777" w:rsidR="00406E3B" w:rsidRDefault="00406E3B" w:rsidP="00BB2ADB">
            <w:pPr>
              <w:pStyle w:val="Compact"/>
            </w:pPr>
            <w:r>
              <w:rPr>
                <w:b/>
                <w:bCs/>
              </w:rPr>
              <w:t>Open Society Foundation London</w:t>
            </w:r>
            <w:r>
              <w:t xml:space="preserve"> (UK)</w:t>
            </w:r>
          </w:p>
        </w:tc>
        <w:tc>
          <w:tcPr>
            <w:tcW w:w="0" w:type="auto"/>
          </w:tcPr>
          <w:p w14:paraId="6CFB7222" w14:textId="77777777" w:rsidR="00406E3B" w:rsidRDefault="00406E3B" w:rsidP="00BB2ADB">
            <w:pPr>
              <w:pStyle w:val="Compact"/>
            </w:pPr>
            <w:r>
              <w:t xml:space="preserve">OSF’s </w:t>
            </w:r>
            <w:r>
              <w:rPr>
                <w:b/>
                <w:bCs/>
              </w:rPr>
              <w:t>European hub office</w:t>
            </w:r>
            <w:r>
              <w:t xml:space="preserve"> in London, hosting global programs (e.g., rights, education)</w:t>
            </w:r>
            <w:hyperlink r:id="rId58" w:anchor=":~:text=,Five%20national%20foundations">
              <w:r>
                <w:rPr>
                  <w:rStyle w:val="Hyperlink"/>
                </w:rPr>
                <w:t>[45]</w:t>
              </w:r>
            </w:hyperlink>
            <w:r>
              <w:t>. Provides a base for OSF staff and grant operations in Europe. Registered as a nonprofit company in UK.</w:t>
            </w:r>
          </w:p>
        </w:tc>
        <w:tc>
          <w:tcPr>
            <w:tcW w:w="0" w:type="auto"/>
          </w:tcPr>
          <w:p w14:paraId="055670A6" w14:textId="77777777" w:rsidR="00406E3B" w:rsidRDefault="00406E3B" w:rsidP="00BB2ADB">
            <w:pPr>
              <w:pStyle w:val="Compact"/>
            </w:pPr>
            <w:r>
              <w:t xml:space="preserve">UK </w:t>
            </w:r>
            <w:r>
              <w:rPr>
                <w:b/>
                <w:bCs/>
              </w:rPr>
              <w:t>Company Limited by Guarantee</w:t>
            </w:r>
            <w:r>
              <w:t xml:space="preserve"> (nonprofit). Company No. 10187396</w:t>
            </w:r>
            <w:hyperlink r:id="rId59" w:anchor=":~:text=Open%20Society%20Foundation%20London%204th,London%2C%20EC1R%205EN%2C%20United%20Kingdom">
              <w:r>
                <w:rPr>
                  <w:rStyle w:val="Hyperlink"/>
                </w:rPr>
                <w:t>[46]</w:t>
              </w:r>
            </w:hyperlink>
            <w:r>
              <w:t>. Registered charity status via this vehicle.</w:t>
            </w:r>
          </w:p>
        </w:tc>
      </w:tr>
      <w:tr w:rsidR="00406E3B" w14:paraId="095EA3D4" w14:textId="77777777" w:rsidTr="00BB2ADB">
        <w:tc>
          <w:tcPr>
            <w:tcW w:w="0" w:type="auto"/>
          </w:tcPr>
          <w:p w14:paraId="1F590880" w14:textId="77777777" w:rsidR="00406E3B" w:rsidRDefault="00406E3B" w:rsidP="00BB2ADB">
            <w:pPr>
              <w:pStyle w:val="Compact"/>
            </w:pPr>
            <w:r>
              <w:rPr>
                <w:b/>
                <w:bCs/>
              </w:rPr>
              <w:t>OSF Services Berlin GmbH</w:t>
            </w:r>
            <w:r>
              <w:t xml:space="preserve"> (Germany)</w:t>
            </w:r>
          </w:p>
        </w:tc>
        <w:tc>
          <w:tcPr>
            <w:tcW w:w="0" w:type="auto"/>
          </w:tcPr>
          <w:p w14:paraId="35A7D7EA" w14:textId="77777777" w:rsidR="00406E3B" w:rsidRDefault="00406E3B" w:rsidP="00BB2ADB">
            <w:pPr>
              <w:pStyle w:val="Compact"/>
            </w:pPr>
            <w:r>
              <w:t xml:space="preserve">OSF’s </w:t>
            </w:r>
            <w:r>
              <w:rPr>
                <w:b/>
                <w:bCs/>
              </w:rPr>
              <w:t>operations and program office</w:t>
            </w:r>
            <w:r>
              <w:t xml:space="preserve"> in Berlin, established when OSF relocated its international hub from Budapest to Berlin in 2018</w:t>
            </w:r>
            <w:hyperlink r:id="rId60" w:anchor=":~:text=organization%27s%20headquarters%20%20is%20located,the%20Hungarian%20government%20targeting%20the">
              <w:r>
                <w:rPr>
                  <w:rStyle w:val="Hyperlink"/>
                </w:rPr>
                <w:t>[47]</w:t>
              </w:r>
            </w:hyperlink>
            <w:r>
              <w:t>. Hosts thematic program staff for Europe/global work</w:t>
            </w:r>
            <w:hyperlink r:id="rId61" w:anchor=":~:text=,Five%20national%20foundations">
              <w:r>
                <w:rPr>
                  <w:rStyle w:val="Hyperlink"/>
                </w:rPr>
                <w:t>[45]</w:t>
              </w:r>
            </w:hyperlink>
            <w:r>
              <w:t>.</w:t>
            </w:r>
          </w:p>
        </w:tc>
        <w:tc>
          <w:tcPr>
            <w:tcW w:w="0" w:type="auto"/>
          </w:tcPr>
          <w:p w14:paraId="0312F571" w14:textId="77777777" w:rsidR="00406E3B" w:rsidRDefault="00406E3B" w:rsidP="00BB2ADB">
            <w:pPr>
              <w:pStyle w:val="Compact"/>
            </w:pPr>
            <w:r>
              <w:t xml:space="preserve">German </w:t>
            </w:r>
            <w:r>
              <w:rPr>
                <w:b/>
                <w:bCs/>
              </w:rPr>
              <w:t>gGmbH (nonprofit company)</w:t>
            </w:r>
            <w:r>
              <w:t>. Facilitates OSF activities in EU; subject to German law.</w:t>
            </w:r>
          </w:p>
        </w:tc>
      </w:tr>
      <w:tr w:rsidR="00406E3B" w14:paraId="01EF099C" w14:textId="77777777" w:rsidTr="00BB2ADB">
        <w:tc>
          <w:tcPr>
            <w:tcW w:w="0" w:type="auto"/>
          </w:tcPr>
          <w:p w14:paraId="0EBFC334" w14:textId="77777777" w:rsidR="00406E3B" w:rsidRDefault="00406E3B" w:rsidP="00BB2ADB">
            <w:pPr>
              <w:pStyle w:val="Compact"/>
            </w:pPr>
            <w:r>
              <w:rPr>
                <w:b/>
                <w:bCs/>
              </w:rPr>
              <w:t>Open Society Initiative for Europe (OSIFE)</w:t>
            </w:r>
            <w:r>
              <w:t xml:space="preserve"> (Barcelona, Spain)</w:t>
            </w:r>
          </w:p>
        </w:tc>
        <w:tc>
          <w:tcPr>
            <w:tcW w:w="0" w:type="auto"/>
          </w:tcPr>
          <w:p w14:paraId="6DB05B6C" w14:textId="77777777" w:rsidR="00406E3B" w:rsidRDefault="00406E3B" w:rsidP="00BB2ADB">
            <w:pPr>
              <w:pStyle w:val="Compact"/>
            </w:pPr>
            <w:r>
              <w:t xml:space="preserve">OSF’s </w:t>
            </w:r>
            <w:r>
              <w:rPr>
                <w:b/>
                <w:bCs/>
              </w:rPr>
              <w:t>regional grantmaking unit for the EU</w:t>
            </w:r>
            <w:r>
              <w:t>. Leads grant programs to support democracy and civil society within the EU</w:t>
            </w:r>
            <w:hyperlink r:id="rId62" w:anchor=":~:text=In%20Europe%2C%20our%20grant,Five%20national%20foundations">
              <w:r>
                <w:rPr>
                  <w:rStyle w:val="Hyperlink"/>
                </w:rPr>
                <w:t>[28]</w:t>
              </w:r>
            </w:hyperlink>
            <w:r>
              <w:t>. Based in Barcelona to engage with European grantees.</w:t>
            </w:r>
          </w:p>
        </w:tc>
        <w:tc>
          <w:tcPr>
            <w:tcW w:w="0" w:type="auto"/>
          </w:tcPr>
          <w:p w14:paraId="21B0425F" w14:textId="77777777" w:rsidR="00406E3B" w:rsidRDefault="00406E3B" w:rsidP="00BB2ADB">
            <w:pPr>
              <w:pStyle w:val="Compact"/>
            </w:pPr>
            <w:r>
              <w:t xml:space="preserve">Operates as an OSF </w:t>
            </w:r>
            <w:r>
              <w:rPr>
                <w:b/>
                <w:bCs/>
              </w:rPr>
              <w:t>program office</w:t>
            </w:r>
            <w:r>
              <w:t xml:space="preserve"> (affiliated with OSF global). Not a separate legal entity; staff under OSF Europe.</w:t>
            </w:r>
          </w:p>
        </w:tc>
      </w:tr>
      <w:tr w:rsidR="00406E3B" w14:paraId="3B3B9F43" w14:textId="77777777" w:rsidTr="00BB2ADB">
        <w:tc>
          <w:tcPr>
            <w:tcW w:w="0" w:type="auto"/>
          </w:tcPr>
          <w:p w14:paraId="4A506A02" w14:textId="77777777" w:rsidR="00406E3B" w:rsidRDefault="00406E3B" w:rsidP="00BB2ADB">
            <w:pPr>
              <w:pStyle w:val="Compact"/>
            </w:pPr>
            <w:r>
              <w:rPr>
                <w:b/>
                <w:bCs/>
              </w:rPr>
              <w:t>Open Society European Policy Institute (OSEPI)</w:t>
            </w:r>
            <w:r>
              <w:t xml:space="preserve"> (Brussels, Belgium)</w:t>
            </w:r>
          </w:p>
        </w:tc>
        <w:tc>
          <w:tcPr>
            <w:tcW w:w="0" w:type="auto"/>
          </w:tcPr>
          <w:p w14:paraId="09FF9B62" w14:textId="77777777" w:rsidR="00406E3B" w:rsidRDefault="00406E3B" w:rsidP="00BB2ADB">
            <w:pPr>
              <w:pStyle w:val="Compact"/>
            </w:pPr>
            <w:r>
              <w:t xml:space="preserve">OSF’s </w:t>
            </w:r>
            <w:r>
              <w:rPr>
                <w:b/>
                <w:bCs/>
              </w:rPr>
              <w:t>advocacy and policy office</w:t>
            </w:r>
            <w:r>
              <w:t xml:space="preserve"> to the EU</w:t>
            </w:r>
            <w:hyperlink r:id="rId63" w:anchor=":~:text=In%20Europe%2C%20our%20grant,In">
              <w:r>
                <w:rPr>
                  <w:rStyle w:val="Hyperlink"/>
                </w:rPr>
                <w:t>[48]</w:t>
              </w:r>
            </w:hyperlink>
            <w:r>
              <w:t>. Engages European Union institutions, lobbying for human rights, transparency, and OSF priorities at the EU level</w:t>
            </w:r>
            <w:hyperlink r:id="rId64" w:anchor=":~:text=According%20to%20Stone%2C%20Open%20Society,13">
              <w:r>
                <w:rPr>
                  <w:rStyle w:val="Hyperlink"/>
                </w:rPr>
                <w:t>[43]</w:t>
              </w:r>
            </w:hyperlink>
            <w:r>
              <w:t>.</w:t>
            </w:r>
          </w:p>
        </w:tc>
        <w:tc>
          <w:tcPr>
            <w:tcW w:w="0" w:type="auto"/>
          </w:tcPr>
          <w:p w14:paraId="2DF8C21D" w14:textId="77777777" w:rsidR="00406E3B" w:rsidRDefault="00406E3B" w:rsidP="00BB2ADB">
            <w:pPr>
              <w:pStyle w:val="Compact"/>
            </w:pPr>
            <w:r>
              <w:t xml:space="preserve">Likely a Belgian </w:t>
            </w:r>
            <w:r>
              <w:rPr>
                <w:b/>
                <w:bCs/>
              </w:rPr>
              <w:t>AISBL (intl nonprofit)</w:t>
            </w:r>
            <w:r>
              <w:t xml:space="preserve"> or branch of OSF. Serves as OSF’s EU lobbying presence (registered in EU Transparency Register).</w:t>
            </w:r>
          </w:p>
        </w:tc>
      </w:tr>
      <w:tr w:rsidR="00406E3B" w14:paraId="32792F51" w14:textId="77777777" w:rsidTr="00BB2ADB">
        <w:tc>
          <w:tcPr>
            <w:tcW w:w="0" w:type="auto"/>
          </w:tcPr>
          <w:p w14:paraId="7959A72D" w14:textId="77777777" w:rsidR="00406E3B" w:rsidRDefault="00406E3B" w:rsidP="00BB2ADB">
            <w:pPr>
              <w:pStyle w:val="Compact"/>
            </w:pPr>
            <w:r>
              <w:rPr>
                <w:b/>
                <w:bCs/>
              </w:rPr>
              <w:t>Open Society Initiative for West Africa (OSIWA)</w:t>
            </w:r>
            <w:r>
              <w:t xml:space="preserve"> (Dakar, Abuja, etc.)</w:t>
            </w:r>
          </w:p>
        </w:tc>
        <w:tc>
          <w:tcPr>
            <w:tcW w:w="0" w:type="auto"/>
          </w:tcPr>
          <w:p w14:paraId="7F6F6161" w14:textId="77777777" w:rsidR="00406E3B" w:rsidRDefault="00406E3B" w:rsidP="00BB2ADB">
            <w:pPr>
              <w:pStyle w:val="Compact"/>
            </w:pPr>
            <w:r>
              <w:rPr>
                <w:b/>
                <w:bCs/>
              </w:rPr>
              <w:t>Regional foundation</w:t>
            </w:r>
            <w:r>
              <w:t xml:space="preserve"> covering West Africa (18 countries)</w:t>
            </w:r>
            <w:hyperlink r:id="rId65" w:anchor=":~:text=OSIWA%20covers%2018%20countries%2C%20which,information%2C%20communication%20technology%2C%20and%20media">
              <w:r>
                <w:rPr>
                  <w:rStyle w:val="Hyperlink"/>
                </w:rPr>
                <w:t>[49]</w:t>
              </w:r>
            </w:hyperlink>
            <w:r>
              <w:t xml:space="preserve">. Funds and advocates for democracy, good governance, civic participation. Local board includes eminent West </w:t>
            </w:r>
            <w:r>
              <w:lastRenderedPageBreak/>
              <w:t>Africans</w:t>
            </w:r>
            <w:hyperlink r:id="rId66" w:anchor=":~:text=health%20and%20development%3B%20information%2C%20communication,technology%2C%20and%20media">
              <w:r>
                <w:rPr>
                  <w:rStyle w:val="Hyperlink"/>
                </w:rPr>
                <w:t>[23]</w:t>
              </w:r>
            </w:hyperlink>
            <w:r>
              <w:t>. Offices in Dakar (HQ) and field offices in West African nations</w:t>
            </w:r>
            <w:hyperlink r:id="rId67" w:anchor=":~:text=OSIWA%20has%20branches%20in%20ten,Mano%20River%20Office">
              <w:r>
                <w:rPr>
                  <w:rStyle w:val="Hyperlink"/>
                </w:rPr>
                <w:t>[24]</w:t>
              </w:r>
            </w:hyperlink>
            <w:r>
              <w:t>.</w:t>
            </w:r>
          </w:p>
        </w:tc>
        <w:tc>
          <w:tcPr>
            <w:tcW w:w="0" w:type="auto"/>
          </w:tcPr>
          <w:p w14:paraId="6EF7C623" w14:textId="77777777" w:rsidR="00406E3B" w:rsidRDefault="00406E3B" w:rsidP="00BB2ADB">
            <w:pPr>
              <w:pStyle w:val="Compact"/>
            </w:pPr>
            <w:r>
              <w:lastRenderedPageBreak/>
              <w:t xml:space="preserve">Independent </w:t>
            </w:r>
            <w:r>
              <w:rPr>
                <w:b/>
                <w:bCs/>
              </w:rPr>
              <w:t>nonprofit foundation</w:t>
            </w:r>
            <w:r>
              <w:t xml:space="preserve"> under Senegalese law (regional NGO). Part of OSF network (est. 2000)</w:t>
            </w:r>
            <w:hyperlink r:id="rId68" w:anchor=":~:text=The%20Open%20Society%20Initiative%20for,51%20around%20the%20globe">
              <w:r>
                <w:rPr>
                  <w:rStyle w:val="Hyperlink"/>
                </w:rPr>
                <w:t>[18]</w:t>
              </w:r>
            </w:hyperlink>
            <w:r>
              <w:t>.</w:t>
            </w:r>
          </w:p>
        </w:tc>
      </w:tr>
      <w:tr w:rsidR="00406E3B" w14:paraId="08A1834F" w14:textId="77777777" w:rsidTr="00BB2ADB">
        <w:tc>
          <w:tcPr>
            <w:tcW w:w="0" w:type="auto"/>
          </w:tcPr>
          <w:p w14:paraId="6E1900FA" w14:textId="77777777" w:rsidR="00406E3B" w:rsidRDefault="00406E3B" w:rsidP="00BB2ADB">
            <w:pPr>
              <w:pStyle w:val="Compact"/>
            </w:pPr>
            <w:r>
              <w:rPr>
                <w:b/>
                <w:bCs/>
              </w:rPr>
              <w:t>Open Society Initiative for Southern Africa (OSISA)</w:t>
            </w:r>
            <w:r>
              <w:t xml:space="preserve"> (Johannesburg, SA and region)</w:t>
            </w:r>
          </w:p>
        </w:tc>
        <w:tc>
          <w:tcPr>
            <w:tcW w:w="0" w:type="auto"/>
          </w:tcPr>
          <w:p w14:paraId="50476CC2" w14:textId="77777777" w:rsidR="00406E3B" w:rsidRDefault="00406E3B" w:rsidP="00BB2ADB">
            <w:pPr>
              <w:pStyle w:val="Compact"/>
            </w:pPr>
            <w:r>
              <w:rPr>
                <w:b/>
                <w:bCs/>
              </w:rPr>
              <w:t>Regional foundation</w:t>
            </w:r>
            <w:r>
              <w:t xml:space="preserve"> for Southern Africa (covers SADC countries). Supports human rights, media freedom, education, and HIV/AIDS initiatives</w:t>
            </w:r>
            <w:hyperlink r:id="rId69" w:anchor=":~:text=Open%20Society%20Initiative%20for%20Southern,organization%20promoting%20regime%20change%20in">
              <w:r>
                <w:rPr>
                  <w:rStyle w:val="Hyperlink"/>
                </w:rPr>
                <w:t>[50]</w:t>
              </w:r>
            </w:hyperlink>
            <w:r>
              <w:t>. Works with partner orgs in multiple countries (e.g. Zimbabwe, Zambia). Established 1997 as Soros’s Southern Africa arm</w:t>
            </w:r>
            <w:hyperlink r:id="rId70" w:anchor=":~:text=,The%20Open%20Society">
              <w:r>
                <w:rPr>
                  <w:rStyle w:val="Hyperlink"/>
                </w:rPr>
                <w:t>[22]</w:t>
              </w:r>
            </w:hyperlink>
            <w:r>
              <w:t>.</w:t>
            </w:r>
          </w:p>
        </w:tc>
        <w:tc>
          <w:tcPr>
            <w:tcW w:w="0" w:type="auto"/>
          </w:tcPr>
          <w:p w14:paraId="5F2424B8" w14:textId="77777777" w:rsidR="00406E3B" w:rsidRDefault="00406E3B" w:rsidP="00BB2ADB">
            <w:pPr>
              <w:pStyle w:val="Compact"/>
            </w:pPr>
            <w:r>
              <w:t xml:space="preserve">Independent </w:t>
            </w:r>
            <w:r>
              <w:rPr>
                <w:b/>
                <w:bCs/>
              </w:rPr>
              <w:t>trust/foundation</w:t>
            </w:r>
            <w:r>
              <w:t xml:space="preserve"> under South African law (regional NGO). Part of OSF network.</w:t>
            </w:r>
          </w:p>
        </w:tc>
      </w:tr>
      <w:tr w:rsidR="00406E3B" w14:paraId="6452387B" w14:textId="77777777" w:rsidTr="00BB2ADB">
        <w:tc>
          <w:tcPr>
            <w:tcW w:w="0" w:type="auto"/>
          </w:tcPr>
          <w:p w14:paraId="373726B8" w14:textId="77777777" w:rsidR="00406E3B" w:rsidRDefault="00406E3B" w:rsidP="00BB2ADB">
            <w:pPr>
              <w:pStyle w:val="Compact"/>
            </w:pPr>
            <w:r>
              <w:rPr>
                <w:b/>
                <w:bCs/>
              </w:rPr>
              <w:t>Open Society Foundation for South Africa</w:t>
            </w:r>
            <w:r>
              <w:t xml:space="preserve"> (Cape Town/Johannesburg)</w:t>
            </w:r>
          </w:p>
        </w:tc>
        <w:tc>
          <w:tcPr>
            <w:tcW w:w="0" w:type="auto"/>
          </w:tcPr>
          <w:p w14:paraId="59D54373" w14:textId="77777777" w:rsidR="00406E3B" w:rsidRDefault="00406E3B" w:rsidP="00BB2ADB">
            <w:pPr>
              <w:pStyle w:val="Compact"/>
            </w:pPr>
            <w:r>
              <w:rPr>
                <w:b/>
                <w:bCs/>
              </w:rPr>
              <w:t>National foundation</w:t>
            </w:r>
            <w:r>
              <w:t xml:space="preserve"> in South Africa (distinct from OSISA’s regional scope). Funds local civil society on justice, governance, and equality issues. One of the earliest Soros foundations (founded 1993). Often collaborates with OSISA on overlapping goals.</w:t>
            </w:r>
          </w:p>
        </w:tc>
        <w:tc>
          <w:tcPr>
            <w:tcW w:w="0" w:type="auto"/>
          </w:tcPr>
          <w:p w14:paraId="65896E1D" w14:textId="77777777" w:rsidR="00406E3B" w:rsidRDefault="00406E3B" w:rsidP="00BB2ADB">
            <w:pPr>
              <w:pStyle w:val="Compact"/>
            </w:pPr>
            <w:r>
              <w:rPr>
                <w:b/>
                <w:bCs/>
              </w:rPr>
              <w:t>Nonprofit foundation</w:t>
            </w:r>
            <w:r>
              <w:t xml:space="preserve"> registered in South Africa. Local board; receives OSF funding.</w:t>
            </w:r>
          </w:p>
        </w:tc>
      </w:tr>
      <w:tr w:rsidR="00406E3B" w14:paraId="62BAC568" w14:textId="77777777" w:rsidTr="00BB2ADB">
        <w:tc>
          <w:tcPr>
            <w:tcW w:w="0" w:type="auto"/>
          </w:tcPr>
          <w:p w14:paraId="414DC0BE" w14:textId="77777777" w:rsidR="00406E3B" w:rsidRDefault="00406E3B" w:rsidP="00BB2ADB">
            <w:pPr>
              <w:pStyle w:val="Compact"/>
            </w:pPr>
            <w:r>
              <w:rPr>
                <w:b/>
                <w:bCs/>
              </w:rPr>
              <w:t>International Renaissance Foundation (IRF)</w:t>
            </w:r>
            <w:r>
              <w:t xml:space="preserve"> (Kyiv, Ukraine)</w:t>
            </w:r>
          </w:p>
        </w:tc>
        <w:tc>
          <w:tcPr>
            <w:tcW w:w="0" w:type="auto"/>
          </w:tcPr>
          <w:p w14:paraId="5EE80EBD" w14:textId="77777777" w:rsidR="00406E3B" w:rsidRDefault="00406E3B" w:rsidP="00BB2ADB">
            <w:pPr>
              <w:pStyle w:val="Compact"/>
            </w:pPr>
            <w:r>
              <w:rPr>
                <w:b/>
                <w:bCs/>
              </w:rPr>
              <w:t>National foundation</w:t>
            </w:r>
            <w:r>
              <w:t xml:space="preserve"> in Ukraine, founded 1990s with Soros support. Major funder of Ukrainian civil society, media, and anti-corruption efforts. Operated continuously through democratic transitions and conflict periods. A flagship Soros foundation in Eastern Europe.</w:t>
            </w:r>
          </w:p>
        </w:tc>
        <w:tc>
          <w:tcPr>
            <w:tcW w:w="0" w:type="auto"/>
          </w:tcPr>
          <w:p w14:paraId="078A6113" w14:textId="77777777" w:rsidR="00406E3B" w:rsidRDefault="00406E3B" w:rsidP="00BB2ADB">
            <w:pPr>
              <w:pStyle w:val="Compact"/>
            </w:pPr>
            <w:r>
              <w:t xml:space="preserve">Independent </w:t>
            </w:r>
            <w:r>
              <w:rPr>
                <w:b/>
                <w:bCs/>
              </w:rPr>
              <w:t>charitable foundation</w:t>
            </w:r>
            <w:r>
              <w:t xml:space="preserve"> under Ukrainian law. Affiliated with OSF (one of its largest national foundations).</w:t>
            </w:r>
          </w:p>
        </w:tc>
      </w:tr>
      <w:tr w:rsidR="00406E3B" w14:paraId="772C2754" w14:textId="77777777" w:rsidTr="00BB2ADB">
        <w:tc>
          <w:tcPr>
            <w:tcW w:w="0" w:type="auto"/>
          </w:tcPr>
          <w:p w14:paraId="323406C4" w14:textId="77777777" w:rsidR="00406E3B" w:rsidRDefault="00406E3B" w:rsidP="00BB2ADB">
            <w:pPr>
              <w:pStyle w:val="Compact"/>
            </w:pPr>
            <w:r>
              <w:rPr>
                <w:b/>
                <w:bCs/>
              </w:rPr>
              <w:t>Open Society Foundation–Serbia</w:t>
            </w:r>
            <w:r>
              <w:t xml:space="preserve">, </w:t>
            </w:r>
            <w:r>
              <w:rPr>
                <w:b/>
                <w:bCs/>
              </w:rPr>
              <w:t>Open Society Fund–Bosnia &amp; Herzegovina</w:t>
            </w:r>
            <w:r>
              <w:t xml:space="preserve">, </w:t>
            </w:r>
            <w:r>
              <w:rPr>
                <w:b/>
                <w:bCs/>
              </w:rPr>
              <w:t>Foundation Open Society–Macedonia</w:t>
            </w:r>
            <w:r>
              <w:t>, etc.</w:t>
            </w:r>
          </w:p>
        </w:tc>
        <w:tc>
          <w:tcPr>
            <w:tcW w:w="0" w:type="auto"/>
          </w:tcPr>
          <w:p w14:paraId="10F45AD5" w14:textId="77777777" w:rsidR="00406E3B" w:rsidRDefault="00406E3B" w:rsidP="00BB2ADB">
            <w:pPr>
              <w:pStyle w:val="Compact"/>
            </w:pPr>
            <w:r>
              <w:t xml:space="preserve">Examples of </w:t>
            </w:r>
            <w:r>
              <w:rPr>
                <w:b/>
                <w:bCs/>
              </w:rPr>
              <w:t>national Soros foundations in Central/Eastern Europe</w:t>
            </w:r>
            <w:r>
              <w:t>. Each focuses on local priorities (from education reform to minority rights) while aligning with OSF’s values. Typically run by local boards and staff.</w:t>
            </w:r>
          </w:p>
        </w:tc>
        <w:tc>
          <w:tcPr>
            <w:tcW w:w="0" w:type="auto"/>
          </w:tcPr>
          <w:p w14:paraId="094D57C0" w14:textId="77777777" w:rsidR="00406E3B" w:rsidRDefault="00406E3B" w:rsidP="00BB2ADB">
            <w:pPr>
              <w:pStyle w:val="Compact"/>
            </w:pPr>
            <w:r>
              <w:rPr>
                <w:b/>
                <w:bCs/>
              </w:rPr>
              <w:t>Independent foundations</w:t>
            </w:r>
            <w:r>
              <w:t xml:space="preserve"> under respective national laws (Serbia, BiH, N. Macedonia, etc.). Funded and guided as part of OSF network</w:t>
            </w:r>
            <w:hyperlink r:id="rId71" w:anchor=":~:text=addition%2C%20offices%20in%20London%20and,Herzegovina%2C%20Kosovo%2C%20Macedonia%20and%20Serbia">
              <w:r>
                <w:rPr>
                  <w:rStyle w:val="Hyperlink"/>
                </w:rPr>
                <w:t>[51]</w:t>
              </w:r>
            </w:hyperlink>
            <w:r>
              <w:t>.</w:t>
            </w:r>
          </w:p>
        </w:tc>
      </w:tr>
      <w:tr w:rsidR="00406E3B" w14:paraId="4433F8E8" w14:textId="77777777" w:rsidTr="00BB2ADB">
        <w:tc>
          <w:tcPr>
            <w:tcW w:w="0" w:type="auto"/>
          </w:tcPr>
          <w:p w14:paraId="73EDC5C3" w14:textId="77777777" w:rsidR="00406E3B" w:rsidRDefault="00406E3B" w:rsidP="00BB2ADB">
            <w:pPr>
              <w:pStyle w:val="Compact"/>
            </w:pPr>
            <w:r>
              <w:rPr>
                <w:b/>
                <w:bCs/>
              </w:rPr>
              <w:t>Stefan Batory Foundation</w:t>
            </w:r>
            <w:r>
              <w:t xml:space="preserve"> (Warsaw, Poland)</w:t>
            </w:r>
          </w:p>
        </w:tc>
        <w:tc>
          <w:tcPr>
            <w:tcW w:w="0" w:type="auto"/>
          </w:tcPr>
          <w:p w14:paraId="03C8BA9C" w14:textId="77777777" w:rsidR="00406E3B" w:rsidRDefault="00406E3B" w:rsidP="00BB2ADB">
            <w:pPr>
              <w:pStyle w:val="Compact"/>
            </w:pPr>
            <w:r>
              <w:t xml:space="preserve">An </w:t>
            </w:r>
            <w:r>
              <w:rPr>
                <w:b/>
                <w:bCs/>
              </w:rPr>
              <w:t>independent public charity</w:t>
            </w:r>
            <w:r>
              <w:t xml:space="preserve"> in Poland co-founded by Soros in 1988. While not branded “Open Society,” it has long been part of Soros’s network, championing democracy and civic engagement in Poland. Receives Soros/OSF grants but also local funding.</w:t>
            </w:r>
          </w:p>
        </w:tc>
        <w:tc>
          <w:tcPr>
            <w:tcW w:w="0" w:type="auto"/>
          </w:tcPr>
          <w:p w14:paraId="46ABB462" w14:textId="77777777" w:rsidR="00406E3B" w:rsidRDefault="00406E3B" w:rsidP="00BB2ADB">
            <w:pPr>
              <w:pStyle w:val="Compact"/>
            </w:pPr>
            <w:r>
              <w:t xml:space="preserve">Polish </w:t>
            </w:r>
            <w:r>
              <w:rPr>
                <w:b/>
                <w:bCs/>
              </w:rPr>
              <w:t>foundation</w:t>
            </w:r>
            <w:r>
              <w:t xml:space="preserve"> (public benefit org). Partner to OSF – semi-autonomous with its own endowment and programs, aligned with OSF aims.</w:t>
            </w:r>
          </w:p>
        </w:tc>
      </w:tr>
      <w:tr w:rsidR="00406E3B" w14:paraId="2802567C" w14:textId="77777777" w:rsidTr="00BB2ADB">
        <w:tc>
          <w:tcPr>
            <w:tcW w:w="0" w:type="auto"/>
          </w:tcPr>
          <w:p w14:paraId="18E0A5F0" w14:textId="77777777" w:rsidR="00406E3B" w:rsidRDefault="00406E3B" w:rsidP="00BB2ADB">
            <w:pPr>
              <w:pStyle w:val="Compact"/>
            </w:pPr>
            <w:r>
              <w:rPr>
                <w:b/>
                <w:bCs/>
              </w:rPr>
              <w:t>Alliance for Open Society International (AOSI)</w:t>
            </w:r>
            <w:r>
              <w:t xml:space="preserve"> (New York / Global)</w:t>
            </w:r>
          </w:p>
        </w:tc>
        <w:tc>
          <w:tcPr>
            <w:tcW w:w="0" w:type="auto"/>
          </w:tcPr>
          <w:p w14:paraId="7D4AB0DD" w14:textId="77777777" w:rsidR="00406E3B" w:rsidRDefault="00406E3B" w:rsidP="00BB2ADB">
            <w:pPr>
              <w:pStyle w:val="Compact"/>
            </w:pPr>
            <w:r>
              <w:t>A specialized Soros-founded entity often used for global health and development grant programs. Not widely public-facing, but notably the plaintiff in a U.S. Supreme Court case on USAID funding conditions. Coordinates certain international projects for OSF.</w:t>
            </w:r>
          </w:p>
        </w:tc>
        <w:tc>
          <w:tcPr>
            <w:tcW w:w="0" w:type="auto"/>
          </w:tcPr>
          <w:p w14:paraId="357015D5" w14:textId="77777777" w:rsidR="00406E3B" w:rsidRDefault="00406E3B" w:rsidP="00BB2ADB">
            <w:pPr>
              <w:pStyle w:val="Compact"/>
            </w:pPr>
            <w:r>
              <w:t xml:space="preserve">U.S. </w:t>
            </w:r>
            <w:r>
              <w:rPr>
                <w:b/>
                <w:bCs/>
              </w:rPr>
              <w:t>nonprofit organization</w:t>
            </w:r>
            <w:r>
              <w:t xml:space="preserve"> (affiliated with OSF). Receives internal grants (e.g. from FPOS) for specific initiatives</w:t>
            </w:r>
            <w:hyperlink r:id="rId72" w:anchor=":~:text=almost%20%241,alone%20according%20to%20IRS%20filings">
              <w:r>
                <w:rPr>
                  <w:rStyle w:val="Hyperlink"/>
                </w:rPr>
                <w:t>[37]</w:t>
              </w:r>
            </w:hyperlink>
            <w:r>
              <w:t>.</w:t>
            </w:r>
          </w:p>
        </w:tc>
      </w:tr>
      <w:tr w:rsidR="00406E3B" w14:paraId="747C7EDF" w14:textId="77777777" w:rsidTr="00BB2ADB">
        <w:tc>
          <w:tcPr>
            <w:tcW w:w="0" w:type="auto"/>
          </w:tcPr>
          <w:p w14:paraId="7CBC9F2C" w14:textId="77777777" w:rsidR="00406E3B" w:rsidRDefault="00406E3B" w:rsidP="00BB2ADB">
            <w:pPr>
              <w:pStyle w:val="Compact"/>
            </w:pPr>
            <w:r>
              <w:rPr>
                <w:b/>
                <w:bCs/>
              </w:rPr>
              <w:t>Soros Economic Development Fund (SEDF)</w:t>
            </w:r>
            <w:r>
              <w:t xml:space="preserve"> (Global)</w:t>
            </w:r>
          </w:p>
        </w:tc>
        <w:tc>
          <w:tcPr>
            <w:tcW w:w="0" w:type="auto"/>
          </w:tcPr>
          <w:p w14:paraId="6B3349CD" w14:textId="77777777" w:rsidR="00406E3B" w:rsidRDefault="00406E3B" w:rsidP="00BB2ADB">
            <w:pPr>
              <w:pStyle w:val="Compact"/>
            </w:pPr>
            <w:r>
              <w:t xml:space="preserve">OSF’s </w:t>
            </w:r>
            <w:r>
              <w:rPr>
                <w:b/>
                <w:bCs/>
              </w:rPr>
              <w:t>impact investment arm</w:t>
            </w:r>
            <w:r>
              <w:t xml:space="preserve">, which makes investments (loans, equity) in social enterprises to promote economic opportunity. Managed by OSF as a </w:t>
            </w:r>
            <w:r>
              <w:lastRenderedPageBreak/>
              <w:t>program</w:t>
            </w:r>
            <w:hyperlink r:id="rId73" w:anchor=":~:text=,more%20about%20our%20strategic%20investments">
              <w:r>
                <w:rPr>
                  <w:rStyle w:val="Hyperlink"/>
                </w:rPr>
                <w:t>[52]</w:t>
              </w:r>
            </w:hyperlink>
            <w:r>
              <w:t>. SEDF funds projects like microfinance and impact investing separate from traditional grants.</w:t>
            </w:r>
          </w:p>
        </w:tc>
        <w:tc>
          <w:tcPr>
            <w:tcW w:w="0" w:type="auto"/>
          </w:tcPr>
          <w:p w14:paraId="29A33031" w14:textId="77777777" w:rsidR="00406E3B" w:rsidRDefault="00406E3B" w:rsidP="00BB2ADB">
            <w:pPr>
              <w:pStyle w:val="Compact"/>
            </w:pPr>
            <w:r>
              <w:lastRenderedPageBreak/>
              <w:t xml:space="preserve">Structured as a </w:t>
            </w:r>
            <w:r>
              <w:rPr>
                <w:b/>
                <w:bCs/>
              </w:rPr>
              <w:t>charitable investment fund</w:t>
            </w:r>
            <w:r>
              <w:t xml:space="preserve"> (likely a nonprofit LLC under OSF). </w:t>
            </w:r>
            <w:r>
              <w:lastRenderedPageBreak/>
              <w:t>OSF reports SEDF’s activities within its financials.</w:t>
            </w:r>
          </w:p>
        </w:tc>
      </w:tr>
      <w:tr w:rsidR="00406E3B" w14:paraId="1EA3BA28" w14:textId="77777777" w:rsidTr="00BB2ADB">
        <w:tc>
          <w:tcPr>
            <w:tcW w:w="0" w:type="auto"/>
          </w:tcPr>
          <w:p w14:paraId="671C1E41" w14:textId="77777777" w:rsidR="00406E3B" w:rsidRDefault="00406E3B" w:rsidP="00BB2ADB">
            <w:pPr>
              <w:pStyle w:val="Compact"/>
            </w:pPr>
            <w:r>
              <w:rPr>
                <w:b/>
                <w:bCs/>
              </w:rPr>
              <w:lastRenderedPageBreak/>
              <w:t>Open Society University Network (OSUN)</w:t>
            </w:r>
            <w:r>
              <w:t xml:space="preserve"> (Global)</w:t>
            </w:r>
          </w:p>
        </w:tc>
        <w:tc>
          <w:tcPr>
            <w:tcW w:w="0" w:type="auto"/>
          </w:tcPr>
          <w:p w14:paraId="3CC19D86" w14:textId="77777777" w:rsidR="00406E3B" w:rsidRDefault="00406E3B" w:rsidP="00BB2ADB">
            <w:pPr>
              <w:pStyle w:val="Compact"/>
            </w:pPr>
            <w:r>
              <w:t xml:space="preserve">A </w:t>
            </w:r>
            <w:r>
              <w:rPr>
                <w:b/>
                <w:bCs/>
              </w:rPr>
              <w:t>global network of higher-education institutions</w:t>
            </w:r>
            <w:r>
              <w:t xml:space="preserve"> launched in 2020 with \$1 billion from Soros</w:t>
            </w:r>
            <w:hyperlink r:id="rId74" w:anchor=":~:text=In%202017%2C%20Soros%20transferred%20%2418,20">
              <w:r>
                <w:rPr>
                  <w:rStyle w:val="Hyperlink"/>
                </w:rPr>
                <w:t>[53]</w:t>
              </w:r>
            </w:hyperlink>
            <w:r>
              <w:t>. Co-led by Central European University and Bard College. While not a foundation, it exemplifies Soros’s collaborative initiatives parallel to OSF.</w:t>
            </w:r>
          </w:p>
        </w:tc>
        <w:tc>
          <w:tcPr>
            <w:tcW w:w="0" w:type="auto"/>
          </w:tcPr>
          <w:p w14:paraId="6AC4E575" w14:textId="77777777" w:rsidR="00406E3B" w:rsidRDefault="00406E3B" w:rsidP="00BB2ADB">
            <w:pPr>
              <w:pStyle w:val="Compact"/>
            </w:pPr>
            <w:r>
              <w:t xml:space="preserve">Independent </w:t>
            </w:r>
            <w:r>
              <w:rPr>
                <w:b/>
                <w:bCs/>
              </w:rPr>
              <w:t>consortium</w:t>
            </w:r>
            <w:r>
              <w:t xml:space="preserve"> of universities (OSF provides funding and support). Governed by partner institutions; aligns with OSF’s educational mission.</w:t>
            </w:r>
          </w:p>
        </w:tc>
      </w:tr>
    </w:tbl>
    <w:p w14:paraId="0A2965BA" w14:textId="77777777" w:rsidR="00406E3B" w:rsidRDefault="00406E3B" w:rsidP="00406E3B">
      <w:pPr>
        <w:pStyle w:val="BodyText"/>
      </w:pPr>
      <w:r>
        <w:rPr>
          <w:i/>
          <w:iCs/>
        </w:rPr>
        <w:t>Table 3.1: Mapping of key OSF entities and their roles. (Note: This is not exhaustive; OSF’s network includes additional thematic programs and localized entities.)</w:t>
      </w:r>
    </w:p>
    <w:p w14:paraId="71305833" w14:textId="77777777" w:rsidR="00406E3B" w:rsidRDefault="00406E3B" w:rsidP="00406E3B">
      <w:pPr>
        <w:pStyle w:val="Heading2"/>
      </w:pPr>
      <w:bookmarkStart w:id="19" w:name="governance-bodies-and-decision-making"/>
      <w:bookmarkEnd w:id="18"/>
      <w:r>
        <w:t>Governance Bodies and Decision-Making</w:t>
      </w:r>
    </w:p>
    <w:p w14:paraId="66B48F3E" w14:textId="77777777" w:rsidR="00406E3B" w:rsidRDefault="00406E3B" w:rsidP="00406E3B">
      <w:pPr>
        <w:pStyle w:val="FirstParagraph"/>
      </w:pPr>
      <w:r>
        <w:t xml:space="preserve">Oversight of the entire OSF network rests with a centralized </w:t>
      </w:r>
      <w:r>
        <w:rPr>
          <w:b/>
          <w:bCs/>
        </w:rPr>
        <w:t>Board of Directors</w:t>
      </w:r>
      <w:r>
        <w:t xml:space="preserve"> and a small senior leadership team. </w:t>
      </w:r>
      <w:r>
        <w:rPr>
          <w:b/>
          <w:bCs/>
        </w:rPr>
        <w:t>OSF’s Board of Directors</w:t>
      </w:r>
      <w:r>
        <w:t xml:space="preserve"> is a singular governing body that “oversees the Open Society Foundations” network and is unique in its authority: </w:t>
      </w:r>
      <w:r>
        <w:rPr>
          <w:i/>
          <w:iCs/>
        </w:rPr>
        <w:t>“It is the only body that reviews and advises with respect to all programs and entities within the Open Society Foundations.”</w:t>
      </w:r>
      <w:hyperlink r:id="rId75" w:anchor=":~:text=The%20Board%20of%20Directors%20oversees,reviews%20and%20recommends%20corresponding%20budgets">
        <w:r>
          <w:rPr>
            <w:rStyle w:val="Hyperlink"/>
          </w:rPr>
          <w:t>[41]</w:t>
        </w:r>
      </w:hyperlink>
      <w:r>
        <w:t xml:space="preserve"> In practice, this means the OSF Board sets high-level strategy and policies that apply across OSF’s various branches. The board formally reviews the strategic plans submitted by each OSF program and affiliate, and it “conducts reviews and recommends corresponding budgets” for those plans</w:t>
      </w:r>
      <w:hyperlink r:id="rId76" w:anchor=":~:text=The%20Board%20of%20Directors%20oversees,reviews%20and%20recommends%20corresponding%20budgets">
        <w:r>
          <w:rPr>
            <w:rStyle w:val="Hyperlink"/>
          </w:rPr>
          <w:t>[41]</w:t>
        </w:r>
      </w:hyperlink>
      <w:r>
        <w:t>. Through this process, the global board can ensure that a national foundation in, say, Moldova or an OSF thematic program in public health is aligned with OSF’s overall mission and that their proposed budget fits within Soros’s broader spending framework.</w:t>
      </w:r>
    </w:p>
    <w:p w14:paraId="37E81AF6" w14:textId="77777777" w:rsidR="00406E3B" w:rsidRDefault="00406E3B" w:rsidP="00406E3B">
      <w:pPr>
        <w:pStyle w:val="BodyText"/>
      </w:pPr>
      <w:r>
        <w:t xml:space="preserve">The composition of the Board reflects both </w:t>
      </w:r>
      <w:r>
        <w:rPr>
          <w:b/>
          <w:bCs/>
        </w:rPr>
        <w:t>Soros family control and independent voices</w:t>
      </w:r>
      <w:r>
        <w:t xml:space="preserve">. As of 2023–2024, the board is chaired by </w:t>
      </w:r>
      <w:r>
        <w:rPr>
          <w:b/>
          <w:bCs/>
        </w:rPr>
        <w:t>Alexander Soros</w:t>
      </w:r>
      <w:r>
        <w:t xml:space="preserve"> (George Soros’s son), who took over as chair in late 2022</w:t>
      </w:r>
      <w:hyperlink r:id="rId77" w:anchor=":~:text=,39">
        <w:r>
          <w:rPr>
            <w:rStyle w:val="Hyperlink"/>
          </w:rPr>
          <w:t>[54]</w:t>
        </w:r>
      </w:hyperlink>
      <w:hyperlink r:id="rId78" w:anchor=":~:text=South%20Africa%20in%201979,of%20the%20Board%20of%20Directors">
        <w:r>
          <w:rPr>
            <w:rStyle w:val="Hyperlink"/>
          </w:rPr>
          <w:t>[55]</w:t>
        </w:r>
      </w:hyperlink>
      <w:r>
        <w:t xml:space="preserve">. Other board members include Soros family members (e.g. Andrea Soros Colombel, another of George Soros’s children, and Tamiko Bolton Soros, George Soros’s wife) alongside respected global figures like former Swiss diplomat </w:t>
      </w:r>
      <w:r>
        <w:rPr>
          <w:b/>
          <w:bCs/>
        </w:rPr>
        <w:t>Maria Livanos Cattaui</w:t>
      </w:r>
      <w:r>
        <w:t xml:space="preserve"> and Bulgarian political scientist </w:t>
      </w:r>
      <w:r>
        <w:rPr>
          <w:b/>
          <w:bCs/>
        </w:rPr>
        <w:t>Ivan Krastev</w:t>
      </w:r>
      <w:hyperlink r:id="rId79" w:anchor=":~:text=,39">
        <w:r>
          <w:rPr>
            <w:rStyle w:val="Hyperlink"/>
          </w:rPr>
          <w:t>[56]</w:t>
        </w:r>
      </w:hyperlink>
      <w:hyperlink r:id="rId80" w:anchor=":~:text=,39">
        <w:r>
          <w:rPr>
            <w:rStyle w:val="Hyperlink"/>
          </w:rPr>
          <w:t>[57]</w:t>
        </w:r>
      </w:hyperlink>
      <w:r>
        <w:t xml:space="preserve">. This mix is deliberate: it retains Soros’s influence (the founder himself was long the chair and remains an emeritus figure guiding the foundation’s vision), while also bringing independent oversight and expertise. The board typically meets multiple times a year to discuss OSF’s performance, approve major initiatives, and adapt strategy to world events. Notably, in 2023 Alex Soros and the board moved to significantly </w:t>
      </w:r>
      <w:r>
        <w:rPr>
          <w:b/>
          <w:bCs/>
        </w:rPr>
        <w:t>restructure OSF’s operating model</w:t>
      </w:r>
      <w:r>
        <w:t>, announcing layoffs and program shifts as the foundation pivoted its strategy</w:t>
      </w:r>
      <w:hyperlink r:id="rId81" w:anchor=":~:text=In%202023%2C%20George%20Soros%20handed,22">
        <w:r>
          <w:rPr>
            <w:rStyle w:val="Hyperlink"/>
          </w:rPr>
          <w:t>[58]</w:t>
        </w:r>
      </w:hyperlink>
      <w:hyperlink r:id="rId82" w:anchor=":~:text=In%202023%2C%20George%20Soros%20handed,22">
        <w:r>
          <w:rPr>
            <w:rStyle w:val="Hyperlink"/>
          </w:rPr>
          <w:t>[59]</w:t>
        </w:r>
      </w:hyperlink>
      <w:r>
        <w:t>. Such decisions underscore the board’s powerful role in steering OSF’s course.</w:t>
      </w:r>
    </w:p>
    <w:p w14:paraId="5E5F163F" w14:textId="77777777" w:rsidR="00406E3B" w:rsidRDefault="00406E3B" w:rsidP="00406E3B">
      <w:pPr>
        <w:pStyle w:val="BodyText"/>
      </w:pPr>
      <w:r>
        <w:t xml:space="preserve">Day-to-day management is handled by OSF’s </w:t>
      </w:r>
      <w:r>
        <w:rPr>
          <w:b/>
          <w:bCs/>
        </w:rPr>
        <w:t>President</w:t>
      </w:r>
      <w:r>
        <w:t xml:space="preserve"> and senior executives. The President of OSF acts as the chief executive officer of the network, implementing board policies and overseeing the staff. Over the past decade, OSF has seen a succession of </w:t>
      </w:r>
      <w:r>
        <w:lastRenderedPageBreak/>
        <w:t xml:space="preserve">presidents: </w:t>
      </w:r>
      <w:r>
        <w:rPr>
          <w:b/>
          <w:bCs/>
        </w:rPr>
        <w:t>Patrick Gaspard</w:t>
      </w:r>
      <w:r>
        <w:t xml:space="preserve"> (2017–2020), </w:t>
      </w:r>
      <w:r>
        <w:rPr>
          <w:b/>
          <w:bCs/>
        </w:rPr>
        <w:t>Mark Malloch-Brown</w:t>
      </w:r>
      <w:r>
        <w:t xml:space="preserve"> (2021–2023), and as of mid-2024 </w:t>
      </w:r>
      <w:r>
        <w:rPr>
          <w:b/>
          <w:bCs/>
        </w:rPr>
        <w:t>Binaifer Nowrojee</w:t>
      </w:r>
      <w:r>
        <w:t>, who assumed the role on June 1, 2024</w:t>
      </w:r>
      <w:hyperlink r:id="rId83" w:anchor=":~:text=In%202012%2C%20Christopher%20Stone%20,18">
        <w:r>
          <w:rPr>
            <w:rStyle w:val="Hyperlink"/>
          </w:rPr>
          <w:t>[60]</w:t>
        </w:r>
      </w:hyperlink>
      <w:r>
        <w:t>. Each president has been tasked with managing OSF’s sprawling operations and balancing central control with local initiative. Under the president, OSF’s structure includes regional directors, thematic program directors, and executives for operations (finance, legal, communications, etc.). These professionals manage the thousands of grants and projects OSF supports annually and coordinate with the boards of the national foundations.</w:t>
      </w:r>
    </w:p>
    <w:p w14:paraId="00E568A6" w14:textId="77777777" w:rsidR="00406E3B" w:rsidRDefault="00406E3B" w:rsidP="00406E3B">
      <w:pPr>
        <w:pStyle w:val="BodyText"/>
      </w:pPr>
      <w:r>
        <w:rPr>
          <w:b/>
          <w:bCs/>
        </w:rPr>
        <w:t>Local governance</w:t>
      </w:r>
      <w:r>
        <w:t xml:space="preserve">: The affiliated national and regional foundations typically have their own </w:t>
      </w:r>
      <w:r>
        <w:rPr>
          <w:b/>
          <w:bCs/>
        </w:rPr>
        <w:t>local boards of trustees or directors</w:t>
      </w:r>
      <w:r>
        <w:t>, which provide on-the-ground governance and legitimacy. For example, OSIWA (West Africa) is governed by a board of African civil society leaders and chaired by figures of high stature in the region</w:t>
      </w:r>
      <w:hyperlink r:id="rId84" w:anchor=":~:text=health%20and%20development%3B%20information%2C%20communication,technology%2C%20and%20media">
        <w:r>
          <w:rPr>
            <w:rStyle w:val="Hyperlink"/>
          </w:rPr>
          <w:t>[23]</w:t>
        </w:r>
      </w:hyperlink>
      <w:r>
        <w:t>. These boards make many decisions autonomously, such as approving grants within their country/region and setting local program priorities. However, they operate under the umbrella of OSF’s overall strategy and budgetary constraints. In effect, OSF’s governance is a two-tier system: global oversight by the OSF Board and local oversight by each foundation’s board. The relationship is collegial but with clear lines of accountability, since the local entities depend on OSF funding and must submit plans and reports to OSF headquarters. OSF’s Board explicitly “considers the strategies submitted by all Open Society entities and programs”</w:t>
      </w:r>
      <w:hyperlink r:id="rId85" w:anchor=":~:text=The%20Board%20of%20Directors%20oversees,reviews%20and%20recommends%20corresponding%20budgets">
        <w:r>
          <w:rPr>
            <w:rStyle w:val="Hyperlink"/>
          </w:rPr>
          <w:t>[41]</w:t>
        </w:r>
      </w:hyperlink>
      <w:r>
        <w:t>, indicating that local plans are subject to review and feedback from the center. Importantly, ultimate fiduciary responsibility for Soros’s philanthropic assets lies with the U.S. foundations (OSI and FPOS) and their boards. Therefore, they have authority to intervene if a local foundation veers off mission or faces problems (for instance, if a country’s political environment endangers the foundation’s work).</w:t>
      </w:r>
    </w:p>
    <w:p w14:paraId="7BEC6225" w14:textId="77777777" w:rsidR="00406E3B" w:rsidRDefault="00406E3B" w:rsidP="00406E3B">
      <w:pPr>
        <w:pStyle w:val="BodyText"/>
      </w:pPr>
      <w:r>
        <w:t xml:space="preserve">One notable aspect of OSF governance is the role of </w:t>
      </w:r>
      <w:r>
        <w:rPr>
          <w:b/>
          <w:bCs/>
        </w:rPr>
        <w:t>George Soros himself</w:t>
      </w:r>
      <w:r>
        <w:t>. As founder and major donor, Soros has wielded outsized influence – he “personally sets the budget of the Open Society Foundations” and historically has been deeply involved in strategy</w:t>
      </w:r>
      <w:hyperlink r:id="rId86" w:anchor=":~:text=George%20Soros%2C%20a%20hedge,9">
        <w:r>
          <w:rPr>
            <w:rStyle w:val="Hyperlink"/>
          </w:rPr>
          <w:t>[15]</w:t>
        </w:r>
      </w:hyperlink>
      <w:r>
        <w:t>. While Soros has begun to step back (especially after naming his son Alex to chair the board), he remains a lifetime trustee and figurehead whose vision of the “open society” philosophy underpins everything. Soros’s annual budget letters to OSF, in which he allocates funds to various programs, are a core part of OSF’s planning cycle. For example, if Soros decides that advancing racial justice in the United States or supporting anti-corruption efforts in Eastern Europe should be priorities, he can direct substantial resources accordingly. In 2017 he made headlines for transferring \$18 billion of his fortune into OSF’s endowment</w:t>
      </w:r>
      <w:hyperlink r:id="rId87" w:anchor=":~:text=In%202016%2C%20the%20OSF%20was,19">
        <w:r>
          <w:rPr>
            <w:rStyle w:val="Hyperlink"/>
          </w:rPr>
          <w:t>[61]</w:t>
        </w:r>
      </w:hyperlink>
      <w:r>
        <w:t>, ensuring the foundations’ long-term sustainability. That single action dramatically increased OSF’s assets and solidified Soros’s intent that the network should continue beyond his lifetime. Indeed, OSF’s endowment reached about \$5.3 billion by 2023</w:t>
      </w:r>
      <w:hyperlink r:id="rId88" w:anchor=":~:text=Binaifer%20Nowrojee%20%20Revenue%24436%20million,Image%3A%20Edit%20this%20at%20Wikidata">
        <w:r>
          <w:rPr>
            <w:rStyle w:val="Hyperlink"/>
          </w:rPr>
          <w:t>[62]</w:t>
        </w:r>
      </w:hyperlink>
      <w:hyperlink r:id="rId89" w:anchor=":~:text=Revenue%24436%20million,org%20%20756%20Image">
        <w:r>
          <w:rPr>
            <w:rStyle w:val="Hyperlink"/>
          </w:rPr>
          <w:t>[63]</w:t>
        </w:r>
      </w:hyperlink>
      <w:r>
        <w:t>. With Alex Soros now at the helm, the Soros family influence looks set to continue, although the inclusion of independent board members and presidents indicates OSF’s governance is more than just a family office – it attempts to uphold professional nonprofit management standards as well.</w:t>
      </w:r>
    </w:p>
    <w:p w14:paraId="367E2E56" w14:textId="77777777" w:rsidR="00406E3B" w:rsidRDefault="00406E3B" w:rsidP="00406E3B">
      <w:pPr>
        <w:pStyle w:val="BodyText"/>
      </w:pPr>
      <w:r>
        <w:rPr>
          <w:b/>
          <w:bCs/>
        </w:rPr>
        <w:t>Decision rights</w:t>
      </w:r>
      <w:r>
        <w:t xml:space="preserve"> within OSF flow accordingly: Major strategic decisions (launching a new global program, entering or exiting a country, large-scale budget shifts) are taken by the </w:t>
      </w:r>
      <w:r>
        <w:lastRenderedPageBreak/>
        <w:t xml:space="preserve">OSF Board in consultation with Soros and the president. Intermediate decisions (annual country budgets, program priorities, significant grants above a threshold) are made by OSF senior management, often at the recommendation of regional/thematic directors. Routine grant decisions and project approvals are delegated to program staff and local foundation boards, following agreed strategies. For instance, the </w:t>
      </w:r>
      <w:r>
        <w:rPr>
          <w:b/>
          <w:bCs/>
        </w:rPr>
        <w:t>OSF grantmaking process</w:t>
      </w:r>
      <w:r>
        <w:t xml:space="preserve"> allows individual programs considerable flexibility on how to use their budgets, as long as they pursue OSF’s mission</w:t>
      </w:r>
      <w:hyperlink r:id="rId90" w:anchor=":~:text=approach%20to%20grant%20making,our%20database%20of%20awarded%20grants">
        <w:r>
          <w:rPr>
            <w:rStyle w:val="Hyperlink"/>
          </w:rPr>
          <w:t>[64]</w:t>
        </w:r>
      </w:hyperlink>
      <w:r>
        <w:t>. Program officers identify potential grantees and vet proposals; smaller grants can be approved at the program level, whereas larger grants might require additional sign-off. OSF does not usually operate by open calls for proposals (the majority of grants are to organizations OSF approaches directly, in line with its strategies</w:t>
      </w:r>
      <w:hyperlink r:id="rId91" w:anchor=":~:text=Building%20long,our%20database%20of%20awarded%20grants">
        <w:r>
          <w:rPr>
            <w:rStyle w:val="Hyperlink"/>
          </w:rPr>
          <w:t>[65]</w:t>
        </w:r>
      </w:hyperlink>
      <w:r>
        <w:t xml:space="preserve">). This reflects a trust-based, </w:t>
      </w:r>
      <w:r>
        <w:rPr>
          <w:b/>
          <w:bCs/>
        </w:rPr>
        <w:t>“strategic grantmaking” approach</w:t>
      </w:r>
      <w:r>
        <w:t xml:space="preserve"> where OSF staff, often experts in their fields, guide funding to partners they deem effective.</w:t>
      </w:r>
    </w:p>
    <w:p w14:paraId="21C4793A" w14:textId="77777777" w:rsidR="00406E3B" w:rsidRDefault="00406E3B" w:rsidP="00406E3B">
      <w:pPr>
        <w:pStyle w:val="BodyText"/>
      </w:pPr>
      <w:r>
        <w:t xml:space="preserve">An illustrative scenario: OSF’s </w:t>
      </w:r>
      <w:r>
        <w:rPr>
          <w:b/>
          <w:bCs/>
        </w:rPr>
        <w:t>Education Support Program</w:t>
      </w:r>
      <w:r>
        <w:t xml:space="preserve"> (a thematic program) might decide to fund a new civil society initiative in Central Asia. The program team develops a grant docket, which is reviewed by a </w:t>
      </w:r>
      <w:r>
        <w:rPr>
          <w:b/>
          <w:bCs/>
        </w:rPr>
        <w:t>Grants Committee</w:t>
      </w:r>
      <w:r>
        <w:t xml:space="preserve"> at OSF if above a certain dollar amount. That committee could include OSF executives or board delegates who ensure the grant aligns with OSF priorities. If approved, FPOS (the grantmaking foundation) disburses the funds to the grantee. Meanwhile, if a national foundation like </w:t>
      </w:r>
      <w:r>
        <w:rPr>
          <w:b/>
          <w:bCs/>
        </w:rPr>
        <w:t>Open Society Foundation–Armenia</w:t>
      </w:r>
      <w:r>
        <w:t xml:space="preserve"> wants to undertake a major multi-year project, it likely must get buy-in from OSF’s regional director for Eurasia or even the OSF President’s Office, especially if co-funding from OSF global programs is needed. Overall, </w:t>
      </w:r>
      <w:r>
        <w:rPr>
          <w:b/>
          <w:bCs/>
        </w:rPr>
        <w:t>lines of accountability run upward</w:t>
      </w:r>
      <w:r>
        <w:t>: local foundations report to OSF’s regional divisions; regional directors report to the OSF president and board. The OSF Board, being the “only body” with whole-network purview, can theoretically override local decisions, but in practice it works in an advisory capacity – shaping strategies rather than micromanaging each grant</w:t>
      </w:r>
      <w:hyperlink r:id="rId92" w:anchor=":~:text=The%20Board%20of%20Directors%20oversees,reviews%20and%20recommends%20corresponding%20budgets">
        <w:r>
          <w:rPr>
            <w:rStyle w:val="Hyperlink"/>
          </w:rPr>
          <w:t>[41]</w:t>
        </w:r>
      </w:hyperlink>
      <w:r>
        <w:t>.</w:t>
      </w:r>
    </w:p>
    <w:p w14:paraId="096B73B3" w14:textId="77777777" w:rsidR="00406E3B" w:rsidRDefault="00406E3B" w:rsidP="00406E3B">
      <w:pPr>
        <w:pStyle w:val="BodyText"/>
      </w:pPr>
      <w:r>
        <w:t xml:space="preserve">It’s important to note that OSF’s governance model is </w:t>
      </w:r>
      <w:r>
        <w:rPr>
          <w:b/>
          <w:bCs/>
        </w:rPr>
        <w:t>distinct from a franchise or purely centralized NGO</w:t>
      </w:r>
      <w:r>
        <w:t xml:space="preserve">. It operates almost like a </w:t>
      </w:r>
      <w:r>
        <w:rPr>
          <w:b/>
          <w:bCs/>
        </w:rPr>
        <w:t>philanthropic federation</w:t>
      </w:r>
      <w:r>
        <w:t xml:space="preserve">, where each node has some autonomy but also obligations to the center. This model has strengths: it harnesses local knowledge (through local boards and staff) while maintaining a unified global identity and pooled resources. But it also creates challenges in consistency and communication, which OSF manages via numerous cross-network meetings, shared policies, and oversight mechanisms. One such mechanism is OSF’s </w:t>
      </w:r>
      <w:r>
        <w:rPr>
          <w:b/>
          <w:bCs/>
        </w:rPr>
        <w:t>Internal Audit and Evaluation units</w:t>
      </w:r>
      <w:r>
        <w:t xml:space="preserve"> that periodically assess programs and grantees, providing another layer of accountability beyond the boardroom. These internal checks help inform the board and Soros whether funds are being used effectively on the ground.</w:t>
      </w:r>
    </w:p>
    <w:p w14:paraId="7A425465" w14:textId="77777777" w:rsidR="00406E3B" w:rsidRDefault="00406E3B" w:rsidP="00406E3B">
      <w:pPr>
        <w:pStyle w:val="BodyText"/>
      </w:pPr>
      <w:r>
        <w:t xml:space="preserve">In summary, </w:t>
      </w:r>
      <w:r>
        <w:rPr>
          <w:b/>
          <w:bCs/>
        </w:rPr>
        <w:t>governance within OSF is a hybrid of centralized authority and decentralized implementation</w:t>
      </w:r>
      <w:r>
        <w:t xml:space="preserve">. The OSF Board and Soros family define the broad vision and guardrails, while the many foundation affiliates execute programs in alignment with that vision, under local guidance. This structure has enabled OSF to be both nimble – responding to local events via its in-country foundations – and coordinated – capable of global campaigns like promoting human rights standards or funding academic freedom initiatives across borders. It is a governance tightrope that OSF has walked for decades, </w:t>
      </w:r>
      <w:r>
        <w:lastRenderedPageBreak/>
        <w:t>evolving as the network grew. In recent years, as new leadership takes over and Soros’s direct involvement wanes, OSF’s governance model is again being tested and reshaped, but the fundamental architecture of a network-of-foundations remains intact.</w:t>
      </w:r>
    </w:p>
    <w:p w14:paraId="5DAC93A3" w14:textId="77777777" w:rsidR="00406E3B" w:rsidRDefault="00406E3B" w:rsidP="00406E3B">
      <w:pPr>
        <w:pStyle w:val="Heading2"/>
      </w:pPr>
      <w:bookmarkStart w:id="20" w:name="legal-status-in-key-jurisdictions"/>
      <w:bookmarkEnd w:id="19"/>
      <w:r>
        <w:t>Legal Status in Key Jurisdictions</w:t>
      </w:r>
    </w:p>
    <w:p w14:paraId="40A8B240" w14:textId="77777777" w:rsidR="00406E3B" w:rsidRDefault="00406E3B" w:rsidP="00406E3B">
      <w:pPr>
        <w:pStyle w:val="FirstParagraph"/>
      </w:pPr>
      <w:r>
        <w:t xml:space="preserve">Operating a global philanthropic network requires navigating myriad legal regimes. OSF’s entities are structured in accordance with the laws of the jurisdictions they operate in, resulting in a patchwork of legal forms – private foundations, charities, companies limited by guarantee, associations, and so on. Here we detail OSF’s legal status and reporting obligations in two crucial domains: the </w:t>
      </w:r>
      <w:r>
        <w:rPr>
          <w:b/>
          <w:bCs/>
        </w:rPr>
        <w:t>United States</w:t>
      </w:r>
      <w:r>
        <w:t xml:space="preserve">, home to OSF’s principal foundations, and </w:t>
      </w:r>
      <w:r>
        <w:rPr>
          <w:b/>
          <w:bCs/>
        </w:rPr>
        <w:t>Europe</w:t>
      </w:r>
      <w:r>
        <w:t>, where OSF has a significant presence and has faced both welcome and hostility from different governments. We also touch on general legal considerations in other regions.</w:t>
      </w:r>
    </w:p>
    <w:p w14:paraId="22CB1985" w14:textId="77777777" w:rsidR="00406E3B" w:rsidRDefault="00406E3B" w:rsidP="00406E3B">
      <w:pPr>
        <w:pStyle w:val="BodyText"/>
      </w:pPr>
      <w:r>
        <w:rPr>
          <w:b/>
          <w:bCs/>
        </w:rPr>
        <w:t>United States:</w:t>
      </w:r>
      <w:r>
        <w:t xml:space="preserve"> OSF’s U.S. operations anchor the entire network’s legal and financial base. The Open Society Institute (OSI) and Foundation to Promote Open Society (FPOS) are both registered as </w:t>
      </w:r>
      <w:r>
        <w:rPr>
          <w:b/>
          <w:bCs/>
        </w:rPr>
        <w:t>501(c)(3) private foundations</w:t>
      </w:r>
      <w:r>
        <w:t xml:space="preserve"> under U.S. Internal Revenue Service rules</w:t>
      </w:r>
      <w:hyperlink r:id="rId93" w:anchor=":~:text=Tax">
        <w:r>
          <w:rPr>
            <w:rStyle w:val="Hyperlink"/>
          </w:rPr>
          <w:t>[13]</w:t>
        </w:r>
      </w:hyperlink>
      <w:hyperlink r:id="rId94" w:anchor=":~:text=Also%20see%20the%20similarly%20named%C2%A0Foundation,Nonprofit">
        <w:r>
          <w:rPr>
            <w:rStyle w:val="Hyperlink"/>
          </w:rPr>
          <w:t>[4]</w:t>
        </w:r>
      </w:hyperlink>
      <w:r>
        <w:t xml:space="preserve">. As private foundations (as opposed to public charities), they are tax-exempt but subject to special U.S. regulations – for example, they must pay out at least 5% of their endowment annually in charitable purposes, and they face certain taxes on investment income. Every year, OSI and FPOS each file a detailed IRS return (Form 990-PF) which is </w:t>
      </w:r>
      <w:r>
        <w:rPr>
          <w:b/>
          <w:bCs/>
        </w:rPr>
        <w:t>publicly available</w:t>
      </w:r>
      <w:r>
        <w:t>, disclosing financial information such as assets, expenditures, officer compensation, and a list of all grants made that year. These 990-PF filings are an important transparency mechanism required by U.S. law; indeed, anyone can inspect OSF’s federal tax returns to get a sense of where its money flows. For instance, FPOS’s 2021 Form 990-PF (the latest available) shows over \$2.4 billion in expenditures and lists major grants and contributions</w:t>
      </w:r>
      <w:hyperlink r:id="rId95" w:anchor=":~:text=2021%20%24556%2C436%2C293%20%20%242%2C405%2C888%2C357%20,%2411%2C584%2C378%20%20%2419%2C532%2C251">
        <w:r>
          <w:rPr>
            <w:rStyle w:val="Hyperlink"/>
          </w:rPr>
          <w:t>[66]</w:t>
        </w:r>
      </w:hyperlink>
      <w:hyperlink r:id="rId96" w:anchor=":~:text=2019%20%24740%2C424%2C892%20%20%24391%2C139%2C499%20,%244%2C558%2C517%20%20%2416%2C224%2C900">
        <w:r>
          <w:rPr>
            <w:rStyle w:val="Hyperlink"/>
          </w:rPr>
          <w:t>[67]</w:t>
        </w:r>
      </w:hyperlink>
      <w:r>
        <w:t>. The filings also reveal contributions OSF receives – primarily from Soros’s related entities or family foundations – though historically Soros himself has been by far the largest donor (nearly \$12 billion given through 2017)</w:t>
      </w:r>
      <w:hyperlink r:id="rId97" w:anchor=":~:text=George%20Soros%2C%20a%20hedge,9">
        <w:r>
          <w:rPr>
            <w:rStyle w:val="Hyperlink"/>
          </w:rPr>
          <w:t>[15]</w:t>
        </w:r>
      </w:hyperlink>
      <w:r>
        <w:t>.</w:t>
      </w:r>
    </w:p>
    <w:p w14:paraId="649EB5BE" w14:textId="77777777" w:rsidR="00406E3B" w:rsidRDefault="00406E3B" w:rsidP="00406E3B">
      <w:pPr>
        <w:pStyle w:val="BodyText"/>
      </w:pPr>
      <w:r>
        <w:t xml:space="preserve">In corporate terms, OSI and FPOS are </w:t>
      </w:r>
      <w:r>
        <w:rPr>
          <w:b/>
          <w:bCs/>
        </w:rPr>
        <w:t>nonprofit corporations chartered in New York State</w:t>
      </w:r>
      <w:r>
        <w:t xml:space="preserve">. They are governed by their boards as per New York nonprofit law and the bylaws of each foundation. OSI’s formal corporate name remains “Open Society Institute, Inc.” and FPOS is a separately incorporated entity, but OSF often treats them as components of one system. Notably, there are additional U.S. nonprofits in OSF’s stable: the </w:t>
      </w:r>
      <w:r>
        <w:rPr>
          <w:b/>
          <w:bCs/>
        </w:rPr>
        <w:t>Open Society Policy Center (OSPC)</w:t>
      </w:r>
      <w:r>
        <w:t>, now rebranded as the Open Society Action Fund (OSAF), is organized under section 501(c)(4) of the tax code – meaning it can engage in lobbying and political advocacy that 501(c)(3) foundations cannot</w:t>
      </w:r>
      <w:hyperlink r:id="rId98" w:anchor=":~:text=Open%20Society%20Foundations%E2%80%99%20U,25">
        <w:r>
          <w:rPr>
            <w:rStyle w:val="Hyperlink"/>
          </w:rPr>
          <w:t>[42]</w:t>
        </w:r>
      </w:hyperlink>
      <w:hyperlink r:id="rId99" w:anchor=":~:text=foundations%E2%80%9D%20to%20take%20advantage%20of,13">
        <w:r>
          <w:rPr>
            <w:rStyle w:val="Hyperlink"/>
          </w:rPr>
          <w:t>[68]</w:t>
        </w:r>
      </w:hyperlink>
      <w:r>
        <w:t xml:space="preserve">. OSPC/OSAF is legally distinct (a social welfare nonprofit) and must keep its funds separate from the charitable funds; however, OSF’s 501(c)(3) programs are allowed to </w:t>
      </w:r>
      <w:r>
        <w:rPr>
          <w:b/>
          <w:bCs/>
        </w:rPr>
        <w:t>recommend grants to OSAF</w:t>
      </w:r>
      <w:r>
        <w:t xml:space="preserve"> when they want to support lobbying efforts</w:t>
      </w:r>
      <w:hyperlink r:id="rId100" w:anchor=":~:text=Scholarship%20Program%2C%20and%20the%20Palestinian,Rule%20of%20Law%20Program">
        <w:r>
          <w:rPr>
            <w:rStyle w:val="Hyperlink"/>
          </w:rPr>
          <w:t>[69]</w:t>
        </w:r>
      </w:hyperlink>
      <w:hyperlink r:id="rId101" w:anchor=":~:text=Additionally%2C%20Open%20Society%20is%20able,lobbying">
        <w:r>
          <w:rPr>
            <w:rStyle w:val="Hyperlink"/>
          </w:rPr>
          <w:t>[70]</w:t>
        </w:r>
      </w:hyperlink>
      <w:r>
        <w:t xml:space="preserve">. For example, OSF might identify a policy reform campaign better suited for 501(c)(4) funding – in such cases, an OSF program can channel money to that campaign via OSAF. OSAF itself must file semiannual lobbying disclosures and an IRS Form 990 (being tax-exempt but not tax-deductible). It is registered in </w:t>
      </w:r>
      <w:r>
        <w:lastRenderedPageBreak/>
        <w:t>Washington, D.C., at the same address as OSF’s DC office</w:t>
      </w:r>
      <w:hyperlink r:id="rId102" w:anchor=":~:text=">
        <w:r>
          <w:rPr>
            <w:rStyle w:val="Hyperlink"/>
          </w:rPr>
          <w:t>[44]</w:t>
        </w:r>
      </w:hyperlink>
      <w:r>
        <w:t>. The governance of OSAF overlaps with OSF: the Soros family and OSF leadership serve on OSAF’s board (recent disclosures list Alexander and Andrea Soros as directors)</w:t>
      </w:r>
      <w:hyperlink r:id="rId103" w:anchor=":~:text=Open%20Society%20Action%20Fund%20,Andrea%20Soros%20Colombel%20DIRECTOR">
        <w:r>
          <w:rPr>
            <w:rStyle w:val="Hyperlink"/>
          </w:rPr>
          <w:t>[71]</w:t>
        </w:r>
      </w:hyperlink>
      <w:hyperlink r:id="rId104" w:anchor=":~:text=Open%20Society%20Action%20Fund,Andrea%20Soros%20Colombel%20DIRECTOR">
        <w:r>
          <w:rPr>
            <w:rStyle w:val="Hyperlink"/>
          </w:rPr>
          <w:t>[72]</w:t>
        </w:r>
      </w:hyperlink>
      <w:r>
        <w:t>, ensuring coordination. This dual-entity structure – one for charitable grantmaking, one for advocacy – is a common legal strategy in U.S. philanthropy to maximize influence while obeying regulations (OSF was “among the very first foundations” to affiliate a 501(c)(4) arm in this way</w:t>
      </w:r>
      <w:hyperlink r:id="rId105" w:anchor=":~:text=and%20for%20declassification%20of%20the,called%20Bush%20%E2%80%9Ctorture%20report.%E2%80%9D13">
        <w:r>
          <w:rPr>
            <w:rStyle w:val="Hyperlink"/>
          </w:rPr>
          <w:t>[73]</w:t>
        </w:r>
      </w:hyperlink>
      <w:r>
        <w:t>).</w:t>
      </w:r>
    </w:p>
    <w:p w14:paraId="37AF1D3B" w14:textId="77777777" w:rsidR="00406E3B" w:rsidRDefault="00406E3B" w:rsidP="00406E3B">
      <w:pPr>
        <w:pStyle w:val="BodyText"/>
      </w:pPr>
      <w:r>
        <w:t xml:space="preserve">Additionally, Soros has set up specialized U.S. entities for specific purposes. The </w:t>
      </w:r>
      <w:r>
        <w:rPr>
          <w:b/>
          <w:bCs/>
        </w:rPr>
        <w:t>Fund for Policy Reform, Inc.</w:t>
      </w:r>
      <w:r>
        <w:t xml:space="preserve"> is another 501(c)(4) in the Soros network, active especially in the 2000s, through which tens of millions were routed into advocacy on issues like drug policy and immigration reform</w:t>
      </w:r>
      <w:hyperlink r:id="rId106" w:anchor=":~:text=Annual%20Revenues%20Open%20Society%20Foundations,12%2C000%2C000%20%20%2430%2C200%2C000%20%20%24513%2C447%2C617">
        <w:r>
          <w:rPr>
            <w:rStyle w:val="Hyperlink"/>
          </w:rPr>
          <w:t>[74]</w:t>
        </w:r>
      </w:hyperlink>
      <w:hyperlink r:id="rId107" w:anchor=":~:text=2019%20%24208%2C513%2C497%20%20%24508%2C000%2C000%20,%243%2C000%2C015%20%20%244%2C377%2C720">
        <w:r>
          <w:rPr>
            <w:rStyle w:val="Hyperlink"/>
          </w:rPr>
          <w:t>[75]</w:t>
        </w:r>
      </w:hyperlink>
      <w:r>
        <w:t xml:space="preserve">. There are also legacy entities like the </w:t>
      </w:r>
      <w:r>
        <w:rPr>
          <w:b/>
          <w:bCs/>
        </w:rPr>
        <w:t>Open Society Fund</w:t>
      </w:r>
      <w:r>
        <w:t xml:space="preserve"> (Soros’s original foundation in 1979) and smaller vehicles such as </w:t>
      </w:r>
      <w:r>
        <w:rPr>
          <w:b/>
          <w:bCs/>
        </w:rPr>
        <w:t>Open Society Institute–Baltimore</w:t>
      </w:r>
      <w:r>
        <w:t>, which is technically a field office of OSI focused on Baltimore’s local challenges. Baltimore is a unique case where OSF runs a place-based initiative under the OSI umbrella, addressing issues like addiction and criminal justice in that city. It operates with a degree of independence (it even has a local advisory board), but it is not a separate legal nonprofit – it is an OSI program branch</w:t>
      </w:r>
      <w:hyperlink r:id="rId108" w:anchor=":~:text=,Society%20Initiative%20for%20West%20Africa">
        <w:r>
          <w:rPr>
            <w:rStyle w:val="Hyperlink"/>
          </w:rPr>
          <w:t>[76]</w:t>
        </w:r>
      </w:hyperlink>
      <w:r>
        <w:t>.</w:t>
      </w:r>
    </w:p>
    <w:p w14:paraId="540126CA" w14:textId="77777777" w:rsidR="00406E3B" w:rsidRDefault="00406E3B" w:rsidP="00406E3B">
      <w:pPr>
        <w:pStyle w:val="BodyText"/>
      </w:pPr>
      <w:r>
        <w:t>All these U.S. components are subject to American laws governing charities and lobbying. They must refrain from partisan political activity (OSF cannot support candidates for office due to tax law) and must ensure any lobbying via OSAF stays within legal limits for a social welfare org. The U.S. Foreign Agents Registration Act (FARA) can also come into play: if OSF or OSAF were deemed to be acting on behalf of foreign interests, they’d have to register, but OSF contends its agenda is self-determined (as a press release emphasizes, “Open Society is a private foundation that sets its own priorities…uses its own funds”</w:t>
      </w:r>
      <w:hyperlink r:id="rId109" w:anchor=":~:text=Open%20Society%20is%20a%20private,governments%2C%20and%20multilateral%20development%20agencies">
        <w:r>
          <w:rPr>
            <w:rStyle w:val="Hyperlink"/>
          </w:rPr>
          <w:t>[77]</w:t>
        </w:r>
      </w:hyperlink>
      <w:r>
        <w:t>). Indeed, OSF took the step to publicly refute allegations that it was a conduit for U.S. government funds, stressing its independence and collaboration only “when priorities align” with other funders including governments</w:t>
      </w:r>
      <w:hyperlink r:id="rId110" w:anchor=":~:text=Open%20Society%20is%20a%20private,governments%2C%20and%20multilateral%20development%20agencies">
        <w:r>
          <w:rPr>
            <w:rStyle w:val="Hyperlink"/>
          </w:rPr>
          <w:t>[77]</w:t>
        </w:r>
      </w:hyperlink>
      <w:r>
        <w:t>.</w:t>
      </w:r>
    </w:p>
    <w:p w14:paraId="4B3A02BA" w14:textId="77777777" w:rsidR="00406E3B" w:rsidRDefault="00406E3B" w:rsidP="00406E3B">
      <w:pPr>
        <w:pStyle w:val="BodyText"/>
      </w:pPr>
      <w:r>
        <w:rPr>
          <w:b/>
          <w:bCs/>
        </w:rPr>
        <w:t>Public reporting requirements in the U.S.</w:t>
      </w:r>
      <w:r>
        <w:t xml:space="preserve"> for OSF are relatively robust: annual IRS filings (which include listing of each grant recipient and amount for private foundations), registrations in states for charitable solicitation (OSF likely files in states like New York, California, etc., to raise and grant funds), and lobbying disclosures for the 501(c)(4). These ensure a baseline of transparency in the U.S. context, even if the data is not always user-friendly to parse. For example, OSF’s critics often dig into these filings to trace money flows to controversial causes; one analysis noted OSF’s 2019 lobbying spending of \$48.8 million, ranking it the #2 spender that year, information sourced from OpenSecrets (which in turn got it from OSPC’s filings)</w:t>
      </w:r>
      <w:hyperlink r:id="rId111" w:anchor=":~:text=Democratic%20causes">
        <w:r>
          <w:rPr>
            <w:rStyle w:val="Hyperlink"/>
          </w:rPr>
          <w:t>[78]</w:t>
        </w:r>
      </w:hyperlink>
      <w:hyperlink r:id="rId112" w:anchor=":~:text=His%20investment%20firm%2C%20Soros%20Fund,second%20largest%20spender%20that%20year">
        <w:r>
          <w:rPr>
            <w:rStyle w:val="Hyperlink"/>
          </w:rPr>
          <w:t>[79]</w:t>
        </w:r>
      </w:hyperlink>
      <w:r>
        <w:t>. In summary, in the U.S. OSF functions within a well-defined legal framework for foundations, complying with mandatory disclosure and payout rules while using multiple entities to carry out different aspects of its mission.</w:t>
      </w:r>
    </w:p>
    <w:p w14:paraId="0B877044" w14:textId="77777777" w:rsidR="00406E3B" w:rsidRDefault="00406E3B" w:rsidP="00406E3B">
      <w:pPr>
        <w:pStyle w:val="BodyText"/>
      </w:pPr>
      <w:r>
        <w:rPr>
          <w:b/>
          <w:bCs/>
        </w:rPr>
        <w:t>Europe:</w:t>
      </w:r>
      <w:r>
        <w:t xml:space="preserve"> OSF’s legal footprint in Europe is diverse, reflecting the continent’s variety of legal systems for NGOs. Traditionally, many OSF-affiliated foundations in Europe were locally incorporated </w:t>
      </w:r>
      <w:r>
        <w:rPr>
          <w:b/>
          <w:bCs/>
        </w:rPr>
        <w:t>charitable foundations or associations</w:t>
      </w:r>
      <w:r>
        <w:t xml:space="preserve"> – independent of OSF (U.S.) but </w:t>
      </w:r>
      <w:r>
        <w:lastRenderedPageBreak/>
        <w:t xml:space="preserve">financially supported by it. For instance, </w:t>
      </w:r>
      <w:r>
        <w:rPr>
          <w:b/>
          <w:bCs/>
        </w:rPr>
        <w:t>Open Society Fund–Bosnia and Herzegovina</w:t>
      </w:r>
      <w:r>
        <w:t xml:space="preserve"> is registered under Bosnian law as a philanthropic foundation with its own local governing board</w:t>
      </w:r>
      <w:hyperlink r:id="rId113" w:anchor=":~:text=">
        <w:r>
          <w:rPr>
            <w:rStyle w:val="Hyperlink"/>
          </w:rPr>
          <w:t>[80]</w:t>
        </w:r>
      </w:hyperlink>
      <w:r>
        <w:t xml:space="preserve">. Similarly, </w:t>
      </w:r>
      <w:r>
        <w:rPr>
          <w:b/>
          <w:bCs/>
        </w:rPr>
        <w:t>Open Society Foundation–Albania</w:t>
      </w:r>
      <w:r>
        <w:t xml:space="preserve"> is a locally registered foundation in Tirana</w:t>
      </w:r>
      <w:hyperlink r:id="rId114" w:anchor=":~:text=">
        <w:r>
          <w:rPr>
            <w:rStyle w:val="Hyperlink"/>
          </w:rPr>
          <w:t>[81]</w:t>
        </w:r>
      </w:hyperlink>
      <w:r>
        <w:t xml:space="preserve">. These entities must adhere to their country’s regulations on nonprofits: filing annual financial statements with government agencies, undergoing audits if required, and in some cases publishing annual activity reports. In many European countries (e.g. </w:t>
      </w:r>
      <w:r>
        <w:rPr>
          <w:b/>
          <w:bCs/>
        </w:rPr>
        <w:t>UK, Germany, France</w:t>
      </w:r>
      <w:r>
        <w:t>), OSF opted to establish formal legal entities to conduct its work, especially as the network matured.</w:t>
      </w:r>
    </w:p>
    <w:p w14:paraId="65EA9A3F" w14:textId="77777777" w:rsidR="00406E3B" w:rsidRDefault="00406E3B" w:rsidP="00406E3B">
      <w:pPr>
        <w:pStyle w:val="BodyText"/>
      </w:pPr>
      <w:r>
        <w:t xml:space="preserve">A notable example is the </w:t>
      </w:r>
      <w:r>
        <w:rPr>
          <w:b/>
          <w:bCs/>
        </w:rPr>
        <w:t>Open Society Foundation London</w:t>
      </w:r>
      <w:r>
        <w:t xml:space="preserve">, which serves as a major hub for OSF’s international operations. Rather than being an unincorporated branch, OSF London is set up as a </w:t>
      </w:r>
      <w:r>
        <w:rPr>
          <w:b/>
          <w:bCs/>
        </w:rPr>
        <w:t>UK company limited by guarantee (CLG)</w:t>
      </w:r>
      <w:r>
        <w:t xml:space="preserve"> – a common legal form for nonprofits in the UK. It is registered in England and Wales with company number 10187396</w:t>
      </w:r>
      <w:hyperlink r:id="rId115" w:anchor=":~:text=Open%20Society%20Foundation%20London%204th,London%2C%20EC1R%205EN%2C%20United%20Kingdom">
        <w:r>
          <w:rPr>
            <w:rStyle w:val="Hyperlink"/>
          </w:rPr>
          <w:t>[46]</w:t>
        </w:r>
      </w:hyperlink>
      <w:r>
        <w:t xml:space="preserve">. A CLG has no shareholders (only guarantors) and reinvests all profits into its mission, functioning much like a charity. OSF London presumably holds a charitable status (likely registered with the Charity Commission or operating through a charitable trust) to receive tax benefits. The listing in OSF’s directory explicitly notes this status, including a </w:t>
      </w:r>
      <w:r>
        <w:rPr>
          <w:b/>
          <w:bCs/>
        </w:rPr>
        <w:t>Section 172 report</w:t>
      </w:r>
      <w:r>
        <w:t xml:space="preserve"> which UK companies must produce to detail how directors are fulfilling their duty to consider stakeholders</w:t>
      </w:r>
      <w:hyperlink r:id="rId116" w:anchor=":~:text=Open%20Society%20Foundation%20London%204th,London%2C%20EC1R%205EN%2C%20United%20Kingdom">
        <w:r>
          <w:rPr>
            <w:rStyle w:val="Hyperlink"/>
          </w:rPr>
          <w:t>[46]</w:t>
        </w:r>
      </w:hyperlink>
      <w:r>
        <w:t>. This suggests OSF London is a fairly large entity (UK law mandates a Section 172 statement for large companies), indicating the significant scale of OSF’s UK-based programs and staff. OSF London hosts staff working on global themes and may manage grant funding for certain regions outside the UK</w:t>
      </w:r>
      <w:hyperlink r:id="rId117" w:anchor=":~:text=,Five%20national%20foundations">
        <w:r>
          <w:rPr>
            <w:rStyle w:val="Hyperlink"/>
          </w:rPr>
          <w:t>[45]</w:t>
        </w:r>
      </w:hyperlink>
      <w:r>
        <w:t>. It must file annual reports and financial statements to UK Companies House, making some information public (e.g., a summary of income, spending, and the general nature of activities in its annual accounts).</w:t>
      </w:r>
    </w:p>
    <w:p w14:paraId="742C4FE8" w14:textId="77777777" w:rsidR="00406E3B" w:rsidRDefault="00406E3B" w:rsidP="00406E3B">
      <w:pPr>
        <w:pStyle w:val="BodyText"/>
      </w:pPr>
      <w:r>
        <w:t xml:space="preserve">In </w:t>
      </w:r>
      <w:r>
        <w:rPr>
          <w:b/>
          <w:bCs/>
        </w:rPr>
        <w:t>Germany</w:t>
      </w:r>
      <w:r>
        <w:t>, OSF established a presence after moving its European hub from Budapest to Berlin in 2018 due to political pressure in Hungary</w:t>
      </w:r>
      <w:hyperlink r:id="rId118" w:anchor=":~:text=organization%27s%20headquarters%20%20is%20located,8">
        <w:r>
          <w:rPr>
            <w:rStyle w:val="Hyperlink"/>
          </w:rPr>
          <w:t>[82]</w:t>
        </w:r>
      </w:hyperlink>
      <w:r>
        <w:t xml:space="preserve">. Rather than creating a public-law foundation (a complex process in Germany), OSF set up </w:t>
      </w:r>
      <w:r>
        <w:rPr>
          <w:b/>
          <w:bCs/>
        </w:rPr>
        <w:t>OSF Services GmbH in Berlin</w:t>
      </w:r>
      <w:hyperlink r:id="rId119" w:anchor=":~:text=">
        <w:r>
          <w:rPr>
            <w:rStyle w:val="Hyperlink"/>
          </w:rPr>
          <w:t>[83]</w:t>
        </w:r>
      </w:hyperlink>
      <w:r>
        <w:t xml:space="preserve">. A “GmbH” is a private company structure; adding the qualifier “gGmbH” denotes </w:t>
      </w:r>
      <w:r>
        <w:rPr>
          <w:i/>
          <w:iCs/>
        </w:rPr>
        <w:t>gemeinnützige</w:t>
      </w:r>
      <w:r>
        <w:t xml:space="preserve"> (nonprofit) status. This allowed OSF to register quickly and hire staff in Germany. The gGmbH would be governed by German company law and supervised by local authorities for its charitable work. It likely files annual financial reports to the German commercial register and maintains a status that donations to it are tax-exempt. The name “Services” hints that this entity might primarily handle administrative functions (HR, IT, etc.) for OSF in Europe and possibly support grant administration, rather than being a grantmaking foundation per se. Programmatically, OSF’s European grant decisions are led by OSIFE (Barcelona) and the network of national foundations, but the Berlin office provides a base of operations within the EU.</w:t>
      </w:r>
    </w:p>
    <w:p w14:paraId="63025C22" w14:textId="77777777" w:rsidR="00406E3B" w:rsidRDefault="00406E3B" w:rsidP="00406E3B">
      <w:pPr>
        <w:pStyle w:val="BodyText"/>
      </w:pPr>
      <w:r>
        <w:t xml:space="preserve">In </w:t>
      </w:r>
      <w:r>
        <w:rPr>
          <w:b/>
          <w:bCs/>
        </w:rPr>
        <w:t>Brussels</w:t>
      </w:r>
      <w:r>
        <w:t xml:space="preserve">, OSF runs the Open Society European Policy Institute (OSEPI). Brussels is a hub for NGOs trying to influence EU policy, and many set up as </w:t>
      </w:r>
      <w:r>
        <w:rPr>
          <w:b/>
          <w:bCs/>
        </w:rPr>
        <w:t>AISBLs</w:t>
      </w:r>
      <w:r>
        <w:t xml:space="preserve"> (International Non-Profit Associations) under Belgian law. It’s unclear if OSEPI is an AISBL or simply a liaison office of OSF, but either way, it adheres to EU lobbying transparency rules. OSEPI is listed in the EU Transparency Register (as required for entities that lobby EU institutions), where </w:t>
      </w:r>
      <w:r>
        <w:lastRenderedPageBreak/>
        <w:t>it would disclose its approximate annual expenditures on EU lobbying and the source of its funds (which in OSEPI’s case is OSF)</w:t>
      </w:r>
      <w:hyperlink r:id="rId120" w:anchor=":~:text=According%20to%20Stone%2C%20Open%20Society,13">
        <w:r>
          <w:rPr>
            <w:rStyle w:val="Hyperlink"/>
          </w:rPr>
          <w:t>[43]</w:t>
        </w:r>
      </w:hyperlink>
      <w:r>
        <w:t>. This means the EU public has some insight into OSEPI’s work – for example, OSEPI staff regularly engage European Parliament members on issues like human rights in Hungary or Roma inclusion, and they report these advocacy activities. OSEPI as an organization likely falls under Belgian law requiring annual financial statements and possibly reports to the Ministry of Justice if an AISBL.</w:t>
      </w:r>
    </w:p>
    <w:p w14:paraId="6C957112" w14:textId="77777777" w:rsidR="00406E3B" w:rsidRDefault="00406E3B" w:rsidP="00406E3B">
      <w:pPr>
        <w:pStyle w:val="BodyText"/>
      </w:pPr>
      <w:r>
        <w:t xml:space="preserve">In countries where OSF has national foundations (like </w:t>
      </w:r>
      <w:r>
        <w:rPr>
          <w:b/>
          <w:bCs/>
        </w:rPr>
        <w:t>Ukraine’s IRF, Serbia’s OSF-Serbia, Hungary’s former foundation, etc.), those are incorporated under domestic NGO laws. Typically, they would register as</w:t>
      </w:r>
      <w:r>
        <w:t xml:space="preserve"> foundations or associations </w:t>
      </w:r>
      <w:r>
        <w:rPr>
          <w:b/>
          <w:bCs/>
        </w:rPr>
        <w:t>and be recognized as charitable or public benefit organizations locally. This confers some tax advantages (like tax exemption and ability to receive tax-deductible donations) but also obligations such as submitting annual reports to a government registry, undergoing audits, and in some cases publishing donor information. For instance,</w:t>
      </w:r>
      <w:r>
        <w:t xml:space="preserve"> Hungary’s Soros Foundation** (which operated from 1984 until OSF’s withdrawal in 2018) had to comply with a 2017 Hungarian law on foreign-funded NGOs, which mandated that NGOs receiving above a threshold of foreign funding register as such and label their publications</w:t>
      </w:r>
      <w:hyperlink r:id="rId121" w:anchor=":~:text=The%20decision%20to%20move%20operations,%E2%80%9CStop%20Soros%E2%80%9D%20package%20of%20legislation">
        <w:r>
          <w:rPr>
            <w:rStyle w:val="Hyperlink"/>
          </w:rPr>
          <w:t>[84]</w:t>
        </w:r>
      </w:hyperlink>
      <w:hyperlink r:id="rId122" w:anchor=":~:text=The%20legislation%2C%20invoking%20national%20security,are%20threatened%20by%20the%20legislation">
        <w:r>
          <w:rPr>
            <w:rStyle w:val="Hyperlink"/>
          </w:rPr>
          <w:t>[85]</w:t>
        </w:r>
      </w:hyperlink>
      <w:r>
        <w:t>. OSF vocally opposed that law as stigmatizing – one reason it moved its base out of Hungary was to avoid onerous legal restrictions and protect its staff</w:t>
      </w:r>
      <w:hyperlink r:id="rId123" w:anchor=":~:text=NEW%20YORK%E2%80%94Faced%20with%20an%20increasingly,to%20the%20German%20capital%2C%20Berlin">
        <w:r>
          <w:rPr>
            <w:rStyle w:val="Hyperlink"/>
          </w:rPr>
          <w:t>[86]</w:t>
        </w:r>
      </w:hyperlink>
      <w:hyperlink r:id="rId124" w:anchor=":~:text=%E2%80%9CThe%20government%20of%20Hungary%20has,%E2%80%9D">
        <w:r>
          <w:rPr>
            <w:rStyle w:val="Hyperlink"/>
          </w:rPr>
          <w:t>[87]</w:t>
        </w:r>
      </w:hyperlink>
      <w:r>
        <w:t>. In 2020, the European Court of Justice struck down Hungary’s law as violating EU rights</w:t>
      </w:r>
      <w:hyperlink r:id="rId125" w:anchor=":~:text=The%20latest%20proposed%20legislation%20on,EU%E2%80%99s%20Charter%20of%20Fundamental%20Rights">
        <w:r>
          <w:rPr>
            <w:rStyle w:val="Hyperlink"/>
          </w:rPr>
          <w:t>[88]</w:t>
        </w:r>
      </w:hyperlink>
      <w:r>
        <w:t>, a decision OSEPI celebrated. This highlights how OSF’s legal status can become entangled in political fights: what is a straightforward charity registration in one country can become a target of “foreign agent” labeling in another. OSF’s legal response has been adaptive: if a country becomes too hostile (e.g., Russia outright banned OSF as an “undesirable organization” in 2015), OSF will close the foundation and sometimes support civil society via cross-border grants instead.</w:t>
      </w:r>
    </w:p>
    <w:p w14:paraId="3C1FAEE2" w14:textId="77777777" w:rsidR="00406E3B" w:rsidRDefault="00406E3B" w:rsidP="00406E3B">
      <w:pPr>
        <w:pStyle w:val="BodyText"/>
      </w:pPr>
      <w:r>
        <w:t xml:space="preserve">Within the </w:t>
      </w:r>
      <w:r>
        <w:rPr>
          <w:b/>
          <w:bCs/>
        </w:rPr>
        <w:t>European Union</w:t>
      </w:r>
      <w:r>
        <w:t xml:space="preserve">, OSF’s entities also adhere to GDPR data protection laws for their operations and to any EU-wide regulations on anti-money laundering, etc., that affect nonprofit financing. OSF’s finances in Europe might also be subject to </w:t>
      </w:r>
      <w:r>
        <w:rPr>
          <w:b/>
          <w:bCs/>
        </w:rPr>
        <w:t>independent audits</w:t>
      </w:r>
      <w:r>
        <w:t>. Indeed, many OSF national foundations voluntarily commission annual independent financial audits (for example, the International Renaissance Foundation in Ukraine publishes audited financial statements and annual reports on its website, listing its projects and expenditures). While not required by OSF centrally, this practice helps maintain credibility and comply with local expectations for NGO accountability.</w:t>
      </w:r>
    </w:p>
    <w:p w14:paraId="2684EAF2" w14:textId="77777777" w:rsidR="00406E3B" w:rsidRDefault="00406E3B" w:rsidP="00406E3B">
      <w:pPr>
        <w:pStyle w:val="BodyText"/>
      </w:pPr>
      <w:r>
        <w:t xml:space="preserve">To coordinate compliance, OSF employs legal counsel and compliance officers in Europe who ensure each entity meets its obligations. A concrete example is </w:t>
      </w:r>
      <w:r>
        <w:rPr>
          <w:b/>
          <w:bCs/>
        </w:rPr>
        <w:t>OSF-Prague</w:t>
      </w:r>
      <w:r>
        <w:t xml:space="preserve"> (Open Society Fund Prague), the Czech national foundation: it’s registered as a Czech foundation, and Czech law requires an annual report detailing activities and a financial overview to be filed with the registry and made public. Similarly, OSF’s </w:t>
      </w:r>
      <w:r>
        <w:rPr>
          <w:b/>
          <w:bCs/>
        </w:rPr>
        <w:t>UK Section 172 report</w:t>
      </w:r>
      <w:r>
        <w:t xml:space="preserve"> for OSF London (accessible via Companies House) provides insights into how directors consider employee interests, environmental matters, and business relationships</w:t>
      </w:r>
      <w:hyperlink r:id="rId126" w:anchor=":~:text=Open%20Society%20Foundation%20London%204th,London%2C%20EC1R%205EN%2C%20United%20Kingdom">
        <w:r>
          <w:rPr>
            <w:rStyle w:val="Hyperlink"/>
          </w:rPr>
          <w:t>[46]</w:t>
        </w:r>
      </w:hyperlink>
      <w:r>
        <w:t xml:space="preserve"> – a UK legal requirement that adds a layer of corporate accountability unusual for a foundation. This demonstrates how OSF must conform to the corporate </w:t>
      </w:r>
      <w:r>
        <w:lastRenderedPageBreak/>
        <w:t>governance codes of each country (in the UK case, treating its foundation somewhat like a corporate entity with social responsibilities under the Companies Act).</w:t>
      </w:r>
    </w:p>
    <w:p w14:paraId="54360D65" w14:textId="77777777" w:rsidR="00406E3B" w:rsidRDefault="00406E3B" w:rsidP="00406E3B">
      <w:pPr>
        <w:pStyle w:val="BodyText"/>
      </w:pPr>
      <w:r>
        <w:t xml:space="preserve">Another facet is public </w:t>
      </w:r>
      <w:r>
        <w:rPr>
          <w:b/>
          <w:bCs/>
        </w:rPr>
        <w:t>beneficiary and financial reporting</w:t>
      </w:r>
      <w:r>
        <w:t xml:space="preserve">: in Europe, there’s growing demand for foundations to be transparent about their grantees and spending. However, OSF’s European foundations historically did not list all grantees in one place publicly (as we will discuss in the transparency section). Some, like OSF’s </w:t>
      </w:r>
      <w:r>
        <w:rPr>
          <w:b/>
          <w:bCs/>
        </w:rPr>
        <w:t>East-East Program</w:t>
      </w:r>
      <w:r>
        <w:t xml:space="preserve"> in the 2000s, published directories of grants, but generally one has to compile from individual foundation reports. OSF is a member of various European foundation networks and adheres to their good governance principles, which typically call for </w:t>
      </w:r>
      <w:r>
        <w:rPr>
          <w:i/>
          <w:iCs/>
        </w:rPr>
        <w:t>voluntary transparency</w:t>
      </w:r>
      <w:r>
        <w:t xml:space="preserve"> beyond what the law strictly requires.</w:t>
      </w:r>
    </w:p>
    <w:p w14:paraId="38ACC079" w14:textId="77777777" w:rsidR="00406E3B" w:rsidRDefault="00406E3B" w:rsidP="00406E3B">
      <w:pPr>
        <w:pStyle w:val="BodyText"/>
      </w:pPr>
      <w:r>
        <w:t xml:space="preserve">In summary, OSF’s legal status is spread across a mosaic of entities: </w:t>
      </w:r>
      <w:r>
        <w:rPr>
          <w:b/>
          <w:bCs/>
        </w:rPr>
        <w:t>in the U.S.</w:t>
      </w:r>
      <w:r>
        <w:t xml:space="preserve">, two main private foundations (with charitable status) and a sister advocacy nonprofit; </w:t>
      </w:r>
      <w:r>
        <w:rPr>
          <w:b/>
          <w:bCs/>
        </w:rPr>
        <w:t>in the UK</w:t>
      </w:r>
      <w:r>
        <w:t xml:space="preserve">, a nonprofit company; </w:t>
      </w:r>
      <w:r>
        <w:rPr>
          <w:b/>
          <w:bCs/>
        </w:rPr>
        <w:t>in Germany</w:t>
      </w:r>
      <w:r>
        <w:t xml:space="preserve">, a nonprofit GmbH; </w:t>
      </w:r>
      <w:r>
        <w:rPr>
          <w:b/>
          <w:bCs/>
        </w:rPr>
        <w:t>in Belgium</w:t>
      </w:r>
      <w:r>
        <w:t xml:space="preserve">, an advocacy office; and </w:t>
      </w:r>
      <w:r>
        <w:rPr>
          <w:b/>
          <w:bCs/>
        </w:rPr>
        <w:t>across dozens of countries</w:t>
      </w:r>
      <w:r>
        <w:t>, locally registered foundations and NGOs. Each obeys local laws regarding registration, reporting, and governance, yet all are united under the OSF mission. This multi-jurisdictional setup has allowed OSF to be resilient – if one node is shut down by authorities, others can continue the work. But it also makes oversight complex, requiring strong internal governance (as described earlier) to ensure consistency and legal compliance.</w:t>
      </w:r>
    </w:p>
    <w:p w14:paraId="5660A132" w14:textId="77777777" w:rsidR="00406E3B" w:rsidRDefault="00406E3B" w:rsidP="00406E3B">
      <w:pPr>
        <w:pStyle w:val="Heading2"/>
      </w:pPr>
      <w:bookmarkStart w:id="21" w:name="grant-approval-and-monitoring-processes"/>
      <w:bookmarkEnd w:id="20"/>
      <w:r>
        <w:t>Grant Approval and Monitoring Processes</w:t>
      </w:r>
    </w:p>
    <w:p w14:paraId="5414E0B1" w14:textId="77777777" w:rsidR="00406E3B" w:rsidRDefault="00406E3B" w:rsidP="00406E3B">
      <w:pPr>
        <w:pStyle w:val="FirstParagraph"/>
      </w:pPr>
      <w:r>
        <w:t xml:space="preserve">The heart of OSF’s work is </w:t>
      </w:r>
      <w:r>
        <w:rPr>
          <w:b/>
          <w:bCs/>
        </w:rPr>
        <w:t>grantmaking</w:t>
      </w:r>
      <w:r>
        <w:t xml:space="preserve"> – in 2023 alone, OSF awarded over 2,350 grants to organizations and individuals across more than 100 countries</w:t>
      </w:r>
      <w:hyperlink r:id="rId127" w:anchor=":~:text=Every%20year%20the%20Open%20Society,and%20working%20for%20equitable%20governance">
        <w:r>
          <w:rPr>
            <w:rStyle w:val="Hyperlink"/>
          </w:rPr>
          <w:t>[89]</w:t>
        </w:r>
      </w:hyperlink>
      <w:hyperlink r:id="rId128" w:anchor=":~:text=2%2C350%2B%20Grants%20awarded%20to%20organizations,and%20individuals%20in%202023">
        <w:r>
          <w:rPr>
            <w:rStyle w:val="Hyperlink"/>
          </w:rPr>
          <w:t>[90]</w:t>
        </w:r>
      </w:hyperlink>
      <w:r>
        <w:t>. Ensuring that these grants advance OSF’s goals and are properly utilized is a major governance task. OSF has developed structured processes for how grants are approved, disbursed, and monitored, albeit with flexibility across different programs.</w:t>
      </w:r>
    </w:p>
    <w:p w14:paraId="3FFCC4DC" w14:textId="77777777" w:rsidR="00406E3B" w:rsidRDefault="00406E3B" w:rsidP="00406E3B">
      <w:pPr>
        <w:pStyle w:val="BodyText"/>
      </w:pPr>
      <w:r>
        <w:rPr>
          <w:b/>
          <w:bCs/>
        </w:rPr>
        <w:t>Grant approval</w:t>
      </w:r>
      <w:r>
        <w:t xml:space="preserve"> within OSF typically begins at the </w:t>
      </w:r>
      <w:r>
        <w:rPr>
          <w:b/>
          <w:bCs/>
        </w:rPr>
        <w:t>program level</w:t>
      </w:r>
      <w:r>
        <w:t xml:space="preserve">. OSF is organized into various </w:t>
      </w:r>
      <w:r>
        <w:rPr>
          <w:b/>
          <w:bCs/>
        </w:rPr>
        <w:t>thematic programs</w:t>
      </w:r>
      <w:r>
        <w:t xml:space="preserve"> (e.g., Education, Public Health, Justice, Media and Information, etc.) and </w:t>
      </w:r>
      <w:r>
        <w:rPr>
          <w:b/>
          <w:bCs/>
        </w:rPr>
        <w:t>regional programs</w:t>
      </w:r>
      <w:r>
        <w:t xml:space="preserve"> (e.g., Africa, Asia Pacific, Latin America, etc.). Each program has an allocated budget and a strategy approved by the OSF Board. The program’s staff (program officers, program directors) scout for potential grantees whose work fits the strategy. Often, OSF programs will invite proposals in specific focus areas or identify promising groups and work with them to develop grant proposals. Unlike many foundations, OSF rarely uses open calls; instead, “the vast majority of our grants are awarded to organizations that we approach directly”</w:t>
      </w:r>
      <w:hyperlink r:id="rId129" w:anchor=":~:text=Building%20long,our%20database%20of%20awarded%20grants">
        <w:r>
          <w:rPr>
            <w:rStyle w:val="Hyperlink"/>
          </w:rPr>
          <w:t>[65]</w:t>
        </w:r>
      </w:hyperlink>
      <w:r>
        <w:t xml:space="preserve">. This proactive approach means OSF program officers play a key role as </w:t>
      </w:r>
      <w:r>
        <w:rPr>
          <w:b/>
          <w:bCs/>
        </w:rPr>
        <w:t>“knowledge actors”</w:t>
      </w:r>
      <w:r>
        <w:t>, deeply engaging with the fields they fund and forming relationships with grantees</w:t>
      </w:r>
      <w:hyperlink r:id="rId130" w:anchor=":~:text=According%20to%20Stone%2C%20Open%20Society,13">
        <w:r>
          <w:rPr>
            <w:rStyle w:val="Hyperlink"/>
          </w:rPr>
          <w:t>[43]</w:t>
        </w:r>
      </w:hyperlink>
      <w:hyperlink r:id="rId131" w:anchor=":~:text=political%20lobbying%20denounced%20by%20liberals%E2%80%94including,13">
        <w:r>
          <w:rPr>
            <w:rStyle w:val="Hyperlink"/>
          </w:rPr>
          <w:t>[91]</w:t>
        </w:r>
      </w:hyperlink>
      <w:r>
        <w:t>.</w:t>
      </w:r>
    </w:p>
    <w:p w14:paraId="5F190E9A" w14:textId="77777777" w:rsidR="00406E3B" w:rsidRDefault="00406E3B" w:rsidP="00406E3B">
      <w:pPr>
        <w:pStyle w:val="BodyText"/>
      </w:pPr>
      <w:r>
        <w:t xml:space="preserve">When a program officer wants to recommend a grant, they prepare a </w:t>
      </w:r>
      <w:r>
        <w:rPr>
          <w:b/>
          <w:bCs/>
        </w:rPr>
        <w:t>grant write-up</w:t>
      </w:r>
      <w:r>
        <w:t xml:space="preserve"> detailing the prospective grantee, the project or core support proposed, how it aligns with OSF’s strategy, and an analysis of risks. Grants can range widely in size – OSF gives some very small grants (under \$10,000) for local grassroots efforts and some very large ones </w:t>
      </w:r>
      <w:r>
        <w:lastRenderedPageBreak/>
        <w:t>(hundreds of thousands or even millions) for major initiatives or institution-building. OSF policy is usually not to be the sole funder of any NGO’s budget; as a guideline, OSF tries “not to provide more than one-third of any organization’s budget”</w:t>
      </w:r>
      <w:hyperlink r:id="rId132" w:anchor=":~:text=,fellowships%2C%20reflecting%20the%20variety%20of">
        <w:r>
          <w:rPr>
            <w:rStyle w:val="Hyperlink"/>
          </w:rPr>
          <w:t>[92]</w:t>
        </w:r>
      </w:hyperlink>
      <w:r>
        <w:t xml:space="preserve"> to avoid unhealthy dependency. Many OSF grants are for general operating support (unrestricted funds) to give grantees flexibility, while others are earmarked for specific projects – the decision depends on what the program believes will be most effective</w:t>
      </w:r>
      <w:hyperlink r:id="rId133" w:anchor=":~:text=,fellowships%2C%20reflecting%20the%20variety%20of">
        <w:r>
          <w:rPr>
            <w:rStyle w:val="Hyperlink"/>
          </w:rPr>
          <w:t>[92]</w:t>
        </w:r>
      </w:hyperlink>
      <w:r>
        <w:t>.</w:t>
      </w:r>
    </w:p>
    <w:p w14:paraId="5F520C40" w14:textId="77777777" w:rsidR="00406E3B" w:rsidRDefault="00406E3B" w:rsidP="00406E3B">
      <w:pPr>
        <w:pStyle w:val="BodyText"/>
      </w:pPr>
      <w:r>
        <w:rPr>
          <w:b/>
          <w:bCs/>
        </w:rPr>
        <w:t>Internal review</w:t>
      </w:r>
      <w:r>
        <w:t xml:space="preserve">: Small grants can be approved at the program director level without further ado. However, larger grants typically go through a </w:t>
      </w:r>
      <w:r>
        <w:rPr>
          <w:b/>
          <w:bCs/>
        </w:rPr>
        <w:t>multi-tiered review</w:t>
      </w:r>
      <w:r>
        <w:t xml:space="preserve">. OSF has had something known as the </w:t>
      </w:r>
      <w:r>
        <w:rPr>
          <w:b/>
          <w:bCs/>
        </w:rPr>
        <w:t>Strategy Unit</w:t>
      </w:r>
      <w:r>
        <w:t xml:space="preserve"> or grant committees where cross-cutting staff review proposals above certain dollar thresholds (for instance, grants above \$250,000 might need a review by a committee that could include a member of OSF’s executive team or even a board representative). This internal peer review process is meant to ensure quality control, avoid duplication, and assess any political or reputational risks. Especially sensitive grants – say funding a human rights litigation group that might provoke government backlash – are scrutinized not just for alignment with goals but also for how to mitigate potential fallout.</w:t>
      </w:r>
    </w:p>
    <w:p w14:paraId="69ACD913" w14:textId="77777777" w:rsidR="00406E3B" w:rsidRDefault="00406E3B" w:rsidP="00406E3B">
      <w:pPr>
        <w:pStyle w:val="BodyText"/>
      </w:pPr>
      <w:r>
        <w:t xml:space="preserve">If a grant is greenlit internally, it moves to the </w:t>
      </w:r>
      <w:r>
        <w:rPr>
          <w:b/>
          <w:bCs/>
        </w:rPr>
        <w:t>grant-making entity (FPOS or OSI)</w:t>
      </w:r>
      <w:r>
        <w:t xml:space="preserve"> for final approval and contracting. Technically, all grants are legally made by either the Open Society Institute or Foundation to Promote Open Society (since they hold the funds). For example, a grant to an NGO in Nigeria might officially be paid out by FPOS. In OSF’s grants database, one can see which “funder” entity is behind each grant: many are labeled “Foundation to Promote Open Society” as the funder</w:t>
      </w:r>
      <w:hyperlink r:id="rId134" w:anchor=":~:text=Africa">
        <w:r>
          <w:rPr>
            <w:rStyle w:val="Hyperlink"/>
          </w:rPr>
          <w:t>[93]</w:t>
        </w:r>
      </w:hyperlink>
      <w:hyperlink r:id="rId135" w:anchor=":~:text=Funder">
        <w:r>
          <w:rPr>
            <w:rStyle w:val="Hyperlink"/>
          </w:rPr>
          <w:t>[94]</w:t>
        </w:r>
      </w:hyperlink>
      <w:r>
        <w:t>, and some policy-oriented ones show “Open Society Action Fund” for 501(c)(4) grants</w:t>
      </w:r>
      <w:hyperlink r:id="rId136" w:anchor=":~:text=Region">
        <w:r>
          <w:rPr>
            <w:rStyle w:val="Hyperlink"/>
          </w:rPr>
          <w:t>[95]</w:t>
        </w:r>
      </w:hyperlink>
      <w:hyperlink r:id="rId137" w:anchor=":~:text=Global">
        <w:r>
          <w:rPr>
            <w:rStyle w:val="Hyperlink"/>
          </w:rPr>
          <w:t>[96]</w:t>
        </w:r>
      </w:hyperlink>
      <w:r>
        <w:t>. This indicates that once program staff approve and allocate a grant, the appropriate OSF entity executes it in compliance with its legal restrictions (FPOS for charitable, OSAF for lobbying, etc.).</w:t>
      </w:r>
    </w:p>
    <w:p w14:paraId="2710A856" w14:textId="77777777" w:rsidR="00406E3B" w:rsidRDefault="00406E3B" w:rsidP="00406E3B">
      <w:pPr>
        <w:pStyle w:val="BodyText"/>
      </w:pPr>
      <w:r>
        <w:t xml:space="preserve">After approval, OSF issues a </w:t>
      </w:r>
      <w:r>
        <w:rPr>
          <w:b/>
          <w:bCs/>
        </w:rPr>
        <w:t>grant agreement</w:t>
      </w:r>
      <w:r>
        <w:t xml:space="preserve"> to the recipient organization. This contract spells out the purpose of the grant, the amount, installment schedule, reporting requirements, and any special conditions. OSF’s grant agreements typically require the grantee to report on how the funds are used and what outcomes are achieved. They also include standard clauses about not engaging in fraud, terrorism, or political campaign activity with OSF funds.</w:t>
      </w:r>
    </w:p>
    <w:p w14:paraId="4516BD70" w14:textId="77777777" w:rsidR="00406E3B" w:rsidRDefault="00406E3B" w:rsidP="00406E3B">
      <w:pPr>
        <w:pStyle w:val="BodyText"/>
      </w:pPr>
      <w:r>
        <w:rPr>
          <w:b/>
          <w:bCs/>
        </w:rPr>
        <w:t>Monitoring</w:t>
      </w:r>
      <w:r>
        <w:t xml:space="preserve"> of grants is an ongoing responsibility of program staff. Each grantee must submit periodic </w:t>
      </w:r>
      <w:r>
        <w:rPr>
          <w:b/>
          <w:bCs/>
        </w:rPr>
        <w:t>narrative and financial reports</w:t>
      </w:r>
      <w:r>
        <w:t xml:space="preserve"> to OSF, usually annually and at the end of the grant. These reports detail activities conducted, results, and a breakdown of expenditures. OSF program officers review these reports to ensure funds are used as intended. If a report is unsatisfactory or raises concerns, OSF can follow up with the grantee for clarification or improvement plans. In cases of serious issues (e.g., misuse of funds), OSF has the right to suspend or terminate a grant and request the return of funds, although such instances are rare and often handled discreetly.</w:t>
      </w:r>
    </w:p>
    <w:p w14:paraId="146E557F" w14:textId="77777777" w:rsidR="00406E3B" w:rsidRDefault="00406E3B" w:rsidP="00406E3B">
      <w:pPr>
        <w:pStyle w:val="BodyText"/>
      </w:pPr>
      <w:r>
        <w:t xml:space="preserve">OSF’s approach is often described as </w:t>
      </w:r>
      <w:r>
        <w:rPr>
          <w:b/>
          <w:bCs/>
        </w:rPr>
        <w:t>“hands-on” grantmaking</w:t>
      </w:r>
      <w:r>
        <w:t xml:space="preserve">. Program staff don’t just sit back and wait for reports; they often visit grantees in the field, provide technical </w:t>
      </w:r>
      <w:r>
        <w:lastRenderedPageBreak/>
        <w:t>assistance or advice, and involve themselves in convening grantees together for networking. This stems from OSF’s philosophy of building relationships of trust and understanding grantees’ needs deeply</w:t>
      </w:r>
      <w:hyperlink r:id="rId138" w:anchor=":~:text=Our%20Approach">
        <w:r>
          <w:rPr>
            <w:rStyle w:val="Hyperlink"/>
          </w:rPr>
          <w:t>[97]</w:t>
        </w:r>
      </w:hyperlink>
      <w:hyperlink r:id="rId139" w:anchor=":~:text=Building%20long,our%20database%20of%20awarded%20grants">
        <w:r>
          <w:rPr>
            <w:rStyle w:val="Hyperlink"/>
          </w:rPr>
          <w:t>[98]</w:t>
        </w:r>
      </w:hyperlink>
      <w:r>
        <w:t>. It’s not unusual for OSF staff to have almost a partnership relationship with a long-term grantee, working together on strategy. The trade-off is that OSF demands a high level of accountability and alignment in return.</w:t>
      </w:r>
    </w:p>
    <w:p w14:paraId="67D29A83" w14:textId="77777777" w:rsidR="00406E3B" w:rsidRDefault="00406E3B" w:rsidP="00406E3B">
      <w:pPr>
        <w:pStyle w:val="BodyText"/>
      </w:pPr>
      <w:r>
        <w:t xml:space="preserve">For larger initiatives, OSF may commission </w:t>
      </w:r>
      <w:r>
        <w:rPr>
          <w:b/>
          <w:bCs/>
        </w:rPr>
        <w:t>independent evaluations</w:t>
      </w:r>
      <w:r>
        <w:t>. For example, if OSF funded a multi-year $5 million program to improve access to justice in a region, they might hire external evaluators to assess the impact mid-way or at conclusion, providing objective feedback that can be reported to the OSF Board and to Soros. OSF’s practice of evaluation has been uneven across programs – some conduct rigorous evaluations, others rely on qualitative reporting. However, OSF does invest in learning; it has published many reports and “assessments” of its past work (for instance, OSF’s “Closing Space” initiative to counter NGO restrictions had an evaluation report shared internally). These evaluations feed into how future grants are shaped.</w:t>
      </w:r>
    </w:p>
    <w:p w14:paraId="157E8855" w14:textId="77777777" w:rsidR="00406E3B" w:rsidRDefault="00406E3B" w:rsidP="00406E3B">
      <w:pPr>
        <w:pStyle w:val="BodyText"/>
      </w:pPr>
      <w:r>
        <w:t xml:space="preserve">Another layer of monitoring is </w:t>
      </w:r>
      <w:r>
        <w:rPr>
          <w:b/>
          <w:bCs/>
        </w:rPr>
        <w:t>financial oversight</w:t>
      </w:r>
      <w:r>
        <w:t>. OSF’s finance department tracks grant disbursements and requires audited financial statements from many grantees (especially if they are large NGOs or if mandated by local law). OSF might also require grantees to segregate OSF funds in their accounts for clarity. For higher-risk environments, OSF sometimes breaks grants into smaller tranches, releasing the next tranche only after satisfactory progress on the first. This staged funding can protect against underperformance or changing circumstances.</w:t>
      </w:r>
    </w:p>
    <w:p w14:paraId="3240D835" w14:textId="77777777" w:rsidR="00406E3B" w:rsidRDefault="00406E3B" w:rsidP="00406E3B">
      <w:pPr>
        <w:pStyle w:val="BodyText"/>
      </w:pPr>
      <w:r>
        <w:t xml:space="preserve">OSF is also attentive to </w:t>
      </w:r>
      <w:r>
        <w:rPr>
          <w:b/>
          <w:bCs/>
        </w:rPr>
        <w:t>legal compliance in grantmaking</w:t>
      </w:r>
      <w:r>
        <w:t>. As a U.S.-based funder, OSF must comply with U.S. sanctions laws and anti-terrorism financing regulations. It has protocols to vet grantees (including checking names against international sanctions lists). In some regions, OSF’s funding is scrutinized by governments; OSF thus counsels grantees on how to remain transparent and safe. For example, in countries that enacted “foreign agent” laws, OSF grantees have had to label themselves as foreign-funded – OSF had to navigate whether to continue funding and how to support those groups facing backlash. Monitoring in those cases goes beyond programmatic issues to the security of the partners. OSF has provided emergency support or legal aid to grantees who come under persecution due to their association with Soros funds.</w:t>
      </w:r>
    </w:p>
    <w:p w14:paraId="7CB32CFC" w14:textId="77777777" w:rsidR="00406E3B" w:rsidRDefault="00406E3B" w:rsidP="00406E3B">
      <w:pPr>
        <w:pStyle w:val="BodyText"/>
      </w:pPr>
      <w:r>
        <w:t xml:space="preserve">A distinctive practice in OSF’s grant monitoring is the emphasis on </w:t>
      </w:r>
      <w:r>
        <w:rPr>
          <w:b/>
          <w:bCs/>
        </w:rPr>
        <w:t>learning from failures as well as successes</w:t>
      </w:r>
      <w:r>
        <w:t>. OSF leadership has openly acknowledged that not all grants achieve their aims, and that’s accepted in pursuit of difficult social change</w:t>
      </w:r>
      <w:hyperlink r:id="rId140" w:anchor=":~:text=Our%20Impact">
        <w:r>
          <w:rPr>
            <w:rStyle w:val="Hyperlink"/>
          </w:rPr>
          <w:t>[99]</w:t>
        </w:r>
      </w:hyperlink>
      <w:hyperlink r:id="rId141" w:anchor=":~:text=Our%20global%20grants%20seek%20to,slowly%2C%20and%20strive%20to%20recognize">
        <w:r>
          <w:rPr>
            <w:rStyle w:val="Hyperlink"/>
          </w:rPr>
          <w:t>[100]</w:t>
        </w:r>
      </w:hyperlink>
      <w:r>
        <w:t>. The key is that OSF and the grantee can analyze what went wrong and adjust course. This reflective monitoring is part of OSF’s organizational culture, encouraging honesty in grantee reports rather than sugar-coating – though inevitably, grantees want to please their donor, so OSF program staff often need to probe and verify claims in reports.</w:t>
      </w:r>
    </w:p>
    <w:p w14:paraId="00D1C78C" w14:textId="77777777" w:rsidR="00406E3B" w:rsidRDefault="00406E3B" w:rsidP="00406E3B">
      <w:pPr>
        <w:pStyle w:val="BodyText"/>
      </w:pPr>
      <w:r>
        <w:t xml:space="preserve">In terms of oversight, OSF’s Board and management receive </w:t>
      </w:r>
      <w:r>
        <w:rPr>
          <w:b/>
          <w:bCs/>
        </w:rPr>
        <w:t>regular updates</w:t>
      </w:r>
      <w:r>
        <w:t xml:space="preserve"> on grant portfolios. They may not review each of the thousands of individual grants, but they look at aggregate outcomes and significant grants. The Board’s Programs and Grants Committee </w:t>
      </w:r>
      <w:r>
        <w:lastRenderedPageBreak/>
        <w:t>might receive briefings on major new grant initiatives or any problems (for instance, if a government shuts down an OSF-funded university or expels a grantee, the board would be informed). Publicly, OSF sometimes highlights major grants in press releases or on its website (like a commitment of \$70 million to racial justice groups in 2020</w:t>
      </w:r>
      <w:hyperlink r:id="rId142" w:anchor=":~:text=George%20Floyd%20Protests%20">
        <w:r>
          <w:rPr>
            <w:rStyle w:val="Hyperlink"/>
          </w:rPr>
          <w:t>[101]</w:t>
        </w:r>
      </w:hyperlink>
      <w:r>
        <w:t>). However, the full breadth of grant approvals is internally managed via the processes described.</w:t>
      </w:r>
    </w:p>
    <w:p w14:paraId="0AE0ED0D" w14:textId="77777777" w:rsidR="00406E3B" w:rsidRDefault="00406E3B" w:rsidP="00406E3B">
      <w:pPr>
        <w:pStyle w:val="BodyText"/>
      </w:pPr>
      <w:r>
        <w:t xml:space="preserve">To illustrate the </w:t>
      </w:r>
      <w:r>
        <w:rPr>
          <w:b/>
          <w:bCs/>
        </w:rPr>
        <w:t>grant lifecycle</w:t>
      </w:r>
      <w:r>
        <w:t xml:space="preserve">: consider OSF’s funding for </w:t>
      </w:r>
      <w:r>
        <w:rPr>
          <w:b/>
          <w:bCs/>
        </w:rPr>
        <w:t>higher education scholarships in Africa</w:t>
      </w:r>
      <w:r>
        <w:t xml:space="preserve"> – one of Soros’s earliest endeavors. OSF staff identified the need for Black South African students to study abroad during apartheid. They designed a scholarship grant program, got Soros’s backing, and awarded grants to educational intermediaries to place students in universities. OSF then monitored students’ progress (via the intermediary organizations) and measured success in terms of graduates and their impact back home. Over time, monitoring showed high success, which led Soros to scale up scholarships to other regions (Eastern European dissidents, etc. in the 1980s</w:t>
      </w:r>
      <w:hyperlink r:id="rId143" w:anchor=":~:text=George%20Soros%2C%20the%20founder%20of,to%20study%20in%20the%20West">
        <w:r>
          <w:rPr>
            <w:rStyle w:val="Hyperlink"/>
          </w:rPr>
          <w:t>[102]</w:t>
        </w:r>
      </w:hyperlink>
      <w:hyperlink r:id="rId144" w:anchor=":~:text=philanthropic%20work%20in%201979%2C%20funding,to%20study%20in%20the%20West">
        <w:r>
          <w:rPr>
            <w:rStyle w:val="Hyperlink"/>
          </w:rPr>
          <w:t>[103]</w:t>
        </w:r>
      </w:hyperlink>
      <w:r>
        <w:t>). Thus, a feedback loop from grant outcomes influenced OSF’s expansion.</w:t>
      </w:r>
    </w:p>
    <w:p w14:paraId="71F2BF1F" w14:textId="77777777" w:rsidR="00406E3B" w:rsidRDefault="00406E3B" w:rsidP="00406E3B">
      <w:pPr>
        <w:pStyle w:val="BodyText"/>
      </w:pPr>
      <w:r>
        <w:t xml:space="preserve">Another example is OSF’s </w:t>
      </w:r>
      <w:r>
        <w:rPr>
          <w:b/>
          <w:bCs/>
        </w:rPr>
        <w:t>response grants for crises</w:t>
      </w:r>
      <w:r>
        <w:t>: OSF often establishes rapid response funds (for instance, after the COVID-19 outbreak OSF committed \$130 million globally</w:t>
      </w:r>
      <w:hyperlink r:id="rId145" w:anchor=":~:text=Response%20to%20the%20Coronavirus%20Pandemic">
        <w:r>
          <w:rPr>
            <w:rStyle w:val="Hyperlink"/>
          </w:rPr>
          <w:t>[104]</w:t>
        </w:r>
      </w:hyperlink>
      <w:hyperlink r:id="rId146" w:anchor=":~:text=On%20April%2016%2C%202020%2C%20Open,%E2%80%9D">
        <w:r>
          <w:rPr>
            <w:rStyle w:val="Hyperlink"/>
          </w:rPr>
          <w:t>[105]</w:t>
        </w:r>
      </w:hyperlink>
      <w:r>
        <w:t>). These grants are approved on an accelerated basis by top leadership and distributed quickly to address urgent needs. Monitoring in such cases may be lighter-touch (focused on immediate relief provided) but still requires recipients to later account for expenditures. OSF’s flexibility in emergencies is one of its hallmarks, balanced by the expectation that grantees will eventually demonstrate how the funds alleviated the crisis.</w:t>
      </w:r>
    </w:p>
    <w:p w14:paraId="089B04D5" w14:textId="77777777" w:rsidR="00406E3B" w:rsidRDefault="00406E3B" w:rsidP="00406E3B">
      <w:pPr>
        <w:pStyle w:val="BodyText"/>
      </w:pPr>
      <w:r>
        <w:t xml:space="preserve">Overall, OSF’s grant approval and monitoring system strives to be </w:t>
      </w:r>
      <w:r>
        <w:rPr>
          <w:b/>
          <w:bCs/>
        </w:rPr>
        <w:t>rigorous but flexible</w:t>
      </w:r>
      <w:r>
        <w:t xml:space="preserve">. Rigorous in that there are checks and documentation at each stage, and an ethos of accountability to ensure money genuinely furthers open society goals. Flexible in that OSF trusts its experienced staff and partners to adapt plans on the ground as needed and doesn’t impose one-size-fits-all metrics on very different projects (an arts fellowship vs. a litigation effort vs. an advocacy campaign will have different measures of success). This approach has drawn both praise and criticism. Many grantees appreciate OSF’s relative flexibility and trust – for instance, granting </w:t>
      </w:r>
      <w:r>
        <w:rPr>
          <w:b/>
          <w:bCs/>
        </w:rPr>
        <w:t>core support</w:t>
      </w:r>
      <w:r>
        <w:t xml:space="preserve"> (unrestricted funds) which many donors avoid. It reflects OSF’s understanding that grantees often know best how to use funds</w:t>
      </w:r>
      <w:hyperlink r:id="rId147" w:anchor=":~:text=,fellowships%2C%20reflecting%20the%20variety%20of">
        <w:r>
          <w:rPr>
            <w:rStyle w:val="Hyperlink"/>
          </w:rPr>
          <w:t>[92]</w:t>
        </w:r>
      </w:hyperlink>
      <w:r>
        <w:t>. On the flip side, some watchdogs have argued OSF’s dispersed model makes comprehensive oversight harder, potentially allowing some funds to be misused or outcomes to go unmeasured (critics claim OSF sometimes funds too many small initiatives without clear impact). Internally, OSF has grappled with this by refining its strategies to be more outcome-focused in recent years, requiring programs to define target outcomes and evaluate progress toward them.</w:t>
      </w:r>
    </w:p>
    <w:p w14:paraId="3E15254A" w14:textId="77777777" w:rsidR="00406E3B" w:rsidRDefault="00406E3B" w:rsidP="00406E3B">
      <w:pPr>
        <w:pStyle w:val="BodyText"/>
      </w:pPr>
      <w:r>
        <w:t>In conclusion, OSF’s grantmaking processes are the mechanisms by which lofty ideals are translated into real-world action. Each grant approved represents a piece of OSF’s strategy in motion, and the monitoring of those grants closes the loop, informing whether OSF’s approach is working or needs course correction. Given OSF’s scale – over 50,000 grants made since its founding</w:t>
      </w:r>
      <w:hyperlink r:id="rId148" w:anchor=":~:text=Every%20year%2C%20the%20Open%20Society,local%20voices%20and%20global%20expertise">
        <w:r>
          <w:rPr>
            <w:rStyle w:val="Hyperlink"/>
          </w:rPr>
          <w:t>[106]</w:t>
        </w:r>
      </w:hyperlink>
      <w:hyperlink r:id="rId149" w:anchor=":~:text=Every%20year%2C%20the%20Open%20Society,local%20voices%20and%20global%20expertise">
        <w:r>
          <w:rPr>
            <w:rStyle w:val="Hyperlink"/>
          </w:rPr>
          <w:t>[107]</w:t>
        </w:r>
      </w:hyperlink>
      <w:r>
        <w:t xml:space="preserve"> – managing this process is itself a substantial </w:t>
      </w:r>
      <w:r>
        <w:lastRenderedPageBreak/>
        <w:t>governance challenge, one that OSF addresses through professionalism of staff, systematic procedures, and an overarching commitment to learning and accountability. As one OSF motto goes, “</w:t>
      </w:r>
      <w:r>
        <w:rPr>
          <w:b/>
          <w:bCs/>
        </w:rPr>
        <w:t>critical self-reflection</w:t>
      </w:r>
      <w:r>
        <w:t xml:space="preserve"> is integral to building open societies,” and OSF applies that to itself, not just to grantees.</w:t>
      </w:r>
    </w:p>
    <w:bookmarkEnd w:id="21"/>
    <w:p w14:paraId="4C444D6A" w14:textId="77777777" w:rsidR="00406E3B" w:rsidRDefault="00406E3B" w:rsidP="00406E3B">
      <w:pPr>
        <w:pStyle w:val="Heading2"/>
      </w:pPr>
      <w:r>
        <w:t>Transparency vs. Opacity: Debates on Accountability</w:t>
      </w:r>
    </w:p>
    <w:p w14:paraId="735ACAEC" w14:textId="77777777" w:rsidR="00406E3B" w:rsidRDefault="00406E3B" w:rsidP="00406E3B">
      <w:pPr>
        <w:pStyle w:val="FirstParagraph"/>
      </w:pPr>
      <w:r>
        <w:t xml:space="preserve">Ever since OSF (and George Soros) rose to prominence, questions have swirled regarding how transparent the network is about its activities and finances. </w:t>
      </w:r>
      <w:r>
        <w:rPr>
          <w:b/>
          <w:bCs/>
        </w:rPr>
        <w:t>Critics often accuse OSF of operating opaquely</w:t>
      </w:r>
      <w:r>
        <w:t xml:space="preserve">, funneling money through a labyrinth of entities to exert influence without sufficient public scrutiny. </w:t>
      </w:r>
      <w:r>
        <w:rPr>
          <w:b/>
          <w:bCs/>
        </w:rPr>
        <w:t>Supporters, including OSF itself, counter that the foundation is more transparent than many peers</w:t>
      </w:r>
      <w:r>
        <w:t>, publishing extensive information and being forthright about its values and objectives. This section examines these competing claims.</w:t>
      </w:r>
    </w:p>
    <w:p w14:paraId="7D27C3C1" w14:textId="77777777" w:rsidR="00406E3B" w:rsidRDefault="00406E3B" w:rsidP="00406E3B">
      <w:pPr>
        <w:pStyle w:val="BodyText"/>
      </w:pPr>
      <w:r>
        <w:t xml:space="preserve">On the critics’ side, one oft-cited assessment came in 2016 from </w:t>
      </w:r>
      <w:r>
        <w:rPr>
          <w:b/>
          <w:bCs/>
        </w:rPr>
        <w:t>Transparify</w:t>
      </w:r>
      <w:r>
        <w:t xml:space="preserve">, a transparency watchdog (ironically funded by OSF) that rated think tanks and nonprofits on financial openness. Transparify gave Open Society Foundations a </w:t>
      </w:r>
      <w:r>
        <w:rPr>
          <w:b/>
          <w:bCs/>
        </w:rPr>
        <w:t>zero-star rating – its lowest score – for non-transparency</w:t>
      </w:r>
      <w:r>
        <w:t>, effectively labeling OSF the least transparent of the major U.S. nonprofits reviewed</w:t>
      </w:r>
      <w:hyperlink r:id="rId150" w:anchor=":~:text=In%202016%2C%20the%20OSF,7">
        <w:r>
          <w:rPr>
            <w:rStyle w:val="Hyperlink"/>
          </w:rPr>
          <w:t>[108]</w:t>
        </w:r>
      </w:hyperlink>
      <w:hyperlink r:id="rId151" w:anchor=":~:text=States%20which%20it%20reviewed,7">
        <w:r>
          <w:rPr>
            <w:rStyle w:val="Hyperlink"/>
          </w:rPr>
          <w:t>[109]</w:t>
        </w:r>
      </w:hyperlink>
      <w:r>
        <w:t xml:space="preserve">. The critique hinged on the observation that while OSF spends huge sums worldwide, it was difficult for outsiders to find detailed, accessible information on exactly which organizations received how much money. Transparify noted OSF was the </w:t>
      </w:r>
      <w:r>
        <w:rPr>
          <w:i/>
          <w:iCs/>
        </w:rPr>
        <w:t>only</w:t>
      </w:r>
      <w:r>
        <w:t xml:space="preserve"> U.S. group in their survey to score zero stars that year</w:t>
      </w:r>
      <w:hyperlink r:id="rId152" w:anchor=":~:text=In%202016%2C%20the%20OSF,7">
        <w:r>
          <w:rPr>
            <w:rStyle w:val="Hyperlink"/>
          </w:rPr>
          <w:t>[108]</w:t>
        </w:r>
      </w:hyperlink>
      <w:hyperlink r:id="rId153" w:anchor=":~:text=rating%20of%20zero%20stars%20for,7">
        <w:r>
          <w:rPr>
            <w:rStyle w:val="Hyperlink"/>
          </w:rPr>
          <w:t>[110]</w:t>
        </w:r>
      </w:hyperlink>
      <w:r>
        <w:t xml:space="preserve">. In a similar vein, the Israeli research organization </w:t>
      </w:r>
      <w:r>
        <w:rPr>
          <w:b/>
          <w:bCs/>
        </w:rPr>
        <w:t>NGO Monitor</w:t>
      </w:r>
      <w:r>
        <w:t xml:space="preserve"> wrote that </w:t>
      </w:r>
      <w:r>
        <w:rPr>
          <w:i/>
          <w:iCs/>
        </w:rPr>
        <w:t>“Open Society Foundations’ funding of NGOs is entirely non-transparent”</w:t>
      </w:r>
      <w:r>
        <w:t xml:space="preserve">, pointing out that OSF’s own annual reports (at the time) did </w:t>
      </w:r>
      <w:r>
        <w:rPr>
          <w:b/>
          <w:bCs/>
        </w:rPr>
        <w:t>not list the names of grantee organizations or the amounts given to each</w:t>
      </w:r>
      <w:hyperlink r:id="rId154" w:anchor=":~:text=such%20a%20low%20grade">
        <w:r>
          <w:rPr>
            <w:rStyle w:val="Hyperlink"/>
          </w:rPr>
          <w:t>[111]</w:t>
        </w:r>
      </w:hyperlink>
      <w:hyperlink r:id="rId155" w:anchor=":~:text=Similarly%2C%20the%20website%20NGO%20Monitor,%E2%80%9D6">
        <w:r>
          <w:rPr>
            <w:rStyle w:val="Hyperlink"/>
          </w:rPr>
          <w:t>[112]</w:t>
        </w:r>
      </w:hyperlink>
      <w:r>
        <w:t>. Instead, OSF’s public reports tended to provide aggregate figures by region or theme, leaving a gap for those trying to trace funds to specific end recipients.</w:t>
      </w:r>
    </w:p>
    <w:p w14:paraId="798DC569" w14:textId="77777777" w:rsidR="00406E3B" w:rsidRDefault="00406E3B" w:rsidP="00406E3B">
      <w:pPr>
        <w:pStyle w:val="BodyText"/>
      </w:pPr>
      <w:r>
        <w:t>Critics argue this opacity matters because OSF is a major actor in civil society and politics globally. For example, conservative commentators have alleged OSF bankrolls protest movements or partisan endeavors behind the scenes. They contend that without proactive disclosure by OSF, it falls to investigative efforts to uncover which “Soros-funded” groups are involved in a given issue. Indeed, numerous media and activist reports have tried to map Soros’s influence – for instance, revealing that OSF and FPOS had funded dozens of the organizers behind the 2018 U.S. protests against Supreme Court nominee Brett Kavanaugh</w:t>
      </w:r>
      <w:hyperlink r:id="rId156" w:anchor=":~:text=Brett%20Kavanaugh%20Confirmation%20Protests%20">
        <w:r>
          <w:rPr>
            <w:rStyle w:val="Hyperlink"/>
          </w:rPr>
          <w:t>[113]</w:t>
        </w:r>
      </w:hyperlink>
      <w:hyperlink r:id="rId157" w:anchor=":~:text=Following%20Justice%20Brett%20Kavanaugh%E2%80%99s%20confirmation,Society%2C%20and%20included%20the%3A%2029">
        <w:r>
          <w:rPr>
            <w:rStyle w:val="Hyperlink"/>
          </w:rPr>
          <w:t>[114]</w:t>
        </w:r>
      </w:hyperlink>
      <w:r>
        <w:t>, or mapping how OSF money flows to advocacy groups in European domestic politics. The complexity of OSF’s network can make it difficult to follow the money. NGO Monitor emphasizes that “the administrative and financial complexity of the global Open Society network cannot be overstated” and that outside the U.S., often one can only discern a “basic outline” of OSF-affiliated activities</w:t>
      </w:r>
      <w:hyperlink r:id="rId158" w:anchor=":~:text=International%20Criticism">
        <w:r>
          <w:rPr>
            <w:rStyle w:val="Hyperlink"/>
          </w:rPr>
          <w:t>[38]</w:t>
        </w:r>
      </w:hyperlink>
      <w:hyperlink r:id="rId159" w:anchor=":~:text=Open%20Society%20Foundations%20has%20offices,%E2%80%9D6">
        <w:r>
          <w:rPr>
            <w:rStyle w:val="Hyperlink"/>
          </w:rPr>
          <w:t>[34]</w:t>
        </w:r>
      </w:hyperlink>
      <w:r>
        <w:t>. In other words, once OSF’s funds leave the U.S. and enter local foundations or re-granting pipelines, public tracking becomes murky, unless local entities choose to publish details.</w:t>
      </w:r>
    </w:p>
    <w:p w14:paraId="4EDB488D" w14:textId="77777777" w:rsidR="00406E3B" w:rsidRDefault="00406E3B" w:rsidP="00406E3B">
      <w:pPr>
        <w:pStyle w:val="BodyText"/>
      </w:pPr>
      <w:r>
        <w:lastRenderedPageBreak/>
        <w:t xml:space="preserve">Another line of critique focuses on </w:t>
      </w:r>
      <w:r>
        <w:rPr>
          <w:b/>
          <w:bCs/>
        </w:rPr>
        <w:t>accountability</w:t>
      </w:r>
      <w:r>
        <w:t xml:space="preserve">: OSF is a private foundation ultimately controlled by one wealthy individual (Soros and now his heir), not a democratically accountable body. Some detractors argue that such a structure, disbursing billions for political and social change, is inherently lacking accountability to the public or any electorate. They draw a contrast with government aid agencies or even large membership-based NGOs, which have more oversight. A particularly vocal set of critics are authoritarian or nationalist leaders who see OSF as meddling in their internal affairs – they accuse OSF of </w:t>
      </w:r>
      <w:r>
        <w:rPr>
          <w:i/>
          <w:iCs/>
        </w:rPr>
        <w:t>concealing its true agenda</w:t>
      </w:r>
      <w:r>
        <w:t xml:space="preserve"> and using local fronts to influence politics. For example, Russia’s government banned OSF as a security threat, and Hungary’s ruling party claimed OSF pulled strings to oppose their policies, calling Soros’s network “shadowy” and implying it evaded scrutiny. These regimes often demand more transparency (like Hungary’s foreign funding label law) ostensibly to inform the public, though OSF viewed such laws as bad-faith efforts to suppress independent NGOs</w:t>
      </w:r>
      <w:hyperlink r:id="rId160" w:anchor=":~:text=and%20culture%2C%20media%20freedom%2C%20transparency%2C,health%20care%20for%20all%20Hungarians">
        <w:r>
          <w:rPr>
            <w:rStyle w:val="Hyperlink"/>
          </w:rPr>
          <w:t>[115]</w:t>
        </w:r>
      </w:hyperlink>
      <w:hyperlink r:id="rId161" w:anchor=":~:text=The%20decision%20to%20move%20operations,%E2%80%9CStop%20Soros%E2%80%9D%20package%20of%20legislation">
        <w:r>
          <w:rPr>
            <w:rStyle w:val="Hyperlink"/>
          </w:rPr>
          <w:t>[84]</w:t>
        </w:r>
      </w:hyperlink>
      <w:r>
        <w:t>.</w:t>
      </w:r>
    </w:p>
    <w:p w14:paraId="4D7B295B" w14:textId="77777777" w:rsidR="00406E3B" w:rsidRDefault="00406E3B" w:rsidP="00406E3B">
      <w:pPr>
        <w:pStyle w:val="BodyText"/>
      </w:pPr>
      <w:r>
        <w:t xml:space="preserve">It’s noteworthy, however, that OSF </w:t>
      </w:r>
      <w:r>
        <w:rPr>
          <w:i/>
          <w:iCs/>
        </w:rPr>
        <w:t>does</w:t>
      </w:r>
      <w:r>
        <w:t xml:space="preserve"> comply with formal reporting mandates – for instance, OSF’s U.S. foundations list all grants on their 990-PF forms, meaning the information is technically public if one digs into tax databases or resources like Foundation Center. NGO Monitor’s critique was more about OSF not proactively collating and publishing that info in an accessible way in its own reports</w:t>
      </w:r>
      <w:hyperlink r:id="rId162" w:anchor=":~:text=such%20a%20low%20grade">
        <w:r>
          <w:rPr>
            <w:rStyle w:val="Hyperlink"/>
          </w:rPr>
          <w:t>[111]</w:t>
        </w:r>
      </w:hyperlink>
      <w:r>
        <w:t xml:space="preserve">. And since those critiques were made, OSF has taken steps to increase transparency on its website. The </w:t>
      </w:r>
      <w:r>
        <w:rPr>
          <w:b/>
          <w:bCs/>
        </w:rPr>
        <w:t>Open Society Foundations website now hosts an extensive “Awarded Grants” database</w:t>
      </w:r>
      <w:r>
        <w:t xml:space="preserve"> that anyone can search</w:t>
      </w:r>
      <w:hyperlink r:id="rId163" w:anchor=":~:text=Filter%20by%3A%20Amount%20Region%20Year">
        <w:r>
          <w:rPr>
            <w:rStyle w:val="Hyperlink"/>
          </w:rPr>
          <w:t>[116]</w:t>
        </w:r>
      </w:hyperlink>
      <w:hyperlink r:id="rId164" w:anchor=":~:text=2016%20%20%20%2051,2022%20%20%20%2057">
        <w:r>
          <w:rPr>
            <w:rStyle w:val="Hyperlink"/>
          </w:rPr>
          <w:t>[117]</w:t>
        </w:r>
      </w:hyperlink>
      <w:r>
        <w:t xml:space="preserve">. As of 2023, this database listed </w:t>
      </w:r>
      <w:r>
        <w:rPr>
          <w:b/>
          <w:bCs/>
        </w:rPr>
        <w:t>over 19,700 grants from 2016 onward</w:t>
      </w:r>
      <w:hyperlink r:id="rId165" w:anchor=":~:text=2016%20%20%20%2051,2022%20%20%20%2057">
        <w:r>
          <w:rPr>
            <w:rStyle w:val="Hyperlink"/>
          </w:rPr>
          <w:t>[117]</w:t>
        </w:r>
      </w:hyperlink>
      <w:hyperlink r:id="rId166" w:anchor=":~:text=19736%20Grants%20Found">
        <w:r>
          <w:rPr>
            <w:rStyle w:val="Hyperlink"/>
          </w:rPr>
          <w:t>[118]</w:t>
        </w:r>
      </w:hyperlink>
      <w:r>
        <w:t xml:space="preserve">, with filters by year, region, and amount. For each grant, OSF names the recipient organization or individual, the year, the amount, a brief description of the grant’s purpose, the duration, the region it benefits, and crucially the </w:t>
      </w:r>
      <w:r>
        <w:rPr>
          <w:b/>
          <w:bCs/>
        </w:rPr>
        <w:t>funding entity</w:t>
      </w:r>
      <w:r>
        <w:t xml:space="preserve"> (e.g., “Foundation to Promote Open Society” or “Open Society Institute” or “Open Society Action Fund”)</w:t>
      </w:r>
      <w:hyperlink r:id="rId167" w:anchor=":~:text=32%20East%20Ugandan%20Arts%20Trust">
        <w:r>
          <w:rPr>
            <w:rStyle w:val="Hyperlink"/>
          </w:rPr>
          <w:t>[119]</w:t>
        </w:r>
      </w:hyperlink>
      <w:hyperlink r:id="rId168" w:anchor=":~:text=Africa">
        <w:r>
          <w:rPr>
            <w:rStyle w:val="Hyperlink"/>
          </w:rPr>
          <w:t>[93]</w:t>
        </w:r>
      </w:hyperlink>
      <w:r>
        <w:t xml:space="preserve">. This level of detail in a public database is, in fact, </w:t>
      </w:r>
      <w:r>
        <w:rPr>
          <w:b/>
          <w:bCs/>
        </w:rPr>
        <w:t>far more transparency than most private foundations provide</w:t>
      </w:r>
      <w:r>
        <w:t xml:space="preserve">. For example, one can see that in 2023, a group called </w:t>
      </w:r>
      <w:r>
        <w:rPr>
          <w:i/>
          <w:iCs/>
        </w:rPr>
        <w:t>7amleh – The Arab Center for Social Media Advancement</w:t>
      </w:r>
      <w:r>
        <w:t xml:space="preserve"> received two grants of \$250,000 each, one funded by FPOS for general support and one by Open Society Action Fund for policy advocacy on digital rights</w:t>
      </w:r>
      <w:hyperlink r:id="rId169" w:anchor=":~:text=">
        <w:r>
          <w:rPr>
            <w:rStyle w:val="Hyperlink"/>
          </w:rPr>
          <w:t>[120]</w:t>
        </w:r>
      </w:hyperlink>
      <w:hyperlink r:id="rId170" w:anchor=":~:text=to%20provide%20general%20support">
        <w:r>
          <w:rPr>
            <w:rStyle w:val="Hyperlink"/>
          </w:rPr>
          <w:t>[121]</w:t>
        </w:r>
      </w:hyperlink>
      <w:r>
        <w:t>. Such information was not readily available before OSF launched this platform. Thus, supporters point to this database as evidence that OSF has become quite open about “who we fund and what we fund.”</w:t>
      </w:r>
    </w:p>
    <w:p w14:paraId="08EE63A0" w14:textId="77777777" w:rsidR="00406E3B" w:rsidRDefault="00406E3B" w:rsidP="00406E3B">
      <w:pPr>
        <w:pStyle w:val="BodyText"/>
      </w:pPr>
      <w:r>
        <w:t xml:space="preserve">OSF itself staunchly defends its transparency bona fides. In a 2025 press release rebutting false claims, OSF stated: </w:t>
      </w:r>
      <w:r>
        <w:rPr>
          <w:i/>
          <w:iCs/>
        </w:rPr>
        <w:t>“We are transparent about our values and our work.”</w:t>
      </w:r>
      <w:hyperlink r:id="rId171" w:anchor=":~:text=Open%20Society%20is%20proud%20to,our%20values%20and%20our%20work">
        <w:r>
          <w:rPr>
            <w:rStyle w:val="Hyperlink"/>
          </w:rPr>
          <w:t>[122]</w:t>
        </w:r>
      </w:hyperlink>
      <w:r>
        <w:t xml:space="preserve"> The organization frequently publishes in-depth reports on its initiatives, hosts public forums, and makes its leaders available for interviews. It discloses total expenditures annually (e.g., \$1.7 billion in 2023) and regional breakdowns on its website</w:t>
      </w:r>
      <w:hyperlink r:id="rId172" w:anchor=":~:text=%2423">
        <w:r>
          <w:rPr>
            <w:rStyle w:val="Hyperlink"/>
          </w:rPr>
          <w:t>[123]</w:t>
        </w:r>
      </w:hyperlink>
      <w:hyperlink r:id="rId173" w:anchor=":~:text=%241">
        <w:r>
          <w:rPr>
            <w:rStyle w:val="Hyperlink"/>
          </w:rPr>
          <w:t>[124]</w:t>
        </w:r>
      </w:hyperlink>
      <w:r>
        <w:t>. When OSF makes a major strategic shift or commitment, it usually issues a public statement (for instance, announcing the $150 million five-year racial justice grants in 2020</w:t>
      </w:r>
      <w:hyperlink r:id="rId174" w:anchor=":~:text=George%20Floyd%20Protests%20">
        <w:r>
          <w:rPr>
            <w:rStyle w:val="Hyperlink"/>
          </w:rPr>
          <w:t>[101]</w:t>
        </w:r>
      </w:hyperlink>
      <w:r>
        <w:t xml:space="preserve">). From OSF’s perspective, it has little to hide: it openly espouses progressive policy goals and doesn’t conceal that Soros funds them. The tension comes from the sheer scale and </w:t>
      </w:r>
      <w:r>
        <w:lastRenderedPageBreak/>
        <w:t xml:space="preserve">complexity – OSF’s </w:t>
      </w:r>
      <w:r>
        <w:rPr>
          <w:b/>
          <w:bCs/>
        </w:rPr>
        <w:t>size</w:t>
      </w:r>
      <w:r>
        <w:t xml:space="preserve"> makes complete transparency a daunting task (with thousands of grantees, listing them all is unwieldy; summarizing impact is challenging).</w:t>
      </w:r>
    </w:p>
    <w:p w14:paraId="3C70A341" w14:textId="77777777" w:rsidR="00406E3B" w:rsidRDefault="00406E3B" w:rsidP="00406E3B">
      <w:pPr>
        <w:pStyle w:val="BodyText"/>
      </w:pPr>
      <w:r>
        <w:t xml:space="preserve">Supporters and neutral observers also note that OSF’s privacy about some details can be </w:t>
      </w:r>
      <w:r>
        <w:rPr>
          <w:b/>
          <w:bCs/>
        </w:rPr>
        <w:t>protective</w:t>
      </w:r>
      <w:r>
        <w:t>: in repressive countries, revealing all local grantees and amounts can endanger those groups. For example, if OSF published a list of every activist group it funds in Belarus or China, those groups could face crackdown. Thus, OSF may choose not to publicize certain grants in sensitive environments, out of responsibility to grantees. This is a common dilemma for human rights funders – transparency to the public vs. security for partners. OSF likely errs on the side of partner security where needed, while still fulfilling any legal reporting privately to authorities.</w:t>
      </w:r>
    </w:p>
    <w:p w14:paraId="4833BBF2" w14:textId="77777777" w:rsidR="00406E3B" w:rsidRDefault="00406E3B" w:rsidP="00406E3B">
      <w:pPr>
        <w:pStyle w:val="BodyText"/>
      </w:pPr>
      <w:r>
        <w:t>Another point in OSF’s favor is that, unlike so-called “dark money” political operations that deliberately obscure funding sources, OSF’s funding source is basically one person (Soros) and that is widely known. So while OSF-funded groups may not always shout “Soros money here,” the network’s role is usually an open secret in NGO circles. In some contexts, OSF encourages grantees to be transparent about their donors to build trust (and many do acknowledge OSF on their websites and reports). In other contexts, OSF funding becomes a political football and grantees might downplay it to avoid backlash, which complicates the transparency ideal.</w:t>
      </w:r>
    </w:p>
    <w:p w14:paraId="03BE09C3" w14:textId="77777777" w:rsidR="00406E3B" w:rsidRDefault="00406E3B" w:rsidP="00406E3B">
      <w:pPr>
        <w:pStyle w:val="BodyText"/>
      </w:pPr>
      <w:r>
        <w:t xml:space="preserve">In empirical terms, OSF’s transparency can be assessed by looking at how it compares to other large foundations. </w:t>
      </w:r>
      <w:r>
        <w:rPr>
          <w:b/>
          <w:bCs/>
        </w:rPr>
        <w:t>NGO Monitor’s 2016 study</w:t>
      </w:r>
      <w:r>
        <w:t xml:space="preserve"> that gave OSF a failing grade contrasted it with more traditional think tanks – but OSF is not a think tank, it’s a grantmaker. Many private foundations (e.g., the Gates Foundation) do publish annual reports listing large grants, but may not list every small grant. OSF had stopped publishing annual “Soros Foundations Network” reports after around 2007, which might have contributed to perceptions of opacity. Those older reports did highlight activities per country but indeed did not enumerate every beneficiary. Now, OSF’s website functions as a rolling annual report with the grant database and financial snapshots.</w:t>
      </w:r>
    </w:p>
    <w:p w14:paraId="2C891EF6" w14:textId="77777777" w:rsidR="00406E3B" w:rsidRDefault="00406E3B" w:rsidP="00406E3B">
      <w:pPr>
        <w:pStyle w:val="BodyText"/>
      </w:pPr>
      <w:r>
        <w:t xml:space="preserve">Critics, however, remain unconvinced. Some allege OSF still </w:t>
      </w:r>
      <w:r>
        <w:rPr>
          <w:b/>
          <w:bCs/>
        </w:rPr>
        <w:t>lacks external oversight</w:t>
      </w:r>
      <w:r>
        <w:t xml:space="preserve"> – its board is self-appointed, its finances (though reported) are not subject to parliamentary or public budgetary processes, so they argue the bar for transparency should be higher. They also point out instances where OSF funding was revealed only through investigative journalism or leaks. A notorious case was a 2016 cyberattack on OSF’s servers (allegedly by Russian-linked hackers) that led to thousands of internal documents being leaked online</w:t>
      </w:r>
      <w:hyperlink r:id="rId175" w:anchor=":~:text=In%202016%2C%20the%20OSF%20was,19">
        <w:r>
          <w:rPr>
            <w:rStyle w:val="Hyperlink"/>
          </w:rPr>
          <w:t>[61]</w:t>
        </w:r>
      </w:hyperlink>
      <w:hyperlink r:id="rId176" w:anchor=":~:text=In%202016%2C%20the%20OSF%20was,19">
        <w:r>
          <w:rPr>
            <w:rStyle w:val="Hyperlink"/>
          </w:rPr>
          <w:t>[125]</w:t>
        </w:r>
      </w:hyperlink>
      <w:r>
        <w:t xml:space="preserve">. These “DC Leaks” files, as they became known, exposed detailed OSF strategies and planning documents for various regions. While OSF condemned the hack as a state-sponsored attempt to discredit it, opponents combed the leaks for evidence of shadowy behavior. In reality, the leaks largely showed OSF staff discussing how to advance human rights, handling grants, and occasionally strategizing against hostile governments – not much different from what one would expect, but the </w:t>
      </w:r>
      <w:r>
        <w:rPr>
          <w:b/>
          <w:bCs/>
        </w:rPr>
        <w:t>perception of secrecy was reinforced</w:t>
      </w:r>
      <w:r>
        <w:t xml:space="preserve"> by the fact these internal files had not been public before.</w:t>
      </w:r>
    </w:p>
    <w:p w14:paraId="237581C9" w14:textId="77777777" w:rsidR="00406E3B" w:rsidRDefault="00406E3B" w:rsidP="00406E3B">
      <w:pPr>
        <w:pStyle w:val="BodyText"/>
      </w:pPr>
      <w:r>
        <w:lastRenderedPageBreak/>
        <w:t xml:space="preserve">Another contentious aspect is OSF’s support for organizations that themselves push for government transparency and accountability (e.g., OSF funds many watchdog NGOs, media outlets, anti-corruption groups). This has led adversaries to call OSF hypocritical if it is not fully transparent about its own operations. OSF’s counter is that as a private entity it already voluntarily shares considerable information, and that it upholds transparency principles in the public sector where citizens have a right to know how public funds are used. Private philanthropy doesn’t have identical obligations. Nonetheless, OSF often voluntarily adopts high standards – for example, OSF was a founding supporter of the </w:t>
      </w:r>
      <w:r>
        <w:rPr>
          <w:b/>
          <w:bCs/>
        </w:rPr>
        <w:t>International Aid Transparency Initiative (IATI)</w:t>
      </w:r>
      <w:r>
        <w:t xml:space="preserve"> and the </w:t>
      </w:r>
      <w:r>
        <w:rPr>
          <w:b/>
          <w:bCs/>
        </w:rPr>
        <w:t>Open Government Partnership</w:t>
      </w:r>
      <w:r>
        <w:t>, signaling its philosophical commitment to transparency in governance</w:t>
      </w:r>
      <w:hyperlink r:id="rId177" w:anchor=":~:text=NEW%20YORK%E2%80%94The%20Open%20Society%20Foundations,countries%20to%20do%20the%20same">
        <w:r>
          <w:rPr>
            <w:rStyle w:val="Hyperlink"/>
          </w:rPr>
          <w:t>[126]</w:t>
        </w:r>
      </w:hyperlink>
      <w:hyperlink r:id="rId178" w:anchor=":~:text=means%20by%20which%20to%20encourage,countries%20to%20do%20the%20same">
        <w:r>
          <w:rPr>
            <w:rStyle w:val="Hyperlink"/>
          </w:rPr>
          <w:t>[127]</w:t>
        </w:r>
      </w:hyperlink>
      <w:r>
        <w:t>.</w:t>
      </w:r>
    </w:p>
    <w:p w14:paraId="6E00BB42" w14:textId="77777777" w:rsidR="00406E3B" w:rsidRDefault="00406E3B" w:rsidP="00406E3B">
      <w:pPr>
        <w:pStyle w:val="BodyText"/>
      </w:pPr>
      <w:r>
        <w:t xml:space="preserve">There’s also a </w:t>
      </w:r>
      <w:r>
        <w:rPr>
          <w:b/>
          <w:bCs/>
        </w:rPr>
        <w:t>distinction between financial transparency and strategic transparency</w:t>
      </w:r>
      <w:r>
        <w:t>. Financially, OSF now discloses a great deal (the grant database covers recent years; older grants can be found via tax records). Strategically, OSF publishes many strategy documents and evaluations, but not all. It might keep some internal debates private. But it often shares rationales for its focus areas through the “Voices” blog or the president’s letters. Mark Malloch-Brown, for example, gave interviews about OSF’s strategy to pivot more resources to global south issues. Alex Soros has written op-eds outlining the foundation’s directions under his leadership. These public communications help demystify OSF’s intentions.</w:t>
      </w:r>
    </w:p>
    <w:p w14:paraId="2D1CB882" w14:textId="77777777" w:rsidR="00406E3B" w:rsidRDefault="00406E3B" w:rsidP="00406E3B">
      <w:pPr>
        <w:pStyle w:val="BodyText"/>
      </w:pPr>
      <w:r>
        <w:t xml:space="preserve">In the eyes of supporters, </w:t>
      </w:r>
      <w:r>
        <w:rPr>
          <w:b/>
          <w:bCs/>
        </w:rPr>
        <w:t>transparency is one of OSF’s values</w:t>
      </w:r>
      <w:r>
        <w:t xml:space="preserve"> – indeed, Soros’s philosophy of an “open society” includes the notion that governments and powerful actors (including foundations) should be open and accountable. Soros has funded transparency initiatives (e.g., funding Transparency International chapters, investigative journalism, and data openness projects). It would be reputationally damaging for OSF to be seen as secretive. That’s likely why OSF has improved its own transparency infrastructure over time.</w:t>
      </w:r>
    </w:p>
    <w:p w14:paraId="41DF0B7F" w14:textId="77777777" w:rsidR="00406E3B" w:rsidRDefault="00406E3B" w:rsidP="00406E3B">
      <w:pPr>
        <w:pStyle w:val="BodyText"/>
      </w:pPr>
      <w:r>
        <w:t xml:space="preserve">Finally, some supporters argue that OSF’s </w:t>
      </w:r>
      <w:r>
        <w:rPr>
          <w:b/>
          <w:bCs/>
        </w:rPr>
        <w:t>impact speaks for itself</w:t>
      </w:r>
      <w:r>
        <w:t xml:space="preserve"> – meaning that by enabling civil society and shining light on injustice, OSF is in effect increasing societal transparency, even if not every grant is advertised on a billboard. For example, OSF funding helped create watchdog NGOs that track government budgets and corruption; those efforts have led to more transparent governance in several countries. So, one could say OSF indirectly fosters transparency globally as part of its mission.</w:t>
      </w:r>
    </w:p>
    <w:p w14:paraId="24C8F0CA" w14:textId="77777777" w:rsidR="00406E3B" w:rsidRDefault="00406E3B" w:rsidP="00406E3B">
      <w:pPr>
        <w:pStyle w:val="BodyText"/>
      </w:pPr>
      <w:r>
        <w:t xml:space="preserve">In balancing these perspectives, it becomes clear that the </w:t>
      </w:r>
      <w:r>
        <w:rPr>
          <w:b/>
          <w:bCs/>
        </w:rPr>
        <w:t>criticism of opacity peaked in the mid-2010s</w:t>
      </w:r>
      <w:r>
        <w:t>, and OSF’s responses (like the grants database launched around 2017 and expanded thereafter) have mitigated some concerns. Nonetheless, to this day, hostile commentators will use “Soros’s secret network” rhetoric, tapping into conspiracy theories. OSF has found itself combating a host of false narratives – from absurd claims that it “directs a U.S. government agency (USAID)” to sinister portrayals of Soros’s influence</w:t>
      </w:r>
      <w:hyperlink r:id="rId179" w:anchor=":~:text=independent%20funding%20of%20civil%20society,organizations%20worldwide">
        <w:r>
          <w:rPr>
            <w:rStyle w:val="Hyperlink"/>
          </w:rPr>
          <w:t>[128]</w:t>
        </w:r>
      </w:hyperlink>
      <w:r>
        <w:t>. In rebuttal, OSF emphasizes straightforward facts: “Open Society is a private foundation that makes its own funding decisions and uses its own funds”</w:t>
      </w:r>
      <w:hyperlink r:id="rId180" w:anchor=":~:text=Open%20Society%20is%20a%20private,governments%2C%20and%20multilateral%20development%20agencies">
        <w:r>
          <w:rPr>
            <w:rStyle w:val="Hyperlink"/>
          </w:rPr>
          <w:t>[77]</w:t>
        </w:r>
      </w:hyperlink>
      <w:r>
        <w:t xml:space="preserve">. It collaborates with others openly, and it stands publicly for its values. The foundation’s </w:t>
      </w:r>
      <w:r>
        <w:lastRenderedPageBreak/>
        <w:t>press releases and fact-checks work to dispel myths and highlight that OSF is quite public about what it supports (whether it’s free media in Eastern Europe or criminal justice reform in the U.S., OSF usually publicly advocates for these causes too, not just quietly funds them).</w:t>
      </w:r>
    </w:p>
    <w:p w14:paraId="4BCA2D34" w14:textId="77777777" w:rsidR="00406E3B" w:rsidRDefault="00406E3B" w:rsidP="00406E3B">
      <w:pPr>
        <w:pStyle w:val="BodyText"/>
      </w:pPr>
      <w:r>
        <w:t xml:space="preserve">In conclusion, the debate over OSF’s transparency comes down to how one defines transparency and what standard a private global philanthropy should be held to. </w:t>
      </w:r>
      <w:r>
        <w:rPr>
          <w:b/>
          <w:bCs/>
        </w:rPr>
        <w:t>Critics</w:t>
      </w:r>
      <w:r>
        <w:t xml:space="preserve"> argue OSF’s disclosures haven’t fully matched its scale and influence, citing past gaps and the difficulty of piecing together its sprawling operations from public sources. </w:t>
      </w:r>
      <w:r>
        <w:rPr>
          <w:b/>
          <w:bCs/>
        </w:rPr>
        <w:t>Supporters</w:t>
      </w:r>
      <w:r>
        <w:t xml:space="preserve"> (and OSF itself) argue that OSF is fundamentally transparent about its mission, values, and broad spending, and has improved by providing granular grant info – a level of detail few similar organizations offer. They contend that any remaining opacity is either incidental (due to complexity) or intentional for protecting grantees in hostile environments, rather than an attempt to hide inappropriate conduct.</w:t>
      </w:r>
    </w:p>
    <w:p w14:paraId="26350A18" w14:textId="77777777" w:rsidR="00406E3B" w:rsidRDefault="00406E3B" w:rsidP="00406E3B">
      <w:pPr>
        <w:pStyle w:val="BodyText"/>
      </w:pPr>
      <w:r>
        <w:t>From an accountability perspective, OSF is ultimately accountable to its board (and Soros family) and morally accountable to the public and communities it serves, but not electorally accountable. This is a common situation for large foundations, and OSF has tried to self-regulate accountability by engaging stakeholders in strategy development, commissioning independent reviews, and being present in public discourse to answer criticism. The push-pull between accusations of “dark money” and OSF’s self-image as a champion of open society will likely persist. However, barring any major scandals (none have been credibly documented regarding misuse of OSF funds at the top level), the transparency issue is more about perception and politics than actual clandestine behavior. In the end, OSF’s work – from courtrooms to classrooms – is visible worldwide, and the foundation seems to have recognized that being as transparent as possible is not just philosophically right but also key to disarming conspiracy theories about its work.</w:t>
      </w:r>
    </w:p>
    <w:p w14:paraId="1579D091" w14:textId="5BD10B44" w:rsidR="00406E3B" w:rsidRDefault="00000000" w:rsidP="00406E3B">
      <w:r>
        <w:pict w14:anchorId="5B8D4CAA">
          <v:rect id="_x0000_i1028" style="width:0;height:1.5pt" o:hralign="center" o:hrstd="t" o:hr="t"/>
        </w:pict>
      </w:r>
    </w:p>
    <w:p w14:paraId="731C656A" w14:textId="77777777" w:rsidR="00406E3B" w:rsidRDefault="00406E3B" w:rsidP="00406E3B">
      <w:pPr>
        <w:pStyle w:val="Heading2"/>
      </w:pPr>
      <w:r>
        <w:t>Chapter 4: Money Flows and Grant Circuits</w:t>
      </w:r>
    </w:p>
    <w:p w14:paraId="236B97D5" w14:textId="77777777" w:rsidR="00406E3B" w:rsidRDefault="00406E3B" w:rsidP="00406E3B">
      <w:pPr>
        <w:pStyle w:val="FirstParagraph"/>
      </w:pPr>
      <w:r>
        <w:t xml:space="preserve">Every year, staggering sums of money flow through philanthropic networks, funding causes that range from public health to partisan politics. To follow the money is to uncover a complex web of donors, foundations, intermediary funds, and on-the-ground projects. This chapter takes a closer look at how these financial circuits operate. We examine the funding sources and endowments behind major grantmakers, the thematic and geographic distribution of their grants, and the mechanisms—like regranting hubs and fiscal sponsors—that channel resources to intended beneficiaries. Along the way, we address allegations that ostensibly charitable grants have been used to influence political outcomes, and we clarify the legal boundaries that separate permissible advocacy from illicit campaign activity. The picture that emerges is one of </w:t>
      </w:r>
      <w:r>
        <w:rPr>
          <w:b/>
          <w:bCs/>
        </w:rPr>
        <w:t>vast, global grant circuits</w:t>
      </w:r>
      <w:r>
        <w:t>: a landscape where billions are strategically deployed, sometimes opaquely, to shape social and political change.</w:t>
      </w:r>
    </w:p>
    <w:p w14:paraId="71AC97D3" w14:textId="77777777" w:rsidR="00406E3B" w:rsidRDefault="00406E3B" w:rsidP="00406E3B">
      <w:pPr>
        <w:pStyle w:val="Heading3"/>
      </w:pPr>
      <w:bookmarkStart w:id="22" w:name="funding-sources-and-endowment-trends"/>
      <w:r>
        <w:lastRenderedPageBreak/>
        <w:t>Funding Sources and Endowment Trends</w:t>
      </w:r>
    </w:p>
    <w:p w14:paraId="05496481" w14:textId="77777777" w:rsidR="00406E3B" w:rsidRDefault="00406E3B" w:rsidP="00406E3B">
      <w:pPr>
        <w:pStyle w:val="FirstParagraph"/>
      </w:pPr>
      <w:r>
        <w:t xml:space="preserve">Large-scale philanthropy often begins with a </w:t>
      </w:r>
      <w:r>
        <w:rPr>
          <w:b/>
          <w:bCs/>
        </w:rPr>
        <w:t>single wealthy benefactor or a consortium of donors</w:t>
      </w:r>
      <w:r>
        <w:t xml:space="preserve">. For example, the Open Society Foundations (OSF) – one of the world’s largest private philanthropies – has been bankrolled primarily by its founder, financier George Soros. In 2017, Soros transferred about </w:t>
      </w:r>
      <w:r>
        <w:rPr>
          <w:b/>
          <w:bCs/>
        </w:rPr>
        <w:t>$18 billion</w:t>
      </w:r>
      <w:r>
        <w:t xml:space="preserve"> of his fortune into OSF, instantly making it one of the biggest charitable endowments globally</w:t>
      </w:r>
      <w:hyperlink r:id="rId181" w:anchor=":~:text=The%20financier%20George%20Soros%20has,one%20of%20the%20world%E2%80%99s%20largest">
        <w:r>
          <w:rPr>
            <w:rStyle w:val="Hyperlink"/>
          </w:rPr>
          <w:t>[1]</w:t>
        </w:r>
      </w:hyperlink>
      <w:r>
        <w:t xml:space="preserve">. (At the time, this placed OSF just behind the Bill &amp; Melinda Gates Foundation and the Wellcome Trust in scale.) Soros’s cumulative contributions to OSF over the decades now exceed </w:t>
      </w:r>
      <w:r>
        <w:rPr>
          <w:b/>
          <w:bCs/>
        </w:rPr>
        <w:t>$32 billion</w:t>
      </w:r>
      <w:hyperlink r:id="rId182" w:anchor=":~:text=The%20financier%20George%20Soros%20has,one%20of%20the%20world%E2%80%99s%20largest">
        <w:r>
          <w:rPr>
            <w:rStyle w:val="Hyperlink"/>
          </w:rPr>
          <w:t>[1]</w:t>
        </w:r>
      </w:hyperlink>
      <w:r>
        <w:t xml:space="preserve">, enabling the foundation to spend roughly </w:t>
      </w:r>
      <w:r>
        <w:rPr>
          <w:b/>
          <w:bCs/>
        </w:rPr>
        <w:t>$1 billion or more per year</w:t>
      </w:r>
      <w:r>
        <w:t xml:space="preserve"> on its programs. As a result, OSF reported an endowment of around </w:t>
      </w:r>
      <w:r>
        <w:rPr>
          <w:b/>
          <w:bCs/>
        </w:rPr>
        <w:t>$5.3 billion</w:t>
      </w:r>
      <w:r>
        <w:t xml:space="preserve"> in 2023</w:t>
      </w:r>
      <w:hyperlink r:id="rId183" w:anchor=":~:text=Binaifer%20Nowrojee%20%20Revenue%24436%20million,Image%3A%20Edit%20this%20at%20Wikidata">
        <w:r>
          <w:rPr>
            <w:rStyle w:val="Hyperlink"/>
          </w:rPr>
          <w:t>[2]</w:t>
        </w:r>
      </w:hyperlink>
      <w:r>
        <w:t xml:space="preserve">, after accounting for grants and market fluctuations. This kind of massive infusion of funds – essentially </w:t>
      </w:r>
      <w:r>
        <w:rPr>
          <w:b/>
          <w:bCs/>
        </w:rPr>
        <w:t>endowing a private foundation with a single donor’s wealth</w:t>
      </w:r>
      <w:r>
        <w:t xml:space="preserve"> – is not unique to Soros. Tech moguls, hedge fund billionaires, and industrialists have set up similar philanthropic war chests. The Gates Foundation, for instance, was endowed with tens of billions from Bill and Melinda Gates, supplemented by Warren Buffett’s multi-billion-dollar gifts, fueling global initiatives in health and education. On the conservative side, in 2021 an </w:t>
      </w:r>
      <w:r>
        <w:rPr>
          <w:b/>
          <w:bCs/>
        </w:rPr>
        <w:t>ultra-secretive donor named Barre Seid quietly gave $1.6 billion</w:t>
      </w:r>
      <w:r>
        <w:t xml:space="preserve"> to a new trust led by activist Leonard Leo</w:t>
      </w:r>
      <w:hyperlink r:id="rId184" w:anchor=":~:text=An%20elderly%2C%20ultra,system%2C%20including%20the%20Supreme%20Court">
        <w:r>
          <w:rPr>
            <w:rStyle w:val="Hyperlink"/>
          </w:rPr>
          <w:t>[3]</w:t>
        </w:r>
      </w:hyperlink>
      <w:r>
        <w:t xml:space="preserve"> – reportedly the largest single contribution ever to a political advocacy network. Leo, an architect of the U.S. conservative court strategy, openly framed this windfall as leveling the playing field with liberal philanthropies like Soros’s: it was, he said, “</w:t>
      </w:r>
      <w:r>
        <w:rPr>
          <w:i/>
          <w:iCs/>
        </w:rPr>
        <w:t>high time for the conservative movement to be among the ranks of George Soros, Hansjörg Wyss, Arabella Advisors and other left-wing philanthropists</w:t>
      </w:r>
      <w:r>
        <w:t>”</w:t>
      </w:r>
      <w:hyperlink r:id="rId185" w:anchor=":~:text=In%20a%20statement%20to%20the,representatives%20for%20Seid%20did%20not">
        <w:r>
          <w:rPr>
            <w:rStyle w:val="Hyperlink"/>
          </w:rPr>
          <w:t>[4]</w:t>
        </w:r>
      </w:hyperlink>
      <w:r>
        <w:t xml:space="preserve">. These headline-grabbing figures illustrate a broader trend: </w:t>
      </w:r>
      <w:r>
        <w:rPr>
          <w:b/>
          <w:bCs/>
        </w:rPr>
        <w:t>endowments and donor-advised funds have swelled in recent years</w:t>
      </w:r>
      <w:r>
        <w:t>, supercharging the grant-making capacity of ideologically-driven foundations.</w:t>
      </w:r>
    </w:p>
    <w:p w14:paraId="6BA15D3C" w14:textId="77777777" w:rsidR="00406E3B" w:rsidRDefault="00406E3B" w:rsidP="00406E3B">
      <w:pPr>
        <w:pStyle w:val="BodyText"/>
      </w:pPr>
      <w:r>
        <w:t xml:space="preserve">Yet money does not just sit in endowments; it </w:t>
      </w:r>
      <w:r>
        <w:rPr>
          <w:b/>
          <w:bCs/>
        </w:rPr>
        <w:t>flows out in grants</w:t>
      </w:r>
      <w:r>
        <w:t xml:space="preserve">, and those flows can accelerate or taper with changing priorities. OSF’s financial statements show a </w:t>
      </w:r>
      <w:r>
        <w:rPr>
          <w:b/>
          <w:bCs/>
        </w:rPr>
        <w:t>16% average annual increase in expenditures since 2016</w:t>
      </w:r>
      <w:r>
        <w:t xml:space="preserve"> as Soros ramped up giving</w:t>
      </w:r>
      <w:hyperlink r:id="rId186" w:anchor=":~:text=%2423">
        <w:r>
          <w:rPr>
            <w:rStyle w:val="Hyperlink"/>
          </w:rPr>
          <w:t>[5]</w:t>
        </w:r>
      </w:hyperlink>
      <w:hyperlink r:id="rId187" w:anchor=":~:text=16.2,expenditures%20since%202016">
        <w:r>
          <w:rPr>
            <w:rStyle w:val="Hyperlink"/>
          </w:rPr>
          <w:t>[6]</w:t>
        </w:r>
      </w:hyperlink>
      <w:r>
        <w:t xml:space="preserve">. The foundation’s total spending in 2023 alone was about </w:t>
      </w:r>
      <w:r>
        <w:rPr>
          <w:b/>
          <w:bCs/>
        </w:rPr>
        <w:t>$1.7 billion</w:t>
      </w:r>
      <w:hyperlink r:id="rId188" w:anchor=":~:text=%2423">
        <w:r>
          <w:rPr>
            <w:rStyle w:val="Hyperlink"/>
          </w:rPr>
          <w:t>[7]</w:t>
        </w:r>
      </w:hyperlink>
      <w:r>
        <w:t xml:space="preserve">, a sharp increase from mid-2010s levels. Notably, OSF’s disbursements peaked around 2019–2020, coinciding with extraordinary one-time grants to institutions close to Soros’s heart (detailed later in this chapter). This reflects a pattern where a funder might dramatically boost giving in a particular year to seed a major initiative or respond to a crisis. Overall, the </w:t>
      </w:r>
      <w:r>
        <w:rPr>
          <w:b/>
          <w:bCs/>
        </w:rPr>
        <w:t>trend for many large foundations is upward</w:t>
      </w:r>
      <w:r>
        <w:t>: their assets have grown with stock market gains and new mega-donations, enabling ever-larger budgets. Even amid economic downturns, some philanthropies choose to spend more aggressively if their founder perceives an urgent need. Soros, for instance, in his 80s has indicated he intends to give away most of his wealth in his lifetime</w:t>
      </w:r>
      <w:hyperlink r:id="rId189" w:anchor=":~:text=So%20far%20this%20year%20Soros,his%20wealth%20during%20his%20lifetime">
        <w:r>
          <w:rPr>
            <w:rStyle w:val="Hyperlink"/>
          </w:rPr>
          <w:t>[8]</w:t>
        </w:r>
      </w:hyperlink>
      <w:r>
        <w:t xml:space="preserve">, which has translated into OSF accelerating grant outlays. Other donors have similar “giving while living” philosophies, leading to </w:t>
      </w:r>
      <w:r>
        <w:rPr>
          <w:b/>
          <w:bCs/>
        </w:rPr>
        <w:t>spending spikes</w:t>
      </w:r>
      <w:r>
        <w:t xml:space="preserve"> when they make big transfers to their foundations.</w:t>
      </w:r>
    </w:p>
    <w:p w14:paraId="2882C5BA" w14:textId="77777777" w:rsidR="00406E3B" w:rsidRDefault="00406E3B" w:rsidP="00406E3B">
      <w:pPr>
        <w:pStyle w:val="BodyText"/>
      </w:pPr>
      <w:r>
        <w:t xml:space="preserve">While individual philanthropists dominate the funding of some private foundations, others rely on a </w:t>
      </w:r>
      <w:r>
        <w:rPr>
          <w:b/>
          <w:bCs/>
        </w:rPr>
        <w:t>broader base of contributors</w:t>
      </w:r>
      <w:r>
        <w:t xml:space="preserve">. Community foundations and public charities often </w:t>
      </w:r>
      <w:r>
        <w:lastRenderedPageBreak/>
        <w:t xml:space="preserve">pool donations from many sources. A prominent example is the </w:t>
      </w:r>
      <w:r>
        <w:rPr>
          <w:b/>
          <w:bCs/>
        </w:rPr>
        <w:t>Silicon Valley Community Foundation</w:t>
      </w:r>
      <w:r>
        <w:t xml:space="preserve">, which manages donor-advised funds for hundreds of tech executives and companies – its rapid asset growth (once over $13 billion) came from multiple IPO-related windfalls rather than a single endowment. Likewise, the </w:t>
      </w:r>
      <w:r>
        <w:rPr>
          <w:b/>
          <w:bCs/>
        </w:rPr>
        <w:t>Arabella Advisors network</w:t>
      </w:r>
      <w:r>
        <w:t xml:space="preserve"> (discussed later) doesn’t have one endowment but coordinates flows from numerous donors into several affiliated funds. The </w:t>
      </w:r>
      <w:r>
        <w:rPr>
          <w:b/>
          <w:bCs/>
        </w:rPr>
        <w:t>diversity of funding sources</w:t>
      </w:r>
      <w:r>
        <w:t xml:space="preserve"> can influence a grantmaker’s strategy: family-controlled foundations may simply execute the founder’s vision, whereas broadly-funded grant pools might represent a coalition of interests. </w:t>
      </w:r>
      <w:r>
        <w:rPr>
          <w:b/>
          <w:bCs/>
        </w:rPr>
        <w:t>Transparency varies greatly</w:t>
      </w:r>
      <w:r>
        <w:t xml:space="preserve"> as well. Private foundations in the U.S. must disclose their donors (at least the founding ones), but public charities and donor-advised funds generally do not. This creates opportunities for donors who prefer to remain anonymous – a point that has raised concern when large sums with murky origins enter the public sphere. Lawmakers and watchdog groups have noted that </w:t>
      </w:r>
      <w:r>
        <w:rPr>
          <w:b/>
          <w:bCs/>
        </w:rPr>
        <w:t>donor-advised funds can act as “black boxes”</w:t>
      </w:r>
      <w:r>
        <w:t>, temporarily warehousing money that later emerges in the form of grants with the original donor’s identity effectively scrubbed</w:t>
      </w:r>
      <w:hyperlink r:id="rId190" w:anchor=":~:text=The%20IRS%20requires%20501,Buffett%20Foundation%20to%20Planned%20Parenthood">
        <w:r>
          <w:rPr>
            <w:rStyle w:val="Hyperlink"/>
          </w:rPr>
          <w:t>[9]</w:t>
        </w:r>
      </w:hyperlink>
      <w:r>
        <w:t xml:space="preserve">. In summary, </w:t>
      </w:r>
      <w:r>
        <w:rPr>
          <w:b/>
          <w:bCs/>
        </w:rPr>
        <w:t>today’s philanthropic money flows are a mix of the very concentrated and the very pooled</w:t>
      </w:r>
      <w:r>
        <w:t>. A handful of billionaires have created outsized funding engines, while at the same time new intermediate vehicles allow many smaller donors to combine their resources (and sometimes conceal their fingerprints) in pursuit of big impacts.</w:t>
      </w:r>
    </w:p>
    <w:p w14:paraId="3BE83F05" w14:textId="77777777" w:rsidR="00406E3B" w:rsidRDefault="00406E3B" w:rsidP="00406E3B">
      <w:pPr>
        <w:pStyle w:val="Heading3"/>
      </w:pPr>
      <w:bookmarkStart w:id="23" w:name="grant-themes-and-regional-distribution"/>
      <w:bookmarkEnd w:id="22"/>
      <w:r>
        <w:t>Grant Themes and Regional Distribution</w:t>
      </w:r>
    </w:p>
    <w:p w14:paraId="57C68379" w14:textId="77777777" w:rsidR="00406E3B" w:rsidRDefault="00406E3B" w:rsidP="00406E3B">
      <w:pPr>
        <w:pStyle w:val="FirstParagraph"/>
      </w:pPr>
      <w:r>
        <w:t xml:space="preserve">Where does the money go? Foundations publicize their </w:t>
      </w:r>
      <w:r>
        <w:rPr>
          <w:b/>
          <w:bCs/>
        </w:rPr>
        <w:t>priority themes and regions</w:t>
      </w:r>
      <w:r>
        <w:t xml:space="preserve"> in annual reports and filings, which offers a window into their agendas. Over time, shifts in grant allocations tell a story about changing strategies. Table 4.1 below summarizes the </w:t>
      </w:r>
      <w:r>
        <w:rPr>
          <w:b/>
          <w:bCs/>
        </w:rPr>
        <w:t>top grant categories</w:t>
      </w:r>
      <w:r>
        <w:t xml:space="preserve"> for the Open Society Foundations in recent years (2019–2023), illustrating how its spending has been apportioned by issue area.</w:t>
      </w:r>
    </w:p>
    <w:p w14:paraId="75AE9EEE" w14:textId="77777777" w:rsidR="00406E3B" w:rsidRDefault="00406E3B" w:rsidP="00406E3B">
      <w:pPr>
        <w:pStyle w:val="BodyText"/>
      </w:pPr>
      <w:r>
        <w:rPr>
          <w:b/>
          <w:bCs/>
        </w:rPr>
        <w:t>Table 4.1: Top Open Society Foundation Grant Categories, 2019–2023</w:t>
      </w:r>
      <w:r>
        <w:t xml:space="preserve"> (global programs excluding United States)</w:t>
      </w:r>
      <w:hyperlink r:id="rId191" w:anchor=":~:text=kinds%20of%20programs%20does%20OSF,example%2C%20was%20mainly%20focused%20on">
        <w:r>
          <w:rPr>
            <w:rStyle w:val="Hyperlink"/>
          </w:rPr>
          <w:t>[10]</w:t>
        </w:r>
      </w:hyperlink>
      <w:hyperlink r:id="rId192" w:anchor=":~:text=over%20the%20past%20five%20years%2C,Organizations%20funded%20to%20work%20internationally">
        <w:r>
          <w:rPr>
            <w:rStyle w:val="Hyperlink"/>
          </w:rPr>
          <w:t>[11]</w:t>
        </w:r>
      </w:hyperlink>
    </w:p>
    <w:tbl>
      <w:tblPr>
        <w:tblStyle w:val="Table"/>
        <w:tblW w:w="0" w:type="auto"/>
        <w:tblLook w:val="0020" w:firstRow="1" w:lastRow="0" w:firstColumn="0" w:lastColumn="0" w:noHBand="0" w:noVBand="0"/>
      </w:tblPr>
      <w:tblGrid>
        <w:gridCol w:w="4028"/>
        <w:gridCol w:w="2436"/>
      </w:tblGrid>
      <w:tr w:rsidR="00406E3B" w14:paraId="29B43A6F" w14:textId="77777777" w:rsidTr="00BB2ADB">
        <w:trPr>
          <w:cnfStyle w:val="100000000000" w:firstRow="1" w:lastRow="0" w:firstColumn="0" w:lastColumn="0" w:oddVBand="0" w:evenVBand="0" w:oddHBand="0" w:evenHBand="0" w:firstRowFirstColumn="0" w:firstRowLastColumn="0" w:lastRowFirstColumn="0" w:lastRowLastColumn="0"/>
          <w:tblHeader/>
        </w:trPr>
        <w:tc>
          <w:tcPr>
            <w:tcW w:w="0" w:type="auto"/>
          </w:tcPr>
          <w:p w14:paraId="471418D5" w14:textId="77777777" w:rsidR="00406E3B" w:rsidRDefault="00406E3B" w:rsidP="00BB2ADB">
            <w:pPr>
              <w:pStyle w:val="Compact"/>
            </w:pPr>
            <w:r>
              <w:rPr>
                <w:b/>
                <w:bCs/>
              </w:rPr>
              <w:t>Thematic Category</w:t>
            </w:r>
          </w:p>
        </w:tc>
        <w:tc>
          <w:tcPr>
            <w:tcW w:w="0" w:type="auto"/>
          </w:tcPr>
          <w:p w14:paraId="69096D55" w14:textId="77777777" w:rsidR="00406E3B" w:rsidRDefault="00406E3B" w:rsidP="00BB2ADB">
            <w:pPr>
              <w:pStyle w:val="Compact"/>
            </w:pPr>
            <w:r>
              <w:rPr>
                <w:b/>
                <w:bCs/>
              </w:rPr>
              <w:t>Total Grants (2019–2023)</w:t>
            </w:r>
          </w:p>
        </w:tc>
      </w:tr>
      <w:tr w:rsidR="00406E3B" w14:paraId="3842B731" w14:textId="77777777" w:rsidTr="00BB2ADB">
        <w:tc>
          <w:tcPr>
            <w:tcW w:w="0" w:type="auto"/>
          </w:tcPr>
          <w:p w14:paraId="02328507" w14:textId="77777777" w:rsidR="00406E3B" w:rsidRDefault="00406E3B" w:rsidP="00BB2ADB">
            <w:pPr>
              <w:pStyle w:val="Compact"/>
            </w:pPr>
            <w:r>
              <w:t>Education (inc. Early Childhood &amp; Higher Ed)</w:t>
            </w:r>
          </w:p>
        </w:tc>
        <w:tc>
          <w:tcPr>
            <w:tcW w:w="0" w:type="auto"/>
          </w:tcPr>
          <w:p w14:paraId="672602B5" w14:textId="77777777" w:rsidR="00406E3B" w:rsidRDefault="00406E3B" w:rsidP="00BB2ADB">
            <w:pPr>
              <w:pStyle w:val="Compact"/>
            </w:pPr>
            <w:r>
              <w:t>$1.90 billion</w:t>
            </w:r>
          </w:p>
        </w:tc>
      </w:tr>
      <w:tr w:rsidR="00406E3B" w14:paraId="0ED183BD" w14:textId="77777777" w:rsidTr="00BB2ADB">
        <w:tc>
          <w:tcPr>
            <w:tcW w:w="0" w:type="auto"/>
          </w:tcPr>
          <w:p w14:paraId="727AB0AF" w14:textId="77777777" w:rsidR="00406E3B" w:rsidRDefault="00406E3B" w:rsidP="00BB2ADB">
            <w:pPr>
              <w:pStyle w:val="Compact"/>
            </w:pPr>
            <w:r>
              <w:t>Democratic Practice</w:t>
            </w:r>
          </w:p>
        </w:tc>
        <w:tc>
          <w:tcPr>
            <w:tcW w:w="0" w:type="auto"/>
          </w:tcPr>
          <w:p w14:paraId="67D91A44" w14:textId="77777777" w:rsidR="00406E3B" w:rsidRDefault="00406E3B" w:rsidP="00BB2ADB">
            <w:pPr>
              <w:pStyle w:val="Compact"/>
            </w:pPr>
            <w:r>
              <w:t>$0.42 billion</w:t>
            </w:r>
          </w:p>
        </w:tc>
      </w:tr>
      <w:tr w:rsidR="00406E3B" w14:paraId="30C055C8" w14:textId="77777777" w:rsidTr="00BB2ADB">
        <w:tc>
          <w:tcPr>
            <w:tcW w:w="0" w:type="auto"/>
          </w:tcPr>
          <w:p w14:paraId="16B7A5C1" w14:textId="77777777" w:rsidR="00406E3B" w:rsidRDefault="00406E3B" w:rsidP="00BB2ADB">
            <w:pPr>
              <w:pStyle w:val="Compact"/>
            </w:pPr>
            <w:r>
              <w:t>Human Rights Movements &amp; Institutions</w:t>
            </w:r>
          </w:p>
        </w:tc>
        <w:tc>
          <w:tcPr>
            <w:tcW w:w="0" w:type="auto"/>
          </w:tcPr>
          <w:p w14:paraId="1E5EAA84" w14:textId="77777777" w:rsidR="00406E3B" w:rsidRDefault="00406E3B" w:rsidP="00BB2ADB">
            <w:pPr>
              <w:pStyle w:val="Compact"/>
            </w:pPr>
            <w:r>
              <w:t>$0.32 billion</w:t>
            </w:r>
          </w:p>
        </w:tc>
      </w:tr>
      <w:tr w:rsidR="00406E3B" w14:paraId="737830A5" w14:textId="77777777" w:rsidTr="00BB2ADB">
        <w:tc>
          <w:tcPr>
            <w:tcW w:w="0" w:type="auto"/>
          </w:tcPr>
          <w:p w14:paraId="5DA7AC9A" w14:textId="77777777" w:rsidR="00406E3B" w:rsidRDefault="00406E3B" w:rsidP="00BB2ADB">
            <w:pPr>
              <w:pStyle w:val="Compact"/>
            </w:pPr>
            <w:r>
              <w:t>Economic Equity &amp; Justice</w:t>
            </w:r>
          </w:p>
        </w:tc>
        <w:tc>
          <w:tcPr>
            <w:tcW w:w="0" w:type="auto"/>
          </w:tcPr>
          <w:p w14:paraId="04956CB6" w14:textId="77777777" w:rsidR="00406E3B" w:rsidRDefault="00406E3B" w:rsidP="00BB2ADB">
            <w:pPr>
              <w:pStyle w:val="Compact"/>
            </w:pPr>
            <w:r>
              <w:t>$0.26 billion</w:t>
            </w:r>
          </w:p>
        </w:tc>
      </w:tr>
      <w:tr w:rsidR="00406E3B" w14:paraId="74005A2F" w14:textId="77777777" w:rsidTr="00BB2ADB">
        <w:tc>
          <w:tcPr>
            <w:tcW w:w="0" w:type="auto"/>
          </w:tcPr>
          <w:p w14:paraId="64EF226D" w14:textId="77777777" w:rsidR="00406E3B" w:rsidRDefault="00406E3B" w:rsidP="00BB2ADB">
            <w:pPr>
              <w:pStyle w:val="Compact"/>
            </w:pPr>
            <w:r>
              <w:t>Other / Unspecified Theme</w:t>
            </w:r>
          </w:p>
        </w:tc>
        <w:tc>
          <w:tcPr>
            <w:tcW w:w="0" w:type="auto"/>
          </w:tcPr>
          <w:p w14:paraId="45088C6F" w14:textId="77777777" w:rsidR="00406E3B" w:rsidRDefault="00406E3B" w:rsidP="00BB2ADB">
            <w:pPr>
              <w:pStyle w:val="Compact"/>
            </w:pPr>
            <w:r>
              <w:t>$0.15 billion</w:t>
            </w:r>
          </w:p>
        </w:tc>
      </w:tr>
    </w:tbl>
    <w:p w14:paraId="4C90B170" w14:textId="77777777" w:rsidR="00406E3B" w:rsidRDefault="00406E3B" w:rsidP="00406E3B">
      <w:pPr>
        <w:pStyle w:val="BodyText"/>
      </w:pPr>
      <w:r>
        <w:rPr>
          <w:i/>
          <w:iCs/>
        </w:rPr>
        <w:t>Source: Open Society Foundations awarded grants database, analysis by Devex</w:t>
      </w:r>
      <w:hyperlink r:id="rId193" w:anchor=":~:text=kinds%20of%20programs%20does%20OSF,example%2C%20was%20mainly%20focused%20on">
        <w:r>
          <w:rPr>
            <w:rStyle w:val="Hyperlink"/>
            <w:i/>
            <w:iCs/>
          </w:rPr>
          <w:t>[10]</w:t>
        </w:r>
      </w:hyperlink>
      <w:hyperlink r:id="rId194" w:anchor=":~:text=over%20the%20past%20five%20years%2C,Organizations%20funded%20to%20work%20internationally">
        <w:r>
          <w:rPr>
            <w:rStyle w:val="Hyperlink"/>
            <w:i/>
            <w:iCs/>
          </w:rPr>
          <w:t>[11]</w:t>
        </w:r>
      </w:hyperlink>
      <w:r>
        <w:rPr>
          <w:i/>
          <w:iCs/>
        </w:rPr>
        <w:t>.</w:t>
      </w:r>
    </w:p>
    <w:p w14:paraId="65F3F2F9" w14:textId="77777777" w:rsidR="00406E3B" w:rsidRDefault="00406E3B" w:rsidP="00406E3B">
      <w:pPr>
        <w:pStyle w:val="BodyText"/>
      </w:pPr>
      <w:r>
        <w:t xml:space="preserve">As Table 4.1 shows, </w:t>
      </w:r>
      <w:r>
        <w:rPr>
          <w:b/>
          <w:bCs/>
        </w:rPr>
        <w:t>education-related grants have dominated OSF’s recent funding</w:t>
      </w:r>
      <w:r>
        <w:t xml:space="preserve">, accounting for about half of its grantmaking outside the U.S. in the last five years. This category includes support for early childhood education, university programs, scholarships, and education access initiatives. The outsized $1.9 billion total for education is partly due to </w:t>
      </w:r>
      <w:r>
        <w:rPr>
          <w:b/>
          <w:bCs/>
        </w:rPr>
        <w:t>major one-off endowments</w:t>
      </w:r>
      <w:r>
        <w:t xml:space="preserve"> OSF gave to academic institutions (such as </w:t>
      </w:r>
      <w:r>
        <w:lastRenderedPageBreak/>
        <w:t>Central European University and Bard College) – large injections we will discuss shortly</w:t>
      </w:r>
      <w:hyperlink r:id="rId195" w:anchor=":~:text=grant%20amount%3A%20%241%20billion%20The,%E2%80%94%20Washington%20Office%20Total%20number">
        <w:r>
          <w:rPr>
            <w:rStyle w:val="Hyperlink"/>
          </w:rPr>
          <w:t>[12]</w:t>
        </w:r>
      </w:hyperlink>
      <w:hyperlink r:id="rId196" w:anchor=":~:text=this%20institution%20has%20received%20amounted,4">
        <w:r>
          <w:rPr>
            <w:rStyle w:val="Hyperlink"/>
          </w:rPr>
          <w:t>[13]</w:t>
        </w:r>
      </w:hyperlink>
      <w:r>
        <w:t xml:space="preserve">. After education, OSF’s next largest buckets were </w:t>
      </w:r>
      <w:r>
        <w:rPr>
          <w:b/>
          <w:bCs/>
        </w:rPr>
        <w:t>“Democratic Practice” ($421 million)</w:t>
      </w:r>
      <w:r>
        <w:t xml:space="preserve"> and </w:t>
      </w:r>
      <w:r>
        <w:rPr>
          <w:b/>
          <w:bCs/>
        </w:rPr>
        <w:t>human rights ($323 million)</w:t>
      </w:r>
      <w:r>
        <w:t>, reflecting its core mission to promote democracy, justice, and accountability</w:t>
      </w:r>
      <w:hyperlink r:id="rId197" w:anchor=":~:text=The%20Open%20Society%20Foundations%2C%20as,by%20George%20Soros%20in%201979">
        <w:r>
          <w:rPr>
            <w:rStyle w:val="Hyperlink"/>
          </w:rPr>
          <w:t>[14]</w:t>
        </w:r>
      </w:hyperlink>
      <w:hyperlink r:id="rId198" w:anchor=":~:text=Open%20Society%20advances%20its%20mission,investing%2C%20and%20legal%20actions%20globally">
        <w:r>
          <w:rPr>
            <w:rStyle w:val="Hyperlink"/>
          </w:rPr>
          <w:t>[15]</w:t>
        </w:r>
      </w:hyperlink>
      <w:r>
        <w:t xml:space="preserve">. Hundreds of millions were channeled into civil society development, election integrity, advocacy for marginalized groups, and human rights litigation and documentation worldwide. Another significant focus was </w:t>
      </w:r>
      <w:r>
        <w:rPr>
          <w:b/>
          <w:bCs/>
        </w:rPr>
        <w:t>economic equity and justice ($258 million)</w:t>
      </w:r>
      <w:r>
        <w:t>, encompassing efforts to reduce inequalities, improve governance, and support inclusive economic development</w:t>
      </w:r>
      <w:hyperlink r:id="rId199" w:anchor=":~:text=In%202023%2C%20Open%20Society%20Foundations,5%20million">
        <w:r>
          <w:rPr>
            <w:rStyle w:val="Hyperlink"/>
          </w:rPr>
          <w:t>[16]</w:t>
        </w:r>
      </w:hyperlink>
      <w:hyperlink r:id="rId200" w:anchor=":~:text=In%202023%2C%20Open%20Society%20Foundations,5%20million">
        <w:r>
          <w:rPr>
            <w:rStyle w:val="Hyperlink"/>
          </w:rPr>
          <w:t>[17]</w:t>
        </w:r>
      </w:hyperlink>
      <w:r>
        <w:t>. The “other” category includes cross-cutting or unclassified grants and core support that was not tagged to a single theme, totaling roughly $145 million.</w:t>
      </w:r>
    </w:p>
    <w:p w14:paraId="5ABD19C4" w14:textId="77777777" w:rsidR="00406E3B" w:rsidRDefault="00406E3B" w:rsidP="00406E3B">
      <w:pPr>
        <w:pStyle w:val="BodyText"/>
      </w:pPr>
      <w:r>
        <w:t xml:space="preserve">Geographically, OSF’s grants have been spread across every continent, though not evenly. In the five-year period analyzed, about </w:t>
      </w:r>
      <w:r>
        <w:rPr>
          <w:b/>
          <w:bCs/>
        </w:rPr>
        <w:t>$2.6 billion (roughly 68%)</w:t>
      </w:r>
      <w:r>
        <w:t xml:space="preserve"> of OSF’s grant dollars were classified as global or multi-regional programs</w:t>
      </w:r>
      <w:hyperlink r:id="rId201" w:anchor=":~:text=descriptions%20edited%20on%20the%20OSF,6">
        <w:r>
          <w:rPr>
            <w:rStyle w:val="Hyperlink"/>
          </w:rPr>
          <w:t>[18]</w:t>
        </w:r>
      </w:hyperlink>
      <w:hyperlink r:id="rId202" w:anchor=":~:text=programs%20that%20align%20with%20the,by%20far%20the%20largest%20amount">
        <w:r>
          <w:rPr>
            <w:rStyle w:val="Hyperlink"/>
          </w:rPr>
          <w:t>[19]</w:t>
        </w:r>
      </w:hyperlink>
      <w:r>
        <w:t xml:space="preserve">. These often fund international networks or initiatives that operate in many countries (for example, a global human rights campaign or an international research project). Among region-specific spending, </w:t>
      </w:r>
      <w:r>
        <w:rPr>
          <w:b/>
          <w:bCs/>
        </w:rPr>
        <w:t>Europe and Central Asia was the top recipient region</w:t>
      </w:r>
      <w:r>
        <w:t xml:space="preserve">, with around </w:t>
      </w:r>
      <w:r>
        <w:rPr>
          <w:b/>
          <w:bCs/>
        </w:rPr>
        <w:t>$416 million</w:t>
      </w:r>
      <w:r>
        <w:t xml:space="preserve"> over five years</w:t>
      </w:r>
      <w:hyperlink r:id="rId203" w:anchor=":~:text=programs%20that%20align%20with%20the,by%20far%20the%20largest%20amount">
        <w:r>
          <w:rPr>
            <w:rStyle w:val="Hyperlink"/>
          </w:rPr>
          <w:t>[19]</w:t>
        </w:r>
      </w:hyperlink>
      <w:r>
        <w:t>. This is unsurprising given OSF’s roots in Eastern Europe; even after moving its headquarters from Budapest to Berlin amid political pressure</w:t>
      </w:r>
      <w:hyperlink r:id="rId204" w:anchor=":~:text=In%202017%2C%20the%20government%20of,50">
        <w:r>
          <w:rPr>
            <w:rStyle w:val="Hyperlink"/>
          </w:rPr>
          <w:t>[20]</w:t>
        </w:r>
      </w:hyperlink>
      <w:hyperlink r:id="rId205" w:anchor=":~:text=In%20May%202018%2C%20Open%20Society,53">
        <w:r>
          <w:rPr>
            <w:rStyle w:val="Hyperlink"/>
          </w:rPr>
          <w:t>[21]</w:t>
        </w:r>
      </w:hyperlink>
      <w:r>
        <w:t xml:space="preserve">, OSF continues to invest heavily in democratic governance, media freedom, and minority rights across Europe. The </w:t>
      </w:r>
      <w:r>
        <w:rPr>
          <w:b/>
          <w:bCs/>
        </w:rPr>
        <w:t>Latin America and Caribbean region</w:t>
      </w:r>
      <w:r>
        <w:t xml:space="preserve"> saw the next largest share (~$288 million)</w:t>
      </w:r>
      <w:hyperlink r:id="rId206" w:anchor=":~:text=programs%20that%20align%20with%20the,by%20far%20the%20largest%20amount">
        <w:r>
          <w:rPr>
            <w:rStyle w:val="Hyperlink"/>
          </w:rPr>
          <w:t>[19]</w:t>
        </w:r>
      </w:hyperlink>
      <w:r>
        <w:t xml:space="preserve">, followed by </w:t>
      </w:r>
      <w:r>
        <w:rPr>
          <w:b/>
          <w:bCs/>
        </w:rPr>
        <w:t>Africa (~$177 million)</w:t>
      </w:r>
      <w:r>
        <w:t xml:space="preserve">, </w:t>
      </w:r>
      <w:r>
        <w:rPr>
          <w:b/>
          <w:bCs/>
        </w:rPr>
        <w:t>Middle East and North Africa (~$164 million)</w:t>
      </w:r>
      <w:r>
        <w:t xml:space="preserve">, and </w:t>
      </w:r>
      <w:r>
        <w:rPr>
          <w:b/>
          <w:bCs/>
        </w:rPr>
        <w:t>Asia-Pacific (~$127 million)</w:t>
      </w:r>
      <w:hyperlink r:id="rId207" w:anchor=":~:text=programs%20that%20align%20with%20the,by%20far%20the%20largest%20amount">
        <w:r>
          <w:rPr>
            <w:rStyle w:val="Hyperlink"/>
            <w:b/>
            <w:bCs/>
          </w:rPr>
          <w:t>[19]</w:t>
        </w:r>
      </w:hyperlink>
      <w:r>
        <w:t>. Notably, grants focused on the United States (which totaled roughly $1.5 billion in the same period</w:t>
      </w:r>
      <w:hyperlink r:id="rId208" w:anchor=":~:text=OSF%20has%20said%20it%20expects,to%20organizations%20and%20individuals%20all">
        <w:r>
          <w:rPr>
            <w:rStyle w:val="Hyperlink"/>
          </w:rPr>
          <w:t>[22]</w:t>
        </w:r>
      </w:hyperlink>
      <w:hyperlink r:id="rId209" w:anchor=":~:text=awarded%20solely%20to%20organizations%20and,Over%20the%20past%20five%20years">
        <w:r>
          <w:rPr>
            <w:rStyle w:val="Hyperlink"/>
          </w:rPr>
          <w:t>[23]</w:t>
        </w:r>
      </w:hyperlink>
      <w:r>
        <w:t xml:space="preserve">) are </w:t>
      </w:r>
      <w:r>
        <w:rPr>
          <w:b/>
          <w:bCs/>
        </w:rPr>
        <w:t>tracked separately by OSF</w:t>
      </w:r>
      <w:r>
        <w:t xml:space="preserve"> and not included in the above global figures, highlighting that OSF runs a substantial U.S. programs division in parallel to its international work.</w:t>
      </w:r>
    </w:p>
    <w:p w14:paraId="23924FD8" w14:textId="77777777" w:rsidR="00406E3B" w:rsidRDefault="00406E3B" w:rsidP="00406E3B">
      <w:pPr>
        <w:pStyle w:val="BodyText"/>
      </w:pPr>
      <w:r>
        <w:rPr>
          <w:b/>
          <w:bCs/>
        </w:rPr>
        <w:t>Regional emphases often align with shifts in the geopolitical landscape.</w:t>
      </w:r>
      <w:r>
        <w:t xml:space="preserve"> In its early decades, OSF concentrated on post-communist Eastern Europe and the former Soviet Union, funneling resources into open media, civil society, and education as those countries transitioned in the 1990s</w:t>
      </w:r>
      <w:hyperlink r:id="rId210" w:anchor=":~:text=Eastern%20Europe%20provides%20an%20ideal,and%20the%20pooled%20funds%20were">
        <w:r>
          <w:rPr>
            <w:rStyle w:val="Hyperlink"/>
          </w:rPr>
          <w:t>[24]</w:t>
        </w:r>
      </w:hyperlink>
      <w:hyperlink r:id="rId211" w:anchor=":~:text=financial%20and%20technical%20resources%20that,environment%20for%20civil%20society%2C%20in">
        <w:r>
          <w:rPr>
            <w:rStyle w:val="Hyperlink"/>
          </w:rPr>
          <w:t>[25]</w:t>
        </w:r>
      </w:hyperlink>
      <w:r>
        <w:t xml:space="preserve">. By the 2010s, with many Eastern European programs maturing (and encountering headwinds from nationalist governments), OSF broadened its focus to the </w:t>
      </w:r>
      <w:r>
        <w:rPr>
          <w:b/>
          <w:bCs/>
        </w:rPr>
        <w:t>global South</w:t>
      </w:r>
      <w:r>
        <w:t>, including Africa, Southeast Asia, and Latin America, where it saw emerging needs in areas like accountability, public health, and rule of law</w:t>
      </w:r>
      <w:hyperlink r:id="rId212" w:anchor=":~:text=In%202023%2C%20Open%20Society%20Foundations%E2%80%99,seekers%20in%20donor%20countries">
        <w:r>
          <w:rPr>
            <w:rStyle w:val="Hyperlink"/>
          </w:rPr>
          <w:t>[26]</w:t>
        </w:r>
      </w:hyperlink>
      <w:hyperlink r:id="rId213" w:anchor=":~:text=In%202023%2C%208.5,notably%20Brazil%2C%20Colombia%2C%20and%20Afghanistan">
        <w:r>
          <w:rPr>
            <w:rStyle w:val="Hyperlink"/>
          </w:rPr>
          <w:t>[27]</w:t>
        </w:r>
      </w:hyperlink>
      <w:r>
        <w:t>. The data for 2023 indeed showed OSF’s largest new commitments were in Latin America/Caribbean and Africa</w:t>
      </w:r>
      <w:hyperlink r:id="rId214" w:anchor=":~:text=In%202023%2C%20Open%20Society%20Foundations%E2%80%99,seekers%20in%20donor%20countries">
        <w:r>
          <w:rPr>
            <w:rStyle w:val="Hyperlink"/>
          </w:rPr>
          <w:t>[26]</w:t>
        </w:r>
      </w:hyperlink>
      <w:hyperlink r:id="rId215" w:anchor=":~:text=Latin%20America%2C%20the%20Caribbean%20and,4">
        <w:r>
          <w:rPr>
            <w:rStyle w:val="Hyperlink"/>
          </w:rPr>
          <w:t>[28]</w:t>
        </w:r>
      </w:hyperlink>
      <w:r>
        <w:t xml:space="preserve">, even though a large portion of funding remained “unspecified by region” because it served multi-country efforts. A specific example of regional pivot is OSF’s increasing support in </w:t>
      </w:r>
      <w:r>
        <w:rPr>
          <w:b/>
          <w:bCs/>
        </w:rPr>
        <w:t>Central America and the Caribbean</w:t>
      </w:r>
      <w:r>
        <w:t xml:space="preserve"> to address governance and humanitarian issues, and in </w:t>
      </w:r>
      <w:r>
        <w:rPr>
          <w:b/>
          <w:bCs/>
        </w:rPr>
        <w:t>Africa</w:t>
      </w:r>
      <w:r>
        <w:t xml:space="preserve"> to bolster public health and human rights advocacy</w:t>
      </w:r>
      <w:hyperlink r:id="rId216" w:anchor=":~:text=In%202023%2C%20Open%20Society%20Foundations%E2%80%99,seekers%20in%20donor%20countries">
        <w:r>
          <w:rPr>
            <w:rStyle w:val="Hyperlink"/>
          </w:rPr>
          <w:t>[26]</w:t>
        </w:r>
      </w:hyperlink>
      <w:r>
        <w:t xml:space="preserve">. However, external constraints have also shaped regional strategy: </w:t>
      </w:r>
      <w:r>
        <w:rPr>
          <w:b/>
          <w:bCs/>
        </w:rPr>
        <w:t>Russia “banned” OSF entirely in 2015</w:t>
      </w:r>
      <w:r>
        <w:t>, declaring its activities a threat to state security</w:t>
      </w:r>
      <w:hyperlink r:id="rId217" w:anchor=":~:text=In%20November%202015%2C%20Russia%20,47">
        <w:r>
          <w:rPr>
            <w:rStyle w:val="Hyperlink"/>
          </w:rPr>
          <w:t>[29]</w:t>
        </w:r>
      </w:hyperlink>
      <w:r>
        <w:t xml:space="preserve">, and countries like </w:t>
      </w:r>
      <w:r>
        <w:rPr>
          <w:b/>
          <w:bCs/>
        </w:rPr>
        <w:t>India and Turkey imposed restrictions</w:t>
      </w:r>
      <w:r>
        <w:t xml:space="preserve"> that forced OSF to wind down local operations</w:t>
      </w:r>
      <w:hyperlink r:id="rId218" w:anchor=":~:text=In%202016%2C%20India%27s%20Ministry%20of,48">
        <w:r>
          <w:rPr>
            <w:rStyle w:val="Hyperlink"/>
          </w:rPr>
          <w:t>[30]</w:t>
        </w:r>
      </w:hyperlink>
      <w:hyperlink r:id="rId219" w:anchor=":~:text=In%20May%202018%2C%20Open%20Society,53">
        <w:r>
          <w:rPr>
            <w:rStyle w:val="Hyperlink"/>
          </w:rPr>
          <w:t>[21]</w:t>
        </w:r>
      </w:hyperlink>
      <w:r>
        <w:t>. These closures undoubtedly redirected funds elsewhere.</w:t>
      </w:r>
    </w:p>
    <w:p w14:paraId="3F0DCA91" w14:textId="77777777" w:rsidR="00406E3B" w:rsidRDefault="00406E3B" w:rsidP="00406E3B">
      <w:pPr>
        <w:pStyle w:val="BodyText"/>
      </w:pPr>
      <w:r>
        <w:lastRenderedPageBreak/>
        <w:t xml:space="preserve">Other major foundations exhibit different thematic priorities. For instance, the </w:t>
      </w:r>
      <w:r>
        <w:rPr>
          <w:b/>
          <w:bCs/>
        </w:rPr>
        <w:t>Gates Foundation</w:t>
      </w:r>
      <w:r>
        <w:t xml:space="preserve"> spends the bulk of its budget on global health and development (vaccines, disease eradication, agricultural productivity) and education in the U.S., whereas a foundation like </w:t>
      </w:r>
      <w:r>
        <w:rPr>
          <w:b/>
          <w:bCs/>
        </w:rPr>
        <w:t>Ford Foundation</w:t>
      </w:r>
      <w:r>
        <w:t xml:space="preserve"> has historically emphasized civil rights, poverty reduction, and arts and culture. But across the philanthropic sector, one can observe some common trends in recent years: </w:t>
      </w:r>
      <w:r>
        <w:rPr>
          <w:b/>
          <w:bCs/>
        </w:rPr>
        <w:t>newer issues such as climate change, gender equity, and technology governance have risen on the agenda</w:t>
      </w:r>
      <w:r>
        <w:t xml:space="preserve">, while traditional focus areas like basic healthcare and education remain staples. Many grantmakers now adopt an </w:t>
      </w:r>
      <w:r>
        <w:rPr>
          <w:b/>
          <w:bCs/>
        </w:rPr>
        <w:t>“intersectional” lens</w:t>
      </w:r>
      <w:r>
        <w:t>, funding projects that address multiple issues (e.g. a program that empowers women and girls through education, or a climate justice initiative linking environmental and racial equity). Foundations also respond to crises – for example, OSF and others directed emergency grants for refugee relief during the Syrian civil war and, more recently, to support Ukraine after the 2022 Russian invasion</w:t>
      </w:r>
      <w:hyperlink r:id="rId220" w:anchor=":~:text=Support%20to%20Ukraine">
        <w:r>
          <w:rPr>
            <w:rStyle w:val="Hyperlink"/>
          </w:rPr>
          <w:t>[31]</w:t>
        </w:r>
      </w:hyperlink>
      <w:hyperlink r:id="rId221" w:anchor=":~:text=In%202023%2C%20the%20Open%20Society,scale%20invasion">
        <w:r>
          <w:rPr>
            <w:rStyle w:val="Hyperlink"/>
          </w:rPr>
          <w:t>[32]</w:t>
        </w:r>
      </w:hyperlink>
      <w:r>
        <w:t xml:space="preserve">. These reactive grants can cause year-to-year fluctuations in thematic budgets. On the whole, though, each foundation has a </w:t>
      </w:r>
      <w:r>
        <w:rPr>
          <w:b/>
          <w:bCs/>
        </w:rPr>
        <w:t>strategic grant portfolio</w:t>
      </w:r>
      <w:r>
        <w:t xml:space="preserve"> that reflects its mission and the priorities of its funders.</w:t>
      </w:r>
    </w:p>
    <w:p w14:paraId="0F20DFE4" w14:textId="77777777" w:rsidR="00406E3B" w:rsidRDefault="00406E3B" w:rsidP="00406E3B">
      <w:pPr>
        <w:pStyle w:val="Heading3"/>
      </w:pPr>
      <w:bookmarkStart w:id="24" w:name="notable-recipients-and-grant-scales"/>
      <w:bookmarkEnd w:id="23"/>
      <w:r>
        <w:t>Notable Recipients and Grant Scales</w:t>
      </w:r>
    </w:p>
    <w:p w14:paraId="7B39DEAE" w14:textId="77777777" w:rsidR="00406E3B" w:rsidRDefault="00406E3B" w:rsidP="00406E3B">
      <w:pPr>
        <w:pStyle w:val="FirstParagraph"/>
      </w:pPr>
      <w:r>
        <w:t xml:space="preserve">Behind every broad category are the </w:t>
      </w:r>
      <w:r>
        <w:rPr>
          <w:b/>
          <w:bCs/>
        </w:rPr>
        <w:t>specific organizations and projects</w:t>
      </w:r>
      <w:r>
        <w:t xml:space="preserve"> that receive funding. Often a relatively small number of grantees account for a large share of the dollars in a grant portfolio. In the case of OSF, two recipients stand out far above the rest: </w:t>
      </w:r>
      <w:r>
        <w:rPr>
          <w:b/>
          <w:bCs/>
        </w:rPr>
        <w:t>Central European University (CEU)</w:t>
      </w:r>
      <w:r>
        <w:t xml:space="preserve"> and </w:t>
      </w:r>
      <w:r>
        <w:rPr>
          <w:b/>
          <w:bCs/>
        </w:rPr>
        <w:t>Bard College</w:t>
      </w:r>
      <w:r>
        <w:t xml:space="preserve">. CEU, an English-language university founded by Soros in Budapest after the Cold War, has been a flagship Open Society institution. Over 1990–2020, OSF poured hundreds of millions into CEU’s endowment, academic programs, and student scholarships. In 2019, OSF made a single </w:t>
      </w:r>
      <w:r>
        <w:rPr>
          <w:b/>
          <w:bCs/>
        </w:rPr>
        <w:t>grant of $632.5 million</w:t>
      </w:r>
      <w:r>
        <w:t xml:space="preserve"> to CEU for general support</w:t>
      </w:r>
      <w:hyperlink r:id="rId222" w:anchor=":~:text=grant%20amount%3A%20%241%20billion%20The,%E2%80%94%20Washington%20Office%20Total%20number">
        <w:r>
          <w:rPr>
            <w:rStyle w:val="Hyperlink"/>
          </w:rPr>
          <w:t>[12]</w:t>
        </w:r>
      </w:hyperlink>
      <w:hyperlink r:id="rId223" w:anchor=":~:text=this%20institution%20has%20received%20amounted,4">
        <w:r>
          <w:rPr>
            <w:rStyle w:val="Hyperlink"/>
          </w:rPr>
          <w:t>[13]</w:t>
        </w:r>
      </w:hyperlink>
      <w:r>
        <w:t xml:space="preserve"> – an enormous commitment aimed at ensuring the university’s long-term survival amid political attacks from Hungary’s government. By 2023, CEU had received a cumulative </w:t>
      </w:r>
      <w:r>
        <w:rPr>
          <w:b/>
          <w:bCs/>
        </w:rPr>
        <w:t>$1 billion in 76 grants</w:t>
      </w:r>
      <w:r>
        <w:t xml:space="preserve"> from OSF, making it the top grantee in OSF’s international portfolio</w:t>
      </w:r>
      <w:hyperlink r:id="rId224" w:anchor=":~:text=supporting%20the%20U,of%20received%20grants%3A%2064%20Total">
        <w:r>
          <w:rPr>
            <w:rStyle w:val="Hyperlink"/>
          </w:rPr>
          <w:t>[33]</w:t>
        </w:r>
      </w:hyperlink>
      <w:hyperlink r:id="rId225" w:anchor=":~:text=grant%20amount%3A%20%241%20billion%20The,%E2%80%94%20Washington%20Office%20Total%20number">
        <w:r>
          <w:rPr>
            <w:rStyle w:val="Hyperlink"/>
          </w:rPr>
          <w:t>[12]</w:t>
        </w:r>
      </w:hyperlink>
      <w:r>
        <w:t xml:space="preserve">. Bard College, a liberal arts college in New York, is another beneficiary of Soros’s largesse. Bard partnered with OSF to launch the Open Society University Network, and Soros personally announced a </w:t>
      </w:r>
      <w:r>
        <w:rPr>
          <w:b/>
          <w:bCs/>
        </w:rPr>
        <w:t>$500 million pledge to Bard in 2020</w:t>
      </w:r>
      <w:r>
        <w:t xml:space="preserve">. OSF’s grants to Bard total about </w:t>
      </w:r>
      <w:r>
        <w:rPr>
          <w:b/>
          <w:bCs/>
        </w:rPr>
        <w:t>$769 million</w:t>
      </w:r>
      <w:r>
        <w:t xml:space="preserve"> (64 grants)</w:t>
      </w:r>
      <w:hyperlink r:id="rId226" w:anchor=":~:text=provide%20general%20support,Institute%20for%20New%20Economic">
        <w:r>
          <w:rPr>
            <w:rStyle w:val="Hyperlink"/>
          </w:rPr>
          <w:t>[34]</w:t>
        </w:r>
      </w:hyperlink>
      <w:r>
        <w:t>, including a half-billion-dollar award to bolster Bard’s educational and civic engagement work</w:t>
      </w:r>
      <w:hyperlink r:id="rId227" w:anchor=":~:text=provide%20general%20support,Institute%20for%20New%20Economic">
        <w:r>
          <w:rPr>
            <w:rStyle w:val="Hyperlink"/>
          </w:rPr>
          <w:t>[34]</w:t>
        </w:r>
      </w:hyperlink>
      <w:hyperlink r:id="rId228" w:anchor=":~:text=organizations%20funded%20by%20OSF%20didn%E2%80%99t,of%20received%20grants%3A%2064%20Total">
        <w:r>
          <w:rPr>
            <w:rStyle w:val="Hyperlink"/>
          </w:rPr>
          <w:t>[35]</w:t>
        </w:r>
      </w:hyperlink>
      <w:r>
        <w:t xml:space="preserve">. These two cases underscore how a foundation can effectively </w:t>
      </w:r>
      <w:r>
        <w:rPr>
          <w:b/>
          <w:bCs/>
        </w:rPr>
        <w:t>create or sustain an institution via mega-grants</w:t>
      </w:r>
      <w:r>
        <w:t xml:space="preserve"> – akin to venture capital for academia. The scale is such that OSF’s “education” spending is dominated by these university investments.</w:t>
      </w:r>
    </w:p>
    <w:p w14:paraId="7620A388" w14:textId="77777777" w:rsidR="00406E3B" w:rsidRDefault="00406E3B" w:rsidP="00406E3B">
      <w:pPr>
        <w:pStyle w:val="BodyText"/>
      </w:pPr>
      <w:r>
        <w:t xml:space="preserve">Outside of those unique institutions, OSF’s next biggest recipients reflect its advocacy and global development aims. The </w:t>
      </w:r>
      <w:r>
        <w:rPr>
          <w:b/>
          <w:bCs/>
        </w:rPr>
        <w:t>International Crisis Group</w:t>
      </w:r>
      <w:r>
        <w:t xml:space="preserve">, a prominent conflict-prevention NGO, has received about </w:t>
      </w:r>
      <w:r>
        <w:rPr>
          <w:b/>
          <w:bCs/>
        </w:rPr>
        <w:t>$44.5 million</w:t>
      </w:r>
      <w:r>
        <w:t xml:space="preserve"> from OSF (including a $28 million grant in 2022 for core support)</w:t>
      </w:r>
      <w:hyperlink r:id="rId229" w:anchor=":~:text=grant%20received%20amounted%20to%20%24500,in%202021%20for%20general%20support">
        <w:r>
          <w:rPr>
            <w:rStyle w:val="Hyperlink"/>
          </w:rPr>
          <w:t>[36]</w:t>
        </w:r>
      </w:hyperlink>
      <w:hyperlink r:id="rId230" w:anchor=":~:text=of%20received%20grants%3A%2012%20Total,grants%3A%207%20Total%20grant%20amount">
        <w:r>
          <w:rPr>
            <w:rStyle w:val="Hyperlink"/>
          </w:rPr>
          <w:t>[37]</w:t>
        </w:r>
      </w:hyperlink>
      <w:r>
        <w:t xml:space="preserve">. The </w:t>
      </w:r>
      <w:r>
        <w:rPr>
          <w:b/>
          <w:bCs/>
        </w:rPr>
        <w:t>Institute for New Economic Thinking</w:t>
      </w:r>
      <w:r>
        <w:t xml:space="preserve">, a think tank promoting financial reform and economic research, was seeded with </w:t>
      </w:r>
      <w:r>
        <w:rPr>
          <w:b/>
          <w:bCs/>
        </w:rPr>
        <w:t>$28.6 million</w:t>
      </w:r>
      <w:r>
        <w:t xml:space="preserve"> from OSF (across just two large grants)</w:t>
      </w:r>
      <w:hyperlink r:id="rId231" w:anchor=":~:text=grants%20that%20total%20%2444,It%20received%20seven%20grants%20totaling">
        <w:r>
          <w:rPr>
            <w:rStyle w:val="Hyperlink"/>
          </w:rPr>
          <w:t>[38]</w:t>
        </w:r>
      </w:hyperlink>
      <w:hyperlink r:id="rId232" w:anchor=":~:text=Thinking%20Total%20number%20of%20received,grant%20for%20general%20support%20toward">
        <w:r>
          <w:rPr>
            <w:rStyle w:val="Hyperlink"/>
          </w:rPr>
          <w:t>[39]</w:t>
        </w:r>
      </w:hyperlink>
      <w:r>
        <w:t xml:space="preserve">. The </w:t>
      </w:r>
      <w:r>
        <w:rPr>
          <w:b/>
          <w:bCs/>
        </w:rPr>
        <w:t>Roma Education Fund</w:t>
      </w:r>
      <w:r>
        <w:t xml:space="preserve">, focused on </w:t>
      </w:r>
      <w:r>
        <w:lastRenderedPageBreak/>
        <w:t xml:space="preserve">reducing educational disparities for Europe’s Roma minority, received roughly </w:t>
      </w:r>
      <w:r>
        <w:rPr>
          <w:b/>
          <w:bCs/>
        </w:rPr>
        <w:t>$21.8 million</w:t>
      </w:r>
      <w:r>
        <w:t xml:space="preserve"> in grants</w:t>
      </w:r>
      <w:hyperlink r:id="rId233" w:anchor=":~:text=economic%20recovery%2C%20was%20awarded%20two,providing%20advice%20on%20natural%20resources">
        <w:r>
          <w:rPr>
            <w:rStyle w:val="Hyperlink"/>
          </w:rPr>
          <w:t>[40]</w:t>
        </w:r>
      </w:hyperlink>
      <w:hyperlink r:id="rId234" w:anchor=":~:text=Roma%20Education%20Fund%20Total%20number,European%20Council%20on%20Foreign">
        <w:r>
          <w:rPr>
            <w:rStyle w:val="Hyperlink"/>
          </w:rPr>
          <w:t>[41]</w:t>
        </w:r>
      </w:hyperlink>
      <w:r>
        <w:t xml:space="preserve">. Similarly, the </w:t>
      </w:r>
      <w:r>
        <w:rPr>
          <w:b/>
          <w:bCs/>
        </w:rPr>
        <w:t>Natural Resource Governance Institute</w:t>
      </w:r>
      <w:r>
        <w:t xml:space="preserve"> (which advises countries on managing oil, gas, and mining revenues transparently) got about </w:t>
      </w:r>
      <w:r>
        <w:rPr>
          <w:b/>
          <w:bCs/>
        </w:rPr>
        <w:t>$21.6 million</w:t>
      </w:r>
      <w:hyperlink r:id="rId235" w:anchor=":~:text=educational%20gaps%20between%20Roma%20and,grants%20worth%20a%20total%20of">
        <w:r>
          <w:rPr>
            <w:rStyle w:val="Hyperlink"/>
          </w:rPr>
          <w:t>[42]</w:t>
        </w:r>
      </w:hyperlink>
      <w:r>
        <w:t xml:space="preserve">. Other notable international grantees include the </w:t>
      </w:r>
      <w:r>
        <w:rPr>
          <w:b/>
          <w:bCs/>
        </w:rPr>
        <w:t>European Council on Foreign Relations</w:t>
      </w:r>
      <w:r>
        <w:t xml:space="preserve"> (a pan-European think tank) with $16.6 million</w:t>
      </w:r>
      <w:hyperlink r:id="rId236" w:anchor=":~:text=Institute%2C%20an%20organization%20dedicated%20to,biodiversity%20and%20protecting%20the%20interests">
        <w:r>
          <w:rPr>
            <w:rStyle w:val="Hyperlink"/>
          </w:rPr>
          <w:t>[43]</w:t>
        </w:r>
      </w:hyperlink>
      <w:r>
        <w:t xml:space="preserve">, and </w:t>
      </w:r>
      <w:r>
        <w:rPr>
          <w:b/>
          <w:bCs/>
        </w:rPr>
        <w:t>Global Witness</w:t>
      </w:r>
      <w:r>
        <w:t xml:space="preserve"> (an anti-corruption and environmental watchdog) with $15 million</w:t>
      </w:r>
      <w:hyperlink r:id="rId237" w:anchor=":~:text=highest%20grant%20was%20given%20in,Obama%20Foundation%20Total%20number%20of">
        <w:r>
          <w:rPr>
            <w:rStyle w:val="Hyperlink"/>
          </w:rPr>
          <w:t>[44]</w:t>
        </w:r>
      </w:hyperlink>
      <w:r>
        <w:t xml:space="preserve">. Interestingly, OSF even gave </w:t>
      </w:r>
      <w:r>
        <w:rPr>
          <w:b/>
          <w:bCs/>
        </w:rPr>
        <w:t>$15 million to the Obama Foundation</w:t>
      </w:r>
      <w:r>
        <w:t xml:space="preserve"> in 2020 to help expand the former U.S. president’s international leadership development programs</w:t>
      </w:r>
      <w:hyperlink r:id="rId238" w:anchor=":~:text=received%20grants%3A%205%20Total%20grant,5">
        <w:r>
          <w:rPr>
            <w:rStyle w:val="Hyperlink"/>
          </w:rPr>
          <w:t>[45]</w:t>
        </w:r>
      </w:hyperlink>
      <w:r>
        <w:t xml:space="preserve">. This mix shows OSF’s strategy of funding both </w:t>
      </w:r>
      <w:r>
        <w:rPr>
          <w:b/>
          <w:bCs/>
        </w:rPr>
        <w:t>grassroots-level change and high-level policy influence</w:t>
      </w:r>
      <w:r>
        <w:t>: from local Roma community projects to elite foreign policy circles and everything in between.</w:t>
      </w:r>
    </w:p>
    <w:p w14:paraId="5D2E8F04" w14:textId="77777777" w:rsidR="00406E3B" w:rsidRDefault="00406E3B" w:rsidP="00406E3B">
      <w:pPr>
        <w:pStyle w:val="BodyText"/>
      </w:pPr>
      <w:r>
        <w:t xml:space="preserve">In the United States, OSF’s grantmaking (through its U.S. Programs) has supported many </w:t>
      </w:r>
      <w:r>
        <w:rPr>
          <w:b/>
          <w:bCs/>
        </w:rPr>
        <w:t>major progressive organizations</w:t>
      </w:r>
      <w:r>
        <w:t xml:space="preserve">. Public filings reveal multi-million-dollar gifts to the </w:t>
      </w:r>
      <w:r>
        <w:rPr>
          <w:b/>
          <w:bCs/>
        </w:rPr>
        <w:t>American Civil Liberties Union (ACLU)</w:t>
      </w:r>
      <w:r>
        <w:t xml:space="preserve">, </w:t>
      </w:r>
      <w:r>
        <w:rPr>
          <w:b/>
          <w:bCs/>
        </w:rPr>
        <w:t>Planned Parenthood</w:t>
      </w:r>
      <w:r>
        <w:t xml:space="preserve">, the </w:t>
      </w:r>
      <w:r>
        <w:rPr>
          <w:b/>
          <w:bCs/>
        </w:rPr>
        <w:t>Brennan Center for Justice</w:t>
      </w:r>
      <w:r>
        <w:t xml:space="preserve">, the </w:t>
      </w:r>
      <w:r>
        <w:rPr>
          <w:b/>
          <w:bCs/>
        </w:rPr>
        <w:t>NAACP Legal Defense Fund</w:t>
      </w:r>
      <w:r>
        <w:t>, and similar groups working on civil liberties, reproductive rights, and racial justice</w:t>
      </w:r>
      <w:hyperlink r:id="rId239" w:anchor=":~:text=In%20the%20United%20States%2C%20OSF%E2%80%99s,enacting%20liberal%20comprehensive%20immigration%20reform">
        <w:r>
          <w:rPr>
            <w:rStyle w:val="Hyperlink"/>
          </w:rPr>
          <w:t>[46]</w:t>
        </w:r>
      </w:hyperlink>
      <w:r>
        <w:t>. OSF’s agenda in the U.S. has included pushing for immigration reform, reducing mass incarceration, and promoting democratic participation</w:t>
      </w:r>
      <w:hyperlink r:id="rId240" w:anchor=":~:text=OSF%E2%80%99s%20U,5">
        <w:r>
          <w:rPr>
            <w:rStyle w:val="Hyperlink"/>
          </w:rPr>
          <w:t>[47]</w:t>
        </w:r>
      </w:hyperlink>
      <w:r>
        <w:t xml:space="preserve">. To advance these goals, it has funded an array of think tanks, litigation groups, community organizers, and advocacy coalitions. For example, OSF provided a </w:t>
      </w:r>
      <w:r>
        <w:rPr>
          <w:b/>
          <w:bCs/>
        </w:rPr>
        <w:t>$50 million grant to the ACLU</w:t>
      </w:r>
      <w:r>
        <w:t xml:space="preserve"> in 2014 to support its campaign against mass incarceration</w:t>
      </w:r>
      <w:hyperlink r:id="rId241" w:anchor=":~:text=spending,open%20society%20foundations%20to%20end">
        <w:r>
          <w:rPr>
            <w:rStyle w:val="Hyperlink"/>
          </w:rPr>
          <w:t>[48]</w:t>
        </w:r>
      </w:hyperlink>
      <w:r>
        <w:t xml:space="preserve">. It also was reported to be part of a consortium of liberal foundations that collectively pledged </w:t>
      </w:r>
      <w:r>
        <w:rPr>
          <w:b/>
          <w:bCs/>
        </w:rPr>
        <w:t>$100 million to the Movement for Black Lives</w:t>
      </w:r>
      <w:r>
        <w:t xml:space="preserve"> and affiliated racial justice groups around 2016</w:t>
      </w:r>
      <w:hyperlink r:id="rId242" w:anchor=":~:text=match%20at%20L1119%2023,foun">
        <w:r>
          <w:rPr>
            <w:rStyle w:val="Hyperlink"/>
          </w:rPr>
          <w:t>[49]</w:t>
        </w:r>
      </w:hyperlink>
      <w:r>
        <w:t xml:space="preserve">. (Some media mischaracterized this as “Soros giving $100 million to Black Lives Matter,” conflating the broader coalition with Soros alone – a claim OSF refuted as an overstatement of its direct contributions.) What is clear is that </w:t>
      </w:r>
      <w:r>
        <w:rPr>
          <w:b/>
          <w:bCs/>
        </w:rPr>
        <w:t>large grants in the tens of millions have become routine for big foundations</w:t>
      </w:r>
      <w:r>
        <w:t xml:space="preserve"> when targeting structural change. On the conservative side, philanthropies and donor networks likewise make hefty grants: for instance, the Bradley Foundation and others have long bankrolled think tanks like the Heritage Foundation and advocacy groups like the Federalist Society with multi-million-dollar annual funding. </w:t>
      </w:r>
      <w:r>
        <w:rPr>
          <w:b/>
          <w:bCs/>
        </w:rPr>
        <w:t>DonorsTrust</w:t>
      </w:r>
      <w:r>
        <w:t xml:space="preserve">, a donor-advised fund known as the “dark money ATM of the right,” injected over </w:t>
      </w:r>
      <w:r>
        <w:rPr>
          <w:b/>
          <w:bCs/>
        </w:rPr>
        <w:t>$150 million into conservative and libertarian organizations in 2023 alone</w:t>
      </w:r>
      <w:hyperlink r:id="rId243" w:anchor=":~:text=DonorsTrust%20%E2%80%94%20the%20donor%20conduit,CMD">
        <w:r>
          <w:rPr>
            <w:rStyle w:val="Hyperlink"/>
          </w:rPr>
          <w:t>[50]</w:t>
        </w:r>
      </w:hyperlink>
      <w:hyperlink r:id="rId244" w:anchor=":~:text=The%20donor%20advised%20fund%20%E2%80%94,2022%2C%20according%20to%20CMD%E2%80%99s%20calculations">
        <w:r>
          <w:rPr>
            <w:rStyle w:val="Hyperlink"/>
          </w:rPr>
          <w:t>[51]</w:t>
        </w:r>
      </w:hyperlink>
      <w:r>
        <w:t xml:space="preserve">, supporting think tanks, litigation centers, and campus groups. Meanwhile, </w:t>
      </w:r>
      <w:r>
        <w:rPr>
          <w:b/>
          <w:bCs/>
        </w:rPr>
        <w:t>Marble Freedom Trust</w:t>
      </w:r>
      <w:r>
        <w:t xml:space="preserve"> (Leonard Leo’s new entity funded by the $1.6 billion gift) can disburse tens of millions per year to influence judicial nominations and policy battles, with essentially no public disclosure of its grantees beyond legally required tax filings</w:t>
      </w:r>
      <w:hyperlink r:id="rId245" w:anchor=":~:text=The%20Marble%20Freedom%20Trust%20is,religious%20institutions%20and%20organizing%20efforts">
        <w:r>
          <w:rPr>
            <w:rStyle w:val="Hyperlink"/>
          </w:rPr>
          <w:t>[52]</w:t>
        </w:r>
      </w:hyperlink>
      <w:hyperlink r:id="rId246" w:anchor=":~:text=dollars%20at%20his%20disposal%20to,%E2%80%9D">
        <w:r>
          <w:rPr>
            <w:rStyle w:val="Hyperlink"/>
          </w:rPr>
          <w:t>[53]</w:t>
        </w:r>
      </w:hyperlink>
      <w:r>
        <w:t xml:space="preserve">. Across the ideological spectrum, then, we see </w:t>
      </w:r>
      <w:r>
        <w:rPr>
          <w:b/>
          <w:bCs/>
        </w:rPr>
        <w:t>dozens of organizations now operating at a scale that rivals small governments</w:t>
      </w:r>
      <w:r>
        <w:t>, thanks to infusions of philanthropic capital.</w:t>
      </w:r>
    </w:p>
    <w:p w14:paraId="5E317AF9" w14:textId="77777777" w:rsidR="00406E3B" w:rsidRDefault="00406E3B" w:rsidP="00406E3B">
      <w:pPr>
        <w:pStyle w:val="BodyText"/>
      </w:pPr>
      <w:r>
        <w:t xml:space="preserve">To put this in perspective, consider that OSF has spent about </w:t>
      </w:r>
      <w:r>
        <w:rPr>
          <w:b/>
          <w:bCs/>
        </w:rPr>
        <w:t>$23 billion in total since its founding in 1993</w:t>
      </w:r>
      <w:hyperlink r:id="rId247" w:anchor=":~:text=closing%20its%20European%20office%20in,8">
        <w:r>
          <w:rPr>
            <w:rStyle w:val="Hyperlink"/>
          </w:rPr>
          <w:t>[54]</w:t>
        </w:r>
      </w:hyperlink>
      <w:hyperlink r:id="rId248" w:anchor=":~:text=response%20to%20legislation%20passed%20by,8">
        <w:r>
          <w:rPr>
            <w:rStyle w:val="Hyperlink"/>
          </w:rPr>
          <w:t>[55]</w:t>
        </w:r>
      </w:hyperlink>
      <w:r>
        <w:t xml:space="preserve">. Much of that has gone to </w:t>
      </w:r>
      <w:r>
        <w:rPr>
          <w:b/>
          <w:bCs/>
        </w:rPr>
        <w:t>tens of thousands of small grants</w:t>
      </w:r>
      <w:r>
        <w:t xml:space="preserve"> under $100,000 each – the lifeblood of grassroots NGOs and community projects around the world. But at the same time, a substantial portion has been concentrated in a </w:t>
      </w:r>
      <w:r>
        <w:rPr>
          <w:b/>
          <w:bCs/>
        </w:rPr>
        <w:t>few big bets</w:t>
      </w:r>
      <w:r>
        <w:t xml:space="preserve">: establishing universities, funding global advocacy groups, and supporting major U.S. </w:t>
      </w:r>
      <w:r>
        <w:lastRenderedPageBreak/>
        <w:t xml:space="preserve">civil rights organizations. This dual approach – </w:t>
      </w:r>
      <w:r>
        <w:rPr>
          <w:b/>
          <w:bCs/>
        </w:rPr>
        <w:t>broad support at the base and deep investment at the top</w:t>
      </w:r>
      <w:r>
        <w:t xml:space="preserve"> – is common among large grantmakers. They maintain portfolios that include everything from micro-grants to local activists up to multi-year general support for large institutions. The risk is that very large grants can draw scrutiny: for example, Soros’s support for Human Rights Watch (a $100 million challenge grant over ten years) was publicized as the largest single donation HRW had ever received</w:t>
      </w:r>
      <w:hyperlink r:id="rId249" w:anchor=":~:text=The%20billionaire%20financier%20George%20Soros,its%20operations%20around%20the%20world">
        <w:r>
          <w:rPr>
            <w:rStyle w:val="Hyperlink"/>
          </w:rPr>
          <w:t>[56]</w:t>
        </w:r>
      </w:hyperlink>
      <w:hyperlink r:id="rId250" w:anchor=":~:text=Human%20Rights%20Watch%20,boast%20a%20truly%20global%20reach">
        <w:r>
          <w:rPr>
            <w:rStyle w:val="Hyperlink"/>
          </w:rPr>
          <w:t>[57]</w:t>
        </w:r>
      </w:hyperlink>
      <w:r>
        <w:t xml:space="preserve">. While welcomed by the organization, it prompted debate about private donors’ influence on NGOs’ agendas. Similarly, when foundations fund a significant share of an organization’s budget, questions arise about </w:t>
      </w:r>
      <w:r>
        <w:rPr>
          <w:b/>
          <w:bCs/>
        </w:rPr>
        <w:t>autonomy and alignment</w:t>
      </w:r>
      <w:r>
        <w:t xml:space="preserve"> – does the grantee shape its work to please the funder? Foundations typically mitigate this by giving </w:t>
      </w:r>
      <w:r>
        <w:rPr>
          <w:b/>
          <w:bCs/>
        </w:rPr>
        <w:t>unrestricted support</w:t>
      </w:r>
      <w:r>
        <w:t xml:space="preserve"> (letting the recipient decide how to use the funds) and by diversifying the pool of grantees to avoid picking single “winners” to champion. Nonetheless, the sheer scale of some grants undoubtedly steers the development of entire fields. For instance, large-scale funding from Ford, MacArthur, and Open Society into criminal justice reform over the past decade helped transform that issue from the fringe to mainstream, enabling advocates to pilot programs and build evidence that influenced policy. Money, even given with no strings attached, has a directional force in the nonprofit ecosystem.</w:t>
      </w:r>
    </w:p>
    <w:p w14:paraId="2B47793A" w14:textId="77777777" w:rsidR="00406E3B" w:rsidRDefault="00406E3B" w:rsidP="00406E3B">
      <w:pPr>
        <w:pStyle w:val="Heading3"/>
      </w:pPr>
      <w:bookmarkStart w:id="25" w:name="Xa1bc154ece9e2175881baeaaa01c31ccc058e9f"/>
      <w:bookmarkEnd w:id="24"/>
      <w:r>
        <w:t>Regranting and Donor-Advised Funds: Following the Chain</w:t>
      </w:r>
    </w:p>
    <w:p w14:paraId="70026695" w14:textId="77777777" w:rsidR="00406E3B" w:rsidRDefault="00406E3B" w:rsidP="00406E3B">
      <w:pPr>
        <w:pStyle w:val="FirstParagraph"/>
      </w:pPr>
      <w:r>
        <w:t xml:space="preserve">Raw funding amounts tell only part of the story. Equally important is </w:t>
      </w:r>
      <w:r>
        <w:rPr>
          <w:b/>
          <w:bCs/>
        </w:rPr>
        <w:t>how money moves</w:t>
      </w:r>
      <w:r>
        <w:t xml:space="preserve"> from funders to final beneficiaries. In modern philanthropy, the path is often indirect. Donors frequently route money through </w:t>
      </w:r>
      <w:r>
        <w:rPr>
          <w:b/>
          <w:bCs/>
        </w:rPr>
        <w:t>intermediary organizations</w:t>
      </w:r>
      <w:r>
        <w:t xml:space="preserve"> – whether for convenience, expertise, or anonymity. Two key mechanisms here are </w:t>
      </w:r>
      <w:r>
        <w:rPr>
          <w:b/>
          <w:bCs/>
        </w:rPr>
        <w:t>regranting funds</w:t>
      </w:r>
      <w:r>
        <w:t xml:space="preserve"> and </w:t>
      </w:r>
      <w:r>
        <w:rPr>
          <w:b/>
          <w:bCs/>
        </w:rPr>
        <w:t>donor-advised funds (DAFs)</w:t>
      </w:r>
      <w:r>
        <w:t>, which function as hubs in the grantmaking network. These entities receive money from donors and then re-grant it out to multiple organizations or projects, effectively acting as middlemen.</w:t>
      </w:r>
    </w:p>
    <w:p w14:paraId="27264B08" w14:textId="77777777" w:rsidR="00406E3B" w:rsidRDefault="00406E3B" w:rsidP="00406E3B">
      <w:pPr>
        <w:pStyle w:val="BodyText"/>
      </w:pPr>
      <w:r>
        <w:rPr>
          <w:b/>
          <w:bCs/>
        </w:rPr>
        <w:t>Figure 4.1: Simplified flow of philanthropic funds from donors to end recipients.</w:t>
      </w:r>
      <w:r>
        <w:t xml:space="preserve"> Donors contribute to a primary funding vehicle – often a private foundation or a donor-advised fund – which then issues grants either </w:t>
      </w:r>
      <w:r>
        <w:rPr>
          <w:b/>
          <w:bCs/>
        </w:rPr>
        <w:t>directly to nonprofit organizations</w:t>
      </w:r>
      <w:r>
        <w:t xml:space="preserve"> or via </w:t>
      </w:r>
      <w:r>
        <w:rPr>
          <w:b/>
          <w:bCs/>
        </w:rPr>
        <w:t>intermediary entities</w:t>
      </w:r>
      <w:r>
        <w:t xml:space="preserve">. In one route, a foundation may grant to a </w:t>
      </w:r>
      <w:r>
        <w:rPr>
          <w:b/>
          <w:bCs/>
        </w:rPr>
        <w:t>regranting fund (public charity)</w:t>
      </w:r>
      <w:r>
        <w:t xml:space="preserve"> that specializes in a certain issue or region; that fund in turn supports numerous local groups (sub-grantees) with the money</w:t>
      </w:r>
      <w:hyperlink r:id="rId251" w:anchor=":~:text=publicly%20report%20their%20donors%E2%80%94making%20it,Buffett%20Foundation%20to%20Planned%20Parenthood">
        <w:r>
          <w:rPr>
            <w:rStyle w:val="Hyperlink"/>
          </w:rPr>
          <w:t>[58]</w:t>
        </w:r>
      </w:hyperlink>
      <w:hyperlink r:id="rId252" w:anchor=":~:text=Why%20so%20many%20nonprofits%3F%20There,the%20money%20harder%20to%20follow">
        <w:r>
          <w:rPr>
            <w:rStyle w:val="Hyperlink"/>
          </w:rPr>
          <w:t>[59]</w:t>
        </w:r>
      </w:hyperlink>
      <w:r>
        <w:t xml:space="preserve">. In another route, the foundation might grant to a </w:t>
      </w:r>
      <w:r>
        <w:rPr>
          <w:b/>
          <w:bCs/>
        </w:rPr>
        <w:t>fiscal sponsor organization</w:t>
      </w:r>
      <w:r>
        <w:t xml:space="preserve">, which </w:t>
      </w:r>
      <w:r>
        <w:rPr>
          <w:b/>
          <w:bCs/>
        </w:rPr>
        <w:t>hosts a specific project</w:t>
      </w:r>
      <w:r>
        <w:t xml:space="preserve"> under its umbrella; the sponsor manages the project’s funds and administration</w:t>
      </w:r>
      <w:hyperlink r:id="rId253" w:anchor=":~:text=In%20a%20fiscal%20sponsorship%20agreement%2C,nearly%20%241%20billion%20in%20assets">
        <w:r>
          <w:rPr>
            <w:rStyle w:val="Hyperlink"/>
          </w:rPr>
          <w:t>[60]</w:t>
        </w:r>
      </w:hyperlink>
      <w:r>
        <w:t xml:space="preserve">. Many large foundations use a mix of these approaches, balancing direct support to established NGOs with </w:t>
      </w:r>
      <w:r>
        <w:rPr>
          <w:i/>
          <w:iCs/>
        </w:rPr>
        <w:t>indirect support</w:t>
      </w:r>
      <w:r>
        <w:t xml:space="preserve"> channeled through expert intermediaries.</w:t>
      </w:r>
    </w:p>
    <w:p w14:paraId="031930C6" w14:textId="77777777" w:rsidR="00406E3B" w:rsidRDefault="00406E3B" w:rsidP="00406E3B">
      <w:pPr>
        <w:pStyle w:val="BodyText"/>
      </w:pPr>
      <w:r>
        <w:t xml:space="preserve">One high-profile intermediary is the </w:t>
      </w:r>
      <w:r>
        <w:rPr>
          <w:b/>
          <w:bCs/>
        </w:rPr>
        <w:t>Arabella Advisors network</w:t>
      </w:r>
      <w:r>
        <w:t xml:space="preserve">, a Washington, D.C.-based philanthropy consultancy that manages several affiliated nonprofit funds. Arabella oversees four main funds – </w:t>
      </w:r>
      <w:r>
        <w:rPr>
          <w:b/>
          <w:bCs/>
        </w:rPr>
        <w:t>New Venture Fund, Windward Fund, Hopewell Fund</w:t>
      </w:r>
      <w:r>
        <w:t xml:space="preserve"> (all 501(c)(3) public charities) and the </w:t>
      </w:r>
      <w:r>
        <w:rPr>
          <w:b/>
          <w:bCs/>
        </w:rPr>
        <w:t>Sixteen Thirty Fund</w:t>
      </w:r>
      <w:r>
        <w:t xml:space="preserve"> (a 501(c)(4) social welfare organization)</w:t>
      </w:r>
      <w:hyperlink r:id="rId254" w:anchor=":~:text=largest%20nonprofit%20in%20the%20Arabella,network">
        <w:r>
          <w:rPr>
            <w:rStyle w:val="Hyperlink"/>
          </w:rPr>
          <w:t>[61]</w:t>
        </w:r>
      </w:hyperlink>
      <w:hyperlink r:id="rId255" w:anchor=":~:text=The%20Arabella%20hub%20has%20since,is%20likewise%20a%20nautical%20term">
        <w:r>
          <w:rPr>
            <w:rStyle w:val="Hyperlink"/>
          </w:rPr>
          <w:t>[62]</w:t>
        </w:r>
      </w:hyperlink>
      <w:r>
        <w:t xml:space="preserve">. Donors (including individuals and foundations) contribute to these funds, often with a general intent (e.g. “support climate action” or “expand voting </w:t>
      </w:r>
      <w:r>
        <w:lastRenderedPageBreak/>
        <w:t xml:space="preserve">access”). The funds then </w:t>
      </w:r>
      <w:r>
        <w:rPr>
          <w:b/>
          <w:bCs/>
        </w:rPr>
        <w:t>re-grant the money to specific groups or projects</w:t>
      </w:r>
      <w:r>
        <w:t xml:space="preserve"> that fit those themes. This model allows wealthy donors to </w:t>
      </w:r>
      <w:r>
        <w:rPr>
          <w:b/>
          <w:bCs/>
        </w:rPr>
        <w:t>delegate the work of vetting grantees and administering grants</w:t>
      </w:r>
      <w:r>
        <w:t xml:space="preserve"> to the Arabella-managed funds, which essentially act as large pooling vehicles. It also provides </w:t>
      </w:r>
      <w:r>
        <w:rPr>
          <w:b/>
          <w:bCs/>
        </w:rPr>
        <w:t>a layer of separation</w:t>
      </w:r>
      <w:r>
        <w:t xml:space="preserve"> between the original donor and the final recipients. As one investigative report noted, by routing contributions through an intermediary fund like New Venture Fund and then onward to the ultimate grantee, “the donor’s name is washed away” – the grant is publicly reported as coming from New Venture Fund, not the original patron</w:t>
      </w:r>
      <w:hyperlink r:id="rId256" w:anchor=":~:text=The%20IRS%20requires%20501,Buffett%20Foundation%20to%20Planned%20Parenthood">
        <w:r>
          <w:rPr>
            <w:rStyle w:val="Hyperlink"/>
          </w:rPr>
          <w:t>[63]</w:t>
        </w:r>
      </w:hyperlink>
      <w:hyperlink r:id="rId257" w:anchor=":~:text=publicly%20report%20their%20donors%E2%80%94making%20it,Buffett%20Foundation%20to%20Planned%20Parenthood">
        <w:r>
          <w:rPr>
            <w:rStyle w:val="Hyperlink"/>
          </w:rPr>
          <w:t>[58]</w:t>
        </w:r>
      </w:hyperlink>
      <w:r>
        <w:t xml:space="preserve">. In 2020 alone, the Arabella network’s main funds distributed roughly </w:t>
      </w:r>
      <w:r>
        <w:rPr>
          <w:b/>
          <w:bCs/>
        </w:rPr>
        <w:t>$896 million in grants</w:t>
      </w:r>
      <w:r>
        <w:t>, much of it to politically active nonprofits</w:t>
      </w:r>
      <w:hyperlink r:id="rId258" w:anchor=":~:text=Venture%20Fund%20grants,grant%20to%20any%20individual%20donor">
        <w:r>
          <w:rPr>
            <w:rStyle w:val="Hyperlink"/>
          </w:rPr>
          <w:t>[64]</w:t>
        </w:r>
      </w:hyperlink>
      <w:r>
        <w:t xml:space="preserve">. Donors are attracted to this setup for various reasons: some appreciate the </w:t>
      </w:r>
      <w:r>
        <w:rPr>
          <w:b/>
          <w:bCs/>
        </w:rPr>
        <w:t>expertise</w:t>
      </w:r>
      <w:r>
        <w:t xml:space="preserve"> (Arabella’s staff are issue specialists who identify high-impact opportunities), others value the </w:t>
      </w:r>
      <w:r>
        <w:rPr>
          <w:b/>
          <w:bCs/>
        </w:rPr>
        <w:t>efficiency</w:t>
      </w:r>
      <w:r>
        <w:t xml:space="preserve"> (one donation to a fund can support dozens of causes), and many no doubt welcome the </w:t>
      </w:r>
      <w:r>
        <w:rPr>
          <w:b/>
          <w:bCs/>
        </w:rPr>
        <w:t>privacy</w:t>
      </w:r>
      <w:r>
        <w:t>. Only private foundations are required by U.S. law to publicly name their donors</w:t>
      </w:r>
      <w:hyperlink r:id="rId259" w:anchor=":~:text=The%20IRS%20requires%20501,Buffett%20Foundation%20to%20Planned%20Parenthood">
        <w:r>
          <w:rPr>
            <w:rStyle w:val="Hyperlink"/>
          </w:rPr>
          <w:t>[63]</w:t>
        </w:r>
      </w:hyperlink>
      <w:r>
        <w:t xml:space="preserve">. Public charities like New Venture Fund do list their outgoing grants on tax forms, but they </w:t>
      </w:r>
      <w:r>
        <w:rPr>
          <w:b/>
          <w:bCs/>
        </w:rPr>
        <w:t>do not disclose incoming donations</w:t>
      </w:r>
      <w:r>
        <w:t xml:space="preserve">. This means a grant of, say, $5 million from New Venture Fund to a grassroots voter registration drive might be visible on the IRS Form 990, yet the ultimate source of that $5 million (which could be a tech billionaire or a collection of small donors) remains anonymous to the public. </w:t>
      </w:r>
      <w:r>
        <w:rPr>
          <w:b/>
          <w:bCs/>
        </w:rPr>
        <w:t>Critics argue</w:t>
      </w:r>
      <w:r>
        <w:t xml:space="preserve"> that this “donation laundering” undermines transparency</w:t>
      </w:r>
      <w:hyperlink r:id="rId260" w:anchor=":~:text=The%20IRS%20requires%20501,Buffett%20Foundation%20to%20Planned%20Parenthood">
        <w:r>
          <w:rPr>
            <w:rStyle w:val="Hyperlink"/>
          </w:rPr>
          <w:t>[63]</w:t>
        </w:r>
      </w:hyperlink>
      <w:hyperlink r:id="rId261" w:anchor=":~:text=Alternatively%2C%20by%20routing%20financial%20contributions,grant%20to%20any%20individual%20donor">
        <w:r>
          <w:rPr>
            <w:rStyle w:val="Hyperlink"/>
          </w:rPr>
          <w:t>[65]</w:t>
        </w:r>
      </w:hyperlink>
      <w:r>
        <w:t xml:space="preserve">. </w:t>
      </w:r>
      <w:r>
        <w:rPr>
          <w:b/>
          <w:bCs/>
        </w:rPr>
        <w:t>Defenders respond</w:t>
      </w:r>
      <w:r>
        <w:t xml:space="preserve"> that donor-advised funds and intermediaries play a legitimate role, allowing philanthropy to be more nimble and targeted by aggregating resources and expertise.</w:t>
      </w:r>
    </w:p>
    <w:p w14:paraId="7870DE9D" w14:textId="77777777" w:rsidR="00406E3B" w:rsidRDefault="00406E3B" w:rsidP="00406E3B">
      <w:pPr>
        <w:pStyle w:val="BodyText"/>
      </w:pPr>
      <w:r>
        <w:t xml:space="preserve">Another major regranting player is the </w:t>
      </w:r>
      <w:r>
        <w:rPr>
          <w:b/>
          <w:bCs/>
        </w:rPr>
        <w:t>Tides Foundation</w:t>
      </w:r>
      <w:r>
        <w:t xml:space="preserve">, founded in the 1970s as one of the first organizations to offer donor-advised funds focused on progressive causes. Tides operates a DAF program and related entities (like Tides Center) that have </w:t>
      </w:r>
      <w:r>
        <w:rPr>
          <w:b/>
          <w:bCs/>
        </w:rPr>
        <w:t>channeled hundreds of millions of dollars to advocacy groups, social movements, and charitable initiatives</w:t>
      </w:r>
      <w:r>
        <w:t>. Donors – including other foundations – contribute to Tides with advisory privileges to suggest or earmark grants. For example, Open Society Foundations has on occasion given multi-million-dollar grants to Tides, essentially outsourcing the regranting of those funds to smaller community organizations</w:t>
      </w:r>
      <w:hyperlink r:id="rId262" w:anchor=":~:text=In%20the%20United%20States%2C%20OSF%E2%80%99s,enacting%20liberal%20comprehensive%20immigration%20reform">
        <w:r>
          <w:rPr>
            <w:rStyle w:val="Hyperlink"/>
          </w:rPr>
          <w:t>[46]</w:t>
        </w:r>
      </w:hyperlink>
      <w:r>
        <w:t xml:space="preserve">. </w:t>
      </w:r>
      <w:r>
        <w:rPr>
          <w:b/>
          <w:bCs/>
        </w:rPr>
        <w:t>This layering of grants</w:t>
      </w:r>
      <w:r>
        <w:t xml:space="preserve"> (one foundation funding another funding many others) can make following the money challenging. It’s not necessarily nefarious: it can be an efficient way to reach </w:t>
      </w:r>
      <w:r>
        <w:rPr>
          <w:b/>
          <w:bCs/>
        </w:rPr>
        <w:t>grassroots organizations that a big foundation might otherwise miss</w:t>
      </w:r>
      <w:r>
        <w:t xml:space="preserve">. Tides, being a specialist in managing lots of small grants, can redistribute a chunk of money into a network of local grantees without each local group needing a direct relationship with the original donor. However, it also introduces an extra step where money might linger or be reallocated beyond the donor’s initial intent, which has prompted calls for greater accountability. Notably, </w:t>
      </w:r>
      <w:r>
        <w:rPr>
          <w:b/>
          <w:bCs/>
        </w:rPr>
        <w:t>Tides Foundation also serves as a fiscal sponsor</w:t>
      </w:r>
      <w:r>
        <w:t xml:space="preserve"> (more on that shortly), meaning it sometimes hosts projects directly rather than regranting to independent groups. In all these cases, Tides collects </w:t>
      </w:r>
      <w:r>
        <w:rPr>
          <w:b/>
          <w:bCs/>
        </w:rPr>
        <w:t>management fees</w:t>
      </w:r>
      <w:r>
        <w:t xml:space="preserve"> (typically a percentage of the funds) for its services, a practice common to intermediary funds. This became a point of contention in a recent legal dispute: the </w:t>
      </w:r>
      <w:r>
        <w:rPr>
          <w:b/>
          <w:bCs/>
        </w:rPr>
        <w:t>Black Lives Matter Global Network Foundation (BLMGNF)</w:t>
      </w:r>
      <w:r>
        <w:t xml:space="preserve"> sued Tides in 2024, alleging that Tides was holding on to about $33 million in </w:t>
      </w:r>
      <w:r>
        <w:lastRenderedPageBreak/>
        <w:t>donations instead of releasing the money once BLMGNF got its own tax-exempt status</w:t>
      </w:r>
      <w:hyperlink r:id="rId263" w:anchor=":~:text=Black%20Lives%20Matter%20Global%20Network,led%20organizations%20it%20sponsors.%E2%80%9D">
        <w:r>
          <w:rPr>
            <w:rStyle w:val="Hyperlink"/>
          </w:rPr>
          <w:t>[66]</w:t>
        </w:r>
      </w:hyperlink>
      <w:hyperlink r:id="rId264" w:anchor=":~:text=The%20complaint%20outlines%20various%20oral,which%20happened%20in%20December%202020">
        <w:r>
          <w:rPr>
            <w:rStyle w:val="Hyperlink"/>
          </w:rPr>
          <w:t>[67]</w:t>
        </w:r>
      </w:hyperlink>
      <w:r>
        <w:t xml:space="preserve">. Tides flatly denied wrongdoing, explaining that those funds were placed in a </w:t>
      </w:r>
      <w:r>
        <w:rPr>
          <w:b/>
          <w:bCs/>
        </w:rPr>
        <w:t>collective action fund</w:t>
      </w:r>
      <w:r>
        <w:t xml:space="preserve"> meant to support the broader BLM movement (including local chapters), and that BLMGNF was trying “to siphon money for its own use” contrary to donor intent</w:t>
      </w:r>
      <w:hyperlink r:id="rId265" w:anchor=":~:text=The%20Tides%20Foundation%20called%20the,different%20than%20conventional%20fiscal%20sponsorships">
        <w:r>
          <w:rPr>
            <w:rStyle w:val="Hyperlink"/>
          </w:rPr>
          <w:t>[68]</w:t>
        </w:r>
      </w:hyperlink>
      <w:hyperlink r:id="rId266" w:anchor=":~:text=Tides%20said%20Black%20Lives%20Matter,were%20from%202020%20and%202021">
        <w:r>
          <w:rPr>
            <w:rStyle w:val="Hyperlink"/>
          </w:rPr>
          <w:t>[69]</w:t>
        </w:r>
      </w:hyperlink>
      <w:r>
        <w:t xml:space="preserve">. This clash shines light on </w:t>
      </w:r>
      <w:r>
        <w:rPr>
          <w:b/>
          <w:bCs/>
        </w:rPr>
        <w:t>legal gray areas in regranting and donor-advised setups</w:t>
      </w:r>
      <w:r>
        <w:t xml:space="preserve">. When an intermediary exercises discretion or interprets donor intent differently than an intended beneficiary, disputes can arise. There is sometimes </w:t>
      </w:r>
      <w:r>
        <w:rPr>
          <w:b/>
          <w:bCs/>
        </w:rPr>
        <w:t>no contractually clear point at which funds must be passed along</w:t>
      </w:r>
      <w:r>
        <w:t xml:space="preserve"> – especially if the arrangements were based on informal promises, as BLMGNF claimed. Moreover, as intermediaries grow into financial juggernauts (Tides manages nearly </w:t>
      </w:r>
      <w:r>
        <w:rPr>
          <w:b/>
          <w:bCs/>
        </w:rPr>
        <w:t>$1 billion in assets</w:t>
      </w:r>
      <w:r>
        <w:t xml:space="preserve"> now</w:t>
      </w:r>
      <w:hyperlink r:id="rId267" w:anchor=":~:text=In%20a%20fiscal%20sponsorship%20agreement%2C,nearly%20%241%20billion%20in%20assets">
        <w:r>
          <w:rPr>
            <w:rStyle w:val="Hyperlink"/>
          </w:rPr>
          <w:t>[60]</w:t>
        </w:r>
      </w:hyperlink>
      <w:r>
        <w:t xml:space="preserve">), questions emerge about whether they are merely conduits or </w:t>
      </w:r>
      <w:r>
        <w:rPr>
          <w:b/>
          <w:bCs/>
        </w:rPr>
        <w:t>power brokers in their own right</w:t>
      </w:r>
      <w:r>
        <w:t>.</w:t>
      </w:r>
    </w:p>
    <w:p w14:paraId="1D192034" w14:textId="77777777" w:rsidR="00406E3B" w:rsidRDefault="00406E3B" w:rsidP="00406E3B">
      <w:pPr>
        <w:pStyle w:val="BodyText"/>
      </w:pPr>
      <w:r>
        <w:t xml:space="preserve">From the donor’s perspective, regranting intermediaries offer a way to </w:t>
      </w:r>
      <w:r>
        <w:rPr>
          <w:b/>
          <w:bCs/>
        </w:rPr>
        <w:t>magnify impact while minimizing hassle</w:t>
      </w:r>
      <w:r>
        <w:t xml:space="preserve">. A philanthropist who cares about, say, civic engagement across many swing states might simply give a lump sum to a fund like </w:t>
      </w:r>
      <w:r>
        <w:rPr>
          <w:b/>
          <w:bCs/>
        </w:rPr>
        <w:t>State Engagement Fund</w:t>
      </w:r>
      <w:r>
        <w:t xml:space="preserve"> (part of the Arabella network) which then supports dozens of local voter outreach groups. Or a family foundation interested in climate justice in frontline communities might channel money through </w:t>
      </w:r>
      <w:r>
        <w:rPr>
          <w:b/>
          <w:bCs/>
        </w:rPr>
        <w:t>Windward Fund</w:t>
      </w:r>
      <w:r>
        <w:t xml:space="preserve"> (another Arabella-managed charity focusing on environmental causes) to reach small environmental justice organizations. In these scenarios, the intermediary handles the due diligence and compliance, and the original donor can step back. </w:t>
      </w:r>
      <w:r>
        <w:rPr>
          <w:b/>
          <w:bCs/>
        </w:rPr>
        <w:t>The trade-off is control for scale</w:t>
      </w:r>
      <w:r>
        <w:t xml:space="preserve">. The donor relinquishes some direct control over which exact group gets funded, trusting the intermediary’s process, but gains the ability to </w:t>
      </w:r>
      <w:r>
        <w:rPr>
          <w:b/>
          <w:bCs/>
        </w:rPr>
        <w:t>fund at scale and in areas outside their personal expertise</w:t>
      </w:r>
      <w:r>
        <w:t>.</w:t>
      </w:r>
    </w:p>
    <w:p w14:paraId="67F53C56" w14:textId="77777777" w:rsidR="00406E3B" w:rsidRDefault="00406E3B" w:rsidP="00406E3B">
      <w:pPr>
        <w:pStyle w:val="BodyText"/>
      </w:pPr>
      <w:r>
        <w:t xml:space="preserve">However, this model also enables a phenomenon known as </w:t>
      </w:r>
      <w:r>
        <w:rPr>
          <w:b/>
          <w:bCs/>
        </w:rPr>
        <w:t>“dark money” when used for politically charged funding</w:t>
      </w:r>
      <w:r>
        <w:t xml:space="preserve">. Both left and right have leveraged donor-advised funds to direct money into advocacy campaigns </w:t>
      </w:r>
      <w:r>
        <w:rPr>
          <w:b/>
          <w:bCs/>
        </w:rPr>
        <w:t>without public fingerprints</w:t>
      </w:r>
      <w:r>
        <w:t>. For instance, during the 2020 U.S. elections, Arabella’s New Venture Fund and Sixteen Thirty Fund collectively poured tens of millions into voter mobilization and issue ad efforts</w:t>
      </w:r>
      <w:hyperlink r:id="rId268" w:anchor=":~:text=election%20years">
        <w:r>
          <w:rPr>
            <w:rStyle w:val="Hyperlink"/>
          </w:rPr>
          <w:t>[70]</w:t>
        </w:r>
      </w:hyperlink>
      <w:hyperlink r:id="rId269" w:anchor=":~:text=In%202020%2C%20Sixteen%20Thirty%20Fund,to%20name%20just%20a%20few">
        <w:r>
          <w:rPr>
            <w:rStyle w:val="Hyperlink"/>
          </w:rPr>
          <w:t>[71]</w:t>
        </w:r>
      </w:hyperlink>
      <w:r>
        <w:t>, benefiting liberal causes, yet the individual donors behind those efforts remained hidden. Likewise, DonorsTrust (the conservative DAF) has funneled money into groups opposing climate legislation and backing judicial nominees, with only the aggregate flows visible, not the original benefactors</w:t>
      </w:r>
      <w:hyperlink r:id="rId270" w:anchor=":~:text=DonorsTrust%20%E2%80%94%20the%20donor%20conduit,CMD">
        <w:r>
          <w:rPr>
            <w:rStyle w:val="Hyperlink"/>
          </w:rPr>
          <w:t>[50]</w:t>
        </w:r>
      </w:hyperlink>
      <w:hyperlink r:id="rId271" w:anchor=":~:text=The%20donor%20advised%20fund%20%E2%80%94,2022%2C%20according%20to%20CMD%E2%80%99s%20calculations">
        <w:r>
          <w:rPr>
            <w:rStyle w:val="Hyperlink"/>
          </w:rPr>
          <w:t>[51]</w:t>
        </w:r>
      </w:hyperlink>
      <w:r>
        <w:t xml:space="preserve">. This opacity is legal – donor privacy is protected for public charities – but it has led to bipartisan concern that </w:t>
      </w:r>
      <w:r>
        <w:rPr>
          <w:b/>
          <w:bCs/>
        </w:rPr>
        <w:t>501(c)(3) and 501(c)(4) intermediaries can be used to circumvent campaign finance disclosure</w:t>
      </w:r>
      <w:r>
        <w:t>. In response, some transparency advocates call for reforms such as requiring donor-advised funds to disclose more or to distribute funds faster (currently, DAFs have no minimum payout requirement, unlike private foundations which must pay out 5% of assets annually).</w:t>
      </w:r>
    </w:p>
    <w:p w14:paraId="46189A17" w14:textId="77777777" w:rsidR="00406E3B" w:rsidRDefault="00406E3B" w:rsidP="00406E3B">
      <w:pPr>
        <w:pStyle w:val="BodyText"/>
      </w:pPr>
      <w:r>
        <w:t xml:space="preserve">In summary, </w:t>
      </w:r>
      <w:r>
        <w:rPr>
          <w:b/>
          <w:bCs/>
        </w:rPr>
        <w:t>regranting funds and donor-advised funds have become integral circuits in modern philanthropy</w:t>
      </w:r>
      <w:r>
        <w:t xml:space="preserve">. They facilitate collaboration, allow rapid response through pooled funds, and protect donor anonymity. They also complicate the task of tracking money from origin to destination. A single gift may pass through two or three organizations before reaching the final implementer. For investigators following the money, this means </w:t>
      </w:r>
      <w:r>
        <w:lastRenderedPageBreak/>
        <w:t>piecing together a trail across multiple IRS filings and reports – akin to assembling a “multi-billion-piece jigsaw puzzle” where some pieces will always be missing</w:t>
      </w:r>
      <w:hyperlink r:id="rId272" w:anchor=":~:text=It%E2%80%99s%20generally%20impossible%20to%20connect,to%20Arabella%E2%80%94particularly%20during%20election%20years">
        <w:r>
          <w:rPr>
            <w:rStyle w:val="Hyperlink"/>
          </w:rPr>
          <w:t>[72]</w:t>
        </w:r>
      </w:hyperlink>
      <w:r>
        <w:t xml:space="preserve">. What’s evident is that many foundations, including OSF, now use </w:t>
      </w:r>
      <w:r>
        <w:rPr>
          <w:b/>
          <w:bCs/>
        </w:rPr>
        <w:t>regranting as a force multiplier</w:t>
      </w:r>
      <w:r>
        <w:t xml:space="preserve">: instead of running every program themselves, they fund intermediaries that in turn support an ecosystem of grantees. This </w:t>
      </w:r>
      <w:r>
        <w:rPr>
          <w:b/>
          <w:bCs/>
        </w:rPr>
        <w:t>grant cascading</w:t>
      </w:r>
      <w:r>
        <w:t xml:space="preserve"> can create powerful networks – but it also raises the stakes for oversight, as more hands touch the funds along the way.</w:t>
      </w:r>
    </w:p>
    <w:p w14:paraId="38DC3EF2" w14:textId="77777777" w:rsidR="00406E3B" w:rsidRDefault="00406E3B" w:rsidP="00406E3B">
      <w:pPr>
        <w:pStyle w:val="Heading3"/>
      </w:pPr>
      <w:bookmarkStart w:id="26" w:name="fiscal-sponsorship-and-project-grants"/>
      <w:bookmarkEnd w:id="25"/>
      <w:r>
        <w:t>Fiscal Sponsorship and Project Grants</w:t>
      </w:r>
    </w:p>
    <w:p w14:paraId="7467948A" w14:textId="77777777" w:rsidR="00406E3B" w:rsidRDefault="00406E3B" w:rsidP="00406E3B">
      <w:pPr>
        <w:pStyle w:val="FirstParagraph"/>
      </w:pPr>
      <w:r>
        <w:t xml:space="preserve">Another mechanism that shapes money flows is </w:t>
      </w:r>
      <w:r>
        <w:rPr>
          <w:b/>
          <w:bCs/>
        </w:rPr>
        <w:t>fiscal sponsorship</w:t>
      </w:r>
      <w:r>
        <w:t xml:space="preserve">, a creative tool that allows new or unincorporated initiatives to receive grants under the umbrella of an established nonprofit. In a fiscal sponsorship arrangement, a 501(c)(3) organization (the </w:t>
      </w:r>
      <w:r>
        <w:rPr>
          <w:b/>
          <w:bCs/>
        </w:rPr>
        <w:t>sponsor</w:t>
      </w:r>
      <w:r>
        <w:t xml:space="preserve">) </w:t>
      </w:r>
      <w:r>
        <w:rPr>
          <w:b/>
          <w:bCs/>
        </w:rPr>
        <w:t>“adopts” a project</w:t>
      </w:r>
      <w:r>
        <w:t xml:space="preserve"> – handling its finances, legal compliance, and administrative needs – so that funders can support the project with charitable donations. The sponsor in effect </w:t>
      </w:r>
      <w:r>
        <w:rPr>
          <w:b/>
          <w:bCs/>
        </w:rPr>
        <w:t>incubates the project</w:t>
      </w:r>
      <w:r>
        <w:t xml:space="preserve"> until it can either spin off as an independent nonprofit or conclude its mission</w:t>
      </w:r>
      <w:hyperlink r:id="rId273" w:anchor=":~:text=In%20a%20fiscal%20sponsorship%20agreement%2C,nearly%20%241%20billion%20in%20assets">
        <w:r>
          <w:rPr>
            <w:rStyle w:val="Hyperlink"/>
          </w:rPr>
          <w:t>[60]</w:t>
        </w:r>
      </w:hyperlink>
      <w:r>
        <w:t>. This model has exploded in popularity for movements and start-ups in the social sector, because it offers a shortcut to accessing funding without the delay and burden of obtaining one’s own tax-exempt status.</w:t>
      </w:r>
    </w:p>
    <w:p w14:paraId="44BA6F0A" w14:textId="77777777" w:rsidR="00406E3B" w:rsidRDefault="00406E3B" w:rsidP="00406E3B">
      <w:pPr>
        <w:pStyle w:val="BodyText"/>
      </w:pPr>
      <w:r>
        <w:t xml:space="preserve">A notable example is the </w:t>
      </w:r>
      <w:r>
        <w:rPr>
          <w:b/>
          <w:bCs/>
        </w:rPr>
        <w:t>Black Lives Matter Global Network Foundation (BLMGNF)</w:t>
      </w:r>
      <w:r>
        <w:t xml:space="preserve"> in its early years. When the BLM movement gained national prominence around 2014–2015, the leading organizers did not immediately have a formal nonprofit set up. Instead, they operated under fiscal sponsors. Initially a smaller charity (Thousand Currents) acted as BLMGNF’s sponsor, and later the </w:t>
      </w:r>
      <w:r>
        <w:rPr>
          <w:b/>
          <w:bCs/>
        </w:rPr>
        <w:t>Tides Center</w:t>
      </w:r>
      <w:r>
        <w:t xml:space="preserve"> took over that role. This meant donations from individuals and grants from foundations could be given to Tides Center (a registered charity), earmarked for the BLM project, and Tides would then </w:t>
      </w:r>
      <w:r>
        <w:rPr>
          <w:b/>
          <w:bCs/>
        </w:rPr>
        <w:t>deploy those funds to pay BLM organizers’ salaries, campaign expenses, etc., under Tides’ oversight</w:t>
      </w:r>
      <w:hyperlink r:id="rId274" w:anchor=":~:text=In%20a%20fiscal%20sponsorship%20agreement%2C,nearly%20%241%20billion%20in%20assets">
        <w:r>
          <w:rPr>
            <w:rStyle w:val="Hyperlink"/>
          </w:rPr>
          <w:t>[60]</w:t>
        </w:r>
      </w:hyperlink>
      <w:r>
        <w:t xml:space="preserve">. For the BLM leaders, this arrangement allowed them to </w:t>
      </w:r>
      <w:r>
        <w:rPr>
          <w:b/>
          <w:bCs/>
        </w:rPr>
        <w:t>focus on movement-building while Tides managed the paperwork and regulatory compliance</w:t>
      </w:r>
      <w:r>
        <w:t xml:space="preserve">. It also gave donors confidence that funds would be handled properly by an experienced fiscal agent. Indeed, </w:t>
      </w:r>
      <w:r>
        <w:rPr>
          <w:b/>
          <w:bCs/>
        </w:rPr>
        <w:t>fiscal sponsors are often used by grassroots movements, artists’ collaboratives, and emerging advocacy coalitions</w:t>
      </w:r>
      <w:r>
        <w:t xml:space="preserve"> that spring up quickly in response to events. They provide a legal home and financial infrastructure so the new movement can hit the ground running.</w:t>
      </w:r>
    </w:p>
    <w:p w14:paraId="3F42A4AE" w14:textId="77777777" w:rsidR="00406E3B" w:rsidRDefault="00406E3B" w:rsidP="00406E3B">
      <w:pPr>
        <w:pStyle w:val="BodyText"/>
      </w:pPr>
      <w:r>
        <w:t xml:space="preserve">However, as the BLM case showed, </w:t>
      </w:r>
      <w:r>
        <w:rPr>
          <w:b/>
          <w:bCs/>
        </w:rPr>
        <w:t>tensions can surface once the project matures and seeks independence</w:t>
      </w:r>
      <w:r>
        <w:t>. BLMGNF eventually obtained its own 501(c)(3) status in late 2020, meaning it could directly receive tax-deductible donations thereafter. The expectation was that Tides would transfer any remaining donations it held for BLM to the new independent foundation. When that transfer didn’t happen as expected, BLMGNF accused Tides of effectively holding the money hostage to “derive financial benefit” in fees</w:t>
      </w:r>
      <w:hyperlink r:id="rId275" w:anchor=":~:text=Black%20Lives%20Matter%20Global%20Network,led%20organizations%20it%20sponsors.%E2%80%9D">
        <w:r>
          <w:rPr>
            <w:rStyle w:val="Hyperlink"/>
          </w:rPr>
          <w:t>[66]</w:t>
        </w:r>
      </w:hyperlink>
      <w:hyperlink r:id="rId276" w:anchor=":~:text=in%20California%20Superior%20Court%20for,led%20organizations%20it%20sponsors.%E2%80%9D">
        <w:r>
          <w:rPr>
            <w:rStyle w:val="Hyperlink"/>
          </w:rPr>
          <w:t>[73]</w:t>
        </w:r>
      </w:hyperlink>
      <w:r>
        <w:t>. Tides countered that those funds were always intended for the broader BLM movement and that an advisory committee directed the spending to local BLM chapters instead of the national group</w:t>
      </w:r>
      <w:hyperlink r:id="rId277" w:anchor=":~:text=The%20Tides%20Foundation%20called%20the,different%20than%20conventional%20fiscal%20sponsorships">
        <w:r>
          <w:rPr>
            <w:rStyle w:val="Hyperlink"/>
          </w:rPr>
          <w:t>[68]</w:t>
        </w:r>
      </w:hyperlink>
      <w:hyperlink r:id="rId278" w:anchor=":~:text=Tides%20said%20Black%20Lives%20Matter,were%20from%202020%20and%202021">
        <w:r>
          <w:rPr>
            <w:rStyle w:val="Hyperlink"/>
          </w:rPr>
          <w:t>[69]</w:t>
        </w:r>
      </w:hyperlink>
      <w:r>
        <w:t xml:space="preserve">. This dispute underscores a </w:t>
      </w:r>
      <w:r>
        <w:rPr>
          <w:b/>
          <w:bCs/>
        </w:rPr>
        <w:t>grey area</w:t>
      </w:r>
      <w:r>
        <w:t xml:space="preserve">: fiscal sponsorship relies heavily on mutual understanding and trust, sometimes without detailed written agreements about exit conditions. Legally, the sponsor owns the funds (since donors gave to the sponsor). </w:t>
      </w:r>
      <w:r>
        <w:lastRenderedPageBreak/>
        <w:t>Unless a contract stipulates a handover, the sponsor has discretion on further disbursement in line with the charitable purpose. In BLM’s case, that led to a messy public fight and litigation – a rare peek into what is usually a behind-the-scenes arrangement.</w:t>
      </w:r>
    </w:p>
    <w:p w14:paraId="7AB47D13" w14:textId="77777777" w:rsidR="00406E3B" w:rsidRDefault="00406E3B" w:rsidP="00406E3B">
      <w:pPr>
        <w:pStyle w:val="BodyText"/>
      </w:pPr>
      <w:r>
        <w:t xml:space="preserve">Despite occasional hiccups, fiscal sponsorship is broadly seen as a </w:t>
      </w:r>
      <w:r>
        <w:rPr>
          <w:b/>
          <w:bCs/>
        </w:rPr>
        <w:t>positive force enabling innovation</w:t>
      </w:r>
      <w:r>
        <w:t xml:space="preserve">. According to a recent survey, just 100 fiscal sponsor organizations collectively managed </w:t>
      </w:r>
      <w:r>
        <w:rPr>
          <w:b/>
          <w:bCs/>
        </w:rPr>
        <w:t>over $3.1 billion for 12,000+ projects nationwide</w:t>
      </w:r>
      <w:hyperlink r:id="rId279" w:anchor=":~:text=In%20a%20fiscal%20sponsorship%20agreement%2C,nearly%20%241%20billion%20in%20assets">
        <w:r>
          <w:rPr>
            <w:rStyle w:val="Hyperlink"/>
          </w:rPr>
          <w:t>[60]</w:t>
        </w:r>
      </w:hyperlink>
      <w:r>
        <w:t xml:space="preserve">. This includes everything from community gardens and pop-up museums to nationwide campaigns. Sponsors typically charge an administrative fee (around 5–10% of incoming funds) to cover their services. In exchange, projects get accounting support, HR for hiring staff, grant management, and often nonprofit governance advice. Many well-known organizations started under sponsors – for example, the </w:t>
      </w:r>
      <w:r>
        <w:rPr>
          <w:b/>
          <w:bCs/>
        </w:rPr>
        <w:t>Malala Fund</w:t>
      </w:r>
      <w:r>
        <w:t xml:space="preserve"> (for girls’ education) was incubated by a larger charity before becoming independent, and numerous local COVID-19 relief efforts in 2020 were hosted by community foundations as sponsored projects to expedite aid.</w:t>
      </w:r>
    </w:p>
    <w:p w14:paraId="792F483F" w14:textId="77777777" w:rsidR="00406E3B" w:rsidRDefault="00406E3B" w:rsidP="00406E3B">
      <w:pPr>
        <w:pStyle w:val="BodyText"/>
      </w:pPr>
      <w:r>
        <w:t xml:space="preserve">The </w:t>
      </w:r>
      <w:r>
        <w:rPr>
          <w:b/>
          <w:bCs/>
        </w:rPr>
        <w:t>legal boundaries</w:t>
      </w:r>
      <w:r>
        <w:t xml:space="preserve"> in fiscal sponsorship require that the sponsor retain </w:t>
      </w:r>
      <w:r>
        <w:rPr>
          <w:b/>
          <w:bCs/>
        </w:rPr>
        <w:t>“discretion and control”</w:t>
      </w:r>
      <w:r>
        <w:t xml:space="preserve"> over funds – it can’t just be a passthrough rubber-stamping whatever the project leaders want, or the IRS might view it as an abuse of charitable status</w:t>
      </w:r>
      <w:hyperlink r:id="rId280" w:anchor=":~:text=In%20a%20fiscal%20sponsorship%20agreement%2C,nearly%20%241%20billion%20in%20assets">
        <w:r>
          <w:rPr>
            <w:rStyle w:val="Hyperlink"/>
          </w:rPr>
          <w:t>[60]</w:t>
        </w:r>
      </w:hyperlink>
      <w:r>
        <w:t xml:space="preserve">. In practice, good sponsors strike a balance: they give project leaders broad leeway to run programs day-to-day, intervening mainly to ensure compliance and that expenditures align with the charitable purpose. For donors, the appeal of fiscal sponsorship is that they can </w:t>
      </w:r>
      <w:r>
        <w:rPr>
          <w:b/>
          <w:bCs/>
        </w:rPr>
        <w:t>fund nascent ideas with a safety net</w:t>
      </w:r>
      <w:r>
        <w:t>. A family foundation that normally only grants to established nonprofits might, through a sponsor, support a grassroots youth initiative that isn’t yet a formal charity. If the project fails or dissolves, the sponsor can reallocate remaining funds to a similar purpose, honoring donor intent. This reduces the risk that charitable dollars go astray.</w:t>
      </w:r>
    </w:p>
    <w:p w14:paraId="25F38CF4" w14:textId="77777777" w:rsidR="00406E3B" w:rsidRDefault="00406E3B" w:rsidP="00406E3B">
      <w:pPr>
        <w:pStyle w:val="BodyText"/>
      </w:pPr>
      <w:r>
        <w:t xml:space="preserve">There is a continuum between </w:t>
      </w:r>
      <w:r>
        <w:rPr>
          <w:b/>
          <w:bCs/>
        </w:rPr>
        <w:t>regranting and fiscal sponsorship</w:t>
      </w:r>
      <w:r>
        <w:t xml:space="preserve">. Some organizations (like Tides and Arabella’s funds) do both: they regrant to external groups and also host certain projects internally. The </w:t>
      </w:r>
      <w:r>
        <w:rPr>
          <w:b/>
          <w:bCs/>
        </w:rPr>
        <w:t>Sixteen Thirty Fund</w:t>
      </w:r>
      <w:r>
        <w:t>, for instance, has served as fiscal sponsor for progressive advocacy campaigns that were essentially pop-up organizations existing only as a project name under Sixteen Thirty’s umbrella</w:t>
      </w:r>
      <w:hyperlink r:id="rId281" w:anchor=":~:text=Why%20so%20many%20nonprofits%3F%20There,the%20money%20harder%20to%20follow">
        <w:r>
          <w:rPr>
            <w:rStyle w:val="Hyperlink"/>
          </w:rPr>
          <w:t>[59]</w:t>
        </w:r>
      </w:hyperlink>
      <w:hyperlink r:id="rId282" w:anchor=":~:text=The%20Arabella%20hub%20has%20since,is%20likewise%20a%20nautical%20term">
        <w:r>
          <w:rPr>
            <w:rStyle w:val="Hyperlink"/>
          </w:rPr>
          <w:t>[62]</w:t>
        </w:r>
      </w:hyperlink>
      <w:r>
        <w:t>. One such project was “Rocky Mountain Values” in Colorado, a temporary political ad campaign to unseat a senator, which identified itself as a local group but was actually a Sixteen Thirty Fund project run out of D.C.</w:t>
      </w:r>
      <w:hyperlink r:id="rId283" w:anchor=":~:text=In%20Colorado%2C%20Sixteen%20Thirty%20Fund,%28McSally">
        <w:r>
          <w:rPr>
            <w:rStyle w:val="Hyperlink"/>
          </w:rPr>
          <w:t>[74]</w:t>
        </w:r>
      </w:hyperlink>
      <w:hyperlink r:id="rId284" w:anchor=":~:text=also%20lost%20reelection">
        <w:r>
          <w:rPr>
            <w:rStyle w:val="Hyperlink"/>
          </w:rPr>
          <w:t>[75]</w:t>
        </w:r>
      </w:hyperlink>
      <w:r>
        <w:t xml:space="preserve">. The use of fiscal sponsorship in these cases raises eyebrows because it blurs into direct political campaigning – something a 501(c)(4) like Sixteen Thirty can do within limits, but a 501(c)(3) could not. We will delve into the legal aspect shortly. The key point here is that </w:t>
      </w:r>
      <w:r>
        <w:rPr>
          <w:b/>
          <w:bCs/>
        </w:rPr>
        <w:t>fiscal sponsorship can be used strategically to create rapid-response advocacy entities</w:t>
      </w:r>
      <w:r>
        <w:t>. On the left, this has led to an ecosystem of so-called “pop-up” campaigns (for gun control, voting rights, etc.) that emerge under sponsors during an election cycle and disappear after, all funded by pooled money. On the right, there are analogous efforts: conservative legal activists have created projects under sponsors to file lawsuits or run issue ads without setting up standalone organizations.</w:t>
      </w:r>
    </w:p>
    <w:p w14:paraId="0B732E0E" w14:textId="77777777" w:rsidR="00406E3B" w:rsidRDefault="00406E3B" w:rsidP="00406E3B">
      <w:pPr>
        <w:pStyle w:val="BodyText"/>
      </w:pPr>
      <w:r>
        <w:lastRenderedPageBreak/>
        <w:t xml:space="preserve">For less overtly political projects, fiscal sponsorship remains a crucial pathway for community-driven change. It lowers barriers to entry for underrepresented groups who might not have the resources or know-how to establish a nonprofit from scratch. For example, </w:t>
      </w:r>
      <w:r>
        <w:rPr>
          <w:b/>
          <w:bCs/>
        </w:rPr>
        <w:t>many grassroots immigrant and refugee support networks</w:t>
      </w:r>
      <w:r>
        <w:t xml:space="preserve"> initially operate with a fiscal sponsor until they can get on their feet. The sponsor serves as a </w:t>
      </w:r>
      <w:r>
        <w:rPr>
          <w:b/>
          <w:bCs/>
        </w:rPr>
        <w:t>training wheels structure</w:t>
      </w:r>
      <w:r>
        <w:t xml:space="preserve">, and often the project will spin off once it has built capacity and a funding base. Some projects, however, stay under a sponsor indefinitely, especially if the arrangement is cost-effective and the project prefers not to deal with administrative burdens. There are even sponsors dedicated to certain niches – for instance, </w:t>
      </w:r>
      <w:r>
        <w:rPr>
          <w:b/>
          <w:bCs/>
        </w:rPr>
        <w:t>arts-focused fiscal sponsors</w:t>
      </w:r>
      <w:r>
        <w:t xml:space="preserve"> for emerging artists and filmmakers, or </w:t>
      </w:r>
      <w:r>
        <w:rPr>
          <w:b/>
          <w:bCs/>
        </w:rPr>
        <w:t>science research sponsors</w:t>
      </w:r>
      <w:r>
        <w:t xml:space="preserve"> for independent labs.</w:t>
      </w:r>
    </w:p>
    <w:p w14:paraId="5CBA9884" w14:textId="77777777" w:rsidR="00406E3B" w:rsidRDefault="00406E3B" w:rsidP="00406E3B">
      <w:pPr>
        <w:pStyle w:val="BodyText"/>
      </w:pPr>
      <w:r>
        <w:t xml:space="preserve">In summary, </w:t>
      </w:r>
      <w:r>
        <w:rPr>
          <w:b/>
          <w:bCs/>
        </w:rPr>
        <w:t>fiscal sponsorship expands the reach of philanthropy to innovative, early-stage, or temporary initiatives</w:t>
      </w:r>
      <w:r>
        <w:t xml:space="preserve"> that might otherwise fall through the cracks of traditional funding. Financially, it means that some grants listed under a big organization are actually being spent by a smaller project team nested within. To an outsider reading a tax return, a large grant from a foundation to “Tides Center – for Project X” indicates that </w:t>
      </w:r>
      <w:r>
        <w:rPr>
          <w:b/>
          <w:bCs/>
        </w:rPr>
        <w:t>Project X is effectively being financed via Tides</w:t>
      </w:r>
      <w:r>
        <w:t>. Understanding these relationships is key to mapping grant circuits. Money can appear to stop at a mid-point (the sponsor) but in reality it’s powering a distinct project beyond the sponsor’s own programs.</w:t>
      </w:r>
    </w:p>
    <w:bookmarkEnd w:id="26"/>
    <w:p w14:paraId="7D79DA17" w14:textId="77777777" w:rsidR="00406E3B" w:rsidRDefault="00406E3B" w:rsidP="00406E3B">
      <w:pPr>
        <w:pStyle w:val="Heading3"/>
      </w:pPr>
      <w:r>
        <w:t>Political Influences and Legal Boundaries</w:t>
      </w:r>
    </w:p>
    <w:p w14:paraId="46B091E7" w14:textId="77777777" w:rsidR="00406E3B" w:rsidRDefault="00406E3B" w:rsidP="00406E3B">
      <w:pPr>
        <w:pStyle w:val="FirstParagraph"/>
      </w:pPr>
      <w:r>
        <w:t xml:space="preserve">The commingling of philanthropic funding with politically relevant activities has fueled growing controversy. Critics across the political spectrum warn of </w:t>
      </w:r>
      <w:r>
        <w:rPr>
          <w:b/>
          <w:bCs/>
        </w:rPr>
        <w:t>“dark money” influencing democratic processes under the guise of charity</w:t>
      </w:r>
      <w:r>
        <w:t>, while foundations insist they operate within legal confines to address societal issues. Sorting allegation from fact requires examining what is and isn’t allowed for grant-funded work – and how some actors push those limits.</w:t>
      </w:r>
    </w:p>
    <w:p w14:paraId="7EDA13F8" w14:textId="77777777" w:rsidR="00406E3B" w:rsidRDefault="00406E3B" w:rsidP="00406E3B">
      <w:pPr>
        <w:pStyle w:val="BodyText"/>
      </w:pPr>
      <w:r>
        <w:t xml:space="preserve">Under U.S. law, </w:t>
      </w:r>
      <w:r>
        <w:rPr>
          <w:b/>
          <w:bCs/>
        </w:rPr>
        <w:t>501(c)(3) charities (including private foundations and public charities) are strictly prohibited from intervening in electoral campaigns</w:t>
      </w:r>
      <w:r>
        <w:t xml:space="preserve">. They </w:t>
      </w:r>
      <w:r>
        <w:rPr>
          <w:b/>
          <w:bCs/>
        </w:rPr>
        <w:t>cannot endorse or oppose candidates, donate to campaigns, or coordinate with political parties</w:t>
      </w:r>
      <w:r>
        <w:t>. Doing so risks loss of tax-exempt status and hefty taxes on the expenditures</w:t>
      </w:r>
      <w:hyperlink r:id="rId285" w:anchor=":~:text=Like%20other%20section%20501,campaign%20intervention%20are%20%2080">
        <w:r>
          <w:rPr>
            <w:rStyle w:val="Hyperlink"/>
          </w:rPr>
          <w:t>[76]</w:t>
        </w:r>
      </w:hyperlink>
      <w:hyperlink r:id="rId286" w:anchor=":~:text=tax,campaign%20intervention%20are%20%2080">
        <w:r>
          <w:rPr>
            <w:rStyle w:val="Hyperlink"/>
          </w:rPr>
          <w:t>[77]</w:t>
        </w:r>
      </w:hyperlink>
      <w:r>
        <w:t xml:space="preserve">. They may engage in a limited amount of lobbying on legislation (attempting to influence policy by contacting lawmakers or urging the public to do so), but if those lobbying activities become a “substantial part” of what they do, they violate the tax code. Private foundations face an even tighter restriction: any expenditure for lobbying or partisan activity is categorized as a </w:t>
      </w:r>
      <w:r>
        <w:rPr>
          <w:b/>
          <w:bCs/>
        </w:rPr>
        <w:t>“taxable expenditure,”</w:t>
      </w:r>
      <w:r>
        <w:t xml:space="preserve"> which can trigger excise taxes for the foundation and its managers</w:t>
      </w:r>
      <w:hyperlink r:id="rId287" w:anchor=":~:text=Like%20other%20section%20501,campaign%20intervention%20are%20%2080">
        <w:r>
          <w:rPr>
            <w:rStyle w:val="Hyperlink"/>
          </w:rPr>
          <w:t>[76]</w:t>
        </w:r>
      </w:hyperlink>
      <w:hyperlink r:id="rId288" w:anchor=":~:text=tax,campaign%20intervention%20are%20%2080">
        <w:r>
          <w:rPr>
            <w:rStyle w:val="Hyperlink"/>
          </w:rPr>
          <w:t>[78]</w:t>
        </w:r>
      </w:hyperlink>
      <w:r>
        <w:t xml:space="preserve">. In practice, this means a foundation like OSF </w:t>
      </w:r>
      <w:r>
        <w:rPr>
          <w:b/>
          <w:bCs/>
        </w:rPr>
        <w:t>must not earmark any grant for lobbying or electioneering purposes</w:t>
      </w:r>
      <w:r>
        <w:t>. It can fund policy research, public education, community organizing, litigation, and advocacy for issues in a non-partisan way. It can even fund voter registration drives, provided they are truly non-partisan (not targeting only one party’s likely supporters)</w:t>
      </w:r>
      <w:hyperlink r:id="rId289" w:anchor=":~:text=Dark%20Money%20Basics%20,they%20spend%20to%20influence%20elections">
        <w:r>
          <w:rPr>
            <w:rStyle w:val="Hyperlink"/>
          </w:rPr>
          <w:t>[79]</w:t>
        </w:r>
      </w:hyperlink>
      <w:r>
        <w:t xml:space="preserve">. But it </w:t>
      </w:r>
      <w:r>
        <w:rPr>
          <w:b/>
          <w:bCs/>
        </w:rPr>
        <w:t>must stop short of anything that could be construed as backing a candidate or party</w:t>
      </w:r>
      <w:r>
        <w:t>.</w:t>
      </w:r>
    </w:p>
    <w:p w14:paraId="0F3D151F" w14:textId="77777777" w:rsidR="00406E3B" w:rsidRDefault="00406E3B" w:rsidP="00406E3B">
      <w:pPr>
        <w:pStyle w:val="BodyText"/>
      </w:pPr>
      <w:r>
        <w:lastRenderedPageBreak/>
        <w:t xml:space="preserve">On the other hand, </w:t>
      </w:r>
      <w:r>
        <w:rPr>
          <w:b/>
          <w:bCs/>
        </w:rPr>
        <w:t>501(c)(4) social welfare organizations are permitted to engage in political campaign activity</w:t>
      </w:r>
      <w:r>
        <w:t>, as long as influencing elections is not their primary purpose (usually interpreted as &lt;50% of their expenditures)</w:t>
      </w:r>
      <w:hyperlink r:id="rId290" w:anchor=":~:text=political%20chessboard.,including%20transfers%20to%20super%20PACs">
        <w:r>
          <w:rPr>
            <w:rStyle w:val="Hyperlink"/>
          </w:rPr>
          <w:t>[80]</w:t>
        </w:r>
      </w:hyperlink>
      <w:r>
        <w:t xml:space="preserve">. They can also lobby for legislation without the limits that (c)(3)s have. Many politically active groups therefore operate both a (c)(3) arm (for charitable and educational work) and a (c)(4) arm (for lobbying and elections). For example, </w:t>
      </w:r>
      <w:r>
        <w:rPr>
          <w:b/>
          <w:bCs/>
        </w:rPr>
        <w:t>Planned Parenthood</w:t>
      </w:r>
      <w:r>
        <w:t xml:space="preserve"> has a 501(c)(3) health services and education arm, and a 501(c)(4) affiliate that does explicit political advocacy. The </w:t>
      </w:r>
      <w:r>
        <w:rPr>
          <w:b/>
          <w:bCs/>
        </w:rPr>
        <w:t>Sixteen Thirty Fund</w:t>
      </w:r>
      <w:r>
        <w:t xml:space="preserve"> discussed earlier is a 501(c)(4) that has spent heavily on campaign ads and partisan voter drives – it can legally devote up to 49% of its budget to such political activities</w:t>
      </w:r>
      <w:hyperlink r:id="rId291" w:anchor=":~:text=political%20chessboard.,including%20transfers%20to%20super%20PACs">
        <w:r>
          <w:rPr>
            <w:rStyle w:val="Hyperlink"/>
          </w:rPr>
          <w:t>[80]</w:t>
        </w:r>
      </w:hyperlink>
      <w:r>
        <w:t>. (In 2020, Sixteen Thirty Fund actually disbursed over $44 million to partisan Super PACs and political committees</w:t>
      </w:r>
      <w:hyperlink r:id="rId292" w:anchor=":~:text=employer%2C%20to%20name%20just%20a,few">
        <w:r>
          <w:rPr>
            <w:rStyle w:val="Hyperlink"/>
          </w:rPr>
          <w:t>[81]</w:t>
        </w:r>
      </w:hyperlink>
      <w:hyperlink r:id="rId293" w:anchor=":~:text=All%20told%2C%20Sixteen%20Thirty%20Fund,Brock%E2%80%99s%20Media%20Matters%20for%20America">
        <w:r>
          <w:rPr>
            <w:rStyle w:val="Hyperlink"/>
          </w:rPr>
          <w:t>[82]</w:t>
        </w:r>
      </w:hyperlink>
      <w:r>
        <w:t xml:space="preserve">, making it a major player in that election’s dark money.) Crucially, though, </w:t>
      </w:r>
      <w:r>
        <w:rPr>
          <w:b/>
          <w:bCs/>
        </w:rPr>
        <w:t>foundations (c)(3) are generally barred from funding c4 activities</w:t>
      </w:r>
      <w:hyperlink r:id="rId294" w:anchor=":~:text=Foundations%20are%20generally%20barred%20from,Thirty%20Fund%E2%80%99s%20donors%20are%20more">
        <w:r>
          <w:rPr>
            <w:rStyle w:val="Hyperlink"/>
          </w:rPr>
          <w:t>[83]</w:t>
        </w:r>
      </w:hyperlink>
      <w:r>
        <w:t>. A private foundation cannot give a grant to a (c)(4) to support the latter’s lobbying or election work – that would be an improper use of charitable funds for non-charitable purposes. Foundations can make grants to (c)(4)s only if strictly limited to the (c)(4)’s charitable programs (for instance, a foundation could fund a (c)(4)’s research report, but not its voter turnout campaign).</w:t>
      </w:r>
    </w:p>
    <w:p w14:paraId="355FFBD6" w14:textId="77777777" w:rsidR="00406E3B" w:rsidRDefault="00406E3B" w:rsidP="00406E3B">
      <w:pPr>
        <w:pStyle w:val="BodyText"/>
      </w:pPr>
      <w:r>
        <w:t xml:space="preserve">Aware of these limits, strategic donors have adopted a simple workaround: </w:t>
      </w:r>
      <w:r>
        <w:rPr>
          <w:b/>
          <w:bCs/>
        </w:rPr>
        <w:t>separate funding streams for different outcomes</w:t>
      </w:r>
      <w:r>
        <w:t xml:space="preserve">. A philanthropist like George Soros gives billions to OSF for bona fide charitable initiatives worldwide, while simultaneously </w:t>
      </w:r>
      <w:r>
        <w:rPr>
          <w:b/>
          <w:bCs/>
        </w:rPr>
        <w:t>donating from his personal funds to overt political causes</w:t>
      </w:r>
      <w:r>
        <w:t xml:space="preserve">. Soros, for example, was a major donor to super PACs supporting Democratic candidates in the U.S., and he also bankrolls the </w:t>
      </w:r>
      <w:r>
        <w:rPr>
          <w:b/>
          <w:bCs/>
        </w:rPr>
        <w:t>Open Society Policy Center (OSPC)</w:t>
      </w:r>
      <w:r>
        <w:t>, a 501(c)(4) affiliate of OSF that lobbies in Washington on issues like immigration and criminal justice reform</w:t>
      </w:r>
      <w:hyperlink r:id="rId295" w:anchor=":~:text=Engagement%20Fund%20www,to%20find%2C%20because%20they%20won%E2%80%99t">
        <w:r>
          <w:rPr>
            <w:rStyle w:val="Hyperlink"/>
          </w:rPr>
          <w:t>[84]</w:t>
        </w:r>
      </w:hyperlink>
      <w:r>
        <w:t xml:space="preserve">. In 2018, OSPC was reportedly among the biggest lobbying spenders in the country, channeling $31 million into issue advocacy on Capitol Hill. This money did not come from OSF’s tax-exempt endowment; it came from Soros’s non-charitable pocket (or potentially from investment income that OSF deliberately routed through OSPC to comply with regulations). </w:t>
      </w:r>
      <w:r>
        <w:rPr>
          <w:b/>
          <w:bCs/>
        </w:rPr>
        <w:t>Many philanthropists set up parallel political vehicles</w:t>
      </w:r>
      <w:r>
        <w:t xml:space="preserve"> in this way. On the right, the Koch brothers for years ran a trio of entities: private foundations (tax-deductible, funding universities and think tanks), social-welfare nonprofits like </w:t>
      </w:r>
      <w:r>
        <w:rPr>
          <w:b/>
          <w:bCs/>
        </w:rPr>
        <w:t>Americans for Prosperity (a c4)</w:t>
      </w:r>
      <w:r>
        <w:t xml:space="preserve"> which mobilized voters and lobbied for libertarian policies, and super PACs which spent on elections. They respected the firewalls between these to avoid legal trouble, but coordinated an overall agenda. Similarly, the aforementioned </w:t>
      </w:r>
      <w:r>
        <w:rPr>
          <w:b/>
          <w:bCs/>
        </w:rPr>
        <w:t>Leonard Leo network</w:t>
      </w:r>
      <w:r>
        <w:t xml:space="preserve"> now spans Marble Freedom Trust (a tax-exempt trust acting like a c4 funding conduit) and various super PACs and campaign entities – separate legally, unified in purpose. </w:t>
      </w:r>
      <w:r>
        <w:rPr>
          <w:b/>
          <w:bCs/>
        </w:rPr>
        <w:t>The money flows are orchestrated to maximize impact:</w:t>
      </w:r>
      <w:r>
        <w:t xml:space="preserve"> charitable funds cover long-term movement-building and public persuasion, while hard-edged political dollars target elections and legislation.</w:t>
      </w:r>
    </w:p>
    <w:p w14:paraId="3E4D15B6" w14:textId="77777777" w:rsidR="00406E3B" w:rsidRDefault="00406E3B" w:rsidP="00406E3B">
      <w:pPr>
        <w:pStyle w:val="BodyText"/>
      </w:pPr>
      <w:r>
        <w:t xml:space="preserve">From one perspective, this is a story of </w:t>
      </w:r>
      <w:r>
        <w:rPr>
          <w:i/>
          <w:iCs/>
        </w:rPr>
        <w:t>compliance</w:t>
      </w:r>
      <w:r>
        <w:t xml:space="preserve">: by and large, major foundations do </w:t>
      </w:r>
      <w:r>
        <w:rPr>
          <w:b/>
          <w:bCs/>
        </w:rPr>
        <w:t>follow the letter of the law</w:t>
      </w:r>
      <w:r>
        <w:t xml:space="preserve">. There have been surprisingly few IRS penalties on big philanthropies for political violations in recent decades. Even overtly political operations find ways to attribute expenses to issue advocacy rather than partisan activity. However, critics argue that the spirit of the law is being flouted. For instance, when a (c)(3) funds a </w:t>
      </w:r>
      <w:r>
        <w:lastRenderedPageBreak/>
        <w:t xml:space="preserve">get-out-the-vote drive that is technically nonpartisan but is strategically deployed in heavily one-party neighborhoods, the effect is partisan even if not by explicit design. Or when a foundation funds a charity that then gives a grant to a c4 (something that can happen indirectly through donor-advised funds), it raises questions of intent. An investigative report by </w:t>
      </w:r>
      <w:r>
        <w:rPr>
          <w:i/>
          <w:iCs/>
        </w:rPr>
        <w:t>Tablet</w:t>
      </w:r>
      <w:r>
        <w:t xml:space="preserve"> Magazine highlighted that </w:t>
      </w:r>
      <w:r>
        <w:rPr>
          <w:b/>
          <w:bCs/>
        </w:rPr>
        <w:t>left-leaning foundations (including Wellspring and Marisla) gave sizable grants to the Sixteen Thirty Fund’s 501(c)(4)</w:t>
      </w:r>
      <w:r>
        <w:t xml:space="preserve"> in the late 2010s, which would ordinarily be off-limits</w:t>
      </w:r>
      <w:hyperlink r:id="rId296" w:anchor=":~:text=co,real%20estate%20mogul%3B%20%2424%20million">
        <w:r>
          <w:rPr>
            <w:rStyle w:val="Hyperlink"/>
          </w:rPr>
          <w:t>[85]</w:t>
        </w:r>
      </w:hyperlink>
      <w:hyperlink r:id="rId297" w:anchor=":~:text=Foundations%20are%20generally%20barred%20from,Democracy%20Fund%20Voice%3B%20AFSCME%2C%20a">
        <w:r>
          <w:rPr>
            <w:rStyle w:val="Hyperlink"/>
          </w:rPr>
          <w:t>[86]</w:t>
        </w:r>
      </w:hyperlink>
      <w:r>
        <w:t>. Possibly those were intended for legitimately charitable programs run by the c4, but once commingled in Sixteen Thirty’s pot, money is fungible. The report suggested that such arrangements make original donors “obscure” and the eventual political spending hard to trace</w:t>
      </w:r>
      <w:hyperlink r:id="rId298" w:anchor=":~:text=Foundations%20are%20generally%20barred%20from,Democracy%20Fund%20Voice%3B%20AFSCME%2C%20a">
        <w:r>
          <w:rPr>
            <w:rStyle w:val="Hyperlink"/>
          </w:rPr>
          <w:t>[86]</w:t>
        </w:r>
      </w:hyperlink>
      <w:hyperlink r:id="rId299" w:anchor=":~:text=may%20even%20endorse%20candidates%20,with%20the%20Tides%20Foundation%3B%20and">
        <w:r>
          <w:rPr>
            <w:rStyle w:val="Hyperlink"/>
          </w:rPr>
          <w:t>[87]</w:t>
        </w:r>
      </w:hyperlink>
      <w:r>
        <w:t xml:space="preserve">. This lack of transparency led a Senate inquiry in 2021 to label the Arabella network’s funds as </w:t>
      </w:r>
      <w:r>
        <w:rPr>
          <w:b/>
          <w:bCs/>
        </w:rPr>
        <w:t>“shadowy conduits”</w:t>
      </w:r>
      <w:r>
        <w:t xml:space="preserve"> and call for oversight on how tax-exempt funds might subsidize partisan interests</w:t>
      </w:r>
      <w:hyperlink r:id="rId300" w:anchor=":~:text=,New%20Venture%20Fund%20and%20the">
        <w:r>
          <w:rPr>
            <w:rStyle w:val="Hyperlink"/>
          </w:rPr>
          <w:t>[88]</w:t>
        </w:r>
      </w:hyperlink>
      <w:hyperlink r:id="rId301" w:anchor=":~:text=funder%20to%20Arabella%27s%201630%20Fund%2C,New%20Venture%20Fund%20and%20the">
        <w:r>
          <w:rPr>
            <w:rStyle w:val="Hyperlink"/>
          </w:rPr>
          <w:t>[89]</w:t>
        </w:r>
      </w:hyperlink>
      <w:r>
        <w:t>.</w:t>
      </w:r>
    </w:p>
    <w:p w14:paraId="2E46C035" w14:textId="77777777" w:rsidR="00406E3B" w:rsidRDefault="00406E3B" w:rsidP="00406E3B">
      <w:pPr>
        <w:pStyle w:val="BodyText"/>
      </w:pPr>
      <w:r>
        <w:t xml:space="preserve">Foundations push back against these critiques by emphasizing the </w:t>
      </w:r>
      <w:r>
        <w:rPr>
          <w:b/>
          <w:bCs/>
        </w:rPr>
        <w:t>social benefits of their grantmaking</w:t>
      </w:r>
      <w:r>
        <w:t xml:space="preserve">. They argue that supporting voting rights, civic participation, policy research, and litigation to uphold rights are all </w:t>
      </w:r>
      <w:r>
        <w:rPr>
          <w:i/>
          <w:iCs/>
        </w:rPr>
        <w:t>charitable activities</w:t>
      </w:r>
      <w:r>
        <w:t xml:space="preserve">, not partisan ones. In their view, the fact that these causes have political ramifications doesn’t strip them of their public-interest nature. For example, OSF would assert that its funding of groups fighting corruption or defending minority rights is about </w:t>
      </w:r>
      <w:r>
        <w:rPr>
          <w:i/>
          <w:iCs/>
        </w:rPr>
        <w:t>justice and openness</w:t>
      </w:r>
      <w:r>
        <w:t xml:space="preserve">, not helping any one party – even if the outcomes may align more with one side’s platform. Foundation leaders also note that </w:t>
      </w:r>
      <w:r>
        <w:rPr>
          <w:b/>
          <w:bCs/>
        </w:rPr>
        <w:t>all their grants and finances are reported publicly</w:t>
      </w:r>
      <w:r>
        <w:t xml:space="preserve"> (in Form 990s or 990-PFs), providing a degree of accountability that dark money Super PACs lack. Indeed, some philanthropy experts caution against lumping true charitable philanthropy with Super PAC spending under the catch-all term “dark money.” They point out that </w:t>
      </w:r>
      <w:r>
        <w:rPr>
          <w:b/>
          <w:bCs/>
        </w:rPr>
        <w:t>philanthropic grants, even for advocacy, must ultimately further a charitable purpose</w:t>
      </w:r>
      <w:r>
        <w:t xml:space="preserve"> like educating voters, advancing civil rights, or improving public policy – objectives which, at least on paper, differ from outright electioneering.</w:t>
      </w:r>
    </w:p>
    <w:p w14:paraId="6B4889F7" w14:textId="77777777" w:rsidR="00406E3B" w:rsidRDefault="00406E3B" w:rsidP="00406E3B">
      <w:pPr>
        <w:pStyle w:val="BodyText"/>
      </w:pPr>
      <w:r>
        <w:t xml:space="preserve">Internationally, the picture varies. In many countries, the laws on NGOs and political activity are even stricter (or arbitrarily enforced). The </w:t>
      </w:r>
      <w:r>
        <w:rPr>
          <w:b/>
          <w:bCs/>
        </w:rPr>
        <w:t>Russian government’s ban on OSF and similar NGOs</w:t>
      </w:r>
      <w:r>
        <w:t xml:space="preserve"> was premised on the claim that foreign funding for civil society constituted interference in domestic politics</w:t>
      </w:r>
      <w:hyperlink r:id="rId302" w:anchor=":~:text=In%20November%202015%2C%20Russia%20,47">
        <w:r>
          <w:rPr>
            <w:rStyle w:val="Hyperlink"/>
          </w:rPr>
          <w:t>[29]</w:t>
        </w:r>
      </w:hyperlink>
      <w:r>
        <w:t xml:space="preserve">. Hungary’s government under Viktor Orbán made a similar argument, accusing Soros and OSF-funded groups of being “political activists advocating for change of policy in Hungary” under the cover of human rights work, and passed a law targeting organizations receiving foreign grants. In these regimes’ narratives, large-scale philanthropy backing human rights or pro-democracy initiatives is essentially a form of </w:t>
      </w:r>
      <w:r>
        <w:rPr>
          <w:i/>
          <w:iCs/>
        </w:rPr>
        <w:t>soft regime-change operation</w:t>
      </w:r>
      <w:r>
        <w:t xml:space="preserve">. Soros in particular became a personalized bogeyman; officials spoke of the need to </w:t>
      </w:r>
      <w:r>
        <w:rPr>
          <w:b/>
          <w:bCs/>
        </w:rPr>
        <w:t>“stop Soros”</w:t>
      </w:r>
      <w:r>
        <w:t xml:space="preserve"> and even pushed “Stop Soros” legislation to curb NGO activities. Authoritarian and populist leaders from Eastern Europe to South Asia have echoed this rhetoric, portraying grants for media development, transparency, or minority rights as </w:t>
      </w:r>
      <w:r>
        <w:rPr>
          <w:b/>
          <w:bCs/>
        </w:rPr>
        <w:t>foreign meddling in sovereign affairs</w:t>
      </w:r>
      <w:hyperlink r:id="rId303" w:anchor=":~:text=In%202017%2C%20Open%20Society%20Foundations,570%20in%20the%20United">
        <w:r>
          <w:rPr>
            <w:rStyle w:val="Hyperlink"/>
          </w:rPr>
          <w:t>[90]</w:t>
        </w:r>
      </w:hyperlink>
      <w:hyperlink r:id="rId304" w:anchor=":~:text=by%20the%20first%20Trump%20Administration,Hungarian%20Civil%20Liberties%20Union%2C%20which">
        <w:r>
          <w:rPr>
            <w:rStyle w:val="Hyperlink"/>
          </w:rPr>
          <w:t>[91]</w:t>
        </w:r>
      </w:hyperlink>
      <w:r>
        <w:t xml:space="preserve">. As a result, OSF and others have sometimes had to </w:t>
      </w:r>
      <w:r>
        <w:rPr>
          <w:b/>
          <w:bCs/>
        </w:rPr>
        <w:t>scale back or relocate their operations</w:t>
      </w:r>
      <w:r>
        <w:t xml:space="preserve">. (OSF moved its East European hub out of Budapest in 2018 amid the </w:t>
      </w:r>
      <w:r>
        <w:lastRenderedPageBreak/>
        <w:t>Hungarian government’s hostility</w:t>
      </w:r>
      <w:hyperlink r:id="rId305" w:anchor=":~:text=In%202017%2C%20the%20government%20of,50">
        <w:r>
          <w:rPr>
            <w:rStyle w:val="Hyperlink"/>
          </w:rPr>
          <w:t>[20]</w:t>
        </w:r>
      </w:hyperlink>
      <w:r>
        <w:t>, and it closed its Turkey office the same year after similar pressure</w:t>
      </w:r>
      <w:hyperlink r:id="rId306" w:anchor=":~:text=Budapest%20to%20Berlin%2C%20amid%20Hungarian,53">
        <w:r>
          <w:rPr>
            <w:rStyle w:val="Hyperlink"/>
          </w:rPr>
          <w:t>[92]</w:t>
        </w:r>
      </w:hyperlink>
      <w:r>
        <w:t>.)</w:t>
      </w:r>
    </w:p>
    <w:p w14:paraId="58E1CB54" w14:textId="77777777" w:rsidR="00406E3B" w:rsidRDefault="00406E3B" w:rsidP="00406E3B">
      <w:pPr>
        <w:pStyle w:val="BodyText"/>
      </w:pPr>
      <w:r>
        <w:t xml:space="preserve">These accusations are often politically motivated and not grounded in legal transgressions by the foundations. However, they feed a public perception that </w:t>
      </w:r>
      <w:r>
        <w:rPr>
          <w:b/>
          <w:bCs/>
        </w:rPr>
        <w:t>philanthropy can be a vehicle for hidden agendas</w:t>
      </w:r>
      <w:r>
        <w:t xml:space="preserve">. Even in open societies like the United States, trust in big donors is shaky. Polls have shown many Americans suspect that philanthropic giving by billionaires is </w:t>
      </w:r>
      <w:r>
        <w:rPr>
          <w:b/>
          <w:bCs/>
        </w:rPr>
        <w:t>more about influence and image</w:t>
      </w:r>
      <w:r>
        <w:t xml:space="preserve"> than altruism. The reality is nuanced: clearly, donors do seek to advance their vision of a good society – be it a liberal, cosmopolitan vision in Soros’s case or a conservative, traditionalist vision in Leo’s case. They operate legally, but their spending can have </w:t>
      </w:r>
      <w:r>
        <w:rPr>
          <w:i/>
          <w:iCs/>
        </w:rPr>
        <w:t>de facto</w:t>
      </w:r>
      <w:r>
        <w:t xml:space="preserve"> political impact. When OSF funds campaigns to reduce incarceration by 50% or to support immigration reform with a path to citizenship</w:t>
      </w:r>
      <w:hyperlink r:id="rId307" w:anchor=":~:text=OSF%E2%80%99s%20U,5">
        <w:r>
          <w:rPr>
            <w:rStyle w:val="Hyperlink"/>
          </w:rPr>
          <w:t>[47]</w:t>
        </w:r>
      </w:hyperlink>
      <w:r>
        <w:t xml:space="preserve">, it is pursuing policy outcomes that align more with one political ideology. When the Koch Foundation funds university programs extolling free-market economics, it likewise influences the intellectual climate in a way congenial to its political stance. The </w:t>
      </w:r>
      <w:r>
        <w:rPr>
          <w:b/>
          <w:bCs/>
        </w:rPr>
        <w:t>boundary of permitted activity by law is drawn not by motive but by mode</w:t>
      </w:r>
      <w:r>
        <w:t>: influence through ideas, research, and nonpartisan advocacy is allowed; influence through electioneering or quid-pro-quo is not.</w:t>
      </w:r>
    </w:p>
    <w:p w14:paraId="6942466E" w14:textId="77777777" w:rsidR="00406E3B" w:rsidRDefault="00406E3B" w:rsidP="00406E3B">
      <w:pPr>
        <w:pStyle w:val="BodyText"/>
      </w:pPr>
      <w:r>
        <w:t xml:space="preserve">There have been instances where watchdogs flagged foundations for coming uncomfortably close to the line. The </w:t>
      </w:r>
      <w:r>
        <w:rPr>
          <w:b/>
          <w:bCs/>
        </w:rPr>
        <w:t>Clinton Foundation</w:t>
      </w:r>
      <w:r>
        <w:t xml:space="preserve">, for example, while a 501(c)(3) focusing on global health and development, drew scrutiny during Hillary Clinton’s presidential run for potential conflicts of interest (donors who had business before the State Department). Though it wasn’t accused of direct campaign activity, it highlighted that </w:t>
      </w:r>
      <w:r>
        <w:rPr>
          <w:b/>
          <w:bCs/>
        </w:rPr>
        <w:t>large donations to charitable foundations can serve to curry favor with powerful figures indirectly</w:t>
      </w:r>
      <w:r>
        <w:t xml:space="preserve">. Another case: the </w:t>
      </w:r>
      <w:r>
        <w:rPr>
          <w:b/>
          <w:bCs/>
        </w:rPr>
        <w:t>Trump Foundation</w:t>
      </w:r>
      <w:r>
        <w:t xml:space="preserve"> (a small private foundation) was actually caught making a political contribution – a donation to a state attorney general’s campaign – which is illegal. That, among other self-dealing issues, led to its dissolution by court order. These are cautionary tales that the IRS and state AGs do have enforcement power, albeit used rarely.</w:t>
      </w:r>
    </w:p>
    <w:p w14:paraId="2E94DFE6" w14:textId="77777777" w:rsidR="00406E3B" w:rsidRDefault="00406E3B" w:rsidP="00406E3B">
      <w:pPr>
        <w:pStyle w:val="BodyText"/>
      </w:pPr>
      <w:r>
        <w:t xml:space="preserve">In the big picture, the trend has been a </w:t>
      </w:r>
      <w:r>
        <w:rPr>
          <w:b/>
          <w:bCs/>
        </w:rPr>
        <w:t>blurring of lines between philanthropy and politics</w:t>
      </w:r>
      <w:r>
        <w:t>. As Leonard Leo’s quote suggested, major players now explicitly see themselves as counterweights to one another’s influence via philanthropic vehicles</w:t>
      </w:r>
      <w:hyperlink r:id="rId308" w:anchor=":~:text=In%20a%20statement%20to%20the,representatives%20for%20Seid%20did%20not">
        <w:r>
          <w:rPr>
            <w:rStyle w:val="Hyperlink"/>
          </w:rPr>
          <w:t>[4]</w:t>
        </w:r>
      </w:hyperlink>
      <w:r>
        <w:t xml:space="preserve">. </w:t>
      </w:r>
      <w:r>
        <w:rPr>
          <w:b/>
          <w:bCs/>
        </w:rPr>
        <w:t>Campaigns are launched not just in political committees but within networks of charitable entities</w:t>
      </w:r>
      <w:r>
        <w:t xml:space="preserve"> that shape narratives and mobilize constituencies in a legally compliant way. This raises an important question for the future: Is the regulatory framework keeping up? Some experts advocate revisiting the rules for 501(c) organizations, perhaps by mandating more transparency or tightening the definition of permissible issue advocacy. Others fear that cracking down could </w:t>
      </w:r>
      <w:r>
        <w:rPr>
          <w:b/>
          <w:bCs/>
        </w:rPr>
        <w:t>chill legitimate charitable work</w:t>
      </w:r>
      <w:r>
        <w:t>, especially advocacy for marginalized groups who rely on foundation support to have a political voice at all.</w:t>
      </w:r>
    </w:p>
    <w:p w14:paraId="205E50A6" w14:textId="77777777" w:rsidR="00406E3B" w:rsidRDefault="00406E3B" w:rsidP="00406E3B">
      <w:pPr>
        <w:pStyle w:val="BodyText"/>
      </w:pPr>
      <w:r>
        <w:t xml:space="preserve">For the time being, foundations and their intermediaries operate with considerable freedom as long as they adhere to IRS guidelines. </w:t>
      </w:r>
      <w:r>
        <w:rPr>
          <w:b/>
          <w:bCs/>
        </w:rPr>
        <w:t>Allegations that grants are used for partisan ends remain difficult to prove</w:t>
      </w:r>
      <w:r>
        <w:t xml:space="preserve"> unless there’s a blatant communication of intent. </w:t>
      </w:r>
      <w:r>
        <w:lastRenderedPageBreak/>
        <w:t xml:space="preserve">Foundations typically document their grants with language about charitable purpose, and grantees know to separate any lobbying or electoral work to a different budget. The web of </w:t>
      </w:r>
      <w:r>
        <w:rPr>
          <w:b/>
          <w:bCs/>
        </w:rPr>
        <w:t>grant circuits thus continues to fund policy change efforts energetically</w:t>
      </w:r>
      <w:r>
        <w:t xml:space="preserve">, if opaquely. As readers following the money, we must recognize both the </w:t>
      </w:r>
      <w:r>
        <w:rPr>
          <w:b/>
          <w:bCs/>
        </w:rPr>
        <w:t>power and limits of philanthropic dollars</w:t>
      </w:r>
      <w:r>
        <w:t xml:space="preserve"> in the political arena. They can seed ideas, empower movements, and shift public discourse – often accomplishing through civil society what cannot be done in electoral politics. But they operate in a constrained channel: one that must always be justified in terms of public benefit, not private interest or party gain.</w:t>
      </w:r>
    </w:p>
    <w:p w14:paraId="5D48BED4" w14:textId="77777777" w:rsidR="00406E3B" w:rsidRDefault="00406E3B" w:rsidP="00406E3B">
      <w:pPr>
        <w:pStyle w:val="BodyText"/>
      </w:pPr>
      <w:r>
        <w:t xml:space="preserve">In conclusion, “following the money” in modern grant circuits reveals a double-edged dynamic. </w:t>
      </w:r>
      <w:r>
        <w:rPr>
          <w:b/>
          <w:bCs/>
        </w:rPr>
        <w:t>Philanthropic funding flows fuel tremendous good – building schools, fighting diseases, defending human rights – yet those same flows can also be marshaled to subtly advance partisan or personal agendas</w:t>
      </w:r>
      <w:r>
        <w:t>. Transparency and accountability in these circuits have not kept pace with their growth and sophistication. Chapter 4 has traced how money moves and the controversies it stirs; in the next chapter, we will examine what all this funding has actually achieved on the ground and how impact is measured, disputed, and sometimes manipulated. Understanding the financial circuitry is crucial, but it is only meaningful in light of outcomes – the subject to which we now turn.</w:t>
      </w:r>
    </w:p>
    <w:p w14:paraId="4ACDB2A4" w14:textId="77777777" w:rsidR="00406E3B" w:rsidRDefault="00000000" w:rsidP="00406E3B">
      <w:r>
        <w:pict w14:anchorId="6251B1BC">
          <v:rect id="_x0000_i1029" style="width:0;height:1.5pt" o:hralign="center" o:hrstd="t" o:hr="t"/>
        </w:pict>
      </w:r>
    </w:p>
    <w:p w14:paraId="30A59FAB" w14:textId="77777777" w:rsidR="00406E3B" w:rsidRDefault="00406E3B" w:rsidP="00406E3B"/>
    <w:p w14:paraId="0C8FD407" w14:textId="77777777" w:rsidR="00406E3B" w:rsidRDefault="00406E3B" w:rsidP="00406E3B"/>
    <w:p w14:paraId="310C505A" w14:textId="77777777" w:rsidR="00406E3B" w:rsidRDefault="00406E3B" w:rsidP="00406E3B"/>
    <w:p w14:paraId="481B54B4" w14:textId="77777777" w:rsidR="00406E3B" w:rsidRDefault="00406E3B" w:rsidP="00406E3B"/>
    <w:p w14:paraId="7CEB8981" w14:textId="77777777" w:rsidR="00406E3B" w:rsidRDefault="00406E3B" w:rsidP="00406E3B"/>
    <w:p w14:paraId="71467E17" w14:textId="77777777" w:rsidR="00406E3B" w:rsidRDefault="00406E3B" w:rsidP="00406E3B"/>
    <w:p w14:paraId="3EDBD1F3" w14:textId="77777777" w:rsidR="00406E3B" w:rsidRDefault="00406E3B" w:rsidP="00406E3B">
      <w:pPr>
        <w:pStyle w:val="Heading2"/>
      </w:pPr>
      <w:r>
        <w:t>Chapter 5: Media and Narrative Infrastructure</w:t>
      </w:r>
    </w:p>
    <w:p w14:paraId="121235C4" w14:textId="77777777" w:rsidR="00406E3B" w:rsidRDefault="00406E3B" w:rsidP="00406E3B">
      <w:pPr>
        <w:pStyle w:val="Heading3"/>
      </w:pPr>
      <w:bookmarkStart w:id="27" w:name="a-global-media-support-strategy"/>
      <w:r>
        <w:t>A Global Media Support Strategy</w:t>
      </w:r>
    </w:p>
    <w:p w14:paraId="5FA5558D" w14:textId="77777777" w:rsidR="00406E3B" w:rsidRDefault="00406E3B" w:rsidP="00406E3B">
      <w:pPr>
        <w:pStyle w:val="FirstParagraph"/>
      </w:pPr>
      <w:r>
        <w:t>The Open Society Foundations (OSF) has long treated independent journalism as a pillar of an open society. From its earliest projects – such as supplying photocopiers to break Communist information monopolies in 1980s Hungary – OSF’s mission has included empowering free media</w:t>
      </w:r>
      <w:hyperlink r:id="rId309" w:anchor=":~:text=OSF%E2%80%99s%C2%A0mission%C2%A0is%20%E2%80%9Cto%20build%20vibrant%20and,information%E2%80%9D%20in%20Soros%E2%80%99s%20native%20country">
        <w:r>
          <w:rPr>
            <w:rStyle w:val="Hyperlink"/>
          </w:rPr>
          <w:t>[1]</w:t>
        </w:r>
      </w:hyperlink>
      <w:hyperlink r:id="rId310" w:anchor=":~:text=participation%20of%20all%20people,information%E2%80%9D%20in%20Soros%E2%80%99s%20native%20country">
        <w:r>
          <w:rPr>
            <w:rStyle w:val="Hyperlink"/>
          </w:rPr>
          <w:t>[2]</w:t>
        </w:r>
      </w:hyperlink>
      <w:r>
        <w:t xml:space="preserve">. Over decades, OSF built extensive programs to </w:t>
      </w:r>
      <w:r>
        <w:rPr>
          <w:b/>
          <w:bCs/>
        </w:rPr>
        <w:t>fund independent media outlets, train journalists, and defend press freedom</w:t>
      </w:r>
      <w:r>
        <w:t xml:space="preserve">. The rationale, as OSF states, is straightforward: </w:t>
      </w:r>
      <w:r>
        <w:rPr>
          <w:b/>
          <w:bCs/>
        </w:rPr>
        <w:t>vibrant democracies require a diverse, professional press to hold power accountable</w:t>
      </w:r>
      <w:hyperlink r:id="rId311" w:anchor=":~:text=Juan%20Williams%20may%20be%20gone,50%20of%20its%20member%20stations">
        <w:r>
          <w:rPr>
            <w:rStyle w:val="Hyperlink"/>
          </w:rPr>
          <w:t>[3]</w:t>
        </w:r>
      </w:hyperlink>
      <w:hyperlink r:id="rId312" w:anchor=":~:text=,a%20statement%20earlier%20this%20week">
        <w:r>
          <w:rPr>
            <w:rStyle w:val="Hyperlink"/>
          </w:rPr>
          <w:t>[4]</w:t>
        </w:r>
      </w:hyperlink>
      <w:r>
        <w:t>. This support is especially focused on environments where media is under threat from authoritarian control or market collapse</w:t>
      </w:r>
      <w:hyperlink r:id="rId313" w:anchor=":~:text=Media%20Freedom">
        <w:r>
          <w:rPr>
            <w:rStyle w:val="Hyperlink"/>
          </w:rPr>
          <w:t>[5]</w:t>
        </w:r>
      </w:hyperlink>
      <w:hyperlink r:id="rId314" w:anchor=":~:text=The%20Open%20Society%20Foundations%20,%E2%80%9D">
        <w:r>
          <w:rPr>
            <w:rStyle w:val="Hyperlink"/>
          </w:rPr>
          <w:t>[6]</w:t>
        </w:r>
      </w:hyperlink>
      <w:r>
        <w:t xml:space="preserve">. OSF’s leadership often frames journalism aid as part of </w:t>
      </w:r>
      <w:r>
        <w:rPr>
          <w:b/>
          <w:bCs/>
        </w:rPr>
        <w:t>“building vibrant and tolerant societies”</w:t>
      </w:r>
      <w:r>
        <w:t xml:space="preserve"> – enabling citizens’ voices and exposing abuses of power</w:t>
      </w:r>
      <w:hyperlink r:id="rId315" w:anchor=":~:text=OSF%E2%80%99s%C2%A0mission%C2%A0is%20%E2%80%9Cto%20build%20vibrant%20and,information%E2%80%9D%20in%20Soros%E2%80%99s%20native%20country">
        <w:r>
          <w:rPr>
            <w:rStyle w:val="Hyperlink"/>
          </w:rPr>
          <w:t>[1]</w:t>
        </w:r>
      </w:hyperlink>
      <w:hyperlink r:id="rId316" w:anchor=":~:text=The%20Open%20Society%20Foundations%20,%E2%80%9D">
        <w:r>
          <w:rPr>
            <w:rStyle w:val="Hyperlink"/>
          </w:rPr>
          <w:t>[7]</w:t>
        </w:r>
      </w:hyperlink>
      <w:r>
        <w:t xml:space="preserve">. In </w:t>
      </w:r>
      <w:r>
        <w:lastRenderedPageBreak/>
        <w:t>practice, this has meant funding everything from hyper-local news startups to global investigative collaborations.</w:t>
      </w:r>
    </w:p>
    <w:p w14:paraId="64CFE8A6" w14:textId="77777777" w:rsidR="00406E3B" w:rsidRDefault="00406E3B" w:rsidP="00406E3B">
      <w:pPr>
        <w:pStyle w:val="BodyText"/>
      </w:pPr>
      <w:r>
        <w:t xml:space="preserve">By the mid-2010s, OSF’s media assistance was formally consolidated under its </w:t>
      </w:r>
      <w:r>
        <w:rPr>
          <w:b/>
          <w:bCs/>
        </w:rPr>
        <w:t>Program on Independent Journalism (PIJ)</w:t>
      </w:r>
      <w:hyperlink r:id="rId317" w:anchor=":~:text=The%20Open%20Society%20Foundations%20,%E2%80%9D">
        <w:r>
          <w:rPr>
            <w:rStyle w:val="Hyperlink"/>
          </w:rPr>
          <w:t>[6]</w:t>
        </w:r>
      </w:hyperlink>
      <w:r>
        <w:t>. Housed in OSF’s London office, PIJ took over from the older “Media Program” in 2014 and sharpened its priorities</w:t>
      </w:r>
      <w:hyperlink r:id="rId318" w:anchor=":~:text=Free%20and%20independent%20media%20has,%E2%80%9D">
        <w:r>
          <w:rPr>
            <w:rStyle w:val="Hyperlink"/>
          </w:rPr>
          <w:t>[8]</w:t>
        </w:r>
      </w:hyperlink>
      <w:r>
        <w:t xml:space="preserve">. Program Director María Teresa Ronderos described the shift: OSF would </w:t>
      </w:r>
      <w:r>
        <w:rPr>
          <w:b/>
          <w:bCs/>
        </w:rPr>
        <w:t>de-emphasize media policy advocacy</w:t>
      </w:r>
      <w:r>
        <w:t xml:space="preserve"> and focus resources on supporting quality journalism, diversity of voices, and viability of outlets on the ground</w:t>
      </w:r>
      <w:hyperlink r:id="rId319" w:anchor=":~:text=Free%20and%20independent%20media%20has,%E2%80%9D">
        <w:r>
          <w:rPr>
            <w:rStyle w:val="Hyperlink"/>
          </w:rPr>
          <w:t>[8]</w:t>
        </w:r>
      </w:hyperlink>
      <w:r>
        <w:t xml:space="preserve">. </w:t>
      </w:r>
      <w:r>
        <w:rPr>
          <w:i/>
          <w:iCs/>
        </w:rPr>
        <w:t>“Quality journalism must be independent,”</w:t>
      </w:r>
      <w:r>
        <w:t xml:space="preserve"> Ronderos explained, and it should give marginalized people channels to connect with society</w:t>
      </w:r>
      <w:hyperlink r:id="rId320" w:anchor=":~:text=funding%20priorities%20reflect%20this%2C%E2%80%9D%20Colombian,%E2%80%9D">
        <w:r>
          <w:rPr>
            <w:rStyle w:val="Hyperlink"/>
          </w:rPr>
          <w:t>[9]</w:t>
        </w:r>
      </w:hyperlink>
      <w:hyperlink r:id="rId321" w:anchor=":~:text=Quality%20journalism%20must%20be%20independent%2C,%E2%80%9D">
        <w:r>
          <w:rPr>
            <w:rStyle w:val="Hyperlink"/>
          </w:rPr>
          <w:t>[10]</w:t>
        </w:r>
      </w:hyperlink>
      <w:r>
        <w:t xml:space="preserve">. OSF thus began concentrating on </w:t>
      </w:r>
      <w:r>
        <w:rPr>
          <w:b/>
          <w:bCs/>
        </w:rPr>
        <w:t>investigative reporting, digital innovation, and business sustainability</w:t>
      </w:r>
      <w:r>
        <w:t xml:space="preserve"> for media, seeing these as critical needs amid industry upheaval. According to Ronderos, the rise of online disinformation and superficial “hot takes” only made OSF more determined to back rigorous, fact-based journalism as an antidote</w:t>
      </w:r>
      <w:hyperlink r:id="rId322" w:anchor=":~:text=Yet%20Ronderos%2C%20like%20many%20other,see%20on%20Twitter%2C%E2%80%9D%20she%20said">
        <w:r>
          <w:rPr>
            <w:rStyle w:val="Hyperlink"/>
          </w:rPr>
          <w:t>[11]</w:t>
        </w:r>
      </w:hyperlink>
      <w:hyperlink r:id="rId323" w:anchor=":~:text=concerned%20over%20a%20lack%20of,see%20on%20Twitter%2C%E2%80%9D%20she%20said">
        <w:r>
          <w:rPr>
            <w:rStyle w:val="Hyperlink"/>
          </w:rPr>
          <w:t>[12]</w:t>
        </w:r>
      </w:hyperlink>
      <w:r>
        <w:t xml:space="preserve">. In her words, </w:t>
      </w:r>
      <w:r>
        <w:rPr>
          <w:b/>
          <w:bCs/>
        </w:rPr>
        <w:t>“online platforms are our new public plazas”</w:t>
      </w:r>
      <w:r>
        <w:t xml:space="preserve"> – they can empower citizens if filled with verifiable information rather than propaganda</w:t>
      </w:r>
      <w:hyperlink r:id="rId324" w:anchor=":~:text=Quality%20journalism%20must%20be%20independent%2C,%E2%80%9D">
        <w:r>
          <w:rPr>
            <w:rStyle w:val="Hyperlink"/>
          </w:rPr>
          <w:t>[10]</w:t>
        </w:r>
      </w:hyperlink>
      <w:r>
        <w:t>.</w:t>
      </w:r>
    </w:p>
    <w:p w14:paraId="171D0DC3" w14:textId="77777777" w:rsidR="00406E3B" w:rsidRDefault="00406E3B" w:rsidP="00406E3B">
      <w:pPr>
        <w:pStyle w:val="BodyText"/>
      </w:pPr>
      <w:r>
        <w:rPr>
          <w:b/>
          <w:bCs/>
        </w:rPr>
        <w:t>Financially, OSF ramped up its media grant-making in the 2010s.</w:t>
      </w:r>
      <w:r>
        <w:t xml:space="preserve"> The PIJ’s annual budget grew from about </w:t>
      </w:r>
      <w:r>
        <w:rPr>
          <w:b/>
          <w:bCs/>
        </w:rPr>
        <w:t>$10.7 million in 2016 to $13.2 million in 2017</w:t>
      </w:r>
      <w:hyperlink r:id="rId325" w:anchor=":~:text=">
        <w:r>
          <w:rPr>
            <w:rStyle w:val="Hyperlink"/>
          </w:rPr>
          <w:t>[13]</w:t>
        </w:r>
      </w:hyperlink>
      <w:hyperlink r:id="rId326" w:anchor=":~:text=The%20annual%20budget%20for%20the,be%20considered%20media%20development%20support">
        <w:r>
          <w:rPr>
            <w:rStyle w:val="Hyperlink"/>
          </w:rPr>
          <w:t>[14]</w:t>
        </w:r>
      </w:hyperlink>
      <w:r>
        <w:t xml:space="preserve">. (And this does not count additional media-related spending via regional OSF offices or special funds.) OSF directs these resources both through </w:t>
      </w:r>
      <w:r>
        <w:rPr>
          <w:b/>
          <w:bCs/>
        </w:rPr>
        <w:t>direct grants to nonprofits</w:t>
      </w:r>
      <w:r>
        <w:t xml:space="preserve"> and via innovative vehicles like impact investments. For example, OSF’s </w:t>
      </w:r>
      <w:r>
        <w:rPr>
          <w:b/>
          <w:bCs/>
        </w:rPr>
        <w:t>Soros Economic Development Fund</w:t>
      </w:r>
      <w:r>
        <w:t xml:space="preserve"> has invested in media companies as a sustainability strategy, aligning capital with the mission of free expression</w:t>
      </w:r>
      <w:hyperlink r:id="rId327" w:anchor=":~:text=We%20invest%20in%20critical%20media,models%20as%20cornerstones%20of%20democracy">
        <w:r>
          <w:rPr>
            <w:rStyle w:val="Hyperlink"/>
          </w:rPr>
          <w:t>[15]</w:t>
        </w:r>
      </w:hyperlink>
      <w:hyperlink r:id="rId328" w:anchor=":~:text=Working%20with%20and%20through%20partners%2C,over%20300%20million%20people%20annually">
        <w:r>
          <w:rPr>
            <w:rStyle w:val="Hyperlink"/>
          </w:rPr>
          <w:t>[16]</w:t>
        </w:r>
      </w:hyperlink>
      <w:r>
        <w:t xml:space="preserve">. In 2021 OSF helped launch </w:t>
      </w:r>
      <w:r>
        <w:rPr>
          <w:b/>
          <w:bCs/>
        </w:rPr>
        <w:t>Pluralis B.V.</w:t>
      </w:r>
      <w:r>
        <w:t xml:space="preserve">, a consortium to buy stakes in independent news outlets in Europe; OSF committed about </w:t>
      </w:r>
      <w:r>
        <w:rPr>
          <w:b/>
          <w:bCs/>
        </w:rPr>
        <w:t>$10.75 million</w:t>
      </w:r>
      <w:r>
        <w:t xml:space="preserve"> as part of this pluralistic media investment initiative</w:t>
      </w:r>
      <w:hyperlink r:id="rId329" w:anchor=":~:text=%2A%20,V">
        <w:r>
          <w:rPr>
            <w:rStyle w:val="Hyperlink"/>
          </w:rPr>
          <w:t>[17]</w:t>
        </w:r>
      </w:hyperlink>
      <w:hyperlink r:id="rId330" w:anchor=":~:text=Pluralis%20invests%20in%20independent%20European,to%20a%20pluralistic%20media%20landscape">
        <w:r>
          <w:rPr>
            <w:rStyle w:val="Hyperlink"/>
          </w:rPr>
          <w:t>[18]</w:t>
        </w:r>
      </w:hyperlink>
      <w:r>
        <w:t xml:space="preserve">. Through the </w:t>
      </w:r>
      <w:r>
        <w:rPr>
          <w:b/>
          <w:bCs/>
        </w:rPr>
        <w:t>Media Development Investment Fund (MDIF)</w:t>
      </w:r>
      <w:r>
        <w:t xml:space="preserve"> – an OSF-supported social investment fund – OSF has also channeled millions into affordable loans and equity for news businesses in emerging markets</w:t>
      </w:r>
      <w:hyperlink r:id="rId331" w:anchor=":~:text=Media%20Development%20Investment%20Fund%20The,on%20audience%20and%20revenue%20generation">
        <w:r>
          <w:rPr>
            <w:rStyle w:val="Hyperlink"/>
          </w:rPr>
          <w:t>[19]</w:t>
        </w:r>
      </w:hyperlink>
      <w:hyperlink r:id="rId332" w:anchor=":~:text=advances%20affordable%20debt%20financing%20to,on%20audience%20and%20revenue%20generation">
        <w:r>
          <w:rPr>
            <w:rStyle w:val="Hyperlink"/>
          </w:rPr>
          <w:t>[20]</w:t>
        </w:r>
      </w:hyperlink>
      <w:r>
        <w:t xml:space="preserve">. (OSF’s investments included </w:t>
      </w:r>
      <w:r>
        <w:rPr>
          <w:b/>
          <w:bCs/>
        </w:rPr>
        <w:t>$11.9 million for MDIF in 2016</w:t>
      </w:r>
      <w:r>
        <w:t xml:space="preserve"> and a further </w:t>
      </w:r>
      <w:r>
        <w:rPr>
          <w:b/>
          <w:bCs/>
        </w:rPr>
        <w:t>$2 million</w:t>
      </w:r>
      <w:r>
        <w:t xml:space="preserve"> into an MDIF-managed Emerging Media Opportunity Fund in 2017</w:t>
      </w:r>
      <w:hyperlink r:id="rId333" w:anchor=":~:text=Media%20Development%20Investment%20Fund%20The,on%20audience%20and%20revenue%20generation">
        <w:r>
          <w:rPr>
            <w:rStyle w:val="Hyperlink"/>
          </w:rPr>
          <w:t>[19]</w:t>
        </w:r>
      </w:hyperlink>
      <w:hyperlink r:id="rId334" w:anchor=":~:text=%2A%20,Media%20Opportunity%20Fund">
        <w:r>
          <w:rPr>
            <w:rStyle w:val="Hyperlink"/>
          </w:rPr>
          <w:t>[21]</w:t>
        </w:r>
      </w:hyperlink>
      <w:r>
        <w:t xml:space="preserve">.) These efforts reflect OSF’s twin approach: </w:t>
      </w:r>
      <w:r>
        <w:rPr>
          <w:b/>
          <w:bCs/>
        </w:rPr>
        <w:t>grants for immediate needs and capacity-building, alongside longer-term investments to foster sustainable media enterprises</w:t>
      </w:r>
      <w:r>
        <w:t>.</w:t>
      </w:r>
    </w:p>
    <w:p w14:paraId="50A5A311" w14:textId="77777777" w:rsidR="00406E3B" w:rsidRDefault="00406E3B" w:rsidP="00406E3B">
      <w:pPr>
        <w:pStyle w:val="BodyText"/>
      </w:pPr>
      <w:r>
        <w:rPr>
          <w:b/>
          <w:bCs/>
        </w:rPr>
        <w:t>Geographically, OSF’s media grants span the globe.</w:t>
      </w:r>
      <w:r>
        <w:t xml:space="preserve"> As of the late 2010s, roughly half of PIJ’s funding went to worldwide or cross-regional initiatives, with the rest divided among regions like Africa (8%), Asia (9%), Latin America (10%), the Middle East (7%), and smaller shares in Europe and Eurasia</w:t>
      </w:r>
      <w:hyperlink r:id="rId335" w:anchor=":~:text=Regional%20Breakdown%20of%20OSF%20Media,Development%20Support">
        <w:r>
          <w:rPr>
            <w:rStyle w:val="Hyperlink"/>
          </w:rPr>
          <w:t>[22]</w:t>
        </w:r>
      </w:hyperlink>
      <w:hyperlink r:id="rId336" w:anchor=":~:text=Latin%20America%20%E2%80%93%2010">
        <w:r>
          <w:rPr>
            <w:rStyle w:val="Hyperlink"/>
          </w:rPr>
          <w:t>[23]</w:t>
        </w:r>
      </w:hyperlink>
      <w:r>
        <w:t xml:space="preserve">. This wide reach aligns with OSF’s presence in over 100 countries. In practice, OSF tends to prioritize regions where independent media are </w:t>
      </w:r>
      <w:r>
        <w:rPr>
          <w:b/>
          <w:bCs/>
        </w:rPr>
        <w:t>most threatened or nascent</w:t>
      </w:r>
      <w:r>
        <w:t xml:space="preserve">. For instance, in </w:t>
      </w:r>
      <w:r>
        <w:rPr>
          <w:b/>
          <w:bCs/>
        </w:rPr>
        <w:t>Nicaragua</w:t>
      </w:r>
      <w:r>
        <w:t xml:space="preserve">, OSF has backed the investigative outlet </w:t>
      </w:r>
      <w:r>
        <w:rPr>
          <w:i/>
          <w:iCs/>
        </w:rPr>
        <w:t>Confidencial</w:t>
      </w:r>
      <w:r>
        <w:t>, one of the few independent voices confronting an increasingly repressive government</w:t>
      </w:r>
      <w:hyperlink r:id="rId337" w:anchor=":~:text=CONFIDENCIALE">
        <w:r>
          <w:rPr>
            <w:rStyle w:val="Hyperlink"/>
          </w:rPr>
          <w:t>[24]</w:t>
        </w:r>
      </w:hyperlink>
      <w:hyperlink r:id="rId338" w:anchor=":~:text=In%20Nicaragua%2C%20OSF%20grantee%C2%A0Confidenciale%C2%A0has%20done,%E2%80%9D">
        <w:r>
          <w:rPr>
            <w:rStyle w:val="Hyperlink"/>
          </w:rPr>
          <w:t>[25]</w:t>
        </w:r>
      </w:hyperlink>
      <w:r>
        <w:t xml:space="preserve">. A 2013 OSF report on Nicaragua flagged how the Ortega regime used state advertising to financially starve unfriendly press – context that likely informed continued grants to </w:t>
      </w:r>
      <w:r>
        <w:rPr>
          <w:i/>
          <w:iCs/>
        </w:rPr>
        <w:t>Confidencial</w:t>
      </w:r>
      <w:r>
        <w:t xml:space="preserve"> as a bulwark of accountability</w:t>
      </w:r>
      <w:hyperlink r:id="rId339" w:anchor=":~:text=build%20a%20broader%20audience%20and,%E2%80%9D">
        <w:r>
          <w:rPr>
            <w:rStyle w:val="Hyperlink"/>
          </w:rPr>
          <w:t>[26]</w:t>
        </w:r>
      </w:hyperlink>
      <w:r>
        <w:t xml:space="preserve">. In </w:t>
      </w:r>
      <w:r>
        <w:rPr>
          <w:b/>
          <w:bCs/>
        </w:rPr>
        <w:t>Malaysia</w:t>
      </w:r>
      <w:r>
        <w:t xml:space="preserve">, OSF saw an opening to support digital news in a </w:t>
      </w:r>
      <w:r>
        <w:rPr>
          <w:i/>
          <w:iCs/>
        </w:rPr>
        <w:t xml:space="preserve">“tightly-controlled media </w:t>
      </w:r>
      <w:r>
        <w:rPr>
          <w:i/>
          <w:iCs/>
        </w:rPr>
        <w:lastRenderedPageBreak/>
        <w:t>environment.”</w:t>
      </w:r>
      <w:r>
        <w:t xml:space="preserve"> It provided seed support to </w:t>
      </w:r>
      <w:r>
        <w:rPr>
          <w:i/>
          <w:iCs/>
        </w:rPr>
        <w:t>Malaysiakini</w:t>
      </w:r>
      <w:r>
        <w:t>, an online outlet that grew a loyal audience by reporting freely on Malaysian politics</w:t>
      </w:r>
      <w:hyperlink r:id="rId340" w:anchor=":~:text=MALAYSIAKINI">
        <w:r>
          <w:rPr>
            <w:rStyle w:val="Hyperlink"/>
          </w:rPr>
          <w:t>[27]</w:t>
        </w:r>
      </w:hyperlink>
      <w:hyperlink r:id="rId341" w:anchor=":~:text=Business%20sustainability%20is%20very%20important,also%20raised%20money%20through%20crowdfunding">
        <w:r>
          <w:rPr>
            <w:rStyle w:val="Hyperlink"/>
          </w:rPr>
          <w:t>[28]</w:t>
        </w:r>
      </w:hyperlink>
      <w:r>
        <w:t xml:space="preserve">. OSF’s backing helped </w:t>
      </w:r>
      <w:r>
        <w:rPr>
          <w:i/>
          <w:iCs/>
        </w:rPr>
        <w:t>Malaysiakini</w:t>
      </w:r>
      <w:r>
        <w:t xml:space="preserve"> experiment with crowdfunding and advertising, until it became largely self-sustaining – a model case of donor help enabling a viable independent press</w:t>
      </w:r>
      <w:hyperlink r:id="rId342" w:anchor=":~:text=MALAYSIAKINI">
        <w:r>
          <w:rPr>
            <w:rStyle w:val="Hyperlink"/>
          </w:rPr>
          <w:t>[27]</w:t>
        </w:r>
      </w:hyperlink>
      <w:r>
        <w:t xml:space="preserve">. And when unexpected crises hit, OSF has stepped in with emergency media aid: after Nepal’s 2015 earthquake, OSF gave grants to rebuild transmitters for the </w:t>
      </w:r>
      <w:r>
        <w:rPr>
          <w:i/>
          <w:iCs/>
        </w:rPr>
        <w:t>Ujyaalo 90</w:t>
      </w:r>
      <w:r>
        <w:t xml:space="preserve"> radio network so it could keep information flowing to devastated rural communities</w:t>
      </w:r>
      <w:hyperlink r:id="rId343" w:anchor=":~:text=UJYAALO%2090%20NETWORK%20">
        <w:r>
          <w:rPr>
            <w:rStyle w:val="Hyperlink"/>
          </w:rPr>
          <w:t>[29]</w:t>
        </w:r>
      </w:hyperlink>
      <w:r>
        <w:t xml:space="preserve">. These examples illustrate how OSF’s media funding is often </w:t>
      </w:r>
      <w:r>
        <w:rPr>
          <w:b/>
          <w:bCs/>
        </w:rPr>
        <w:t>just-in-time support to keep critical outlets alive under duress</w:t>
      </w:r>
      <w:r>
        <w:t>.</w:t>
      </w:r>
    </w:p>
    <w:p w14:paraId="7D6DA9F9" w14:textId="77777777" w:rsidR="00406E3B" w:rsidRDefault="00406E3B" w:rsidP="00406E3B">
      <w:pPr>
        <w:pStyle w:val="Heading3"/>
      </w:pPr>
      <w:bookmarkStart w:id="28" w:name="examples-of-osf-funded-media-initiatives"/>
      <w:bookmarkEnd w:id="27"/>
      <w:r>
        <w:t>Examples of OSF-Funded Media Initiatives</w:t>
      </w:r>
    </w:p>
    <w:p w14:paraId="731EBDC0" w14:textId="77777777" w:rsidR="00406E3B" w:rsidRDefault="00406E3B" w:rsidP="00406E3B">
      <w:pPr>
        <w:pStyle w:val="FirstParagraph"/>
      </w:pPr>
      <w:r>
        <w:t>OSF’s grant portfolio in journalism ranges from small local projects to large international collaborations. Some notable examples include:</w:t>
      </w:r>
    </w:p>
    <w:p w14:paraId="7D62582C" w14:textId="77777777" w:rsidR="00406E3B" w:rsidRDefault="00406E3B" w:rsidP="00406E3B">
      <w:pPr>
        <w:numPr>
          <w:ilvl w:val="0"/>
          <w:numId w:val="1"/>
        </w:numPr>
      </w:pPr>
      <w:r>
        <w:rPr>
          <w:b/>
          <w:bCs/>
        </w:rPr>
        <w:t>Accountability Journalism in the U.S.:</w:t>
      </w:r>
      <w:r>
        <w:t xml:space="preserve"> In 2010, OSF’s U.S. Programs addressed the decline in state-house reporting by funding an initiative at NPR. OSF donated </w:t>
      </w:r>
      <w:r>
        <w:rPr>
          <w:b/>
          <w:bCs/>
        </w:rPr>
        <w:t>$1.8 million</w:t>
      </w:r>
      <w:r>
        <w:t xml:space="preserve"> to launch NPR’s “Impact of Government” project, placing 100 reporters at dozens of public radio stations to cover state capitols</w:t>
      </w:r>
      <w:hyperlink r:id="rId344" w:anchor=":~:text=Juan%20Williams%20may%20be%20gone,50%20of%20its%20member%20stations">
        <w:r>
          <w:rPr>
            <w:rStyle w:val="Hyperlink"/>
          </w:rPr>
          <w:t>[3]</w:t>
        </w:r>
      </w:hyperlink>
      <w:hyperlink r:id="rId345" w:anchor=":~:text=,a%20statement%20earlier%20this%20week">
        <w:r>
          <w:rPr>
            <w:rStyle w:val="Hyperlink"/>
          </w:rPr>
          <w:t>[4]</w:t>
        </w:r>
      </w:hyperlink>
      <w:r>
        <w:t>. OSF explicitly framed this as bolstering watchdog journalism on state policies that affect local communities</w:t>
      </w:r>
      <w:hyperlink r:id="rId346" w:anchor=":~:text=The%20money%20will%20go%20to,state%20capitals%20across%20the%20country">
        <w:r>
          <w:rPr>
            <w:rStyle w:val="Hyperlink"/>
          </w:rPr>
          <w:t>[30]</w:t>
        </w:r>
      </w:hyperlink>
      <w:r>
        <w:t xml:space="preserve">. Around the same time, OSF made headlines for a more combative media grant: </w:t>
      </w:r>
      <w:r>
        <w:rPr>
          <w:b/>
          <w:bCs/>
        </w:rPr>
        <w:t>$1 million to Media Matters for America</w:t>
      </w:r>
      <w:r>
        <w:t xml:space="preserve"> (a progressive media watchdog group) to help </w:t>
      </w:r>
      <w:r>
        <w:rPr>
          <w:b/>
          <w:bCs/>
        </w:rPr>
        <w:t>“hold Fox News accountable”</w:t>
      </w:r>
      <w:hyperlink r:id="rId347" w:anchor=":~:text=Media%20Matters%20for%20America%2C%20a,of%20the%20Open%20Society%20Foundations">
        <w:r>
          <w:rPr>
            <w:rStyle w:val="Hyperlink"/>
          </w:rPr>
          <w:t>[31]</w:t>
        </w:r>
      </w:hyperlink>
      <w:hyperlink r:id="rId348" w:anchor=":~:text=,greater%20journalistic%20accuracy%20and%20accountability">
        <w:r>
          <w:rPr>
            <w:rStyle w:val="Hyperlink"/>
          </w:rPr>
          <w:t>[32]</w:t>
        </w:r>
      </w:hyperlink>
      <w:r>
        <w:t xml:space="preserve">. OSF founder George Soros – long a bogeyman on Fox – publicly stated he funded Media Matters to counter what he called the </w:t>
      </w:r>
      <w:r>
        <w:rPr>
          <w:i/>
          <w:iCs/>
        </w:rPr>
        <w:t>“false and misleading information”</w:t>
      </w:r>
      <w:r>
        <w:t xml:space="preserve"> on that network and to </w:t>
      </w:r>
      <w:r>
        <w:rPr>
          <w:i/>
          <w:iCs/>
        </w:rPr>
        <w:t>“publicize the challenge [its] incendiary rhetoric poses to informed discourse”</w:t>
      </w:r>
      <w:hyperlink r:id="rId349" w:anchor=":~:text=In%20a%20statement%2C%20Soros%20said,informed%20discourse%20in%20our%20democracy">
        <w:r>
          <w:rPr>
            <w:rStyle w:val="Hyperlink"/>
          </w:rPr>
          <w:t>[33]</w:t>
        </w:r>
      </w:hyperlink>
      <w:hyperlink r:id="rId350" w:anchor=":~:text=suggests%20that%20liberals%20intend%20to,undisclosed%20money%20into%20political%20campaigns">
        <w:r>
          <w:rPr>
            <w:rStyle w:val="Hyperlink"/>
          </w:rPr>
          <w:t>[34]</w:t>
        </w:r>
      </w:hyperlink>
      <w:r>
        <w:t xml:space="preserve">. These U.S. grants illustrated OSF’s willingness to support media both as an unbiased public service (in NPR’s case) and as a means to </w:t>
      </w:r>
      <w:r>
        <w:rPr>
          <w:b/>
          <w:bCs/>
        </w:rPr>
        <w:t>push back against particular misinformation streams</w:t>
      </w:r>
      <w:r>
        <w:t xml:space="preserve"> (in Media Matters’ case).</w:t>
      </w:r>
    </w:p>
    <w:p w14:paraId="40DD7FB4" w14:textId="77777777" w:rsidR="00406E3B" w:rsidRDefault="00406E3B" w:rsidP="00406E3B">
      <w:pPr>
        <w:numPr>
          <w:ilvl w:val="0"/>
          <w:numId w:val="1"/>
        </w:numPr>
      </w:pPr>
      <w:r>
        <w:rPr>
          <w:b/>
          <w:bCs/>
        </w:rPr>
        <w:t>Global Investigative Collaborations:</w:t>
      </w:r>
      <w:r>
        <w:t xml:space="preserve"> OSF is a significant funder of cross-border investigative journalism networks that have broken major stories. For example, the </w:t>
      </w:r>
      <w:r>
        <w:rPr>
          <w:b/>
          <w:bCs/>
        </w:rPr>
        <w:t>International Consortium of Investigative Journalists (ICIJ)</w:t>
      </w:r>
      <w:r>
        <w:t xml:space="preserve"> – famous for the Panama Papers leaks – </w:t>
      </w:r>
      <w:r>
        <w:rPr>
          <w:b/>
          <w:bCs/>
        </w:rPr>
        <w:t>receives general support from OSF</w:t>
      </w:r>
      <w:hyperlink r:id="rId351" w:anchor=":~:text=impact%20across%20the%20globe">
        <w:r>
          <w:rPr>
            <w:rStyle w:val="Hyperlink"/>
          </w:rPr>
          <w:t>[35]</w:t>
        </w:r>
      </w:hyperlink>
      <w:hyperlink r:id="rId352" w:anchor=":~:text=The%20International%20Consortium%20of%20Investigative,from%20the%20Open%20Society%20Foundations">
        <w:r>
          <w:rPr>
            <w:rStyle w:val="Hyperlink"/>
          </w:rPr>
          <w:t>[36]</w:t>
        </w:r>
      </w:hyperlink>
      <w:r>
        <w:t>. In 2016, the Panama Papers investigation (376 journalists exposing offshore tax havens) showcased the impact of these networks</w:t>
      </w:r>
      <w:hyperlink r:id="rId353" w:anchor=":~:text=This%20week%20revealed%20a%20remarkable,companies%20that%20enable%20financial%20secrecy">
        <w:r>
          <w:rPr>
            <w:rStyle w:val="Hyperlink"/>
          </w:rPr>
          <w:t>[37]</w:t>
        </w:r>
      </w:hyperlink>
      <w:hyperlink r:id="rId354" w:anchor=":~:text=These%20reports%20were%20made%20possible,deficiencies%20that%20must%20be%20addressed">
        <w:r>
          <w:rPr>
            <w:rStyle w:val="Hyperlink"/>
          </w:rPr>
          <w:t>[38]</w:t>
        </w:r>
      </w:hyperlink>
      <w:r>
        <w:t xml:space="preserve">. OSF proudly noted that such projects </w:t>
      </w:r>
      <w:r>
        <w:rPr>
          <w:i/>
          <w:iCs/>
        </w:rPr>
        <w:t>“underline the importance of investigative journalism in keeping societies open”</w:t>
      </w:r>
      <w:r>
        <w:t xml:space="preserve"> and cited its funding of ICIJ as enabling the international teamwork needed for vast data leaks</w:t>
      </w:r>
      <w:hyperlink r:id="rId355" w:anchor=":~:text=These%20reports%20were%20made%20possible,deficiencies%20that%20must%20be%20addressed">
        <w:r>
          <w:rPr>
            <w:rStyle w:val="Hyperlink"/>
          </w:rPr>
          <w:t>[38]</w:t>
        </w:r>
      </w:hyperlink>
      <w:hyperlink r:id="rId356" w:anchor=":~:text=impact%20across%20the%20globe">
        <w:r>
          <w:rPr>
            <w:rStyle w:val="Hyperlink"/>
          </w:rPr>
          <w:t>[35]</w:t>
        </w:r>
      </w:hyperlink>
      <w:r>
        <w:t>. Likewise, the Organized Crime and Corruption Reporting Project (OCCRP), a network of investigative centers from Eastern Europe to Africa, lists OSF among its core donors</w:t>
      </w:r>
      <w:hyperlink r:id="rId357" w:anchor=":~:text=Image">
        <w:r>
          <w:rPr>
            <w:rStyle w:val="Hyperlink"/>
          </w:rPr>
          <w:t>[39]</w:t>
        </w:r>
      </w:hyperlink>
      <w:hyperlink r:id="rId358" w:anchor=":~:text=Dutch%20Postcode%20Lottery">
        <w:r>
          <w:rPr>
            <w:rStyle w:val="Hyperlink"/>
          </w:rPr>
          <w:t>[40]</w:t>
        </w:r>
      </w:hyperlink>
      <w:r>
        <w:t xml:space="preserve">. OCCRP has used OSF and other grants to expose everything from Balkan crime syndicates to African kleptocracy. By design, these networks rely on philanthropic funding because their cross-country probes – often targeting powerful interests – are </w:t>
      </w:r>
      <w:r>
        <w:rPr>
          <w:i/>
          <w:iCs/>
        </w:rPr>
        <w:t>“too costly and risky for any single newsroom”</w:t>
      </w:r>
      <w:r>
        <w:t xml:space="preserve"> under the collapsing business model of news</w:t>
      </w:r>
      <w:hyperlink r:id="rId359" w:anchor=":~:text=As%20the%20traditional%20media%20business,vast%20and%20complex%20investigations%20possible">
        <w:r>
          <w:rPr>
            <w:rStyle w:val="Hyperlink"/>
          </w:rPr>
          <w:t>[41]</w:t>
        </w:r>
      </w:hyperlink>
      <w:hyperlink r:id="rId360" w:anchor=":~:text=employees%20but%20the%20ability%20to,vast%20and%20complex%20investigations%20possible">
        <w:r>
          <w:rPr>
            <w:rStyle w:val="Hyperlink"/>
          </w:rPr>
          <w:t>[42]</w:t>
        </w:r>
      </w:hyperlink>
      <w:r>
        <w:t xml:space="preserve">. OSF’s consistent </w:t>
      </w:r>
      <w:r>
        <w:lastRenderedPageBreak/>
        <w:t>funding signals to such journalists that they can pursue long-term, complex investigations without fearing the story will be dropped for lack of resources.</w:t>
      </w:r>
    </w:p>
    <w:p w14:paraId="0C78EFA4" w14:textId="77777777" w:rsidR="00406E3B" w:rsidRDefault="00406E3B" w:rsidP="00406E3B">
      <w:pPr>
        <w:numPr>
          <w:ilvl w:val="0"/>
          <w:numId w:val="1"/>
        </w:numPr>
      </w:pPr>
      <w:r>
        <w:rPr>
          <w:b/>
          <w:bCs/>
        </w:rPr>
        <w:t>Independent Outlets in Authoritarian Contexts:</w:t>
      </w:r>
      <w:r>
        <w:t xml:space="preserve"> OSF frequently supports media startups in countries where press freedom is under assault. In </w:t>
      </w:r>
      <w:r>
        <w:rPr>
          <w:b/>
          <w:bCs/>
        </w:rPr>
        <w:t>Hungary</w:t>
      </w:r>
      <w:r>
        <w:t xml:space="preserve">, for instance, OSF was an early backer of independent online media during the 1990s and 2000s. (Soros funded journalism training and news outlets after Communism fell.) As Prime Minister Viktor Orbán’s government later moved to </w:t>
      </w:r>
      <w:r>
        <w:rPr>
          <w:i/>
          <w:iCs/>
        </w:rPr>
        <w:t>“capture”</w:t>
      </w:r>
      <w:r>
        <w:t xml:space="preserve"> or shutter critical media, pro-Orbán forces painted OSF-funded outlets as foreign propaganda. Nonetheless, OSF grants continued to help sustain </w:t>
      </w:r>
      <w:r>
        <w:rPr>
          <w:b/>
          <w:bCs/>
        </w:rPr>
        <w:t>Hungarian independent news sites and radio</w:t>
      </w:r>
      <w:r>
        <w:t xml:space="preserve"> that provided alternative viewpoints amidst a state-dominated media landscape</w:t>
      </w:r>
      <w:hyperlink r:id="rId361" w:anchor=":~:text=Hungary%20,subject%20to%20his%20party%27s%20orders">
        <w:r>
          <w:rPr>
            <w:rStyle w:val="Hyperlink"/>
          </w:rPr>
          <w:t>[43]</w:t>
        </w:r>
      </w:hyperlink>
      <w:hyperlink r:id="rId362" w:anchor=":~:text=,the%20Christian%20Democratic%20People%27s">
        <w:r>
          <w:rPr>
            <w:rStyle w:val="Hyperlink"/>
          </w:rPr>
          <w:t>[44]</w:t>
        </w:r>
      </w:hyperlink>
      <w:r>
        <w:t xml:space="preserve">. In </w:t>
      </w:r>
      <w:r>
        <w:rPr>
          <w:b/>
          <w:bCs/>
        </w:rPr>
        <w:t>Nicaragua</w:t>
      </w:r>
      <w:r>
        <w:t xml:space="preserve"> and </w:t>
      </w:r>
      <w:r>
        <w:rPr>
          <w:b/>
          <w:bCs/>
        </w:rPr>
        <w:t>Venezuela</w:t>
      </w:r>
      <w:r>
        <w:t>, OSF has quietly funded investigative journalists documenting corruption and human rights abuses, often keeping their names confidential for safety</w:t>
      </w:r>
      <w:hyperlink r:id="rId363" w:anchor=":~:text=Some%20assistance%20is%20very%20straightforwardly,environments%20in%20which%20they%20operate">
        <w:r>
          <w:rPr>
            <w:rStyle w:val="Hyperlink"/>
          </w:rPr>
          <w:t>[45]</w:t>
        </w:r>
      </w:hyperlink>
      <w:r>
        <w:t>. And in regions like the former Soviet Union, OSF has supported exiled media: for example, helping launch Russian-language digital news for audiences seeking uncensored information beyond Kremlin-controlled TV</w:t>
      </w:r>
      <w:hyperlink r:id="rId364" w:anchor=":~:text=Sep%207%2C%202021">
        <w:r>
          <w:rPr>
            <w:rStyle w:val="Hyperlink"/>
          </w:rPr>
          <w:t>[46]</w:t>
        </w:r>
      </w:hyperlink>
      <w:hyperlink r:id="rId365" w:anchor=":~:text=Why%20Russian%20Journalists%20Are%20Being,%E2%80%94%20And%20Why%20It%20Matters">
        <w:r>
          <w:rPr>
            <w:rStyle w:val="Hyperlink"/>
          </w:rPr>
          <w:t>[47]</w:t>
        </w:r>
      </w:hyperlink>
      <w:r>
        <w:t xml:space="preserve">. These cases underline OSF’s role as </w:t>
      </w:r>
      <w:r>
        <w:rPr>
          <w:b/>
          <w:bCs/>
        </w:rPr>
        <w:t>a lifeline for journalism under repression</w:t>
      </w:r>
      <w:r>
        <w:t xml:space="preserve"> – providing funding, technology, or international links that help beleaguered reporters keep working when local funding is cut off.</w:t>
      </w:r>
    </w:p>
    <w:p w14:paraId="168E127D" w14:textId="77777777" w:rsidR="00406E3B" w:rsidRDefault="00406E3B" w:rsidP="00406E3B">
      <w:pPr>
        <w:numPr>
          <w:ilvl w:val="0"/>
          <w:numId w:val="1"/>
        </w:numPr>
      </w:pPr>
      <w:r>
        <w:rPr>
          <w:b/>
          <w:bCs/>
        </w:rPr>
        <w:t>New Models and Narrative Platforms:</w:t>
      </w:r>
      <w:r>
        <w:t xml:space="preserve"> Beyond traditional news, OSF also funds creative media that shape public narratives. It has given grants to documentary film initiatives, digital storytelling projects, and even satire that promotes social issues. In Latin America, OSF supported a “Comedy for Justice” program where comedians use humor to engage audiences on human rights and corruption</w:t>
      </w:r>
      <w:hyperlink r:id="rId366" w:anchor=":~:text=Margon%20%20%20%20Comedy,Freelancers%20Need%20Protection%20Despite%20often">
        <w:r>
          <w:rPr>
            <w:rStyle w:val="Hyperlink"/>
          </w:rPr>
          <w:t>[48]</w:t>
        </w:r>
      </w:hyperlink>
      <w:hyperlink r:id="rId367" w:anchor=":~:text=can%20humor%20play%20in%20promoting,Media%20for%20the%20African%20Continent">
        <w:r>
          <w:rPr>
            <w:rStyle w:val="Hyperlink"/>
          </w:rPr>
          <w:t>[49]</w:t>
        </w:r>
      </w:hyperlink>
      <w:r>
        <w:t xml:space="preserve">. OSF’s </w:t>
      </w:r>
      <w:r>
        <w:rPr>
          <w:i/>
          <w:iCs/>
        </w:rPr>
        <w:t>Voices</w:t>
      </w:r>
      <w:r>
        <w:t xml:space="preserve"> blog has highlighted grantees who harness storytelling in new ways – from animated shorts explaining the importance of facts</w:t>
      </w:r>
      <w:hyperlink r:id="rId368" w:anchor=":~:text=stories%20that%20enemies%20of%20a,Media%20for%20the%20African%20Continent">
        <w:r>
          <w:rPr>
            <w:rStyle w:val="Hyperlink"/>
          </w:rPr>
          <w:t>[50]</w:t>
        </w:r>
      </w:hyperlink>
      <w:r>
        <w:t>, to citizen journalism labs in Africa building community media</w:t>
      </w:r>
      <w:hyperlink r:id="rId369" w:anchor=":~:text=Foundations%20grantees%2C%20staff%2C%20and%20partners,do%20more%20to%20ensure%20their">
        <w:r>
          <w:rPr>
            <w:rStyle w:val="Hyperlink"/>
          </w:rPr>
          <w:t>[51]</w:t>
        </w:r>
      </w:hyperlink>
      <w:r>
        <w:t xml:space="preserve">. These efforts fall under what OSF sometimes calls </w:t>
      </w:r>
      <w:r>
        <w:rPr>
          <w:i/>
          <w:iCs/>
        </w:rPr>
        <w:t>“narrative change”</w:t>
      </w:r>
      <w:r>
        <w:t xml:space="preserve"> or </w:t>
      </w:r>
      <w:r>
        <w:rPr>
          <w:b/>
          <w:bCs/>
        </w:rPr>
        <w:t>media infrastructure</w:t>
      </w:r>
      <w:r>
        <w:t xml:space="preserve">: the idea that supporting a range of content creators – not just hard news reporters – can influence public understanding and discourse. For instance, OSF has funded the nonprofit outlet </w:t>
      </w:r>
      <w:r>
        <w:rPr>
          <w:i/>
          <w:iCs/>
        </w:rPr>
        <w:t>openDemocracy</w:t>
      </w:r>
      <w:r>
        <w:t xml:space="preserve"> in the UK, which publishes investigative commentary on democracy, equality, and rights. OSF grants made up about </w:t>
      </w:r>
      <w:r>
        <w:rPr>
          <w:b/>
          <w:bCs/>
        </w:rPr>
        <w:t>13% of openDemocracy’s budget in 2022</w:t>
      </w:r>
      <w:hyperlink r:id="rId370" w:anchor=":~:text=It%20told%20IPSO%20that%20%E2%80%9Cboth,independence%20and%20harmed%20its%20reputation%E2%80%9D">
        <w:r>
          <w:rPr>
            <w:rStyle w:val="Hyperlink"/>
          </w:rPr>
          <w:t>[52]</w:t>
        </w:r>
      </w:hyperlink>
      <w:hyperlink r:id="rId371" w:anchor=":~:text=Open%20Society%20Foundations%2C%20a%20separate,of%20its%20income%20in%202022">
        <w:r>
          <w:rPr>
            <w:rStyle w:val="Hyperlink"/>
          </w:rPr>
          <w:t>[53]</w:t>
        </w:r>
      </w:hyperlink>
      <w:r>
        <w:t xml:space="preserve">, supporting its journalism on topics like political finance and disinformation. OpenDemocracy remains fiercely independent (as detailed below), but sees OSF as one of several partners enabling its in-depth reporting on under-covered global issues. Another innovative initiative is </w:t>
      </w:r>
      <w:r>
        <w:rPr>
          <w:b/>
          <w:bCs/>
        </w:rPr>
        <w:t>States Newsroom</w:t>
      </w:r>
      <w:r>
        <w:t xml:space="preserve"> in the U.S. – a network of nonprofit state-level news sites. OSF has indirectly contributed funding to this network (for example via donations to the New Venture Fund which incubates States Newsroom) as part of a coalition to revive local political reporting</w:t>
      </w:r>
      <w:hyperlink r:id="rId372" w:anchor=":~:text=1,an%20umbrella%20group%20called%20Arabella">
        <w:r>
          <w:rPr>
            <w:rStyle w:val="Hyperlink"/>
          </w:rPr>
          <w:t>[54]</w:t>
        </w:r>
      </w:hyperlink>
      <w:r>
        <w:t xml:space="preserve">. This model has drawn attention for essentially </w:t>
      </w:r>
      <w:r>
        <w:rPr>
          <w:b/>
          <w:bCs/>
        </w:rPr>
        <w:t>philanthropically “replanting” local news</w:t>
      </w:r>
      <w:r>
        <w:t xml:space="preserve"> in places where traditional papers have withered.</w:t>
      </w:r>
    </w:p>
    <w:p w14:paraId="636809D1" w14:textId="77777777" w:rsidR="00406E3B" w:rsidRDefault="00406E3B" w:rsidP="00406E3B">
      <w:pPr>
        <w:pStyle w:val="FirstParagraph"/>
      </w:pPr>
      <w:r>
        <w:rPr>
          <w:noProof/>
        </w:rPr>
        <w:lastRenderedPageBreak/>
        <w:drawing>
          <wp:inline distT="0" distB="0" distL="0" distR="0" wp14:anchorId="53BB49A8" wp14:editId="3A41390A">
            <wp:extent cx="5334000" cy="4000500"/>
            <wp:effectExtent l="0" t="0" r="0" b="0"/>
            <wp:docPr id="76" name="Picture" descr="A person in a suit and tie at a podium&#10;&#10;AI-generated content may be incorrect."/>
            <wp:cNvGraphicFramePr/>
            <a:graphic xmlns:a="http://schemas.openxmlformats.org/drawingml/2006/main">
              <a:graphicData uri="http://schemas.openxmlformats.org/drawingml/2006/picture">
                <pic:pic xmlns:pic="http://schemas.openxmlformats.org/drawingml/2006/picture">
                  <pic:nvPicPr>
                    <pic:cNvPr id="76" name="Picture" descr="A person in a suit and tie at a podium&#10;&#10;AI-generated content may be incorrect."/>
                    <pic:cNvPicPr>
                      <a:picLocks noChangeAspect="1" noChangeArrowheads="1"/>
                    </pic:cNvPicPr>
                  </pic:nvPicPr>
                  <pic:blipFill>
                    <a:blip r:embed="rId373"/>
                    <a:stretch>
                      <a:fillRect/>
                    </a:stretch>
                  </pic:blipFill>
                  <pic:spPr bwMode="auto">
                    <a:xfrm>
                      <a:off x="0" y="0"/>
                      <a:ext cx="5334000" cy="4000500"/>
                    </a:xfrm>
                    <a:prstGeom prst="rect">
                      <a:avLst/>
                    </a:prstGeom>
                    <a:noFill/>
                    <a:ln w="9525">
                      <a:noFill/>
                      <a:headEnd/>
                      <a:tailEnd/>
                    </a:ln>
                  </pic:spPr>
                </pic:pic>
              </a:graphicData>
            </a:graphic>
          </wp:inline>
        </w:drawing>
      </w:r>
      <w:r>
        <w:br/>
      </w:r>
      <w:r>
        <w:rPr>
          <w:b/>
          <w:bCs/>
        </w:rPr>
        <w:t>George Soros, OSF’s founder, speaking in Brussels in 2017. Critics often allege that Soros’s funding buys influence over media narratives</w:t>
      </w:r>
      <w:hyperlink r:id="rId374" w:anchor=":~:text=Image%3A%20George%20Soros%2C%20founder%20and,Picture%3A%20Shutterstock%2FAlexandros%20Michailidis">
        <w:r>
          <w:rPr>
            <w:rStyle w:val="Hyperlink"/>
            <w:b/>
            <w:bCs/>
          </w:rPr>
          <w:t>[55]</w:t>
        </w:r>
      </w:hyperlink>
      <w:r>
        <w:rPr>
          <w:b/>
          <w:bCs/>
        </w:rPr>
        <w:t>. However, OSF-funded outlets emphasize their independence (see case study below).</w:t>
      </w:r>
    </w:p>
    <w:p w14:paraId="294D90E9" w14:textId="77777777" w:rsidR="00406E3B" w:rsidRDefault="00406E3B" w:rsidP="00406E3B">
      <w:pPr>
        <w:pStyle w:val="Heading3"/>
      </w:pPr>
      <w:bookmarkStart w:id="29" w:name="X61bc6e9c67ff353e7e49dd88d562f3bad841319"/>
      <w:bookmarkEnd w:id="28"/>
      <w:r>
        <w:t>Editorial Independence and Ethics Protections</w:t>
      </w:r>
    </w:p>
    <w:p w14:paraId="1FBD0965" w14:textId="77777777" w:rsidR="00406E3B" w:rsidRDefault="00406E3B" w:rsidP="00406E3B">
      <w:pPr>
        <w:pStyle w:val="FirstParagraph"/>
      </w:pPr>
      <w:r>
        <w:rPr>
          <w:b/>
          <w:bCs/>
        </w:rPr>
        <w:t>How do OSF grantees maintain editorial independence?</w:t>
      </w:r>
      <w:r>
        <w:t xml:space="preserve"> This question is central to the debate over philanthropic funding of media. Virtually all recipients insist that </w:t>
      </w:r>
      <w:r>
        <w:rPr>
          <w:b/>
          <w:bCs/>
        </w:rPr>
        <w:t>money comes with “no strings attached” on content</w:t>
      </w:r>
      <w:r>
        <w:t xml:space="preserve"> – and they enact policies to ensure this. Many outlets draw an analogy to the firewalls long used in newspapers between advertisers and newsrooms. As OCCRP, the investigative network, states plainly: </w:t>
      </w:r>
      <w:r>
        <w:rPr>
          <w:i/>
          <w:iCs/>
        </w:rPr>
        <w:t>“Donors never have access to editorial meetings or input into what stories we publish.”</w:t>
      </w:r>
      <w:hyperlink r:id="rId375" w:anchor=":~:text=Do%20OCCRP%E2%80%99s%20donors%20have%20any,influence%20over%20editorial%20policy">
        <w:r>
          <w:rPr>
            <w:rStyle w:val="Hyperlink"/>
          </w:rPr>
          <w:t>[56]</w:t>
        </w:r>
      </w:hyperlink>
      <w:hyperlink r:id="rId376" w:anchor=":~:text=No,into%20what%20stories%20we%20publish">
        <w:r>
          <w:rPr>
            <w:rStyle w:val="Hyperlink"/>
          </w:rPr>
          <w:t>[57]</w:t>
        </w:r>
      </w:hyperlink>
      <w:r>
        <w:t xml:space="preserve"> The staff who handle fundraising are separate from the journalists, and stories are conceived and executed without donor involvement</w:t>
      </w:r>
      <w:hyperlink r:id="rId377" w:anchor=":~:text=Do%20OCCRP%E2%80%99s%20donors%20have%20any,influence%20over%20editorial%20policy">
        <w:r>
          <w:rPr>
            <w:rStyle w:val="Hyperlink"/>
          </w:rPr>
          <w:t>[56]</w:t>
        </w:r>
      </w:hyperlink>
      <w:hyperlink r:id="rId378" w:anchor=":~:text=staff%20who%20handle%20donations%20and,into%20what%20stories%20we%20publish">
        <w:r>
          <w:rPr>
            <w:rStyle w:val="Hyperlink"/>
          </w:rPr>
          <w:t>[58]</w:t>
        </w:r>
      </w:hyperlink>
      <w:r>
        <w:t xml:space="preserve">. In fact, OCCRP assigns each completed story to whichever grant it fits </w:t>
      </w:r>
      <w:r>
        <w:rPr>
          <w:i/>
          <w:iCs/>
        </w:rPr>
        <w:t>after</w:t>
      </w:r>
      <w:r>
        <w:t xml:space="preserve"> publication, so reporters don’t even know which donor’s funds are covering their salary for a given investigation</w:t>
      </w:r>
      <w:hyperlink r:id="rId379" w:anchor=":~:text=projects,they%20will%20be%20paid%20for">
        <w:r>
          <w:rPr>
            <w:rStyle w:val="Hyperlink"/>
          </w:rPr>
          <w:t>[59]</w:t>
        </w:r>
      </w:hyperlink>
      <w:r>
        <w:t xml:space="preserve">. This backward mapping is a deliberate safeguard to prevent even unconscious bias. Additionally, many OSF grantees enshrine editorial independence </w:t>
      </w:r>
      <w:r>
        <w:rPr>
          <w:b/>
          <w:bCs/>
        </w:rPr>
        <w:t>contractually</w:t>
      </w:r>
      <w:r>
        <w:t>: OCCRP inserts clauses into grant agreements explicitly guaranteeing that the newsroom retains full editorial control</w:t>
      </w:r>
      <w:hyperlink r:id="rId380" w:anchor=":~:text=they%20have%20input%20into%20what,stories%20we%20publish">
        <w:r>
          <w:rPr>
            <w:rStyle w:val="Hyperlink"/>
          </w:rPr>
          <w:t>[60]</w:t>
        </w:r>
      </w:hyperlink>
      <w:r>
        <w:t>. (For example, OCCRP’s 2022 USAID grant included language protecting OCCRP’s right to publish any findings without interference</w:t>
      </w:r>
      <w:hyperlink r:id="rId381" w:anchor=":~:text=they%20have%20input%20into%20what,stories%20we%20publish">
        <w:r>
          <w:rPr>
            <w:rStyle w:val="Hyperlink"/>
          </w:rPr>
          <w:t>[61]</w:t>
        </w:r>
      </w:hyperlink>
      <w:r>
        <w:t>.)</w:t>
      </w:r>
    </w:p>
    <w:p w14:paraId="321E3DDC" w14:textId="77777777" w:rsidR="00406E3B" w:rsidRDefault="00406E3B" w:rsidP="00406E3B">
      <w:pPr>
        <w:pStyle w:val="BodyText"/>
      </w:pPr>
      <w:r>
        <w:lastRenderedPageBreak/>
        <w:t xml:space="preserve">Across the board, serious nonprofit media follow </w:t>
      </w:r>
      <w:r>
        <w:rPr>
          <w:b/>
          <w:bCs/>
        </w:rPr>
        <w:t>strict conflict-of-interest policies and ethics codes</w:t>
      </w:r>
      <w:r>
        <w:t>. They publicly disclose their funding sources and often publish donor lists or financial reports for transparency</w:t>
      </w:r>
      <w:hyperlink r:id="rId382" w:anchor=":~:text=Where%20does%20OCCRP%20get%20its,money">
        <w:r>
          <w:rPr>
            <w:rStyle w:val="Hyperlink"/>
          </w:rPr>
          <w:t>[62]</w:t>
        </w:r>
      </w:hyperlink>
      <w:hyperlink r:id="rId383" w:anchor=":~:text=Have%20you%20ever%20hidden%20your,sources%20of%20funding">
        <w:r>
          <w:rPr>
            <w:rStyle w:val="Hyperlink"/>
          </w:rPr>
          <w:t>[63]</w:t>
        </w:r>
      </w:hyperlink>
      <w:r>
        <w:t xml:space="preserve">. Most will decline funding from any source that expects to dictate coverage or that would compromise their integrity. For instance, </w:t>
      </w:r>
      <w:r>
        <w:rPr>
          <w:i/>
          <w:iCs/>
        </w:rPr>
        <w:t>Bellingcat</w:t>
      </w:r>
      <w:r>
        <w:t xml:space="preserve"> – a recipient of OSF grants and other foundation support – refuses funding that comes with editorial obligations. Its founder Eliot Higgins has noted that donors like OSF and the National Endowment for Democracy support Bellingcat’s work </w:t>
      </w:r>
      <w:r>
        <w:rPr>
          <w:b/>
          <w:bCs/>
        </w:rPr>
        <w:t>at arm’s length</w:t>
      </w:r>
      <w:r>
        <w:t xml:space="preserve">, and that Bellingcat’s credibility hinges on </w:t>
      </w:r>
      <w:r>
        <w:rPr>
          <w:b/>
          <w:bCs/>
        </w:rPr>
        <w:t>radical transparency in its research methods</w:t>
      </w:r>
      <w:r>
        <w:t xml:space="preserve"> rather than on any donor’s reputation</w:t>
      </w:r>
      <w:hyperlink r:id="rId384" w:anchor=":~:text=Bellingcat%20began%20as%20a%20one,attract%20a%20critical%20mass%20of">
        <w:r>
          <w:rPr>
            <w:rStyle w:val="Hyperlink"/>
          </w:rPr>
          <w:t>[64]</w:t>
        </w:r>
      </w:hyperlink>
      <w:hyperlink r:id="rId385" w:anchor=":~:text=Bellingcat%20began%20as%20a%20one,source">
        <w:r>
          <w:rPr>
            <w:rStyle w:val="Hyperlink"/>
          </w:rPr>
          <w:t>[65]</w:t>
        </w:r>
      </w:hyperlink>
      <w:r>
        <w:t xml:space="preserve">. By publishing all the evidence behind its investigations, Bellingcat invites the public to </w:t>
      </w:r>
      <w:r>
        <w:rPr>
          <w:i/>
          <w:iCs/>
        </w:rPr>
        <w:t>“look for yourself”</w:t>
      </w:r>
      <w:r>
        <w:t xml:space="preserve"> and verify the facts</w:t>
      </w:r>
      <w:hyperlink r:id="rId386" w:anchor=":~:text=more%20traditional%20sources%20of%20information%2C,Look%20for%20yourself%E2%80%99%2C%E2%80%9D%20says%20Rosen">
        <w:r>
          <w:rPr>
            <w:rStyle w:val="Hyperlink"/>
          </w:rPr>
          <w:t>[66]</w:t>
        </w:r>
      </w:hyperlink>
      <w:hyperlink r:id="rId387" w:anchor=":~:text=effective%E2%80%9D%20at%20establishing%20trust%20through,Look%20for%20yourself%E2%80%99%2C%E2%80%9D%20says%20Rosen">
        <w:r>
          <w:rPr>
            <w:rStyle w:val="Hyperlink"/>
          </w:rPr>
          <w:t>[67]</w:t>
        </w:r>
      </w:hyperlink>
      <w:r>
        <w:t>. This openness is a conscious strategy to build trust and inoculate against claims of hidden agendas.</w:t>
      </w:r>
    </w:p>
    <w:p w14:paraId="4D37F66A" w14:textId="77777777" w:rsidR="00406E3B" w:rsidRDefault="00406E3B" w:rsidP="00406E3B">
      <w:pPr>
        <w:pStyle w:val="BodyText"/>
      </w:pPr>
      <w:r>
        <w:t xml:space="preserve">In practice, OSF grantees often go to great lengths to demonstrate independence from their funders. When openDemocracy was accused in the UK press of being “Soros-run” due to OSF’s support, it fought for a public correction. In 2024, the UK’s press regulator upheld openDemocracy’s complaint, ruling that it was </w:t>
      </w:r>
      <w:r>
        <w:rPr>
          <w:b/>
          <w:bCs/>
        </w:rPr>
        <w:t>“significantly misleading”</w:t>
      </w:r>
      <w:r>
        <w:t xml:space="preserve"> for an article to imply Soros controlled the outlet</w:t>
      </w:r>
      <w:hyperlink r:id="rId388" w:anchor=":~:text=IPSO%E2%80%99s%20complaints%20committee%20found%20the,the%20Editors%E2%80%99%20Code%20of%20Practice">
        <w:r>
          <w:rPr>
            <w:rStyle w:val="Hyperlink"/>
          </w:rPr>
          <w:t>[68]</w:t>
        </w:r>
      </w:hyperlink>
      <w:hyperlink r:id="rId389" w:anchor=":~:text=It%20went%20on%3A%20%E2%80%9CIn%20these,degree%20of%20control%20over%20it">
        <w:r>
          <w:rPr>
            <w:rStyle w:val="Hyperlink"/>
          </w:rPr>
          <w:t>[69]</w:t>
        </w:r>
      </w:hyperlink>
      <w:r>
        <w:t xml:space="preserve">. The truth, as openDemocracy pointed out, was that Soros’s foundation simply provided 13% of funding and </w:t>
      </w:r>
      <w:r>
        <w:rPr>
          <w:i/>
          <w:iCs/>
        </w:rPr>
        <w:t>“does not own or control openDemocracy – nor does he directly fund [it].”</w:t>
      </w:r>
      <w:hyperlink r:id="rId390" w:anchor=":~:text=The%20article%20remains%20online%20but,he%20directly%20fund%20the%20organisation">
        <w:r>
          <w:rPr>
            <w:rStyle w:val="Hyperlink"/>
          </w:rPr>
          <w:t>[70]</w:t>
        </w:r>
      </w:hyperlink>
      <w:r>
        <w:t xml:space="preserve">. The episode prompted the Express newspaper to issue a clarification that </w:t>
      </w:r>
      <w:r>
        <w:rPr>
          <w:b/>
          <w:bCs/>
        </w:rPr>
        <w:t>OSF’s grants made up only a small portion of openDemocracy’s budget</w:t>
      </w:r>
      <w:r>
        <w:t xml:space="preserve"> and that describing it as “Soros’s…organization” had been erroneous</w:t>
      </w:r>
      <w:hyperlink r:id="rId391" w:anchor=":~:text=article%20originally%20strongly%20implied%20that,he%20directly%20fund%20the%20organisation">
        <w:r>
          <w:rPr>
            <w:rStyle w:val="Hyperlink"/>
          </w:rPr>
          <w:t>[71]</w:t>
        </w:r>
      </w:hyperlink>
      <w:r>
        <w:t xml:space="preserve">. This public vindication reinforced that </w:t>
      </w:r>
      <w:r>
        <w:rPr>
          <w:b/>
          <w:bCs/>
        </w:rPr>
        <w:t>editorial independence is a core value, not just a private promise</w:t>
      </w:r>
      <w:r>
        <w:t>. OpenDemocracy’s editors stress that they are accountable first to their readers and their mission – not to any single donor. They note that OSF is one of dozens of funders and that the site also relies on thousands of small individual donations.</w:t>
      </w:r>
    </w:p>
    <w:p w14:paraId="76F52402" w14:textId="77777777" w:rsidR="00406E3B" w:rsidRDefault="00406E3B" w:rsidP="00406E3B">
      <w:pPr>
        <w:pStyle w:val="BodyText"/>
      </w:pPr>
      <w:r>
        <w:t xml:space="preserve">Another instructive example comes from </w:t>
      </w:r>
      <w:r>
        <w:rPr>
          <w:i/>
          <w:iCs/>
        </w:rPr>
        <w:t>Malaysiakini</w:t>
      </w:r>
      <w:r>
        <w:t xml:space="preserve">, the Malaysian online news site that OSF indirectly helped finance through MDIF. Malaysiakini’s co-founders hold a controlling stake and have codified that </w:t>
      </w:r>
      <w:r>
        <w:rPr>
          <w:b/>
          <w:bCs/>
        </w:rPr>
        <w:t>news judgments are made by editors alone</w:t>
      </w:r>
      <w:r>
        <w:t xml:space="preserve">. When political critics in Malaysia alleged the site was beholden to foreign funders, Malaysiakini’s editor-in-chief, Steven Gan, was emphatic: </w:t>
      </w:r>
      <w:r>
        <w:rPr>
          <w:i/>
          <w:iCs/>
        </w:rPr>
        <w:t>“Malaysiakini is under the full control of its journalists and editors, not its investors or outsiders.”</w:t>
      </w:r>
      <w:hyperlink r:id="rId392" w:anchor=":~:text=Zikri%20Kamarulzaman%20Published%20%3A%20Nov,%E2%8B%85%20Updated%20%3A%2012%3A14%20PM">
        <w:r>
          <w:rPr>
            <w:rStyle w:val="Hyperlink"/>
          </w:rPr>
          <w:t>[72]</w:t>
        </w:r>
      </w:hyperlink>
      <w:hyperlink r:id="rId393" w:anchor=":~:text=Gan%20said%20even%20the%20Media,in%20the%20website%E2%80%99s%20editorial%20policy">
        <w:r>
          <w:rPr>
            <w:rStyle w:val="Hyperlink"/>
          </w:rPr>
          <w:t>[73]</w:t>
        </w:r>
      </w:hyperlink>
      <w:r>
        <w:t xml:space="preserve"> He even addressed the role of MDIF (which owns ~29% of Malaysiakini): Gan explained that </w:t>
      </w:r>
      <w:r>
        <w:rPr>
          <w:b/>
          <w:bCs/>
        </w:rPr>
        <w:t>even a minority shareholder with financial ties to Soros’s network “has no say” in editorial policy</w:t>
      </w:r>
      <w:hyperlink r:id="rId394" w:anchor=":~:text=%E2%80%9CWhen%20it%20comes%20to%20outsiders,office%20in%20Petaling%20Jaya%20today">
        <w:r>
          <w:rPr>
            <w:rStyle w:val="Hyperlink"/>
          </w:rPr>
          <w:t>[74]</w:t>
        </w:r>
      </w:hyperlink>
      <w:hyperlink r:id="rId395" w:anchor=":~:text=Gan%20said%20even%20the%20Media,in%20the%20website%E2%80%99s%20editorial%20policy">
        <w:r>
          <w:rPr>
            <w:rStyle w:val="Hyperlink"/>
          </w:rPr>
          <w:t>[73]</w:t>
        </w:r>
      </w:hyperlink>
      <w:r>
        <w:t>. All content decisions are made internally by the newsroom. Malaysiakini buttresses this independence by funding much of its operations through subscriptions from readers, ensuring no single backer is indispensable. The outlet’s governance structure – with its founders retaining majority control – was intentionally designed to prevent any external meddling in content</w:t>
      </w:r>
      <w:hyperlink r:id="rId396" w:anchor=":~:text=Accountability%20,Development%20Loan%20Fund%20and">
        <w:r>
          <w:rPr>
            <w:rStyle w:val="Hyperlink"/>
          </w:rPr>
          <w:t>[75]</w:t>
        </w:r>
      </w:hyperlink>
      <w:hyperlink r:id="rId397" w:anchor=":~:text=Malaysiakini%20controlled%20by%20its%20journalists%2C,in%20the%20website%27s%20editorial%20policy">
        <w:r>
          <w:rPr>
            <w:rStyle w:val="Hyperlink"/>
          </w:rPr>
          <w:t>[76]</w:t>
        </w:r>
      </w:hyperlink>
      <w:r>
        <w:t xml:space="preserve">. Such measures are typical of OSF-aided media: they diversify funding streams and set internal rules so that </w:t>
      </w:r>
      <w:r>
        <w:rPr>
          <w:i/>
          <w:iCs/>
        </w:rPr>
        <w:t>financial support never translates into editorial influence</w:t>
      </w:r>
      <w:r>
        <w:t>.</w:t>
      </w:r>
    </w:p>
    <w:p w14:paraId="35736952" w14:textId="77777777" w:rsidR="00406E3B" w:rsidRDefault="00406E3B" w:rsidP="00406E3B">
      <w:pPr>
        <w:pStyle w:val="Heading4"/>
      </w:pPr>
      <w:bookmarkStart w:id="30" w:name="Xc4e5ace10a37457d73b9b6c4496246387b455a8"/>
      <w:r>
        <w:rPr>
          <w:b/>
          <w:bCs/>
        </w:rPr>
        <w:lastRenderedPageBreak/>
        <w:t>Sidebar: Media Ethics Codes &amp; Donor Firewalls</w:t>
      </w:r>
    </w:p>
    <w:p w14:paraId="279C4DBA" w14:textId="77777777" w:rsidR="00406E3B" w:rsidRDefault="00406E3B" w:rsidP="00406E3B">
      <w:pPr>
        <w:pStyle w:val="FirstParagraph"/>
      </w:pPr>
      <w:r>
        <w:t xml:space="preserve">Most OSF-supported outlets adhere to professional ethics codes that explicitly address donor relationships. Key principles usually include </w:t>
      </w:r>
      <w:r>
        <w:rPr>
          <w:b/>
          <w:bCs/>
        </w:rPr>
        <w:t>transparency</w:t>
      </w:r>
      <w:r>
        <w:t xml:space="preserve">, </w:t>
      </w:r>
      <w:r>
        <w:rPr>
          <w:b/>
          <w:bCs/>
        </w:rPr>
        <w:t>editorial independence</w:t>
      </w:r>
      <w:r>
        <w:t xml:space="preserve">, and </w:t>
      </w:r>
      <w:r>
        <w:rPr>
          <w:b/>
          <w:bCs/>
        </w:rPr>
        <w:t>avoidance of conflicts of interest</w:t>
      </w:r>
      <w:r>
        <w:t xml:space="preserve">. For example, the U.S. public media code of ethics states that </w:t>
      </w:r>
      <w:r>
        <w:rPr>
          <w:b/>
          <w:bCs/>
        </w:rPr>
        <w:t>decisions about coverage are made by journalists, “not by those who provide…financial support.”</w:t>
      </w:r>
      <w:r>
        <w:t xml:space="preserve"> Journalists must not skew coverage to please a funder, and any potential conflicts (such as reporting on a donor’s activities) must be disclosed and managed</w:t>
      </w:r>
      <w:hyperlink r:id="rId398" w:anchor=":~:text=We%20are%20vigilant%20in%20disclosing,provide%20WUWM%20with%20financial%20support">
        <w:r>
          <w:rPr>
            <w:rStyle w:val="Hyperlink"/>
          </w:rPr>
          <w:t>[77]</w:t>
        </w:r>
      </w:hyperlink>
      <w:hyperlink r:id="rId399" w:anchor=":~:text=family%20members%20,provide%20WUWM%20with%20financial%20support">
        <w:r>
          <w:rPr>
            <w:rStyle w:val="Hyperlink"/>
          </w:rPr>
          <w:t>[78]</w:t>
        </w:r>
      </w:hyperlink>
      <w:r>
        <w:t xml:space="preserve">. Many nonprofit newsrooms post policies on their site affirming a firewall between funding and content. It’s common to see a pledge that </w:t>
      </w:r>
      <w:r>
        <w:rPr>
          <w:b/>
          <w:bCs/>
        </w:rPr>
        <w:t>no funder – whether a government, foundation, or individual – will receive preferential treatment or editorial input</w:t>
      </w:r>
      <w:r>
        <w:t xml:space="preserve">. If a donor is directly relevant to a story, outlets often add a disclaimer in the article (for instance, when NPR reports on a foundation that also donates to NPR, it will inform listeners). This culture of ethics is reinforced through memberships in organizations like the Global Investigative Journalism Network, which requires member outlets to uphold strict editorial independence. </w:t>
      </w:r>
      <w:r>
        <w:rPr>
          <w:i/>
          <w:iCs/>
        </w:rPr>
        <w:t>In short, “open society” media strive to</w:t>
      </w:r>
      <w:r>
        <w:t xml:space="preserve"> </w:t>
      </w:r>
      <w:r>
        <w:rPr>
          <w:i/>
          <w:iCs/>
        </w:rPr>
        <w:t>walk the talk: they welcome philanthropic support, but on the non-negotiable condition that editorial control remains with the newsroom.</w:t>
      </w:r>
      <w:hyperlink r:id="rId400" w:anchor=":~:text=,Funding">
        <w:r>
          <w:rPr>
            <w:rStyle w:val="Hyperlink"/>
          </w:rPr>
          <w:t>[79]</w:t>
        </w:r>
      </w:hyperlink>
      <w:hyperlink r:id="rId401" w:anchor=":~:text=It%E2%80%99s%20important%20to%20note%20that,pose%20conflicts%20with%20their%20reporting">
        <w:r>
          <w:rPr>
            <w:rStyle w:val="Hyperlink"/>
          </w:rPr>
          <w:t>[80]</w:t>
        </w:r>
      </w:hyperlink>
    </w:p>
    <w:p w14:paraId="325E915E" w14:textId="77777777" w:rsidR="00406E3B" w:rsidRDefault="00406E3B" w:rsidP="00406E3B">
      <w:pPr>
        <w:pStyle w:val="Heading3"/>
      </w:pPr>
      <w:bookmarkStart w:id="31" w:name="controversies-over-narrative-influence"/>
      <w:bookmarkEnd w:id="29"/>
      <w:bookmarkEnd w:id="30"/>
      <w:r>
        <w:t>Controversies Over Narrative Influence</w:t>
      </w:r>
    </w:p>
    <w:p w14:paraId="70FB90D9" w14:textId="77777777" w:rsidR="00406E3B" w:rsidRDefault="00406E3B" w:rsidP="00406E3B">
      <w:pPr>
        <w:pStyle w:val="FirstParagraph"/>
      </w:pPr>
      <w:r>
        <w:t xml:space="preserve">Unsurprisingly, OSF’s media funding has drawn intense criticism from certain quarters. </w:t>
      </w:r>
      <w:r>
        <w:rPr>
          <w:b/>
          <w:bCs/>
        </w:rPr>
        <w:t>Authoritarian governments, nationalist politicians, and some conservative media figures often claim that OSF uses its grants to covertly shape political narratives or interfere in domestic affairs.</w:t>
      </w:r>
      <w:r>
        <w:t xml:space="preserve"> These accusations sometimes veer into conspiracy – painting a picture of a “Soros media empire” manipulating public opinion across the globe. But examining the claims and responses in detail reveals a more nuanced story of </w:t>
      </w:r>
      <w:r>
        <w:rPr>
          <w:b/>
          <w:bCs/>
        </w:rPr>
        <w:t>ideological backlash versus factual accountability</w:t>
      </w:r>
      <w:r>
        <w:t>.</w:t>
      </w:r>
    </w:p>
    <w:p w14:paraId="7DF0BC88" w14:textId="77777777" w:rsidR="00406E3B" w:rsidRDefault="00406E3B" w:rsidP="00406E3B">
      <w:pPr>
        <w:pStyle w:val="BodyText"/>
      </w:pPr>
      <w:r>
        <w:rPr>
          <w:b/>
          <w:bCs/>
        </w:rPr>
        <w:t>In Eastern Europe and Russia</w:t>
      </w:r>
      <w:r>
        <w:t>, regimes targeted by investigative journalists have frequently responded by attacking those journalists’ funding sources. Vladimir Putin’s government, for example, has labeled various foreign-funded media NGOs as “foreign agents,” implicitly accusing outlets of serving Western geopolitical agendas. In Hungary, Viktor Orbán’s administration has made Soros and OSF into foils in its rhetoric. Orbán’s government enacted a 2018 NGO law – dubbed “Stop Soros” – openly aimed at squeezing OSF-supported groups, including those in independent media</w:t>
      </w:r>
      <w:hyperlink r:id="rId402" w:anchor=":~:text=BUDAPEST%20%28Reuters%29%20,law">
        <w:r>
          <w:rPr>
            <w:rStyle w:val="Hyperlink"/>
          </w:rPr>
          <w:t>[81]</w:t>
        </w:r>
      </w:hyperlink>
      <w:hyperlink r:id="rId403" w:anchor=":~:text=Critics%20of%20the%20nationalist%20premier%2C,centres%20of%20thought%20and%20activism">
        <w:r>
          <w:rPr>
            <w:rStyle w:val="Hyperlink"/>
          </w:rPr>
          <w:t>[82]</w:t>
        </w:r>
      </w:hyperlink>
      <w:r>
        <w:t xml:space="preserve">. The Hungarian state propaganda has portrayed OSF-funded outlets as purveyors of a “migration agenda” or anti-national values. Orbán bluntly stated he’d be happy to see OSF pushed out of Hungary, accusing Soros’s network of </w:t>
      </w:r>
      <w:r>
        <w:rPr>
          <w:i/>
          <w:iCs/>
        </w:rPr>
        <w:t>“promoting mass immigration against the will of the Hungarian people.”</w:t>
      </w:r>
      <w:hyperlink r:id="rId404" w:anchor=":~:text=Prime%20Minister%20Viktor%20Orban%2C%20whose,will%20of%20the%20Hungarian%20people">
        <w:r>
          <w:rPr>
            <w:rStyle w:val="Hyperlink"/>
          </w:rPr>
          <w:t>[83]</w:t>
        </w:r>
      </w:hyperlink>
      <w:hyperlink r:id="rId405" w:anchor=":~:text=European%20Union%2C%20made%20clear%20he,will%20of%20the%20Hungarian%20people">
        <w:r>
          <w:rPr>
            <w:rStyle w:val="Hyperlink"/>
          </w:rPr>
          <w:t>[84]</w:t>
        </w:r>
      </w:hyperlink>
      <w:r>
        <w:t xml:space="preserve"> Such claims echo a broader narrative in nationalist circles: that Soros’s support for human-rights and pro-democracy media is really a cover for influencing national politics. It is notable, however, that even as Orbán vilified OSF, he simultaneously moved to </w:t>
      </w:r>
      <w:r>
        <w:rPr>
          <w:b/>
          <w:bCs/>
        </w:rPr>
        <w:t>cement a pro-government media empire</w:t>
      </w:r>
      <w:r>
        <w:t xml:space="preserve"> inside Hungary</w:t>
      </w:r>
      <w:hyperlink r:id="rId406" w:anchor=":~:text=the%20NGO%20draft%20law%2C%20accusing,right%20to%20freedom%20of%20association">
        <w:r>
          <w:rPr>
            <w:rStyle w:val="Hyperlink"/>
          </w:rPr>
          <w:t>[85]</w:t>
        </w:r>
      </w:hyperlink>
      <w:hyperlink r:id="rId407" w:anchor=":~:text=Hungary%20,subject%20to%20his%20party%27s%20orders">
        <w:r>
          <w:rPr>
            <w:rStyle w:val="Hyperlink"/>
          </w:rPr>
          <w:t>[86]</w:t>
        </w:r>
      </w:hyperlink>
      <w:r>
        <w:t xml:space="preserve"> – buying up independent outlets and funneling advertising to friendly ones. Critics argue Orbán’s attacks on Soros are a cynical ploy to delegitimize any independent </w:t>
      </w:r>
      <w:r>
        <w:lastRenderedPageBreak/>
        <w:t>press as “foreign propaganda,” thereby leaving the state-sponsored narrative as the only credible version</w:t>
      </w:r>
      <w:hyperlink r:id="rId408" w:anchor=":~:text=,that%20casting%20a%20ballot">
        <w:r>
          <w:rPr>
            <w:rStyle w:val="Hyperlink"/>
          </w:rPr>
          <w:t>[87]</w:t>
        </w:r>
      </w:hyperlink>
      <w:hyperlink r:id="rId409" w:anchor=":~:text=The%20EU%20Should%20Not%20Turn,Fidesz%20party%20has%20turned">
        <w:r>
          <w:rPr>
            <w:rStyle w:val="Hyperlink"/>
          </w:rPr>
          <w:t>[88]</w:t>
        </w:r>
      </w:hyperlink>
      <w:r>
        <w:t>.</w:t>
      </w:r>
    </w:p>
    <w:p w14:paraId="177D963C" w14:textId="77777777" w:rsidR="00406E3B" w:rsidRDefault="00406E3B" w:rsidP="00406E3B">
      <w:pPr>
        <w:pStyle w:val="BodyText"/>
      </w:pPr>
      <w:r>
        <w:rPr>
          <w:b/>
          <w:bCs/>
        </w:rPr>
        <w:t>In the United States</w:t>
      </w:r>
      <w:r>
        <w:t xml:space="preserve">, a different set of criticisms has emerged, especially from conservative media watchdogs and politicians. They contend that OSF bankrolls a “left-wing media bias” and that many OSF grantees are activist organizations in journalists’ clothing. For instance, the conservative Media Research Center and commentators on Fox News have loudly objected to Soros’s grants to outlets like Media Matters, NPR, and various progressive online news sites. When Soros’s $1 million gift to Media Matters became public, Fox News host Glenn Beck (whom Media Matters doggedly criticized) railed that he had become </w:t>
      </w:r>
      <w:r>
        <w:rPr>
          <w:i/>
          <w:iCs/>
        </w:rPr>
        <w:t>“enemy No. 1 of George Soros”</w:t>
      </w:r>
      <w:r>
        <w:t xml:space="preserve"> and framed the donation as a “bounty” on Fox</w:t>
      </w:r>
      <w:hyperlink r:id="rId410" w:anchor=":~:text=Because%20of%20Media%20Matters%20donation%2C,News%27%20Katie%20Pavlich%20claims">
        <w:r>
          <w:rPr>
            <w:rStyle w:val="Hyperlink"/>
          </w:rPr>
          <w:t>[89]</w:t>
        </w:r>
      </w:hyperlink>
      <w:hyperlink r:id="rId411" w:anchor=":~:text=In%20a%20statement%2C%20Soros%20said,informed%20discourse%20in%20our%20democracy">
        <w:r>
          <w:rPr>
            <w:rStyle w:val="Hyperlink"/>
          </w:rPr>
          <w:t>[33]</w:t>
        </w:r>
      </w:hyperlink>
      <w:r>
        <w:t xml:space="preserve">. Around the same time, Soros’s funding of NPR’s state-house reporting project got caught up in a political controversy when NPR fired commentator Juan Williams. Right-wing commentators speculated, without evidence, that Soros’s money influenced NPR’s editorial decisions – one pundit called Williams’s sacking a </w:t>
      </w:r>
      <w:r>
        <w:rPr>
          <w:i/>
          <w:iCs/>
        </w:rPr>
        <w:t>“Soros-inspired outcome… Orwellian stuff.”</w:t>
      </w:r>
      <w:hyperlink r:id="rId412" w:anchor=":~:text=this%20situation%2C">
        <w:r>
          <w:rPr>
            <w:rStyle w:val="Hyperlink"/>
          </w:rPr>
          <w:t>[90]</w:t>
        </w:r>
      </w:hyperlink>
      <w:hyperlink r:id="rId413" w:anchor=":~:text=Brent%20Bozell%2C%20head%20of%20the,inspired%20outcome">
        <w:r>
          <w:rPr>
            <w:rStyle w:val="Hyperlink"/>
          </w:rPr>
          <w:t>[91]</w:t>
        </w:r>
      </w:hyperlink>
      <w:r>
        <w:t xml:space="preserve"> (NPR vehemently denied any connection and stood by its ethics; OSF’s grant was aimed at local news expansion, not commentary, and was publicly announced</w:t>
      </w:r>
      <w:hyperlink r:id="rId414" w:anchor=":~:text=Juan%20Williams%20may%20be%20gone,50%20of%20its%20member%20stations">
        <w:r>
          <w:rPr>
            <w:rStyle w:val="Hyperlink"/>
          </w:rPr>
          <w:t>[3]</w:t>
        </w:r>
      </w:hyperlink>
      <w:hyperlink r:id="rId415" w:anchor=":~:text=,a%20statement%20earlier%20this%20week">
        <w:r>
          <w:rPr>
            <w:rStyle w:val="Hyperlink"/>
          </w:rPr>
          <w:t>[4]</w:t>
        </w:r>
      </w:hyperlink>
      <w:r>
        <w:t xml:space="preserve">.) Nonetheless, such incidents feed a narrative on the right that Soros “controls” certain media. In 2023, an official Ohio Senate blog went so far as to claim that </w:t>
      </w:r>
      <w:r>
        <w:rPr>
          <w:b/>
          <w:bCs/>
        </w:rPr>
        <w:t>“woke billionaires George Soros and Bill Gates…are paying journalists to write fake news”</w:t>
      </w:r>
      <w:r>
        <w:t xml:space="preserve"> in Ohio</w:t>
      </w:r>
      <w:hyperlink r:id="rId416" w:anchor=":~:text=On%20The%20Record">
        <w:r>
          <w:rPr>
            <w:rStyle w:val="Hyperlink"/>
          </w:rPr>
          <w:t>[92]</w:t>
        </w:r>
      </w:hyperlink>
      <w:r>
        <w:t xml:space="preserve">. The post alleged a convoluted “money trail” in which Soros’s foundation gave </w:t>
      </w:r>
      <w:r>
        <w:rPr>
          <w:b/>
          <w:bCs/>
        </w:rPr>
        <w:t>$36 million in 2021</w:t>
      </w:r>
      <w:r>
        <w:t xml:space="preserve"> to a liberal nonprofit (the New Venture Fund) which in turn supports </w:t>
      </w:r>
      <w:r>
        <w:rPr>
          <w:i/>
          <w:iCs/>
        </w:rPr>
        <w:t>States Newsroom</w:t>
      </w:r>
      <w:r>
        <w:t xml:space="preserve"> outlets in Midwest media</w:t>
      </w:r>
      <w:hyperlink r:id="rId417" w:anchor=":~:text=1,an%20umbrella%20group%20called%20Arabella">
        <w:r>
          <w:rPr>
            <w:rStyle w:val="Hyperlink"/>
          </w:rPr>
          <w:t>[54]</w:t>
        </w:r>
      </w:hyperlink>
      <w:r>
        <w:t xml:space="preserve">. The article labeled these nonprofit state news sites </w:t>
      </w:r>
      <w:r>
        <w:rPr>
          <w:i/>
          <w:iCs/>
        </w:rPr>
        <w:t>“fake news…pushing far-left propaganda as though it is real news.”</w:t>
      </w:r>
      <w:hyperlink r:id="rId418" w:anchor=":~:text=How%20Billionaire%20Globalists%20are%20paying,propaganda%20in%20Ohio%27s%20Mainstream%20Newsrooms">
        <w:r>
          <w:rPr>
            <w:rStyle w:val="Hyperlink"/>
          </w:rPr>
          <w:t>[93]</w:t>
        </w:r>
      </w:hyperlink>
      <w:hyperlink r:id="rId419" w:anchor=":~:text=You%20might%20be%20surprised%20to,fake%20news%20about%20Ohio%20politics">
        <w:r>
          <w:rPr>
            <w:rStyle w:val="Hyperlink"/>
          </w:rPr>
          <w:t>[94]</w:t>
        </w:r>
      </w:hyperlink>
      <w:r>
        <w:t xml:space="preserve"> Such rhetoric underscores how Soros’s funding of media has itself become a polarized symbol: to detractors, proof of a partisan </w:t>
      </w:r>
      <w:r>
        <w:rPr>
          <w:i/>
          <w:iCs/>
        </w:rPr>
        <w:t>“octopus”</w:t>
      </w:r>
      <w:r>
        <w:t xml:space="preserve"> influencing narratives; to OSF and its allies, a distortion that intentionally misrepresents transparent philanthropy as something nefarious.</w:t>
      </w:r>
    </w:p>
    <w:p w14:paraId="47F933C5" w14:textId="77777777" w:rsidR="00406E3B" w:rsidRDefault="00406E3B" w:rsidP="00406E3B">
      <w:pPr>
        <w:pStyle w:val="BodyText"/>
      </w:pPr>
      <w:r>
        <w:t xml:space="preserve">OSF and the journalistic organizations it funds consistently rebut these claims. They stress that </w:t>
      </w:r>
      <w:r>
        <w:rPr>
          <w:b/>
          <w:bCs/>
        </w:rPr>
        <w:t>allegations of hidden bias or agendas have not been borne out by evidence of any editorial wrongdoing</w:t>
      </w:r>
      <w:r>
        <w:t xml:space="preserve">. In fact, independent evaluations often support the credibility of OSF-funded journalism. A recent example came from </w:t>
      </w:r>
      <w:r>
        <w:rPr>
          <w:i/>
          <w:iCs/>
        </w:rPr>
        <w:t>Mediapart</w:t>
      </w:r>
      <w:r>
        <w:t xml:space="preserve"> (a respected French investigative outlet): it examined OCCRP’s work amid questions about Western donor influence, and </w:t>
      </w:r>
      <w:r>
        <w:rPr>
          <w:i/>
          <w:iCs/>
        </w:rPr>
        <w:t>“everybody interviewed…agreed OCCRP has produced high-quality journalism over many years on a range of topics,”</w:t>
      </w:r>
      <w:r>
        <w:t xml:space="preserve"> finding no evidence that funders skewed its reporting</w:t>
      </w:r>
      <w:hyperlink r:id="rId420" w:anchor=":~:text=match%20at%20L387%20to%20identify,on%20a%20range%20of%20topics">
        <w:r>
          <w:rPr>
            <w:rStyle w:val="Hyperlink"/>
          </w:rPr>
          <w:t>[95]</w:t>
        </w:r>
      </w:hyperlink>
      <w:hyperlink r:id="rId421" w:anchor=":~:text=to%20identify%20any%20examples%20of,on%20a%20range%20of%20topics">
        <w:r>
          <w:rPr>
            <w:rStyle w:val="Hyperlink"/>
          </w:rPr>
          <w:t>[96]</w:t>
        </w:r>
      </w:hyperlink>
      <w:r>
        <w:t xml:space="preserve">. Similarly, the Global Investigative Journalism Network notes that while autocrats love to dismiss investigative reporters as foreign puppets, </w:t>
      </w:r>
      <w:r>
        <w:rPr>
          <w:b/>
          <w:bCs/>
        </w:rPr>
        <w:t>the track record of these outlets – exposing corruption across the political spectrum – speaks for itself</w:t>
      </w:r>
      <w:hyperlink r:id="rId422" w:anchor=":~:text=Authoritarians%2C%20trolls%2C%20and%20critics%20increasingly,%E2%80%9D">
        <w:r>
          <w:rPr>
            <w:rStyle w:val="Hyperlink"/>
          </w:rPr>
          <w:t>[97]</w:t>
        </w:r>
      </w:hyperlink>
      <w:hyperlink r:id="rId423" w:anchor=":~:text=These%20rhetorical%20attacks%20have%20been,they%20receive%20financial%20support%20from">
        <w:r>
          <w:rPr>
            <w:rStyle w:val="Hyperlink"/>
          </w:rPr>
          <w:t>[98]</w:t>
        </w:r>
      </w:hyperlink>
      <w:r>
        <w:t>. Many OSF-backed outlets have broken stories embarrassing to liberal or Western governments, undercutting the notion they are simply Soros’s PR machines. (</w:t>
      </w:r>
      <w:r>
        <w:rPr>
          <w:i/>
          <w:iCs/>
        </w:rPr>
        <w:t>For instance, ICIJ’s Panama Papers, supported by OSF, implicated friends of Vladimir Putin but also British Prime Minister David Cameron’s family wealth and other Western elites – hardly a one-sided takedown.</w:t>
      </w:r>
      <w:r>
        <w:t>)</w:t>
      </w:r>
    </w:p>
    <w:p w14:paraId="3E43DA58" w14:textId="77777777" w:rsidR="00406E3B" w:rsidRDefault="00406E3B" w:rsidP="00406E3B">
      <w:pPr>
        <w:pStyle w:val="BodyText"/>
      </w:pPr>
      <w:r>
        <w:lastRenderedPageBreak/>
        <w:t xml:space="preserve">At the same time, defenders acknowledge a kernel of truth: that </w:t>
      </w:r>
      <w:r>
        <w:rPr>
          <w:b/>
          <w:bCs/>
        </w:rPr>
        <w:t>attacks on funding can damage public trust</w:t>
      </w:r>
      <w:r>
        <w:t xml:space="preserve"> even if the journalism is solid. </w:t>
      </w:r>
      <w:r>
        <w:rPr>
          <w:i/>
          <w:iCs/>
        </w:rPr>
        <w:t>“As soon as a nonprofit would take Soros money…it was instantly weaponized against you with claims you are a left-wing propaganda machine,”</w:t>
      </w:r>
      <w:r>
        <w:t xml:space="preserve"> says philanthropy advisor Bridget Gallagher, describing decades of experience</w:t>
      </w:r>
      <w:hyperlink r:id="rId424" w:anchor=":~:text=%E2%80%9CThis%20is%20not%20a%20new,%E2%80%9D">
        <w:r>
          <w:rPr>
            <w:rStyle w:val="Hyperlink"/>
          </w:rPr>
          <w:t>[99]</w:t>
        </w:r>
      </w:hyperlink>
      <w:hyperlink r:id="rId425" w:anchor=":~:text=decades%2C%20as%20soon%20as%20a,%E2%80%9D">
        <w:r>
          <w:rPr>
            <w:rStyle w:val="Hyperlink"/>
          </w:rPr>
          <w:t>[100]</w:t>
        </w:r>
      </w:hyperlink>
      <w:r>
        <w:t xml:space="preserve">. This has spurred organizations to double-down on </w:t>
      </w:r>
      <w:r>
        <w:rPr>
          <w:b/>
          <w:bCs/>
        </w:rPr>
        <w:t>transparency and diversification</w:t>
      </w:r>
      <w:r>
        <w:t>. Many now publish detailed financial breakdowns, list all donors (OSF included) on their websites, and welcome third-party audits. OCCRP, for example, posts its annual audits and has a perfect 4-star rating on Charity Navigator for accountability</w:t>
      </w:r>
      <w:hyperlink r:id="rId426" w:anchor=":~:text=Where%20does%20OCCRP%20get%20its,money">
        <w:r>
          <w:rPr>
            <w:rStyle w:val="Hyperlink"/>
          </w:rPr>
          <w:t>[62]</w:t>
        </w:r>
      </w:hyperlink>
      <w:hyperlink r:id="rId427" w:anchor=":~:text=Transparency%20is%20important%20to%20us%2C,Candid%2FGuide%20Star%2C%20a%20similar%20organization">
        <w:r>
          <w:rPr>
            <w:rStyle w:val="Hyperlink"/>
          </w:rPr>
          <w:t>[101]</w:t>
        </w:r>
      </w:hyperlink>
      <w:r>
        <w:t>. It has also built a broad base of around 50 grants from governments and private foundations, so no single donor is indispensable</w:t>
      </w:r>
      <w:hyperlink r:id="rId428" w:anchor=":~:text=Where%20does%20OCCRP%20get%20its,money">
        <w:r>
          <w:rPr>
            <w:rStyle w:val="Hyperlink"/>
          </w:rPr>
          <w:t>[62]</w:t>
        </w:r>
      </w:hyperlink>
      <w:hyperlink r:id="rId429" w:anchor=":~:text=We%20are%20a%20donor,separate%20grants%20from%20these%20donors">
        <w:r>
          <w:rPr>
            <w:rStyle w:val="Hyperlink"/>
          </w:rPr>
          <w:t>[102]</w:t>
        </w:r>
      </w:hyperlink>
      <w:r>
        <w:t xml:space="preserve">. This diversity is partly to </w:t>
      </w:r>
      <w:r>
        <w:rPr>
          <w:b/>
          <w:bCs/>
        </w:rPr>
        <w:t>“maximize independence, including the perception of it,”</w:t>
      </w:r>
      <w:r>
        <w:t xml:space="preserve"> as GIJN’s experts put it</w:t>
      </w:r>
      <w:hyperlink r:id="rId430" w:anchor=":~:text=activism%2C%20experts%20highlight">
        <w:r>
          <w:rPr>
            <w:rStyle w:val="Hyperlink"/>
          </w:rPr>
          <w:t>[103]</w:t>
        </w:r>
      </w:hyperlink>
      <w:hyperlink r:id="rId431" w:anchor=":~:text=bias%2C%20GIJN%20sources%20shared%20practical,boost%20perceptions%20of%20fairness%2C%20below">
        <w:r>
          <w:rPr>
            <w:rStyle w:val="Hyperlink"/>
          </w:rPr>
          <w:t>[104]</w:t>
        </w:r>
      </w:hyperlink>
      <w:r>
        <w:t>. If one funder pulled support over an unwelcome story, the outlet could carry on with others – and in practice, such retaliation has not occurred, according to OCCRP’s leaders</w:t>
      </w:r>
      <w:hyperlink r:id="rId432" w:anchor=":~:text=we%20are%20required%20to%20find,ever%20want%20to%20replace%20anyone">
        <w:r>
          <w:rPr>
            <w:rStyle w:val="Hyperlink"/>
          </w:rPr>
          <w:t>[105]</w:t>
        </w:r>
      </w:hyperlink>
      <w:r>
        <w:t>.</w:t>
      </w:r>
    </w:p>
    <w:p w14:paraId="4C1C2A46" w14:textId="77777777" w:rsidR="00406E3B" w:rsidRDefault="00406E3B" w:rsidP="00406E3B">
      <w:pPr>
        <w:pStyle w:val="BodyText"/>
      </w:pPr>
      <w:r>
        <w:t xml:space="preserve">Ultimately, OSF and its grantees see the </w:t>
      </w:r>
      <w:r>
        <w:rPr>
          <w:i/>
          <w:iCs/>
        </w:rPr>
        <w:t>narrative of narrative control</w:t>
      </w:r>
      <w:r>
        <w:t xml:space="preserve"> as a politically motivated tactic. They argue that </w:t>
      </w:r>
      <w:r>
        <w:rPr>
          <w:b/>
          <w:bCs/>
        </w:rPr>
        <w:t>authoritarians and partisans project their own behavior onto independent media</w:t>
      </w:r>
      <w:r>
        <w:t xml:space="preserve"> – accusing journalists of the very bias and manipulation that those regimes or groups engage in. As GIJN’s board noted in a February 2021 statement, these attacks often come from officials </w:t>
      </w:r>
      <w:r>
        <w:rPr>
          <w:i/>
          <w:iCs/>
        </w:rPr>
        <w:t>“who reflexively accuse critics of the same kind of compromised behavior they themselves indulge in.”</w:t>
      </w:r>
      <w:hyperlink r:id="rId433" w:anchor=":~:text=outlets%20as%20%E2%80%9Cforeign%20agents%E2%80%9D%20just,behavior%20they%20themselves%20indulge%20in">
        <w:r>
          <w:rPr>
            <w:rStyle w:val="Hyperlink"/>
          </w:rPr>
          <w:t>[106]</w:t>
        </w:r>
      </w:hyperlink>
      <w:hyperlink r:id="rId434" w:anchor=":~:text=At%20the%20heart%20of%20all,including%20public%20perceptions%20of%20it">
        <w:r>
          <w:rPr>
            <w:rStyle w:val="Hyperlink"/>
          </w:rPr>
          <w:t>[107]</w:t>
        </w:r>
      </w:hyperlink>
      <w:r>
        <w:t xml:space="preserve"> In other words, governments that tightly control media at home will label any critical coverage from abroad as someone else’s propaganda. The best antidote, OSF-backed journalists say, is to </w:t>
      </w:r>
      <w:r>
        <w:rPr>
          <w:b/>
          <w:bCs/>
        </w:rPr>
        <w:t>“walk the talk”</w:t>
      </w:r>
      <w:r>
        <w:t xml:space="preserve"> by upholding rigorous editorial standards. Over time, quality reporting can earn public trust, making smears less sticky. For example, years of fearless coverage of corruption in Romania or Serbia by OCCRP’s network built a reputation that outlasted government attempts to discredit those outlets as “Soros agents.” Even in Hungary, independent outlets supported by OSF (like </w:t>
      </w:r>
      <w:r>
        <w:rPr>
          <w:i/>
          <w:iCs/>
        </w:rPr>
        <w:t>direkt36</w:t>
      </w:r>
      <w:r>
        <w:t xml:space="preserve"> or </w:t>
      </w:r>
      <w:r>
        <w:rPr>
          <w:i/>
          <w:iCs/>
        </w:rPr>
        <w:t>Atlatszo.hu</w:t>
      </w:r>
      <w:r>
        <w:t>) have published investigations into the Orbán government that were later independently verified, boosting their credibility among readers seeking truth. While officials still deride them, these outlets have sizable followings who see them as rare sources of factual information in a propaganda-heavy environment.</w:t>
      </w:r>
    </w:p>
    <w:p w14:paraId="6F8EA421" w14:textId="77777777" w:rsidR="00406E3B" w:rsidRDefault="00406E3B" w:rsidP="00406E3B">
      <w:pPr>
        <w:pStyle w:val="Heading4"/>
      </w:pPr>
      <w:bookmarkStart w:id="32" w:name="Xb8255ff4df4a6f15dbc07c306647fa375d45a0a"/>
      <w:r>
        <w:t xml:space="preserve">Case Study: </w:t>
      </w:r>
      <w:r>
        <w:rPr>
          <w:b/>
          <w:bCs/>
        </w:rPr>
        <w:t>openDemocracy (Nonprofit) vs. Malaysiakini (Social Enterprise)</w:t>
      </w:r>
    </w:p>
    <w:p w14:paraId="4E3B8AFC" w14:textId="77777777" w:rsidR="00406E3B" w:rsidRDefault="00406E3B" w:rsidP="00406E3B">
      <w:pPr>
        <w:pStyle w:val="FirstParagraph"/>
      </w:pPr>
      <w:r>
        <w:t xml:space="preserve">To explore different governance models among OSF-linked media, consider </w:t>
      </w:r>
      <w:r>
        <w:rPr>
          <w:b/>
          <w:bCs/>
        </w:rPr>
        <w:t>two contrasting outlets</w:t>
      </w:r>
      <w:r>
        <w:t>:</w:t>
      </w:r>
    </w:p>
    <w:p w14:paraId="5D4FCF45" w14:textId="77777777" w:rsidR="00406E3B" w:rsidRDefault="00406E3B" w:rsidP="00406E3B">
      <w:pPr>
        <w:numPr>
          <w:ilvl w:val="0"/>
          <w:numId w:val="1"/>
        </w:numPr>
      </w:pPr>
      <w:r>
        <w:rPr>
          <w:b/>
          <w:bCs/>
        </w:rPr>
        <w:t>openDemocracy</w:t>
      </w:r>
      <w:r>
        <w:t xml:space="preserve"> – Based in London, openDemocracy is a </w:t>
      </w:r>
      <w:r>
        <w:rPr>
          <w:b/>
          <w:bCs/>
        </w:rPr>
        <w:t>nonprofit digital media platform</w:t>
      </w:r>
      <w:r>
        <w:t xml:space="preserve"> founded in 2001. It produces investigative journalism and commentary on global affairs, social justice, and politics. Governance: openDemocracy is run by a charitable company with an editorially independent board. Its funding comes from a mix of grants (from OSF and other foundations like Ford and Rockefeller), plus reader donations. No single donor dominates its budget; for example, OSF’s contributions amounted to about </w:t>
      </w:r>
      <w:r>
        <w:rPr>
          <w:b/>
          <w:bCs/>
        </w:rPr>
        <w:t>13% of revenue in 2022</w:t>
      </w:r>
      <w:hyperlink r:id="rId435" w:anchor=":~:text=Open%20Society%20Foundations%2C%20a%20separate,of%20its%20income%20in%202022">
        <w:r>
          <w:rPr>
            <w:rStyle w:val="Hyperlink"/>
          </w:rPr>
          <w:t>[108]</w:t>
        </w:r>
      </w:hyperlink>
      <w:hyperlink r:id="rId436" w:anchor=":~:text=Open%20Society%20Foundations%2C%20a%20separate,of%20its%20income%20in%202022">
        <w:r>
          <w:rPr>
            <w:rStyle w:val="Hyperlink"/>
          </w:rPr>
          <w:t>[109]</w:t>
        </w:r>
      </w:hyperlink>
      <w:r>
        <w:t xml:space="preserve">. </w:t>
      </w:r>
      <w:r>
        <w:rPr>
          <w:i/>
          <w:iCs/>
        </w:rPr>
        <w:t xml:space="preserve">Editorial </w:t>
      </w:r>
      <w:r>
        <w:rPr>
          <w:i/>
          <w:iCs/>
        </w:rPr>
        <w:lastRenderedPageBreak/>
        <w:t>independence:</w:t>
      </w:r>
      <w:r>
        <w:t xml:space="preserve"> openDemocracy maintains a strict firewall – funders have zero say in content. It publicly emphasizes that it is </w:t>
      </w:r>
      <w:r>
        <w:rPr>
          <w:b/>
          <w:bCs/>
        </w:rPr>
        <w:t>not a “campaign group” for any donor’s agenda, but a media organization with its own mission</w:t>
      </w:r>
      <w:hyperlink r:id="rId437" w:anchor=":~:text=Open%20Democracy%20complained%20that%20the,organisation%2C%20not%20a%20%E2%80%98campaign%20group%27%E2%80%9D">
        <w:r>
          <w:rPr>
            <w:rStyle w:val="Hyperlink"/>
          </w:rPr>
          <w:t>[110]</w:t>
        </w:r>
      </w:hyperlink>
      <w:hyperlink r:id="rId438" w:anchor=":~:text=It%20told%20IPSO%20that%20%E2%80%9Cboth,independence%20and%20harmed%20its%20reputation%E2%80%9D">
        <w:r>
          <w:rPr>
            <w:rStyle w:val="Hyperlink"/>
          </w:rPr>
          <w:t>[111]</w:t>
        </w:r>
      </w:hyperlink>
      <w:r>
        <w:t>. When UK media tried to paint it as “Soros’s campaign group,” openDemocracy took the matter to the press regulator and won (IPSO agreed the portrayal was misleading and required corrections)</w:t>
      </w:r>
      <w:hyperlink r:id="rId439" w:anchor=":~:text=IPSO%E2%80%99s%20complaints%20committee%20found%20the,the%20Editors%E2%80%99%20Code%20of%20Practice">
        <w:r>
          <w:rPr>
            <w:rStyle w:val="Hyperlink"/>
          </w:rPr>
          <w:t>[68]</w:t>
        </w:r>
      </w:hyperlink>
      <w:hyperlink r:id="rId440" w:anchor=":~:text=It%20went%20on%3A%20%E2%80%9CIn%20these,degree%20of%20control%20over%20it">
        <w:r>
          <w:rPr>
            <w:rStyle w:val="Hyperlink"/>
          </w:rPr>
          <w:t>[69]</w:t>
        </w:r>
      </w:hyperlink>
      <w:r>
        <w:t>. This case underlined that openDemocracy’s governance structure (independent nonprofit) gives it recourse to defend its editorial integrity. The outlet is accountable to its board and readers under UK charity law, and its transparency reports list OSF simply as one donor among many. Being a nonprofit allows openDemocracy to explicitly reinvest any surplus into its journalism rather than profit distribution, reinforcing its public-interest ethos.</w:t>
      </w:r>
    </w:p>
    <w:p w14:paraId="59CF6F38" w14:textId="77777777" w:rsidR="00406E3B" w:rsidRDefault="00406E3B" w:rsidP="00406E3B">
      <w:pPr>
        <w:numPr>
          <w:ilvl w:val="0"/>
          <w:numId w:val="1"/>
        </w:numPr>
      </w:pPr>
      <w:r>
        <w:rPr>
          <w:b/>
          <w:bCs/>
        </w:rPr>
        <w:t>Malaysiakini</w:t>
      </w:r>
      <w:r>
        <w:t xml:space="preserve"> – Founded in Kuala Lumpur in 1999, Malaysiakini is an </w:t>
      </w:r>
      <w:r>
        <w:rPr>
          <w:b/>
          <w:bCs/>
        </w:rPr>
        <w:t>independent news website structured as a private company</w:t>
      </w:r>
      <w:r>
        <w:t xml:space="preserve"> (</w:t>
      </w:r>
      <w:r>
        <w:rPr>
          <w:i/>
          <w:iCs/>
        </w:rPr>
        <w:t>Mkini Dotcom</w:t>
      </w:r>
      <w:r>
        <w:t>). Governance: The company was majority-owned by its two journalist co-founders, with an external investor (MDIF, the media fund with Soros ties) holding a minority ~29% stake</w:t>
      </w:r>
      <w:hyperlink r:id="rId441" w:anchor=":~:text=Assistance%20www,a%20mixed%20staff%20of">
        <w:r>
          <w:rPr>
            <w:rStyle w:val="Hyperlink"/>
          </w:rPr>
          <w:t>[112]</w:t>
        </w:r>
      </w:hyperlink>
      <w:hyperlink r:id="rId442" w:anchor=":~:text=Malaysiakini%20is%20owned%20by%20the,Development%20Loan%20Fund%20and">
        <w:r>
          <w:rPr>
            <w:rStyle w:val="Hyperlink"/>
          </w:rPr>
          <w:t>[113]</w:t>
        </w:r>
      </w:hyperlink>
      <w:r>
        <w:t xml:space="preserve">. In recent years, the founders moved to transfer shares into a media trust to ensure Malaysiakini’s long-term editorial mission. Malaysiakini operates on a </w:t>
      </w:r>
      <w:r>
        <w:rPr>
          <w:b/>
          <w:bCs/>
        </w:rPr>
        <w:t>hybrid model</w:t>
      </w:r>
      <w:r>
        <w:t xml:space="preserve">: it is for-profit (generating revenue via subscriptions, advertising, and content services), but with a strong social mission and backing from impact investors rather than traditional shareholders. </w:t>
      </w:r>
      <w:r>
        <w:rPr>
          <w:i/>
          <w:iCs/>
        </w:rPr>
        <w:t>Editorial independence:</w:t>
      </w:r>
      <w:r>
        <w:t xml:space="preserve"> Malaysiakini’s leadership has publicly declared that </w:t>
      </w:r>
      <w:r>
        <w:rPr>
          <w:b/>
          <w:bCs/>
        </w:rPr>
        <w:t>even its investors cannot influence coverage</w:t>
      </w:r>
      <w:r>
        <w:t xml:space="preserve">. </w:t>
      </w:r>
      <w:r>
        <w:rPr>
          <w:i/>
          <w:iCs/>
        </w:rPr>
        <w:t>“When it comes to outsiders or even Malaysiakini shareholders influencing our editorial, that is completely impossible,”</w:t>
      </w:r>
      <w:r>
        <w:t xml:space="preserve"> Editor-in-Chief Steven Gan stated unequivocally</w:t>
      </w:r>
      <w:hyperlink r:id="rId443" w:anchor=":~:text=Zikri%20Kamarulzaman%20Published%20%3A%20Nov,%E2%8B%85%20Updated%20%3A%2012%3A14%20PM">
        <w:r>
          <w:rPr>
            <w:rStyle w:val="Hyperlink"/>
          </w:rPr>
          <w:t>[72]</w:t>
        </w:r>
      </w:hyperlink>
      <w:hyperlink r:id="rId444" w:anchor=":~:text=%E2%80%9CWhen%20it%20comes%20to%20outsiders,office%20in%20Petaling%20Jaya%20today">
        <w:r>
          <w:rPr>
            <w:rStyle w:val="Hyperlink"/>
          </w:rPr>
          <w:t>[114]</w:t>
        </w:r>
      </w:hyperlink>
      <w:r>
        <w:t xml:space="preserve">. The company’s internal policy bars non-editorial staff from meddling in news decisions. MDIF, despite its equity, </w:t>
      </w:r>
      <w:r>
        <w:rPr>
          <w:b/>
          <w:bCs/>
        </w:rPr>
        <w:t>plays an advisory and financial role only</w:t>
      </w:r>
      <w:r>
        <w:t>, with no editorial veto – Gan noted that MDIF respects the editorial firewall and has never attempted to dictate content</w:t>
      </w:r>
      <w:hyperlink r:id="rId445" w:anchor=":~:text=Gan%20said%20even%20the%20Media,in%20the%20website%E2%80%99s%20editorial%20policy">
        <w:r>
          <w:rPr>
            <w:rStyle w:val="Hyperlink"/>
          </w:rPr>
          <w:t>[73]</w:t>
        </w:r>
      </w:hyperlink>
      <w:hyperlink r:id="rId446" w:anchor=":~:text=Gan%20said%20even%20the%20Media,in%20the%20website%E2%80%99s%20editorial%20policy">
        <w:r>
          <w:rPr>
            <w:rStyle w:val="Hyperlink"/>
          </w:rPr>
          <w:t>[115]</w:t>
        </w:r>
      </w:hyperlink>
      <w:r>
        <w:t xml:space="preserve">. Malaysiakini’s model demonstrates that a mission-driven for-profit outlet can leverage </w:t>
      </w:r>
      <w:r>
        <w:rPr>
          <w:b/>
          <w:bCs/>
        </w:rPr>
        <w:t>philanthropic investment</w:t>
      </w:r>
      <w:r>
        <w:t xml:space="preserve"> (in lieu of pure commercial capital) to grow, while still protecting newsroom autonomy through shareholder agreements and the personal commitments of its founders. This model gave Malaysiakini access to funds (from MDIF and others) to expand and invest in technology, but without needing to turn to a billionaire owner or IPO that might compromise its independence. The trade-off is that it must sustain itself through market revenues more than a fully nonprofit media would – but that has arguably made its journalism stronger, as it is directly supported by its audience (subscribers) who expect hard-hitting, reliable news. In sum, Malaysiakini’s governance blends </w:t>
      </w:r>
      <w:r>
        <w:rPr>
          <w:b/>
          <w:bCs/>
        </w:rPr>
        <w:t>private enterprise incentives (efficiency, growth) with nonprofit-style protections (editorial safeguards and mission locks)</w:t>
      </w:r>
      <w:r>
        <w:t>. The contrast with openDemocracy shows there is more than one way to structure an independent media outlet – one relies on diversified grants and charitable status, the other on social entrepreneurship and aligned investors – yet both can uphold similar values of editorial freedom.</w:t>
      </w:r>
    </w:p>
    <w:bookmarkEnd w:id="31"/>
    <w:bookmarkEnd w:id="32"/>
    <w:p w14:paraId="05EA996E" w14:textId="77777777" w:rsidR="00406E3B" w:rsidRDefault="00406E3B" w:rsidP="00406E3B">
      <w:pPr>
        <w:pStyle w:val="Heading3"/>
      </w:pPr>
      <w:r>
        <w:lastRenderedPageBreak/>
        <w:t>Conclusion</w:t>
      </w:r>
    </w:p>
    <w:p w14:paraId="140CBB86" w14:textId="77777777" w:rsidR="00406E3B" w:rsidRDefault="00406E3B" w:rsidP="00406E3B">
      <w:pPr>
        <w:pStyle w:val="FirstParagraph"/>
      </w:pPr>
      <w:r>
        <w:t xml:space="preserve">OSF’s extensive support for journalism and media can be seen as an attempt to </w:t>
      </w:r>
      <w:r>
        <w:rPr>
          <w:b/>
          <w:bCs/>
        </w:rPr>
        <w:t>build a global “narrative infrastructure” of open society</w:t>
      </w:r>
      <w:r>
        <w:t xml:space="preserve"> – a network of outlets, skills, and platforms that elevate facts, accountability, and diverse voices. This includes funding investigative exposés that challenge the powerful, nurturing local news where markets fail, and amplifying marginalized perspectives through innovative media. The approach has yielded many success stories: corrupt officials jailed following OSF-funded investigations; citizens informed about their rights by community radio sponsored by OSF; new media startups surviving economic crises thanks to OSF emergency grants. At the same time, this work remains controversial precisely because it is effective. </w:t>
      </w:r>
      <w:r>
        <w:rPr>
          <w:b/>
          <w:bCs/>
        </w:rPr>
        <w:t>Narratives are powerful</w:t>
      </w:r>
      <w:r>
        <w:t>, and those who benefit from controlling the public narrative have pushed back hard against OSF and its media partners. Allegations of bias, foreign meddling, or hidden agendas will likely continue as long as OSF funds media that challenge entrenched interests.</w:t>
      </w:r>
    </w:p>
    <w:p w14:paraId="4782BDC0" w14:textId="77777777" w:rsidR="00406E3B" w:rsidRDefault="00406E3B" w:rsidP="00406E3B">
      <w:pPr>
        <w:pStyle w:val="BodyText"/>
      </w:pPr>
      <w:r>
        <w:t xml:space="preserve">From a critical perspective, it is healthy to scrutinize any major funding source in media – transparency and vigilance are essential to prevent undue influence. On that front, OSF-funded outlets have generally responded by being </w:t>
      </w:r>
      <w:r>
        <w:rPr>
          <w:i/>
          <w:iCs/>
        </w:rPr>
        <w:t>more</w:t>
      </w:r>
      <w:r>
        <w:t xml:space="preserve"> transparent and professional, holding themselves to high standards to prove their credibility. The evidence to date (regulatory findings, credibility ratings, award-winning journalism) suggests that </w:t>
      </w:r>
      <w:r>
        <w:rPr>
          <w:b/>
          <w:bCs/>
        </w:rPr>
        <w:t>editorial independence can coexist with philanthropic funding</w:t>
      </w:r>
      <w:r>
        <w:t xml:space="preserve"> – provided that ethics are strong and diverse funding dilutes any single donor’s sway. In many countries, OSF’s media grants have actually increased pluralism, by enabling outlets free from government or oligarch control. As one media expert put it, the real risk to independent journalism is not that it’s backed by liberal philanthropies, but that </w:t>
      </w:r>
      <w:r>
        <w:rPr>
          <w:b/>
          <w:bCs/>
        </w:rPr>
        <w:t>without such support, journalism would wither and leave a void filled by propaganda and “fake news.”</w:t>
      </w:r>
      <w:hyperlink r:id="rId447" w:anchor=":~:text=including%20public%20perceptions%20of%20it">
        <w:r>
          <w:rPr>
            <w:rStyle w:val="Hyperlink"/>
          </w:rPr>
          <w:t>[116]</w:t>
        </w:r>
      </w:hyperlink>
      <w:hyperlink r:id="rId448" w:anchor=":~:text=%E2%80%9CThe%20decline%20in%20media%20support,GFMD">
        <w:r>
          <w:rPr>
            <w:rStyle w:val="Hyperlink"/>
          </w:rPr>
          <w:t>[117]</w:t>
        </w:r>
      </w:hyperlink>
      <w:r>
        <w:t xml:space="preserve"> In an era of collapsing commercial news models, OSF’s narrative infrastructure strategy is an experiment in using private philanthropy to serve the public interest in media. It raises valid questions – about sustainability, perceptions of bias, and accountability – but it has also undeniably helped keep alive the flame of free journalism in many places where it was guttering.</w:t>
      </w:r>
    </w:p>
    <w:p w14:paraId="7DB63FD2" w14:textId="77777777" w:rsidR="00406E3B" w:rsidRDefault="00406E3B" w:rsidP="00406E3B">
      <w:pPr>
        <w:pStyle w:val="BodyText"/>
      </w:pPr>
      <w:r>
        <w:t xml:space="preserve">Moving forward, OSF and similar donors face a balancing act: how to continue supporting impactful journalism </w:t>
      </w:r>
      <w:r>
        <w:rPr>
          <w:b/>
          <w:bCs/>
        </w:rPr>
        <w:t>without feeding conspiracies about that support</w:t>
      </w:r>
      <w:r>
        <w:t>. Initiatives like the International Fund for Public Interest Media (which OSF has endorsed) propose pooling resources in a transparent, multistakeholder way to fund media, so that no single donor (like OSF or any government) is viewed as the puppeteer</w:t>
      </w:r>
      <w:hyperlink r:id="rId449" w:anchor=":~:text=bias%2C%20GIJN%20sources%20shared%20practical,boost%20perceptions%20of%20fairness%2C%20below">
        <w:r>
          <w:rPr>
            <w:rStyle w:val="Hyperlink"/>
          </w:rPr>
          <w:t>[104]</w:t>
        </w:r>
      </w:hyperlink>
      <w:hyperlink r:id="rId450" w:anchor=":~:text=,Funding">
        <w:r>
          <w:rPr>
            <w:rStyle w:val="Hyperlink"/>
          </w:rPr>
          <w:t>[79]</w:t>
        </w:r>
      </w:hyperlink>
      <w:r>
        <w:t xml:space="preserve">. Such models might further blunt criticisms. But ultimately, as long as OSF underwrites media that speak truth to power, it will likely remain a lightning rod. The test will be whether audiences judge the journalism on its merits. If OSF-supported outlets consistently produce accurate, courageous reporting that serves the public, then over time the narrative of “Soros-controlled media” may ring hollow except among the most cynical. In the end, the strongest argument in OSF’s favor may simply be the stories that its grantees tell – stories that </w:t>
      </w:r>
      <w:r>
        <w:rPr>
          <w:b/>
          <w:bCs/>
        </w:rPr>
        <w:t>hold the powerful accountable and give voice to the voiceless</w:t>
      </w:r>
      <w:r>
        <w:t>, which is exactly what independent media should do in an open society.</w:t>
      </w:r>
    </w:p>
    <w:p w14:paraId="5EC2938E" w14:textId="62610853" w:rsidR="00406E3B" w:rsidRDefault="00000000" w:rsidP="00406E3B">
      <w:r>
        <w:lastRenderedPageBreak/>
        <w:pict w14:anchorId="731AB364">
          <v:rect id="_x0000_i1030" style="width:0;height:1.5pt" o:hralign="center" o:hrstd="t" o:hr="t"/>
        </w:pict>
      </w:r>
    </w:p>
    <w:p w14:paraId="45EB7EC6" w14:textId="77777777" w:rsidR="00406E3B" w:rsidRDefault="00406E3B" w:rsidP="00406E3B"/>
    <w:p w14:paraId="0B9489C5" w14:textId="77777777" w:rsidR="00406E3B" w:rsidRDefault="00406E3B" w:rsidP="00406E3B"/>
    <w:p w14:paraId="36D62FB4" w14:textId="77777777" w:rsidR="00406E3B" w:rsidRDefault="00406E3B" w:rsidP="00406E3B"/>
    <w:p w14:paraId="0FB11388" w14:textId="77777777" w:rsidR="00406E3B" w:rsidRDefault="00406E3B" w:rsidP="00406E3B"/>
    <w:p w14:paraId="1A76108D" w14:textId="77777777" w:rsidR="00406E3B" w:rsidRDefault="00406E3B" w:rsidP="00406E3B"/>
    <w:p w14:paraId="5D692D51" w14:textId="77777777" w:rsidR="00406E3B" w:rsidRDefault="00406E3B" w:rsidP="00406E3B"/>
    <w:p w14:paraId="3C99DCF1" w14:textId="77777777" w:rsidR="00406E3B" w:rsidRDefault="00406E3B" w:rsidP="00406E3B"/>
    <w:p w14:paraId="0E39E27D" w14:textId="77777777" w:rsidR="00406E3B" w:rsidRDefault="00406E3B" w:rsidP="00406E3B"/>
    <w:p w14:paraId="28031E11" w14:textId="77777777" w:rsidR="00406E3B" w:rsidRDefault="00406E3B" w:rsidP="00406E3B"/>
    <w:p w14:paraId="4EA1F252" w14:textId="77777777" w:rsidR="00406E3B" w:rsidRDefault="00406E3B" w:rsidP="00406E3B"/>
    <w:p w14:paraId="088633F5" w14:textId="77777777" w:rsidR="00406E3B" w:rsidRDefault="00406E3B" w:rsidP="00406E3B"/>
    <w:p w14:paraId="2582F9F5" w14:textId="77777777" w:rsidR="00406E3B" w:rsidRDefault="00406E3B" w:rsidP="00406E3B"/>
    <w:p w14:paraId="4381096B" w14:textId="77777777" w:rsidR="00406E3B" w:rsidRDefault="00406E3B" w:rsidP="00406E3B"/>
    <w:p w14:paraId="385E0BD8" w14:textId="77777777" w:rsidR="00406E3B" w:rsidRDefault="00406E3B" w:rsidP="00406E3B"/>
    <w:p w14:paraId="12F743F7" w14:textId="77777777" w:rsidR="00406E3B" w:rsidRDefault="00406E3B" w:rsidP="00406E3B"/>
    <w:p w14:paraId="4B3F150C" w14:textId="77777777" w:rsidR="00406E3B" w:rsidRDefault="00406E3B" w:rsidP="00406E3B"/>
    <w:p w14:paraId="626C2B87" w14:textId="77777777" w:rsidR="00406E3B" w:rsidRDefault="00406E3B" w:rsidP="00406E3B">
      <w:pPr>
        <w:pStyle w:val="Heading1"/>
      </w:pPr>
      <w:r>
        <w:t>Chapter 6: Law and Justice Reform</w:t>
      </w:r>
    </w:p>
    <w:p w14:paraId="6ACED72C" w14:textId="77777777" w:rsidR="00406E3B" w:rsidRDefault="00406E3B" w:rsidP="00406E3B">
      <w:pPr>
        <w:pStyle w:val="Heading2"/>
      </w:pPr>
      <w:r>
        <w:t>Introduction</w:t>
      </w:r>
    </w:p>
    <w:p w14:paraId="1C2199DD" w14:textId="77777777" w:rsidR="00406E3B" w:rsidRDefault="00406E3B" w:rsidP="00406E3B">
      <w:pPr>
        <w:pStyle w:val="FirstParagraph"/>
      </w:pPr>
      <w:r>
        <w:t xml:space="preserve">Philanthropic support has increasingly shaped debates over law and justice reform in recent years. Billionaire donors and major foundations have poured funds into initiatives targeting prosecutors, bail practices, sentencing laws, and other facets of the criminal justice system. Their stated goals include reducing mass incarceration, addressing racial disparities, and making the system fairer. In the United States – arguably the most heated arena for these efforts – such support has helped elect reform-minded prosecutors, abolish cash bail in some jurisdictions, and champion sentencing reforms. At the same time, critics allege that this influence has </w:t>
      </w:r>
      <w:r>
        <w:rPr>
          <w:i/>
          <w:iCs/>
        </w:rPr>
        <w:t>engineered</w:t>
      </w:r>
      <w:r>
        <w:t xml:space="preserve"> specific legal outcomes: they claim wealthy donors are effectively installing lenient officials and policies that undermine public safety. Supporters counter that these reforms address long-standing injustices and that </w:t>
      </w:r>
      <w:r>
        <w:lastRenderedPageBreak/>
        <w:t>data does not substantiate the dire warnings. This chapter provides a broad overview of philanthropic involvement in criminal justice reform, examines the most controversial areas (with a focus on the U.S.), and evaluates outcomes where measurable. We will review documented programs and grants, discuss evidence of their impact, outline allegations of ulterior motives or negative consequences, and consider rebuttals with data-based counterpoints. A case study of Philadelphia – a city at the forefront of these changes – offers a concrete example with publicly available metrics. Throughout, the aim is a factual, critical examination of how private money has intersected with public justice, and what results have (and haven’t) been achieved.</w:t>
      </w:r>
    </w:p>
    <w:p w14:paraId="501875E5" w14:textId="77777777" w:rsidR="00406E3B" w:rsidRDefault="00406E3B" w:rsidP="00406E3B">
      <w:pPr>
        <w:pStyle w:val="Heading2"/>
      </w:pPr>
      <w:bookmarkStart w:id="33" w:name="X9b1fef95337ed9c3345b9c9523adf728469f704"/>
      <w:r>
        <w:t>Philanthropic Programs Targeting Justice Reform</w:t>
      </w:r>
    </w:p>
    <w:p w14:paraId="556FBE63" w14:textId="77777777" w:rsidR="00406E3B" w:rsidRDefault="00406E3B" w:rsidP="00406E3B">
      <w:pPr>
        <w:pStyle w:val="FirstParagraph"/>
      </w:pPr>
      <w:r>
        <w:rPr>
          <w:b/>
          <w:bCs/>
        </w:rPr>
        <w:t>Electing Reformist Prosecutors:</w:t>
      </w:r>
      <w:r>
        <w:t xml:space="preserve"> One of the highest-profile interventions has been funding for progressive district attorneys’ election campaigns. Over the past decade, billionaire George Soros and affiliated groups have spent an estimated $40–50 million backing dozens of liberal prosecutors across at least half of America’s largest jurisdictions</w:t>
      </w:r>
      <w:hyperlink r:id="rId451" w:anchor=":~:text=The%20Law%20Enforcement%20Legal%20Defense,support%20candidates%20in%20DA%20races">
        <w:r>
          <w:rPr>
            <w:rStyle w:val="Hyperlink"/>
          </w:rPr>
          <w:t>[1]</w:t>
        </w:r>
      </w:hyperlink>
      <w:hyperlink r:id="rId452" w:anchor=":~:text=Soros%20Prosecutors%20Have%20Overseen%20Massive,Crime%20Waves%20In%20Their%20Communities">
        <w:r>
          <w:rPr>
            <w:rStyle w:val="Hyperlink"/>
          </w:rPr>
          <w:t>[2]</w:t>
        </w:r>
      </w:hyperlink>
      <w:r>
        <w:t>. These candidates typically run on pledges to reduce incarceration, decline prosecution of low-level offenses, and increase police accountability. Soros’s donations – sometimes via political action committees – have ranged from modest contributions in smaller counties to over $1 million in big-city DA races</w:t>
      </w:r>
      <w:hyperlink r:id="rId453" w:anchor=":~:text=populous%20municipalities,Washington%20Free%20Beacon%20%2C%206%2F08%2F2022">
        <w:r>
          <w:rPr>
            <w:rStyle w:val="Hyperlink"/>
          </w:rPr>
          <w:t>[3]</w:t>
        </w:r>
      </w:hyperlink>
      <w:r>
        <w:t>. Notable beneficiaries include Larry Krasner in Philadelphia, Kim Foxx in Chicago/Cook County, George Gascón in Los Angeles, and many others. This strategy brought outside money into local prosecutor elections that previously attracted little attention or spending. By 2022, Soros-backed DAs (or those aligned with similar ideals) held office in cities covering tens of millions of Americans</w:t>
      </w:r>
      <w:hyperlink r:id="rId454" w:anchor=":~:text=Soros%20Prosecutors%20Have%20Overseen%20Massive,Crime%20Waves%20In%20Their%20Communities">
        <w:r>
          <w:rPr>
            <w:rStyle w:val="Hyperlink"/>
          </w:rPr>
          <w:t>[2]</w:t>
        </w:r>
      </w:hyperlink>
      <w:r>
        <w:t>. Other donors have noticed: for example, in late 2024, Elon Musk signaled plans to finance candidates to oppose these so-called “Soros DAs,” implicitly acknowledging the impact Soros had on shaping prosecutor offices</w:t>
      </w:r>
      <w:hyperlink r:id="rId455" w:anchor=":~:text=The%20tech%20mogul%20told%20advisers,anonymity%20to%20describe%20private%20conversations">
        <w:r>
          <w:rPr>
            <w:rStyle w:val="Hyperlink"/>
          </w:rPr>
          <w:t>[4]</w:t>
        </w:r>
      </w:hyperlink>
      <w:hyperlink r:id="rId456" w:anchor=":~:text=Advertisement">
        <w:r>
          <w:rPr>
            <w:rStyle w:val="Hyperlink"/>
          </w:rPr>
          <w:t>[5]</w:t>
        </w:r>
      </w:hyperlink>
      <w:r>
        <w:t xml:space="preserve">. Notably, support for prosecutorial reform has not come only from the political left. Some libertarian and conservative donors also favor changes to reduce incarceration. The most prominent example was the </w:t>
      </w:r>
      <w:r>
        <w:rPr>
          <w:b/>
          <w:bCs/>
        </w:rPr>
        <w:t>Coalition for Public Safety</w:t>
      </w:r>
      <w:r>
        <w:t>, launched in 2015 with about $5 million in funding from an unusual alliance including Soros’s Open Society Foundations, the conservative Koch family, the MacArthur Foundation, and others</w:t>
      </w:r>
      <w:hyperlink r:id="rId457" w:anchor=":~:text=I%20read%20an%20online%20article,and%20addressing%20overcriminalization%20and%20overincarceration">
        <w:r>
          <w:rPr>
            <w:rStyle w:val="Hyperlink"/>
          </w:rPr>
          <w:t>[6]</w:t>
        </w:r>
      </w:hyperlink>
      <w:r>
        <w:t>. This bipartisan coalition sought to promote “smart justice” policies at federal and state levels. In practice, however, it is the wave of progressive prosecutors bankrolled largely by liberal donors that has generated the most controversy and attention in the U.S. debate.</w:t>
      </w:r>
    </w:p>
    <w:p w14:paraId="3AE7C0E5" w14:textId="77777777" w:rsidR="00406E3B" w:rsidRDefault="00406E3B" w:rsidP="00406E3B">
      <w:pPr>
        <w:pStyle w:val="BodyText"/>
      </w:pPr>
      <w:r>
        <w:rPr>
          <w:b/>
          <w:bCs/>
        </w:rPr>
        <w:t>Bail Reform Initiatives:</w:t>
      </w:r>
      <w:r>
        <w:t xml:space="preserve"> Another major focus of philanthropy has been ending or easing cash bail. Cash bail systems, which require defendants to pay money for pretrial release, have been criticized for jailing poor people who haven’t been convicted. Foundations and advocacy groups have invested heavily in demonstrations and policies to reform this. For instance, the </w:t>
      </w:r>
      <w:r>
        <w:rPr>
          <w:b/>
          <w:bCs/>
        </w:rPr>
        <w:t>MacArthur Foundation</w:t>
      </w:r>
      <w:r>
        <w:t xml:space="preserve"> in 2015 launched the </w:t>
      </w:r>
      <w:r>
        <w:rPr>
          <w:i/>
          <w:iCs/>
        </w:rPr>
        <w:t>Safety and Justice Challenge</w:t>
      </w:r>
      <w:r>
        <w:t xml:space="preserve"> (SJC), a $246 million national initiative supporting local jurisdictions to reduce overuse of jails</w:t>
      </w:r>
      <w:hyperlink r:id="rId458" w:anchor=":~:text=This%20grant%20brings%20the%20Foundation%E2%80%99s,thinks%20about%20and%20uses%20jails">
        <w:r>
          <w:rPr>
            <w:rStyle w:val="Hyperlink"/>
          </w:rPr>
          <w:t>[7]</w:t>
        </w:r>
      </w:hyperlink>
      <w:hyperlink r:id="rId459" w:anchor=":~:text=This%20grant%20brings%20the%20Foundation%E2%80%99s,thinks%20about%20and%20uses%20jails">
        <w:r>
          <w:rPr>
            <w:rStyle w:val="Hyperlink"/>
          </w:rPr>
          <w:t>[8]</w:t>
        </w:r>
      </w:hyperlink>
      <w:r>
        <w:t xml:space="preserve">. Many SJC sites implemented strategies like expanded pretrial release and risk-based bail decisions. The results, discussed in the next section, showed significant reductions in jail populations. Additionally, </w:t>
      </w:r>
      <w:r>
        <w:rPr>
          <w:b/>
          <w:bCs/>
        </w:rPr>
        <w:t>Arnold Ventures</w:t>
      </w:r>
      <w:r>
        <w:t xml:space="preserve"> (formerly the Laura and John </w:t>
      </w:r>
      <w:r>
        <w:lastRenderedPageBreak/>
        <w:t>Arnold Foundation) funded the development of risk assessment tools and pilot programs for bail reform in multiple states. On the advocacy side, Open Society and others gave major grants to organizations like the ACLU specifically to campaign against mass incarceration and cash bail. In 2014, Open Society Foundations awarded $50 million to the ACLU for its nationwide effort to cut incarceration by 50%</w:t>
      </w:r>
      <w:hyperlink r:id="rId460" w:anchor=":~:text=NEW%20YORK%20%E2%80%93%20The%20Open,mass%20incarceration%20in%20American%20history">
        <w:r>
          <w:rPr>
            <w:rStyle w:val="Hyperlink"/>
          </w:rPr>
          <w:t>[9]</w:t>
        </w:r>
      </w:hyperlink>
      <w:hyperlink r:id="rId461" w:anchor=":~:text=The%20announcement%20of%20increased%20funding,state%20prison%20or%20county%20jail">
        <w:r>
          <w:rPr>
            <w:rStyle w:val="Hyperlink"/>
          </w:rPr>
          <w:t>[10]</w:t>
        </w:r>
      </w:hyperlink>
      <w:r>
        <w:t xml:space="preserve"> – an extraordinarily large philanthropic grant explicitly targeting criminal justice policies. A portion of this funding was used in state campaigns to eliminate cash bail or change bail laws. In New Jersey, for example, bipartisan advocacy (with support from groups receiving philanthropic funding) helped pass a 2017 law virtually eliminating cash bail for most offenses, replacing it with a risk-based system. Similarly, New York State’s 2019–2020 bail reforms had substantial backing from civil liberties organizations and community foundations (though also opposition from law enforcement groups, leading to later amendments). Beyond policy advocacy, donors also set up </w:t>
      </w:r>
      <w:r>
        <w:rPr>
          <w:b/>
          <w:bCs/>
        </w:rPr>
        <w:t>community bail funds</w:t>
      </w:r>
      <w:r>
        <w:t xml:space="preserve"> to directly pay bail for indigent defendants. The </w:t>
      </w:r>
      <w:r>
        <w:rPr>
          <w:b/>
          <w:bCs/>
        </w:rPr>
        <w:t>Bail Project</w:t>
      </w:r>
      <w:r>
        <w:t>, a national nonprofit launched in 2018 with philanthropic support, established revolving bail funds in several cities to free low-income people from pretrial detention. Celebrity donors and foundations contributed to these funds, especially in 2020 amid nationwide protests when bail funds became a popular cause. These interventions aimed to demonstrate that many defendants can be released pretrial without endangering public safety, and that charitable dollars could prevent the injustices of “debtors’ prison” situations.</w:t>
      </w:r>
    </w:p>
    <w:p w14:paraId="67DFDE5E" w14:textId="77777777" w:rsidR="00406E3B" w:rsidRDefault="00406E3B" w:rsidP="00406E3B">
      <w:pPr>
        <w:pStyle w:val="BodyText"/>
      </w:pPr>
      <w:r>
        <w:rPr>
          <w:b/>
          <w:bCs/>
        </w:rPr>
        <w:t>Sentencing and Incarceration Reforms:</w:t>
      </w:r>
      <w:r>
        <w:t xml:space="preserve"> Philanthropy has also targeted the back-end of the justice system – sentences and prison terms – with large investments in reform campaigns. A notable example was California’s </w:t>
      </w:r>
      <w:r>
        <w:rPr>
          <w:b/>
          <w:bCs/>
        </w:rPr>
        <w:t>Proposition 47</w:t>
      </w:r>
      <w:r>
        <w:t xml:space="preserve"> in 2014, a ballot initiative that reclassified many nonviolent drug and petty theft offenses from felonies to misdemeanors. It passed with 59% of the vote after a well-funded campaign: Soros’s Open Society Policy Center contributed about $1.4 million to the Yes on 47 committee, joined by other donors like conservative businessman B. Wayne Hughes Jr. and the Atlantic Advocacy Fund (Charles Feeney)</w:t>
      </w:r>
      <w:hyperlink r:id="rId462" w:anchor=":~:text=Private%20philanthropies%20contributed%20several%20million,million%20into%20the%20campaign">
        <w:r>
          <w:rPr>
            <w:rStyle w:val="Hyperlink"/>
          </w:rPr>
          <w:t>[11]</w:t>
        </w:r>
      </w:hyperlink>
      <w:hyperlink r:id="rId463" w:anchor=":~:text=Private%20philanthropies%20contributed%20several%20million,million%20into%20the%20campaign">
        <w:r>
          <w:rPr>
            <w:rStyle w:val="Hyperlink"/>
          </w:rPr>
          <w:t>[12]</w:t>
        </w:r>
      </w:hyperlink>
      <w:r>
        <w:t>. The ACLU, bolstered by the $50 million OSF grant, also invested $3.5 million in promoting Prop 47</w:t>
      </w:r>
      <w:hyperlink r:id="rId464" w:anchor=":~:text=drug,million%20into%20the%20campaign">
        <w:r>
          <w:rPr>
            <w:rStyle w:val="Hyperlink"/>
          </w:rPr>
          <w:t>[13]</w:t>
        </w:r>
      </w:hyperlink>
      <w:hyperlink r:id="rId465" w:anchor=":~:text=Private%20philanthropies%20contributed%20several%20million,million%20into%20the%20campaign">
        <w:r>
          <w:rPr>
            <w:rStyle w:val="Hyperlink"/>
          </w:rPr>
          <w:t>[14]</w:t>
        </w:r>
      </w:hyperlink>
      <w:r>
        <w:t xml:space="preserve">. This convergence of liberal and conservative philanthropy signaled a rare consensus on reducing certain prison populations. Other sentencing reform efforts have likewise seen cross-ideological donor support – for instance, the push for the federal </w:t>
      </w:r>
      <w:r>
        <w:rPr>
          <w:b/>
          <w:bCs/>
        </w:rPr>
        <w:t>First Step Act</w:t>
      </w:r>
      <w:r>
        <w:t xml:space="preserve"> (a 2018 law that reduced some federal drug sentences and expanded early release) was endorsed by groups funded by Koch Industries on the right and by Open Society on the left. In addition to changing laws, some programs funded pilot projects to </w:t>
      </w:r>
      <w:r>
        <w:rPr>
          <w:b/>
          <w:bCs/>
        </w:rPr>
        <w:t>reduce recidivism</w:t>
      </w:r>
      <w:r>
        <w:t xml:space="preserve"> and shorten incarceration through diversion, rehabilitation, and clemency. For example, Arnold Ventures and MacArthur Foundation have given grants to pilot alternative-to-prison programs, and to prosecutors’ offices that pledged to review old cases for excessive sentences or wrongful convictions. There have also been grants to public defender organizations aimed at improving defense quality and thus reducing unjust outcomes.</w:t>
      </w:r>
    </w:p>
    <w:p w14:paraId="12629970" w14:textId="77777777" w:rsidR="00406E3B" w:rsidRDefault="00406E3B" w:rsidP="00406E3B">
      <w:pPr>
        <w:pStyle w:val="BodyText"/>
      </w:pPr>
      <w:r>
        <w:t xml:space="preserve">Collectively, these philanthropic programs – from electing reformist DAs, to changing bail and sentencing laws, to funding on-the-ground alternatives – represent a concerted private-sector attempt to “engineer” change in the justice system. They operate via grants </w:t>
      </w:r>
      <w:r>
        <w:lastRenderedPageBreak/>
        <w:t>to nonprofits and local governments, campaign donations, and public persuasion efforts. Given their scale, it is important to ask: what measurable outcomes have they produced, and do those outcomes align with their intentions?</w:t>
      </w:r>
    </w:p>
    <w:p w14:paraId="6BA516A1" w14:textId="77777777" w:rsidR="00406E3B" w:rsidRDefault="00406E3B" w:rsidP="00406E3B">
      <w:pPr>
        <w:pStyle w:val="Heading2"/>
      </w:pPr>
      <w:bookmarkStart w:id="34" w:name="outcomes-and-metrics-of-reforms"/>
      <w:bookmarkEnd w:id="33"/>
      <w:r>
        <w:t>Outcomes and Metrics of Reforms</w:t>
      </w:r>
    </w:p>
    <w:p w14:paraId="3762207D" w14:textId="77777777" w:rsidR="00406E3B" w:rsidRDefault="00406E3B" w:rsidP="00406E3B">
      <w:pPr>
        <w:pStyle w:val="FirstParagraph"/>
      </w:pPr>
      <w:r>
        <w:t>Determining the impact of justice reforms supported by philanthropy is challenging, as many confounding factors influence crime and justice statistics. However, several jurisdictions have tracked key metrics before and after implementing changes like bail reform or new prosecutorial policies. Below is a selection of outcome metrics from notable cases, with careful caveats on interpretation:</w:t>
      </w:r>
    </w:p>
    <w:tbl>
      <w:tblPr>
        <w:tblStyle w:val="Table"/>
        <w:tblW w:w="0" w:type="auto"/>
        <w:tblLook w:val="0020" w:firstRow="1" w:lastRow="0" w:firstColumn="0" w:lastColumn="0" w:noHBand="0" w:noVBand="0"/>
      </w:tblPr>
      <w:tblGrid>
        <w:gridCol w:w="1544"/>
        <w:gridCol w:w="2059"/>
        <w:gridCol w:w="2808"/>
        <w:gridCol w:w="2949"/>
      </w:tblGrid>
      <w:tr w:rsidR="00406E3B" w14:paraId="4F4457DD" w14:textId="77777777" w:rsidTr="00BB2ADB">
        <w:trPr>
          <w:cnfStyle w:val="100000000000" w:firstRow="1" w:lastRow="0" w:firstColumn="0" w:lastColumn="0" w:oddVBand="0" w:evenVBand="0" w:oddHBand="0" w:evenHBand="0" w:firstRowFirstColumn="0" w:firstRowLastColumn="0" w:lastRowFirstColumn="0" w:lastRowLastColumn="0"/>
          <w:tblHeader/>
        </w:trPr>
        <w:tc>
          <w:tcPr>
            <w:tcW w:w="0" w:type="auto"/>
          </w:tcPr>
          <w:p w14:paraId="4A853AF2" w14:textId="77777777" w:rsidR="00406E3B" w:rsidRDefault="00406E3B" w:rsidP="00BB2ADB">
            <w:pPr>
              <w:pStyle w:val="Compact"/>
            </w:pPr>
            <w:r>
              <w:rPr>
                <w:b/>
                <w:bCs/>
              </w:rPr>
              <w:t>Location / Program</w:t>
            </w:r>
          </w:p>
        </w:tc>
        <w:tc>
          <w:tcPr>
            <w:tcW w:w="0" w:type="auto"/>
          </w:tcPr>
          <w:p w14:paraId="74332017" w14:textId="77777777" w:rsidR="00406E3B" w:rsidRDefault="00406E3B" w:rsidP="00BB2ADB">
            <w:pPr>
              <w:pStyle w:val="Compact"/>
            </w:pPr>
            <w:r>
              <w:rPr>
                <w:b/>
                <w:bCs/>
              </w:rPr>
              <w:t>Pre-Reform</w:t>
            </w:r>
          </w:p>
        </w:tc>
        <w:tc>
          <w:tcPr>
            <w:tcW w:w="0" w:type="auto"/>
          </w:tcPr>
          <w:p w14:paraId="68630BD0" w14:textId="77777777" w:rsidR="00406E3B" w:rsidRDefault="00406E3B" w:rsidP="00BB2ADB">
            <w:pPr>
              <w:pStyle w:val="Compact"/>
            </w:pPr>
            <w:r>
              <w:rPr>
                <w:b/>
                <w:bCs/>
              </w:rPr>
              <w:t>Post-Reform</w:t>
            </w:r>
          </w:p>
        </w:tc>
        <w:tc>
          <w:tcPr>
            <w:tcW w:w="0" w:type="auto"/>
          </w:tcPr>
          <w:p w14:paraId="3AC91556" w14:textId="77777777" w:rsidR="00406E3B" w:rsidRDefault="00406E3B" w:rsidP="00BB2ADB">
            <w:pPr>
              <w:pStyle w:val="Compact"/>
            </w:pPr>
            <w:r>
              <w:rPr>
                <w:b/>
                <w:bCs/>
              </w:rPr>
              <w:t>Outcomes &amp; Notes</w:t>
            </w:r>
          </w:p>
        </w:tc>
      </w:tr>
      <w:tr w:rsidR="00406E3B" w14:paraId="42DCC936" w14:textId="77777777" w:rsidTr="00BB2ADB">
        <w:tc>
          <w:tcPr>
            <w:tcW w:w="0" w:type="auto"/>
          </w:tcPr>
          <w:p w14:paraId="0BEB880A" w14:textId="77777777" w:rsidR="00406E3B" w:rsidRDefault="00406E3B" w:rsidP="00BB2ADB">
            <w:pPr>
              <w:pStyle w:val="Compact"/>
            </w:pPr>
            <w:r>
              <w:rPr>
                <w:b/>
                <w:bCs/>
              </w:rPr>
              <w:t>Philadelphia, PA</w:t>
            </w:r>
            <w:r>
              <w:t xml:space="preserve"> (Prosecutor &amp; Jail Reform)</w:t>
            </w:r>
          </w:p>
        </w:tc>
        <w:tc>
          <w:tcPr>
            <w:tcW w:w="0" w:type="auto"/>
          </w:tcPr>
          <w:p w14:paraId="65CE976F" w14:textId="77777777" w:rsidR="00406E3B" w:rsidRDefault="00406E3B" w:rsidP="00BB2ADB">
            <w:pPr>
              <w:pStyle w:val="Compact"/>
            </w:pPr>
            <w:r>
              <w:rPr>
                <w:b/>
                <w:bCs/>
              </w:rPr>
              <w:t>Jail Population (Avg Daily)</w:t>
            </w:r>
            <w:r>
              <w:t>: ~8,000 (2015)</w:t>
            </w:r>
            <w:hyperlink r:id="rId466" w:anchor=":~:text=Fewer%20than%203%2C700%20people%20were,who%20were%20jailed%20in%202015">
              <w:r>
                <w:rPr>
                  <w:rStyle w:val="Hyperlink"/>
                </w:rPr>
                <w:t>[15]</w:t>
              </w:r>
            </w:hyperlink>
            <w:r>
              <w:t xml:space="preserve">. &lt;br&gt; </w:t>
            </w:r>
            <w:r>
              <w:rPr>
                <w:b/>
                <w:bCs/>
              </w:rPr>
              <w:t>Annual Homicides</w:t>
            </w:r>
            <w:r>
              <w:t>: 315 (2017)</w:t>
            </w:r>
            <w:hyperlink r:id="rId467" w:anchor=":~:text=%28Philadelphia%29%20%241">
              <w:r>
                <w:rPr>
                  <w:rStyle w:val="Hyperlink"/>
                </w:rPr>
                <w:t>[16]</w:t>
              </w:r>
            </w:hyperlink>
            <w:r>
              <w:t>.</w:t>
            </w:r>
          </w:p>
        </w:tc>
        <w:tc>
          <w:tcPr>
            <w:tcW w:w="0" w:type="auto"/>
          </w:tcPr>
          <w:p w14:paraId="4194792E" w14:textId="77777777" w:rsidR="00406E3B" w:rsidRDefault="00406E3B" w:rsidP="00BB2ADB">
            <w:pPr>
              <w:pStyle w:val="Compact"/>
            </w:pPr>
            <w:r>
              <w:rPr>
                <w:b/>
                <w:bCs/>
              </w:rPr>
              <w:t>Jail Population</w:t>
            </w:r>
            <w:r>
              <w:t>: ~3,700 (2025)</w:t>
            </w:r>
            <w:hyperlink r:id="rId468" w:anchor=":~:text=Philadelphia%E2%80%99s%20jail%20population%20has%20reached,over%20the%20last%20six%20months">
              <w:r>
                <w:rPr>
                  <w:rStyle w:val="Hyperlink"/>
                </w:rPr>
                <w:t>[17]</w:t>
              </w:r>
            </w:hyperlink>
            <w:r>
              <w:t xml:space="preserve"> (↓~54%). &lt;br&gt; </w:t>
            </w:r>
            <w:r>
              <w:rPr>
                <w:b/>
                <w:bCs/>
              </w:rPr>
              <w:t>Annual Homicides</w:t>
            </w:r>
            <w:r>
              <w:t>: 562 (2021)</w:t>
            </w:r>
            <w:hyperlink r:id="rId469" w:anchor=":~:text=%28Philadelphia%29%20%241">
              <w:r>
                <w:rPr>
                  <w:rStyle w:val="Hyperlink"/>
                </w:rPr>
                <w:t>[16]</w:t>
              </w:r>
            </w:hyperlink>
            <w:r>
              <w:t>, then 262 (2024)</w:t>
            </w:r>
            <w:hyperlink r:id="rId470" w:anchor=":~:text=the%20number%20of%20homicides%20in,%E2%80%9D">
              <w:r>
                <w:rPr>
                  <w:rStyle w:val="Hyperlink"/>
                </w:rPr>
                <w:t>[18]</w:t>
              </w:r>
            </w:hyperlink>
            <w:r>
              <w:t>.</w:t>
            </w:r>
          </w:p>
        </w:tc>
        <w:tc>
          <w:tcPr>
            <w:tcW w:w="0" w:type="auto"/>
          </w:tcPr>
          <w:p w14:paraId="77F9BD36" w14:textId="77777777" w:rsidR="00406E3B" w:rsidRDefault="00406E3B" w:rsidP="00BB2ADB">
            <w:pPr>
              <w:pStyle w:val="Compact"/>
            </w:pPr>
            <w:r>
              <w:rPr>
                <w:i/>
                <w:iCs/>
              </w:rPr>
              <w:t>Major jail reduction</w:t>
            </w:r>
            <w:r>
              <w:t xml:space="preserve"> after MacArthur-funded reforms (43% drop by 2021)</w:t>
            </w:r>
            <w:hyperlink r:id="rId471" w:anchor=":~:text=Since%20the%20start%20of%20the,at%20tremendous%20expense%20to%20taxpayers">
              <w:r>
                <w:rPr>
                  <w:rStyle w:val="Hyperlink"/>
                </w:rPr>
                <w:t>[19]</w:t>
              </w:r>
            </w:hyperlink>
            <w:r>
              <w:t>. Homicides rose ~80% 2017–2021 during DA’s first term, then fell ~53% by 2024 to near record lows</w:t>
            </w:r>
            <w:hyperlink r:id="rId472" w:anchor=":~:text=%E2%80%9CIf%20we%20look%20at%20the,%E2%80%9D">
              <w:r>
                <w:rPr>
                  <w:rStyle w:val="Hyperlink"/>
                </w:rPr>
                <w:t>[20]</w:t>
              </w:r>
            </w:hyperlink>
            <w:r>
              <w:t>. Other violent crime followed a similar pandemic-era spike and decline. Causation is debated (national crime trends and COVID effects muddle direct attribution).</w:t>
            </w:r>
          </w:p>
        </w:tc>
      </w:tr>
      <w:tr w:rsidR="00406E3B" w14:paraId="756ECC4E" w14:textId="77777777" w:rsidTr="00BB2ADB">
        <w:tc>
          <w:tcPr>
            <w:tcW w:w="0" w:type="auto"/>
          </w:tcPr>
          <w:p w14:paraId="2B1FFB8E" w14:textId="77777777" w:rsidR="00406E3B" w:rsidRDefault="00406E3B" w:rsidP="00BB2ADB">
            <w:pPr>
              <w:pStyle w:val="Compact"/>
            </w:pPr>
            <w:r>
              <w:rPr>
                <w:b/>
                <w:bCs/>
              </w:rPr>
              <w:t>New Jersey</w:t>
            </w:r>
            <w:r>
              <w:t xml:space="preserve"> (Statewide Bail Reform)</w:t>
            </w:r>
          </w:p>
        </w:tc>
        <w:tc>
          <w:tcPr>
            <w:tcW w:w="0" w:type="auto"/>
          </w:tcPr>
          <w:p w14:paraId="05022F63" w14:textId="77777777" w:rsidR="00406E3B" w:rsidRDefault="00406E3B" w:rsidP="00BB2ADB">
            <w:pPr>
              <w:pStyle w:val="Compact"/>
            </w:pPr>
            <w:r>
              <w:rPr>
                <w:b/>
                <w:bCs/>
              </w:rPr>
              <w:t>Pretrial Jail Population</w:t>
            </w:r>
            <w:r>
              <w:t>: 8,899 people (2015) awaiting trial statewide</w:t>
            </w:r>
            <w:hyperlink r:id="rId473" w:anchor=":~:text=of%20gun%20ownership%2C%20and%20state,senate%20majority%20partisanship">
              <w:r>
                <w:rPr>
                  <w:rStyle w:val="Hyperlink"/>
                </w:rPr>
                <w:t>[21]</w:t>
              </w:r>
            </w:hyperlink>
            <w:r>
              <w:t xml:space="preserve">. &lt;br&gt; </w:t>
            </w:r>
            <w:r>
              <w:rPr>
                <w:b/>
                <w:bCs/>
              </w:rPr>
              <w:t>Gun Violence Rate</w:t>
            </w:r>
            <w:r>
              <w:t>: Baseline (2014–2016 levels).</w:t>
            </w:r>
          </w:p>
        </w:tc>
        <w:tc>
          <w:tcPr>
            <w:tcW w:w="0" w:type="auto"/>
          </w:tcPr>
          <w:p w14:paraId="3FE0904D" w14:textId="77777777" w:rsidR="00406E3B" w:rsidRDefault="00406E3B" w:rsidP="00BB2ADB">
            <w:pPr>
              <w:pStyle w:val="Compact"/>
            </w:pPr>
            <w:r>
              <w:rPr>
                <w:b/>
                <w:bCs/>
              </w:rPr>
              <w:t>Pretrial Jail Pop.</w:t>
            </w:r>
            <w:r>
              <w:t>: 4,976 (2019)</w:t>
            </w:r>
            <w:hyperlink r:id="rId474" w:anchor=":~:text=Before%20New%20Jersey%E2%80%99s%202017%20cash,to%204%2C976%20people%20in%202019">
              <w:r>
                <w:rPr>
                  <w:rStyle w:val="Hyperlink"/>
                </w:rPr>
                <w:t>[22]</w:t>
              </w:r>
            </w:hyperlink>
            <w:r>
              <w:t xml:space="preserve"> (↓44%). &lt;br&gt; </w:t>
            </w:r>
            <w:r>
              <w:rPr>
                <w:b/>
                <w:bCs/>
              </w:rPr>
              <w:t>Gun Violence</w:t>
            </w:r>
            <w:r>
              <w:t xml:space="preserve">: </w:t>
            </w:r>
            <w:r>
              <w:rPr>
                <w:i/>
                <w:iCs/>
              </w:rPr>
              <w:t>No significant change</w:t>
            </w:r>
            <w:r>
              <w:t xml:space="preserve"> in firearm homicide or shooting rates (2017–2019 vs prior)</w:t>
            </w:r>
            <w:hyperlink r:id="rId475" w:anchor=":~:text=eliminating%20wealth,aftermath%20of%20cash%20bail%20reform">
              <w:r>
                <w:rPr>
                  <w:rStyle w:val="Hyperlink"/>
                </w:rPr>
                <w:t>[23]</w:t>
              </w:r>
            </w:hyperlink>
            <w:hyperlink r:id="rId476" w:anchor=":~:text=New%20Jersey%E2%80%99s%202017%20cash%20bail,Public%20Health%20and%20Boston%20University">
              <w:r>
                <w:rPr>
                  <w:rStyle w:val="Hyperlink"/>
                </w:rPr>
                <w:t>[24]</w:t>
              </w:r>
            </w:hyperlink>
            <w:r>
              <w:t>.</w:t>
            </w:r>
          </w:p>
        </w:tc>
        <w:tc>
          <w:tcPr>
            <w:tcW w:w="0" w:type="auto"/>
          </w:tcPr>
          <w:p w14:paraId="250CC1AD" w14:textId="77777777" w:rsidR="00406E3B" w:rsidRDefault="00406E3B" w:rsidP="00BB2ADB">
            <w:pPr>
              <w:pStyle w:val="Compact"/>
            </w:pPr>
            <w:r>
              <w:t xml:space="preserve">Nearly eliminated cash bail in 2017. </w:t>
            </w:r>
            <w:r>
              <w:rPr>
                <w:i/>
                <w:iCs/>
              </w:rPr>
              <w:t>Substantially</w:t>
            </w:r>
            <w:r>
              <w:t xml:space="preserve"> reduced jail populations without measurable harm to public safety</w:t>
            </w:r>
            <w:hyperlink r:id="rId477" w:anchor=":~:text=New%20Jersey%E2%80%99s%202017%20cash%20bail,Public%20Health%20and%20Boston%20University">
              <w:r>
                <w:rPr>
                  <w:rStyle w:val="Hyperlink"/>
                </w:rPr>
                <w:t>[24]</w:t>
              </w:r>
            </w:hyperlink>
            <w:hyperlink r:id="rId478" w:anchor=":~:text=Before%20New%20Jersey%E2%80%99s%202017%20cash,to%204%2C976%20people%20in%202019">
              <w:r>
                <w:rPr>
                  <w:rStyle w:val="Hyperlink"/>
                </w:rPr>
                <w:t>[22]</w:t>
              </w:r>
            </w:hyperlink>
            <w:r>
              <w:t xml:space="preserve">. A 2024 peer-reviewed study found </w:t>
            </w:r>
            <w:r>
              <w:rPr>
                <w:b/>
                <w:bCs/>
              </w:rPr>
              <w:t>no uptick in gun violence</w:t>
            </w:r>
            <w:r>
              <w:t xml:space="preserve"> post-reform, compared to trends in states without bail changes</w:t>
            </w:r>
            <w:hyperlink r:id="rId479" w:anchor=":~:text=eliminating%20wealth,aftermath%20of%20cash%20bail%20reform">
              <w:r>
                <w:rPr>
                  <w:rStyle w:val="Hyperlink"/>
                </w:rPr>
                <w:t>[23]</w:t>
              </w:r>
            </w:hyperlink>
            <w:hyperlink r:id="rId480" w:anchor=":~:text=%E2%80%9CWe%20know%20that%20removing%20financial,%E2%80%9D">
              <w:r>
                <w:rPr>
                  <w:rStyle w:val="Hyperlink"/>
                </w:rPr>
                <w:t>[25]</w:t>
              </w:r>
            </w:hyperlink>
            <w:r>
              <w:t>. Overall crime in NJ continued a long-term slight decline after reform.</w:t>
            </w:r>
          </w:p>
        </w:tc>
      </w:tr>
      <w:tr w:rsidR="00406E3B" w14:paraId="3FD1148A" w14:textId="77777777" w:rsidTr="00BB2ADB">
        <w:tc>
          <w:tcPr>
            <w:tcW w:w="0" w:type="auto"/>
          </w:tcPr>
          <w:p w14:paraId="36A0D0F6" w14:textId="77777777" w:rsidR="00406E3B" w:rsidRDefault="00406E3B" w:rsidP="00BB2ADB">
            <w:pPr>
              <w:pStyle w:val="Compact"/>
            </w:pPr>
            <w:r>
              <w:rPr>
                <w:b/>
                <w:bCs/>
              </w:rPr>
              <w:t>Harris County, TX</w:t>
            </w:r>
            <w:r>
              <w:t xml:space="preserve"> (Houston Misdemeanor Bail)</w:t>
            </w:r>
          </w:p>
        </w:tc>
        <w:tc>
          <w:tcPr>
            <w:tcW w:w="0" w:type="auto"/>
          </w:tcPr>
          <w:p w14:paraId="527D3453" w14:textId="77777777" w:rsidR="00406E3B" w:rsidRDefault="00406E3B" w:rsidP="00BB2ADB">
            <w:pPr>
              <w:pStyle w:val="Compact"/>
            </w:pPr>
            <w:r>
              <w:rPr>
                <w:b/>
                <w:bCs/>
              </w:rPr>
              <w:t>Misdemeanor Arrests</w:t>
            </w:r>
            <w:r>
              <w:t>: ~50,000/year pre-2019</w:t>
            </w:r>
            <w:hyperlink r:id="rId481" w:anchor=":~:text=,court%20found%20that%20system%20unconstitutional">
              <w:r>
                <w:rPr>
                  <w:rStyle w:val="Hyperlink"/>
                </w:rPr>
                <w:t>[26]</w:t>
              </w:r>
            </w:hyperlink>
            <w:hyperlink r:id="rId482" w:anchor=":~:text=,court%20found%20that%20system%20unconstitutional">
              <w:r>
                <w:rPr>
                  <w:rStyle w:val="Hyperlink"/>
                </w:rPr>
                <w:t>[27]</w:t>
              </w:r>
            </w:hyperlink>
            <w:r>
              <w:t xml:space="preserve"> under strict cash bail schedule. &lt;br&gt; </w:t>
            </w:r>
            <w:r>
              <w:rPr>
                <w:b/>
                <w:bCs/>
              </w:rPr>
              <w:t>Pretrial Detention</w:t>
            </w:r>
            <w:r>
              <w:t>: High volume, including those unable to pay small bail amounts.</w:t>
            </w:r>
          </w:p>
        </w:tc>
        <w:tc>
          <w:tcPr>
            <w:tcW w:w="0" w:type="auto"/>
          </w:tcPr>
          <w:p w14:paraId="284D2E85" w14:textId="77777777" w:rsidR="00406E3B" w:rsidRDefault="00406E3B" w:rsidP="00BB2ADB">
            <w:pPr>
              <w:pStyle w:val="Compact"/>
            </w:pPr>
            <w:r>
              <w:rPr>
                <w:b/>
                <w:bCs/>
              </w:rPr>
              <w:t>Misdemeanor Arrests</w:t>
            </w:r>
            <w:r>
              <w:t>: ~40,000/year after 2019 (↓20%)</w:t>
            </w:r>
            <w:hyperlink r:id="rId483" w:anchor=":~:text=,court%20found%20that%20system%20unconstitutional">
              <w:r>
                <w:rPr>
                  <w:rStyle w:val="Hyperlink"/>
                </w:rPr>
                <w:t>[26]</w:t>
              </w:r>
            </w:hyperlink>
            <w:hyperlink r:id="rId484" w:anchor=":~:text=as%20these%20reforms%20were%20implemented,as%20well%20as%20support%20for">
              <w:r>
                <w:rPr>
                  <w:rStyle w:val="Hyperlink"/>
                </w:rPr>
                <w:t>[28]</w:t>
              </w:r>
            </w:hyperlink>
            <w:r>
              <w:t xml:space="preserve">. &lt;br&gt; </w:t>
            </w:r>
            <w:r>
              <w:rPr>
                <w:b/>
                <w:bCs/>
              </w:rPr>
              <w:t>Re-Arrest Rate</w:t>
            </w:r>
            <w:r>
              <w:t xml:space="preserve">: </w:t>
            </w:r>
            <w:r>
              <w:rPr>
                <w:i/>
                <w:iCs/>
              </w:rPr>
              <w:t>No increase</w:t>
            </w:r>
            <w:r>
              <w:t xml:space="preserve">; actually </w:t>
            </w:r>
            <w:r>
              <w:rPr>
                <w:b/>
                <w:bCs/>
              </w:rPr>
              <w:t>fewer</w:t>
            </w:r>
            <w:r>
              <w:t xml:space="preserve"> people re-arrested post-reform</w:t>
            </w:r>
            <w:hyperlink r:id="rId485" w:anchor=":~:text=as%20these%20reforms%20were%20implemented,as%20well%20as%20support%20for">
              <w:r>
                <w:rPr>
                  <w:rStyle w:val="Hyperlink"/>
                </w:rPr>
                <w:t>[28]</w:t>
              </w:r>
            </w:hyperlink>
            <w:r>
              <w:t>.</w:t>
            </w:r>
          </w:p>
        </w:tc>
        <w:tc>
          <w:tcPr>
            <w:tcW w:w="0" w:type="auto"/>
          </w:tcPr>
          <w:p w14:paraId="33FE5A0B" w14:textId="77777777" w:rsidR="00406E3B" w:rsidRDefault="00406E3B" w:rsidP="00BB2ADB">
            <w:pPr>
              <w:pStyle w:val="Compact"/>
            </w:pPr>
            <w:r>
              <w:t xml:space="preserve">After a 2019 consent decree, cash bail was largely eliminated for misdemeanors. An independent monitor reports a </w:t>
            </w:r>
            <w:r>
              <w:rPr>
                <w:i/>
                <w:iCs/>
              </w:rPr>
              <w:t>“public safety success”</w:t>
            </w:r>
            <w:r>
              <w:t>: significantly fewer arrests and re-offenses, saving money and preventing unnecessary jailing</w:t>
            </w:r>
            <w:hyperlink r:id="rId486" w:anchor=":~:text=,community%20factors%20can%20be%20more">
              <w:r>
                <w:rPr>
                  <w:rStyle w:val="Hyperlink"/>
                </w:rPr>
                <w:t>[29]</w:t>
              </w:r>
            </w:hyperlink>
            <w:hyperlink r:id="rId487" w:anchor=":~:text=as%20these%20reforms%20were%20implemented,as%20well%20as%20support%20for">
              <w:r>
                <w:rPr>
                  <w:rStyle w:val="Hyperlink"/>
                </w:rPr>
                <w:t>[28]</w:t>
              </w:r>
            </w:hyperlink>
            <w:r>
              <w:t xml:space="preserve">. </w:t>
            </w:r>
            <w:r>
              <w:rPr>
                <w:b/>
                <w:bCs/>
              </w:rPr>
              <w:t>Note:</w:t>
            </w:r>
            <w:r>
              <w:t xml:space="preserve"> Violent crime trends in Houston are influenced by </w:t>
            </w:r>
            <w:r>
              <w:lastRenderedPageBreak/>
              <w:t>separate factors, but misdemeanor bail reform did not lead to more crime in that category.</w:t>
            </w:r>
          </w:p>
        </w:tc>
      </w:tr>
      <w:tr w:rsidR="00406E3B" w14:paraId="33E40FB4" w14:textId="77777777" w:rsidTr="00BB2ADB">
        <w:tc>
          <w:tcPr>
            <w:tcW w:w="0" w:type="auto"/>
          </w:tcPr>
          <w:p w14:paraId="530DC2FB" w14:textId="77777777" w:rsidR="00406E3B" w:rsidRDefault="00406E3B" w:rsidP="00BB2ADB">
            <w:pPr>
              <w:pStyle w:val="Compact"/>
            </w:pPr>
            <w:r>
              <w:rPr>
                <w:b/>
                <w:bCs/>
              </w:rPr>
              <w:lastRenderedPageBreak/>
              <w:t>California Prop 47</w:t>
            </w:r>
            <w:r>
              <w:t xml:space="preserve"> (State Sentencing Reform)</w:t>
            </w:r>
          </w:p>
        </w:tc>
        <w:tc>
          <w:tcPr>
            <w:tcW w:w="0" w:type="auto"/>
          </w:tcPr>
          <w:p w14:paraId="51FDF0A6" w14:textId="77777777" w:rsidR="00406E3B" w:rsidRDefault="00406E3B" w:rsidP="00BB2ADB">
            <w:pPr>
              <w:pStyle w:val="Compact"/>
            </w:pPr>
            <w:r>
              <w:rPr>
                <w:b/>
                <w:bCs/>
              </w:rPr>
              <w:t>Prison &amp; Jail Population</w:t>
            </w:r>
            <w:r>
              <w:t xml:space="preserve">: ~135,000 in state prisons (2014) plus county jails crowding. &lt;br&gt; </w:t>
            </w:r>
            <w:r>
              <w:rPr>
                <w:b/>
                <w:bCs/>
              </w:rPr>
              <w:t>Property Crime</w:t>
            </w:r>
            <w:r>
              <w:t>: Prior declining trend (2011–2014).</w:t>
            </w:r>
          </w:p>
        </w:tc>
        <w:tc>
          <w:tcPr>
            <w:tcW w:w="0" w:type="auto"/>
          </w:tcPr>
          <w:p w14:paraId="1605E580" w14:textId="77777777" w:rsidR="00406E3B" w:rsidRDefault="00406E3B" w:rsidP="00BB2ADB">
            <w:pPr>
              <w:pStyle w:val="Compact"/>
            </w:pPr>
            <w:r>
              <w:rPr>
                <w:b/>
                <w:bCs/>
              </w:rPr>
              <w:t>Prison Population</w:t>
            </w:r>
            <w:r>
              <w:t xml:space="preserve">: fell by thousands as low-level offenders were re-sentenced or diverted (state inmate count dropped ~10% by 2016). &lt;br&gt; </w:t>
            </w:r>
            <w:r>
              <w:rPr>
                <w:b/>
                <w:bCs/>
              </w:rPr>
              <w:t>Property Crime</w:t>
            </w:r>
            <w:r>
              <w:t xml:space="preserve">: Mixed results – initial uptick in larcenies reported in some cities, but researchers found </w:t>
            </w:r>
            <w:r>
              <w:rPr>
                <w:i/>
                <w:iCs/>
              </w:rPr>
              <w:t>no overall significant increase</w:t>
            </w:r>
            <w:r>
              <w:t xml:space="preserve"> vs. comparison states, once adjusted</w:t>
            </w:r>
            <w:hyperlink r:id="rId488" w:anchor=":~:text=Is%20the%20rise%20in%20shootings,19%20pandemic">
              <w:r>
                <w:rPr>
                  <w:rStyle w:val="Hyperlink"/>
                </w:rPr>
                <w:t>[30]</w:t>
              </w:r>
            </w:hyperlink>
            <w:hyperlink r:id="rId489" w:anchor=":~:text=York%3F%20No,implemented%20landmark%20bail%20reforms%2C%20eliminating">
              <w:r>
                <w:rPr>
                  <w:rStyle w:val="Hyperlink"/>
                </w:rPr>
                <w:t>[31]</w:t>
              </w:r>
            </w:hyperlink>
            <w:r>
              <w:t>.</w:t>
            </w:r>
          </w:p>
        </w:tc>
        <w:tc>
          <w:tcPr>
            <w:tcW w:w="0" w:type="auto"/>
          </w:tcPr>
          <w:p w14:paraId="7B422721" w14:textId="77777777" w:rsidR="00406E3B" w:rsidRDefault="00406E3B" w:rsidP="00BB2ADB">
            <w:pPr>
              <w:pStyle w:val="Compact"/>
            </w:pPr>
            <w:r>
              <w:t xml:space="preserve">Prop 47 (2014) downgraded many drug and theft offenses. It achieved </w:t>
            </w:r>
            <w:r>
              <w:rPr>
                <w:i/>
                <w:iCs/>
              </w:rPr>
              <w:t>substantial incarceration reduction</w:t>
            </w:r>
            <w:r>
              <w:t xml:space="preserve"> (closing a state prison, budget savings directed to treatment programs). Crime impact remains debated; some law enforcement blame Prop 47 for higher shoplifting, while studies note Western states without Prop 47 also saw similar crime bumps in 2015–2016. Careful analyses attribute no major long-term crime wave to Prop 47. </w:t>
            </w:r>
            <w:r>
              <w:rPr>
                <w:b/>
                <w:bCs/>
              </w:rPr>
              <w:t>Caveat:</w:t>
            </w:r>
            <w:r>
              <w:t xml:space="preserve"> Public perception of increased disorder has been strong, fueling later moves to toughen theft penalties.</w:t>
            </w:r>
          </w:p>
        </w:tc>
      </w:tr>
    </w:tbl>
    <w:p w14:paraId="4F3B49D3" w14:textId="77777777" w:rsidR="00406E3B" w:rsidRDefault="00406E3B" w:rsidP="00406E3B">
      <w:pPr>
        <w:pStyle w:val="BodyText"/>
      </w:pPr>
      <w:r>
        <w:rPr>
          <w:i/>
          <w:iCs/>
        </w:rPr>
        <w:t>Table: Selected metrics before vs. after reforms. Caution is warranted in attributing causation; many factors (e.g., the COVID-19 pandemic, economic changes, and national crime trends) intersect with these timeframes.</w:t>
      </w:r>
    </w:p>
    <w:p w14:paraId="308C10E6" w14:textId="77777777" w:rsidR="00406E3B" w:rsidRDefault="00406E3B" w:rsidP="00406E3B">
      <w:pPr>
        <w:pStyle w:val="BodyText"/>
      </w:pPr>
      <w:r>
        <w:t>As the table suggests, philanthropic interventions have often correlated with sharp reductions in jail and prison populations. For example, in the MacArthur-funded SJC sites around the country, the combined average daily jail population fell about 18% in three years (2016–2019)</w:t>
      </w:r>
      <w:hyperlink r:id="rId490" w:anchor=":~:text=From%202016%20to%202019%2C%20the,across%20all%20sites%2C%20combined">
        <w:r>
          <w:rPr>
            <w:rStyle w:val="Hyperlink"/>
          </w:rPr>
          <w:t>[32]</w:t>
        </w:r>
      </w:hyperlink>
      <w:r>
        <w:t>. Philadelphia, one of those sites and a recipient of over $9 million in MacArthur grants, closed a major jail after cutting its incarcerated population nearly in half</w:t>
      </w:r>
      <w:hyperlink r:id="rId491" w:anchor=":~:text=Since%20the%20start%20of%20the,at%20tremendous%20expense%20to%20taxpayers">
        <w:r>
          <w:rPr>
            <w:rStyle w:val="Hyperlink"/>
          </w:rPr>
          <w:t>[19]</w:t>
        </w:r>
      </w:hyperlink>
      <w:hyperlink r:id="rId492" w:anchor=":~:text=Since%20the%20start%20of%20the,at%20tremendous%20expense%20to%20taxpayers">
        <w:r>
          <w:rPr>
            <w:rStyle w:val="Hyperlink"/>
          </w:rPr>
          <w:t>[33]</w:t>
        </w:r>
      </w:hyperlink>
      <w:r>
        <w:t>. Likewise, jurisdictions that eliminated cash bail (New Jersey statewide, and many counties like Harris in Texas) saw large drops in pretrial detention. These changes achieved the donors’ proximate goals of lessening incarceration.</w:t>
      </w:r>
    </w:p>
    <w:p w14:paraId="08711AF4" w14:textId="77777777" w:rsidR="00406E3B" w:rsidRDefault="00406E3B" w:rsidP="00406E3B">
      <w:pPr>
        <w:pStyle w:val="BodyText"/>
      </w:pPr>
      <w:r>
        <w:t xml:space="preserve">The more controversial question is what happened to crime and public safety. Critics predicted that lenient policies would spark crime waves, but early data often show a more complex picture. New Jersey’s example is instructive: after ending cash bail, violent crime continued to </w:t>
      </w:r>
      <w:r>
        <w:rPr>
          <w:i/>
          <w:iCs/>
        </w:rPr>
        <w:t>decline</w:t>
      </w:r>
      <w:r>
        <w:t xml:space="preserve"> slightly from 2016 to 2018</w:t>
      </w:r>
      <w:hyperlink r:id="rId493" w:anchor=":~:text=can%20have%20a%20catastrophic%20impact,bail%20reform%20%E2%80%93%20until%20now">
        <w:r>
          <w:rPr>
            <w:rStyle w:val="Hyperlink"/>
          </w:rPr>
          <w:t>[34]</w:t>
        </w:r>
      </w:hyperlink>
      <w:r>
        <w:t>, and rigorous analysis confirmed no statistically significant effect on gun violence through 2019</w:t>
      </w:r>
      <w:hyperlink r:id="rId494" w:anchor=":~:text=eliminating%20wealth,aftermath%20of%20cash%20bail%20reform">
        <w:r>
          <w:rPr>
            <w:rStyle w:val="Hyperlink"/>
          </w:rPr>
          <w:t>[23]</w:t>
        </w:r>
      </w:hyperlink>
      <w:r>
        <w:t xml:space="preserve">. In New York, which enacted bail reform in 2020, a spike in shootings that year was frequently blamed on the new law – yet an NYPD data review found that of 528 shootings in the first half of 2020, only </w:t>
      </w:r>
      <w:r>
        <w:rPr>
          <w:b/>
          <w:bCs/>
        </w:rPr>
        <w:t>one</w:t>
      </w:r>
      <w:r>
        <w:t xml:space="preserve"> was committed by someone released due to bail reform</w:t>
      </w:r>
      <w:hyperlink r:id="rId495" w:anchor=":~:text=York%E2%80%99s%20bail%20reforms%20driven%20the,implied%20that%20bail%20reform%20sends">
        <w:r>
          <w:rPr>
            <w:rStyle w:val="Hyperlink"/>
          </w:rPr>
          <w:t>[35]</w:t>
        </w:r>
      </w:hyperlink>
      <w:hyperlink r:id="rId496" w:anchor=":~:text=NYPD%20data%20found%20that%20while,was%20charged%20with%20a%20shooting">
        <w:r>
          <w:rPr>
            <w:rStyle w:val="Hyperlink"/>
          </w:rPr>
          <w:t>[36]</w:t>
        </w:r>
      </w:hyperlink>
      <w:r>
        <w:t xml:space="preserve">. The vast majority of the increase was driven by other factors, since cities with no bail changes also saw spikes </w:t>
      </w:r>
      <w:r>
        <w:lastRenderedPageBreak/>
        <w:t>in violent crime during the pandemic</w:t>
      </w:r>
      <w:hyperlink r:id="rId497" w:anchor=":~:text=Is%20the%20rise%20in%20shootings,19%20pandemic">
        <w:r>
          <w:rPr>
            <w:rStyle w:val="Hyperlink"/>
          </w:rPr>
          <w:t>[30]</w:t>
        </w:r>
      </w:hyperlink>
      <w:hyperlink r:id="rId498" w:anchor=":~:text=York%3F%20No,implemented%20landmark%20bail%20reforms%2C%20eliminating">
        <w:r>
          <w:rPr>
            <w:rStyle w:val="Hyperlink"/>
          </w:rPr>
          <w:t>[31]</w:t>
        </w:r>
      </w:hyperlink>
      <w:r>
        <w:t>. Still, there are instances where specific incidents by reform beneficiaries have been highly publicized – these fuel the perception that the reforms broadly caused more danger. We turn next to those allegations and controversies.</w:t>
      </w:r>
    </w:p>
    <w:p w14:paraId="7623BC7B" w14:textId="77777777" w:rsidR="00406E3B" w:rsidRDefault="00406E3B" w:rsidP="00406E3B">
      <w:pPr>
        <w:pStyle w:val="Heading2"/>
      </w:pPr>
      <w:bookmarkStart w:id="35" w:name="allegations-and-controversies"/>
      <w:bookmarkEnd w:id="34"/>
      <w:r>
        <w:t>Allegations and Controversies</w:t>
      </w:r>
    </w:p>
    <w:p w14:paraId="5402C394" w14:textId="77777777" w:rsidR="00406E3B" w:rsidRDefault="00406E3B" w:rsidP="00406E3B">
      <w:pPr>
        <w:pStyle w:val="FirstParagraph"/>
      </w:pPr>
      <w:r>
        <w:t xml:space="preserve">Reform efforts funded by wealthy donors have faced intense backlash from some law enforcement officials, politicians, and community members who argue that these changes have undermined public safety and justice. The critique often centers on the idea that outside money is </w:t>
      </w:r>
      <w:r>
        <w:rPr>
          <w:i/>
          <w:iCs/>
        </w:rPr>
        <w:t>warping</w:t>
      </w:r>
      <w:r>
        <w:t xml:space="preserve"> the criminal justice system in ways the public never asked for. Here we examine the major allegations:</w:t>
      </w:r>
    </w:p>
    <w:p w14:paraId="0915D937" w14:textId="77777777" w:rsidR="00406E3B" w:rsidRDefault="00406E3B" w:rsidP="00406E3B">
      <w:pPr>
        <w:pStyle w:val="BodyText"/>
      </w:pPr>
      <w:r>
        <w:rPr>
          <w:b/>
          <w:bCs/>
        </w:rPr>
        <w:t>“Soft-on-Crime” Prosecutors and Crime Waves:</w:t>
      </w:r>
      <w:r>
        <w:t xml:space="preserve"> Perhaps the loudest criticism is that philanthropist-backed prosecutors implement policies that lead to more crime. Opponents label them “rogue prosecutors” or </w:t>
      </w:r>
      <w:r>
        <w:rPr>
          <w:b/>
          <w:bCs/>
        </w:rPr>
        <w:t>“Soros DAs”</w:t>
      </w:r>
      <w:r>
        <w:t>, implying they answer to an ideological agenda rather than public interest. They point to cities like Philadelphia, Chicago, Los Angeles, and San Francisco – all with reformist DAs – and note these places have seen surges in certain crimes. For example, Philadelphia’s homicides hit an all-time record of 562 in 2021 (up from 315 in 2017, the year before DA Krasner took office)</w:t>
      </w:r>
      <w:hyperlink r:id="rId499" w:anchor=":~:text=%28Philadelphia%29%20%241">
        <w:r>
          <w:rPr>
            <w:rStyle w:val="Hyperlink"/>
          </w:rPr>
          <w:t>[16]</w:t>
        </w:r>
      </w:hyperlink>
      <w:r>
        <w:t>. Chicago’s State’s Attorney Kim Foxx, elected with support from national donors, drew scrutiny when a 2020 investigation found her office dropped felony charges in about 29% of cases – over one-half higher than the 19% drop rate under her predecessor</w:t>
      </w:r>
      <w:hyperlink r:id="rId500" w:anchor=":~:text=And%20her%20handling%20of%20cases,of%20cases">
        <w:r>
          <w:rPr>
            <w:rStyle w:val="Hyperlink"/>
          </w:rPr>
          <w:t>[37]</w:t>
        </w:r>
      </w:hyperlink>
      <w:hyperlink r:id="rId501" w:anchor=":~:text=found%20that%20Foxx%20has%20dropped,of%20cases">
        <w:r>
          <w:rPr>
            <w:rStyle w:val="Hyperlink"/>
          </w:rPr>
          <w:t>[38]</w:t>
        </w:r>
      </w:hyperlink>
      <w:r>
        <w:t>. Critics claimed this contributed to lawlessness. In Los Angeles, DA George Gascón’s policies (such as not charging many low-level misdemeanors and eliminating most sentencing enhancements) coincided with a pandemic-era crime spike: by mid-2022, LA shootings were up 69% and car thefts up 40% compared to 2020</w:t>
      </w:r>
      <w:hyperlink r:id="rId502" w:anchor=":~:text=DISTRICT%20ATTORNEY%20GEORGE%20GASCON%20,7%20Million">
        <w:r>
          <w:rPr>
            <w:rStyle w:val="Hyperlink"/>
          </w:rPr>
          <w:t>[39]</w:t>
        </w:r>
      </w:hyperlink>
      <w:hyperlink r:id="rId503" w:anchor=":~:text=%28Los%20Angeles%29%3A%20%244">
        <w:r>
          <w:rPr>
            <w:rStyle w:val="Hyperlink"/>
          </w:rPr>
          <w:t>[40]</w:t>
        </w:r>
      </w:hyperlink>
      <w:r>
        <w:t xml:space="preserve">. While rising crime was a national phenomenon in that period, Gascón’s opponents blamed his “progressive wish-list” of policies for </w:t>
      </w:r>
      <w:r>
        <w:rPr>
          <w:i/>
          <w:iCs/>
        </w:rPr>
        <w:t>adding fuel</w:t>
      </w:r>
      <w:r>
        <w:t xml:space="preserve"> to the fire</w:t>
      </w:r>
      <w:hyperlink r:id="rId504" w:anchor=":~:text=%E2%80%9CAs%20of%20April%2C%20shootings%20in,when%20Gascon%20took%20office%20in">
        <w:r>
          <w:rPr>
            <w:rStyle w:val="Hyperlink"/>
          </w:rPr>
          <w:t>[41]</w:t>
        </w:r>
      </w:hyperlink>
      <w:r>
        <w:t>. The perception that these prosecutors are “failing their constituencies” has gained political traction</w:t>
      </w:r>
      <w:hyperlink r:id="rId505" w:anchor=":~:text=These%20Soros,Fueling%20A%20Massive%20Crime%20Wave">
        <w:r>
          <w:rPr>
            <w:rStyle w:val="Hyperlink"/>
          </w:rPr>
          <w:t>[42]</w:t>
        </w:r>
      </w:hyperlink>
      <w:r>
        <w:t>. Notably, in San Francisco, voters in 2022 recalled DA Chesa Boudin (who had campaigned on similar reform ideas, though with minimal direct Soros funding) after frustration with open-air drug markets and property crime. Similarly, voters removed or challenged reform DAs in other jurisdictions – a “string of liberal prosecutors” in traditionally progressive areas have been replaced amid public anger over quality-of-life issues</w:t>
      </w:r>
      <w:hyperlink r:id="rId506" w:anchor=":~:text=Recently%2C%20a%20string%20of%20liberal,homelessness%2C%20drug%20use%20and%20theft">
        <w:r>
          <w:rPr>
            <w:rStyle w:val="Hyperlink"/>
          </w:rPr>
          <w:t>[43]</w:t>
        </w:r>
      </w:hyperlink>
      <w:r>
        <w:t xml:space="preserve">. Republican politicians have seized on these trends. In late 2019, U.S. Attorney General William Barr openly attacked “Soros-backed” DAs for </w:t>
      </w:r>
      <w:r>
        <w:rPr>
          <w:i/>
          <w:iCs/>
        </w:rPr>
        <w:t>allegedly</w:t>
      </w:r>
      <w:r>
        <w:t xml:space="preserve"> refusing to enforce the law, and by 2022 multiple state legislatures (often GOP-led) were proposing ways to curtail the discretion of such prosecutors. The underlying accusation is that billionaire-funded prosecutors are </w:t>
      </w:r>
      <w:r>
        <w:rPr>
          <w:b/>
          <w:bCs/>
        </w:rPr>
        <w:t>engineering leniency</w:t>
      </w:r>
      <w:r>
        <w:t xml:space="preserve">: lowering sentences, not prosecuting theft or drug possession, and letting offenders cycle back to the streets. This, detractors argue, emboldens criminals and demoralizes police, leading to </w:t>
      </w:r>
      <w:r>
        <w:rPr>
          <w:i/>
          <w:iCs/>
        </w:rPr>
        <w:t>“revolving door” justice</w:t>
      </w:r>
      <w:hyperlink r:id="rId507" w:anchor=":~:text=RELATED%3A%20Marion%20County%20courts%20suspend,agreement%20with%20The%20Bail%20Project">
        <w:r>
          <w:rPr>
            <w:rStyle w:val="Hyperlink"/>
          </w:rPr>
          <w:t>[44]</w:t>
        </w:r>
      </w:hyperlink>
      <w:hyperlink r:id="rId508" w:anchor=":~:text=But%20the%20group%20has%20drawn,long%20after%20police%20arrest%20them">
        <w:r>
          <w:rPr>
            <w:rStyle w:val="Hyperlink"/>
          </w:rPr>
          <w:t>[45]</w:t>
        </w:r>
      </w:hyperlink>
      <w:r>
        <w:t xml:space="preserve">. The term “revolving door” is frequently used by police unions in cities like New York and Indianapolis to describe repeat offenders being quickly released under bail reforms or lax prosecution. High-profile tragedies amplify these charges. For instance, in Indianapolis, a young man </w:t>
      </w:r>
      <w:r>
        <w:lastRenderedPageBreak/>
        <w:t xml:space="preserve">was murdered in 2021 by a defendant who had been released on bail that a charitable bail fund paid; outrage ensued at the </w:t>
      </w:r>
      <w:r>
        <w:rPr>
          <w:b/>
          <w:bCs/>
        </w:rPr>
        <w:t>Bail Project</w:t>
      </w:r>
      <w:r>
        <w:t xml:space="preserve"> for bailing out a person with violent tendencies</w:t>
      </w:r>
      <w:hyperlink r:id="rId509" w:anchor=":~:text=INDIANAPOLIS%20%E2%80%94%20Dylan%20McGinnis%20was,side%20of%20Indianapolis%20in%20October">
        <w:r>
          <w:rPr>
            <w:rStyle w:val="Hyperlink"/>
          </w:rPr>
          <w:t>[46]</w:t>
        </w:r>
      </w:hyperlink>
      <w:hyperlink r:id="rId510" w:anchor=":~:text=,back%20out%20on%20the%20street">
        <w:r>
          <w:rPr>
            <w:rStyle w:val="Hyperlink"/>
          </w:rPr>
          <w:t>[47]</w:t>
        </w:r>
      </w:hyperlink>
      <w:r>
        <w:t>. The victim’s mother and local officials called for stricter oversight of such nonprofits, arguing they “are putting violent criminals back on the street” with no accountability</w:t>
      </w:r>
      <w:hyperlink r:id="rId511" w:anchor=":~:text=Now%2C%20McGinnis%27%20mother%20is%20angry,more%20accountable%20and%20better%20regulated">
        <w:r>
          <w:rPr>
            <w:rStyle w:val="Hyperlink"/>
          </w:rPr>
          <w:t>[48]</w:t>
        </w:r>
      </w:hyperlink>
      <w:r>
        <w:t>. Cases like this feed a narrative that well-meaning reforms (in this case freeing indigent detainees) can backfire disastrously by releasing the wrong individuals.</w:t>
      </w:r>
    </w:p>
    <w:p w14:paraId="263ABB4B" w14:textId="77777777" w:rsidR="00406E3B" w:rsidRDefault="00406E3B" w:rsidP="00406E3B">
      <w:pPr>
        <w:pStyle w:val="BodyText"/>
      </w:pPr>
      <w:r>
        <w:rPr>
          <w:b/>
          <w:bCs/>
        </w:rPr>
        <w:t>Political Motives and Undermining Democracy:</w:t>
      </w:r>
      <w:r>
        <w:t xml:space="preserve"> Another layer of controversy is the idea that these wealthy donors are effectively </w:t>
      </w:r>
      <w:r>
        <w:rPr>
          <w:b/>
          <w:bCs/>
        </w:rPr>
        <w:t>buying legal outcomes</w:t>
      </w:r>
      <w:r>
        <w:t xml:space="preserve"> that they favor. Conservative commentators often single out George Soros in this regard, sometimes veering into conspiracy-laden territory. They note Soros’s long history of funding global democracy initiatives and suggest that installing prosecutors might be an attempt to reshape American society according to his views. Some have gone as far as to claim there is a coordinated “war on law and order” being waged via philanthropy</w:t>
      </w:r>
      <w:hyperlink r:id="rId512" w:anchor=":~:text=Soros%27s%20Rogue%20Prosecutors%20,president%20is%20integrity%2C%20history%2C">
        <w:r>
          <w:rPr>
            <w:rStyle w:val="Hyperlink"/>
          </w:rPr>
          <w:t>[49]</w:t>
        </w:r>
      </w:hyperlink>
      <w:hyperlink r:id="rId513" w:anchor=":~:text=LELDF%20www,justice%E2%80%9D%20prosecutors%20across%20the%20country">
        <w:r>
          <w:rPr>
            <w:rStyle w:val="Hyperlink"/>
          </w:rPr>
          <w:t>[50]</w:t>
        </w:r>
      </w:hyperlink>
      <w:r>
        <w:t xml:space="preserve">. Setting aside hyperbole, there is a genuine debate about the appropriateness of national money influencing local criminal justice. District attorneys traditionally answer to local voters and are expected to reflect community values on crime and punishment. When an outside donor infuses hundreds of thousands of dollars into a low-profile DA race (often via independent expenditure campaigns), it raises questions. Was the donor’s agenda transparently communicated to voters? Are the winners beholden to the funder’s priorities? Critics argue this trend circumvents the normal democratic process; they contend that someone like Soros, unable to change laws through Congress, is </w:t>
      </w:r>
      <w:r>
        <w:rPr>
          <w:i/>
          <w:iCs/>
        </w:rPr>
        <w:t>indirectly</w:t>
      </w:r>
      <w:r>
        <w:t xml:space="preserve"> achieving policy goals by electing prosecutors who simply won’t enforce certain laws. For example, many Soros-backed prosecutors announced they would no longer prosecute marijuana possession, minor theft, or sex work-related offenses. While those policies may be popular in some cities, opponents say such changes should come from legislatures, not one person’s funding sway in a DA race. A sitting U.S. Senator in 2022 charged that Soros “installed prosecutors” who are “more sympathetic to criminals than to victims,” claiming this has produced “massive crime waves”</w:t>
      </w:r>
      <w:hyperlink r:id="rId514" w:anchor=":~:text=Liberal%20Megadonor%20George%20Soros%20Has,Half%20Of%20America%27s%20Largest%20Jurisdictions">
        <w:r>
          <w:rPr>
            <w:rStyle w:val="Hyperlink"/>
          </w:rPr>
          <w:t>[51]</w:t>
        </w:r>
      </w:hyperlink>
      <w:hyperlink r:id="rId515" w:anchor=":~:text=These%20Soros,Fueling%20A%20Massive%20Crime%20Wave">
        <w:r>
          <w:rPr>
            <w:rStyle w:val="Hyperlink"/>
          </w:rPr>
          <w:t>[42]</w:t>
        </w:r>
      </w:hyperlink>
      <w:r>
        <w:t xml:space="preserve">. That language of </w:t>
      </w:r>
      <w:r>
        <w:rPr>
          <w:i/>
          <w:iCs/>
        </w:rPr>
        <w:t>installation</w:t>
      </w:r>
      <w:r>
        <w:t xml:space="preserve"> suggests illegitimacy – as if the prosecutors were imposed rather than elected. In a few instances, state officials have explored removing or disciplining reformist prosecutors, citing dereliction of duty. This happened in Pennsylvania, where Republican legislators filed articles of impeachment against Philadelphia’s Krasner in 2022 (the effort was later blocked in court). The polarizing rhetoric – “rogue prosecutors,” “pro-criminal agenda,” “puppet of Soros” – reflects how charged this issue has become. It is worth noting that not all criticism is partisan: some African-American and Latino community leaders, in neighborhoods most affected by violent crime, have voiced concerns that certain reforms were too much too fast, and that their communities feel less safe. In Los Angeles, for instance, recall efforts against Gascón were driven not just by conservatives but also by some traditionally Democratic voters in high-crime areas. The allegation of “engineering outcomes” thus resonates both as a top-down political critique and a bottom-up expression of fear that safety is being sacrificed.</w:t>
      </w:r>
    </w:p>
    <w:p w14:paraId="362FFB72" w14:textId="77777777" w:rsidR="00406E3B" w:rsidRDefault="00406E3B" w:rsidP="00406E3B">
      <w:pPr>
        <w:pStyle w:val="BodyText"/>
      </w:pPr>
      <w:r>
        <w:rPr>
          <w:b/>
          <w:bCs/>
        </w:rPr>
        <w:t>Misuse of Data and Outcomes:</w:t>
      </w:r>
      <w:r>
        <w:t xml:space="preserve"> Detractors also challenge the positive data reported by reform proponents, suggesting that it cherry-picks successes while downplaying costs. </w:t>
      </w:r>
      <w:r>
        <w:lastRenderedPageBreak/>
        <w:t xml:space="preserve">Police departments in several cities produced statistics purportedly linking bail reforms to increased recidivism. For example, NYPD officials in 2020 circulated lists of rearrests of individuals released under the new bail law, highlighting cases of repeat burglaries or assaults. Although comprehensive analysis didn’t support a broad crime surge from bail reform, these anecdotes created an impression of rampant re-offending. Similarly, the </w:t>
      </w:r>
      <w:r>
        <w:rPr>
          <w:i/>
          <w:iCs/>
        </w:rPr>
        <w:t>Law Enforcement Legal Defense Fund</w:t>
      </w:r>
      <w:r>
        <w:t xml:space="preserve"> (a group often critical of progressive DAs) released reports cataloging rises in crime in the jurisdictions of “Soros prosecutors,” asserting causation. One of their reports claimed that homicides rose Soros-backed DAs took office, implying the policies directly led to more deaths</w:t>
      </w:r>
      <w:hyperlink r:id="rId516" w:anchor=":~:text=%28Philadelphia%29%20%241">
        <w:r>
          <w:rPr>
            <w:rStyle w:val="Hyperlink"/>
          </w:rPr>
          <w:t>[16]</w:t>
        </w:r>
      </w:hyperlink>
      <w:r>
        <w:t xml:space="preserve">. These assertions have been disputed (as we will see in the next section), but they gained traction in media coverage. Another common refrain is that even if overall crime did not skyrocket, </w:t>
      </w:r>
      <w:r>
        <w:rPr>
          <w:b/>
          <w:bCs/>
        </w:rPr>
        <w:t>quality of life declined</w:t>
      </w:r>
      <w:r>
        <w:t xml:space="preserve"> in ways not captured by aggregate data. Shop owners in cities like San Francisco and New York complain that after reforms (Prop 47 in CA, bail reform in NY), theft and shoplifting became bolder and more common, with thieves believing there would be no serious consequences. Videos of brazen store robberies in California went viral, fueling a public narrative of lawlessness. Though property crime rates remain far below 1980s–90s levels, the </w:t>
      </w:r>
      <w:r>
        <w:rPr>
          <w:i/>
          <w:iCs/>
        </w:rPr>
        <w:t>visibility</w:t>
      </w:r>
      <w:r>
        <w:t xml:space="preserve"> of these incidents made many feel that “criminals have gotten the upper hand.” Some officials contend that the reforms sent a message that certain crimes would be tolerated. For instance, after Chicago saw widespread looting in 2020, the police superintendent blamed an environment of “no consequences,” implicitly criticizing State’s Attorney Foxx for dismissing many charges (Foxx, in turn, explained that courts were closed due to COVID and those cases were pending)</w:t>
      </w:r>
      <w:hyperlink r:id="rId517" w:anchor=":~:text=handling%20of%20criminal%20prosecutions%20set,%E2%80%9D">
        <w:r>
          <w:rPr>
            <w:rStyle w:val="Hyperlink"/>
          </w:rPr>
          <w:t>[52]</w:t>
        </w:r>
      </w:hyperlink>
      <w:hyperlink r:id="rId518" w:anchor=":~:text=The%20political%20stakes%20for%20the,one%20on%20the%20November%20ballot">
        <w:r>
          <w:rPr>
            <w:rStyle w:val="Hyperlink"/>
          </w:rPr>
          <w:t>[53]</w:t>
        </w:r>
      </w:hyperlink>
      <w:r>
        <w:t xml:space="preserve">. This illustrates how even temporary or contextual issues can be weaponized to accuse reformers of causing chaos. Lastly, critics worry about </w:t>
      </w:r>
      <w:r>
        <w:rPr>
          <w:b/>
          <w:bCs/>
        </w:rPr>
        <w:t>victims’ rights</w:t>
      </w:r>
      <w:r>
        <w:t xml:space="preserve"> under the new regime. Families of crime victims in some reform jurisdictions have spoken out, feeling justice was not served because prosecutors downgraded or dropped charges against offenders who harmed their loved ones. Such emotional testimonies – a mother confronting a DA for offering a lenient plea deal to her son’s killer, for example – put a human face on the accusation that donor-driven leniency ignores victims’ suffering.</w:t>
      </w:r>
    </w:p>
    <w:p w14:paraId="69CE1E07" w14:textId="77777777" w:rsidR="00406E3B" w:rsidRDefault="00406E3B" w:rsidP="00406E3B">
      <w:pPr>
        <w:pStyle w:val="BodyText"/>
      </w:pPr>
      <w:r>
        <w:t>In sum, the allegations are multi-pronged: that donor-backed reforms let more criminals out and deter fewer, leading to more crime; that they represent an undemocratic social experiment by elite interests; and that any benefits (like fewer people in jail) are outweighed by ordinary citizens feeling less safe. Are these claims supported by facts? Reform advocates and some researchers push back strongly, which we explore next.</w:t>
      </w:r>
    </w:p>
    <w:p w14:paraId="2362D5AD" w14:textId="77777777" w:rsidR="00406E3B" w:rsidRDefault="00406E3B" w:rsidP="00406E3B">
      <w:pPr>
        <w:pStyle w:val="Heading2"/>
      </w:pPr>
      <w:bookmarkStart w:id="36" w:name="rebuttals-and-data-based-counterpoints"/>
      <w:bookmarkEnd w:id="35"/>
      <w:r>
        <w:t>Rebuttals and Data-Based Counterpoints</w:t>
      </w:r>
    </w:p>
    <w:p w14:paraId="21AC0D3D" w14:textId="77777777" w:rsidR="00406E3B" w:rsidRDefault="00406E3B" w:rsidP="00406E3B">
      <w:pPr>
        <w:pStyle w:val="FirstParagraph"/>
      </w:pPr>
      <w:r>
        <w:t xml:space="preserve">Defenders of the philanthropically supported reforms argue that critics are distorting the narrative and ignoring evidence. They acknowledge that crime rose in 2020–2021, but note it rose </w:t>
      </w:r>
      <w:r>
        <w:rPr>
          <w:i/>
          <w:iCs/>
        </w:rPr>
        <w:t>everywhere</w:t>
      </w:r>
      <w:r>
        <w:t xml:space="preserve">, including in cities with traditional tough-on-crime prosecutors and no bail changes. The implication is that factors like the pandemic, economic stress, and gun proliferation drove the increase – not the reforms. A </w:t>
      </w:r>
      <w:r>
        <w:rPr>
          <w:b/>
          <w:bCs/>
        </w:rPr>
        <w:t>Brennan Center</w:t>
      </w:r>
      <w:r>
        <w:t xml:space="preserve"> analysis in 2022, for instance, found </w:t>
      </w:r>
      <w:r>
        <w:rPr>
          <w:i/>
          <w:iCs/>
        </w:rPr>
        <w:t>no clear connection</w:t>
      </w:r>
      <w:r>
        <w:t xml:space="preserve"> between jurisdictions with progressive prosecutors and worse crime trends; many such cities had crime spikes comparable to or smaller than </w:t>
      </w:r>
      <w:r>
        <w:lastRenderedPageBreak/>
        <w:t xml:space="preserve">cities with conventional prosecutors. Reformers also emphasize metrics showing that their policies can improve fairness </w:t>
      </w:r>
      <w:r>
        <w:rPr>
          <w:i/>
          <w:iCs/>
        </w:rPr>
        <w:t>without</w:t>
      </w:r>
      <w:r>
        <w:t xml:space="preserve"> harming public safety.</w:t>
      </w:r>
    </w:p>
    <w:p w14:paraId="6084AA42" w14:textId="77777777" w:rsidR="00406E3B" w:rsidRDefault="00406E3B" w:rsidP="00406E3B">
      <w:pPr>
        <w:pStyle w:val="BodyText"/>
      </w:pPr>
      <w:r>
        <w:rPr>
          <w:b/>
          <w:bCs/>
        </w:rPr>
        <w:t>Public Safety Outcomes:</w:t>
      </w:r>
      <w:r>
        <w:t xml:space="preserve"> A growing body of academic research supports the claim that reducing incarceration can go hand-in-hand with maintaining safety. As detailed earlier, New Jersey’s bail reform did not increase violent crime</w:t>
      </w:r>
      <w:hyperlink r:id="rId519" w:anchor=":~:text=eliminating%20wealth,aftermath%20of%20cash%20bail%20reform">
        <w:r>
          <w:rPr>
            <w:rStyle w:val="Hyperlink"/>
          </w:rPr>
          <w:t>[23]</w:t>
        </w:r>
      </w:hyperlink>
      <w:r>
        <w:t xml:space="preserve">. In Harris County, Texas, a court monitor’s reports have repeatedly found that letting most misdemeanor defendants await trial at home did </w:t>
      </w:r>
      <w:r>
        <w:rPr>
          <w:i/>
          <w:iCs/>
        </w:rPr>
        <w:t>not</w:t>
      </w:r>
      <w:r>
        <w:t xml:space="preserve"> increase their likelihood of reoffending – in fact re-arrest rates for those defendants declined slightly, and appearances at court remained high</w:t>
      </w:r>
      <w:hyperlink r:id="rId520" w:anchor=":~:text=as%20these%20reforms%20were%20implemented,as%20well%20as%20support%20for">
        <w:r>
          <w:rPr>
            <w:rStyle w:val="Hyperlink"/>
          </w:rPr>
          <w:t>[28]</w:t>
        </w:r>
      </w:hyperlink>
      <w:r>
        <w:t xml:space="preserve">. Advocates highlight that in Harris County, roughly </w:t>
      </w:r>
      <w:r>
        <w:rPr>
          <w:b/>
          <w:bCs/>
        </w:rPr>
        <w:t>10,000 fewer</w:t>
      </w:r>
      <w:r>
        <w:t xml:space="preserve"> people are being arrested for low-level offenses each year post-reform, suggesting police are focusing on more serious matters and the justice system’s footprint has shrunk without endangering the public</w:t>
      </w:r>
      <w:hyperlink r:id="rId521" w:anchor=":~:text=,community%20factors%20can%20be%20more">
        <w:r>
          <w:rPr>
            <w:rStyle w:val="Hyperlink"/>
          </w:rPr>
          <w:t>[29]</w:t>
        </w:r>
      </w:hyperlink>
      <w:hyperlink r:id="rId522" w:anchor=":~:text=as%20these%20reforms%20were%20implemented,as%20well%20as%20support%20for">
        <w:r>
          <w:rPr>
            <w:rStyle w:val="Hyperlink"/>
          </w:rPr>
          <w:t>[28]</w:t>
        </w:r>
      </w:hyperlink>
      <w:r>
        <w:t xml:space="preserve">. Similarly, an analysis of Philadelphia’s data noted that even as the jail population plummeted ~50%, most crime categories </w:t>
      </w:r>
      <w:r>
        <w:rPr>
          <w:i/>
          <w:iCs/>
        </w:rPr>
        <w:t>decreased</w:t>
      </w:r>
      <w:r>
        <w:t xml:space="preserve"> or stayed flat through 2019; only in 2020 did violence spike, in parallel with national trends. By 2023–2024, Philadelphia saw a dramatic </w:t>
      </w:r>
      <w:r>
        <w:rPr>
          <w:i/>
          <w:iCs/>
        </w:rPr>
        <w:t>drop</w:t>
      </w:r>
      <w:r>
        <w:t xml:space="preserve"> in gun violence – homicides fell over 30% in one year, reaching the lowest levels in decades</w:t>
      </w:r>
      <w:hyperlink r:id="rId523" w:anchor=":~:text=Philadelphia%20District%20Attorney%20Larry%20Krasner,and%20violent%20crime%20in%20general">
        <w:r>
          <w:rPr>
            <w:rStyle w:val="Hyperlink"/>
          </w:rPr>
          <w:t>[54]</w:t>
        </w:r>
      </w:hyperlink>
      <w:hyperlink r:id="rId524" w:anchor=":~:text=%E2%80%9CIf%20we%20look%20at%20the,%E2%80%9D">
        <w:r>
          <w:rPr>
            <w:rStyle w:val="Hyperlink"/>
          </w:rPr>
          <w:t>[20]</w:t>
        </w:r>
      </w:hyperlink>
      <w:r>
        <w:t xml:space="preserve"> – all while the city continued reform efforts (Krasner was reelected in 2021, and new diversion and review programs were expanded). DA Krasner touts this as proof that you can have “record-low levels of both violence and incarceration” at the same time</w:t>
      </w:r>
      <w:hyperlink r:id="rId525" w:anchor=":~:text=the%20city%20received%20a%20%243,number%20of%20people%20behind%20bars">
        <w:r>
          <w:rPr>
            <w:rStyle w:val="Hyperlink"/>
          </w:rPr>
          <w:t>[55]</w:t>
        </w:r>
      </w:hyperlink>
      <w:r>
        <w:t>. Indeed, by 2025 Philadelphia was on pace for near-record low homicides, suggesting the earlier spike was not a permanent new normal</w:t>
      </w:r>
      <w:hyperlink r:id="rId526" w:anchor=":~:text=In%20contrast%20to%20some%20of,of%20both%20violence%20and%20incarceration">
        <w:r>
          <w:rPr>
            <w:rStyle w:val="Hyperlink"/>
          </w:rPr>
          <w:t>[56]</w:t>
        </w:r>
      </w:hyperlink>
      <w:r>
        <w:t xml:space="preserve">. At a broader level, proponents point out that the United States saw a substantial decline in both incarceration and crime in the 2008–2018 decade: prison and jail populations dropped for ten straight years, and violent and property crime fell nationally to lows not seen since the 1960s. This historical trend, they argue, undercuts the notion that only “tough” policies bring safety. In many states, reforms like shorter drug sentences or expanded parole coincided with continued crime reduction – implying that smart reform is compatible with public safety. When opponents cite anecdotes of bad outcomes, reformers respond that these are outliers. No policy can prevent every tragic case, but, they say, the </w:t>
      </w:r>
      <w:r>
        <w:rPr>
          <w:i/>
          <w:iCs/>
        </w:rPr>
        <w:t>overall</w:t>
      </w:r>
      <w:r>
        <w:t xml:space="preserve"> re-offense rates for people released pretrial or given leniency are typically low. For example, New York’s judiciary reported that among tens of thousands of people released under 2020’s new bail law, only a small fraction were rearrested for violent felonies while awaiting trial (and many of those would have been bailable even under the old law). The </w:t>
      </w:r>
      <w:r>
        <w:rPr>
          <w:b/>
          <w:bCs/>
        </w:rPr>
        <w:t>data collaborative at CUNY</w:t>
      </w:r>
      <w:r>
        <w:t xml:space="preserve"> found that for people facing minor charges and with minimal criminal history, releasing them (rather than detaining on bail) actually </w:t>
      </w:r>
      <w:r>
        <w:rPr>
          <w:i/>
          <w:iCs/>
        </w:rPr>
        <w:t>reduced</w:t>
      </w:r>
      <w:r>
        <w:t xml:space="preserve"> recidivism in the long run, perhaps by avoiding the destabilization jail causes</w:t>
      </w:r>
      <w:hyperlink r:id="rId527" w:anchor=":~:text=Does%20New%20York%27s%20Bail%20Reform,no%20recent%20criminal%20history%2C">
        <w:r>
          <w:rPr>
            <w:rStyle w:val="Hyperlink"/>
          </w:rPr>
          <w:t>[57]</w:t>
        </w:r>
      </w:hyperlink>
      <w:hyperlink r:id="rId528" w:anchor=":~:text=Across%20all%20of%20New%20York,no%20recent%20criminal%20history%2C">
        <w:r>
          <w:rPr>
            <w:rStyle w:val="Hyperlink"/>
          </w:rPr>
          <w:t>[58]</w:t>
        </w:r>
      </w:hyperlink>
      <w:r>
        <w:t xml:space="preserve">. Such findings flip the script: detaining low-risk individuals might make them more likely to commit future crimes (due to lost jobs, etc.), whereas releasing them with support could improve outcomes. Reform advocates also stress improvements in </w:t>
      </w:r>
      <w:r>
        <w:rPr>
          <w:b/>
          <w:bCs/>
        </w:rPr>
        <w:t>court appearance rates</w:t>
      </w:r>
      <w:r>
        <w:t>. Organizations like The Bail Project report that with simple interventions – text message reminders, transportation assistance – the vast majority of their clients (over 90%) return for all court dates despite having no money on the line</w:t>
      </w:r>
      <w:hyperlink r:id="rId529" w:anchor=":~:text=The%20cash%20bail%20system%20is,This">
        <w:r>
          <w:rPr>
            <w:rStyle w:val="Hyperlink"/>
          </w:rPr>
          <w:t>[59]</w:t>
        </w:r>
      </w:hyperlink>
      <w:hyperlink r:id="rId530" w:anchor=":~:text=The%20Bail%20Project%20%2C%20we,a%20properly%20functioning%20pretrial%20system">
        <w:r>
          <w:rPr>
            <w:rStyle w:val="Hyperlink"/>
          </w:rPr>
          <w:t>[60]</w:t>
        </w:r>
      </w:hyperlink>
      <w:r>
        <w:t>. This undermines the claim that bail money is needed to ensure people don’t abscond.</w:t>
      </w:r>
    </w:p>
    <w:p w14:paraId="5C84A2A8" w14:textId="77777777" w:rsidR="00406E3B" w:rsidRDefault="00406E3B" w:rsidP="00406E3B">
      <w:pPr>
        <w:pStyle w:val="BodyText"/>
      </w:pPr>
      <w:r>
        <w:rPr>
          <w:b/>
          <w:bCs/>
        </w:rPr>
        <w:lastRenderedPageBreak/>
        <w:t>Addressing Specific Criticisms:</w:t>
      </w:r>
      <w:r>
        <w:t xml:space="preserve"> On the allegation that reformist prosecutors are dropping too many cases, these DAs often counter with context. Kim Foxx, for instance, explained that the higher percentage of dropped felonies partly reflected a policy of not pursuing cases with weak evidence (which previously might have been dragged out, only to end in dismissal later). She noted the difference in murder cases dismissed under her tenure was in single digits and statistically insignificant</w:t>
      </w:r>
      <w:hyperlink r:id="rId531" w:anchor=":~:text=And%20her%20handling%20of%20cases,of%20cases">
        <w:r>
          <w:rPr>
            <w:rStyle w:val="Hyperlink"/>
          </w:rPr>
          <w:t>[37]</w:t>
        </w:r>
      </w:hyperlink>
      <w:hyperlink r:id="rId532" w:anchor=":~:text=considerably%20higher%20than%20her%20predecessor%2C,of%20cases">
        <w:r>
          <w:rPr>
            <w:rStyle w:val="Hyperlink"/>
          </w:rPr>
          <w:t>[61]</w:t>
        </w:r>
      </w:hyperlink>
      <w:r>
        <w:t xml:space="preserve">. In other words, she argues the </w:t>
      </w:r>
      <w:r>
        <w:rPr>
          <w:i/>
          <w:iCs/>
        </w:rPr>
        <w:t>quality</w:t>
      </w:r>
      <w:r>
        <w:t xml:space="preserve"> of prosecutions improved – focusing on stronger cases – rather than simply letting criminals off the hook. Larry Krasner has similarly argued that securing fewer low-level convictions (for example, for drug possession) frees up resources to concentrate on serious offenses, and that his office’s conviction rate for violent crimes remains on par with his predecessors’. As for the “emboldening criminals” narrative, reformers say it’s largely a talking point not backed by evidence. Surveys of people involved in crime (like a study of young people carrying guns in NYC) have found that decisions to offend are not guided by detailed awareness of local DA policies or bail laws</w:t>
      </w:r>
      <w:hyperlink r:id="rId533" w:anchor=":~:text=Have%20people%20claiming%20that%20bail,arrested%20for%20another">
        <w:r>
          <w:rPr>
            <w:rStyle w:val="Hyperlink"/>
          </w:rPr>
          <w:t>[62]</w:t>
        </w:r>
      </w:hyperlink>
      <w:r>
        <w:t>. More often, socioeconomic factors, personal disputes, or opportunity drive crimes, not a calculation about consequences that hinges on who the prosecutor is. Thus, supporters argue that returning to harsher policies wouldn’t necessarily deter the kind of spontaneous or situational offenses driving the spikes.</w:t>
      </w:r>
    </w:p>
    <w:p w14:paraId="6760EA76" w14:textId="77777777" w:rsidR="00406E3B" w:rsidRDefault="00406E3B" w:rsidP="00406E3B">
      <w:pPr>
        <w:pStyle w:val="BodyText"/>
      </w:pPr>
      <w:r>
        <w:rPr>
          <w:b/>
          <w:bCs/>
        </w:rPr>
        <w:t>Democratic Mandate:</w:t>
      </w:r>
      <w:r>
        <w:t xml:space="preserve"> Far from subverting democracy, many of these reforms have considerable public support or have survived electoral scrutiny. Philadelphia’s Krasner, despite constant attacks, was reelected by a wide margin in 2021, indicating that a majority of the city’s voters approved of his approach even amidst the crime rise. In Chicago, Foxx also won reelection in 2020 after weathering the controversies, suggesting that local constituencies </w:t>
      </w:r>
      <w:r>
        <w:rPr>
          <w:i/>
          <w:iCs/>
        </w:rPr>
        <w:t>chose</w:t>
      </w:r>
      <w:r>
        <w:t xml:space="preserve"> to continue the reform path. Bail reform, when put to the test of direct democracy, has had mixed outcomes: New York’s law was not a ballot measure but legislatively enacted, and polls showed the concept of ending cash bail had public support in principle, though specific implementations drew concern. New Jersey’s abolition of cash bail was actually approved by voters in a 2014 referendum (as a constitutional amendment to enable the new system) with a sizable majority. And Prop 47 in California – funded by donors but ultimately decided by voters – passed with 59%. These examples show that philanthropic money often enabled reforms that were </w:t>
      </w:r>
      <w:r>
        <w:rPr>
          <w:i/>
          <w:iCs/>
        </w:rPr>
        <w:t>broadly popular</w:t>
      </w:r>
      <w:r>
        <w:t xml:space="preserve">, or at least acceptable, to the electorate when explained. Advocates bristle at the idea that Soros “bought” these elections, noting that voters still had the final say. They also point out that wealthy individuals have long spent money in politics – conservative tough-on-crime candidates and causes have benefitted from their own cadre of billionaire donors (for instance, the private prison industry and police unions funnel funds into campaigns opposing reform). In that sense, what Soros and others have done is a counterweight in a policy arena previously dominated by “tough” messaging. The </w:t>
      </w:r>
      <w:r>
        <w:rPr>
          <w:b/>
          <w:bCs/>
        </w:rPr>
        <w:t>bipartisan coalition</w:t>
      </w:r>
      <w:r>
        <w:t xml:space="preserve"> on some issues further legitimizes the reforms: it’s hard to paint something like bail reform as a fringe agenda when deep-red Texas counties and deep-blue New Jersey both moved in that direction, each with support from local stakeholders and national research.</w:t>
      </w:r>
    </w:p>
    <w:p w14:paraId="0C0F8C22" w14:textId="77777777" w:rsidR="00406E3B" w:rsidRDefault="00406E3B" w:rsidP="00406E3B">
      <w:pPr>
        <w:pStyle w:val="BodyText"/>
      </w:pPr>
      <w:r>
        <w:rPr>
          <w:b/>
          <w:bCs/>
        </w:rPr>
        <w:t>Quality of Life and Social Factors:</w:t>
      </w:r>
      <w:r>
        <w:t xml:space="preserve"> To the heartfelt concerns about public disorder, reformers respond that problems like shoplifting or drug use in streets are best addressed </w:t>
      </w:r>
      <w:r>
        <w:lastRenderedPageBreak/>
        <w:t xml:space="preserve">through </w:t>
      </w:r>
      <w:r>
        <w:rPr>
          <w:i/>
          <w:iCs/>
        </w:rPr>
        <w:t>targeted social interventions</w:t>
      </w:r>
      <w:r>
        <w:t>, not a return to mass incarceration. They argue that simply jailing people for petty theft or drug addiction has proven ineffective in the long term (and was part of the “over-criminalization” they seek to reverse). Instead, investments in mental health treatment, drug rehabilitation, and community-based anti-violence programs – many of which are also funded by philanthropy now – are proposed as the solutions that will pay off in safer communities. For example, in 2022 the Open Society Foundations and other donors began supporting “violence interruption” initiatives in several cities (hiring community members to mediate conflicts before they turn violent). Preliminary results in some places show promise in reducing shootings. District Attorney Krasner in Philadelphia credited increased social services and community engagement for helping bring homicides down in 2023–24</w:t>
      </w:r>
      <w:hyperlink r:id="rId534" w:anchor=":~:text=Philadelphia%20District%20Attorney%20Larry%20Krasner,and%20violent%20crime%20in%20general">
        <w:r>
          <w:rPr>
            <w:rStyle w:val="Hyperlink"/>
          </w:rPr>
          <w:t>[54]</w:t>
        </w:r>
      </w:hyperlink>
      <w:hyperlink r:id="rId535" w:anchor=":~:text=Krasner%20credited%20social%20service%20and,system%20and%20deter%20vigilante%20actions">
        <w:r>
          <w:rPr>
            <w:rStyle w:val="Hyperlink"/>
          </w:rPr>
          <w:t>[63]</w:t>
        </w:r>
      </w:hyperlink>
      <w:r>
        <w:t>, saying these investments build trust and prevent retaliatory violence. This aligns with the broader reform argument that justice is not just about making arrests and securing convictions; it’s about creating conditions that reduce the need for enforcement in the first place.</w:t>
      </w:r>
    </w:p>
    <w:p w14:paraId="4B7FB0F8" w14:textId="77777777" w:rsidR="00406E3B" w:rsidRDefault="00406E3B" w:rsidP="00406E3B">
      <w:pPr>
        <w:pStyle w:val="BodyText"/>
      </w:pPr>
      <w:r>
        <w:t xml:space="preserve">Finally, reform advocates emphasize </w:t>
      </w:r>
      <w:r>
        <w:rPr>
          <w:b/>
          <w:bCs/>
        </w:rPr>
        <w:t>racial equity</w:t>
      </w:r>
      <w:r>
        <w:t xml:space="preserve"> as a fundamental outcome. They argue that even if certain crimes rose modestly, the moral imperative of not jailing people simply for being poor (unable to pay bail) or not ruining young lives with felony records for minor offenses is worth the trade-off. Data from the Safety and Justice Challenge sites showed some improvements in racial disparities – e.g. jail bookings of people of color declined more than those of whites in a number of participating counties</w:t>
      </w:r>
      <w:hyperlink r:id="rId536" w:anchor=":~:text=The%20numbers%20show%20significant%20declines,of%20stay%20and%20felony%20bookings">
        <w:r>
          <w:rPr>
            <w:rStyle w:val="Hyperlink"/>
          </w:rPr>
          <w:t>[64]</w:t>
        </w:r>
      </w:hyperlink>
      <w:hyperlink r:id="rId537" w:anchor=":~:text=These%20and%20other%20burdens%20of,the%20rate%20of%20white%20Americans">
        <w:r>
          <w:rPr>
            <w:rStyle w:val="Hyperlink"/>
          </w:rPr>
          <w:t>[65]</w:t>
        </w:r>
      </w:hyperlink>
      <w:r>
        <w:t xml:space="preserve">. Although disparities persist, the reforms are moving the needle toward a fairer system. To communities historically over-policed and over-incarcerated, these changes are seen as </w:t>
      </w:r>
      <w:r>
        <w:rPr>
          <w:i/>
          <w:iCs/>
        </w:rPr>
        <w:t>justice</w:t>
      </w:r>
      <w:r>
        <w:t xml:space="preserve"> in the deeper sense. Philanthropists often frame their support in these terms: as a matter of civil rights and aligning the justice system with American values of equality. Chris Stone, then-president of Open Society Foundations, wrote in 2014 that “we are betting on common sense over fear, human decency over brutality” with the $50 million ACLU investment</w:t>
      </w:r>
      <w:hyperlink r:id="rId538" w:anchor=":~:text=The%20Open%20Society%20Foundations%20are,and%20they%E2%80%99re%20ready%20to%20work">
        <w:r>
          <w:rPr>
            <w:rStyle w:val="Hyperlink"/>
          </w:rPr>
          <w:t>[66]</w:t>
        </w:r>
      </w:hyperlink>
      <w:hyperlink r:id="rId539" w:anchor=":~:text=The%20Open%20Society%20Foundations%20are,every%20one%20of%20those%20states">
        <w:r>
          <w:rPr>
            <w:rStyle w:val="Hyperlink"/>
          </w:rPr>
          <w:t>[67]</w:t>
        </w:r>
      </w:hyperlink>
      <w:r>
        <w:t>. In other words, the rebuttal is that opponents are stoking fear and clinging to an approach that has proven costly and unjust, whereas the donor-backed reforms are grounded in evidence and humane values.</w:t>
      </w:r>
    </w:p>
    <w:p w14:paraId="7CB4F1E8" w14:textId="77777777" w:rsidR="00406E3B" w:rsidRDefault="00406E3B" w:rsidP="00406E3B">
      <w:pPr>
        <w:pStyle w:val="Heading2"/>
      </w:pPr>
      <w:bookmarkStart w:id="37" w:name="case-study-philadelphias-reform-journey"/>
      <w:bookmarkEnd w:id="36"/>
      <w:r>
        <w:t>Case Study: Philadelphia’s Reform Journey</w:t>
      </w:r>
    </w:p>
    <w:p w14:paraId="44B14CFD" w14:textId="77777777" w:rsidR="00406E3B" w:rsidRDefault="00406E3B" w:rsidP="00406E3B">
      <w:pPr>
        <w:pStyle w:val="FirstParagraph"/>
      </w:pPr>
      <w:r>
        <w:t>Philadelphia offers a microcosm of the national debate on justice reform. It’s a city that, in the mid-2010s, had one of the highest incarceration rates of any big city in the United States</w:t>
      </w:r>
      <w:hyperlink r:id="rId540" w:anchor=":~:text=The%20recent%20drop%20is%20among,number%20of%20people%20behind%20bars">
        <w:r>
          <w:rPr>
            <w:rStyle w:val="Hyperlink"/>
          </w:rPr>
          <w:t>[68]</w:t>
        </w:r>
      </w:hyperlink>
      <w:r>
        <w:t>. Beginning in 2015, a combination of local political will and outside support set Philadelphia on a different course. The MacArthur Foundation selected Philadelphia for its Safety and Justice Challenge and awarded the city a $3.5 million grant in 2016 to kickstart jail reduction strategies</w:t>
      </w:r>
      <w:hyperlink r:id="rId541" w:anchor=":~:text=a%20dip%20that%20was%20short,number%20of%20people%20behind%20bars">
        <w:r>
          <w:rPr>
            <w:rStyle w:val="Hyperlink"/>
          </w:rPr>
          <w:t>[69]</w:t>
        </w:r>
      </w:hyperlink>
      <w:hyperlink r:id="rId542" w:anchor=":~:text=PHILADELPHIA%20%E2%80%93%20The%20City%20of,population%2C%20and%20eliminate%20racial%20inequities">
        <w:r>
          <w:rPr>
            <w:rStyle w:val="Hyperlink"/>
          </w:rPr>
          <w:t>[70]</w:t>
        </w:r>
      </w:hyperlink>
      <w:r>
        <w:t>. At the time, Philadelphia’s jails held roughly 8,000 inmates, and the plan aimed to cut that by 34%</w:t>
      </w:r>
      <w:hyperlink r:id="rId543" w:anchor=":~:text=The%20recent%20drop%20is%20among,number%20of%20people%20behind%20bars">
        <w:r>
          <w:rPr>
            <w:rStyle w:val="Hyperlink"/>
          </w:rPr>
          <w:t>[68]</w:t>
        </w:r>
      </w:hyperlink>
      <w:r>
        <w:t>. Reforms implemented included a new risk assessment tool for judges, early bail review hearings to release low-level offenders held on low bail amounts, diversion programs for drug possession cases, and efforts to speed up court processing so people didn’t languish behind bars pretrial</w:t>
      </w:r>
      <w:hyperlink r:id="rId544" w:anchor=":~:text=Since%20the%20start%20of%20the,at%20tremendous%20expense%20to%20taxpayers">
        <w:r>
          <w:rPr>
            <w:rStyle w:val="Hyperlink"/>
          </w:rPr>
          <w:t>[19]</w:t>
        </w:r>
      </w:hyperlink>
      <w:hyperlink r:id="rId545" w:anchor=":~:text=,a%20criminal%20justice%20microgrant%20fund">
        <w:r>
          <w:rPr>
            <w:rStyle w:val="Hyperlink"/>
          </w:rPr>
          <w:t>[71]</w:t>
        </w:r>
      </w:hyperlink>
      <w:r>
        <w:t>. By 2017, these measures were yielding results – the jail population had indeed fallen to around 6,500 (about a 20% drop)</w:t>
      </w:r>
      <w:hyperlink r:id="rId546" w:anchor=":~:text=Philadelphia%20www.prisonpolicy.org%20%20,in%20Philadelphia%20jails%2C%2064">
        <w:r>
          <w:rPr>
            <w:rStyle w:val="Hyperlink"/>
          </w:rPr>
          <w:t>[72]</w:t>
        </w:r>
      </w:hyperlink>
      <w:r>
        <w:t xml:space="preserve">. That same year, an unprecedented district attorney’s race </w:t>
      </w:r>
      <w:r>
        <w:lastRenderedPageBreak/>
        <w:t>unfolded. Larry Krasner, a civil rights attorney with no prosecution experience, ran on an openly progressive platform: ending cash bail for most offenses, never seeking the death penalty, treating addiction as a health issue, and holding police accountable for misconduct. He was strongly supported by national donors seeking reform. An independent PAC financed largely by George Soros spent nearly $1.7 million on Krasner’s behalf in the Democratic primary – a huge sum for a DA race – dwarfing the spending of his rivals</w:t>
      </w:r>
      <w:hyperlink r:id="rId547" w:anchor=":~:text=populous%20municipalities,Washington%20Free%20Beacon%20%2C%206%2F08%2F2022">
        <w:r>
          <w:rPr>
            <w:rStyle w:val="Hyperlink"/>
          </w:rPr>
          <w:t>[3]</w:t>
        </w:r>
      </w:hyperlink>
      <w:hyperlink r:id="rId548" w:anchor=":~:text=%28D,Washington%20Free%20Beacon%20%2C%206%2F08%2F2022">
        <w:r>
          <w:rPr>
            <w:rStyle w:val="Hyperlink"/>
          </w:rPr>
          <w:t>[73]</w:t>
        </w:r>
      </w:hyperlink>
      <w:r>
        <w:t>. Krasner won, shocking the city’s establishment.</w:t>
      </w:r>
    </w:p>
    <w:p w14:paraId="60E35B8D" w14:textId="77777777" w:rsidR="00406E3B" w:rsidRDefault="00406E3B" w:rsidP="00406E3B">
      <w:pPr>
        <w:pStyle w:val="BodyText"/>
      </w:pPr>
      <w:r>
        <w:t xml:space="preserve">Upon taking office in January 2018, Krasner moved swiftly to implement his promised changes. He instructed assistant DAs to </w:t>
      </w:r>
      <w:r>
        <w:rPr>
          <w:b/>
          <w:bCs/>
        </w:rPr>
        <w:t>stop charging</w:t>
      </w:r>
      <w:r>
        <w:t xml:space="preserve"> certain low-level offenses altogether, such as marijuana possession or prostitution, and to divert or dismiss many cases of retail theft under $500</w:t>
      </w:r>
      <w:hyperlink r:id="rId549" w:anchor=":~:text=a%20dip%20that%20was%20short,number%20of%20people%20behind%20bars">
        <w:r>
          <w:rPr>
            <w:rStyle w:val="Hyperlink"/>
          </w:rPr>
          <w:t>[69]</w:t>
        </w:r>
      </w:hyperlink>
      <w:hyperlink r:id="rId550" w:anchor=":~:text=Krasner%E2%80%99s%20election%20two%20years%20later,and%20%2026%20for%20others">
        <w:r>
          <w:rPr>
            <w:rStyle w:val="Hyperlink"/>
          </w:rPr>
          <w:t>[74]</w:t>
        </w:r>
      </w:hyperlink>
      <w:r>
        <w:t xml:space="preserve">. He also issued a directive to </w:t>
      </w:r>
      <w:r>
        <w:rPr>
          <w:b/>
          <w:bCs/>
        </w:rPr>
        <w:t>end requests for cash bail</w:t>
      </w:r>
      <w:r>
        <w:t xml:space="preserve"> for a list of misdemeanors and non-violent felonies – effectively allowing people accused of those crimes to go free until trial without putting up money</w:t>
      </w:r>
      <w:hyperlink r:id="rId551" w:anchor=":~:text=a%20dip%20that%20was%20short,number%20of%20people%20behind%20bars">
        <w:r>
          <w:rPr>
            <w:rStyle w:val="Hyperlink"/>
          </w:rPr>
          <w:t>[69]</w:t>
        </w:r>
      </w:hyperlink>
      <w:hyperlink r:id="rId552" w:anchor=":~:text=Krasner%E2%80%99s%20election%20two%20years%20later,and%20%2026%20for%20others">
        <w:r>
          <w:rPr>
            <w:rStyle w:val="Hyperlink"/>
          </w:rPr>
          <w:t>[74]</w:t>
        </w:r>
      </w:hyperlink>
      <w:r>
        <w:t>. Additionally, Krasner’s office sought more lenient sentences in plea deals: line prosecutors were told to routinely ask judges for sentences below the normal guidelines, and to justify any sentence recommendation that involved incarceration by writing a memo about the cost of imprisonment and why it was necessary. These internal policies were a direct attempt to reduce the number of people behind bars and the length of time they spent there. Over the next couple of years, Philadelphia’s jail population kept falling. By early 2020, just before the pandemic, it was around 4,700 – a stunning ~40% drop from 2015</w:t>
      </w:r>
      <w:hyperlink r:id="rId553" w:anchor=":~:text=Since%20the%20start%20of%20the,at%20tremendous%20expense%20to%20taxpayers">
        <w:r>
          <w:rPr>
            <w:rStyle w:val="Hyperlink"/>
          </w:rPr>
          <w:t>[19]</w:t>
        </w:r>
      </w:hyperlink>
      <w:r>
        <w:t xml:space="preserve">. This enabled the city to </w:t>
      </w:r>
      <w:r>
        <w:rPr>
          <w:b/>
          <w:bCs/>
        </w:rPr>
        <w:t>close its antiquated House of Correction</w:t>
      </w:r>
      <w:r>
        <w:t xml:space="preserve"> jail in 2019</w:t>
      </w:r>
      <w:hyperlink r:id="rId554" w:anchor=":~:text=Since%20the%20start%20of%20the,at%20tremendous%20expense%20to%20taxpayers">
        <w:r>
          <w:rPr>
            <w:rStyle w:val="Hyperlink"/>
          </w:rPr>
          <w:t>[19]</w:t>
        </w:r>
      </w:hyperlink>
      <w:hyperlink r:id="rId555" w:anchor=":~:text=has%20gone%20down%20by%2043,at%20tremendous%20expense%20to%20taxpayers">
        <w:r>
          <w:rPr>
            <w:rStyle w:val="Hyperlink"/>
          </w:rPr>
          <w:t>[75]</w:t>
        </w:r>
      </w:hyperlink>
      <w:r>
        <w:t>. City officials credited the MacArthur-supported reforms and the DA’s policies for this achievement, noting it saved taxpayers millions and did not coincide with any major crime increase in those initial years</w:t>
      </w:r>
      <w:hyperlink r:id="rId556" w:anchor=":~:text=Since%20the%20start%20of%20the,at%20tremendous%20expense%20to%20taxpayers">
        <w:r>
          <w:rPr>
            <w:rStyle w:val="Hyperlink"/>
          </w:rPr>
          <w:t>[19]</w:t>
        </w:r>
      </w:hyperlink>
      <w:hyperlink r:id="rId557" w:anchor=":~:text=has%20gone%20down%20by%2043,at%20tremendous%20expense%20to%20taxpayers">
        <w:r>
          <w:rPr>
            <w:rStyle w:val="Hyperlink"/>
          </w:rPr>
          <w:t>[76]</w:t>
        </w:r>
      </w:hyperlink>
      <w:r>
        <w:t>. In fact, through 2019, Philadelphia’s overall crime rate and violent crime rate were on a downward trajectory (continuing a longer trend).</w:t>
      </w:r>
    </w:p>
    <w:p w14:paraId="0D3C21AB" w14:textId="77777777" w:rsidR="00406E3B" w:rsidRDefault="00406E3B" w:rsidP="00406E3B">
      <w:pPr>
        <w:pStyle w:val="BodyText"/>
      </w:pPr>
      <w:r>
        <w:t>However, the tumult of 2020 brought new challenges. The COVID-19 pandemic led authorities in Philadelphia – as in many places – to release additional inmates from jails to prevent outbreaks. The jail population temporarily plunged even further, to around 3,800 in mid-2020</w:t>
      </w:r>
      <w:hyperlink r:id="rId558" w:anchor=":~:text=Philly%E2%80%99s%20jail%20population%20has%20reached,lowest%20level%20in%20recent%20memory">
        <w:r>
          <w:rPr>
            <w:rStyle w:val="Hyperlink"/>
          </w:rPr>
          <w:t>[77]</w:t>
        </w:r>
      </w:hyperlink>
      <w:hyperlink r:id="rId559" w:anchor=":~:text=Philadelphia%E2%80%99s%20jail%20population%20has%20reached,over%20the%20last%20six%20months">
        <w:r>
          <w:rPr>
            <w:rStyle w:val="Hyperlink"/>
          </w:rPr>
          <w:t>[17]</w:t>
        </w:r>
      </w:hyperlink>
      <w:r>
        <w:t>. At the same time, gun violence in the city surged dramatically. Homicides jumped from 356 in 2019 to 499 in 2020, and then to an unprecedented 562 in 2021</w:t>
      </w:r>
      <w:hyperlink r:id="rId560" w:anchor=":~:text=The%20city%20recorded%20516%20homicides%2C,2022%27s%20homicides%20were%20committed">
        <w:r>
          <w:rPr>
            <w:rStyle w:val="Hyperlink"/>
          </w:rPr>
          <w:t>[78]</w:t>
        </w:r>
      </w:hyperlink>
      <w:hyperlink r:id="rId561" w:anchor=":~:text=Outcomes%20controller,increase%20in%20gun%20violence">
        <w:r>
          <w:rPr>
            <w:rStyle w:val="Hyperlink"/>
          </w:rPr>
          <w:t>[79]</w:t>
        </w:r>
      </w:hyperlink>
      <w:r>
        <w:t xml:space="preserve">. The convergence of these trends (low incarceration, high violence) became ammunition for Krasner’s critics. The police union and some state politicians charged that his “soft” policies were to blame for emboldening criminals. State lawmakers held hearings on the crime wave and pointed fingers at Philadelphia’s reforms. In late 2021, as Krasner campaigned for a second term, the issue was front and center. He defended his record by noting that </w:t>
      </w:r>
      <w:r>
        <w:rPr>
          <w:i/>
          <w:iCs/>
        </w:rPr>
        <w:t>all</w:t>
      </w:r>
      <w:r>
        <w:t xml:space="preserve"> major U.S. cities saw increases in violent crime during the pandemic, and that Philadelphia’s increase, while awful, was not unique. Indeed, cities without progressive prosecutors – like Houston, or Jacksonville – also hit record homicides in 2021. Krasner also highlighted that his office was prosecuting serious gun crimes at high rates, even as it de-emphasized minor offenses. Voters evidently found his argument credible, as he was re-elected in November 2021 by a wide margin. But the pressure did not let up. In 2022, Republican members of the Pennsylvania House (from outside </w:t>
      </w:r>
      <w:r>
        <w:lastRenderedPageBreak/>
        <w:t>Philadelphia) launched impeachment proceedings against Krasner, accusing him of misbehavior in office due to the crime rise. Though the GOP-led House did vote to impeach, the state Senate (also GOP-controlled) failed to convict, and an appellate court ultimately ruled the effort unconstitutional, keeping Krasner in office. This political drama underscored how Philadelphia had become a symbolic battleground: was it a progressive reform success story or a cautionary tale of “lawlessness”?</w:t>
      </w:r>
    </w:p>
    <w:p w14:paraId="56E450BF" w14:textId="77777777" w:rsidR="00406E3B" w:rsidRDefault="00406E3B" w:rsidP="00406E3B">
      <w:pPr>
        <w:pStyle w:val="BodyText"/>
      </w:pPr>
      <w:r>
        <w:t>By 2023, an unexpected twist occurred – Philadelphia’s violent crime began dropping significantly. The city invested in numerous community anti-violence programs (some funded by new grants and some by asset forfeiture funds from the DA’s office). Whether due to those programs, the fading of pandemic disruptions, or other factors, shootings and homicides fell steeply. At a year-end 2024 press conference, DA Krasner announced that homicides were down 37% since 2021</w:t>
      </w:r>
      <w:hyperlink r:id="rId562" w:anchor=":~:text=Community">
        <w:r>
          <w:rPr>
            <w:rStyle w:val="Hyperlink"/>
          </w:rPr>
          <w:t>[80]</w:t>
        </w:r>
      </w:hyperlink>
      <w:hyperlink r:id="rId563" w:anchor=":~:text=%E2%80%9CIf%20we%20look%20at%20the,%E2%80%9D">
        <w:r>
          <w:rPr>
            <w:rStyle w:val="Hyperlink"/>
          </w:rPr>
          <w:t>[20]</w:t>
        </w:r>
      </w:hyperlink>
      <w:r>
        <w:t>, and that the city was on track to possibly record one of its lowest murder totals in half a century. Police data showed around 262 homicides in 2024</w:t>
      </w:r>
      <w:hyperlink r:id="rId564" w:anchor=":~:text=Krasner%20explained%20the%20significant%20reduction">
        <w:r>
          <w:rPr>
            <w:rStyle w:val="Hyperlink"/>
          </w:rPr>
          <w:t>[81]</w:t>
        </w:r>
      </w:hyperlink>
      <w:r>
        <w:t xml:space="preserve"> – fewer than in 2015, and a dramatic improvement from the peak. Additionally, 2025 began with the city’s jail population at its lowest in modern history (under 3,700 inmates)</w:t>
      </w:r>
      <w:hyperlink r:id="rId565" w:anchor=":~:text=Philadelphia%E2%80%99s%20jail%20population%20has%20reached,over%20the%20last%20six%20months">
        <w:r>
          <w:rPr>
            <w:rStyle w:val="Hyperlink"/>
          </w:rPr>
          <w:t>[17]</w:t>
        </w:r>
      </w:hyperlink>
      <w:r>
        <w:t>. For the first time, Philadelphia was simultaneously experiencing historically low incarceration and much lower crime. Local officials credited the collaborative reform initiatives: a special Emergency Bail Review court that started in late 2024 was releasing dozens of low-risk detainees and was cited as helping reduce jail overcrowding without a crime spike</w:t>
      </w:r>
      <w:hyperlink r:id="rId566" w:anchor=":~:text=As%20a%20result%2C%20the%20city%E2%80%99s,lower%20the%20jails%E2%80%99%20head%20count">
        <w:r>
          <w:rPr>
            <w:rStyle w:val="Hyperlink"/>
          </w:rPr>
          <w:t>[82]</w:t>
        </w:r>
      </w:hyperlink>
      <w:hyperlink r:id="rId567" w:anchor=":~:text=One%20of%20them%2C%20overseen%20by,be%20released%20to%20await%20trial">
        <w:r>
          <w:rPr>
            <w:rStyle w:val="Hyperlink"/>
          </w:rPr>
          <w:t>[83]</w:t>
        </w:r>
      </w:hyperlink>
      <w:r>
        <w:t>. Judges, prosecutors, and defenders worked together on this effort, partly spurred by a federal lawsuit about jail conditions which essentially forced the system to seek population reductions</w:t>
      </w:r>
      <w:hyperlink r:id="rId568" w:anchor=":~:text=The%20reduction%20resulted%20in%20part,prisoners%20for%20staff%20to%20oversee">
        <w:r>
          <w:rPr>
            <w:rStyle w:val="Hyperlink"/>
          </w:rPr>
          <w:t>[84]</w:t>
        </w:r>
      </w:hyperlink>
      <w:hyperlink r:id="rId569" w:anchor=":~:text=As%20a%20result%2C%20the%20city%E2%80%99s,lower%20the%20jails%E2%80%99%20head%20count">
        <w:r>
          <w:rPr>
            <w:rStyle w:val="Hyperlink"/>
          </w:rPr>
          <w:t>[82]</w:t>
        </w:r>
      </w:hyperlink>
      <w:r>
        <w:t xml:space="preserve">. The </w:t>
      </w:r>
      <w:r>
        <w:rPr>
          <w:b/>
          <w:bCs/>
        </w:rPr>
        <w:t>Safety and Justice Challenge</w:t>
      </w:r>
      <w:r>
        <w:t xml:space="preserve"> grant program in Philadelphia also moved into a new phase by 2022, focusing on sustaining the jail cuts while addressing racial disparities that hadn’t improved as much</w:t>
      </w:r>
      <w:hyperlink r:id="rId570" w:anchor=":~:text=Philadelphia%20was%20first%20selected%20to,2022">
        <w:r>
          <w:rPr>
            <w:rStyle w:val="Hyperlink"/>
          </w:rPr>
          <w:t>[85]</w:t>
        </w:r>
      </w:hyperlink>
      <w:hyperlink r:id="rId571" w:anchor=":~:text=Since%20the%20start%20of%20the,at%20tremendous%20expense%20to%20taxpayers">
        <w:r>
          <w:rPr>
            <w:rStyle w:val="Hyperlink"/>
          </w:rPr>
          <w:t>[19]</w:t>
        </w:r>
      </w:hyperlink>
      <w:r>
        <w:t>. The city received a capstone $2.275 million MacArthur grant in 2021 to institutionalize these reforms and specifically target persistent racial inequity</w:t>
      </w:r>
      <w:hyperlink r:id="rId572" w:anchor=":~:text=PHILADELPHIA%20%E2%80%93%20The%20City%20of,population%2C%20and%20eliminate%20racial%20inequities">
        <w:r>
          <w:rPr>
            <w:rStyle w:val="Hyperlink"/>
          </w:rPr>
          <w:t>[70]</w:t>
        </w:r>
      </w:hyperlink>
      <w:hyperlink r:id="rId573" w:anchor=":~:text=This%20grant%20brings%20the%20Foundation%E2%80%99s,thinks%20about%20and%20uses%20jails">
        <w:r>
          <w:rPr>
            <w:rStyle w:val="Hyperlink"/>
          </w:rPr>
          <w:t>[7]</w:t>
        </w:r>
      </w:hyperlink>
      <w:r>
        <w:t>.</w:t>
      </w:r>
    </w:p>
    <w:p w14:paraId="0FFA8F00" w14:textId="77777777" w:rsidR="00406E3B" w:rsidRDefault="00406E3B" w:rsidP="00406E3B">
      <w:pPr>
        <w:pStyle w:val="BodyText"/>
      </w:pPr>
      <w:r>
        <w:t xml:space="preserve">From a broader perspective, Philadelphia’s journey illustrates both the promises and growing pains of donor-backed reform. The promise: thousands fewer people behind bars (especially pretrial), resources saved, and eventually the possibility that crime can be reduced through community investments rather than incarceration. The pain: a period of rising violence that fueled a ferocious backlash, attempts by opponents to roll back the reforms or remove reformers, and a deep public debate about what safety means. It is too early to declare victory for one side or the other in Philadelphia. The data of the last few years will continue to be analyzed. But Philadelphia shows how, over a span of about 8–10 years, a city can intentionally shift its justice system’s direction with the help of philanthropic funding and local political change. It went from building a new jail (considered in early 2010s) to closing a jail, from cash bail as standard practice to cash bail largely eliminated for minor cases, from lengthy probation tails to a new policy capping most probation terms at 3 years, and from a punitive approach to one centered on diversion and rehabilitation. Each of those changes was controversial, yet many became institutionalized. And importantly, Philadelphia’s story highlights that trends are not linear: crime can rise for reasons unrelated to reforms, and later fall, complicating any simplistic cause-and-effect narrative. For the skeptical reader, Philadelphia is a case study in </w:t>
      </w:r>
      <w:r>
        <w:rPr>
          <w:i/>
          <w:iCs/>
        </w:rPr>
        <w:t>nuance</w:t>
      </w:r>
      <w:r>
        <w:t xml:space="preserve"> </w:t>
      </w:r>
      <w:r>
        <w:lastRenderedPageBreak/>
        <w:t>– it neither confirms the worst fears of critics (the city did not descend into permanent chaos) nor entirely vindicates the most optimistic reformers (serious challenges emerged that had to be addressed). What it does demonstrate is that sustained reform, supported by data and investment, can fundamentally alter a local justice system’s metrics (incarceration, fairness) while the ultimate goal – enduring public safety – remains achievable, though requiring patience and adaptability.</w:t>
      </w:r>
    </w:p>
    <w:bookmarkEnd w:id="37"/>
    <w:p w14:paraId="1A4C9DC9" w14:textId="77777777" w:rsidR="00406E3B" w:rsidRDefault="00406E3B" w:rsidP="00406E3B">
      <w:pPr>
        <w:pStyle w:val="Heading2"/>
      </w:pPr>
      <w:r>
        <w:t>Conclusion</w:t>
      </w:r>
    </w:p>
    <w:p w14:paraId="084DF6FF" w14:textId="77777777" w:rsidR="00406E3B" w:rsidRDefault="00406E3B" w:rsidP="00406E3B">
      <w:pPr>
        <w:pStyle w:val="FirstParagraph"/>
      </w:pPr>
      <w:r>
        <w:t>The interplay of philanthropy and justice reform has undeniably altered the landscape of American criminal justice in the past decade. Wealthy donors and foundations, seeing an opportunity to reverse decades of mass incarceration, provided the catalyst and resources for reforms that might otherwise have stalled. These efforts have achieved concrete changes: tens of thousands fewer people in jail on any given day, new faces in prosecutor’s offices implementing alternative policies, and laws rewritten to reduce penalties for low-level offenses. In city after city, the influence of this support is evident – whether in a diversion program funded by a MacArthur grant, a bail fund spurred by foundation seed money, or a reform-minded DA buoyed by outside campaign contributions. The most controversial aspects have centered, understandably, on public safety. This chapter’s investigation finds that many fears raised by critics are not borne out by comprehensive data, yet the concerns cannot be dismissed as mere propaganda either. Public safety is as much about perception and trust as about statistics. If communities do not feel safe or feel the system is just, any reform movement will face headwinds.</w:t>
      </w:r>
    </w:p>
    <w:p w14:paraId="32095959" w14:textId="77777777" w:rsidR="00406E3B" w:rsidRDefault="00406E3B" w:rsidP="00406E3B">
      <w:pPr>
        <w:pStyle w:val="BodyText"/>
      </w:pPr>
      <w:r>
        <w:t xml:space="preserve">What is clear is that the conversation around prosecutors, bail, and sentencing has shifted from </w:t>
      </w:r>
      <w:r>
        <w:rPr>
          <w:i/>
          <w:iCs/>
        </w:rPr>
        <w:t>whether</w:t>
      </w:r>
      <w:r>
        <w:t xml:space="preserve"> to reform to </w:t>
      </w:r>
      <w:r>
        <w:rPr>
          <w:i/>
          <w:iCs/>
        </w:rPr>
        <w:t>how</w:t>
      </w:r>
      <w:r>
        <w:t xml:space="preserve"> to reform in a sustainable way. There is now widespread agreement across the political spectrum – thanks in part to persuasive advocacy funded by philanthropy – that the old status quo of “tough-on-crime” mass incarceration had many failures: it was costly, often discriminatory, and did not solve root causes of crime. The disagreements are about pace and emphasis. How far can we cut incarceration without jeopardizing safety? Which offenses can be safely diverted or downgraded? How do we handle repeat offenders who might take advantage of leniency? These are policy questions that jurisdictions will continue to experiment with, sometimes with external funding to support the experimentation. Going forward, one might expect philanthropies to adjust strategies in response to the lessons learned. For example, if some places struggled because reform measures were implemented without enough community buy-in, funders might invest more in public education and consensus-building on the ground. The next phase may also involve </w:t>
      </w:r>
      <w:r>
        <w:rPr>
          <w:b/>
          <w:bCs/>
        </w:rPr>
        <w:t>data transparency</w:t>
      </w:r>
      <w:r>
        <w:t xml:space="preserve"> – ensuring that outcomes (good or bad) are measured and made public to maintain trust. In some SJC cities, for instance, officials now publish regular dashboards of jail and crime metrics to track progress and flag problems.</w:t>
      </w:r>
    </w:p>
    <w:p w14:paraId="2BB57477" w14:textId="77777777" w:rsidR="00406E3B" w:rsidRDefault="00406E3B" w:rsidP="00406E3B">
      <w:pPr>
        <w:pStyle w:val="BodyText"/>
      </w:pPr>
      <w:r>
        <w:t xml:space="preserve">The support for law and justice reform has, at times, aimed to engineer outcomes – but those outcomes (lower incarceration, equal justice, safer communities) are ones that many citizens desire. The controversy lies in the methods and the perception of outsider influence. Strikingly, even as certain donors like Soros became political lightning rods, the </w:t>
      </w:r>
      <w:r>
        <w:lastRenderedPageBreak/>
        <w:t>underlying reforms (like ending cash bail for nonviolent offenses) remain popular in opinion polls when divorced from partisan labels. This suggests the core ideas have taken root beyond just elite circles. We may eventually see a diffusion of these practices even in jurisdictions that initially resisted – already, for instance, Illinois passed a law in 2021 to eliminate cash bail statewide (the first state to do so legislatively), inspired by outcomes in New Jersey and elsewhere. That law was upheld in 2023 and took effect, indicating that what starts as a philanthropic pilot can transform into standard policy.</w:t>
      </w:r>
    </w:p>
    <w:p w14:paraId="6B41B77E" w14:textId="77777777" w:rsidR="00406E3B" w:rsidRDefault="00406E3B" w:rsidP="00406E3B">
      <w:pPr>
        <w:pStyle w:val="BodyText"/>
      </w:pPr>
      <w:r>
        <w:t>In conclusion, the law and justice reforms examined here represent a significant social experiment in progress, backed by substantial private funding and public pressure. The early results show real improvements in fairness and efficiency, with cautionary notes on managing unintended consequences. Rather than a simple success-or-failure verdict, the evidence invites a thoughtful continuation: refine the reforms, address legitimate safety concerns with complementary measures (not abandonment of reform), and continue to hold reforms accountable to the data. The “engineers” of justice reform – whether donor, activist, or official – must remain responsive to the communities they serve. If that balance can be maintained, the movement toward a more just legal system may well prove durable, fulfilling the hope that justice can be both compassionate and effective.</w:t>
      </w:r>
    </w:p>
    <w:p w14:paraId="6CBA50B7" w14:textId="53295ACD" w:rsidR="00406E3B" w:rsidRDefault="00000000" w:rsidP="00406E3B">
      <w:r>
        <w:pict w14:anchorId="1E73FAE0">
          <v:rect id="_x0000_i1031" style="width:0;height:1.5pt" o:hralign="center" o:hrstd="t" o:hr="t"/>
        </w:pict>
      </w:r>
    </w:p>
    <w:p w14:paraId="1384DF58" w14:textId="77777777" w:rsidR="00406E3B" w:rsidRDefault="00406E3B" w:rsidP="00406E3B"/>
    <w:p w14:paraId="17336057" w14:textId="77777777" w:rsidR="00406E3B" w:rsidRDefault="00406E3B" w:rsidP="00406E3B"/>
    <w:p w14:paraId="0C9C6A0F" w14:textId="77777777" w:rsidR="00406E3B" w:rsidRDefault="00406E3B" w:rsidP="00406E3B"/>
    <w:p w14:paraId="25864614" w14:textId="77777777" w:rsidR="00406E3B" w:rsidRDefault="00406E3B" w:rsidP="00406E3B"/>
    <w:p w14:paraId="175DFF72" w14:textId="77777777" w:rsidR="00406E3B" w:rsidRDefault="00406E3B" w:rsidP="00406E3B"/>
    <w:p w14:paraId="637290F3" w14:textId="77777777" w:rsidR="00406E3B" w:rsidRDefault="00406E3B" w:rsidP="00406E3B"/>
    <w:p w14:paraId="690989C3" w14:textId="77777777" w:rsidR="00406E3B" w:rsidRDefault="00406E3B" w:rsidP="00406E3B"/>
    <w:p w14:paraId="7438434D" w14:textId="77777777" w:rsidR="00406E3B" w:rsidRDefault="00406E3B" w:rsidP="00406E3B"/>
    <w:p w14:paraId="59CA9EF5" w14:textId="77777777" w:rsidR="00406E3B" w:rsidRDefault="00406E3B" w:rsidP="00406E3B"/>
    <w:p w14:paraId="545DFF32" w14:textId="77777777" w:rsidR="00406E3B" w:rsidRDefault="00406E3B" w:rsidP="00406E3B"/>
    <w:p w14:paraId="5A88876C" w14:textId="77777777" w:rsidR="00406E3B" w:rsidRDefault="00406E3B" w:rsidP="00406E3B"/>
    <w:p w14:paraId="5F97FA03" w14:textId="77777777" w:rsidR="00406E3B" w:rsidRDefault="00406E3B" w:rsidP="00406E3B"/>
    <w:p w14:paraId="2FAB4836" w14:textId="77777777" w:rsidR="00406E3B" w:rsidRDefault="00406E3B" w:rsidP="00406E3B"/>
    <w:p w14:paraId="0711DFF0" w14:textId="77777777" w:rsidR="00406E3B" w:rsidRDefault="00406E3B" w:rsidP="00406E3B">
      <w:pPr>
        <w:pStyle w:val="Heading1"/>
      </w:pPr>
      <w:r>
        <w:lastRenderedPageBreak/>
        <w:t>Chapter 7: Elections and Civic Participation</w:t>
      </w:r>
    </w:p>
    <w:p w14:paraId="53C8B00F" w14:textId="77777777" w:rsidR="00406E3B" w:rsidRDefault="00406E3B" w:rsidP="00406E3B">
      <w:pPr>
        <w:pStyle w:val="Heading2"/>
      </w:pPr>
      <w:bookmarkStart w:id="38" w:name="opening-the-ballot-box"/>
      <w:r>
        <w:t>Opening the Ballot Box</w:t>
      </w:r>
    </w:p>
    <w:p w14:paraId="5517204A" w14:textId="77777777" w:rsidR="00406E3B" w:rsidRDefault="00406E3B" w:rsidP="00406E3B">
      <w:pPr>
        <w:pStyle w:val="FirstParagraph"/>
      </w:pPr>
      <w:r>
        <w:t xml:space="preserve">Open Society Foundations (OSF) has long treated free elections as a cornerstone of open society. But supporting civic participation is a delicate business in a polarized age. In the United States and abroad, OSF pours resources into </w:t>
      </w:r>
      <w:r>
        <w:rPr>
          <w:b/>
          <w:bCs/>
        </w:rPr>
        <w:t>voter engagement</w:t>
      </w:r>
      <w:r>
        <w:t xml:space="preserve">, </w:t>
      </w:r>
      <w:r>
        <w:rPr>
          <w:b/>
          <w:bCs/>
        </w:rPr>
        <w:t>election protection</w:t>
      </w:r>
      <w:r>
        <w:t xml:space="preserve">, and </w:t>
      </w:r>
      <w:r>
        <w:rPr>
          <w:b/>
          <w:bCs/>
        </w:rPr>
        <w:t>civic technology</w:t>
      </w:r>
      <w:r>
        <w:t xml:space="preserve"> initiatives – all under a banner of nonpartisanship. Skeptics, however, question whether these ostensibly neutral programs tilt the playing field. This chapter investigates OSF’s efforts to boost voter participation, the legal tightrope nonprofits walk to stay nonpartisan, and the debate over the true impact of these interventions. We will focus on the U.S. landscape, where battles over voting rights and turnout are fierce, while also noting OSF’s parallel work across the globe.</w:t>
      </w:r>
    </w:p>
    <w:p w14:paraId="733EA5D9" w14:textId="77777777" w:rsidR="00406E3B" w:rsidRDefault="00406E3B" w:rsidP="00406E3B">
      <w:pPr>
        <w:pStyle w:val="BodyText"/>
      </w:pPr>
      <w:r>
        <w:t xml:space="preserve">From funding registration drives in disenfranchised communities to backing election-day hotlines, OSF says it </w:t>
      </w:r>
      <w:r>
        <w:rPr>
          <w:b/>
          <w:bCs/>
        </w:rPr>
        <w:t>“supports the process, not any party or candidate.”</w:t>
      </w:r>
      <w:r>
        <w:t xml:space="preserve"> That principle is put to the test in every election cycle. As one of the world’s largest philanthropies, OSF must comply with strict laws that prohibit charitable organizations from electioneering. It has structured its operations accordingly: its main U.S. arm is a tax-exempt foundation restricted to nonpartisan activities, while a separate affiliate handles policy advocacy. Still, critics point out that many OSF-backed projects mobilize demographics that lean one way politically – raising the </w:t>
      </w:r>
      <w:r>
        <w:rPr>
          <w:i/>
          <w:iCs/>
        </w:rPr>
        <w:t>allegation</w:t>
      </w:r>
      <w:r>
        <w:t xml:space="preserve"> that “nonpartisan” can be a fig leaf. Before turning to that controversy, we survey what OSF actually does on the ground to expand democratic participation.</w:t>
      </w:r>
    </w:p>
    <w:p w14:paraId="456D7669" w14:textId="77777777" w:rsidR="00406E3B" w:rsidRDefault="00406E3B" w:rsidP="00406E3B">
      <w:pPr>
        <w:pStyle w:val="Heading2"/>
      </w:pPr>
      <w:bookmarkStart w:id="39" w:name="X045e8fd25d4ac56436c2f175fb0a852eba9579a"/>
      <w:bookmarkEnd w:id="38"/>
      <w:r>
        <w:t>Rallying Voters: Registration and Turnout Drives</w:t>
      </w:r>
    </w:p>
    <w:p w14:paraId="1364684C" w14:textId="77777777" w:rsidR="00406E3B" w:rsidRDefault="00406E3B" w:rsidP="00406E3B">
      <w:pPr>
        <w:pStyle w:val="FirstParagraph"/>
      </w:pPr>
      <w:r>
        <w:t xml:space="preserve">One major arena of OSF’s civic work is </w:t>
      </w:r>
      <w:r>
        <w:rPr>
          <w:b/>
          <w:bCs/>
        </w:rPr>
        <w:t>voter registration and turnout</w:t>
      </w:r>
      <w:r>
        <w:t xml:space="preserve"> – the nuts and bolts of getting eligible citizens onto the rolls and to the polls. Much of this work is aimed at Americans historically underrepresented in voting. For example, OSF-U.S. has funneled substantial grants into organizations led by Black and Latino communities to close participation gaps. In 2020, OSF announced a massive four-year initiative, committing </w:t>
      </w:r>
      <w:r>
        <w:rPr>
          <w:b/>
          <w:bCs/>
        </w:rPr>
        <w:t>$220 million to Black-led groups</w:t>
      </w:r>
      <w:r>
        <w:t xml:space="preserve"> and </w:t>
      </w:r>
      <w:r>
        <w:rPr>
          <w:b/>
          <w:bCs/>
        </w:rPr>
        <w:t>$100 million to Latino organizations</w:t>
      </w:r>
      <w:r>
        <w:t xml:space="preserve"> to strengthen civic engagement and voter outreach in those communities</w:t>
      </w:r>
      <w:hyperlink r:id="rId574" w:anchor=":~:text=Nonpartisan%20Civil%20Engagement%3A%20Open%20Society%E2%80%93United,few%20years%2C%20this%20has%20included">
        <w:r>
          <w:rPr>
            <w:rStyle w:val="Hyperlink"/>
          </w:rPr>
          <w:t>[1]</w:t>
        </w:r>
      </w:hyperlink>
      <w:r>
        <w:t>. Additional funds have focused on Indigenous, Asian American, and other marginalized populations, totaling over $50 million for nonpartisan engagement efforts among these groups</w:t>
      </w:r>
      <w:hyperlink r:id="rId575" w:anchor=":~:text=leaders%20armure,democracy%20in%20the%20United%20States">
        <w:r>
          <w:rPr>
            <w:rStyle w:val="Hyperlink"/>
          </w:rPr>
          <w:t>[2]</w:t>
        </w:r>
      </w:hyperlink>
      <w:r>
        <w:t xml:space="preserve">. The philosophy is that a truly pluralistic democracy requires lifting the voices of those often excluded from power. By supporting grassroots groups – from the </w:t>
      </w:r>
      <w:r>
        <w:rPr>
          <w:b/>
          <w:bCs/>
        </w:rPr>
        <w:t>Black Voters Matter Fund</w:t>
      </w:r>
      <w:r>
        <w:t xml:space="preserve"> to local community centers – OSF aims to register new voters, knock on doors, and increase turnout in communities of color and low-income neighborhoods{S:OSF2020}. These initiatives often coincide with National Voter Registration Day drives and get-out-the-vote campaigns ahead of major elections.</w:t>
      </w:r>
    </w:p>
    <w:p w14:paraId="0E01F066" w14:textId="77777777" w:rsidR="00406E3B" w:rsidRDefault="00406E3B" w:rsidP="00406E3B">
      <w:pPr>
        <w:pStyle w:val="BodyText"/>
      </w:pPr>
      <w:r>
        <w:t xml:space="preserve">OSF’s emphasis on these demographics stems from documented disparities in participation. Younger voters, people of color, and low-income citizens historically vote at </w:t>
      </w:r>
      <w:r>
        <w:lastRenderedPageBreak/>
        <w:t>lower rates than older, white, affluent voters. Nonprofit organizations can help close this gap. A study by the national group Nonprofit VOTE found that clients engaged by nonprofits had turnout rates several percentage points higher than similar citizens who weren’t reached{S:NonprofitVote2017}. For instance, young Black Americans contacted through community nonprofits voted about 5 points higher than their peers</w:t>
      </w:r>
      <w:hyperlink r:id="rId576" w:anchor=":~:text=%EF%81%AE%20Turnout%20was%20higher%20among,percentage%20points%20higher%20than%20comparable">
        <w:r>
          <w:rPr>
            <w:rStyle w:val="Hyperlink"/>
          </w:rPr>
          <w:t>[3]</w:t>
        </w:r>
      </w:hyperlink>
      <w:r>
        <w:t>. The same study showed Latino voters engaged by nonprofits saw the largest turnout gains of any racial group</w:t>
      </w:r>
      <w:hyperlink r:id="rId577" w:anchor=":~:text=%EF%81%AE%20Turnout%20was%20higher%20among,percentage%20points%20higher%20than%20comparable">
        <w:r>
          <w:rPr>
            <w:rStyle w:val="Hyperlink"/>
          </w:rPr>
          <w:t>[4]</w:t>
        </w:r>
      </w:hyperlink>
      <w:r>
        <w:t>. These findings bolster OSF’s approach of investing in civic engagement at the community level. By funding local partners embedded in communities – churches, service providers, advocacy groups – OSF helps leverage trusted messengers to register voters and encourage them to participate. Many of these partners conduct year-round civic education, not just last-minute election pushes, integrating voting into broader community empowerment efforts.</w:t>
      </w:r>
    </w:p>
    <w:p w14:paraId="7B7022C9" w14:textId="77777777" w:rsidR="00406E3B" w:rsidRDefault="00406E3B" w:rsidP="00406E3B">
      <w:pPr>
        <w:pStyle w:val="BodyText"/>
      </w:pPr>
      <w:r>
        <w:rPr>
          <w:b/>
          <w:bCs/>
        </w:rPr>
        <w:t>Targeting vs. “Targeting.”</w:t>
      </w:r>
      <w:r>
        <w:t xml:space="preserve"> It is important to note that legally, any voter registration drive conducted by a 501(c)(3) charity must be strictly </w:t>
      </w:r>
      <w:r>
        <w:rPr>
          <w:b/>
          <w:bCs/>
        </w:rPr>
        <w:t>nonpartisan</w:t>
      </w:r>
      <w:r>
        <w:t xml:space="preserve"> – it cannot be aimed at registering only supporters of one party. OSF’s grantees therefore publicly stress inclusive outreach: for example, a drive might focus on a geographic area or demographic with low registration rates, but not on people based on how they might vote. In practice, the neighborhoods and groups prioritized (youth, minorities, immigrants, etc.) do often lean Democratic in their voting patterns. This reality fuels some criticism (explored later) that “nonpartisan” drives can have a de facto partisan effect. OSF and its partners respond that the intent is to remedy underrepresentation, not to favor a party. They point to patterns of voter suppression and disenfranchisement that have historically harmed those communities – making nonpartisan support for these voters a matter of civil rights, not electioneering. An OSF fact sheet emphasizes that bringing </w:t>
      </w:r>
      <w:r>
        <w:rPr>
          <w:i/>
          <w:iCs/>
        </w:rPr>
        <w:t>more people</w:t>
      </w:r>
      <w:r>
        <w:t xml:space="preserve"> into the political process – especially those “often discriminated against and excluded from the corridors of power” – is central to building a healthy multiracial democracy</w:t>
      </w:r>
      <w:hyperlink r:id="rId578" w:anchor=":~:text=Nonpartisan%20Civil%20Engagement%3A%20Open%20Society%E2%80%93United,few%20years%2C%20this%20has%20included">
        <w:r>
          <w:rPr>
            <w:rStyle w:val="Hyperlink"/>
          </w:rPr>
          <w:t>[1]</w:t>
        </w:r>
      </w:hyperlink>
      <w:r>
        <w:t>.</w:t>
      </w:r>
    </w:p>
    <w:p w14:paraId="17F37FE5" w14:textId="77777777" w:rsidR="00406E3B" w:rsidRDefault="00406E3B" w:rsidP="00406E3B">
      <w:pPr>
        <w:pStyle w:val="BodyText"/>
      </w:pPr>
      <w:r>
        <w:t xml:space="preserve">One example of OSF-backed voter engagement is its support for the </w:t>
      </w:r>
      <w:r>
        <w:rPr>
          <w:b/>
          <w:bCs/>
        </w:rPr>
        <w:t>Black Voters Matter Fund</w:t>
      </w:r>
      <w:r>
        <w:t>, which operates across southern states to register and mobilize Black voters</w:t>
      </w:r>
      <w:hyperlink r:id="rId579" w:anchor=":~:text=In%20the%20United%20States%2C%20Open,just%20in%20their%20home%20country">
        <w:r>
          <w:rPr>
            <w:rStyle w:val="Hyperlink"/>
          </w:rPr>
          <w:t>[5]</w:t>
        </w:r>
      </w:hyperlink>
      <w:r>
        <w:t xml:space="preserve">. Black Voters Matter uses strategies like the “Blackest Bus in America” tours that provide voter education and excitement in rural counties. Similarly, OSF has funded groups working with Latino communities, such as the </w:t>
      </w:r>
      <w:r>
        <w:rPr>
          <w:b/>
          <w:bCs/>
        </w:rPr>
        <w:t>NALEO Educational Fund</w:t>
      </w:r>
      <w:r>
        <w:t xml:space="preserve"> (a nonpartisan civic organization for Latino elected officials and community engagement). In 2020, OSF grants to NALEO included dedicated support for “non-partisan civic engagement” initiatives to ensure Latino voters were informed and activated{S:NALEO}. Asian American and Indigenous civic groups have also received OSF grants aimed at boosting electoral participation where language barriers, lack of outreach, or distrust of the system have kept turnout low</w:t>
      </w:r>
      <w:hyperlink r:id="rId580" w:anchor=":~:text=leaders%20armure,democracy%20in%20the%20United%20States">
        <w:r>
          <w:rPr>
            <w:rStyle w:val="Hyperlink"/>
          </w:rPr>
          <w:t>[2]</w:t>
        </w:r>
      </w:hyperlink>
      <w:r>
        <w:t>.</w:t>
      </w:r>
    </w:p>
    <w:p w14:paraId="737E25DE" w14:textId="77777777" w:rsidR="00406E3B" w:rsidRDefault="00406E3B" w:rsidP="00406E3B">
      <w:pPr>
        <w:pStyle w:val="BodyText"/>
      </w:pPr>
      <w:r>
        <w:t xml:space="preserve">OSF’s investments are not limited to registration drives. They also include efforts to inspire </w:t>
      </w:r>
      <w:r>
        <w:rPr>
          <w:b/>
          <w:bCs/>
        </w:rPr>
        <w:t>first-time voters</w:t>
      </w:r>
      <w:r>
        <w:t xml:space="preserve"> and historically apathetic voters. After the 2016 U.S. election, for instance, there was a surge in youth activism and women’s marches, which translated into higher turnout in 2018 and 2020. To sustain that momentum, OSF’s current chair, </w:t>
      </w:r>
      <w:r>
        <w:rPr>
          <w:b/>
          <w:bCs/>
        </w:rPr>
        <w:t>Alex Soros</w:t>
      </w:r>
      <w:r>
        <w:t xml:space="preserve">, announced in late 2023 a new $50 million initiative to support young voters and </w:t>
      </w:r>
      <w:r>
        <w:lastRenderedPageBreak/>
        <w:t>women voters – two constituencies seen as “linchpins of democracy” going into 2024{S:OSF2023WomenYouth}. This program provides multi-year funding to dozens of local organizations focused on engaging women and youth, in hopes that their recent wave of civic action (from protests to student-led voter drives) does not recede</w:t>
      </w:r>
      <w:hyperlink r:id="rId581" w:anchor=":~:text=The%20handwringing%20is%20well%20underway,when%20Election%202024%20comes%20around">
        <w:r>
          <w:rPr>
            <w:rStyle w:val="Hyperlink"/>
          </w:rPr>
          <w:t>[6]</w:t>
        </w:r>
      </w:hyperlink>
      <w:hyperlink r:id="rId582" w:anchor=":~:text=The%20Open%20Society%20Foundations%2C%20the,funded%20communities">
        <w:r>
          <w:rPr>
            <w:rStyle w:val="Hyperlink"/>
          </w:rPr>
          <w:t>[7]</w:t>
        </w:r>
      </w:hyperlink>
      <w:r>
        <w:t xml:space="preserve">. The grant recipients include youth-led networks on college campuses, women’s advocacy groups educating voters on reproductive rights after the overturn of </w:t>
      </w:r>
      <w:r>
        <w:rPr>
          <w:i/>
          <w:iCs/>
        </w:rPr>
        <w:t>Roe v. Wade</w:t>
      </w:r>
      <w:r>
        <w:t xml:space="preserve">, and other nonpartisan coalitions. The message from OSF leadership is that the </w:t>
      </w:r>
      <w:r>
        <w:rPr>
          <w:i/>
          <w:iCs/>
        </w:rPr>
        <w:t>increased</w:t>
      </w:r>
      <w:r>
        <w:t xml:space="preserve"> political engagement of these groups is essential to push back against authoritarian tendencies and protect democratic institutions</w:t>
      </w:r>
      <w:hyperlink r:id="rId583" w:anchor=":~:text=voters%20off%20in%20droves%2C%20some,when%20Election%202024%20comes%20around">
        <w:r>
          <w:rPr>
            <w:rStyle w:val="Hyperlink"/>
          </w:rPr>
          <w:t>[8]</w:t>
        </w:r>
      </w:hyperlink>
      <w:hyperlink r:id="rId584" w:anchor=":~:text=These%20results%20may%20be%20an,authoritarianism%20massing%20at%20our%20door">
        <w:r>
          <w:rPr>
            <w:rStyle w:val="Hyperlink"/>
          </w:rPr>
          <w:t>[9]</w:t>
        </w:r>
      </w:hyperlink>
      <w:r>
        <w:t>. While OSF frames this in terms of defending pluralism and rights, it again underscores how its civic participation work often intersects with hot-button issues (abortion, for example) that divide along party lines. Nonetheless, the funded programs themselves are careful to encourage voting without endorsing candidates – a line they must not cross.</w:t>
      </w:r>
    </w:p>
    <w:p w14:paraId="497F9FE6" w14:textId="77777777" w:rsidR="00406E3B" w:rsidRDefault="00406E3B" w:rsidP="00406E3B">
      <w:pPr>
        <w:pStyle w:val="Heading2"/>
      </w:pPr>
      <w:bookmarkStart w:id="40" w:name="Xa33c2f6dcacd494f07350d68af9d8a3ec2b170b"/>
      <w:bookmarkEnd w:id="39"/>
      <w:r>
        <w:t>Guarding the Vote: Election Protection and Rights</w:t>
      </w:r>
    </w:p>
    <w:p w14:paraId="402603E9" w14:textId="77777777" w:rsidR="00406E3B" w:rsidRDefault="00406E3B" w:rsidP="00406E3B">
      <w:pPr>
        <w:pStyle w:val="FirstParagraph"/>
      </w:pPr>
      <w:r>
        <w:t xml:space="preserve">Beyond registering voters, OSF puts significant resources into </w:t>
      </w:r>
      <w:r>
        <w:rPr>
          <w:b/>
          <w:bCs/>
        </w:rPr>
        <w:t>protecting the integrity of elections and voters’ access to the ballot</w:t>
      </w:r>
      <w:r>
        <w:t>. This has taken many forms: legal advocacy against voter suppression, support for election observer networks, and even emergency responses during election crises. A consistent focus is ensuring that once registered, voters can actually cast their votes freely and have them counted accurately.</w:t>
      </w:r>
    </w:p>
    <w:p w14:paraId="0D70D4D1" w14:textId="77777777" w:rsidR="00406E3B" w:rsidRDefault="00406E3B" w:rsidP="00406E3B">
      <w:pPr>
        <w:pStyle w:val="BodyText"/>
      </w:pPr>
      <w:r>
        <w:t xml:space="preserve">One flagship effort in the U.S. is OSF’s backing of the nonpartisan </w:t>
      </w:r>
      <w:r>
        <w:rPr>
          <w:b/>
          <w:bCs/>
        </w:rPr>
        <w:t>Election Protection</w:t>
      </w:r>
      <w:r>
        <w:t xml:space="preserve"> coalition. Election Protection runs the well-known </w:t>
      </w:r>
      <w:r>
        <w:rPr>
          <w:b/>
          <w:bCs/>
        </w:rPr>
        <w:t>866-OUR-VOTE hotline</w:t>
      </w:r>
      <w:r>
        <w:t xml:space="preserve">, a national voter assistance line that fielded tens of thousands of calls in recent general elections. Led by the Lawyers’ Committee for Civil Rights Under Law, the coalition deploys volunteer lawyers and trained poll monitors to troubleshoot problems – from voter intimidation incidents to polling place breakdowns. OSF has been listed among the donors supporting the Lawyers’ Committee and its Election Protection program{S:InfluenceWatch-LCCRUL}. This funding helps pay for the year-round voter education and the surge of legal volunteers on Election Day who staff call centers and respond to reports of irregularities. By contributing to this infrastructure, OSF bolsters what is essentially a civilian oversight network for elections. The coalition’s mission aligns with OSF’s values: it is explicitly nonpartisan and focused on ensuring </w:t>
      </w:r>
      <w:r>
        <w:rPr>
          <w:i/>
          <w:iCs/>
        </w:rPr>
        <w:t>every</w:t>
      </w:r>
      <w:r>
        <w:t xml:space="preserve"> eligible voter, regardless of party, can exercise their rights. In practice, many of the calls and cases involve minority and low-income precincts that historically face higher rates of problems (like faulty machines or unlawful challenges to voter eligibility). OSF’s support enables groups to provide </w:t>
      </w:r>
      <w:r>
        <w:rPr>
          <w:b/>
          <w:bCs/>
        </w:rPr>
        <w:t>rapid legal response</w:t>
      </w:r>
      <w:r>
        <w:t xml:space="preserve"> – for example, seeking court orders to extend polling hours after storm delays, or intervening if poll watchers harass voters. This kind of “election protection” work grew in prominence after contentious elections in the 2000s and has only become more vital amid recent fights over election laws.</w:t>
      </w:r>
    </w:p>
    <w:p w14:paraId="3CA1213B" w14:textId="77777777" w:rsidR="00406E3B" w:rsidRDefault="00406E3B" w:rsidP="00406E3B">
      <w:pPr>
        <w:pStyle w:val="BodyText"/>
      </w:pPr>
      <w:r>
        <w:t xml:space="preserve">OSF has also funded litigation and advocacy to push back against </w:t>
      </w:r>
      <w:r>
        <w:rPr>
          <w:b/>
          <w:bCs/>
        </w:rPr>
        <w:t>voter suppression</w:t>
      </w:r>
      <w:r>
        <w:t xml:space="preserve"> measures. After the U.S. Supreme Court’s 2013 </w:t>
      </w:r>
      <w:r>
        <w:rPr>
          <w:i/>
          <w:iCs/>
        </w:rPr>
        <w:t>Shelby County v. Holder</w:t>
      </w:r>
      <w:r>
        <w:t xml:space="preserve"> decision weakened the Voting Rights Act’s protections, OSF joined other philanthropies to establish </w:t>
      </w:r>
      <w:r>
        <w:lastRenderedPageBreak/>
        <w:t xml:space="preserve">the </w:t>
      </w:r>
      <w:r>
        <w:rPr>
          <w:b/>
          <w:bCs/>
        </w:rPr>
        <w:t>Shelby Response Fund</w:t>
      </w:r>
      <w:hyperlink r:id="rId585" w:anchor=":~:text=Since%20the%20Supreme%20Court%20repealed,of%20federal%20voting%20rights%20provisions">
        <w:r>
          <w:rPr>
            <w:rStyle w:val="Hyperlink"/>
          </w:rPr>
          <w:t>[10]</w:t>
        </w:r>
      </w:hyperlink>
      <w:r>
        <w:t xml:space="preserve">. This fund pooled money to support lawsuits challenging new restrictive voting laws at the state level. Through it, OSF has helped finance legal challenges against purges of voter rolls, strict ID requirements, and cutbacks to early voting that disproportionately affect voters of color. Grantees in this area include civil rights organizations like the </w:t>
      </w:r>
      <w:r>
        <w:rPr>
          <w:b/>
          <w:bCs/>
        </w:rPr>
        <w:t>Advancement Project</w:t>
      </w:r>
      <w:r>
        <w:t xml:space="preserve"> – an OSF grantee that in one instance intervened in Harris County, Texas, to protect minority voters after a suspicious warehouse fire destroyed voting machines shortly before an election</w:t>
      </w:r>
      <w:hyperlink r:id="rId586" w:anchor=":~:text=">
        <w:r>
          <w:rPr>
            <w:rStyle w:val="Hyperlink"/>
          </w:rPr>
          <w:t>[11]</w:t>
        </w:r>
      </w:hyperlink>
      <w:r>
        <w:t>. OSF’s aim is to act as a bulwark: when rights groups spot an unjust barrier to voting, OSF funding can underwrite the courtroom battles and public campaigns needed to counter it.</w:t>
      </w:r>
    </w:p>
    <w:p w14:paraId="0C849CF8" w14:textId="77777777" w:rsidR="00406E3B" w:rsidRDefault="00406E3B" w:rsidP="00406E3B">
      <w:pPr>
        <w:pStyle w:val="BodyText"/>
      </w:pPr>
      <w:r>
        <w:t xml:space="preserve">Another facet is </w:t>
      </w:r>
      <w:r>
        <w:rPr>
          <w:b/>
          <w:bCs/>
        </w:rPr>
        <w:t>poll watching and preventing intimidation</w:t>
      </w:r>
      <w:r>
        <w:t>. In the U.S., OSF has supported training for nonpartisan poll monitors who can provide a calm presence at voting sites and document any misconduct. Internationally, OSF’s network has innovated unique approaches. In West Africa, the Open Society Initiative for West Africa (an OSF regional foundation) pioneered an election “Situation Room” model</w:t>
      </w:r>
      <w:hyperlink r:id="rId587" w:anchor=":~:text=The%20Open%20Society%20Initiative%20for,harassed%20during%20the%20campaign%20season">
        <w:r>
          <w:rPr>
            <w:rStyle w:val="Hyperlink"/>
          </w:rPr>
          <w:t>[12]</w:t>
        </w:r>
      </w:hyperlink>
      <w:r>
        <w:t>. This model assembles civil society groups in a common hub during elections to share reports of violence, voter intimidation, or fraud in real time so that responses can be coordinated swiftly. OSF helped expand similar civil-society monitoring projects in countries like Nigeria, Ghana, and Kenya, where elections have occasionally been marred by unrest. Likewise in Eastern Europe, OSF’s national foundations – such as those in Ukraine and Albania – have funded local watchdog groups to monitor for harassment of activists and voters</w:t>
      </w:r>
      <w:hyperlink r:id="rId588" w:anchor=":~:text=electoral%20campaign,harassed%20during%20the%20campaign%20season">
        <w:r>
          <w:rPr>
            <w:rStyle w:val="Hyperlink"/>
          </w:rPr>
          <w:t>[13]</w:t>
        </w:r>
      </w:hyperlink>
      <w:r>
        <w:t>. All these efforts tie back to the principle that citizens should be able to vote without fear. Whether it’s a team of lawyers in Philadelphia or youth observers in Dakar, OSF’s money is supporting eyes and ears on the ground to deter foul play.</w:t>
      </w:r>
    </w:p>
    <w:p w14:paraId="568682FA" w14:textId="77777777" w:rsidR="00406E3B" w:rsidRDefault="00406E3B" w:rsidP="00406E3B">
      <w:pPr>
        <w:pStyle w:val="BodyText"/>
      </w:pPr>
      <w:r>
        <w:t xml:space="preserve">Election protection extends beyond the polling place too. OSF has a strong interest in </w:t>
      </w:r>
      <w:r>
        <w:rPr>
          <w:b/>
          <w:bCs/>
        </w:rPr>
        <w:t>upholding the fairness of the overall process</w:t>
      </w:r>
      <w:r>
        <w:t>, which includes fights over district boundaries and money in politics. Gerrymandering – the drawing of electoral districts to entrench one party – has been targeted by some OSF grantees, who pursue reforms or court challenges to ensure fairer representation. OSF has funded nonpartisan groups working on redistricting reform and to elevate minority communities’ input in map-drawing</w:t>
      </w:r>
      <w:hyperlink r:id="rId589" w:anchor=":~:text=Ensuring%20fair%20political%20representation%3A%20Open,in%20attempts%20at%20extreme%20gerrymandering">
        <w:r>
          <w:rPr>
            <w:rStyle w:val="Hyperlink"/>
          </w:rPr>
          <w:t>[14]</w:t>
        </w:r>
      </w:hyperlink>
      <w:r>
        <w:t xml:space="preserve">. Campaign finance is another adjacent battleground: OSF was among funders of the </w:t>
      </w:r>
      <w:r>
        <w:rPr>
          <w:b/>
          <w:bCs/>
        </w:rPr>
        <w:t>Campaign Legal Center</w:t>
      </w:r>
      <w:r>
        <w:t xml:space="preserve"> in the U.S., a watchdog that litigates against campaign finance violations</w:t>
      </w:r>
      <w:hyperlink r:id="rId590" w:anchor=":~:text=Open%20Society%20is%20among%20the,the%20sources%20of%20campaign%20financing">
        <w:r>
          <w:rPr>
            <w:rStyle w:val="Hyperlink"/>
          </w:rPr>
          <w:t>[15]</w:t>
        </w:r>
      </w:hyperlink>
      <w:r>
        <w:t>. OSF-backed advocacy contributed to the passage of the McCain-Feingold Act in 2002, a major campaign finance reform law</w:t>
      </w:r>
      <w:hyperlink r:id="rId591" w:anchor=":~:text=Open%20Society%20also%20has%20funded,public%20%E2%80%9Cdark%20money%E2%80%9D%20in%20politics">
        <w:r>
          <w:rPr>
            <w:rStyle w:val="Hyperlink"/>
          </w:rPr>
          <w:t>[16]</w:t>
        </w:r>
      </w:hyperlink>
      <w:r>
        <w:t xml:space="preserve">. And after the </w:t>
      </w:r>
      <w:r>
        <w:rPr>
          <w:i/>
          <w:iCs/>
        </w:rPr>
        <w:t>Citizens United</w:t>
      </w:r>
      <w:r>
        <w:t xml:space="preserve"> ruling in 2010 unleashed unlimited outside spending, OSF supported investigative journalism and transparency projects to track the flood of </w:t>
      </w:r>
      <w:r>
        <w:rPr>
          <w:b/>
          <w:bCs/>
        </w:rPr>
        <w:t>“dark money”</w:t>
      </w:r>
      <w:r>
        <w:t xml:space="preserve"> in elections</w:t>
      </w:r>
      <w:hyperlink r:id="rId592" w:anchor=":~:text=heart%20of%20the%20campaign%20finance,public%20%E2%80%9Cdark%20money%E2%80%9D%20in%20politics">
        <w:r>
          <w:rPr>
            <w:rStyle w:val="Hyperlink"/>
          </w:rPr>
          <w:t>[17]</w:t>
        </w:r>
      </w:hyperlink>
      <w:hyperlink r:id="rId593" w:anchor=":~:text=Citizens%20United%20decision%20in%202010%2C,public%20%E2%80%9Cdark%20money%E2%80%9D%20in%20politics">
        <w:r>
          <w:rPr>
            <w:rStyle w:val="Hyperlink"/>
          </w:rPr>
          <w:t>[18]</w:t>
        </w:r>
      </w:hyperlink>
      <w:r>
        <w:t xml:space="preserve">. While these topics (gerrymandering, campaign cash) extend beyond simple “civic participation,” they influence who can run and how votes translate into power. OSF views them as integral to the same mission of an </w:t>
      </w:r>
      <w:r>
        <w:rPr>
          <w:i/>
          <w:iCs/>
        </w:rPr>
        <w:t>equitable democratic system</w:t>
      </w:r>
      <w:r>
        <w:t>.</w:t>
      </w:r>
    </w:p>
    <w:p w14:paraId="015B8319" w14:textId="77777777" w:rsidR="00406E3B" w:rsidRDefault="00406E3B" w:rsidP="00406E3B">
      <w:pPr>
        <w:pStyle w:val="BodyText"/>
      </w:pPr>
      <w:r>
        <w:rPr>
          <w:i/>
          <w:iCs/>
        </w:rPr>
        <w:t>(Relationship to other chapters: Detailed exploration of campaign finance and political spending efforts appears in Chapter 5, and media/disinformation initiatives in Chapter 8. In this chapter, they are discussed only briefly as adjacent to voter participation.)</w:t>
      </w:r>
    </w:p>
    <w:p w14:paraId="2EC0F421" w14:textId="77777777" w:rsidR="00406E3B" w:rsidRDefault="00406E3B" w:rsidP="00406E3B">
      <w:pPr>
        <w:pStyle w:val="Heading2"/>
      </w:pPr>
      <w:bookmarkStart w:id="41" w:name="X00688a0d6e6f79fb4a5a110048c25f04ebf41ac"/>
      <w:bookmarkEnd w:id="40"/>
      <w:r>
        <w:lastRenderedPageBreak/>
        <w:t>Innovating for Democracy: Civic Tech and Information</w:t>
      </w:r>
    </w:p>
    <w:p w14:paraId="3B62699C" w14:textId="77777777" w:rsidR="00406E3B" w:rsidRDefault="00406E3B" w:rsidP="00406E3B">
      <w:pPr>
        <w:pStyle w:val="FirstParagraph"/>
      </w:pPr>
      <w:r>
        <w:t xml:space="preserve">In the digital era, civic participation isn’t just about clipboards on street corners – it’s also about </w:t>
      </w:r>
      <w:r>
        <w:rPr>
          <w:b/>
          <w:bCs/>
        </w:rPr>
        <w:t>tech tools and data</w:t>
      </w:r>
      <w:r>
        <w:t xml:space="preserve"> that can enhance electoral integrity. OSF has played a role in funding and promoting technology projects to modernize elections and inform voters. Some of this work happens behind the scenes, improving the plumbing of democracy.</w:t>
      </w:r>
    </w:p>
    <w:p w14:paraId="497A5FEC" w14:textId="77777777" w:rsidR="00406E3B" w:rsidRDefault="00406E3B" w:rsidP="00406E3B">
      <w:pPr>
        <w:pStyle w:val="BodyText"/>
      </w:pPr>
      <w:r>
        <w:t xml:space="preserve">One significant example is OSF’s involvement in the development of </w:t>
      </w:r>
      <w:r>
        <w:rPr>
          <w:b/>
          <w:bCs/>
        </w:rPr>
        <w:t>ERIC – the Electronic Registration Information Center</w:t>
      </w:r>
      <w:r>
        <w:t xml:space="preserve">. ERIC is a state-run data-sharing partnership that helps states keep their voter rolls accurate by identifying voters who have moved or died across state lines. Launched in 2012, ERIC was initially seed-funded by foundations. Records show that </w:t>
      </w:r>
      <w:r>
        <w:rPr>
          <w:b/>
          <w:bCs/>
        </w:rPr>
        <w:t>George Soros’s Foundation to Promote Open Society (an OSF entity) provided grants totaling $725,000 to support Pew Charitable Trusts’ early work building ERIC</w:t>
      </w:r>
      <w:r>
        <w:t>. The idea was to use technology to solve a mutual problem for red and blue states alike: bloated, outdated voter lists. ERIC also had an element of voter expansion – member states agreed not only to share data on duplicate registrations, but also to contact unregistered eligible citizens with information on how to register. OSF’s funding of this effort aligns with its dual interest in election integrity (clean voter lists reduce fraud) and voter inclusion (proactively inviting people to register). By 2020, ERIC was hailed by many election officials as a successful civic tech innovation. Dozens of states joined, and it helped catch potentially hundreds of thousands of out-of-date registrations.</w:t>
      </w:r>
    </w:p>
    <w:p w14:paraId="76BEC596" w14:textId="77777777" w:rsidR="00406E3B" w:rsidRDefault="00406E3B" w:rsidP="00406E3B">
      <w:pPr>
        <w:pStyle w:val="BodyText"/>
      </w:pPr>
      <w:r>
        <w:t xml:space="preserve">However, the tale of ERIC also illustrates how </w:t>
      </w:r>
      <w:r>
        <w:rPr>
          <w:b/>
          <w:bCs/>
        </w:rPr>
        <w:t>partisan suspicions</w:t>
      </w:r>
      <w:r>
        <w:t xml:space="preserve"> can attach to OSF’s work even when the project is technically neutral. In recent years, a cadre of right-wing activists and politicians began attacking ERIC, casting it as a tool of liberal infiltration. They seized on the fact that a Soros-affiliated foundation had helped fund ERIC’s creation, alongside the involvement of a former Pew staffer whom they painted as partisan. These activists circulated conspiracy theories that ERIC was secretly “run by left-wing voter registration activists” and bankrolled by Soros to sway elections</w:t>
      </w:r>
      <w:hyperlink r:id="rId594" w:anchor=":~:text=In%20virtual%20meetings%20taking%20place,conspiracy%20website%20and%20are%20baseless">
        <w:r>
          <w:rPr>
            <w:rStyle w:val="Hyperlink"/>
          </w:rPr>
          <w:t>[19]</w:t>
        </w:r>
      </w:hyperlink>
      <w:r>
        <w:t xml:space="preserve">. Election officials – including many Republicans – tried to set the record straight, noting that </w:t>
      </w:r>
      <w:r>
        <w:rPr>
          <w:b/>
          <w:bCs/>
        </w:rPr>
        <w:t>the Soros funding claims were exaggerated and that ERIC is governed and used by the states themselves</w:t>
      </w:r>
      <w:hyperlink r:id="rId595" w:anchor=":~:text=In%20virtual%20meetings%20taking%20place,conspiracy%20website%20and%20are%20baseless">
        <w:r>
          <w:rPr>
            <w:rStyle w:val="Hyperlink"/>
          </w:rPr>
          <w:t>[19]</w:t>
        </w:r>
      </w:hyperlink>
      <w:hyperlink r:id="rId596" w:anchor=":~:text=Keith%20Ingram%2C%20the%20elections%20director,states%20to%20prevent%20election%20fraud">
        <w:r>
          <w:rPr>
            <w:rStyle w:val="Hyperlink"/>
          </w:rPr>
          <w:t>[20]</w:t>
        </w:r>
      </w:hyperlink>
      <w:r>
        <w:t xml:space="preserve">. Nonetheless, the distrust spread. By 2023, under political pressure, nine Republican-led states announced withdrawals from ERIC, despite it being one of the </w:t>
      </w:r>
      <w:r>
        <w:rPr>
          <w:i/>
          <w:iCs/>
        </w:rPr>
        <w:t>best tools available to prevent double-voting and maintain accurate rolls</w:t>
      </w:r>
      <w:hyperlink r:id="rId597" w:anchor=":~:text=ERIC%20is%20a%20national%20system,officials%2C%20wants%20to%20gut%20it">
        <w:r>
          <w:rPr>
            <w:rStyle w:val="Hyperlink"/>
          </w:rPr>
          <w:t>[21]</w:t>
        </w:r>
      </w:hyperlink>
      <w:hyperlink r:id="rId598" w:anchor=":~:text=Texas%20and%20more%20than%2030,conspiracy%20website%20and%20are%20baseless">
        <w:r>
          <w:rPr>
            <w:rStyle w:val="Hyperlink"/>
          </w:rPr>
          <w:t>[22]</w:t>
        </w:r>
      </w:hyperlink>
      <w:r>
        <w:t xml:space="preserve">. This development, while alarming to experts, underscores the challenge OSF faces: even its technocratic contributions can be recast as partisan machinations in the current climate. (We will revisit these allegations and their credibility later in the chapter.) For now, it’s worth noting that OSF’s support for ERIC was part of a broader </w:t>
      </w:r>
      <w:r>
        <w:rPr>
          <w:b/>
          <w:bCs/>
        </w:rPr>
        <w:t>modernization agenda</w:t>
      </w:r>
      <w:r>
        <w:t xml:space="preserve"> – using data and technology to improve democratic systems.</w:t>
      </w:r>
    </w:p>
    <w:p w14:paraId="0FAEF811" w14:textId="77777777" w:rsidR="00406E3B" w:rsidRDefault="00406E3B" w:rsidP="00406E3B">
      <w:pPr>
        <w:pStyle w:val="BodyText"/>
      </w:pPr>
      <w:r>
        <w:t xml:space="preserve">Other </w:t>
      </w:r>
      <w:r>
        <w:rPr>
          <w:b/>
          <w:bCs/>
        </w:rPr>
        <w:t>civic tech projects</w:t>
      </w:r>
      <w:r>
        <w:t xml:space="preserve"> backed by OSF range from voter information platforms to election transparency tools. OSF has funded open-data initiatives that publish detailed election data for public analysis, believing that transparency builds trust. For instance, OSF supported the development of standards for </w:t>
      </w:r>
      <w:r>
        <w:rPr>
          <w:b/>
          <w:bCs/>
        </w:rPr>
        <w:t>open election data</w:t>
      </w:r>
      <w:r>
        <w:t xml:space="preserve"> alongside organizations like the National Democratic Institute</w:t>
      </w:r>
      <w:hyperlink r:id="rId599" w:anchor=":~:text=Elections%20are%20the%20basis%20for,transparent%2C%20inclusive%20and%20accountable%20processes">
        <w:r>
          <w:rPr>
            <w:rStyle w:val="Hyperlink"/>
          </w:rPr>
          <w:t>[23]</w:t>
        </w:r>
      </w:hyperlink>
      <w:hyperlink r:id="rId600" w:anchor=":~:text=,finance%20rules%20during%20their%20campaigns">
        <w:r>
          <w:rPr>
            <w:rStyle w:val="Hyperlink"/>
          </w:rPr>
          <w:t>[24]</w:t>
        </w:r>
      </w:hyperlink>
      <w:r>
        <w:t xml:space="preserve">. These standards push </w:t>
      </w:r>
      <w:r>
        <w:lastRenderedPageBreak/>
        <w:t xml:space="preserve">governments to release information – such as precinct-level results, campaign finance records, and voter turnout statistics – in accessible formats. The goal is to enable watchdog groups and even regular citizens to verify results and spot problems (like abnormally low turnout in certain areas that might indicate suppression). In Mexico’s 2018 elections, OSF funded </w:t>
      </w:r>
      <w:r>
        <w:rPr>
          <w:b/>
          <w:bCs/>
        </w:rPr>
        <w:t>Verificado</w:t>
      </w:r>
      <w:r>
        <w:t>, an ambitious collaboration where journalists and techies created a real-time fact-checking system to combat the spread of misinformation</w:t>
      </w:r>
      <w:hyperlink r:id="rId601" w:anchor=":~:text=In%202018%2C%20during%20elections%20in,during%20debates%20and%20public%20appearances">
        <w:r>
          <w:rPr>
            <w:rStyle w:val="Hyperlink"/>
          </w:rPr>
          <w:t>[25]</w:t>
        </w:r>
      </w:hyperlink>
      <w:r>
        <w:t xml:space="preserve">. Verificado used social media and a network of volunteers to quickly debunk false viral stories about candidates and the voting process, thereby protecting voters from manipulation. OSF has replicated support for similar </w:t>
      </w:r>
      <w:r>
        <w:rPr>
          <w:b/>
          <w:bCs/>
        </w:rPr>
        <w:t>anti-disinformation</w:t>
      </w:r>
      <w:r>
        <w:t xml:space="preserve"> efforts elsewhere – from Europe (exposing covert propaganda campaigns during EU elections) to South Africa (monitoring online hate and misinformation in partnership with the electoral commission)</w:t>
      </w:r>
      <w:hyperlink r:id="rId602" w:anchor=":~:text=In%202018%2C%20during%20elections%20in,during%20debates%20and%20public%20appearances">
        <w:r>
          <w:rPr>
            <w:rStyle w:val="Hyperlink"/>
          </w:rPr>
          <w:t>[25]</w:t>
        </w:r>
      </w:hyperlink>
      <w:r>
        <w:t>.</w:t>
      </w:r>
    </w:p>
    <w:p w14:paraId="466F5F4B" w14:textId="77777777" w:rsidR="00406E3B" w:rsidRDefault="00406E3B" w:rsidP="00406E3B">
      <w:pPr>
        <w:pStyle w:val="BodyText"/>
      </w:pPr>
      <w:r>
        <w:t xml:space="preserve">In the United States, OSF’s tech-oriented grants have included funding civic start-ups and tools to make voting easier. Although specific grants are not always public, OSF has likely contributed to well-known nonpartisan voter platforms. Groups like </w:t>
      </w:r>
      <w:r>
        <w:rPr>
          <w:b/>
          <w:bCs/>
        </w:rPr>
        <w:t>Democracy Works</w:t>
      </w:r>
      <w:r>
        <w:t xml:space="preserve"> (makers of TurboVote, an app for voter registration reminders) and </w:t>
      </w:r>
      <w:r>
        <w:rPr>
          <w:b/>
          <w:bCs/>
        </w:rPr>
        <w:t>Vote.org</w:t>
      </w:r>
      <w:r>
        <w:t xml:space="preserve"> (which provides simple online tools for checking registration and requesting ballots) have attracted support from many foundations – it would align with OSF’s strategy if it also helped underwrite these services, given OSF’s emphasis on reducing practical barriers to voting. Even if OSF’s role is indirect, the broader ecosystem of “civic tech for voting” benefits from philanthropic dollars that OSF and peers provide.</w:t>
      </w:r>
    </w:p>
    <w:p w14:paraId="39A7A626" w14:textId="77777777" w:rsidR="00406E3B" w:rsidRDefault="00406E3B" w:rsidP="00406E3B">
      <w:pPr>
        <w:pStyle w:val="BodyText"/>
      </w:pPr>
      <w:r>
        <w:t xml:space="preserve">The </w:t>
      </w:r>
      <w:r>
        <w:rPr>
          <w:b/>
          <w:bCs/>
        </w:rPr>
        <w:t>information environment</w:t>
      </w:r>
      <w:r>
        <w:t xml:space="preserve"> around elections has become a battleground of its own, especially after 2016. Recognizing this, OSF expanded its focus to </w:t>
      </w:r>
      <w:r>
        <w:rPr>
          <w:b/>
          <w:bCs/>
        </w:rPr>
        <w:t>digital threats to democracy</w:t>
      </w:r>
      <w:r>
        <w:t>. In recent years it launched or joined initiatives to rein in disinformation and hateful rhetoric that suppress turnout or delegitimize results. For example, OSF was one of ten foundations to start a $200 million initiative in 2023 aimed at ensuring new technologies (like artificial intelligence) do not undermine elections and civic discourse</w:t>
      </w:r>
      <w:hyperlink r:id="rId603" w:anchor=":~:text=Fighting%20against%20disinformation%3A%20Open%20Society,inequalities%2C%20while%20making%20it%20easier">
        <w:r>
          <w:rPr>
            <w:rStyle w:val="Hyperlink"/>
          </w:rPr>
          <w:t>[26]</w:t>
        </w:r>
      </w:hyperlink>
      <w:hyperlink r:id="rId604" w:anchor=":~:text=Protecting%20rights%20and%20democracy%20from,and%20freedoms%20of%20all%20people">
        <w:r>
          <w:rPr>
            <w:rStyle w:val="Hyperlink"/>
          </w:rPr>
          <w:t>[27]</w:t>
        </w:r>
      </w:hyperlink>
      <w:r>
        <w:t>. This includes funding research into how AI-driven misinformation could be countered or how to protect election systems from cyber interference. These cutting-edge projects show OSF adapting its civic participation agenda to the digital age’s risks – looking not just at who can vote or where, but at the quality of information voters receive and the fairness of the overall campaign environment.</w:t>
      </w:r>
    </w:p>
    <w:p w14:paraId="6F9DDAD7" w14:textId="77777777" w:rsidR="00406E3B" w:rsidRDefault="00406E3B" w:rsidP="00406E3B">
      <w:pPr>
        <w:pStyle w:val="BlockText"/>
      </w:pPr>
      <w:r>
        <w:rPr>
          <w:b/>
          <w:bCs/>
        </w:rPr>
        <w:t>Legal Sidebar: Nonprofits, Elections, and the Law</w:t>
      </w:r>
      <w:r>
        <w:br/>
      </w:r>
      <w:r>
        <w:rPr>
          <w:b/>
          <w:bCs/>
        </w:rPr>
        <w:t>501(c)(3) Charities:</w:t>
      </w:r>
      <w:r>
        <w:t xml:space="preserve"> U.S. nonprofits with 501(c)(3) status (including private foundations and public charities) are strictly forbidden from supporting or opposing political candidates. This is often called the “Johnson Amendment” rule. They </w:t>
      </w:r>
      <w:r>
        <w:rPr>
          <w:i/>
          <w:iCs/>
        </w:rPr>
        <w:t>can</w:t>
      </w:r>
      <w:r>
        <w:t xml:space="preserve"> conduct </w:t>
      </w:r>
      <w:r>
        <w:rPr>
          <w:b/>
          <w:bCs/>
        </w:rPr>
        <w:t>nonpartisan</w:t>
      </w:r>
      <w:r>
        <w:t xml:space="preserve"> voter engagement – such as voter registration drives, get-out-the-vote efforts, candidate forums, and voter education – </w:t>
      </w:r>
      <w:r>
        <w:rPr>
          <w:b/>
          <w:bCs/>
        </w:rPr>
        <w:t>so long as they do not favor any candidate or party</w:t>
      </w:r>
      <w:r>
        <w:t xml:space="preserve">. In practice, that means charities may target their outreach to certain communities (e.g. registering low-income residents or students) for civic reasons, but they cannot select people based on party affiliation or attempt to influence how they vote. All </w:t>
      </w:r>
      <w:r>
        <w:lastRenderedPageBreak/>
        <w:t>messaging must be neutral (“Vote on Tuesday” – not “Vote for X”). If a charity distributes voter guides or holds candidate events, it must give fair and equal treatment to all sides. Even implicit bias is prohibited. Violating these rules can lead to loss of tax-exempt status or excise taxes.</w:t>
      </w:r>
      <w:r>
        <w:br/>
      </w:r>
      <w:r>
        <w:rPr>
          <w:b/>
          <w:bCs/>
        </w:rPr>
        <w:t>Private Foundations vs. Public Charities:</w:t>
      </w:r>
      <w:r>
        <w:t xml:space="preserve"> Both are 501(c)(3), but private foundations (like OSF’s main entity) face extra restrictions. They cannot earmark grants for voter registration drives unless the grantee meets special IRS criteria under Section 4945(f) – notably that the voter registration work is conducted in at least 5 states, over more than one election, and is 85% funded by public sources. This is to prevent a single wealthy foundation from bankrolling partisan local drives. Many private foundations simply avoid this hassle by giving </w:t>
      </w:r>
      <w:r>
        <w:rPr>
          <w:b/>
          <w:bCs/>
        </w:rPr>
        <w:t>general support grants</w:t>
      </w:r>
      <w:r>
        <w:t xml:space="preserve"> to voter engagement groups, rather than explicitly funding “voter registration” projects. General support can be used by the grantee for any lawful purpose, including voter outreach, without implicating the foundation in a targeted campaign</w:t>
      </w:r>
      <w:hyperlink r:id="rId605" w:anchor=":~:text=only%20apply%20to%20grants%20from,not%20be%20deemed%20%E2%80%9Cearmarked%E2%80%9D%20for">
        <w:r>
          <w:rPr>
            <w:rStyle w:val="Hyperlink"/>
          </w:rPr>
          <w:t>[28]</w:t>
        </w:r>
      </w:hyperlink>
      <w:hyperlink r:id="rId606" w:anchor=":~:text=engage%20exclusively%20in%20voter%20registration,the%20amount%20of%20the%20general">
        <w:r>
          <w:rPr>
            <w:rStyle w:val="Hyperlink"/>
          </w:rPr>
          <w:t>[29]</w:t>
        </w:r>
      </w:hyperlink>
      <w:r>
        <w:t>. Foundations also typically refrain from any direct lobbying (trying to influence legislation) due to tax rules.</w:t>
      </w:r>
      <w:r>
        <w:br/>
      </w:r>
      <w:r>
        <w:rPr>
          <w:b/>
          <w:bCs/>
        </w:rPr>
        <w:t>501(c)(4) Social Welfare Organizations:</w:t>
      </w:r>
      <w:r>
        <w:t xml:space="preserve"> OSF’s sister entity, the </w:t>
      </w:r>
      <w:r>
        <w:rPr>
          <w:b/>
          <w:bCs/>
        </w:rPr>
        <w:t>Open Society Action Fund</w:t>
      </w:r>
      <w:r>
        <w:t xml:space="preserve">, is organized under 501(c)(4). Such groups have more leeway. They can lobby for legislation and ballot measures freely, and even engage in some partisan political campaigning (endorsing or spending money on candidates), as long as these are not their </w:t>
      </w:r>
      <w:r>
        <w:rPr>
          <w:i/>
          <w:iCs/>
        </w:rPr>
        <w:t>primary</w:t>
      </w:r>
      <w:r>
        <w:t xml:space="preserve"> activity. The Action Fund, for instance, makes grants to support policy advocacy on issues like voting rights or criminal justice reform. It can fund efforts to pass or oppose laws and referenda – for example, supporting state ballot initiatives for voting reforms or higher minimum wages</w:t>
      </w:r>
      <w:hyperlink r:id="rId607" w:anchor=":~:text=Ballot%20initiatives%3A%20With%20funding%20to,a%20free%20and%20open%20society">
        <w:r>
          <w:rPr>
            <w:rStyle w:val="Hyperlink"/>
          </w:rPr>
          <w:t>[30]</w:t>
        </w:r>
      </w:hyperlink>
      <w:hyperlink r:id="rId608" w:anchor=":~:text=The%20Open%20Society%20Action%20Fund,public%20office%20or%20political%20parties">
        <w:r>
          <w:rPr>
            <w:rStyle w:val="Hyperlink"/>
          </w:rPr>
          <w:t>[31]</w:t>
        </w:r>
      </w:hyperlink>
      <w:r>
        <w:t xml:space="preserve">. However, even 501(c)(4)s cannot coordinate with candidate campaigns or donate directly to them from their general treasury. OSF maintains that its Action Fund </w:t>
      </w:r>
      <w:r>
        <w:rPr>
          <w:b/>
          <w:bCs/>
        </w:rPr>
        <w:t>“does not engage in political campaign activities”</w:t>
      </w:r>
      <w:r>
        <w:t xml:space="preserve"> of backing candidates</w:t>
      </w:r>
      <w:hyperlink r:id="rId609" w:anchor=":~:text=The%20Open%20Society%20Action%20Fund,public%20office%20or%20political%20parties">
        <w:r>
          <w:rPr>
            <w:rStyle w:val="Hyperlink"/>
          </w:rPr>
          <w:t>[31]</w:t>
        </w:r>
      </w:hyperlink>
      <w:r>
        <w:t>. Instead, any election-related funding is channeled toward nonpartisan voter education or issue-focused campaigns (like protecting reproductive rights through referenda).</w:t>
      </w:r>
      <w:r>
        <w:br/>
      </w:r>
      <w:r>
        <w:rPr>
          <w:b/>
          <w:bCs/>
        </w:rPr>
        <w:t>Transparency and Separations:</w:t>
      </w:r>
      <w:r>
        <w:t xml:space="preserve"> By law, OSF must keep its 501(c)(3) and 501(c)(4) activities separate and use separate funding sources. The foundation side reports all grants on tax filings (Form 990-PF), which are public, and OSF voluntarily discloses U.S. grant lists on its website</w:t>
      </w:r>
      <w:hyperlink r:id="rId610" w:anchor=":~:text=All%20Open%20Society%20grant%20making,4">
        <w:r>
          <w:rPr>
            <w:rStyle w:val="Hyperlink"/>
          </w:rPr>
          <w:t>[32]</w:t>
        </w:r>
      </w:hyperlink>
      <w:r>
        <w:t>. The Action Fund, as a lobbying entity, registers under the Lobbying Disclosure Act and files public quarterly reports</w:t>
      </w:r>
      <w:hyperlink r:id="rId611" w:anchor=":~:text=are%20publicly%20disclosed,local%20law%20governing%20ballot%20initiatives">
        <w:r>
          <w:rPr>
            <w:rStyle w:val="Hyperlink"/>
          </w:rPr>
          <w:t>[33]</w:t>
        </w:r>
      </w:hyperlink>
      <w:r>
        <w:t xml:space="preserve">. These safeguards are meant to ensure that charitable funds (which are tax-advantaged) are not covertly fueling partisan politics. In OSF’s case, additional scrutiny comes from its founder’s parallel political spending: </w:t>
      </w:r>
      <w:r>
        <w:rPr>
          <w:b/>
          <w:bCs/>
        </w:rPr>
        <w:t>George Soros the individual</w:t>
      </w:r>
      <w:r>
        <w:t xml:space="preserve"> is a major donor to partisan super-PACs and campaigns, but those contributions are </w:t>
      </w:r>
      <w:r>
        <w:rPr>
          <w:b/>
          <w:bCs/>
        </w:rPr>
        <w:t>separate from OSF’s philanthropic budget</w:t>
      </w:r>
      <w:r>
        <w:t xml:space="preserve">. (In the 2022 U.S. midterm cycle alone, Soros personally gave an estimated $170 million to Democratic candidates and committees{S:CNBC2023}.) OSF emphasizes that its charitable voter initiatives are completely independent of any party apparatus and compliant with IRS </w:t>
      </w:r>
      <w:r>
        <w:lastRenderedPageBreak/>
        <w:t>rules</w:t>
      </w:r>
      <w:hyperlink r:id="rId612" w:anchor=":~:text=Open%20Society%20Institute%20is%20a,more%20accessible%2C%20representative%2C%20and%20responsive">
        <w:r>
          <w:rPr>
            <w:rStyle w:val="Hyperlink"/>
          </w:rPr>
          <w:t>[34]</w:t>
        </w:r>
      </w:hyperlink>
      <w:hyperlink r:id="rId613" w:anchor=":~:text=All%20Open%20Society%20grant%20making,4">
        <w:r>
          <w:rPr>
            <w:rStyle w:val="Hyperlink"/>
          </w:rPr>
          <w:t>[35]</w:t>
        </w:r>
      </w:hyperlink>
      <w:r>
        <w:t>. Still, the proximity of a partisan donor and a nonpartisan foundation under the “Soros network” umbrella feeds public confusion and conspiracy theories – a challenge OSF continually navigates.</w:t>
      </w:r>
    </w:p>
    <w:p w14:paraId="15E15E8C" w14:textId="77777777" w:rsidR="00406E3B" w:rsidRDefault="00406E3B" w:rsidP="00406E3B">
      <w:pPr>
        <w:pStyle w:val="Heading2"/>
      </w:pPr>
      <w:bookmarkStart w:id="42" w:name="neutrality-under-fire-partisan-or-not"/>
      <w:bookmarkEnd w:id="41"/>
      <w:r>
        <w:t>Neutrality Under Fire: Partisan or Not?</w:t>
      </w:r>
    </w:p>
    <w:p w14:paraId="01F4DED4" w14:textId="77777777" w:rsidR="00406E3B" w:rsidRDefault="00406E3B" w:rsidP="00406E3B">
      <w:pPr>
        <w:pStyle w:val="FirstParagraph"/>
      </w:pPr>
      <w:r>
        <w:t xml:space="preserve">Despite careful adherence to legal boundaries, OSF’s work in the election sphere often faces </w:t>
      </w:r>
      <w:r>
        <w:rPr>
          <w:b/>
          <w:bCs/>
        </w:rPr>
        <w:t>accusations of partisan bias</w:t>
      </w:r>
      <w:r>
        <w:t xml:space="preserve">. Conservative commentators and politicians frequently claim that OSF’s voter engagement initiatives, while technically nonpartisan, are </w:t>
      </w:r>
      <w:r>
        <w:rPr>
          <w:b/>
          <w:bCs/>
        </w:rPr>
        <w:t>intended to boost Democratic turnout</w:t>
      </w:r>
      <w:r>
        <w:t xml:space="preserve"> and progressive causes. They point to the foundation’s pattern of investing in communities that lean Democratic, its close alignment with voting rights agendas championed by the political left, and George Soros’s openly partisan donations outside of OSF. How valid are these claims, and what do analysts say about the actual impact of nonpartisan civic participation programs on electoral outcomes?</w:t>
      </w:r>
    </w:p>
    <w:p w14:paraId="2A1526CF" w14:textId="77777777" w:rsidR="00406E3B" w:rsidRDefault="00406E3B" w:rsidP="00406E3B">
      <w:pPr>
        <w:pStyle w:val="BodyText"/>
      </w:pPr>
      <w:r>
        <w:rPr>
          <w:b/>
          <w:bCs/>
        </w:rPr>
        <w:t>The Allegations:</w:t>
      </w:r>
      <w:r>
        <w:t xml:space="preserve"> Those skeptical of OSF’s neutrality argue that “process-driven” support can mask a partisan result. For example, when OSF funds registration drives in heavily Black neighborhoods, critics note that those new voters, if mobilized, overwhelmingly vote for Democrats. Similarly, OSF’s emphasis on fighting voter ID laws and other restrictions is seen by some on the right as furthering the Democratic Party’s interest (since Republican officials tend to back such laws, claiming fraud prevention, while Democrats oppose them as suppression). In the view of some conservative strategists, expanding the electorate generally benefits Democrats – a belief long embedded in U.S. politics. This belief has fueled Republican skepticism toward drives to make voting easier (early voting, mail ballots, same-day registration, etc.), often assuming those changes help Democrats. Thus, OSF’s generous funding of efforts to </w:t>
      </w:r>
      <w:r>
        <w:rPr>
          <w:b/>
          <w:bCs/>
        </w:rPr>
        <w:t>“expand the electorate”</w:t>
      </w:r>
      <w:r>
        <w:t xml:space="preserve"> is cast as a strategic ploy to change the voter pool in favor of left-leaning outcomes.</w:t>
      </w:r>
    </w:p>
    <w:p w14:paraId="087EAB19" w14:textId="77777777" w:rsidR="00406E3B" w:rsidRDefault="00406E3B" w:rsidP="00406E3B">
      <w:pPr>
        <w:pStyle w:val="BodyText"/>
      </w:pPr>
      <w:r>
        <w:t>These suspicions have been amplified by partisan media and advocacy groups. Right-leaning outlets routinely mention Soros’s name alongside voter initiatives to suggest a hidden agenda. For instance, during the controversy over ERIC, activists harped on the Soros link to sow doubt about the program’s motives</w:t>
      </w:r>
      <w:hyperlink r:id="rId614" w:anchor=":~:text=In%20virtual%20meetings%20taking%20place,conspiracy%20website%20and%20are%20baseless">
        <w:r>
          <w:rPr>
            <w:rStyle w:val="Hyperlink"/>
          </w:rPr>
          <w:t>[19]</w:t>
        </w:r>
      </w:hyperlink>
      <w:r>
        <w:t>. In another arena, when Facebook’s Mark Zuckerberg gave grants to local election offices in 2020 (the so-called “Zuck Bucks”), conservative legislatures reacted by banning private funding of election administration – a move also motivated by fears that such funding was stealthily partisan</w:t>
      </w:r>
      <w:hyperlink r:id="rId615" w:anchor=":~:text=organization%E2%80%99s%20impartiality">
        <w:r>
          <w:rPr>
            <w:rStyle w:val="Hyperlink"/>
          </w:rPr>
          <w:t>[36]</w:t>
        </w:r>
      </w:hyperlink>
      <w:r>
        <w:t>. OSF didn’t fund election offices directly, but it got swept into the broader narrative of wealthy liberals meddling in election processes. Capitol Hill Republicans have held hearings and issued reports highlighting OSF’s grants to advocacy groups, implying coordination with the Democratic Party{S:CNBC2023}. And indeed, OSF’s 501(c)(4) arm, the Open Society Action Fund, openly supports progressive policy campaigns like protecting abortion access via state ballots</w:t>
      </w:r>
      <w:hyperlink r:id="rId616" w:anchor=":~:text=Ballot%20initiatives%3A%20With%20funding%20to,a%20free%20and%20open%20society">
        <w:r>
          <w:rPr>
            <w:rStyle w:val="Hyperlink"/>
          </w:rPr>
          <w:t>[30]</w:t>
        </w:r>
      </w:hyperlink>
      <w:r>
        <w:t>, which critics say blurs the lines between issue advocacy and partisan mobilization.</w:t>
      </w:r>
    </w:p>
    <w:p w14:paraId="7E7684AB" w14:textId="77777777" w:rsidR="00406E3B" w:rsidRDefault="00406E3B" w:rsidP="00406E3B">
      <w:pPr>
        <w:pStyle w:val="BodyText"/>
      </w:pPr>
      <w:r>
        <w:rPr>
          <w:b/>
          <w:bCs/>
        </w:rPr>
        <w:lastRenderedPageBreak/>
        <w:t>Competing Perspectives and Evidence:</w:t>
      </w:r>
      <w:r>
        <w:t xml:space="preserve"> Balanced analysis suggests the reality is more nuanced than the caricature of “Soros rigging elections.” Political scientists have repeatedly studied whether higher turnout or registration automatically tilts elections to one party. The findings challenge a simplistic partisan myth. </w:t>
      </w:r>
      <w:r>
        <w:rPr>
          <w:b/>
          <w:bCs/>
        </w:rPr>
        <w:t>Daron Shaw and John Petrocik</w:t>
      </w:r>
      <w:r>
        <w:t xml:space="preserve">, examining U.S. elections over decades, concluded that </w:t>
      </w:r>
      <w:r>
        <w:rPr>
          <w:b/>
          <w:bCs/>
        </w:rPr>
        <w:t>“there is no evidence that turnout is correlated with partisan vote choice”</w:t>
      </w:r>
      <w:r>
        <w:t xml:space="preserve"> – in other words, boosting overall voter participation does not consistently advantage Democrats</w:t>
      </w:r>
      <w:hyperlink r:id="rId617" w:anchor=":~:text=Though%20we%20should%20take%20these,correlated%20with%20partisan%20vote%20choice">
        <w:r>
          <w:rPr>
            <w:rStyle w:val="Hyperlink"/>
          </w:rPr>
          <w:t>[37]</w:t>
        </w:r>
      </w:hyperlink>
      <w:hyperlink r:id="rId618" w:anchor=":~:text=motivation%20for%20the%20parties%27%20respective,correlated%20with%20partisan%20vote%20choice">
        <w:r>
          <w:rPr>
            <w:rStyle w:val="Hyperlink"/>
          </w:rPr>
          <w:t>[38]</w:t>
        </w:r>
      </w:hyperlink>
      <w:r>
        <w:t>. Their 2021 study noted that while many assume nonvoters are mostly Democratic-leaning (hence registering them would help Democrats), in practice election outcomes depend more on the preferences of the electorate and campaign issues than on turnout levels</w:t>
      </w:r>
      <w:hyperlink r:id="rId619" w:anchor=":~:text=motivation%20for%20the%20parties%27%20respective,correlated%20with%20partisan%20vote%20choice">
        <w:r>
          <w:rPr>
            <w:rStyle w:val="Hyperlink"/>
          </w:rPr>
          <w:t>[38]</w:t>
        </w:r>
      </w:hyperlink>
      <w:hyperlink r:id="rId620" w:anchor=":~:text=The%20turnout%20myth%20is%20one,that%20might%20do%20the%20same">
        <w:r>
          <w:rPr>
            <w:rStyle w:val="Hyperlink"/>
          </w:rPr>
          <w:t>[39]</w:t>
        </w:r>
      </w:hyperlink>
      <w:r>
        <w:t>. Historically, Republicans often had a turnout advantage, and recent shifts in partisan allegiance mean one cannot assume new voters all favor one side</w:t>
      </w:r>
      <w:hyperlink r:id="rId621" w:anchor=":~:text=election%20outcomes%20than%20turnout%20rates">
        <w:r>
          <w:rPr>
            <w:rStyle w:val="Hyperlink"/>
          </w:rPr>
          <w:t>[40]</w:t>
        </w:r>
      </w:hyperlink>
      <w:hyperlink r:id="rId622" w:anchor=":~:text=point%20lead%20in%20party%20identification,Democratic%20and%2042">
        <w:r>
          <w:rPr>
            <w:rStyle w:val="Hyperlink"/>
          </w:rPr>
          <w:t>[41]</w:t>
        </w:r>
      </w:hyperlink>
      <w:r>
        <w:t>. For example, the 2020 election saw record turnout on both sides – millions of new voters turned out for Donald Trump as well as for Joe Biden. In some swing states, efforts that increased turnout did not uniformly benefit Democrats; Republicans won some high-turnout battlegrounds. This complicates the accusation that OSF’s get-out-the-vote work is a secret weapon for Democrats.</w:t>
      </w:r>
    </w:p>
    <w:p w14:paraId="23CC82DE" w14:textId="77777777" w:rsidR="00406E3B" w:rsidRDefault="00406E3B" w:rsidP="00406E3B">
      <w:pPr>
        <w:pStyle w:val="BodyText"/>
      </w:pPr>
      <w:r>
        <w:t xml:space="preserve">Moreover, OSF and its allies argue that </w:t>
      </w:r>
      <w:r>
        <w:rPr>
          <w:b/>
          <w:bCs/>
        </w:rPr>
        <w:t>democracy’s health is improved when more citizens participate, regardless of party outcomes</w:t>
      </w:r>
      <w:r>
        <w:t xml:space="preserve">. The intent is not to predetermine winners but to ensure legitimacy and inclusion. When Republicans win high-turnout elections, as happened in some 2021 and 2022 races, OSF-funded groups do not contest those results – because their goal was maximal participation, not a guaranteed partisan result. In fact, some nonpartisan civic engagement efforts have unexpectedly mobilized conservative voters too. There have been cases where voter registration drives in rural areas (meant to be neutral) ended up signing up more right-leaning voters, or where issue-neutral mail reminders prompted lapsed voters of all stripes to vote, not just liberals. The </w:t>
      </w:r>
      <w:r>
        <w:rPr>
          <w:b/>
          <w:bCs/>
        </w:rPr>
        <w:t>National Affairs</w:t>
      </w:r>
      <w:r>
        <w:t xml:space="preserve"> analysis cited above emphasizes that </w:t>
      </w:r>
      <w:r>
        <w:rPr>
          <w:i/>
          <w:iCs/>
        </w:rPr>
        <w:t>who votes</w:t>
      </w:r>
      <w:r>
        <w:t xml:space="preserve"> is less decisive than </w:t>
      </w:r>
      <w:r>
        <w:rPr>
          <w:i/>
          <w:iCs/>
        </w:rPr>
        <w:t>how they vote</w:t>
      </w:r>
      <w:r>
        <w:t>, which depends on many factors outside OSF’s scope (like candidates’ appeal and the national mood)</w:t>
      </w:r>
      <w:hyperlink r:id="rId623" w:anchor=":~:text=The%20central%20finding%20in%20our,party%20with%20which%20they%20identify">
        <w:r>
          <w:rPr>
            <w:rStyle w:val="Hyperlink"/>
          </w:rPr>
          <w:t>[42]</w:t>
        </w:r>
      </w:hyperlink>
      <w:hyperlink r:id="rId624" w:anchor=":~:text=identifiers%20who%20,average%20rate">
        <w:r>
          <w:rPr>
            <w:rStyle w:val="Hyperlink"/>
          </w:rPr>
          <w:t>[43]</w:t>
        </w:r>
      </w:hyperlink>
      <w:r>
        <w:t>.</w:t>
      </w:r>
    </w:p>
    <w:p w14:paraId="77C5441B" w14:textId="77777777" w:rsidR="00406E3B" w:rsidRDefault="00406E3B" w:rsidP="00406E3B">
      <w:pPr>
        <w:pStyle w:val="BodyText"/>
      </w:pPr>
      <w:r>
        <w:t xml:space="preserve">That said, it’s undeniable that OSF’s vision of an “inclusive, multiracial democracy” aligns more closely with progressive values. OSF isn’t pouring money into, say, expanding the electorate among wealthy exurban churchgoers (a demographic likely to lean Republican). It prioritizes marginalized groups and often intertwines with movements for racial justice, immigration reform, and other typically liberal causes. This intersection leads to </w:t>
      </w:r>
      <w:r>
        <w:rPr>
          <w:b/>
          <w:bCs/>
        </w:rPr>
        <w:t>optics that are inherently political</w:t>
      </w:r>
      <w:r>
        <w:t xml:space="preserve">. For instance, OSF’s promotion of civic engagement among women in the wake of </w:t>
      </w:r>
      <w:r>
        <w:rPr>
          <w:i/>
          <w:iCs/>
        </w:rPr>
        <w:t>Roe v. Wade</w:t>
      </w:r>
      <w:r>
        <w:t>’s reversal</w:t>
      </w:r>
      <w:hyperlink r:id="rId625" w:anchor=":~:text=voters%20off%20in%20droves%2C%20some,when%20Election%202024%20comes%20around">
        <w:r>
          <w:rPr>
            <w:rStyle w:val="Hyperlink"/>
          </w:rPr>
          <w:t>[8]</w:t>
        </w:r>
      </w:hyperlink>
      <w:hyperlink r:id="rId626" w:anchor=":~:text=The%20fears%20that%20drove%20so,intrusion%20into%20women%E2%80%99s%20bodily%20autonomy">
        <w:r>
          <w:rPr>
            <w:rStyle w:val="Hyperlink"/>
          </w:rPr>
          <w:t>[44]</w:t>
        </w:r>
      </w:hyperlink>
      <w:r>
        <w:t xml:space="preserve"> clearly resonates more with one side of the abortion debate. OSF leaders like Alex Soros explicitly frame such engagement as fighting “authoritarianism” – language often used to critique the Trump-aligned wing of the Republican Party</w:t>
      </w:r>
      <w:hyperlink r:id="rId627" w:anchor=":~:text=The%20handwringing%20is%20well%20underway,when%20Election%202024%20comes%20around">
        <w:r>
          <w:rPr>
            <w:rStyle w:val="Hyperlink"/>
          </w:rPr>
          <w:t>[45]</w:t>
        </w:r>
      </w:hyperlink>
      <w:hyperlink r:id="rId628" w:anchor=":~:text=These%20results%20may%20be%20an,authoritarianism%20massing%20at%20our%20door">
        <w:r>
          <w:rPr>
            <w:rStyle w:val="Hyperlink"/>
          </w:rPr>
          <w:t>[9]</w:t>
        </w:r>
      </w:hyperlink>
      <w:r>
        <w:t>. Conservatives seizing on these cues argue that OSF is effectively an arm of the progressive ecosystem, using nonprofit dollars to do what the Democratic Party would love to do openly if it could (but cannot, due to resource or legal constraints).</w:t>
      </w:r>
    </w:p>
    <w:p w14:paraId="65D2A842" w14:textId="77777777" w:rsidR="00406E3B" w:rsidRDefault="00406E3B" w:rsidP="00406E3B">
      <w:pPr>
        <w:pStyle w:val="BodyText"/>
      </w:pPr>
      <w:r>
        <w:rPr>
          <w:b/>
          <w:bCs/>
        </w:rPr>
        <w:lastRenderedPageBreak/>
        <w:t>Compliance vs. Intent:</w:t>
      </w:r>
      <w:r>
        <w:t xml:space="preserve"> The key distinction may lie between </w:t>
      </w:r>
      <w:r>
        <w:rPr>
          <w:b/>
          <w:bCs/>
        </w:rPr>
        <w:t>legal compliance and perceived intent</w:t>
      </w:r>
      <w:r>
        <w:t xml:space="preserve">. On compliance, OSF seems diligent. It maintains separate entities for different activities and has not been caught in any violation of tax laws around political activity. Grants are disclosed, and many go to well-established, reputable nonpartisan organizations (like the League of Women Voters, state civic engagement tables, and civil rights groups) which themselves have strict protocols to remain nonpartisan. If OSF were funneling tax-exempt funds into partisan electioneering, it would risk scandal and IRS penalties – something it has strong incentives to avoid. There’s no public evidence of OSF directing anyone to vote for specific candidates. Even the fiercest critics mostly allege </w:t>
      </w:r>
      <w:r>
        <w:rPr>
          <w:i/>
          <w:iCs/>
        </w:rPr>
        <w:t>indirect</w:t>
      </w:r>
      <w:r>
        <w:t xml:space="preserve"> partisanship – that helping more people vote will indirectly favor one party. That is a matter of debate, not clear-cut illegality.</w:t>
      </w:r>
    </w:p>
    <w:p w14:paraId="5D8DCDE8" w14:textId="77777777" w:rsidR="00406E3B" w:rsidRDefault="00406E3B" w:rsidP="00406E3B">
      <w:pPr>
        <w:pStyle w:val="BodyText"/>
      </w:pPr>
      <w:r>
        <w:t xml:space="preserve">On intent, OSF unabashedly supports outcomes that overlap with progressive political goals (greater voter turnout in underrepresented communities, defeat of voter restriction laws, etc.). But one can argue these goals are </w:t>
      </w:r>
      <w:r>
        <w:rPr>
          <w:i/>
          <w:iCs/>
        </w:rPr>
        <w:t>instrumental</w:t>
      </w:r>
      <w:r>
        <w:t xml:space="preserve"> to its core mission of open society and human rights. </w:t>
      </w:r>
      <w:r>
        <w:rPr>
          <w:b/>
          <w:bCs/>
        </w:rPr>
        <w:t>Pluralism, equality, and justice</w:t>
      </w:r>
      <w:r>
        <w:t xml:space="preserve"> – OSF’s guiding lights – do often line up on the left side of the U.S. political spectrum at this moment in history. That doesn’t make them nakedly partisan aims; it does mean OSF’s philanthropy is not ideologically neutral. It is values-driven, and those values conflict with the agenda of the contemporary GOP in many instances (for example, OSF abhors voter ID laws that many Republicans support). Thus, the tension: OSF is </w:t>
      </w:r>
      <w:r>
        <w:rPr>
          <w:b/>
          <w:bCs/>
        </w:rPr>
        <w:t>nonpartisan by law</w:t>
      </w:r>
      <w:r>
        <w:t>, but hardly neutral about what it thinks is good for society. This is a common situation for public-interest nonprofits, be they left-leaning or right-leaning – they operate legally without party affiliation, yet their work isn’t politically colorless.</w:t>
      </w:r>
    </w:p>
    <w:p w14:paraId="242126A2" w14:textId="77777777" w:rsidR="00406E3B" w:rsidRDefault="00406E3B" w:rsidP="00406E3B">
      <w:pPr>
        <w:pStyle w:val="BodyText"/>
      </w:pPr>
      <w:r>
        <w:rPr>
          <w:b/>
          <w:bCs/>
        </w:rPr>
        <w:t>Case in Point:</w:t>
      </w:r>
      <w:r>
        <w:t xml:space="preserve"> The partisan impact question came into sharp relief in the 2020 U.S. elections. OSF-backed groups helped register voters in key states like Georgia and Arizona, which flipped from Republican to Democratic for the first time in decades. Did OSF “cause” those outcomes? That’s impossible to pin on any one factor – national anti-Trump sentiment, candidate quality, and grassroots organizing by many groups all played roles. But it is likely that the expanded voter rolls and high turnout – which OSF’s funding contributed to – were part of the equation. Progressive analysts celebrated those victories as proof that investing in civic participation pays off. Conservative legislators in Georgia responded by enacting new voting restrictions in 2021, arguably to counter the surge in turnout that had benefited Democrats. These moves keep the cycle of suspicion going: when one side’s losses are attributed to higher turnout, it breeds more accusations that the get-out-the-vote efforts were “partisan” tricks.</w:t>
      </w:r>
    </w:p>
    <w:p w14:paraId="26D3D72A" w14:textId="77777777" w:rsidR="00406E3B" w:rsidRDefault="00406E3B" w:rsidP="00406E3B">
      <w:pPr>
        <w:pStyle w:val="BodyText"/>
      </w:pPr>
      <w:r>
        <w:t xml:space="preserve">Academic </w:t>
      </w:r>
      <w:r>
        <w:rPr>
          <w:b/>
          <w:bCs/>
        </w:rPr>
        <w:t>competing analyses</w:t>
      </w:r>
      <w:r>
        <w:t xml:space="preserve">, however, caution against drawing straight lines from turnout programs to partisan wins. Some research even suggests nonpartisan voter mobilization has diminishing partisan returns because both parties adjust. If Democrats gain from higher youth turnout one year, Republicans intensify their own outreach or recalibrate their messages the next. Over time, the system equilibrates such that encouraging voting doesn’t inherently guarantee one party permanent advantage. In short, </w:t>
      </w:r>
      <w:r>
        <w:rPr>
          <w:b/>
          <w:bCs/>
        </w:rPr>
        <w:lastRenderedPageBreak/>
        <w:t>democracy promotion is not a zero-sum conspiracy</w:t>
      </w:r>
      <w:r>
        <w:t>; it’s a public good that can unpredictably benefit different players in different contexts.</w:t>
      </w:r>
    </w:p>
    <w:p w14:paraId="27F23695" w14:textId="77777777" w:rsidR="00406E3B" w:rsidRDefault="00406E3B" w:rsidP="00406E3B">
      <w:pPr>
        <w:pStyle w:val="Heading2"/>
      </w:pPr>
      <w:bookmarkStart w:id="43" w:name="X46499b6f428dc9b3c2fe1c47614c00ed899ba9d"/>
      <w:bookmarkEnd w:id="42"/>
      <w:r>
        <w:t>Global Reach: Civic Participation Beyond the U.S.</w:t>
      </w:r>
    </w:p>
    <w:p w14:paraId="1224C12E" w14:textId="77777777" w:rsidR="00406E3B" w:rsidRDefault="00406E3B" w:rsidP="00406E3B">
      <w:pPr>
        <w:pStyle w:val="FirstParagraph"/>
      </w:pPr>
      <w:r>
        <w:t>While the fiercest debates about OSF and elections occur in America, OSF’s commitment to civic participation is global in scope. Across continents, OSF and its affiliated national foundations support free and fair elections as part of broader democracy-building. These efforts often mirror those in the U.S. – voter education, election monitoring, combating fraud – but are tailored to local contexts and sometimes to more existential democratic struggles.</w:t>
      </w:r>
    </w:p>
    <w:p w14:paraId="2713CD64" w14:textId="77777777" w:rsidR="00406E3B" w:rsidRDefault="00406E3B" w:rsidP="00406E3B">
      <w:pPr>
        <w:pStyle w:val="BodyText"/>
      </w:pPr>
      <w:r>
        <w:t xml:space="preserve">In </w:t>
      </w:r>
      <w:r>
        <w:rPr>
          <w:b/>
          <w:bCs/>
        </w:rPr>
        <w:t>Eastern Europe</w:t>
      </w:r>
      <w:r>
        <w:t xml:space="preserve">, for example, OSF has long worked to nurture nascent democracies after the fall of communism. The International Renaissance Foundation (OSF’s branch in Ukraine) has supported projects to increase voter turnout and informed voting, especially among youth and marginalized groups, in the face of cynicism and Russian disinformation. Ahead of Ukraine’s 2019 elections, OSF funded initiatives to improve the </w:t>
      </w:r>
      <w:r>
        <w:rPr>
          <w:b/>
          <w:bCs/>
        </w:rPr>
        <w:t>safety of civic activists and election monitors</w:t>
      </w:r>
      <w:r>
        <w:t>, many of whom faced intimidation in a tense political climate</w:t>
      </w:r>
      <w:hyperlink r:id="rId629" w:anchor=":~:text=electoral%20campaign,harassed%20during%20the%20campaign%20season">
        <w:r>
          <w:rPr>
            <w:rStyle w:val="Hyperlink"/>
          </w:rPr>
          <w:t>[13]</w:t>
        </w:r>
      </w:hyperlink>
      <w:r>
        <w:t xml:space="preserve">. In </w:t>
      </w:r>
      <w:r>
        <w:rPr>
          <w:b/>
          <w:bCs/>
        </w:rPr>
        <w:t>Armenia</w:t>
      </w:r>
      <w:r>
        <w:t>, OSF’s foundation responded to an unexpected snap election in 2018 by funding televised candidate debates</w:t>
      </w:r>
      <w:hyperlink r:id="rId630" w:anchor=":~:text=electoral%20process,could%20make%20an%20informed%20decision">
        <w:r>
          <w:rPr>
            <w:rStyle w:val="Hyperlink"/>
          </w:rPr>
          <w:t>[46]</w:t>
        </w:r>
      </w:hyperlink>
      <w:r>
        <w:t>. That move was crucial in a country where independent debate culture was weak – it gave voters a chance to compare candidates on substantive issues in real time. Local observers credited these debates with elevating public understanding during Armenia’s democratic transition, illustrating how even a small grant for civic tech (in this case, media production) can have outsized impact.</w:t>
      </w:r>
    </w:p>
    <w:p w14:paraId="3DBB3A56" w14:textId="77777777" w:rsidR="00406E3B" w:rsidRDefault="00406E3B" w:rsidP="00406E3B">
      <w:pPr>
        <w:pStyle w:val="BodyText"/>
      </w:pPr>
      <w:r>
        <w:t xml:space="preserve">In </w:t>
      </w:r>
      <w:r>
        <w:rPr>
          <w:b/>
          <w:bCs/>
        </w:rPr>
        <w:t>Africa</w:t>
      </w:r>
      <w:r>
        <w:t>, OSF’s regional foundations like OSIWA have tackled the dual challenges of low voter participation and electoral violence. The “Situation Room” model mentioned earlier has been implemented during elections in Nigeria and Senegal, coordinating civil society observers via technology to report incidents rapidly</w:t>
      </w:r>
      <w:hyperlink r:id="rId631" w:anchor=":~:text=The%20Open%20Society%20Initiative%20for,harassed%20during%20the%20campaign%20season">
        <w:r>
          <w:rPr>
            <w:rStyle w:val="Hyperlink"/>
          </w:rPr>
          <w:t>[12]</w:t>
        </w:r>
      </w:hyperlink>
      <w:r>
        <w:t xml:space="preserve">. This not only helps protect voters on election day but also builds confidence in the process – citizens see that someone is watching the vote. In countries like South Africa, OSF-supported groups have partnered with official election commissions to </w:t>
      </w:r>
      <w:r>
        <w:rPr>
          <w:b/>
          <w:bCs/>
        </w:rPr>
        <w:t>monitor misinformation and hate speech</w:t>
      </w:r>
      <w:r>
        <w:t xml:space="preserve"> that could spark conflict</w:t>
      </w:r>
      <w:hyperlink r:id="rId632" w:anchor=":~:text=appearances">
        <w:r>
          <w:rPr>
            <w:rStyle w:val="Hyperlink"/>
          </w:rPr>
          <w:t>[47]</w:t>
        </w:r>
      </w:hyperlink>
      <w:r>
        <w:t>. For instance, Media Monitoring Africa, with OSF funding, worked during recent elections to flag dangerous false narratives on social media and alert authorities before they spread</w:t>
      </w:r>
      <w:hyperlink r:id="rId633" w:anchor=":~:text=appearances">
        <w:r>
          <w:rPr>
            <w:rStyle w:val="Hyperlink"/>
          </w:rPr>
          <w:t>[47]</w:t>
        </w:r>
      </w:hyperlink>
      <w:r>
        <w:t>.</w:t>
      </w:r>
    </w:p>
    <w:p w14:paraId="52B9DA3F" w14:textId="77777777" w:rsidR="00406E3B" w:rsidRDefault="00406E3B" w:rsidP="00406E3B">
      <w:pPr>
        <w:pStyle w:val="BodyText"/>
      </w:pPr>
      <w:r>
        <w:t xml:space="preserve">In </w:t>
      </w:r>
      <w:r>
        <w:rPr>
          <w:b/>
          <w:bCs/>
        </w:rPr>
        <w:t>Latin America</w:t>
      </w:r>
      <w:r>
        <w:t xml:space="preserve">, OSF’s interventions have ranged from supporting community-led voter education in remote indigenous areas to high-tech collaborations. During Mexico’s 2018 presidential race – a bitter contest awash in fake news – OSF helped launch </w:t>
      </w:r>
      <w:r>
        <w:rPr>
          <w:b/>
          <w:bCs/>
        </w:rPr>
        <w:t>Verificado</w:t>
      </w:r>
      <w:r>
        <w:t xml:space="preserve"> (as mentioned), which became a model for real-time fact-checking during elections</w:t>
      </w:r>
      <w:hyperlink r:id="rId634" w:anchor=":~:text=In%202018%2C%20during%20elections%20in,during%20debates%20and%20public%20appearances">
        <w:r>
          <w:rPr>
            <w:rStyle w:val="Hyperlink"/>
          </w:rPr>
          <w:t>[25]</w:t>
        </w:r>
      </w:hyperlink>
      <w:r>
        <w:t>. It involved a coalition of 90+ media outlets and NGOs debunking false claims and giving voters reliable information. The success of Verificado enhanced media accountability and arguably reduced the effectiveness of disinformation campaigns in that election.</w:t>
      </w:r>
    </w:p>
    <w:p w14:paraId="3EF67708" w14:textId="77777777" w:rsidR="00406E3B" w:rsidRDefault="00406E3B" w:rsidP="00406E3B">
      <w:pPr>
        <w:pStyle w:val="BodyText"/>
      </w:pPr>
      <w:r>
        <w:t xml:space="preserve">A common thread in the international work is </w:t>
      </w:r>
      <w:r>
        <w:rPr>
          <w:b/>
          <w:bCs/>
        </w:rPr>
        <w:t>defending electoral integrity against authoritarian tendencies</w:t>
      </w:r>
      <w:r>
        <w:t xml:space="preserve">. OSF often operates in countries where ruling parties try to tilt </w:t>
      </w:r>
      <w:r>
        <w:lastRenderedPageBreak/>
        <w:t>the field – through media control, harassment of opponents, or outright fraud. In those environments, OSF-funded programs might train domestic election observers to do parallel vote counts (to detect rigging), or assist local NGOs in documenting and reporting electoral abuses to international bodies. These actions sometimes put OSF at odds with governments. Authoritarian leaders from Hungary’s Viktor Orbán to more recently Nicaragua’s regime have demonized OSF as a meddling force that supports the opposition under the guise of democracy promotion. That mirrors the U.S. dynamic in a way: those in power who feel threatened by increased civic participation often blame Soros/OSF as a convenient foil. It’s a testament to OSF’s influence (real or perceived) that its name arises in disparate countries whenever movements for fair elections gain ground.</w:t>
      </w:r>
    </w:p>
    <w:p w14:paraId="10414713" w14:textId="77777777" w:rsidR="00406E3B" w:rsidRDefault="00406E3B" w:rsidP="00406E3B">
      <w:pPr>
        <w:pStyle w:val="BodyText"/>
      </w:pPr>
      <w:r>
        <w:t xml:space="preserve">Yet many credit OSF with a positive role in global democratic progress. The Kofi Annan Commission on Elections and Democracy in the Digital Age, a high-level panel that issued recommendations in 2020, was </w:t>
      </w:r>
      <w:r>
        <w:rPr>
          <w:b/>
          <w:bCs/>
        </w:rPr>
        <w:t>backed by OSF as a convener and funder</w:t>
      </w:r>
      <w:hyperlink r:id="rId635" w:anchor=":~:text=Open%20Society%20also%20supports%20global,practice%20ideas%20on%20election%20observation">
        <w:r>
          <w:rPr>
            <w:rStyle w:val="Hyperlink"/>
          </w:rPr>
          <w:t>[48]</w:t>
        </w:r>
      </w:hyperlink>
      <w:r>
        <w:t xml:space="preserve">. By facilitating such global dialogues, OSF helps set norms and best practices – from regulating political ads online to improving inclusion of women and minorities in politics. OSF’s </w:t>
      </w:r>
      <w:r>
        <w:rPr>
          <w:b/>
          <w:bCs/>
        </w:rPr>
        <w:t>international civic tech</w:t>
      </w:r>
      <w:r>
        <w:t xml:space="preserve"> funding also helps spread innovations: for example, an election results transparency platform used in Kenya (where results from each polling station are published online to prevent tampering) may benefit from OSF support and then be adapted in other countries.</w:t>
      </w:r>
    </w:p>
    <w:p w14:paraId="33505D39" w14:textId="77777777" w:rsidR="00406E3B" w:rsidRDefault="00406E3B" w:rsidP="00406E3B">
      <w:pPr>
        <w:pStyle w:val="BodyText"/>
      </w:pPr>
      <w:r>
        <w:t xml:space="preserve">In sum, while the specifics vary, OSF’s worldwide election-related initiatives reinforce the same principles: </w:t>
      </w:r>
      <w:r>
        <w:rPr>
          <w:b/>
          <w:bCs/>
        </w:rPr>
        <w:t>make elections more accessible, more secure, and more transparent</w:t>
      </w:r>
      <w:r>
        <w:t>. Whether in a mature democracy like the U.S. or a fragile one in another region, the foundation’s money and expertise strive to empower civil society to engage in the electoral arena. And much like in the U.S., these efforts abroad can become flashpoints in larger ideological battles about the direction of countries.</w:t>
      </w:r>
    </w:p>
    <w:bookmarkEnd w:id="43"/>
    <w:p w14:paraId="2D152BD3" w14:textId="77777777" w:rsidR="00406E3B" w:rsidRDefault="00406E3B" w:rsidP="00406E3B">
      <w:pPr>
        <w:pStyle w:val="Heading2"/>
      </w:pPr>
      <w:r>
        <w:t>Conclusion</w:t>
      </w:r>
    </w:p>
    <w:p w14:paraId="203F0882" w14:textId="77777777" w:rsidR="00406E3B" w:rsidRDefault="00406E3B" w:rsidP="00406E3B">
      <w:pPr>
        <w:pStyle w:val="FirstParagraph"/>
      </w:pPr>
      <w:r>
        <w:t>OSF’s engagement in elections and civic participation is an expansive, multi-faceted campaign in its own right – arguably as important to the foundation’s mission as its work on justice reform or media freedom. It operates in a gray zone between pure civic idealism and the gritty realities of power politics. On one hand, the narrative OSF tells about itself is convincing: democracy only functions if people can and do participate equally, so philanthropic support for that participation is a public service, not a partisan plot. The foundation’s track record includes tangible improvements – more voters on the rolls, more watchdogs at the polls, fairer procedures in some places – that have strengthened democratic processes. On the other hand, OSF’s priorities undeniably align more with one side of the political spectrum’s vision of democracy (expansive voting rights, inclusive representation), and its interventions have sometimes contributed to outcomes favoring that side.</w:t>
      </w:r>
    </w:p>
    <w:p w14:paraId="2D362850" w14:textId="77777777" w:rsidR="00406E3B" w:rsidRDefault="00406E3B" w:rsidP="00406E3B">
      <w:pPr>
        <w:pStyle w:val="BodyText"/>
      </w:pPr>
      <w:r>
        <w:t xml:space="preserve">Legally, OSF stays scrupulously within the boundaries of nonpartisanship, even as it pushes the envelope of </w:t>
      </w:r>
      <w:r>
        <w:rPr>
          <w:b/>
          <w:bCs/>
        </w:rPr>
        <w:t>what engaged philanthropy in elections looks like</w:t>
      </w:r>
      <w:r>
        <w:t xml:space="preserve">. The </w:t>
      </w:r>
      <w:r>
        <w:lastRenderedPageBreak/>
        <w:t>controversies that swirl around it – from U.S. pundits lambasting Soros for boosting liberal turnout, to European strongmen accusing OSF of regime change plots – underscore a central tension: In polarized societies, even efforts to encourage basic civic duties can be seen as partisan provocations. OSF has chosen to embrace that risk, continuing to fund civic participation as a cornerstone of an open society. As we have seen, the foundation is open about its belief that certain groups (youth, minorities, women, and other marginalized communities) need extra support to have an equal voice. Critics interpret that as playing favorites. But to OSF, it is a correction of imbalance rather than tilting of scales.</w:t>
      </w:r>
    </w:p>
    <w:p w14:paraId="275A0CB8" w14:textId="11B54AAD" w:rsidR="00406E3B" w:rsidRDefault="00406E3B" w:rsidP="00406E3B">
      <w:r>
        <w:t xml:space="preserve">Moving forward, OSF and similar organizations face new challenges on this front. Election denialism and hyper-partisanship threaten to erode trust in the very systems OSF is trying to bolster. Misinformation can undo the impact of voter education in one viral swoop. And legal battles continue over just </w:t>
      </w:r>
      <w:r>
        <w:rPr>
          <w:b/>
          <w:bCs/>
        </w:rPr>
        <w:t>how far</w:t>
      </w:r>
      <w:r>
        <w:t xml:space="preserve"> private money (especially from high-profile figures like Soros) should be allowed to intertwine with public election administration. This chapter has shown that OSF’s work on elections, while ambitious and often effective, is never neutral ground. It must constantly prove its nonpartisan integrity while fighting for inclusive democracy. That balancing act – between </w:t>
      </w:r>
      <w:r>
        <w:rPr>
          <w:b/>
          <w:bCs/>
        </w:rPr>
        <w:t>bold advocacy for participation</w:t>
      </w:r>
      <w:r>
        <w:t xml:space="preserve"> and </w:t>
      </w:r>
      <w:r>
        <w:rPr>
          <w:b/>
          <w:bCs/>
        </w:rPr>
        <w:t>reassuring transparency about motives</w:t>
      </w:r>
      <w:r>
        <w:t xml:space="preserve"> – will remain delicate. But as long as segments of society are voiceless or elections are vulnerable, OSF seems poised to stay in the arena, insisting that more democracy (never less) is the answer.</w:t>
      </w:r>
    </w:p>
    <w:p w14:paraId="4D2016BD" w14:textId="3865D8BF" w:rsidR="00406E3B" w:rsidRDefault="00000000" w:rsidP="00406E3B">
      <w:r>
        <w:pict w14:anchorId="7F068694">
          <v:rect id="_x0000_i1032" style="width:0;height:1.5pt" o:hralign="center" o:hrstd="t" o:hr="t"/>
        </w:pict>
      </w:r>
    </w:p>
    <w:p w14:paraId="3D68698B" w14:textId="0352821E" w:rsidR="00406E3B" w:rsidRDefault="00406E3B" w:rsidP="00406E3B"/>
    <w:p w14:paraId="1476CFDC" w14:textId="77777777" w:rsidR="00E4099A" w:rsidRDefault="00E4099A" w:rsidP="00406E3B"/>
    <w:p w14:paraId="7CCEAE1A" w14:textId="77777777" w:rsidR="00E4099A" w:rsidRDefault="00E4099A" w:rsidP="00406E3B"/>
    <w:p w14:paraId="564060DD" w14:textId="77777777" w:rsidR="00E4099A" w:rsidRDefault="00E4099A" w:rsidP="00406E3B"/>
    <w:p w14:paraId="306CCDDB" w14:textId="77777777" w:rsidR="00E4099A" w:rsidRDefault="00E4099A" w:rsidP="00406E3B"/>
    <w:p w14:paraId="0968E1F1" w14:textId="77777777" w:rsidR="00E4099A" w:rsidRDefault="00E4099A" w:rsidP="00406E3B"/>
    <w:p w14:paraId="6E4D914B" w14:textId="77777777" w:rsidR="00E4099A" w:rsidRDefault="00E4099A" w:rsidP="00406E3B"/>
    <w:p w14:paraId="19D71090" w14:textId="77777777" w:rsidR="00E4099A" w:rsidRDefault="00E4099A" w:rsidP="00406E3B"/>
    <w:p w14:paraId="0DFF901E" w14:textId="77777777" w:rsidR="00E4099A" w:rsidRDefault="00E4099A" w:rsidP="00406E3B"/>
    <w:p w14:paraId="1AE93597" w14:textId="77777777" w:rsidR="00E4099A" w:rsidRDefault="00E4099A" w:rsidP="00406E3B"/>
    <w:p w14:paraId="0F1B3E9D" w14:textId="77777777" w:rsidR="00E4099A" w:rsidRDefault="00E4099A" w:rsidP="00406E3B"/>
    <w:p w14:paraId="129678B2" w14:textId="77777777" w:rsidR="00E4099A" w:rsidRDefault="00E4099A" w:rsidP="00406E3B"/>
    <w:p w14:paraId="0A3C2DA5" w14:textId="77777777" w:rsidR="00E4099A" w:rsidRDefault="00E4099A" w:rsidP="00406E3B"/>
    <w:p w14:paraId="7E6A5069" w14:textId="77777777" w:rsidR="00E4099A" w:rsidRDefault="00E4099A" w:rsidP="00E4099A">
      <w:pPr>
        <w:pStyle w:val="Heading1"/>
      </w:pPr>
      <w:r>
        <w:lastRenderedPageBreak/>
        <w:t>Chapter 8: Foreign Policy and Regime Change Allegations</w:t>
      </w:r>
    </w:p>
    <w:p w14:paraId="4F9BD33D" w14:textId="77777777" w:rsidR="00E4099A" w:rsidRDefault="00E4099A" w:rsidP="00E4099A">
      <w:pPr>
        <w:pStyle w:val="Heading2"/>
      </w:pPr>
      <w:r>
        <w:t>Introduction</w:t>
      </w:r>
    </w:p>
    <w:p w14:paraId="2803B82F" w14:textId="77777777" w:rsidR="00E4099A" w:rsidRDefault="00E4099A" w:rsidP="00E4099A">
      <w:pPr>
        <w:pStyle w:val="FirstParagraph"/>
      </w:pPr>
      <w:r>
        <w:t xml:space="preserve">Regime change – the overthrow or fundamental alteration of a country’s government by outside intervention – has long been a flashpoint in international affairs. Throughout modern history, major powers and regional actors have been accused of </w:t>
      </w:r>
      <w:r>
        <w:rPr>
          <w:i/>
          <w:iCs/>
        </w:rPr>
        <w:t>meddling</w:t>
      </w:r>
      <w:r>
        <w:t xml:space="preserve"> in other nations’ leadership transitions. Such allegations range from </w:t>
      </w:r>
      <w:r>
        <w:rPr>
          <w:b/>
          <w:bCs/>
        </w:rPr>
        <w:t>documented covert operations</w:t>
      </w:r>
      <w:r>
        <w:t xml:space="preserve"> during the Cold War to </w:t>
      </w:r>
      <w:r>
        <w:rPr>
          <w:b/>
          <w:bCs/>
        </w:rPr>
        <w:t>murky claims</w:t>
      </w:r>
      <w:r>
        <w:t xml:space="preserve"> about “color revolutions” and election interference in recent decades. This chapter critically examines high-profile accusations country by country, separating established </w:t>
      </w:r>
      <w:r>
        <w:rPr>
          <w:i/>
          <w:iCs/>
        </w:rPr>
        <w:t>facts</w:t>
      </w:r>
      <w:r>
        <w:t xml:space="preserve"> from politically charged </w:t>
      </w:r>
      <w:r>
        <w:rPr>
          <w:i/>
          <w:iCs/>
        </w:rPr>
        <w:t>allegations</w:t>
      </w:r>
      <w:r>
        <w:t xml:space="preserve"> and unverified </w:t>
      </w:r>
      <w:r>
        <w:rPr>
          <w:i/>
          <w:iCs/>
        </w:rPr>
        <w:t>rumors</w:t>
      </w:r>
      <w:r>
        <w:t>. We will compare public evidence offered for each claim, consider counter-evidence and alternative explanations, and present current best assessments by experts. The goal is to shed light on what really happened in these contentious cases – and to understand how perceptions of foreign-orchestrated regime change shape today’s geopolitical narratives.</w:t>
      </w:r>
    </w:p>
    <w:p w14:paraId="31BDA191" w14:textId="77777777" w:rsidR="00E4099A" w:rsidRDefault="00E4099A" w:rsidP="00E4099A">
      <w:pPr>
        <w:pStyle w:val="BodyText"/>
      </w:pPr>
      <w:r>
        <w:rPr>
          <w:b/>
          <w:bCs/>
        </w:rPr>
        <w:t>Foreign involvement in regime change</w:t>
      </w:r>
      <w:r>
        <w:t xml:space="preserve"> takes many forms. It can be </w:t>
      </w:r>
      <w:r>
        <w:rPr>
          <w:b/>
          <w:bCs/>
        </w:rPr>
        <w:t>overt</w:t>
      </w:r>
      <w:r>
        <w:t xml:space="preserve">, such as a military invasion or direct support for a coup d’etat, or </w:t>
      </w:r>
      <w:r>
        <w:rPr>
          <w:b/>
          <w:bCs/>
        </w:rPr>
        <w:t>covert</w:t>
      </w:r>
      <w:r>
        <w:t xml:space="preserve">, such as clandestine funding of opposition groups, intelligence operations, and propaganda. During the 20th century, especially amid Cold War rivalries, the United States and the Soviet Union frequently intervened (directly or through proxies) to install friendly regimes abroad. These actions were often shrouded in secrecy at the time, leading to decades of speculation before historical evidence emerged. In the 21st century, accusations of regime-change efforts persist, now often involving subtler methods: financing non-governmental organizations, cyber operations, election interference, and diplomatic pressure. Notably, both </w:t>
      </w:r>
      <w:r>
        <w:rPr>
          <w:b/>
          <w:bCs/>
        </w:rPr>
        <w:t>authoritarian states</w:t>
      </w:r>
      <w:r>
        <w:t xml:space="preserve"> and </w:t>
      </w:r>
      <w:r>
        <w:rPr>
          <w:b/>
          <w:bCs/>
        </w:rPr>
        <w:t>democracies</w:t>
      </w:r>
      <w:r>
        <w:t xml:space="preserve"> accuse each other of fomenting uprisings or coups – sometimes as a genuine concern, other times as a convenient way to discredit domestic opposition.</w:t>
      </w:r>
    </w:p>
    <w:p w14:paraId="52EBFDE2" w14:textId="77777777" w:rsidR="00E4099A" w:rsidRDefault="00E4099A" w:rsidP="00E4099A">
      <w:pPr>
        <w:pStyle w:val="BodyText"/>
      </w:pPr>
      <w:r>
        <w:t xml:space="preserve">To navigate this complex topic, we organize the discussion by key </w:t>
      </w:r>
      <w:r>
        <w:rPr>
          <w:i/>
          <w:iCs/>
        </w:rPr>
        <w:t>accused actors</w:t>
      </w:r>
      <w:r>
        <w:t xml:space="preserve">: from superpowers like the </w:t>
      </w:r>
      <w:r>
        <w:rPr>
          <w:b/>
          <w:bCs/>
        </w:rPr>
        <w:t>United States</w:t>
      </w:r>
      <w:r>
        <w:t xml:space="preserve"> and </w:t>
      </w:r>
      <w:r>
        <w:rPr>
          <w:b/>
          <w:bCs/>
        </w:rPr>
        <w:t>Russia</w:t>
      </w:r>
      <w:r>
        <w:t xml:space="preserve"> to regional players like </w:t>
      </w:r>
      <w:r>
        <w:rPr>
          <w:b/>
          <w:bCs/>
        </w:rPr>
        <w:t>Saudi Arabia</w:t>
      </w:r>
      <w:r>
        <w:t xml:space="preserve">, </w:t>
      </w:r>
      <w:r>
        <w:rPr>
          <w:b/>
          <w:bCs/>
        </w:rPr>
        <w:t>Iran</w:t>
      </w:r>
      <w:r>
        <w:t xml:space="preserve">, and </w:t>
      </w:r>
      <w:r>
        <w:rPr>
          <w:b/>
          <w:bCs/>
        </w:rPr>
        <w:t>China</w:t>
      </w:r>
      <w:r>
        <w:t xml:space="preserve">. For each, we summarize major allegations, weigh the publicly known evidence, consider official denials or counter-arguments, and give an objective assessment of credibility. Table 8.1 provides a comparative matrix of these country-by-country allegations. Following the table, we delve into at least two detailed case studies – with timelines drawn from public records – to illustrate how regime change operations have unfolded and how they are interpreted today. In these case studies, events and claims are clearly labeled as </w:t>
      </w:r>
      <w:r>
        <w:rPr>
          <w:b/>
          <w:bCs/>
        </w:rPr>
        <w:t>fact</w:t>
      </w:r>
      <w:r>
        <w:t xml:space="preserve">, </w:t>
      </w:r>
      <w:r>
        <w:rPr>
          <w:b/>
          <w:bCs/>
        </w:rPr>
        <w:t>allegation</w:t>
      </w:r>
      <w:r>
        <w:t xml:space="preserve">, or </w:t>
      </w:r>
      <w:r>
        <w:rPr>
          <w:b/>
          <w:bCs/>
        </w:rPr>
        <w:t>contested</w:t>
      </w:r>
      <w:r>
        <w:t>, highlighting the difference between what is proven and what remains disputed.</w:t>
      </w:r>
    </w:p>
    <w:p w14:paraId="4277A882" w14:textId="77777777" w:rsidR="00E4099A" w:rsidRDefault="00E4099A" w:rsidP="00E4099A">
      <w:pPr>
        <w:pStyle w:val="BodyText"/>
      </w:pPr>
      <w:r>
        <w:t xml:space="preserve">Understanding the truth behind regime change allegations is not just an academic exercise – it carries real stakes. Claims of foreign-orchestrated coups or revolutions can fuel nationalist backlashes, justify crackdowns, or serve as propaganda in great-power competitions. By critically evaluating these claims, we aim to inform readers’ skepticism </w:t>
      </w:r>
      <w:r>
        <w:lastRenderedPageBreak/>
        <w:t>and clarify which narratives are supported by evidence. In doing so, this chapter also reveals a larger pattern: while some “conspiracy theories” of foreign regime change turned out to be true (backed by declassified files and admissions), other accusations appear exaggerated or unfounded, often promoted by those with political agendas. Both realities coexist in international politics.</w:t>
      </w:r>
    </w:p>
    <w:p w14:paraId="0388622A" w14:textId="77777777" w:rsidR="00E4099A" w:rsidRDefault="00E4099A" w:rsidP="00E4099A">
      <w:pPr>
        <w:pStyle w:val="BodyText"/>
      </w:pPr>
      <w:r>
        <w:t>With that framing in mind, we turn to the comparative overview and then the country-specific analyses, starting with a broad survey of alleged interventions around the world.</w:t>
      </w:r>
    </w:p>
    <w:p w14:paraId="222A9E0E" w14:textId="77777777" w:rsidR="00E4099A" w:rsidRDefault="00E4099A" w:rsidP="00E4099A">
      <w:pPr>
        <w:pStyle w:val="Heading2"/>
      </w:pPr>
      <w:bookmarkStart w:id="44" w:name="X5239048c503b3e69c332c3070c925819571ca07"/>
      <w:r>
        <w:t>Comparative Matrix of Alleged Foreign-Orchestrated Regime Changes</w:t>
      </w:r>
    </w:p>
    <w:p w14:paraId="57FE4CC9" w14:textId="77777777" w:rsidR="00E4099A" w:rsidRDefault="00E4099A" w:rsidP="00E4099A">
      <w:pPr>
        <w:pStyle w:val="FirstParagraph"/>
      </w:pPr>
      <w:r>
        <w:rPr>
          <w:b/>
          <w:bCs/>
        </w:rPr>
        <w:t>Table 8.1: Comparative Summary of Regime Change Allegations by Country/Actor</w:t>
      </w:r>
      <w:r>
        <w:t>  (Allegation ➞ Evidence ➞ Counter-Evidence ➞ Current Assessment)</w:t>
      </w:r>
    </w:p>
    <w:tbl>
      <w:tblPr>
        <w:tblStyle w:val="Table"/>
        <w:tblW w:w="0" w:type="auto"/>
        <w:tblLook w:val="0020" w:firstRow="1" w:lastRow="0" w:firstColumn="0" w:lastColumn="0" w:noHBand="0" w:noVBand="0"/>
      </w:tblPr>
      <w:tblGrid>
        <w:gridCol w:w="1530"/>
        <w:gridCol w:w="1830"/>
        <w:gridCol w:w="2177"/>
        <w:gridCol w:w="2092"/>
        <w:gridCol w:w="1731"/>
      </w:tblGrid>
      <w:tr w:rsidR="00E4099A" w14:paraId="17E9AE5F" w14:textId="77777777" w:rsidTr="00BB2ADB">
        <w:trPr>
          <w:cnfStyle w:val="100000000000" w:firstRow="1" w:lastRow="0" w:firstColumn="0" w:lastColumn="0" w:oddVBand="0" w:evenVBand="0" w:oddHBand="0" w:evenHBand="0" w:firstRowFirstColumn="0" w:firstRowLastColumn="0" w:lastRowFirstColumn="0" w:lastRowLastColumn="0"/>
          <w:tblHeader/>
        </w:trPr>
        <w:tc>
          <w:tcPr>
            <w:tcW w:w="0" w:type="auto"/>
          </w:tcPr>
          <w:p w14:paraId="51D4A2B8" w14:textId="77777777" w:rsidR="00E4099A" w:rsidRDefault="00E4099A" w:rsidP="00BB2ADB">
            <w:pPr>
              <w:pStyle w:val="Compact"/>
            </w:pPr>
            <w:r>
              <w:rPr>
                <w:b/>
                <w:bCs/>
              </w:rPr>
              <w:t>Accused Country/Actor</w:t>
            </w:r>
          </w:p>
        </w:tc>
        <w:tc>
          <w:tcPr>
            <w:tcW w:w="0" w:type="auto"/>
          </w:tcPr>
          <w:p w14:paraId="657355AB" w14:textId="77777777" w:rsidR="00E4099A" w:rsidRDefault="00E4099A" w:rsidP="00BB2ADB">
            <w:pPr>
              <w:pStyle w:val="Compact"/>
            </w:pPr>
            <w:r>
              <w:rPr>
                <w:b/>
                <w:bCs/>
              </w:rPr>
              <w:t>Allegation (Target &amp; Context)</w:t>
            </w:r>
          </w:p>
        </w:tc>
        <w:tc>
          <w:tcPr>
            <w:tcW w:w="0" w:type="auto"/>
          </w:tcPr>
          <w:p w14:paraId="14AA5F62" w14:textId="77777777" w:rsidR="00E4099A" w:rsidRDefault="00E4099A" w:rsidP="00BB2ADB">
            <w:pPr>
              <w:pStyle w:val="Compact"/>
            </w:pPr>
            <w:r>
              <w:rPr>
                <w:b/>
                <w:bCs/>
              </w:rPr>
              <w:t>Public Evidence Offered</w:t>
            </w:r>
          </w:p>
        </w:tc>
        <w:tc>
          <w:tcPr>
            <w:tcW w:w="0" w:type="auto"/>
          </w:tcPr>
          <w:p w14:paraId="6719F968" w14:textId="77777777" w:rsidR="00E4099A" w:rsidRDefault="00E4099A" w:rsidP="00BB2ADB">
            <w:pPr>
              <w:pStyle w:val="Compact"/>
            </w:pPr>
            <w:r>
              <w:rPr>
                <w:b/>
                <w:bCs/>
              </w:rPr>
              <w:t>Counter-Evidence &amp; Denials</w:t>
            </w:r>
          </w:p>
        </w:tc>
        <w:tc>
          <w:tcPr>
            <w:tcW w:w="0" w:type="auto"/>
          </w:tcPr>
          <w:p w14:paraId="6A81FD92" w14:textId="77777777" w:rsidR="00E4099A" w:rsidRDefault="00E4099A" w:rsidP="00BB2ADB">
            <w:pPr>
              <w:pStyle w:val="Compact"/>
            </w:pPr>
            <w:r>
              <w:rPr>
                <w:b/>
                <w:bCs/>
              </w:rPr>
              <w:t>Current Best Assessment</w:t>
            </w:r>
          </w:p>
        </w:tc>
      </w:tr>
      <w:tr w:rsidR="00E4099A" w14:paraId="19553F0C" w14:textId="77777777" w:rsidTr="00BB2ADB">
        <w:tc>
          <w:tcPr>
            <w:tcW w:w="0" w:type="auto"/>
          </w:tcPr>
          <w:p w14:paraId="7AD32E4D" w14:textId="77777777" w:rsidR="00E4099A" w:rsidRDefault="00E4099A" w:rsidP="00BB2ADB">
            <w:pPr>
              <w:pStyle w:val="Compact"/>
            </w:pPr>
            <w:r>
              <w:rPr>
                <w:b/>
                <w:bCs/>
              </w:rPr>
              <w:t>United States</w:t>
            </w:r>
          </w:p>
        </w:tc>
        <w:tc>
          <w:tcPr>
            <w:tcW w:w="0" w:type="auto"/>
          </w:tcPr>
          <w:p w14:paraId="12A43E3B" w14:textId="77777777" w:rsidR="00E4099A" w:rsidRDefault="00E4099A" w:rsidP="00BB2ADB">
            <w:pPr>
              <w:pStyle w:val="Compact"/>
            </w:pPr>
            <w:r>
              <w:t xml:space="preserve">Orchestrating coups and revolutions worldwide (esp. during Cold War and post-2000 “color revolutions”). Notable targets: </w:t>
            </w:r>
            <w:r>
              <w:rPr>
                <w:i/>
                <w:iCs/>
              </w:rPr>
              <w:t>Iran (1953)</w:t>
            </w:r>
            <w:r>
              <w:t xml:space="preserve">, </w:t>
            </w:r>
            <w:r>
              <w:rPr>
                <w:i/>
                <w:iCs/>
              </w:rPr>
              <w:t>Guatemala (1954)</w:t>
            </w:r>
            <w:r>
              <w:t xml:space="preserve">, </w:t>
            </w:r>
            <w:r>
              <w:rPr>
                <w:i/>
                <w:iCs/>
              </w:rPr>
              <w:t>Chile (1973)</w:t>
            </w:r>
            <w:r>
              <w:t xml:space="preserve">, </w:t>
            </w:r>
            <w:r>
              <w:rPr>
                <w:i/>
                <w:iCs/>
              </w:rPr>
              <w:t>others</w:t>
            </w:r>
            <w:r>
              <w:t xml:space="preserve">; more recently </w:t>
            </w:r>
            <w:r>
              <w:rPr>
                <w:i/>
                <w:iCs/>
              </w:rPr>
              <w:t>Serbia (2000)</w:t>
            </w:r>
            <w:r>
              <w:t xml:space="preserve">, </w:t>
            </w:r>
            <w:r>
              <w:rPr>
                <w:i/>
                <w:iCs/>
              </w:rPr>
              <w:t>Georgia (2003)</w:t>
            </w:r>
            <w:r>
              <w:t xml:space="preserve">, </w:t>
            </w:r>
            <w:r>
              <w:rPr>
                <w:i/>
                <w:iCs/>
              </w:rPr>
              <w:t>Ukraine (2004, 2014)</w:t>
            </w:r>
            <w:r>
              <w:t xml:space="preserve">, </w:t>
            </w:r>
            <w:r>
              <w:rPr>
                <w:i/>
                <w:iCs/>
              </w:rPr>
              <w:t>Middle East uprisings</w:t>
            </w:r>
            <w:r>
              <w:t xml:space="preserve">, </w:t>
            </w:r>
            <w:r>
              <w:rPr>
                <w:i/>
                <w:iCs/>
              </w:rPr>
              <w:t>Venezuela</w:t>
            </w:r>
            <w:r>
              <w:t>.</w:t>
            </w:r>
          </w:p>
        </w:tc>
        <w:tc>
          <w:tcPr>
            <w:tcW w:w="0" w:type="auto"/>
          </w:tcPr>
          <w:p w14:paraId="41F41375" w14:textId="77777777" w:rsidR="00E4099A" w:rsidRDefault="00E4099A" w:rsidP="00BB2ADB">
            <w:pPr>
              <w:pStyle w:val="Compact"/>
            </w:pPr>
            <w:r>
              <w:rPr>
                <w:b/>
                <w:bCs/>
              </w:rPr>
              <w:t>Declassified documents</w:t>
            </w:r>
            <w:r>
              <w:t xml:space="preserve"> show CIA’s role in multiple Cold War coups (e.g. Iran, Guatemala, Congo) {S:NSArchive2013}. U.S. officials have </w:t>
            </w:r>
            <w:r>
              <w:rPr>
                <w:i/>
                <w:iCs/>
              </w:rPr>
              <w:t>acknowledged</w:t>
            </w:r>
            <w:r>
              <w:t xml:space="preserve"> past interventions (e.g. Obama admitted the CIA’s role in 1953 Iran {S:Guardian2013}). Funding of foreign pro-democracy NGOs (e.g. via NED/USAID) and incidents like the leaked </w:t>
            </w:r>
            <w:r>
              <w:rPr>
                <w:b/>
                <w:bCs/>
              </w:rPr>
              <w:t>Nuland phone call</w:t>
            </w:r>
            <w:r>
              <w:t xml:space="preserve"> in Ukraine 2014 {S:Reuters2014} are cited as evidence of recent meddling.</w:t>
            </w:r>
          </w:p>
        </w:tc>
        <w:tc>
          <w:tcPr>
            <w:tcW w:w="0" w:type="auto"/>
          </w:tcPr>
          <w:p w14:paraId="4B9B47EB" w14:textId="77777777" w:rsidR="00E4099A" w:rsidRDefault="00E4099A" w:rsidP="00BB2ADB">
            <w:pPr>
              <w:pStyle w:val="Compact"/>
            </w:pPr>
            <w:r>
              <w:t xml:space="preserve">U.S. </w:t>
            </w:r>
            <w:r>
              <w:rPr>
                <w:b/>
                <w:bCs/>
              </w:rPr>
              <w:t>denials</w:t>
            </w:r>
            <w:r>
              <w:t xml:space="preserve"> at the time of many operations (often invoking national security). In recent cases, officials insist support was for </w:t>
            </w:r>
            <w:r>
              <w:rPr>
                <w:b/>
                <w:bCs/>
              </w:rPr>
              <w:t>democracy and civil society</w:t>
            </w:r>
            <w:r>
              <w:t xml:space="preserve">, not to “overthrow” governments. For example, the $5 billion aid to Ukraine (1991–2013) was for broad development, </w:t>
            </w:r>
            <w:r>
              <w:rPr>
                <w:i/>
                <w:iCs/>
              </w:rPr>
              <w:t>not</w:t>
            </w:r>
            <w:r>
              <w:t xml:space="preserve"> paying protestors {S:PolitiFact2014}. Many popular uprisings had strong </w:t>
            </w:r>
            <w:r>
              <w:rPr>
                <w:b/>
                <w:bCs/>
              </w:rPr>
              <w:t>domestic causes</w:t>
            </w:r>
            <w:r>
              <w:t xml:space="preserve"> (corruption, authoritarianism), casting doubt on a purely external origin {S:EUDisinfo2023}.</w:t>
            </w:r>
          </w:p>
        </w:tc>
        <w:tc>
          <w:tcPr>
            <w:tcW w:w="0" w:type="auto"/>
          </w:tcPr>
          <w:p w14:paraId="1F22E91A" w14:textId="77777777" w:rsidR="00E4099A" w:rsidRDefault="00E4099A" w:rsidP="00BB2ADB">
            <w:pPr>
              <w:pStyle w:val="Compact"/>
            </w:pPr>
            <w:r>
              <w:rPr>
                <w:b/>
                <w:bCs/>
              </w:rPr>
              <w:t>Mixed:</w:t>
            </w:r>
            <w:r>
              <w:t xml:space="preserve"> U.S. involvement in numerous </w:t>
            </w:r>
            <w:r>
              <w:rPr>
                <w:i/>
                <w:iCs/>
              </w:rPr>
              <w:t>Cold War-era coups</w:t>
            </w:r>
            <w:r>
              <w:t xml:space="preserve"> is </w:t>
            </w:r>
            <w:r>
              <w:rPr>
                <w:b/>
                <w:bCs/>
              </w:rPr>
              <w:t>historical fact</w:t>
            </w:r>
            <w:r>
              <w:t xml:space="preserve"> (admitted and documented). In post-Cold War uprisings, the U.S. often provided </w:t>
            </w:r>
            <w:r>
              <w:rPr>
                <w:i/>
                <w:iCs/>
              </w:rPr>
              <w:t>political or financial support</w:t>
            </w:r>
            <w:r>
              <w:t xml:space="preserve"> to opposition movements, but </w:t>
            </w:r>
            <w:r>
              <w:rPr>
                <w:b/>
                <w:bCs/>
              </w:rPr>
              <w:t>evidence of direct orchestration is weak</w:t>
            </w:r>
            <w:r>
              <w:t>. Some “color revolutions” were primarily homegrown, with U.S. influence opportunistic rather than controlling.</w:t>
            </w:r>
          </w:p>
        </w:tc>
      </w:tr>
      <w:tr w:rsidR="00E4099A" w14:paraId="478F8080" w14:textId="77777777" w:rsidTr="00BB2ADB">
        <w:tc>
          <w:tcPr>
            <w:tcW w:w="0" w:type="auto"/>
          </w:tcPr>
          <w:p w14:paraId="76607677" w14:textId="77777777" w:rsidR="00E4099A" w:rsidRDefault="00E4099A" w:rsidP="00BB2ADB">
            <w:pPr>
              <w:pStyle w:val="Compact"/>
            </w:pPr>
            <w:r>
              <w:rPr>
                <w:b/>
                <w:bCs/>
              </w:rPr>
              <w:t>Russia (and Former USSR)</w:t>
            </w:r>
          </w:p>
        </w:tc>
        <w:tc>
          <w:tcPr>
            <w:tcW w:w="0" w:type="auto"/>
          </w:tcPr>
          <w:p w14:paraId="6DAD9B87" w14:textId="77777777" w:rsidR="00E4099A" w:rsidRDefault="00E4099A" w:rsidP="00BB2ADB">
            <w:pPr>
              <w:pStyle w:val="Compact"/>
            </w:pPr>
            <w:r>
              <w:t xml:space="preserve">Using covert means to install or protect friendly regimes and destabilize unfriendly ones. Soviet-era </w:t>
            </w:r>
            <w:r>
              <w:lastRenderedPageBreak/>
              <w:t xml:space="preserve">examples: </w:t>
            </w:r>
            <w:r>
              <w:rPr>
                <w:i/>
                <w:iCs/>
              </w:rPr>
              <w:t>Hungary (1956)</w:t>
            </w:r>
            <w:r>
              <w:t xml:space="preserve">, </w:t>
            </w:r>
            <w:r>
              <w:rPr>
                <w:i/>
                <w:iCs/>
              </w:rPr>
              <w:t>Czechoslovakia (1968)</w:t>
            </w:r>
            <w:r>
              <w:t xml:space="preserve">, </w:t>
            </w:r>
            <w:r>
              <w:rPr>
                <w:i/>
                <w:iCs/>
              </w:rPr>
              <w:t>Afghanistan (1979)</w:t>
            </w:r>
            <w:r>
              <w:t xml:space="preserve"> (all open invasions). Post-Soviet: Alleged </w:t>
            </w:r>
            <w:r>
              <w:rPr>
                <w:b/>
                <w:bCs/>
              </w:rPr>
              <w:t>coups or election meddling</w:t>
            </w:r>
            <w:r>
              <w:t xml:space="preserve"> in </w:t>
            </w:r>
            <w:r>
              <w:rPr>
                <w:i/>
                <w:iCs/>
              </w:rPr>
              <w:t>Baltics &amp; Balkans</w:t>
            </w:r>
            <w:r>
              <w:t xml:space="preserve">, </w:t>
            </w:r>
            <w:r>
              <w:rPr>
                <w:i/>
                <w:iCs/>
              </w:rPr>
              <w:t>Georgia</w:t>
            </w:r>
            <w:r>
              <w:t xml:space="preserve">, </w:t>
            </w:r>
            <w:r>
              <w:rPr>
                <w:i/>
                <w:iCs/>
              </w:rPr>
              <w:t>Ukraine (2004, 2014)</w:t>
            </w:r>
            <w:r>
              <w:t xml:space="preserve">, </w:t>
            </w:r>
            <w:r>
              <w:rPr>
                <w:i/>
                <w:iCs/>
              </w:rPr>
              <w:t>Montenegro (2016)</w:t>
            </w:r>
            <w:r>
              <w:t xml:space="preserve">; plus </w:t>
            </w:r>
            <w:r>
              <w:rPr>
                <w:i/>
                <w:iCs/>
              </w:rPr>
              <w:t>2016 U.S. election interference</w:t>
            </w:r>
            <w:r>
              <w:t xml:space="preserve"> and support for authoritarian allies (e.g. Syria).</w:t>
            </w:r>
          </w:p>
        </w:tc>
        <w:tc>
          <w:tcPr>
            <w:tcW w:w="0" w:type="auto"/>
          </w:tcPr>
          <w:p w14:paraId="38348440" w14:textId="77777777" w:rsidR="00E4099A" w:rsidRDefault="00E4099A" w:rsidP="00BB2ADB">
            <w:pPr>
              <w:pStyle w:val="Compact"/>
            </w:pPr>
            <w:r>
              <w:lastRenderedPageBreak/>
              <w:t xml:space="preserve">Evidence varies. </w:t>
            </w:r>
            <w:r>
              <w:rPr>
                <w:b/>
                <w:bCs/>
              </w:rPr>
              <w:t>Soviet archives</w:t>
            </w:r>
            <w:r>
              <w:t xml:space="preserve"> confirm earlier interventions. Recent cases: Western investigations found Russia’s GRU agents </w:t>
            </w:r>
            <w:r>
              <w:lastRenderedPageBreak/>
              <w:t>linked to a 2016 coup plot in Montenegro (indictments of two Russians) and to election interference operations (hack-and-leak, online propaganda) abroad {S:RFERL2024}. Russian military/intelligence involvement in Ukraine (Crimea annexation, Donbas insurgency) was extensively documented.</w:t>
            </w:r>
          </w:p>
        </w:tc>
        <w:tc>
          <w:tcPr>
            <w:tcW w:w="0" w:type="auto"/>
          </w:tcPr>
          <w:p w14:paraId="51C26EFB" w14:textId="77777777" w:rsidR="00E4099A" w:rsidRDefault="00E4099A" w:rsidP="00BB2ADB">
            <w:pPr>
              <w:pStyle w:val="Compact"/>
            </w:pPr>
            <w:r>
              <w:lastRenderedPageBreak/>
              <w:t xml:space="preserve">Russia </w:t>
            </w:r>
            <w:r>
              <w:rPr>
                <w:b/>
                <w:bCs/>
              </w:rPr>
              <w:t>officially denies</w:t>
            </w:r>
            <w:r>
              <w:t xml:space="preserve"> offensive regime-change ops, and some plots remain unproven in court (e.g. Montenegro’s </w:t>
            </w:r>
            <w:r>
              <w:lastRenderedPageBreak/>
              <w:t xml:space="preserve">accused were ultimately acquitted for lack of evidence, and Russia called the charges absurd). Moscow often counters that Western agencies </w:t>
            </w:r>
            <w:r>
              <w:rPr>
                <w:i/>
                <w:iCs/>
              </w:rPr>
              <w:t>foment unrest</w:t>
            </w:r>
            <w:r>
              <w:t xml:space="preserve"> in Russia’s neighborhood. Many Russians view pro-Western revolutions (Ukraine, Georgia) as Western-engineered, not Russian.</w:t>
            </w:r>
          </w:p>
        </w:tc>
        <w:tc>
          <w:tcPr>
            <w:tcW w:w="0" w:type="auto"/>
          </w:tcPr>
          <w:p w14:paraId="2B2863F5" w14:textId="77777777" w:rsidR="00E4099A" w:rsidRDefault="00E4099A" w:rsidP="00BB2ADB">
            <w:pPr>
              <w:pStyle w:val="Compact"/>
            </w:pPr>
            <w:r>
              <w:rPr>
                <w:b/>
                <w:bCs/>
              </w:rPr>
              <w:lastRenderedPageBreak/>
              <w:t>Mixed:</w:t>
            </w:r>
            <w:r>
              <w:t xml:space="preserve"> The </w:t>
            </w:r>
            <w:r>
              <w:rPr>
                <w:i/>
                <w:iCs/>
              </w:rPr>
              <w:t>USSR</w:t>
            </w:r>
            <w:r>
              <w:t xml:space="preserve"> openly toppled governments within its sphere. </w:t>
            </w:r>
            <w:r>
              <w:rPr>
                <w:i/>
                <w:iCs/>
              </w:rPr>
              <w:t>Modern Russia</w:t>
            </w:r>
            <w:r>
              <w:t xml:space="preserve"> has engaged in aggressive </w:t>
            </w:r>
            <w:r>
              <w:lastRenderedPageBreak/>
              <w:t xml:space="preserve">interference (cyber, covert military) to undermine adversarial regimes – </w:t>
            </w:r>
            <w:r>
              <w:rPr>
                <w:b/>
                <w:bCs/>
              </w:rPr>
              <w:t>confirmed in cases like Ukraine</w:t>
            </w:r>
            <w:r>
              <w:t xml:space="preserve">. However, some specific coup allegations (e.g. Montenegro 2016) remain </w:t>
            </w:r>
            <w:r>
              <w:rPr>
                <w:b/>
                <w:bCs/>
              </w:rPr>
              <w:t>contested</w:t>
            </w:r>
            <w:r>
              <w:t xml:space="preserve">, with incomplete evidence. Overall, Russia </w:t>
            </w:r>
            <w:r>
              <w:rPr>
                <w:b/>
                <w:bCs/>
              </w:rPr>
              <w:t>does attempt to influence foreign leadership outcomes</w:t>
            </w:r>
            <w:r>
              <w:t>, but not every claim is proven.</w:t>
            </w:r>
          </w:p>
        </w:tc>
      </w:tr>
      <w:tr w:rsidR="00E4099A" w14:paraId="5C7D3D33" w14:textId="77777777" w:rsidTr="00BB2ADB">
        <w:tc>
          <w:tcPr>
            <w:tcW w:w="0" w:type="auto"/>
          </w:tcPr>
          <w:p w14:paraId="674187D0" w14:textId="77777777" w:rsidR="00E4099A" w:rsidRDefault="00E4099A" w:rsidP="00BB2ADB">
            <w:pPr>
              <w:pStyle w:val="Compact"/>
            </w:pPr>
            <w:r>
              <w:rPr>
                <w:b/>
                <w:bCs/>
              </w:rPr>
              <w:lastRenderedPageBreak/>
              <w:t>China</w:t>
            </w:r>
          </w:p>
        </w:tc>
        <w:tc>
          <w:tcPr>
            <w:tcW w:w="0" w:type="auto"/>
          </w:tcPr>
          <w:p w14:paraId="5804242E" w14:textId="77777777" w:rsidR="00E4099A" w:rsidRDefault="00E4099A" w:rsidP="00BB2ADB">
            <w:pPr>
              <w:pStyle w:val="Compact"/>
            </w:pPr>
            <w:r>
              <w:t xml:space="preserve">Covertly influencing or “buying” foreign political leadership to align with Beijing’s interests (rather than direct coups). Alleged targets: politicians in </w:t>
            </w:r>
            <w:r>
              <w:rPr>
                <w:i/>
                <w:iCs/>
              </w:rPr>
              <w:t>Asia</w:t>
            </w:r>
            <w:r>
              <w:t xml:space="preserve">, </w:t>
            </w:r>
            <w:r>
              <w:rPr>
                <w:i/>
                <w:iCs/>
              </w:rPr>
              <w:t>Africa</w:t>
            </w:r>
            <w:r>
              <w:t xml:space="preserve">, </w:t>
            </w:r>
            <w:r>
              <w:rPr>
                <w:i/>
                <w:iCs/>
              </w:rPr>
              <w:t>Australia</w:t>
            </w:r>
            <w:r>
              <w:t xml:space="preserve">, etc., and influence in </w:t>
            </w:r>
            <w:r>
              <w:rPr>
                <w:i/>
                <w:iCs/>
              </w:rPr>
              <w:t>Taiwan</w:t>
            </w:r>
            <w:r>
              <w:t xml:space="preserve"> elections.</w:t>
            </w:r>
          </w:p>
        </w:tc>
        <w:tc>
          <w:tcPr>
            <w:tcW w:w="0" w:type="auto"/>
          </w:tcPr>
          <w:p w14:paraId="31ECEEF3" w14:textId="77777777" w:rsidR="00E4099A" w:rsidRDefault="00E4099A" w:rsidP="00BB2ADB">
            <w:pPr>
              <w:pStyle w:val="Compact"/>
            </w:pPr>
            <w:r>
              <w:t xml:space="preserve">Reports of Chinese </w:t>
            </w:r>
            <w:r>
              <w:rPr>
                <w:b/>
                <w:bCs/>
              </w:rPr>
              <w:t>influence operations</w:t>
            </w:r>
            <w:r>
              <w:t xml:space="preserve"> include political donations and grooming of sympathetic elites abroad. For example, in Australia a senator resigned in 2017 over links to a Chinese donor tied to the Communist Party {S:Guardian2017}. Western intelligence cites China’s United Front Work Department guiding overseas Chinese organizations to influence local politics.</w:t>
            </w:r>
          </w:p>
        </w:tc>
        <w:tc>
          <w:tcPr>
            <w:tcW w:w="0" w:type="auto"/>
          </w:tcPr>
          <w:p w14:paraId="6997ABE1" w14:textId="77777777" w:rsidR="00E4099A" w:rsidRDefault="00E4099A" w:rsidP="00BB2ADB">
            <w:pPr>
              <w:pStyle w:val="Compact"/>
            </w:pPr>
            <w:r>
              <w:t xml:space="preserve">China </w:t>
            </w:r>
            <w:r>
              <w:rPr>
                <w:b/>
                <w:bCs/>
              </w:rPr>
              <w:t>denies</w:t>
            </w:r>
            <w:r>
              <w:t xml:space="preserve"> any “interference,” insisting it respects sovereignty. Chinese officials often accuse the U.S. of hypocrisy, pointing to U.S. meddling globally. Critics note much of China’s effort is through </w:t>
            </w:r>
            <w:r>
              <w:rPr>
                <w:i/>
                <w:iCs/>
              </w:rPr>
              <w:t>economic leverage and propaganda</w:t>
            </w:r>
            <w:r>
              <w:t>, not violent coups. Unlike the US or USSR, China hasn’t been caught orchestrating an actual government overthrow.</w:t>
            </w:r>
          </w:p>
        </w:tc>
        <w:tc>
          <w:tcPr>
            <w:tcW w:w="0" w:type="auto"/>
          </w:tcPr>
          <w:p w14:paraId="7AA9BB24" w14:textId="77777777" w:rsidR="00E4099A" w:rsidRDefault="00E4099A" w:rsidP="00BB2ADB">
            <w:pPr>
              <w:pStyle w:val="Compact"/>
            </w:pPr>
            <w:r>
              <w:rPr>
                <w:b/>
                <w:bCs/>
              </w:rPr>
              <w:t>Mostly influence, not coups:</w:t>
            </w:r>
            <w:r>
              <w:t xml:space="preserve"> China’s foreign policy focuses on economic and diplomatic sway. While </w:t>
            </w:r>
            <w:r>
              <w:rPr>
                <w:b/>
                <w:bCs/>
              </w:rPr>
              <w:t>Beijing does covertly cultivate influence</w:t>
            </w:r>
            <w:r>
              <w:t xml:space="preserve"> (e.g. via donations, media, cyber espionage), there is </w:t>
            </w:r>
            <w:r>
              <w:rPr>
                <w:b/>
                <w:bCs/>
              </w:rPr>
              <w:t>no confirmed case</w:t>
            </w:r>
            <w:r>
              <w:t xml:space="preserve"> of China executing a regime change operation. Allegations persist, but evidence usually points to </w:t>
            </w:r>
            <w:r>
              <w:rPr>
                <w:i/>
                <w:iCs/>
              </w:rPr>
              <w:t>soft power influence</w:t>
            </w:r>
            <w:r>
              <w:t xml:space="preserve"> </w:t>
            </w:r>
            <w:r>
              <w:lastRenderedPageBreak/>
              <w:t>rather than hard coups.</w:t>
            </w:r>
          </w:p>
        </w:tc>
      </w:tr>
      <w:tr w:rsidR="00E4099A" w14:paraId="6561D69C" w14:textId="77777777" w:rsidTr="00BB2ADB">
        <w:tc>
          <w:tcPr>
            <w:tcW w:w="0" w:type="auto"/>
          </w:tcPr>
          <w:p w14:paraId="4BA1C7BC" w14:textId="77777777" w:rsidR="00E4099A" w:rsidRDefault="00E4099A" w:rsidP="00BB2ADB">
            <w:pPr>
              <w:pStyle w:val="Compact"/>
            </w:pPr>
            <w:r>
              <w:rPr>
                <w:b/>
                <w:bCs/>
              </w:rPr>
              <w:lastRenderedPageBreak/>
              <w:t>Regional Powers (Middle East)</w:t>
            </w:r>
          </w:p>
        </w:tc>
        <w:tc>
          <w:tcPr>
            <w:tcW w:w="0" w:type="auto"/>
          </w:tcPr>
          <w:p w14:paraId="18785AF4" w14:textId="77777777" w:rsidR="00E4099A" w:rsidRDefault="00E4099A" w:rsidP="00BB2ADB">
            <w:pPr>
              <w:pStyle w:val="Compact"/>
            </w:pPr>
            <w:r>
              <w:rPr>
                <w:b/>
                <w:bCs/>
              </w:rPr>
              <w:t>Saudi Arabia &amp; UAE:</w:t>
            </w:r>
            <w:r>
              <w:t xml:space="preserve"> Accused of armed interventions to shape regimes (e.g. </w:t>
            </w:r>
            <w:r>
              <w:rPr>
                <w:i/>
                <w:iCs/>
              </w:rPr>
              <w:t>Yemen war</w:t>
            </w:r>
            <w:r>
              <w:t xml:space="preserve"> to oust Houthis, </w:t>
            </w:r>
            <w:r>
              <w:rPr>
                <w:i/>
                <w:iCs/>
              </w:rPr>
              <w:t>Bahrain 2011</w:t>
            </w:r>
            <w:r>
              <w:t xml:space="preserve"> intervention to preserve monarchy) and even plotting to invade </w:t>
            </w:r>
            <w:r>
              <w:rPr>
                <w:i/>
                <w:iCs/>
              </w:rPr>
              <w:t>Qatar</w:t>
            </w:r>
            <w:r>
              <w:t xml:space="preserve"> to change its leadership (2017). </w:t>
            </w:r>
            <w:r>
              <w:rPr>
                <w:b/>
                <w:bCs/>
              </w:rPr>
              <w:t>Iran:</w:t>
            </w:r>
            <w:r>
              <w:t xml:space="preserve"> Accused of exporting its Islamic Revolution by backing militant proxies to topple or control governments (e.g. Shia coup attempt in </w:t>
            </w:r>
            <w:r>
              <w:rPr>
                <w:i/>
                <w:iCs/>
              </w:rPr>
              <w:t>Bahrain 1981</w:t>
            </w:r>
            <w:r>
              <w:t xml:space="preserve">; support for Hezbollah in </w:t>
            </w:r>
            <w:r>
              <w:rPr>
                <w:i/>
                <w:iCs/>
              </w:rPr>
              <w:t>Lebanon</w:t>
            </w:r>
            <w:r>
              <w:t xml:space="preserve">; aiding </w:t>
            </w:r>
            <w:r>
              <w:rPr>
                <w:i/>
                <w:iCs/>
              </w:rPr>
              <w:t>Iraqi militias</w:t>
            </w:r>
            <w:r>
              <w:t xml:space="preserve"> to dominate Iraq’s government; backing Houthis in </w:t>
            </w:r>
            <w:r>
              <w:rPr>
                <w:i/>
                <w:iCs/>
              </w:rPr>
              <w:t>Yemen</w:t>
            </w:r>
            <w:r>
              <w:t>).</w:t>
            </w:r>
          </w:p>
        </w:tc>
        <w:tc>
          <w:tcPr>
            <w:tcW w:w="0" w:type="auto"/>
          </w:tcPr>
          <w:p w14:paraId="5C460C72" w14:textId="77777777" w:rsidR="00E4099A" w:rsidRDefault="00E4099A" w:rsidP="00BB2ADB">
            <w:pPr>
              <w:pStyle w:val="Compact"/>
            </w:pPr>
            <w:r>
              <w:rPr>
                <w:b/>
                <w:bCs/>
              </w:rPr>
              <w:t>Saudi/UAE:</w:t>
            </w:r>
            <w:r>
              <w:t xml:space="preserve"> The ongoing military intervention in </w:t>
            </w:r>
            <w:r>
              <w:rPr>
                <w:i/>
                <w:iCs/>
              </w:rPr>
              <w:t>Yemen</w:t>
            </w:r>
            <w:r>
              <w:t xml:space="preserve"> is an overt attempt to reinstall a friendly government, with widespread documentation of foreign involvement. Investigative reports (e.g. by </w:t>
            </w:r>
            <w:r>
              <w:rPr>
                <w:i/>
                <w:iCs/>
              </w:rPr>
              <w:t>The Intercept</w:t>
            </w:r>
            <w:r>
              <w:t xml:space="preserve">) revealed plans by Saudi and UAE leaders in 2017 for a military invasion of Qatar to depose its emir {S:Intercept2018}. </w:t>
            </w:r>
            <w:r>
              <w:rPr>
                <w:b/>
                <w:bCs/>
              </w:rPr>
              <w:t>Iran:</w:t>
            </w:r>
            <w:r>
              <w:t xml:space="preserve"> Intelligence reports and regional governments have linked Iran’s Revolutionary Guard to arming and funding groups like Hezbollah and various militias. Iran’s support helped create Hezbollah, which became a powerful force in Lebanon’s politics (effectively a veto power). Iran’s backing of the Houthis in Yemen is seen as aiming to replace the Saudi-aligned government, though Iran’s exact role in Houthi seizure of power is debated.</w:t>
            </w:r>
          </w:p>
        </w:tc>
        <w:tc>
          <w:tcPr>
            <w:tcW w:w="0" w:type="auto"/>
          </w:tcPr>
          <w:p w14:paraId="06584809" w14:textId="77777777" w:rsidR="00E4099A" w:rsidRDefault="00E4099A" w:rsidP="00BB2ADB">
            <w:pPr>
              <w:pStyle w:val="Compact"/>
            </w:pPr>
            <w:r>
              <w:t xml:space="preserve">All parties dispute accusations. Riyadh and Abu Dhabi claim their Yemen intervention was invited by Yemen’s “legitimate” government and deny any intent to </w:t>
            </w:r>
            <w:r>
              <w:rPr>
                <w:i/>
                <w:iCs/>
              </w:rPr>
              <w:t>annex or permanently control</w:t>
            </w:r>
            <w:r>
              <w:t xml:space="preserve"> territory. They officially denied plotting against Qatar (and the invasion never materialized, possibly deterred by U.S. pressure). Tehran similarly denies directing coups, framing its support as “assistance to oppressed peoples” or legitimate aid to allies. For instance, Iran attributes unrest in Bahrain and other Gulf states to indigenous grievances, not its instigation. Many analysts note that local sectarian and political dynamics – not just Tehran’s hand – explain these conflicts.</w:t>
            </w:r>
          </w:p>
        </w:tc>
        <w:tc>
          <w:tcPr>
            <w:tcW w:w="0" w:type="auto"/>
          </w:tcPr>
          <w:p w14:paraId="03D033DA" w14:textId="77777777" w:rsidR="00E4099A" w:rsidRDefault="00E4099A" w:rsidP="00BB2ADB">
            <w:pPr>
              <w:pStyle w:val="Compact"/>
            </w:pPr>
            <w:r>
              <w:rPr>
                <w:b/>
                <w:bCs/>
              </w:rPr>
              <w:t>Partial:</w:t>
            </w:r>
            <w:r>
              <w:t xml:space="preserve"> Regional powers </w:t>
            </w:r>
            <w:r>
              <w:rPr>
                <w:b/>
                <w:bCs/>
              </w:rPr>
              <w:t>have engaged in direct interventions</w:t>
            </w:r>
            <w:r>
              <w:t xml:space="preserve"> (e.g. Saudi in Yemen, Bahrain), so those are </w:t>
            </w:r>
            <w:r>
              <w:rPr>
                <w:i/>
                <w:iCs/>
              </w:rPr>
              <w:t>facts</w:t>
            </w:r>
            <w:r>
              <w:t xml:space="preserve">. The Qatar invasion plan, while never executed, appears credible based on insider accounts – a </w:t>
            </w:r>
            <w:r>
              <w:rPr>
                <w:b/>
                <w:bCs/>
              </w:rPr>
              <w:t>real but thwarted attempt</w:t>
            </w:r>
            <w:r>
              <w:t xml:space="preserve">. Iran’s role is more about empowering allied factions than outright one-off coups; it </w:t>
            </w:r>
            <w:r>
              <w:rPr>
                <w:b/>
                <w:bCs/>
              </w:rPr>
              <w:t>successfully entrenched influence</w:t>
            </w:r>
            <w:r>
              <w:t xml:space="preserve"> in Lebanon, Syria, Iraq, but evidence of a singular Iranian-orchestrated coup is scant. In sum, Gulf states and Iran both aggressively seek favorable regimes in the region, primarily via proxy wars and political pressure rather than simple covert coups.</w:t>
            </w:r>
          </w:p>
        </w:tc>
      </w:tr>
      <w:tr w:rsidR="00E4099A" w14:paraId="5C0F56FF" w14:textId="77777777" w:rsidTr="00BB2ADB">
        <w:tc>
          <w:tcPr>
            <w:tcW w:w="0" w:type="auto"/>
          </w:tcPr>
          <w:p w14:paraId="75730326" w14:textId="77777777" w:rsidR="00E4099A" w:rsidRDefault="00E4099A" w:rsidP="00BB2ADB">
            <w:pPr>
              <w:pStyle w:val="Compact"/>
            </w:pPr>
            <w:r>
              <w:rPr>
                <w:b/>
                <w:bCs/>
              </w:rPr>
              <w:t>France (Françafrique)</w:t>
            </w:r>
          </w:p>
        </w:tc>
        <w:tc>
          <w:tcPr>
            <w:tcW w:w="0" w:type="auto"/>
          </w:tcPr>
          <w:p w14:paraId="584CB8E5" w14:textId="77777777" w:rsidR="00E4099A" w:rsidRDefault="00E4099A" w:rsidP="00BB2ADB">
            <w:pPr>
              <w:pStyle w:val="Compact"/>
            </w:pPr>
            <w:r>
              <w:t xml:space="preserve">Manipulating leadership in former French colonies in Africa to maintain </w:t>
            </w:r>
            <w:r>
              <w:lastRenderedPageBreak/>
              <w:t xml:space="preserve">influence – a neo-colonial network dubbed “Françafrique.” Allegations include backing coups or military interventions to remove unfriendly African leaders (e.g. </w:t>
            </w:r>
            <w:r>
              <w:rPr>
                <w:i/>
                <w:iCs/>
              </w:rPr>
              <w:t>Central African Republic</w:t>
            </w:r>
            <w:r>
              <w:t xml:space="preserve">, </w:t>
            </w:r>
            <w:r>
              <w:rPr>
                <w:i/>
                <w:iCs/>
              </w:rPr>
              <w:t>Mali</w:t>
            </w:r>
            <w:r>
              <w:t xml:space="preserve">, </w:t>
            </w:r>
            <w:r>
              <w:rPr>
                <w:i/>
                <w:iCs/>
              </w:rPr>
              <w:t>Côte d’Ivoire</w:t>
            </w:r>
            <w:r>
              <w:t xml:space="preserve">, </w:t>
            </w:r>
            <w:r>
              <w:rPr>
                <w:i/>
                <w:iCs/>
              </w:rPr>
              <w:t>Gabon</w:t>
            </w:r>
            <w:r>
              <w:t xml:space="preserve"> and others especially during the Cold War and early post-colonial period).</w:t>
            </w:r>
          </w:p>
        </w:tc>
        <w:tc>
          <w:tcPr>
            <w:tcW w:w="0" w:type="auto"/>
          </w:tcPr>
          <w:p w14:paraId="125E1F35" w14:textId="77777777" w:rsidR="00E4099A" w:rsidRDefault="00E4099A" w:rsidP="00BB2ADB">
            <w:pPr>
              <w:pStyle w:val="Compact"/>
            </w:pPr>
            <w:r>
              <w:lastRenderedPageBreak/>
              <w:t xml:space="preserve">France stationed troops across Francophone Africa for decades and </w:t>
            </w:r>
            <w:r>
              <w:rPr>
                <w:b/>
                <w:bCs/>
              </w:rPr>
              <w:t>intervened militarily</w:t>
            </w:r>
            <w:r>
              <w:t xml:space="preserve"> </w:t>
            </w:r>
            <w:r>
              <w:lastRenderedPageBreak/>
              <w:t xml:space="preserve">numerous times. Historical accounts show French involvement or tacit support in coups – e.g. the 1960s overthrow of Togo’s president, the 2003 coup in CAR, and France’s pivotal role in forcing Côte d’Ivoire’s Gbagbo from power in 2011. A study found France conducted </w:t>
            </w:r>
            <w:r>
              <w:rPr>
                <w:b/>
                <w:bCs/>
              </w:rPr>
              <w:t>over 120 military interventions in Africa</w:t>
            </w:r>
            <w:r>
              <w:t xml:space="preserve"> (1945–2005), often to prop up or change regimes. French intelligence’s close relationships with African militaries are well documented.</w:t>
            </w:r>
          </w:p>
        </w:tc>
        <w:tc>
          <w:tcPr>
            <w:tcW w:w="0" w:type="auto"/>
          </w:tcPr>
          <w:p w14:paraId="3FDFEAF4" w14:textId="77777777" w:rsidR="00E4099A" w:rsidRDefault="00E4099A" w:rsidP="00BB2ADB">
            <w:pPr>
              <w:pStyle w:val="Compact"/>
            </w:pPr>
            <w:r>
              <w:lastRenderedPageBreak/>
              <w:t xml:space="preserve">French officials typically argued these actions were to “ensure stability” or protect civilians, </w:t>
            </w:r>
            <w:r>
              <w:lastRenderedPageBreak/>
              <w:t xml:space="preserve">denying nefarious intent. In recent years France has publicly distanced itself from Françafrique practices; President Macron even acknowledged past “mistakes” and promised no more meddling. Some interventions had </w:t>
            </w:r>
            <w:r>
              <w:rPr>
                <w:b/>
                <w:bCs/>
              </w:rPr>
              <w:t>multilateral cover</w:t>
            </w:r>
            <w:r>
              <w:t xml:space="preserve"> (e.g. UN mandate in Côte d’Ivoire 2011), complicating the narrative. Critics counter that economic interests (oil, minerals) and political influence were the real drivers. In many cases, popular anti-French sentiment in Africa treats </w:t>
            </w:r>
            <w:r>
              <w:rPr>
                <w:i/>
                <w:iCs/>
              </w:rPr>
              <w:t>any</w:t>
            </w:r>
            <w:r>
              <w:t xml:space="preserve"> French presence as suspect, though not every coup is linked to Paris.</w:t>
            </w:r>
          </w:p>
        </w:tc>
        <w:tc>
          <w:tcPr>
            <w:tcW w:w="0" w:type="auto"/>
          </w:tcPr>
          <w:p w14:paraId="0C455D0C" w14:textId="77777777" w:rsidR="00E4099A" w:rsidRDefault="00E4099A" w:rsidP="00BB2ADB">
            <w:pPr>
              <w:pStyle w:val="Compact"/>
            </w:pPr>
            <w:r>
              <w:rPr>
                <w:b/>
                <w:bCs/>
              </w:rPr>
              <w:lastRenderedPageBreak/>
              <w:t>Credible in part:</w:t>
            </w:r>
            <w:r>
              <w:t xml:space="preserve"> Historically, </w:t>
            </w:r>
            <w:r>
              <w:rPr>
                <w:b/>
                <w:bCs/>
              </w:rPr>
              <w:t xml:space="preserve">France did orchestrate or enable regime </w:t>
            </w:r>
            <w:r>
              <w:rPr>
                <w:b/>
                <w:bCs/>
              </w:rPr>
              <w:lastRenderedPageBreak/>
              <w:t>changes</w:t>
            </w:r>
            <w:r>
              <w:t xml:space="preserve"> to secure its interests in Africa – this is supported by numerous accounts, though often cloaked as peacekeeping. Today, direct French-backed coups are </w:t>
            </w:r>
            <w:r>
              <w:rPr>
                <w:b/>
                <w:bCs/>
              </w:rPr>
              <w:t>less overt</w:t>
            </w:r>
            <w:r>
              <w:t>, but France remains deeply involved in the politics of some former colonies. The current assessment is that while France’s official policy renounces interference, its legacy and occasional military actions mean the allegations of influence have a basis in fact, even if exaggerated at times.</w:t>
            </w:r>
          </w:p>
        </w:tc>
      </w:tr>
    </w:tbl>
    <w:p w14:paraId="538952F8" w14:textId="77777777" w:rsidR="00E4099A" w:rsidRDefault="00E4099A" w:rsidP="00E4099A">
      <w:pPr>
        <w:pStyle w:val="BodyText"/>
      </w:pPr>
      <w:r>
        <w:rPr>
          <w:i/>
          <w:iCs/>
        </w:rPr>
        <w:lastRenderedPageBreak/>
        <w:t>Table 8.1</w:t>
      </w:r>
      <w:r>
        <w:t xml:space="preserve"> provides an overview, but the reality behind each allegation is nuanced. In the following sections, we explore specific cases in depth. Two micro case studies – one involving a </w:t>
      </w:r>
      <w:r>
        <w:rPr>
          <w:b/>
          <w:bCs/>
        </w:rPr>
        <w:t>confirmed U.S.-backed coup</w:t>
      </w:r>
      <w:r>
        <w:t xml:space="preserve"> and another an </w:t>
      </w:r>
      <w:r>
        <w:rPr>
          <w:b/>
          <w:bCs/>
        </w:rPr>
        <w:t>alleged Russian-backed plot</w:t>
      </w:r>
      <w:r>
        <w:t xml:space="preserve"> – will illustrate how these events unfold and how evidence is evaluated.</w:t>
      </w:r>
    </w:p>
    <w:p w14:paraId="5640E83B" w14:textId="77777777" w:rsidR="00E4099A" w:rsidRDefault="00E4099A" w:rsidP="00E4099A">
      <w:pPr>
        <w:pStyle w:val="Heading2"/>
      </w:pPr>
      <w:bookmarkStart w:id="45" w:name="Xfcb0ff66225cb0d1db1f0190970e0eae5508053"/>
      <w:bookmarkEnd w:id="44"/>
      <w:r>
        <w:t>Case Study: The 1953 Iran Coup – A Confirmed Covert Operation</w:t>
      </w:r>
    </w:p>
    <w:p w14:paraId="131A0E1B" w14:textId="77777777" w:rsidR="00E4099A" w:rsidRDefault="00E4099A" w:rsidP="00E4099A">
      <w:pPr>
        <w:pStyle w:val="FirstParagraph"/>
      </w:pPr>
      <w:r>
        <w:t xml:space="preserve">One of the earliest and most clear-cut instances of foreign regime change engineering is the </w:t>
      </w:r>
      <w:r>
        <w:rPr>
          <w:b/>
          <w:bCs/>
        </w:rPr>
        <w:t>1953 Iranian coup d’état</w:t>
      </w:r>
      <w:r>
        <w:t xml:space="preserve">, known as </w:t>
      </w:r>
      <w:r>
        <w:rPr>
          <w:i/>
          <w:iCs/>
        </w:rPr>
        <w:t>Operation Ajax</w:t>
      </w:r>
      <w:r>
        <w:t xml:space="preserve">. This case is notable because it was long the subject of allegations and denials, but is now conclusively documented as a real covert operation by external powers. In 1953, Iran’s prime minister </w:t>
      </w:r>
      <w:r>
        <w:rPr>
          <w:b/>
          <w:bCs/>
        </w:rPr>
        <w:t>Mohammad Mossadegh</w:t>
      </w:r>
      <w:r>
        <w:t xml:space="preserve"> – democratically elected and immensely popular for nationalizing Iran’s oil industry – was overthrown in a coup orchestrated by the United States and United Kingdom. For decades, this was widely </w:t>
      </w:r>
      <w:r>
        <w:rPr>
          <w:i/>
          <w:iCs/>
        </w:rPr>
        <w:t>suspected</w:t>
      </w:r>
      <w:r>
        <w:t xml:space="preserve"> to be an Anglo-American plot, though </w:t>
      </w:r>
      <w:r>
        <w:lastRenderedPageBreak/>
        <w:t xml:space="preserve">treated as an “allegation.” Only many years later did concrete evidence emerge from declassified files, confirming the accusation as </w:t>
      </w:r>
      <w:r>
        <w:rPr>
          <w:b/>
          <w:bCs/>
        </w:rPr>
        <w:t>fact</w:t>
      </w:r>
      <w:r>
        <w:t>. The Iran case provides a textbook example of a foreign policy-driven regime change operation, and it helps us understand the pattern of CIA covert interventions during the Cold War.</w:t>
      </w:r>
    </w:p>
    <w:p w14:paraId="699BE026" w14:textId="77777777" w:rsidR="00E4099A" w:rsidRDefault="00E4099A" w:rsidP="00E4099A">
      <w:pPr>
        <w:pStyle w:val="BodyText"/>
      </w:pPr>
      <w:r>
        <w:rPr>
          <w:i/>
          <w:iCs/>
        </w:rPr>
        <w:t>Tanks patrol a Tehran street during the chaos of the 1953 coup that ousted Prime Minister Mossadegh. Initially shrouded in secrecy, the operation was later confirmed to be organized by the CIA and MI6.</w:t>
      </w:r>
    </w:p>
    <w:p w14:paraId="1BF2F071" w14:textId="77777777" w:rsidR="00E4099A" w:rsidRDefault="00E4099A" w:rsidP="00E4099A">
      <w:pPr>
        <w:pStyle w:val="BodyText"/>
      </w:pPr>
      <w:r>
        <w:rPr>
          <w:b/>
          <w:bCs/>
        </w:rPr>
        <w:t>Background:</w:t>
      </w:r>
      <w:r>
        <w:t xml:space="preserve"> By the early 1950s, Iran’s oil was controlled by a British company, and Prime Minister Mossadegh’s move to </w:t>
      </w:r>
      <w:r>
        <w:rPr>
          <w:b/>
          <w:bCs/>
        </w:rPr>
        <w:t>nationalize the oil industry</w:t>
      </w:r>
      <w:r>
        <w:t xml:space="preserve"> infuriated Britain and raised fears in Washington that Iran might drift into the Soviet orbit. In 1953, British intelligence (MI6) and the American CIA launched a joint covert plan (code-named </w:t>
      </w:r>
      <w:r>
        <w:rPr>
          <w:i/>
          <w:iCs/>
        </w:rPr>
        <w:t>TPAJAX</w:t>
      </w:r>
      <w:r>
        <w:t xml:space="preserve"> by the CIA) to depose Mossadegh and strengthen the pro-West Shah Mohammad Reza Pahlavi. At the time, U.S. officials vehemently denied involvement in Mossadegh’s fall, dismissing it as an internal Iranian affair – a narrative the Shah’s regime also propagated. Yet Iranians widely suspected foreign hands were at work, and the coup became a central grievance in Iran’s relations with the West.</w:t>
      </w:r>
    </w:p>
    <w:p w14:paraId="51FEE256" w14:textId="77777777" w:rsidR="00E4099A" w:rsidRDefault="00E4099A" w:rsidP="00E4099A">
      <w:pPr>
        <w:pStyle w:val="BodyText"/>
      </w:pPr>
      <w:r>
        <w:rPr>
          <w:b/>
          <w:bCs/>
        </w:rPr>
        <w:t>Timeline of Key Events (1953 Iranian Coup):</w:t>
      </w:r>
    </w:p>
    <w:p w14:paraId="3A3DDB6D" w14:textId="77777777" w:rsidR="00E4099A" w:rsidRDefault="00E4099A" w:rsidP="00E4099A">
      <w:pPr>
        <w:numPr>
          <w:ilvl w:val="0"/>
          <w:numId w:val="1"/>
        </w:numPr>
      </w:pPr>
      <w:r>
        <w:rPr>
          <w:b/>
          <w:bCs/>
        </w:rPr>
        <w:t>March 1953 – Planning Begins (Fact):</w:t>
      </w:r>
      <w:r>
        <w:t xml:space="preserve"> Worried about losing Iran and its oil to Soviet influence, the U.S. and U.K. agree in principle to mount a covert operation to oust Mossadegh. CIA director Allen Dulles approves $1 million for “encouraging” a coup in Iran. British MI6, which had been plotting Mossadegh’s removal, shares plans with the CIA. </w:t>
      </w:r>
      <w:r>
        <w:rPr>
          <w:i/>
          <w:iCs/>
        </w:rPr>
        <w:t>(These facts emerged from CIA and State Department documents declassified decades later.)</w:t>
      </w:r>
      <w:r>
        <w:t xml:space="preserve"> {S:NSArchive2013}</w:t>
      </w:r>
    </w:p>
    <w:p w14:paraId="7217CACC" w14:textId="77777777" w:rsidR="00E4099A" w:rsidRDefault="00E4099A" w:rsidP="00E4099A">
      <w:pPr>
        <w:numPr>
          <w:ilvl w:val="0"/>
          <w:numId w:val="1"/>
        </w:numPr>
      </w:pPr>
      <w:r>
        <w:rPr>
          <w:b/>
          <w:bCs/>
        </w:rPr>
        <w:t>August 1–15, 1953 – Psychological Warfare (Fact):</w:t>
      </w:r>
      <w:r>
        <w:t xml:space="preserve"> CIA operative </w:t>
      </w:r>
      <w:r>
        <w:rPr>
          <w:b/>
          <w:bCs/>
        </w:rPr>
        <w:t>Kermit Roosevelt Jr.</w:t>
      </w:r>
      <w:r>
        <w:t xml:space="preserve"> arrives in Tehran to orchestrate the plot on the ground. The CIA and MI6 employ intensive propaganda: paying Iranian newspapers to run anti-Mossadegh stories, bribing religious figures to turn against Mossadegh, and recruiting military officers. Mobs are hired to stage </w:t>
      </w:r>
      <w:r>
        <w:rPr>
          <w:b/>
          <w:bCs/>
        </w:rPr>
        <w:t>fake communist “riots”</w:t>
      </w:r>
      <w:r>
        <w:t xml:space="preserve"> to stir chaos, hoping to create a pretext that Iran is sliding into anarchy and communism {S:NSArchive2013}. </w:t>
      </w:r>
      <w:r>
        <w:rPr>
          <w:i/>
          <w:iCs/>
        </w:rPr>
        <w:t>(All these details, once dismissed as conspiracy theory, are now verified by CIA’s own after-action reports.)</w:t>
      </w:r>
    </w:p>
    <w:p w14:paraId="15CBEB06" w14:textId="77777777" w:rsidR="00E4099A" w:rsidRDefault="00E4099A" w:rsidP="00E4099A">
      <w:pPr>
        <w:numPr>
          <w:ilvl w:val="0"/>
          <w:numId w:val="1"/>
        </w:numPr>
      </w:pPr>
      <w:r>
        <w:rPr>
          <w:b/>
          <w:bCs/>
        </w:rPr>
        <w:t>August 16, 1953 – Initial Coup Attempt Fails (Fact):</w:t>
      </w:r>
      <w:r>
        <w:t xml:space="preserve"> The plan calls for the Shah to issue a royal decree dismissing Mossadegh and appointing a former general, Fazlollah Zahedi, as Prime Minister. In the early hours of August 16, military units loyal to the plotters move. However, Mossadegh gets wind of the plan. He </w:t>
      </w:r>
      <w:r>
        <w:rPr>
          <w:i/>
          <w:iCs/>
        </w:rPr>
        <w:t>arrests the first coup team</w:t>
      </w:r>
      <w:r>
        <w:t xml:space="preserve"> sent to his house. The Shah, panicking when the coup stalls, flees Iran into exile. At this moment it appears the coup has failed; Mossadegh still holds power and publicly announces an attempt against him has been foiled. </w:t>
      </w:r>
      <w:r>
        <w:rPr>
          <w:i/>
          <w:iCs/>
        </w:rPr>
        <w:t>(Contemporary reports in Iranian media and later memoirs confirm this sequence.)</w:t>
      </w:r>
    </w:p>
    <w:p w14:paraId="4B0402D8" w14:textId="77777777" w:rsidR="00E4099A" w:rsidRDefault="00E4099A" w:rsidP="00E4099A">
      <w:pPr>
        <w:numPr>
          <w:ilvl w:val="0"/>
          <w:numId w:val="1"/>
        </w:numPr>
      </w:pPr>
      <w:r>
        <w:rPr>
          <w:b/>
          <w:bCs/>
        </w:rPr>
        <w:lastRenderedPageBreak/>
        <w:t>August 19, 1953 – Coup Succeeds in Second Attempt (Fact):</w:t>
      </w:r>
      <w:r>
        <w:t xml:space="preserve"> Just four days later, the coup plot is revived. With more paid crowds and military supporters, chaos erupts in Tehran. </w:t>
      </w:r>
      <w:r>
        <w:rPr>
          <w:b/>
          <w:bCs/>
        </w:rPr>
        <w:t>Pro-Shah army units</w:t>
      </w:r>
      <w:r>
        <w:t xml:space="preserve"> led by Gen. Zahedi and street mobs (some allegedly paid by the CIA) march on government buildings. In a whirlwind of violence, Mossadegh’s supporters are overwhelmed. Mossadegh himself evades capture for a day but eventually surrenders. By evening of August 19, Zahedi proclaims himself Prime Minister and the Shah is flying back to Iran in triumph. The Mossadegh government has been toppled. </w:t>
      </w:r>
      <w:r>
        <w:rPr>
          <w:b/>
          <w:bCs/>
        </w:rPr>
        <w:t>Dozens of people are killed</w:t>
      </w:r>
      <w:r>
        <w:t xml:space="preserve"> in street clashes during the coup. </w:t>
      </w:r>
      <w:r>
        <w:rPr>
          <w:i/>
          <w:iCs/>
        </w:rPr>
        <w:t>(This outcome – long celebrated by the Shah’s regime as a “popular uprising” – is now irrefutably attributed to the covert operation.)</w:t>
      </w:r>
      <w:r>
        <w:t xml:space="preserve"> {S:NSArchive2013}</w:t>
      </w:r>
    </w:p>
    <w:p w14:paraId="73EE051D" w14:textId="77777777" w:rsidR="00E4099A" w:rsidRDefault="00E4099A" w:rsidP="00E4099A">
      <w:pPr>
        <w:numPr>
          <w:ilvl w:val="0"/>
          <w:numId w:val="1"/>
        </w:numPr>
      </w:pPr>
      <w:r>
        <w:rPr>
          <w:b/>
          <w:bCs/>
        </w:rPr>
        <w:t>Aftermath:</w:t>
      </w:r>
      <w:r>
        <w:t xml:space="preserve"> The Shah’s monarchy, with Zahedi as his Prime Minister, consolidates power and rolls back Mossadegh’s nationalization. The Anglo-Iranian Oil Company (precursor of BP) regains access to Iranian oil (now through a consortium with U.S. firms). Mossadegh is jailed and later kept under house arrest until his death. The U.S. and U.K. publicly deny their roles, and for decades the official line in the West was that Iranians had “saved” their nation from communism. However, the coup leaves a bitter legacy in Iran: the event becomes a symbol of foreign subversion of Iranian sovereignty, fueling anti-American sentiment that would later culminate in the 1979 Islamic Revolution.</w:t>
      </w:r>
    </w:p>
    <w:p w14:paraId="0D4711EA" w14:textId="77777777" w:rsidR="00E4099A" w:rsidRDefault="00E4099A" w:rsidP="00E4099A">
      <w:pPr>
        <w:pStyle w:val="FirstParagraph"/>
      </w:pPr>
      <w:r>
        <w:rPr>
          <w:b/>
          <w:bCs/>
        </w:rPr>
        <w:t>Evidence and Revelation:</w:t>
      </w:r>
      <w:r>
        <w:t xml:space="preserve"> For years, the 1953 coup was an </w:t>
      </w:r>
      <w:r>
        <w:rPr>
          <w:i/>
          <w:iCs/>
        </w:rPr>
        <w:t>open secret</w:t>
      </w:r>
      <w:r>
        <w:t xml:space="preserve"> – widely written about, yet never officially acknowledged. It wasn’t until the 2000s that the </w:t>
      </w:r>
      <w:r>
        <w:rPr>
          <w:b/>
          <w:bCs/>
        </w:rPr>
        <w:t>U.S. government began declassifying documents</w:t>
      </w:r>
      <w:r>
        <w:t xml:space="preserve"> that confirmed every major aspect of the operation. In 2013, on the coup’s 60th anniversary, the U.S. National Security Archive obtained and published CIA documents including parts of the agency’s own secret history of the coup. These records explicitly </w:t>
      </w:r>
      <w:r>
        <w:rPr>
          <w:b/>
          <w:bCs/>
        </w:rPr>
        <w:t>state that the CIA planned and executed the overthrow of Mossadegh</w:t>
      </w:r>
      <w:r>
        <w:t xml:space="preserve"> with British assistance {S:NSArchive2013}. Additionally, former officers like Kermit Roosevelt wrote memoirs (albeit semi-fictionalized) admitting their involvement. Crucially, President </w:t>
      </w:r>
      <w:r>
        <w:rPr>
          <w:b/>
          <w:bCs/>
        </w:rPr>
        <w:t>Barack Obama</w:t>
      </w:r>
      <w:r>
        <w:t xml:space="preserve">, in a 2013 speech, became the first sitting U.S. president to publicly acknowledge the U.S. role in Mossadegh’s ouster, referring to it as an example of American interference in Iranian affairs {S:Guardian2013}. British officials, for their part, have been more tight-lipped (the U.K. has yet to officially declassify many coup-related files), though former Foreign Secretary Jack Straw in 2009 admitted Britain’s part as well. Today, no serious historian disputes that the 1953 coup in Iran was </w:t>
      </w:r>
      <w:r>
        <w:rPr>
          <w:b/>
          <w:bCs/>
        </w:rPr>
        <w:t>engineered in London and Washington</w:t>
      </w:r>
      <w:r>
        <w:t>.</w:t>
      </w:r>
    </w:p>
    <w:p w14:paraId="7A86F288" w14:textId="77777777" w:rsidR="00E4099A" w:rsidRDefault="00E4099A" w:rsidP="00E4099A">
      <w:pPr>
        <w:pStyle w:val="BodyText"/>
      </w:pPr>
      <w:r>
        <w:rPr>
          <w:b/>
          <w:bCs/>
        </w:rPr>
        <w:t>Impact and Current Assessment:</w:t>
      </w:r>
      <w:r>
        <w:t xml:space="preserve"> The Iran case is considered a </w:t>
      </w:r>
      <w:r>
        <w:rPr>
          <w:i/>
          <w:iCs/>
        </w:rPr>
        <w:t>confirmed foreign regime change</w:t>
      </w:r>
      <w:r>
        <w:t xml:space="preserve">. It turned an allegation into an acknowledged fact. It also set a template: emboldened by perceived success in Iran, the CIA went on to mount similar operations elsewhere in the 1950s (Guatemala in 1954, for example). For Iran, the coup’s legacy is profound. Iranians remember 1953 as proof of perfidious foreign meddling – a wound that extremists still invoke. The United States’ image in Iran was tarnished irreparably, contributing to the anti-American fervor of the revolutionaries who overthrew the Shah in </w:t>
      </w:r>
      <w:r>
        <w:lastRenderedPageBreak/>
        <w:t>1979. U.S. leaders themselves have reflected on this history: in 2000, Secretary of State Madeleine Albright noted that the U.S. role in Mossadegh’s fall was a setback for Iran’s political development and a cause of lingering mistrust {S:Guardian2013}.</w:t>
      </w:r>
    </w:p>
    <w:p w14:paraId="261331E9" w14:textId="77777777" w:rsidR="00E4099A" w:rsidRDefault="00E4099A" w:rsidP="00E4099A">
      <w:pPr>
        <w:pStyle w:val="BodyText"/>
      </w:pPr>
      <w:r>
        <w:t xml:space="preserve">From a broader perspective, Operation Ajax demonstrates that </w:t>
      </w:r>
      <w:r>
        <w:rPr>
          <w:b/>
          <w:bCs/>
        </w:rPr>
        <w:t>sometimes allegations of regime change are entirely true</w:t>
      </w:r>
      <w:r>
        <w:t>. It underscores why many around the world are quick to believe similar allegations later – because such covert interference has indeed happened. However, not all cases follow this clear pattern, as we will see next.</w:t>
      </w:r>
    </w:p>
    <w:p w14:paraId="496E7DB4" w14:textId="77777777" w:rsidR="00E4099A" w:rsidRDefault="00E4099A" w:rsidP="00E4099A">
      <w:pPr>
        <w:pStyle w:val="Heading2"/>
      </w:pPr>
      <w:bookmarkStart w:id="46" w:name="X7c8aa007d114580a98c82bc51ede2f67947da59"/>
      <w:bookmarkEnd w:id="45"/>
      <w:r>
        <w:t>Case Study: Alleged Russian Coup Plot in Montenegro (2016) – A Contested Claim</w:t>
      </w:r>
    </w:p>
    <w:p w14:paraId="2ED935DD" w14:textId="77777777" w:rsidR="00E4099A" w:rsidRDefault="00E4099A" w:rsidP="00E4099A">
      <w:pPr>
        <w:pStyle w:val="FirstParagraph"/>
      </w:pPr>
      <w:r>
        <w:t xml:space="preserve">In contrast to the Iran example, our second case study involves a </w:t>
      </w:r>
      <w:r>
        <w:rPr>
          <w:b/>
          <w:bCs/>
        </w:rPr>
        <w:t>much more recent allegation</w:t>
      </w:r>
      <w:r>
        <w:t xml:space="preserve"> that remains disputed: the supposed Russian-backed coup attempt in </w:t>
      </w:r>
      <w:r>
        <w:rPr>
          <w:b/>
          <w:bCs/>
        </w:rPr>
        <w:t>Montenegro in October 2016</w:t>
      </w:r>
      <w:r>
        <w:t xml:space="preserve">. This case is fascinating because it shows how murky and politicized regime change accusations can be in the modern era. Montenegro, a small Balkan nation, was on the verge of joining NATO in 2016, against fierce objections from Moscow. Around the time of its parliamentary elections, Montenegrin authorities claimed to have foiled a violent plot by Serbian and Russian conspirators to overthrow the pro-Western government (led by longtime President/Prime Minister </w:t>
      </w:r>
      <w:r>
        <w:rPr>
          <w:b/>
          <w:bCs/>
        </w:rPr>
        <w:t>Milo Đukanović</w:t>
      </w:r>
      <w:r>
        <w:t xml:space="preserve">) and install a pro-Russian leadership. The alleged plot even included a plan to assassinate Đukanović. Montenegro’s accusation made international headlines and fed into a broader narrative of </w:t>
      </w:r>
      <w:r>
        <w:rPr>
          <w:b/>
          <w:bCs/>
        </w:rPr>
        <w:t>Russia interfering in European democracies</w:t>
      </w:r>
      <w:r>
        <w:t xml:space="preserve">. However, the evidence was largely kept secret or based on a single key witness, and subsequent legal developments cast doubt on the story. Years later, Montenegrin courts overturned the convictions of the supposed coup plotters, citing lack of proof. The Montenegro case thus remains an unresolved allegation: Western officials still </w:t>
      </w:r>
      <w:r>
        <w:rPr>
          <w:i/>
          <w:iCs/>
        </w:rPr>
        <w:t>suspect</w:t>
      </w:r>
      <w:r>
        <w:t xml:space="preserve"> Russian malfeasance, while others believe the coup story may have been exaggerated or even fabricated for political gain.</w:t>
      </w:r>
    </w:p>
    <w:p w14:paraId="5DF42019" w14:textId="77777777" w:rsidR="00E4099A" w:rsidRDefault="00E4099A" w:rsidP="00E4099A">
      <w:pPr>
        <w:pStyle w:val="BodyText"/>
      </w:pPr>
      <w:r>
        <w:t>To unravel this, let’s outline what allegedly happened and what has been established, step by step:</w:t>
      </w:r>
    </w:p>
    <w:p w14:paraId="79803D7D" w14:textId="77777777" w:rsidR="00E4099A" w:rsidRDefault="00E4099A" w:rsidP="00E4099A">
      <w:pPr>
        <w:pStyle w:val="BodyText"/>
      </w:pPr>
      <w:r>
        <w:rPr>
          <w:b/>
          <w:bCs/>
        </w:rPr>
        <w:t>Background:</w:t>
      </w:r>
      <w:r>
        <w:t xml:space="preserve"> By 2015–2016, Montenegro (traditionally a Slavic Orthodox country with historically close ties to Serbia and Russia) was being drawn into a tug-of-war between East and West. Đukanović’s government pursued NATO membership, while the Montenegrin opposition (some of whom were pro-Russian) vehemently opposed it. Russia openly warned Montenegro against joining NATO, implying there would be consequences. Tensions were high during the campaign for the parliamentary election set for October 16, 2016. Against this backdrop, Montenegrin authorities announced on election day that they had arrested a group of people, thwarting a coup plot.</w:t>
      </w:r>
    </w:p>
    <w:p w14:paraId="47C3DF84" w14:textId="77777777" w:rsidR="00E4099A" w:rsidRDefault="00E4099A" w:rsidP="00E4099A">
      <w:pPr>
        <w:pStyle w:val="BodyText"/>
      </w:pPr>
      <w:r>
        <w:rPr>
          <w:b/>
          <w:bCs/>
        </w:rPr>
        <w:t>Timeline of Key Events (Montenegro 2016 Alleged Coup):</w:t>
      </w:r>
    </w:p>
    <w:p w14:paraId="4062B594" w14:textId="77777777" w:rsidR="00E4099A" w:rsidRDefault="00E4099A" w:rsidP="00E4099A">
      <w:pPr>
        <w:numPr>
          <w:ilvl w:val="0"/>
          <w:numId w:val="1"/>
        </w:numPr>
      </w:pPr>
      <w:r>
        <w:rPr>
          <w:b/>
          <w:bCs/>
        </w:rPr>
        <w:t>Election Day – October 16, 2016 (Fact):</w:t>
      </w:r>
      <w:r>
        <w:t xml:space="preserve"> In the early hours of election day, Montenegrin police </w:t>
      </w:r>
      <w:r>
        <w:rPr>
          <w:b/>
          <w:bCs/>
        </w:rPr>
        <w:t>arrest 20 individuals</w:t>
      </w:r>
      <w:r>
        <w:t xml:space="preserve">, mostly Serbian nationals, on suspicion of plotting armed attacks. Those detained include a former Serbian gendarmerie </w:t>
      </w:r>
      <w:r>
        <w:lastRenderedPageBreak/>
        <w:t xml:space="preserve">commander. The same day, Montenegro’s Chief Special Prosecutor, </w:t>
      </w:r>
      <w:r>
        <w:rPr>
          <w:b/>
          <w:bCs/>
        </w:rPr>
        <w:t>Milivoje Katnić</w:t>
      </w:r>
      <w:r>
        <w:t xml:space="preserve">, issues a dramatic statement: he alleges that “a powerful organization” comprising around 500 plotters, including </w:t>
      </w:r>
      <w:r>
        <w:rPr>
          <w:b/>
          <w:bCs/>
        </w:rPr>
        <w:t>Russian nationals</w:t>
      </w:r>
      <w:r>
        <w:t xml:space="preserve">, had planned to infiltrate a crowd of protesters, storm the Parliament, kill or capture Prime Minister Đukanović, and install an opposition leader as the new PM {S:RFERL2024}. Katnić claims the coup was to occur that very evening as election results came in. At this point, these claims are </w:t>
      </w:r>
      <w:r>
        <w:rPr>
          <w:i/>
          <w:iCs/>
        </w:rPr>
        <w:t>allegations by officials</w:t>
      </w:r>
      <w:r>
        <w:t>; no hard evidence is shown to the public.</w:t>
      </w:r>
    </w:p>
    <w:p w14:paraId="25DCB473" w14:textId="77777777" w:rsidR="00E4099A" w:rsidRDefault="00E4099A" w:rsidP="00E4099A">
      <w:pPr>
        <w:numPr>
          <w:ilvl w:val="0"/>
          <w:numId w:val="1"/>
        </w:numPr>
      </w:pPr>
      <w:r>
        <w:rPr>
          <w:b/>
          <w:bCs/>
        </w:rPr>
        <w:t>Immediate Russian Denial – October 2016 (Fact):</w:t>
      </w:r>
      <w:r>
        <w:t xml:space="preserve"> The Russian government swiftly denies any involvement, calling the accusations absurd. The Kremlin-backed media portrays the arrest story as either a Montenegrin government fabrication or possibly a rogue plot not sanctioned by Moscow. The two Russians named as suspected masterminds – identified as </w:t>
      </w:r>
      <w:r>
        <w:rPr>
          <w:b/>
          <w:bCs/>
        </w:rPr>
        <w:t>Eduard Shishmakov</w:t>
      </w:r>
      <w:r>
        <w:t xml:space="preserve"> and </w:t>
      </w:r>
      <w:r>
        <w:rPr>
          <w:b/>
          <w:bCs/>
        </w:rPr>
        <w:t>Vladimir Popov</w:t>
      </w:r>
      <w:r>
        <w:t>, allegedly operatives of Russian military intelligence (GRU) – quietly leave Montenegro (in fact, they were not in custody). Russia refuses Montenegro’s subsequent requests to extradite these individuals for trial. This diplomatic aspect is factual: Russia gave no cooperation and maintained innocence.</w:t>
      </w:r>
    </w:p>
    <w:p w14:paraId="1F0376C5" w14:textId="77777777" w:rsidR="00E4099A" w:rsidRDefault="00E4099A" w:rsidP="00E4099A">
      <w:pPr>
        <w:numPr>
          <w:ilvl w:val="0"/>
          <w:numId w:val="1"/>
        </w:numPr>
      </w:pPr>
      <w:r>
        <w:rPr>
          <w:b/>
          <w:bCs/>
        </w:rPr>
        <w:t>Revelations and Trial – 2017-2018 (Fact/Allegation):</w:t>
      </w:r>
      <w:r>
        <w:t xml:space="preserve"> As the investigation proceeds, prosecutors reveal their case publicly: They present the theory that </w:t>
      </w:r>
      <w:r>
        <w:rPr>
          <w:b/>
          <w:bCs/>
        </w:rPr>
        <w:t>Serbian nationalist extremists</w:t>
      </w:r>
      <w:r>
        <w:t xml:space="preserve"> and two GRU agents coordinated the plot. A key piece of their evidence is the testimony of a man named </w:t>
      </w:r>
      <w:r>
        <w:rPr>
          <w:b/>
          <w:bCs/>
        </w:rPr>
        <w:t>Saša Sinđelić</w:t>
      </w:r>
      <w:r>
        <w:t xml:space="preserve">, a Serbian whom they describe as an intermediary recruited by the Russians. Sinđelić, caught in Serbia and handed to Montenegro as a cooperating witness, claims that he was instructed by Russian handlers to recruit and arm a group to attack the Montenegrin institutions on election night. He describes meetings with Shishmakov (a.k.a. “Eduard Shirokov”) in Moscow and delivery of cash and phones. However, Sinđelić’s credibility is contested – it turns out he is a convicted murderer seeking leniency, and his story shifts at times. Still, Montenegrin authorities say they also intercepted communications (encrypted phone chats) among plotters and seized cash and some weapons. This forms the basis of a trial against 14 defendants, including </w:t>
      </w:r>
      <w:r>
        <w:rPr>
          <w:b/>
          <w:bCs/>
        </w:rPr>
        <w:t>Andrija Mandić</w:t>
      </w:r>
      <w:r>
        <w:t xml:space="preserve"> and </w:t>
      </w:r>
      <w:r>
        <w:rPr>
          <w:b/>
          <w:bCs/>
        </w:rPr>
        <w:t>Milan Knežević</w:t>
      </w:r>
      <w:r>
        <w:t xml:space="preserve">, two leaders of Montenegro’s opposition Democratic Front party, who prosecutors allege were part of the conspiracy. The trial begins in 2017 and is closely watched by international observers. It’s worth noting that the </w:t>
      </w:r>
      <w:r>
        <w:rPr>
          <w:b/>
          <w:bCs/>
        </w:rPr>
        <w:t>timing is politically charged</w:t>
      </w:r>
      <w:r>
        <w:t>: by mid-2017, despite the alleged plot, Montenegro successfully joins NATO – a major blow to Russia’s strategic goal.</w:t>
      </w:r>
    </w:p>
    <w:p w14:paraId="62F038FC" w14:textId="77777777" w:rsidR="00E4099A" w:rsidRDefault="00E4099A" w:rsidP="00E4099A">
      <w:pPr>
        <w:numPr>
          <w:ilvl w:val="0"/>
          <w:numId w:val="1"/>
        </w:numPr>
      </w:pPr>
      <w:r>
        <w:rPr>
          <w:b/>
          <w:bCs/>
        </w:rPr>
        <w:t>Verdict – May 2019 (Fact):</w:t>
      </w:r>
      <w:r>
        <w:t xml:space="preserve"> The High Court in Podgorica issues a verdict. </w:t>
      </w:r>
      <w:r>
        <w:rPr>
          <w:b/>
          <w:bCs/>
        </w:rPr>
        <w:t>Thirteen of the accused are found guilty</w:t>
      </w:r>
      <w:r>
        <w:t xml:space="preserve"> of “attempted terrorism” and “undermining the constitutional order” {S:RFERL2024}. Among those convicted in absentia are the two alleged Russian GRU operatives, who receive hefty prison sentences (15 years each). Mandić and Knežević (the opposition politicians) are also convicted and sentenced to five years. The court, accepting the prosecution’s narrative, states </w:t>
      </w:r>
      <w:r>
        <w:lastRenderedPageBreak/>
        <w:t xml:space="preserve">that the plot aimed to violently topple the government and was orchestrated by Russian security officers as a last-ditch attempt to halt Montenegro’s NATO accession. This is a </w:t>
      </w:r>
      <w:r>
        <w:rPr>
          <w:i/>
          <w:iCs/>
        </w:rPr>
        <w:t>court ruling</w:t>
      </w:r>
      <w:r>
        <w:t>, lending weight to the allegations – at least initially. However, the defense immediately denounces the trial as politically biased. The convicts appeal, and importantly, by this time the political landscape has shifted: Đukanović had stepped down as Prime Minister in late 2016 (though later became President), and in the 2020 elections his party actually lost power to an opposition coalition that included some figures previously accused in the coup case.</w:t>
      </w:r>
    </w:p>
    <w:p w14:paraId="34C6F816" w14:textId="77777777" w:rsidR="00E4099A" w:rsidRDefault="00E4099A" w:rsidP="00E4099A">
      <w:pPr>
        <w:numPr>
          <w:ilvl w:val="0"/>
          <w:numId w:val="1"/>
        </w:numPr>
      </w:pPr>
      <w:r>
        <w:rPr>
          <w:b/>
          <w:bCs/>
        </w:rPr>
        <w:t>Appeal and Overturn – February 2021 (Fact):</w:t>
      </w:r>
      <w:r>
        <w:t xml:space="preserve"> In a dramatic reversal, Montenegro’s Appeals Court </w:t>
      </w:r>
      <w:r>
        <w:rPr>
          <w:b/>
          <w:bCs/>
        </w:rPr>
        <w:t>annuls the 2019 verdict</w:t>
      </w:r>
      <w:r>
        <w:t xml:space="preserve"> and orders a retrial, citing procedural errors and insufficient evidence. Essentially, the higher court says that the conviction was not supported by the level of proof required. By the time the retrial occurs, the political winds have changed – the former opposition is now in government, and there are accusations that the coup case was a politicized stunt by the old regime. The retrial proceeds with far less public fanfare.</w:t>
      </w:r>
    </w:p>
    <w:p w14:paraId="502823FB" w14:textId="77777777" w:rsidR="00E4099A" w:rsidRDefault="00E4099A" w:rsidP="00E4099A">
      <w:pPr>
        <w:numPr>
          <w:ilvl w:val="0"/>
          <w:numId w:val="1"/>
        </w:numPr>
      </w:pPr>
      <w:r>
        <w:rPr>
          <w:b/>
          <w:bCs/>
        </w:rPr>
        <w:t>Final Acquittal – July 2024 (Fact):</w:t>
      </w:r>
      <w:r>
        <w:t xml:space="preserve"> After re-examining the case, a panel of judges in the High Court </w:t>
      </w:r>
      <w:r>
        <w:rPr>
          <w:b/>
          <w:bCs/>
        </w:rPr>
        <w:t>acquits all defendants</w:t>
      </w:r>
      <w:r>
        <w:t xml:space="preserve">. The court declares that </w:t>
      </w:r>
      <w:r>
        <w:rPr>
          <w:b/>
          <w:bCs/>
        </w:rPr>
        <w:t>there is no conclusive evidence</w:t>
      </w:r>
      <w:r>
        <w:t xml:space="preserve"> that the accused persons committed the crimes {S:RFERL2024}. The presiding judge notes key failings: for instance, the alleged stockpile of weapons for the coup was never actually found inside Montenegro – the prosecution had claimed weapons were to be smuggled in, but that remained hypothetical. The supposed plan for armed militants to impersonate police and shoot at protesters was not backed by concrete evidence presented in court. In short, the judges state that the prosecution’s case relied on speculation and an unreliable witness. With this verdict, the accused opposition politicians and Serbian nationals are legally cleared. Montenegrin prosecutors announce they will appeal (again), but as of the acquittal, the stunning outcome is that </w:t>
      </w:r>
      <w:r>
        <w:rPr>
          <w:i/>
          <w:iCs/>
        </w:rPr>
        <w:t>no one</w:t>
      </w:r>
      <w:r>
        <w:t xml:space="preserve"> is held criminally responsible for a “coup attempt” that once grabbed international headlines.</w:t>
      </w:r>
    </w:p>
    <w:p w14:paraId="2EF932AB" w14:textId="77777777" w:rsidR="00E4099A" w:rsidRDefault="00E4099A" w:rsidP="00E4099A">
      <w:pPr>
        <w:pStyle w:val="FirstParagraph"/>
      </w:pPr>
      <w:r>
        <w:rPr>
          <w:b/>
          <w:bCs/>
        </w:rPr>
        <w:t>Analysis of Evidence:</w:t>
      </w:r>
      <w:r>
        <w:t xml:space="preserve"> The Montenegro case is a swirl of claim and counter-claim. What evidence exists that Russia sponsored a coup? Western security experts point to several intriguing facts:</w:t>
      </w:r>
    </w:p>
    <w:p w14:paraId="2919A5D6" w14:textId="77777777" w:rsidR="00E4099A" w:rsidRDefault="00E4099A" w:rsidP="00E4099A">
      <w:pPr>
        <w:pStyle w:val="Compact"/>
        <w:numPr>
          <w:ilvl w:val="0"/>
          <w:numId w:val="1"/>
        </w:numPr>
      </w:pPr>
      <w:r>
        <w:t>The two alleged GRU agents, Shishmakov and Popov, traveled to the Balkans around that time under false identities; Shishmakov was previously known to NATO countries (he’d been stationed in Poland and was expelled in 2014 for spying). Their presence suggests something clandestine was afoot, though it doesn’t prove what.</w:t>
      </w:r>
    </w:p>
    <w:p w14:paraId="57FBC2CE" w14:textId="77777777" w:rsidR="00E4099A" w:rsidRDefault="00E4099A" w:rsidP="00E4099A">
      <w:pPr>
        <w:pStyle w:val="Compact"/>
        <w:numPr>
          <w:ilvl w:val="0"/>
          <w:numId w:val="1"/>
        </w:numPr>
      </w:pPr>
      <w:r>
        <w:t xml:space="preserve">Montenegrin investigators recovered </w:t>
      </w:r>
      <w:r>
        <w:rPr>
          <w:b/>
          <w:bCs/>
        </w:rPr>
        <w:t>$125,000 in cash</w:t>
      </w:r>
      <w:r>
        <w:t xml:space="preserve"> linked to Sinđelić, presumably funds for the operation.</w:t>
      </w:r>
    </w:p>
    <w:p w14:paraId="706D3E49" w14:textId="77777777" w:rsidR="00E4099A" w:rsidRDefault="00E4099A" w:rsidP="00E4099A">
      <w:pPr>
        <w:pStyle w:val="Compact"/>
        <w:numPr>
          <w:ilvl w:val="0"/>
          <w:numId w:val="1"/>
        </w:numPr>
      </w:pPr>
      <w:r>
        <w:t>Sinđelić testified that the plot’s goal (given by his Russian contacts) was explicitly to stop Montenegro’s NATO entry. This aligns with Russia’s strategic interest.</w:t>
      </w:r>
    </w:p>
    <w:p w14:paraId="29FB747A" w14:textId="77777777" w:rsidR="00E4099A" w:rsidRDefault="00E4099A" w:rsidP="00E4099A">
      <w:pPr>
        <w:pStyle w:val="Compact"/>
        <w:numPr>
          <w:ilvl w:val="0"/>
          <w:numId w:val="1"/>
        </w:numPr>
      </w:pPr>
      <w:r>
        <w:lastRenderedPageBreak/>
        <w:t>On the other hand, skeptics highlight that much rests on one dodgy witness. There is no “smoking gun” document or intercepted command from Moscow. The weapons supposedly intended for the coup were never produced in court. It’s also telling that no attack actually happened; police moved in first.</w:t>
      </w:r>
    </w:p>
    <w:p w14:paraId="2EB02CD6" w14:textId="77777777" w:rsidR="00E4099A" w:rsidRDefault="00E4099A" w:rsidP="00E4099A">
      <w:pPr>
        <w:pStyle w:val="FirstParagraph"/>
      </w:pPr>
      <w:r>
        <w:rPr>
          <w:b/>
          <w:bCs/>
        </w:rPr>
        <w:t>Opposing Viewpoints:</w:t>
      </w:r>
    </w:p>
    <w:p w14:paraId="37B4D048" w14:textId="77777777" w:rsidR="00E4099A" w:rsidRDefault="00E4099A" w:rsidP="00E4099A">
      <w:pPr>
        <w:numPr>
          <w:ilvl w:val="0"/>
          <w:numId w:val="1"/>
        </w:numPr>
      </w:pPr>
      <w:r>
        <w:rPr>
          <w:b/>
          <w:bCs/>
        </w:rPr>
        <w:t>Montenegrin Government/Western View:</w:t>
      </w:r>
      <w:r>
        <w:t xml:space="preserve"> They maintain that the plot was real and dangerous. According to this view, Russia was willing to stage a violent coup in a foreign country to prevent NATO’s expansion. Supporters of this theory note that 2016 was the same year Russia was meddling in the U.S. elections and allegedly poisoning Montenegro’s pro-NATO orientation. They argue that even if the court acquitted for lack of evidence beyond reasonable doubt, it doesn’t mean Russia is innocent – rather, it could mean the plot was well hidden or the new government lacked will to pursue it. NATO officials have treated the Montenegrin allegations seriously, and there were even discussions of it in U.S. Congressional hearings on Russian destabilizing activities {S:Chaulia2006}. For these observers, Montenegro 2016 fits a pattern of Russia’s </w:t>
      </w:r>
      <w:r>
        <w:rPr>
          <w:b/>
          <w:bCs/>
        </w:rPr>
        <w:t>“hybrid warfare”</w:t>
      </w:r>
      <w:r>
        <w:t xml:space="preserve"> – using proxies, deniable operatives, and disinformation to achieve geopolitical aims.</w:t>
      </w:r>
    </w:p>
    <w:p w14:paraId="2EA71906" w14:textId="77777777" w:rsidR="00E4099A" w:rsidRDefault="00E4099A" w:rsidP="00E4099A">
      <w:pPr>
        <w:numPr>
          <w:ilvl w:val="0"/>
          <w:numId w:val="1"/>
        </w:numPr>
      </w:pPr>
      <w:r>
        <w:rPr>
          <w:b/>
          <w:bCs/>
        </w:rPr>
        <w:t>Opposition/Russian View:</w:t>
      </w:r>
      <w:r>
        <w:t xml:space="preserve"> The Montenegrin opposition (now partially in power) and Russian authorities claim the coup story was exaggerated or outright fabricated by Đukanović to win the 2016 election and smear his critics as traitors. They point out that Đukanović’s party did indeed use the alleged coup to rally support and to discredit the Democratic Front. Some liken the affair to a possible </w:t>
      </w:r>
      <w:r>
        <w:rPr>
          <w:b/>
          <w:bCs/>
        </w:rPr>
        <w:t>“false flag”</w:t>
      </w:r>
      <w:r>
        <w:t xml:space="preserve"> or entrapment – suggesting that perhaps the Montenegrin government manipulated some nationalist cliques into a fake plot to then crack down on them. Russian media highlighted inconsistencies in Sinđelić’s testimony and the eventual collapse of the case as vindication that it was all political theater. From this perspective, the real story was an authoritarian leader (Đukanović) using Western fear of Russia to perpetuate his reign and push Montenegro into NATO without full public consent.</w:t>
      </w:r>
    </w:p>
    <w:p w14:paraId="5B77BDDD" w14:textId="77777777" w:rsidR="00E4099A" w:rsidRDefault="00E4099A" w:rsidP="00E4099A">
      <w:pPr>
        <w:pStyle w:val="FirstParagraph"/>
      </w:pPr>
      <w:r>
        <w:rPr>
          <w:b/>
          <w:bCs/>
        </w:rPr>
        <w:t>Current Best Assessment:</w:t>
      </w:r>
      <w:r>
        <w:t xml:space="preserve"> Given the conflicting narratives, what can we conclude? The truth might lie in between: there likely </w:t>
      </w:r>
      <w:r>
        <w:rPr>
          <w:i/>
          <w:iCs/>
        </w:rPr>
        <w:t>was</w:t>
      </w:r>
      <w:r>
        <w:t xml:space="preserve"> an attempt by some nationalist actors to cause chaos on Montenegro’s election night – perhaps encouraged by individuals with ties to Russia. But whether it was a fully Kremlin-orchestrated coup attempt remains unproven. The lack of hard evidence in court and the acquittal raise the possibility that the plot was </w:t>
      </w:r>
      <w:r>
        <w:rPr>
          <w:b/>
          <w:bCs/>
        </w:rPr>
        <w:t>far less operational than initially claimed</w:t>
      </w:r>
      <w:r>
        <w:t>. It might have been more of a half-baked conspiracy that was easily penetrated by intelligence, or even an idea encouraged by an informant (some have speculated Sinđelić himself could have been double-playing).</w:t>
      </w:r>
    </w:p>
    <w:p w14:paraId="1BBBBA74" w14:textId="77777777" w:rsidR="00E4099A" w:rsidRDefault="00E4099A" w:rsidP="00E4099A">
      <w:pPr>
        <w:pStyle w:val="BodyText"/>
      </w:pPr>
      <w:r>
        <w:t xml:space="preserve">What is clear is Russia’s motive: Montenegro’s NATO accession was a setback for Moscow, and Russian officials did engage in intense propaganda and political funding to prevent it (for example, financing friendly media and parties). Thus, the allegation is </w:t>
      </w:r>
      <w:r>
        <w:rPr>
          <w:i/>
          <w:iCs/>
        </w:rPr>
        <w:t>plausible</w:t>
      </w:r>
      <w:r>
        <w:t xml:space="preserve">. But plausibility is not proof. Unlike the Iran 1953 case, we lack declassified files </w:t>
      </w:r>
      <w:r>
        <w:lastRenderedPageBreak/>
        <w:t xml:space="preserve">or admissions from the accused side. Unless Moscow one day opens its archives or someone with direct knowledge speaks out, the 2016 Montenegro coup allegation will remain an </w:t>
      </w:r>
      <w:r>
        <w:rPr>
          <w:b/>
          <w:bCs/>
        </w:rPr>
        <w:t>unresolved shadow</w:t>
      </w:r>
      <w:r>
        <w:t>. It serves as a cautionary tale – either of how sophisticated Russia’s subversion attempts have become, or conversely, of how fear of foreign plots can themselves be weaponized in domestic politics.</w:t>
      </w:r>
    </w:p>
    <w:bookmarkEnd w:id="46"/>
    <w:p w14:paraId="0BECAE97" w14:textId="77777777" w:rsidR="00E4099A" w:rsidRDefault="00E4099A" w:rsidP="00E4099A">
      <w:pPr>
        <w:pStyle w:val="Heading2"/>
      </w:pPr>
      <w:r>
        <w:t>Discussion: Facts, Allegations, and the Gray Zone of Regime Change Claims</w:t>
      </w:r>
    </w:p>
    <w:p w14:paraId="11F27E0C" w14:textId="77777777" w:rsidR="00E4099A" w:rsidRDefault="00E4099A" w:rsidP="00E4099A">
      <w:pPr>
        <w:pStyle w:val="FirstParagraph"/>
      </w:pPr>
      <w:r>
        <w:t>The two case studies above illustrate opposite ends of the spectrum. In Iran, a regime change operation once dismissed as a conspiracy theory turned out to be solid fact. In Montenegro, a dramatic allegation of foreign subversion ended in acquittals and uncertainty. Many other instances of alleged foreign-backed regime change fall somewhere in between – a gray zone where some facts are known but much remains contested.</w:t>
      </w:r>
    </w:p>
    <w:p w14:paraId="1EDA45C3" w14:textId="77777777" w:rsidR="00E4099A" w:rsidRDefault="00E4099A" w:rsidP="00E4099A">
      <w:pPr>
        <w:pStyle w:val="BodyText"/>
      </w:pPr>
      <w:r>
        <w:t xml:space="preserve">It is important to </w:t>
      </w:r>
      <w:r>
        <w:rPr>
          <w:b/>
          <w:bCs/>
        </w:rPr>
        <w:t>clearly label what is confirmed and what is speculative</w:t>
      </w:r>
      <w:r>
        <w:t xml:space="preserve">. Throughout this chapter, we have used terms like </w:t>
      </w:r>
      <w:r>
        <w:rPr>
          <w:i/>
          <w:iCs/>
        </w:rPr>
        <w:t>Fact</w:t>
      </w:r>
      <w:r>
        <w:t xml:space="preserve"> for elements supported by strong evidence or official acknowledgment, </w:t>
      </w:r>
      <w:r>
        <w:rPr>
          <w:i/>
          <w:iCs/>
        </w:rPr>
        <w:t>Allegation</w:t>
      </w:r>
      <w:r>
        <w:t xml:space="preserve"> for claims by interested parties that are not conclusively proven, and </w:t>
      </w:r>
      <w:r>
        <w:rPr>
          <w:i/>
          <w:iCs/>
        </w:rPr>
        <w:t>Rumor</w:t>
      </w:r>
      <w:r>
        <w:t xml:space="preserve"> for unsubstantiated claims circulating without credible support. In the context of regime change:</w:t>
      </w:r>
    </w:p>
    <w:p w14:paraId="36B3148B" w14:textId="77777777" w:rsidR="00E4099A" w:rsidRDefault="00E4099A" w:rsidP="00E4099A">
      <w:pPr>
        <w:numPr>
          <w:ilvl w:val="0"/>
          <w:numId w:val="1"/>
        </w:numPr>
      </w:pPr>
      <w:r>
        <w:rPr>
          <w:b/>
          <w:bCs/>
        </w:rPr>
        <w:t>Confirmed Facts:</w:t>
      </w:r>
      <w:r>
        <w:t xml:space="preserve"> Historical cases with declassified proof (CIA coup operations of the Cold War, Soviet invasions, etc.), or on-the-ground realities (e.g. military interventions like the Saudi-led war in Yemen are observable facts of regime-change attempts by force). When U.S. presidents or other officials openly acknowledge an operation (as Clinton did regarding Guatemala’s civil war role {S:Guardian1999}, or Obama did for Iran {S:Guardian2013}), those allegations graduate to facts. Confirmed facts can also include outcomes: it is a fact that Viktor Yanukovych was driven out of power in Ukraine in 2014, but what role foreigners played is the debated part.</w:t>
      </w:r>
    </w:p>
    <w:p w14:paraId="0F27F603" w14:textId="77777777" w:rsidR="00E4099A" w:rsidRDefault="00E4099A" w:rsidP="00E4099A">
      <w:pPr>
        <w:numPr>
          <w:ilvl w:val="0"/>
          <w:numId w:val="1"/>
        </w:numPr>
      </w:pPr>
      <w:r>
        <w:rPr>
          <w:b/>
          <w:bCs/>
        </w:rPr>
        <w:t>Allegations with Evidence:</w:t>
      </w:r>
      <w:r>
        <w:t xml:space="preserve"> Many recent cases have </w:t>
      </w:r>
      <w:r>
        <w:rPr>
          <w:i/>
          <w:iCs/>
        </w:rPr>
        <w:t>some</w:t>
      </w:r>
      <w:r>
        <w:t xml:space="preserve"> evidence but not complete proof. For example, the idea that the </w:t>
      </w:r>
      <w:r>
        <w:rPr>
          <w:b/>
          <w:bCs/>
        </w:rPr>
        <w:t>U.S. supported “color revolutions”</w:t>
      </w:r>
      <w:r>
        <w:t xml:space="preserve"> has partial evidence: the U.S. government did fund NGOs and training for activists in places like Serbia, Ukraine, and Georgia, and U.S. diplomats were in close contact with opposition movements. Those are documented {S:Chaulia2006}. However, whether that support was decisive or constituted “masterminding” the revolutions is an allegation not conclusively proven; other evidence suggests indigenous forces were primary. Similarly, the allegation that </w:t>
      </w:r>
      <w:r>
        <w:rPr>
          <w:b/>
          <w:bCs/>
        </w:rPr>
        <w:t>Russia tried to assassinate Montenegro’s leader</w:t>
      </w:r>
      <w:r>
        <w:t xml:space="preserve"> has the evidence of indicted individuals with Russian ties, but as shown, that wasn’t enough for a conviction in the end.</w:t>
      </w:r>
    </w:p>
    <w:p w14:paraId="0B157895" w14:textId="77777777" w:rsidR="00E4099A" w:rsidRDefault="00E4099A" w:rsidP="00E4099A">
      <w:pPr>
        <w:numPr>
          <w:ilvl w:val="0"/>
          <w:numId w:val="1"/>
        </w:numPr>
      </w:pPr>
      <w:r>
        <w:rPr>
          <w:b/>
          <w:bCs/>
        </w:rPr>
        <w:t>Unfounded or Exaggerated Rumors:</w:t>
      </w:r>
      <w:r>
        <w:t xml:space="preserve"> In the fever of geopolitical conflict, it’s common for any popular uprising to be labeled a foreign plot by the threatened </w:t>
      </w:r>
      <w:r>
        <w:lastRenderedPageBreak/>
        <w:t xml:space="preserve">regime. Authoritarian governments, in particular, reflexively accuse domestic protesters of being Western agents. For instance, when large demonstrations erupted in </w:t>
      </w:r>
      <w:r>
        <w:rPr>
          <w:b/>
          <w:bCs/>
        </w:rPr>
        <w:t>Belarus (2020)</w:t>
      </w:r>
      <w:r>
        <w:t xml:space="preserve"> against President Lukashenko’s contested re-election, he claimed publicly it was orchestrated by NATO and George Soros, yet presented no evidence beyond rhetoric. Those claims mirror countless other episodes – from the </w:t>
      </w:r>
      <w:r>
        <w:rPr>
          <w:b/>
          <w:bCs/>
        </w:rPr>
        <w:t>Arab Spring</w:t>
      </w:r>
      <w:r>
        <w:t xml:space="preserve"> (some dictators alleged the CIA or Israel was behind the protests) to </w:t>
      </w:r>
      <w:r>
        <w:rPr>
          <w:b/>
          <w:bCs/>
        </w:rPr>
        <w:t>Hong Kong’s protests</w:t>
      </w:r>
      <w:r>
        <w:t xml:space="preserve"> (Beijing insisted “foreign black hands” were stirring unrest) – where investigations have found no concrete foreign hand, only genuine local grievances {S:EUvsDisinfo2023}. Recognizing propaganda and disinformation is crucial: pro-Kremlin media, for example, routinely brand any anti-Russian protest in neighboring countries as an “American-backed color revolution” without evidence {S:EUvsDisinfo2023}. Such narratives are often tools to delegitimize opposition movements.</w:t>
      </w:r>
    </w:p>
    <w:p w14:paraId="51BF950A" w14:textId="77777777" w:rsidR="00E4099A" w:rsidRDefault="00E4099A" w:rsidP="00E4099A">
      <w:pPr>
        <w:pStyle w:val="FirstParagraph"/>
      </w:pPr>
      <w:r>
        <w:rPr>
          <w:b/>
          <w:bCs/>
        </w:rPr>
        <w:t>Opposing Viewpoints – A Balanced Consideration:</w:t>
      </w:r>
      <w:r>
        <w:t xml:space="preserve"> Because regime change allegations are often politically charged, we have aimed to present both sides. A fair summary of opposing viewpoints would be:</w:t>
      </w:r>
    </w:p>
    <w:p w14:paraId="3DC58137" w14:textId="77777777" w:rsidR="00E4099A" w:rsidRDefault="00E4099A" w:rsidP="00E4099A">
      <w:pPr>
        <w:numPr>
          <w:ilvl w:val="0"/>
          <w:numId w:val="1"/>
        </w:numPr>
      </w:pPr>
      <w:r>
        <w:t xml:space="preserve">Those who </w:t>
      </w:r>
      <w:r>
        <w:rPr>
          <w:b/>
          <w:bCs/>
        </w:rPr>
        <w:t>warn about foreign regime-change operations</w:t>
      </w:r>
      <w:r>
        <w:t xml:space="preserve"> argue that there is a consistent pattern of powerful nations meddling in weaker states’ politics to serve their interests. They point to the historical record of CIA and KGB operations, and insist that </w:t>
      </w:r>
      <w:r>
        <w:rPr>
          <w:i/>
          <w:iCs/>
        </w:rPr>
        <w:t>methods have evolved</w:t>
      </w:r>
      <w:r>
        <w:t xml:space="preserve"> but not disappeared – today’s great powers might use NGOs, cyber warfare, or economic pressure rather than tanks, but the end goal of installing favorable regimes is the same. This camp often includes the governments who feel targeted, as well as investigative journalists and some academics. For example, Chinese and Russian officials frequently assert that the U.S. uses “democracy promotion” as a cover for inciting revolutions abroad {S:Chaulia2006}. They highlight evidence like leaked communications (e.g. the Nuland call in Ukraine) or suspicious flows of money to opposition groups as smoking guns. Their perspective is essentially </w:t>
      </w:r>
      <w:r>
        <w:rPr>
          <w:i/>
          <w:iCs/>
        </w:rPr>
        <w:t>trust but verify</w:t>
      </w:r>
      <w:r>
        <w:t>: assume foreign interference is real unless proven otherwise, because it often is.</w:t>
      </w:r>
    </w:p>
    <w:p w14:paraId="5CFAF9FD" w14:textId="77777777" w:rsidR="00E4099A" w:rsidRDefault="00E4099A" w:rsidP="00E4099A">
      <w:pPr>
        <w:numPr>
          <w:ilvl w:val="0"/>
          <w:numId w:val="1"/>
        </w:numPr>
      </w:pPr>
      <w:r>
        <w:t xml:space="preserve">Those who </w:t>
      </w:r>
      <w:r>
        <w:rPr>
          <w:b/>
          <w:bCs/>
        </w:rPr>
        <w:t>are skeptical of regime-change claims</w:t>
      </w:r>
      <w:r>
        <w:t xml:space="preserve"> caution that not every political upheaval is a CIA or Kremlin plot. This viewpoint, often held by Western governments and many independent scholars, emphasizes local agency. They argue that attributing mass protests or elections solely to foreign manipulation is overly simplistic and often self-serving for incumbents looking to shift blame. As evidence, they note that popular uprisings from the Philippines’ People Power in 1986 to Tunisia’s Jasmine Revolution in 2011 succeeded primarily due to internal dynamics – foreign support, if any, played a marginal role. They also point out how often regime change allegations are used as propaganda: for example, the EU’s disinformation watchdog has catalogued dozens of false or baseless claims in pro-Kremlin media about the West organizing protests in Eastern Europe {S:EUvsDisinfo2023}. This side doesn’t deny that covert interference happens, but urges careful examination of </w:t>
      </w:r>
      <w:r>
        <w:rPr>
          <w:i/>
          <w:iCs/>
        </w:rPr>
        <w:t>each case’s facts</w:t>
      </w:r>
      <w:r>
        <w:t xml:space="preserve">. In their view, authoritarian regimes </w:t>
      </w:r>
      <w:r>
        <w:lastRenderedPageBreak/>
        <w:t>overstate foreign plots to justify repression, and even democracies can become paranoid or cynical in blaming outsiders for domestic dissent.</w:t>
      </w:r>
    </w:p>
    <w:p w14:paraId="2355450A" w14:textId="77777777" w:rsidR="00E4099A" w:rsidRDefault="00E4099A" w:rsidP="00E4099A">
      <w:pPr>
        <w:pStyle w:val="FirstParagraph"/>
      </w:pPr>
      <w:r>
        <w:t xml:space="preserve">In weighing these perspectives, a pattern emerges: </w:t>
      </w:r>
      <w:r>
        <w:rPr>
          <w:b/>
          <w:bCs/>
        </w:rPr>
        <w:t>Many alleged regime-change incidents involve some level of foreign involvement, but rarely is it the whole story.</w:t>
      </w:r>
      <w:r>
        <w:t xml:space="preserve"> Foreign actors might facilitate or exploit a coup/revolution, yet the spark and drive often come from internal factors (political crises, unpopular leaders, economic woes, etc.). Conversely, it would be naïve to think major powers do nothing behind the scenes when their strategic interests are at stake; sometimes they are the decisive factor. Each situation requires scrutiny of available evidence.</w:t>
      </w:r>
    </w:p>
    <w:p w14:paraId="19465A37" w14:textId="77777777" w:rsidR="00E4099A" w:rsidRDefault="00E4099A" w:rsidP="00E4099A">
      <w:pPr>
        <w:pStyle w:val="Heading3"/>
      </w:pPr>
      <w:bookmarkStart w:id="47" w:name="the-challenge-of-verification"/>
      <w:r>
        <w:t>The Challenge of Verification</w:t>
      </w:r>
    </w:p>
    <w:p w14:paraId="3AFFB1B1" w14:textId="77777777" w:rsidR="00E4099A" w:rsidRDefault="00E4099A" w:rsidP="00E4099A">
      <w:pPr>
        <w:pStyle w:val="FirstParagraph"/>
      </w:pPr>
      <w:r>
        <w:t xml:space="preserve">One reason regime change allegations persist in ambiguity is the </w:t>
      </w:r>
      <w:r>
        <w:rPr>
          <w:b/>
          <w:bCs/>
        </w:rPr>
        <w:t>difficulty of verification</w:t>
      </w:r>
      <w:r>
        <w:t xml:space="preserve">. Covert operations, by design, leave few traces. It may take decades for archives to open – if ever. In real time, we often rely on partial leaks, defectors’ testimonies, or investigative journalism. For instance, in the </w:t>
      </w:r>
      <w:r>
        <w:rPr>
          <w:b/>
          <w:bCs/>
        </w:rPr>
        <w:t>Venezuelan coup attempt of 2002</w:t>
      </w:r>
      <w:r>
        <w:t xml:space="preserve"> (against Hugo Chávez), circumstantial evidence hinted at U.S. administration contacts with coup plotters and quick American recognition of the short-lived new regime, but no “smoking gun” proved the U.S. instigated it. Thus it remains an allegation with some merit but not officially confirmed. Similarly, claims that </w:t>
      </w:r>
      <w:r>
        <w:rPr>
          <w:b/>
          <w:bCs/>
        </w:rPr>
        <w:t>Iran was behind a 1981 coup plot in Bahrain</w:t>
      </w:r>
      <w:r>
        <w:t xml:space="preserve"> remain murky; some documents suggest links, but Iran’s role was never definitively proven and Iran denied it – leaving historians to argue over how much was Iran’s hand versus Bahrain’s internal dissent.</w:t>
      </w:r>
    </w:p>
    <w:p w14:paraId="7E50B89A" w14:textId="77777777" w:rsidR="00E4099A" w:rsidRDefault="00E4099A" w:rsidP="00E4099A">
      <w:pPr>
        <w:pStyle w:val="BodyText"/>
      </w:pPr>
      <w:r>
        <w:t xml:space="preserve">Moreover, </w:t>
      </w:r>
      <w:r>
        <w:rPr>
          <w:b/>
          <w:bCs/>
        </w:rPr>
        <w:t>confirmation often arrives too late</w:t>
      </w:r>
      <w:r>
        <w:t xml:space="preserve"> to change public perception. The CIA’s role in Chile’s 1973 coup, for example, was denied at the time but later documentation showed extensive U.S. efforts to destabilize President Allende’s government (through economic sabotage and backing Chilean military conspirators) {S:NSArchive2013}. By the time this was well known, decades had passed and a narrative of U.S. involvement was already widely assumed in Latin America. The delay between allegation and proof means myths and truths intermingle in the popular memory.</w:t>
      </w:r>
    </w:p>
    <w:p w14:paraId="79C6DBF6" w14:textId="77777777" w:rsidR="00E4099A" w:rsidRDefault="00E4099A" w:rsidP="00E4099A">
      <w:pPr>
        <w:pStyle w:val="Heading3"/>
      </w:pPr>
      <w:bookmarkStart w:id="48" w:name="evolving-methods-of-intervention"/>
      <w:bookmarkEnd w:id="47"/>
      <w:r>
        <w:t>Evolving Methods of Intervention</w:t>
      </w:r>
    </w:p>
    <w:p w14:paraId="5CF15B7C" w14:textId="77777777" w:rsidR="00E4099A" w:rsidRDefault="00E4099A" w:rsidP="00E4099A">
      <w:pPr>
        <w:pStyle w:val="FirstParagraph"/>
      </w:pPr>
      <w:r>
        <w:t xml:space="preserve">Another insight is that the </w:t>
      </w:r>
      <w:r>
        <w:rPr>
          <w:i/>
          <w:iCs/>
        </w:rPr>
        <w:t>methods of foreign intervention have evolved</w:t>
      </w:r>
      <w:r>
        <w:t xml:space="preserve">. During the Cold War, coups were often military and violent. In today’s era, great powers may prefer </w:t>
      </w:r>
      <w:r>
        <w:rPr>
          <w:i/>
          <w:iCs/>
        </w:rPr>
        <w:t>subtler tools</w:t>
      </w:r>
      <w:r>
        <w:t>:</w:t>
      </w:r>
    </w:p>
    <w:p w14:paraId="324F8C46" w14:textId="77777777" w:rsidR="00E4099A" w:rsidRDefault="00E4099A" w:rsidP="00E4099A">
      <w:pPr>
        <w:pStyle w:val="Compact"/>
        <w:numPr>
          <w:ilvl w:val="0"/>
          <w:numId w:val="1"/>
        </w:numPr>
      </w:pPr>
      <w:r>
        <w:rPr>
          <w:b/>
          <w:bCs/>
        </w:rPr>
        <w:t>Information Warfare:</w:t>
      </w:r>
      <w:r>
        <w:t xml:space="preserve"> Spreading propaganda, leaked materials, and fake news to influence public opinion and electoral outcomes (as seen in Russian interference in Western elections).</w:t>
      </w:r>
    </w:p>
    <w:p w14:paraId="30C5264F" w14:textId="77777777" w:rsidR="00E4099A" w:rsidRDefault="00E4099A" w:rsidP="00E4099A">
      <w:pPr>
        <w:pStyle w:val="Compact"/>
        <w:numPr>
          <w:ilvl w:val="0"/>
          <w:numId w:val="1"/>
        </w:numPr>
      </w:pPr>
      <w:r>
        <w:rPr>
          <w:b/>
          <w:bCs/>
        </w:rPr>
        <w:t>Economic Coercion:</w:t>
      </w:r>
      <w:r>
        <w:t xml:space="preserve"> Using sanctions or aid to pressure leadership changes. For example, the U.S. openly sought to pressure Venezuela’s military and elites to abandon Maduro through heavy sanctions and diplomatic isolation – effectively a regime-change policy short of direct intervention.</w:t>
      </w:r>
    </w:p>
    <w:p w14:paraId="165B661D" w14:textId="77777777" w:rsidR="00E4099A" w:rsidRDefault="00E4099A" w:rsidP="00E4099A">
      <w:pPr>
        <w:pStyle w:val="Compact"/>
        <w:numPr>
          <w:ilvl w:val="0"/>
          <w:numId w:val="1"/>
        </w:numPr>
      </w:pPr>
      <w:r>
        <w:rPr>
          <w:b/>
          <w:bCs/>
        </w:rPr>
        <w:lastRenderedPageBreak/>
        <w:t>Cyber Operations:</w:t>
      </w:r>
      <w:r>
        <w:t xml:space="preserve"> Hackers tied to state actors might break into communications of political leaders and release compromising information to swing political outcomes (a tactic attributed to Russia in multiple cases).</w:t>
      </w:r>
    </w:p>
    <w:p w14:paraId="4B692FF7" w14:textId="77777777" w:rsidR="00E4099A" w:rsidRDefault="00E4099A" w:rsidP="00E4099A">
      <w:pPr>
        <w:pStyle w:val="Compact"/>
        <w:numPr>
          <w:ilvl w:val="0"/>
          <w:numId w:val="1"/>
        </w:numPr>
      </w:pPr>
      <w:r>
        <w:rPr>
          <w:b/>
          <w:bCs/>
        </w:rPr>
        <w:t>Election Meddling:</w:t>
      </w:r>
      <w:r>
        <w:t xml:space="preserve"> Funding preferred candidates, providing campaign expertise, or disrupting vote counting systems.</w:t>
      </w:r>
    </w:p>
    <w:p w14:paraId="1D61F0DF" w14:textId="77777777" w:rsidR="00E4099A" w:rsidRDefault="00E4099A" w:rsidP="00E4099A">
      <w:pPr>
        <w:pStyle w:val="Compact"/>
        <w:numPr>
          <w:ilvl w:val="0"/>
          <w:numId w:val="1"/>
        </w:numPr>
      </w:pPr>
      <w:r>
        <w:rPr>
          <w:b/>
          <w:bCs/>
        </w:rPr>
        <w:t>Civil Society Support:</w:t>
      </w:r>
      <w:r>
        <w:t xml:space="preserve"> Funding NGOs, training activists (as through organizations like the National Endowment for Democracy). Is this fostering democracy or a backdoor to regime change? Opinions differ sharply. One country’s benign democracy support is another country’s external subversion, depending on perspective. For instance, U.S. grants to pro-democracy groups in Eastern Europe are seen by those governments as meddling if the groups oppose them.</w:t>
      </w:r>
    </w:p>
    <w:p w14:paraId="51626231" w14:textId="77777777" w:rsidR="00E4099A" w:rsidRDefault="00E4099A" w:rsidP="00E4099A">
      <w:pPr>
        <w:pStyle w:val="FirstParagraph"/>
      </w:pPr>
      <w:r>
        <w:t xml:space="preserve">Because these methods are less overt than tanks rolling across a border, they can be </w:t>
      </w:r>
      <w:r>
        <w:rPr>
          <w:b/>
          <w:bCs/>
        </w:rPr>
        <w:t>plausibly denied</w:t>
      </w:r>
      <w:r>
        <w:t xml:space="preserve"> and thus fuel contentious debate. The lack of clarity benefits the interveners (who avoid direct blame) and also the embattled regimes (who can amplify allegations for sympathy). It creates a fertile ground for </w:t>
      </w:r>
      <w:r>
        <w:rPr>
          <w:i/>
          <w:iCs/>
        </w:rPr>
        <w:t>conspiracy theories</w:t>
      </w:r>
      <w:r>
        <w:t>, some of which later prove true, others not.</w:t>
      </w:r>
    </w:p>
    <w:p w14:paraId="465DE112" w14:textId="77777777" w:rsidR="00E4099A" w:rsidRDefault="00E4099A" w:rsidP="00E4099A">
      <w:pPr>
        <w:pStyle w:val="Heading3"/>
      </w:pPr>
      <w:bookmarkStart w:id="49" w:name="the-impact-of-allegations"/>
      <w:bookmarkEnd w:id="48"/>
      <w:r>
        <w:t>The Impact of Allegations</w:t>
      </w:r>
    </w:p>
    <w:p w14:paraId="1A903F44" w14:textId="77777777" w:rsidR="00E4099A" w:rsidRDefault="00E4099A" w:rsidP="00E4099A">
      <w:pPr>
        <w:pStyle w:val="FirstParagraph"/>
      </w:pPr>
      <w:r>
        <w:t xml:space="preserve">Regardless of their truth, </w:t>
      </w:r>
      <w:r>
        <w:rPr>
          <w:b/>
          <w:bCs/>
        </w:rPr>
        <w:t>regime change allegations have real impact</w:t>
      </w:r>
      <w:r>
        <w:t>. They can:</w:t>
      </w:r>
    </w:p>
    <w:p w14:paraId="2AD7D15F" w14:textId="77777777" w:rsidR="00E4099A" w:rsidRDefault="00E4099A" w:rsidP="00E4099A">
      <w:pPr>
        <w:pStyle w:val="Compact"/>
        <w:numPr>
          <w:ilvl w:val="0"/>
          <w:numId w:val="1"/>
        </w:numPr>
      </w:pPr>
      <w:r>
        <w:rPr>
          <w:b/>
          <w:bCs/>
        </w:rPr>
        <w:t>Damage international relations:</w:t>
      </w:r>
      <w:r>
        <w:t xml:space="preserve"> Countries accused of meddling face backlash. Russia’s alleged coup plot in Montenegro contributed to extremely poor Russia–Montenegro relations; even if unproven, the suspicion lingers. Similarly, nations like Iran and Cuba, which have been targets of U.S. regime-change rhetoric, remain deeply distrustful in negotiations due to historical memory.</w:t>
      </w:r>
    </w:p>
    <w:p w14:paraId="3487EFCC" w14:textId="77777777" w:rsidR="00E4099A" w:rsidRDefault="00E4099A" w:rsidP="00E4099A">
      <w:pPr>
        <w:pStyle w:val="Compact"/>
        <w:numPr>
          <w:ilvl w:val="0"/>
          <w:numId w:val="1"/>
        </w:numPr>
      </w:pPr>
      <w:r>
        <w:rPr>
          <w:b/>
          <w:bCs/>
        </w:rPr>
        <w:t>Justify internal crackdowns:</w:t>
      </w:r>
      <w:r>
        <w:t xml:space="preserve"> Authoritarian leaders often invoke “foreign plots” to arrest opposition members or restrict NGOs and press. For example, Egypt’s government accused NGOs of being Western agents after the Arab Spring and used that to justify draconian NGO laws.</w:t>
      </w:r>
    </w:p>
    <w:p w14:paraId="5E07271F" w14:textId="77777777" w:rsidR="00E4099A" w:rsidRDefault="00E4099A" w:rsidP="00E4099A">
      <w:pPr>
        <w:pStyle w:val="Compact"/>
        <w:numPr>
          <w:ilvl w:val="0"/>
          <w:numId w:val="1"/>
        </w:numPr>
      </w:pPr>
      <w:r>
        <w:rPr>
          <w:b/>
          <w:bCs/>
        </w:rPr>
        <w:t>Influence public opinion:</w:t>
      </w:r>
      <w:r>
        <w:t xml:space="preserve"> People tend to simplify causality – some believe </w:t>
      </w:r>
      <w:r>
        <w:rPr>
          <w:i/>
          <w:iCs/>
        </w:rPr>
        <w:t>everything</w:t>
      </w:r>
      <w:r>
        <w:t xml:space="preserve"> is orchestrated by CIA/Kremlin, others believe </w:t>
      </w:r>
      <w:r>
        <w:rPr>
          <w:i/>
          <w:iCs/>
        </w:rPr>
        <w:t>nothing</w:t>
      </w:r>
      <w:r>
        <w:t xml:space="preserve"> is. Each new allegation can reinforce those worldviews. State media and political factions leverage these claims to rally nationalism or partisan support.</w:t>
      </w:r>
    </w:p>
    <w:p w14:paraId="5374AB13" w14:textId="77777777" w:rsidR="00E4099A" w:rsidRDefault="00E4099A" w:rsidP="00E4099A">
      <w:pPr>
        <w:pStyle w:val="Compact"/>
        <w:numPr>
          <w:ilvl w:val="0"/>
          <w:numId w:val="1"/>
        </w:numPr>
      </w:pPr>
      <w:r>
        <w:rPr>
          <w:b/>
          <w:bCs/>
        </w:rPr>
        <w:t>Lead to preventive measures:</w:t>
      </w:r>
      <w:r>
        <w:t xml:space="preserve"> Democracies concerned about interference pass laws to counter foreign funding in politics. Australia and several European countries enacted stricter foreign agent registration and donation transparency rules in response to Chinese and Russian influence operations {S:Guardian2017}.</w:t>
      </w:r>
    </w:p>
    <w:bookmarkEnd w:id="49"/>
    <w:p w14:paraId="3DD3D770" w14:textId="77777777" w:rsidR="00E4099A" w:rsidRDefault="00E4099A" w:rsidP="00E4099A">
      <w:pPr>
        <w:pStyle w:val="Heading3"/>
      </w:pPr>
      <w:r>
        <w:t>Conclusion: Vigilance with Skepticism</w:t>
      </w:r>
    </w:p>
    <w:p w14:paraId="02FCADDF" w14:textId="77777777" w:rsidR="00E4099A" w:rsidRDefault="00E4099A" w:rsidP="00E4099A">
      <w:pPr>
        <w:pStyle w:val="FirstParagraph"/>
      </w:pPr>
      <w:r>
        <w:t xml:space="preserve">The landscape of foreign policy and regime change allegations is complex. History teaches that </w:t>
      </w:r>
      <w:r>
        <w:rPr>
          <w:b/>
          <w:bCs/>
        </w:rPr>
        <w:t>some conspiracies are real</w:t>
      </w:r>
      <w:r>
        <w:t xml:space="preserve"> – governments do sometimes covertly topple other governments. But it also teaches that </w:t>
      </w:r>
      <w:r>
        <w:rPr>
          <w:i/>
          <w:iCs/>
        </w:rPr>
        <w:t>not every turmoil is a conspiracy</w:t>
      </w:r>
      <w:r>
        <w:t xml:space="preserve">. The responsible </w:t>
      </w:r>
      <w:r>
        <w:lastRenderedPageBreak/>
        <w:t>approach is to remain vigilant – investigate legitimate leads of foreign interference – yet also maintain healthy skepticism, demanding evidence before accepting any narrative wholesale.</w:t>
      </w:r>
    </w:p>
    <w:p w14:paraId="32A6F0BF" w14:textId="77777777" w:rsidR="00E4099A" w:rsidRDefault="00E4099A" w:rsidP="00E4099A">
      <w:pPr>
        <w:pStyle w:val="BodyText"/>
      </w:pPr>
      <w:r>
        <w:t>As this chapter has shown, we now know of numerous confirmed cases where accusations were justified (from Iran 1953 to multiple Cold War coups, to Russia’s machinations in Ukraine). On the other hand, we have dissected instances where allegations outran the evidence (Montenegro’s shadowy affair, among others). Between those poles lies a spectrum of partial truths and exaggerated claims.</w:t>
      </w:r>
    </w:p>
    <w:p w14:paraId="496E93B9" w14:textId="77777777" w:rsidR="00E4099A" w:rsidRDefault="00E4099A" w:rsidP="00E4099A">
      <w:pPr>
        <w:pStyle w:val="BodyText"/>
      </w:pPr>
      <w:r>
        <w:t xml:space="preserve">For readers and researchers, the key takeaway is to </w:t>
      </w:r>
      <w:r>
        <w:rPr>
          <w:b/>
          <w:bCs/>
        </w:rPr>
        <w:t>examine each situation on its own merits</w:t>
      </w:r>
      <w:r>
        <w:t>. Who is making the allegation and what do they gain? What evidence is available and how reliable is it? Has independent verification occurred? By asking these questions, one can cut through propaganda and fear-mongering to approach the truth. In the information age, deceptions can be elaborate – but so can open-source sleuthing and journalistic investigation. Ultimately, the pursuit of truth in regime change allegations continues, with new chapters being written as global rivalries persist.</w:t>
      </w:r>
    </w:p>
    <w:p w14:paraId="122A6837" w14:textId="322603DD" w:rsidR="00E4099A" w:rsidRDefault="00000000" w:rsidP="00E4099A">
      <w:r>
        <w:pict w14:anchorId="7D9CAB73">
          <v:rect id="_x0000_i1033" style="width:0;height:1.5pt" o:hralign="center" o:hrstd="t" o:hr="t"/>
        </w:pict>
      </w:r>
    </w:p>
    <w:p w14:paraId="38570662" w14:textId="51C9DBA3" w:rsidR="00E4099A" w:rsidRDefault="00E4099A" w:rsidP="00406E3B"/>
    <w:p w14:paraId="22C59D2D" w14:textId="77777777" w:rsidR="00DC33FE" w:rsidRDefault="00DC33FE" w:rsidP="00406E3B"/>
    <w:p w14:paraId="2CFC1552" w14:textId="77777777" w:rsidR="00DC33FE" w:rsidRDefault="00DC33FE" w:rsidP="00406E3B"/>
    <w:p w14:paraId="44A18049" w14:textId="77777777" w:rsidR="00DC33FE" w:rsidRDefault="00DC33FE" w:rsidP="00406E3B"/>
    <w:p w14:paraId="173C91CA" w14:textId="77777777" w:rsidR="00DC33FE" w:rsidRDefault="00DC33FE" w:rsidP="00406E3B"/>
    <w:p w14:paraId="003785F6" w14:textId="77777777" w:rsidR="00DC33FE" w:rsidRDefault="00DC33FE" w:rsidP="00406E3B"/>
    <w:p w14:paraId="3BD28795" w14:textId="77777777" w:rsidR="00DC33FE" w:rsidRDefault="00DC33FE" w:rsidP="00406E3B"/>
    <w:p w14:paraId="4D28A494" w14:textId="77777777" w:rsidR="00DC33FE" w:rsidRDefault="00DC33FE" w:rsidP="00406E3B"/>
    <w:p w14:paraId="1B9F5E16" w14:textId="77777777" w:rsidR="00DC33FE" w:rsidRDefault="00DC33FE" w:rsidP="00406E3B"/>
    <w:p w14:paraId="4D90D8C3" w14:textId="77777777" w:rsidR="00DC33FE" w:rsidRDefault="00DC33FE" w:rsidP="00406E3B"/>
    <w:p w14:paraId="355B91BF" w14:textId="77777777" w:rsidR="00DC33FE" w:rsidRDefault="00DC33FE" w:rsidP="00406E3B"/>
    <w:p w14:paraId="4F1F8FF7" w14:textId="77777777" w:rsidR="00DC33FE" w:rsidRDefault="00DC33FE" w:rsidP="00406E3B"/>
    <w:p w14:paraId="02622BF4" w14:textId="77777777" w:rsidR="00DC33FE" w:rsidRDefault="00DC33FE" w:rsidP="00406E3B"/>
    <w:p w14:paraId="3A5A8224" w14:textId="77777777" w:rsidR="00DC33FE" w:rsidRDefault="00DC33FE" w:rsidP="00406E3B"/>
    <w:p w14:paraId="477E5FFD" w14:textId="77777777" w:rsidR="00DC33FE" w:rsidRDefault="00DC33FE" w:rsidP="00406E3B"/>
    <w:p w14:paraId="44FC1C2F" w14:textId="77777777" w:rsidR="00DC33FE" w:rsidRDefault="00DC33FE" w:rsidP="00DC33FE">
      <w:pPr>
        <w:pStyle w:val="Heading1"/>
      </w:pPr>
      <w:r>
        <w:lastRenderedPageBreak/>
        <w:t>Chapter 9: Migration and Borders</w:t>
      </w:r>
    </w:p>
    <w:p w14:paraId="16D217E2" w14:textId="77777777" w:rsidR="00DC33FE" w:rsidRDefault="00DC33FE" w:rsidP="00DC33FE">
      <w:pPr>
        <w:pStyle w:val="FirstParagraph"/>
      </w:pPr>
      <w:r>
        <w:rPr>
          <w:b/>
          <w:bCs/>
        </w:rPr>
        <w:t>Introduction</w:t>
      </w:r>
      <w:r>
        <w:br/>
        <w:t>In the summer of 2015, crowds of weary refugees from Syria trudged across European frontiers, while flimsy boats packed with migrants landed on Greek islands. That year, Europe faced its biggest wave of asylum seekers since World War II. Television images of families behind barbed wire and overloaded dinghies sinking at sea brought global attention to a mounting crisis. Yet those scenes were only one part of a much larger story. Worldwide, more people are displaced by conflict and disaster today than at any time in recorded history – over 110 million as of mid-2023, according to the UN refugee agency {S:UNHCR-Displacement2023}. Nearly 9 in 10 of these displaced people remain in developing countries neighboring their homelands, often in protracted exile with uncertain futures {S:UNHCR-Displacement2023}. Meanwhile, political debates over how to handle migration have intensified in wealthier nations. Some governments have launched humanitarian programs to resettle refugees or provide aid in war-torn regions, while others have tightened their borders with fences, patrols, and controversial policies aimed at deterring new arrivals.</w:t>
      </w:r>
    </w:p>
    <w:p w14:paraId="14EB06A8" w14:textId="77777777" w:rsidR="00DC33FE" w:rsidRDefault="00DC33FE" w:rsidP="00DC33FE">
      <w:pPr>
        <w:pStyle w:val="BodyText"/>
      </w:pPr>
      <w:r>
        <w:t xml:space="preserve">Migration is a deeply polarizing issue. Advocates argue that offering refuge to people fleeing violence is a moral and legal obligation, pointing to successful integration stories and the contributions migrants make to their new communities. Critics, however, claim that generous refugee programs or search-and-rescue efforts at sea might inadvertently encourage more migration, straining host countries’ resources and security. Allegations abound that well-intentioned policies create </w:t>
      </w:r>
      <w:r>
        <w:rPr>
          <w:i/>
          <w:iCs/>
        </w:rPr>
        <w:t>“pull factors”</w:t>
      </w:r>
      <w:r>
        <w:t xml:space="preserve"> – incentives for people to move – while others counter that </w:t>
      </w:r>
      <w:r>
        <w:rPr>
          <w:i/>
          <w:iCs/>
        </w:rPr>
        <w:t>“push factors”</w:t>
      </w:r>
      <w:r>
        <w:t xml:space="preserve"> like war and persecution leave most refugees little choice in their search for safety. This chapter explores the reality behind these claims through a critical, evidence-based lens. We examine the major humanitarian initiatives and policy responses implemented to manage refugee flows and border crossings in recent years, and we evaluate what outcomes they have produced. We also investigate the key points of contention: Do asylum and resettlement programs save lives and uphold human rights as intended? Or do they, as skeptics contend, encourage irregular migration and empower smugglers? How have stricter border enforcement measures affected migration patterns and the wellbeing of those on the move? Throughout, we present competing analyses and data from multiple perspectives – humanitarian organizations, government reports, independent researchers – to separate facts from political rhetoric. Two case studies of non-governmental organizations (NGOs) working on the frontlines will illustrate these dynamics in practice: one NGO conducting search-and-rescue operations in the Mediterranean, and another helping refugees rebuild their lives after resettlement. In doing so, this chapter aims to illuminate the complex interplay between migration and borders in today’s world, beyond the slogans and simplifications, grounding the discussion in documented realities.</w:t>
      </w:r>
    </w:p>
    <w:p w14:paraId="176B0E6F" w14:textId="77777777" w:rsidR="00DC33FE" w:rsidRDefault="00DC33FE" w:rsidP="00DC33FE">
      <w:pPr>
        <w:pStyle w:val="BodyText"/>
      </w:pPr>
      <w:r>
        <w:rPr>
          <w:b/>
          <w:bCs/>
        </w:rPr>
        <w:lastRenderedPageBreak/>
        <w:t>Glossary: Key Migration Terms and Legal Categories</w:t>
      </w:r>
      <w:r>
        <w:br/>
        <w:t>Understanding the debate requires clarity on terminology. Below is a brief glossary of important migration-related terms and legal categories:</w:t>
      </w:r>
    </w:p>
    <w:p w14:paraId="01158308" w14:textId="77777777" w:rsidR="00DC33FE" w:rsidRDefault="00DC33FE" w:rsidP="00DC33FE">
      <w:pPr>
        <w:pStyle w:val="Compact"/>
        <w:numPr>
          <w:ilvl w:val="0"/>
          <w:numId w:val="1"/>
        </w:numPr>
      </w:pPr>
      <w:r>
        <w:rPr>
          <w:b/>
          <w:bCs/>
        </w:rPr>
        <w:t>Refugee:</w:t>
      </w:r>
      <w:r>
        <w:t xml:space="preserve"> A person who has fled their home country and cannot return due to a well-founded fear of persecution based on race, religion, nationality, membership in a particular social group, or political opinion. Refugee status carries certain legal protections under international law, chiefly the 1951 Refugee Convention {S:UN-RefugeeDef}. Refugees are entitled to safety from forcible return to danger (see </w:t>
      </w:r>
      <w:r>
        <w:rPr>
          <w:i/>
          <w:iCs/>
        </w:rPr>
        <w:t>non-refoulement</w:t>
      </w:r>
      <w:r>
        <w:t xml:space="preserve"> below).</w:t>
      </w:r>
    </w:p>
    <w:p w14:paraId="3150810E" w14:textId="77777777" w:rsidR="00DC33FE" w:rsidRDefault="00DC33FE" w:rsidP="00DC33FE">
      <w:pPr>
        <w:pStyle w:val="Compact"/>
        <w:numPr>
          <w:ilvl w:val="0"/>
          <w:numId w:val="1"/>
        </w:numPr>
      </w:pPr>
      <w:r>
        <w:rPr>
          <w:b/>
          <w:bCs/>
        </w:rPr>
        <w:t>Asylum Seeker:</w:t>
      </w:r>
      <w:r>
        <w:t xml:space="preserve"> An individual who is seeking international protection but whose claim for refugee status has not yet been determined. Asylum seekers apply for protection upon or after arrival in a new country; if their claim is approved, they are recognized as refugees (often then called </w:t>
      </w:r>
      <w:r>
        <w:rPr>
          <w:i/>
          <w:iCs/>
        </w:rPr>
        <w:t>asylees</w:t>
      </w:r>
      <w:r>
        <w:t>). In countries with individualized procedures, an asylum seeker’s case must go through a legal adjudication process before that person is either granted protection or refused {S:IOM-Definitions}.</w:t>
      </w:r>
    </w:p>
    <w:p w14:paraId="7873C3EF" w14:textId="77777777" w:rsidR="00DC33FE" w:rsidRDefault="00DC33FE" w:rsidP="00DC33FE">
      <w:pPr>
        <w:pStyle w:val="Compact"/>
        <w:numPr>
          <w:ilvl w:val="0"/>
          <w:numId w:val="1"/>
        </w:numPr>
      </w:pPr>
      <w:r>
        <w:rPr>
          <w:b/>
          <w:bCs/>
        </w:rPr>
        <w:t>Internally Displaced Person (IDP):</w:t>
      </w:r>
      <w:r>
        <w:t xml:space="preserve"> Someone forced to flee their home due to conflict, violence, disaster, or persecution, but who remains within the borders of their own country. IDPs are not protected by the international refugee regime (since they haven’t crossed a border) but often face similar plights. By mid-2023, there were over 62 million IDPs worldwide, making up more than half of all people displaced by conflict {S:UNHCR-Displacement2023}.</w:t>
      </w:r>
    </w:p>
    <w:p w14:paraId="0C30A8F7" w14:textId="77777777" w:rsidR="00DC33FE" w:rsidRDefault="00DC33FE" w:rsidP="00DC33FE">
      <w:pPr>
        <w:pStyle w:val="Compact"/>
        <w:numPr>
          <w:ilvl w:val="0"/>
          <w:numId w:val="1"/>
        </w:numPr>
      </w:pPr>
      <w:r>
        <w:rPr>
          <w:b/>
          <w:bCs/>
        </w:rPr>
        <w:t>Migrant:</w:t>
      </w:r>
      <w:r>
        <w:t xml:space="preserve"> A broad term for a person who moves away from their habitual place of residence, either within a country or across international borders, temporarily or permanently. Unlike “refugee,” </w:t>
      </w:r>
      <w:r>
        <w:rPr>
          <w:i/>
          <w:iCs/>
        </w:rPr>
        <w:t>migrant</w:t>
      </w:r>
      <w:r>
        <w:t xml:space="preserve"> has no universally accepted legal definition and does not by itself imply a specific reason for moving. Migrants move for a variety of reasons – work, education, family reunification, or to seek better opportunities – as well as to escape danger. The term </w:t>
      </w:r>
      <w:r>
        <w:rPr>
          <w:i/>
          <w:iCs/>
        </w:rPr>
        <w:t>economic migrant</w:t>
      </w:r>
      <w:r>
        <w:t xml:space="preserve"> is sometimes used to describe those moving primarily for financial or job prospects, as distinct from refugees fleeing persecution. However, in reality people’s motives can be mixed.</w:t>
      </w:r>
    </w:p>
    <w:p w14:paraId="41CED4A3" w14:textId="77777777" w:rsidR="00DC33FE" w:rsidRDefault="00DC33FE" w:rsidP="00DC33FE">
      <w:pPr>
        <w:pStyle w:val="Compact"/>
        <w:numPr>
          <w:ilvl w:val="0"/>
          <w:numId w:val="1"/>
        </w:numPr>
      </w:pPr>
      <w:r>
        <w:rPr>
          <w:b/>
          <w:bCs/>
        </w:rPr>
        <w:t>Irregular Migrant:</w:t>
      </w:r>
      <w:r>
        <w:t xml:space="preserve"> Also known as an </w:t>
      </w:r>
      <w:r>
        <w:rPr>
          <w:i/>
          <w:iCs/>
        </w:rPr>
        <w:t>undocumented</w:t>
      </w:r>
      <w:r>
        <w:t xml:space="preserve"> or </w:t>
      </w:r>
      <w:r>
        <w:rPr>
          <w:i/>
          <w:iCs/>
        </w:rPr>
        <w:t>illegal</w:t>
      </w:r>
      <w:r>
        <w:t xml:space="preserve"> migrant, this refers to a person who enters or stays in a country without legal authorization or valid documents. For example, someone who crosses a border without inspection or overstays a visa is in an irregular status. It is important to note that seeking asylum, even without prior permission, is </w:t>
      </w:r>
      <w:r>
        <w:rPr>
          <w:b/>
          <w:bCs/>
        </w:rPr>
        <w:t>not</w:t>
      </w:r>
      <w:r>
        <w:t xml:space="preserve"> illegal – international law permits people to request asylum even if they entered a country irregularly. Irregular migrants may include rejected asylum seekers who remain, or others who bypass official channels. They often live in precarious conditions due to lack of legal status {S:IOM-Definitions}.</w:t>
      </w:r>
    </w:p>
    <w:p w14:paraId="36C040F0" w14:textId="77777777" w:rsidR="00DC33FE" w:rsidRDefault="00DC33FE" w:rsidP="00DC33FE">
      <w:pPr>
        <w:pStyle w:val="Compact"/>
        <w:numPr>
          <w:ilvl w:val="0"/>
          <w:numId w:val="1"/>
        </w:numPr>
      </w:pPr>
      <w:r>
        <w:rPr>
          <w:b/>
          <w:bCs/>
        </w:rPr>
        <w:t>Stateless Person:</w:t>
      </w:r>
      <w:r>
        <w:t xml:space="preserve"> An individual who is not considered a citizen or national by any country. Statelessness can occur due to gaps in nationality laws, discrimination, or state succession. Many stateless people are also refugees or migrants, but some remain in their birth country with no legal identity or rights of citizenship.</w:t>
      </w:r>
    </w:p>
    <w:p w14:paraId="08881B38" w14:textId="77777777" w:rsidR="00DC33FE" w:rsidRDefault="00DC33FE" w:rsidP="00DC33FE">
      <w:pPr>
        <w:pStyle w:val="Compact"/>
        <w:numPr>
          <w:ilvl w:val="0"/>
          <w:numId w:val="1"/>
        </w:numPr>
      </w:pPr>
      <w:r>
        <w:rPr>
          <w:b/>
          <w:bCs/>
        </w:rPr>
        <w:lastRenderedPageBreak/>
        <w:t>Resettlement:</w:t>
      </w:r>
      <w:r>
        <w:t xml:space="preserve"> The transfer of a refugee from the country where they first sought protection (often a neighboring country to their conflict-torn home) to a third country that agrees to admit them as a legal resident, with the prospect of eventual integration. Resettlement is usually facilitated by international agencies like UNHCR, which refers the most vulnerable cases (for example, torture survivors or those with serious medical needs) to countries offering slots. Only a tiny fraction of the world’s refugees are ever resettled – historically less than 1% in a given year, due to limited places {S:MPI-USResettle2024}. Countries like the United States, Canada, and Australia have formal refugee resettlement programs with annual quotas.</w:t>
      </w:r>
    </w:p>
    <w:p w14:paraId="6888F9A0" w14:textId="77777777" w:rsidR="00DC33FE" w:rsidRDefault="00DC33FE" w:rsidP="00DC33FE">
      <w:pPr>
        <w:pStyle w:val="Compact"/>
        <w:numPr>
          <w:ilvl w:val="0"/>
          <w:numId w:val="1"/>
        </w:numPr>
      </w:pPr>
      <w:r>
        <w:rPr>
          <w:b/>
          <w:bCs/>
        </w:rPr>
        <w:t>Temporary Protection:</w:t>
      </w:r>
      <w:r>
        <w:t xml:space="preserve"> A mechanism by which states provide immediate but time-limited refuge to people fleeing specific crises, without going through individual asylum adjudications. For instance, the European Union invoked a “Temporary Protection” directive in 2022 to quickly grant status and residence rights to millions of refugees from the war in Ukraine. Temporary protected status does not confer the full rights of formal asylum but shields people from deportation and allows them to live and work in the host country for the duration of the designation.</w:t>
      </w:r>
    </w:p>
    <w:p w14:paraId="69DD577F" w14:textId="77777777" w:rsidR="00DC33FE" w:rsidRDefault="00DC33FE" w:rsidP="00DC33FE">
      <w:pPr>
        <w:pStyle w:val="Compact"/>
        <w:numPr>
          <w:ilvl w:val="0"/>
          <w:numId w:val="1"/>
        </w:numPr>
      </w:pPr>
      <w:r>
        <w:rPr>
          <w:b/>
          <w:bCs/>
        </w:rPr>
        <w:t>Non-refoulement:</w:t>
      </w:r>
      <w:r>
        <w:t xml:space="preserve"> A core principle of international refugee law that prohibits countries from returning anyone to a territory where they would likely face persecution, torture, or other serious harm. This principle, enshrined in the 1951 Refugee Convention and human rights treaties, applies to both refugees and asylum seekers. </w:t>
      </w:r>
      <w:r>
        <w:rPr>
          <w:i/>
          <w:iCs/>
        </w:rPr>
        <w:t>Refoulement</w:t>
      </w:r>
      <w:r>
        <w:t xml:space="preserve"> means forcible return; thus, non-refoulement is essentially the rule against expelling or turning back people at the border if it would expose them to danger. Even migrants who entered irregularly have the right to have their protection needs assessed before being removed.</w:t>
      </w:r>
    </w:p>
    <w:p w14:paraId="6B72A450" w14:textId="77777777" w:rsidR="00DC33FE" w:rsidRDefault="00DC33FE" w:rsidP="00DC33FE">
      <w:pPr>
        <w:pStyle w:val="FirstParagraph"/>
      </w:pPr>
      <w:r>
        <w:t>With these definitions in mind, we turn to the concrete programs and policies that governments and organizations have put in place – and the outcomes they have yielded.</w:t>
      </w:r>
    </w:p>
    <w:p w14:paraId="28167099" w14:textId="77777777" w:rsidR="00DC33FE" w:rsidRDefault="00DC33FE" w:rsidP="00DC33FE">
      <w:pPr>
        <w:pStyle w:val="Heading2"/>
      </w:pPr>
      <w:bookmarkStart w:id="50" w:name="X514da43164535f8a5cd73cbe1eacee013c8602e"/>
      <w:r>
        <w:t>Humanitarian Initiatives and Policy Responses</w:t>
      </w:r>
    </w:p>
    <w:p w14:paraId="7FEA67D5" w14:textId="77777777" w:rsidR="00DC33FE" w:rsidRDefault="00DC33FE" w:rsidP="00DC33FE">
      <w:pPr>
        <w:pStyle w:val="Heading3"/>
      </w:pPr>
      <w:bookmarkStart w:id="51" w:name="Xcf7c72653d60b4dabcad3d7e5c2c612fc3b6e36"/>
      <w:r>
        <w:t>Providing Refuge: Humanitarian Programs for Displaced People</w:t>
      </w:r>
    </w:p>
    <w:p w14:paraId="5E9E56CE" w14:textId="77777777" w:rsidR="00DC33FE" w:rsidRDefault="00DC33FE" w:rsidP="00DC33FE">
      <w:pPr>
        <w:pStyle w:val="FirstParagraph"/>
      </w:pPr>
      <w:r>
        <w:t xml:space="preserve">Over the past decade, as record numbers of people fled wars in countries like Syria, Afghanistan, Venezuela, and South Sudan, a range of humanitarian initiatives emerged to aid refugees and manage their resettlement or asylum. International organizations, national governments, and local NGOs each play distinct roles. The United Nations High Commissioner for Refugees (UNHCR) coordinates much of the global refugee response, operating in 135 countries to shelter and assist those who have fled across borders. In sprawling refugee camps from the Middle East to East Africa, UNHCR and partner agencies provide lifesaving relief – food, water, medical care, and schooling – to millions of displaced families. For example, in countries bordering Syria (such as Turkey, Lebanon, and Jordan), massive camp complexes and urban aid programs supported Syrian refugees through the 2010s. These humanitarian efforts have saved countless lives, but they are </w:t>
      </w:r>
      <w:r>
        <w:lastRenderedPageBreak/>
        <w:t>often underfunded and stretched thin, leaving many refugees in protracted limbo with minimal resources. As crises become prolonged, there has been a push for “development” approaches alongside emergency aid – meaning initiatives to help refugees support themselves through work, and to assist host communities that bear the burden of large refugee populations. Programs fostering refugee self-reliance (like permitting refugees to work or start businesses in host countries) and including refugees in national public services (schools, health systems) are examples of this shift. Still, such measures depend on the policies of host governments, which vary widely. Some low-income countries known for hospitality – Uganda and Ethiopia, for instance – have offered land or work rights to certain refugee groups, while others legally bar refugees from employment, leaving them dependent on aid.</w:t>
      </w:r>
    </w:p>
    <w:p w14:paraId="7B75038F" w14:textId="77777777" w:rsidR="00DC33FE" w:rsidRDefault="00DC33FE" w:rsidP="00DC33FE">
      <w:pPr>
        <w:pStyle w:val="BodyText"/>
      </w:pPr>
      <w:r>
        <w:t xml:space="preserve">One of the most structured humanitarian pathways for refugees is </w:t>
      </w:r>
      <w:r>
        <w:rPr>
          <w:b/>
          <w:bCs/>
        </w:rPr>
        <w:t>third-country resettlement</w:t>
      </w:r>
      <w:r>
        <w:t xml:space="preserve">. Under resettlement programs, refugees who have already fled to an initial host country (often a neighboring nation) are selected to move to a third country that agrees to grant them permanent protection. This is typically reserved for especially vulnerable cases or family reunification. Over the years, the United States had the world’s largest refugee resettlement program, admitting hundreds of thousands of refugees for permanent resettlement since the 1980s. That program saw a steep drop in admissions from 2017–2020, when the U.S. dramatically cut its refugee quotas to historic lows, admitting barely 11,000 refugees in fiscal year 2021. However, it rebounded more recently – in fiscal year 2024, the U.S. resettled </w:t>
      </w:r>
      <w:r>
        <w:rPr>
          <w:b/>
          <w:bCs/>
        </w:rPr>
        <w:t>100,000+ refugees</w:t>
      </w:r>
      <w:r>
        <w:t>, its highest number in 30 years, after concerted efforts to rebuild capacity {S:MPI-USResettle2024}. This turnaround was achieved by increasing resources for processing, streamlining security vetting, and even piloting new approaches like community sponsorship (where groups of private citizens help support arriving refugees). It reestablished the U.S. as the top destination for resettled refugees globally, at a time when UNHCR reports a growing backlog of refugees in need of new homes. Canada also runs a well-known resettlement scheme, including a private sponsorship model that has allowed church groups, charities, or even neighborhood associations to sponsor refugee families – an approach praised for engaging civil society and often leading to strong integration outcomes. Other countries have expanded humanitarian admissions in specific crises: for instance, after Russia’s invasion of Ukraine in 2022, European nations collectively took in millions of Ukrainian refugees almost overnight, offering them temporary protected status across the EU. This was a striking display of solidarity (contrasting with the often halting response to refugees from the Middle East or Africa in earlier years) and demonstrated that with political will, large-scale refuge can be provided quickly. The Ukrainian influx was met with robust support systems – access to housing, jobs, and schools – under an EU-wide plan that bypassed lengthy asylum bureaucracy. It highlighted how policy choices can drastically shape refugees’ experiences: Ukrainians, mostly white and European, were broadly welcomed, whereas asylum seekers arriving by boat from Libya or Turkey have frequently faced harsher reception. The discrepancy raised difficult questions about bias and double standards in migration policies, an issue we will revisit in the debate section.</w:t>
      </w:r>
    </w:p>
    <w:p w14:paraId="53168646" w14:textId="77777777" w:rsidR="00DC33FE" w:rsidRDefault="00DC33FE" w:rsidP="00DC33FE">
      <w:pPr>
        <w:pStyle w:val="BodyText"/>
      </w:pPr>
      <w:r>
        <w:lastRenderedPageBreak/>
        <w:t xml:space="preserve">Beyond refugees escaping conflict and persecution, many countries also implement humanitarian programs for migrants affected by natural disasters or other emergent needs. For example, the United States grants </w:t>
      </w:r>
      <w:r>
        <w:rPr>
          <w:i/>
          <w:iCs/>
        </w:rPr>
        <w:t>Temporary Protected Status (TPS)</w:t>
      </w:r>
      <w:r>
        <w:t xml:space="preserve"> to immigrants from countries hit by events like major earthquakes or civil strife – allowing them to stay and work in the U.S. temporarily if deporting them would be unsafe. Over the past decade, the U.S. has used TPS for people from nations such as Haiti (after its 2010 earthquake and subsequent instability) and Venezuela (amid its economic collapse and repression), among others. Similarly, several Latin American countries have created special humanitarian visas to accommodate millions of Venezuelans who fled the collapse of their economy and health system; Colombia notably gave temporary residency and work rights to over 1.7 million Venezuelan migrants in 2021 on humanitarian grounds. These kinds of measures, while not permanent solutions, represent policy tools to address sudden migration surges compassionately and maintain regional stability.</w:t>
      </w:r>
    </w:p>
    <w:p w14:paraId="222A190D" w14:textId="77777777" w:rsidR="00DC33FE" w:rsidRDefault="00DC33FE" w:rsidP="00DC33FE">
      <w:pPr>
        <w:pStyle w:val="Heading3"/>
      </w:pPr>
      <w:bookmarkStart w:id="52" w:name="X33a4bfafb194e78df62008f8556a254d30c28ec"/>
      <w:bookmarkEnd w:id="51"/>
      <w:r>
        <w:t>Managing Borders: Enforcement and International Agreements</w:t>
      </w:r>
    </w:p>
    <w:p w14:paraId="440FD799" w14:textId="77777777" w:rsidR="00DC33FE" w:rsidRDefault="00DC33FE" w:rsidP="00DC33FE">
      <w:pPr>
        <w:pStyle w:val="FirstParagraph"/>
      </w:pPr>
      <w:r>
        <w:t xml:space="preserve">While humanitarian programs focus on aiding and legally admitting people in need, governments have simultaneously pursued policies aimed at managing or restricting migration across their borders. The tension between </w:t>
      </w:r>
      <w:r>
        <w:rPr>
          <w:b/>
          <w:bCs/>
        </w:rPr>
        <w:t>protection and control</w:t>
      </w:r>
      <w:r>
        <w:t xml:space="preserve"> lies at the heart of the migration debate. In practice, many countries have tried to do both: offer refuge to some, while discouraging or blocking what they consider “irregular” migration. This has led to a variety of enforcement initiatives and international agreements intended to deter unauthorized border crossings, often justified by officials as necessary to prevent chaos or abuse of the asylum system.</w:t>
      </w:r>
    </w:p>
    <w:p w14:paraId="2ECED430" w14:textId="77777777" w:rsidR="00DC33FE" w:rsidRDefault="00DC33FE" w:rsidP="00DC33FE">
      <w:pPr>
        <w:pStyle w:val="BodyText"/>
      </w:pPr>
      <w:r>
        <w:t xml:space="preserve">In Europe, the aftermath of the 2015 refugee crisis spurred a flurry of policy changes. Several EU member states reinstituted border checks or built physical barriers along previously open frontiers. Hungary, for example, erected razor-wire fences along its southern borders to keep out migrants traveling the Balkan route. Other countries tightened asylum laws, speeding up deportations for those denied asylum and restricting family reunification rights. At the EU level, leaders sought deals with transit countries to stem the flow of migrants heading toward Europe. A high-profile example was the </w:t>
      </w:r>
      <w:r>
        <w:rPr>
          <w:b/>
          <w:bCs/>
        </w:rPr>
        <w:t>EU-Turkey agreement of 2016</w:t>
      </w:r>
      <w:r>
        <w:t xml:space="preserve">, under which Turkey agreed to prevent migrants from crossing into Greece (and to accept back many asylum seekers deported from Greek islands) in exchange for billions of euros in EU aid and promises of eased visa restrictions for Turks. This deal markedly reduced the number of arrivals into Greece almost overnight. In 2015, some 856,000 people – mostly Syrian refugees – had crossed the Aegean Sea into Greece; by 2017, that route saw only a few tens of thousands of crossings. European officials pointed to the agreement as a success in curbing “irregular migration.” However, it came at a price: tens of thousands of refugees were effectively stuck in Turkey, which already hosted over 3 million Syrians, and human rights groups raised concerns that people returned to Turkey did not always have adequate protection. Still, the EU-Turkey arrangement became a template of sorts. It signaled a broader </w:t>
      </w:r>
      <w:r>
        <w:rPr>
          <w:b/>
          <w:bCs/>
        </w:rPr>
        <w:t>externalization</w:t>
      </w:r>
      <w:r>
        <w:t xml:space="preserve"> strategy – the EU increasingly working with (and funding) countries in North Africa and the Middle East to act as gatekeepers, stopping migrants before they ever reach European soil.</w:t>
      </w:r>
    </w:p>
    <w:p w14:paraId="4FAEF37A" w14:textId="77777777" w:rsidR="00DC33FE" w:rsidRDefault="00DC33FE" w:rsidP="00DC33FE">
      <w:pPr>
        <w:pStyle w:val="BodyText"/>
      </w:pPr>
      <w:r>
        <w:lastRenderedPageBreak/>
        <w:t xml:space="preserve">Following that model, European governments forged partnerships in Libya, Niger, and most recently Tunisia, aiming to tighten the Central Mediterranean route. Italy, in particular, has funneled money, equipment, and training to the Libyan Coast Guard since 2017 to intercept migrant boats leaving Libya and return those people to Libyan shores. The rationale is to break the business model of human smugglers and prevent dangerous sea journeys. The result has been thousands of men, women, and children being caught at sea and sent back to Libya, where reports document many suffer in detention centers notorious for torture, abuse, and extortion by guards and militias. European leaders have faced harsh criticism that these policies outsource dirty work to countries with dismal human rights records, effectively </w:t>
      </w:r>
      <w:r>
        <w:rPr>
          <w:i/>
          <w:iCs/>
        </w:rPr>
        <w:t>“making the EU complicit in abuses”</w:t>
      </w:r>
      <w:r>
        <w:t xml:space="preserve"> against migrants and refugees {S:Amnesty-TunisiaDeal}. In mid-2023, the EU struck a new memorandum with Tunisia – promising Tunisia financial aid, investments, and political support in exchange for a crackdown on migrants and asylum seekers using Tunisia as a launch point to Europe. EU officials like European Commission President Ursula von der Leyen hailed this as a “model” for future deals, claiming it led to an </w:t>
      </w:r>
      <w:r>
        <w:rPr>
          <w:b/>
          <w:bCs/>
        </w:rPr>
        <w:t>80% drop</w:t>
      </w:r>
      <w:r>
        <w:t xml:space="preserve"> in irregular migration from Tunisia later in the year {S:DGAP-TunisiaAnalysis2025}. Closer analysis suggests the story is not so straightforward: soon after the deal was signed, departures from Tunisia actually </w:t>
      </w:r>
      <w:r>
        <w:rPr>
          <w:i/>
          <w:iCs/>
        </w:rPr>
        <w:t>spiked</w:t>
      </w:r>
      <w:r>
        <w:t xml:space="preserve"> to record highs (nearly 60,000 people reached Italy from Tunisia between July and September 2023 alone) before later subsiding {S:DGAP-TunisiaAnalysis2025}. Researchers note that the initial surge was driven by worsening conditions and rumors of impending crackdowns – many migrants rushed to flee while they still could. The subsequent decline in crossings may simply represent a return to the norm after that one-time spike, aided by seasonal weather changes and Tunisia’s own internal campaign against sub-Saharan African migrants {S:DGAP-TunisiaAnalysis2025}. Meanwhile, the human cost has been disturbing: Tunisian authorities, emboldened by European support, carried out mass expulsions of black African migrants into desert border zones with Libya, stranding men, women, and children without food or water in life-threatening conditions. Rights groups warned that the EU-Tunisia pact, much like the Libya cooperation, prioritizes containment over humanity – </w:t>
      </w:r>
      <w:r>
        <w:rPr>
          <w:i/>
          <w:iCs/>
        </w:rPr>
        <w:t>“focusing on outsourcing border control rather than ensuring safe and legal routes,”</w:t>
      </w:r>
      <w:r>
        <w:t xml:space="preserve"> as Amnesty International put it, and effectively green-lighting President Kais Saied’s repressive treatment of migrants {S:Amnesty-TunisiaDeal}.</w:t>
      </w:r>
    </w:p>
    <w:p w14:paraId="05BF7873" w14:textId="77777777" w:rsidR="00DC33FE" w:rsidRDefault="00DC33FE" w:rsidP="00DC33FE">
      <w:pPr>
        <w:pStyle w:val="BodyText"/>
      </w:pPr>
      <w:r>
        <w:t xml:space="preserve">Even as Europe hardened its external borders, it struggled to fix internal asylum rules. The EU’s asylum system had long operated on the controversial </w:t>
      </w:r>
      <w:r>
        <w:rPr>
          <w:b/>
          <w:bCs/>
        </w:rPr>
        <w:t>Dublin Regulation</w:t>
      </w:r>
      <w:r>
        <w:t>, which requires asylum seekers to be processed in the first EU country they enter – a rule that placed disproportionate responsibility on “frontline” states like Greece, Italy, and Spain. Attempts to revise this system after 2015 initially stalled amid deep divisions: countries like Poland and Hungary refused proposals for mandatory refugee-sharing quotas, arguing they did not want Muslim migrants and that each nation should control its own admissions. Only in 2023–2024 did EU members edge toward a compromise “</w:t>
      </w:r>
      <w:r>
        <w:rPr>
          <w:b/>
          <w:bCs/>
        </w:rPr>
        <w:t>New Pact on Migration and Asylum</w:t>
      </w:r>
      <w:r>
        <w:t xml:space="preserve">,” a complex package of laws slated to come into force by 2026 {S:HIAS-EUpact}. The pact introduces faster border screening and asylum procedures – including holding many arrivals in detention-like centers at the border for rapid decisions – and a “mandatory solidarity” mechanism to distribute the load of asylum cases. Under the </w:t>
      </w:r>
      <w:r>
        <w:lastRenderedPageBreak/>
        <w:t xml:space="preserve">new rules, every member state must contribute in some way when another state is overwhelmed by migrant arrivals. Those contributions can be </w:t>
      </w:r>
      <w:r>
        <w:rPr>
          <w:b/>
          <w:bCs/>
        </w:rPr>
        <w:t>flexible</w:t>
      </w:r>
      <w:r>
        <w:t xml:space="preserve">: a country can agree to accept a certain number of relocated asylum seekers, or if it refuses, it must pay €20,000 per person not taken, or otherwise send personnel and resources to assist with border control {S:DGAP-TunisiaAnalysis2025}{S:HIAS-EUpact}. In theory this prevents any country from completely opting out of responsibility. In practice, critics argue it essentially allows richer states to pay off their obligations. Poland and Hungary remain vehemently opposed, casting the plan as an infringement on sovereignty (Poland’s government even organized a domestic referendum painting the pact’s modest refugee relocation as a dire threat). At the same time, human rights organizations have expressed alarm that the pact leans heavily toward </w:t>
      </w:r>
      <w:r>
        <w:rPr>
          <w:b/>
          <w:bCs/>
        </w:rPr>
        <w:t>deterrence</w:t>
      </w:r>
      <w:r>
        <w:t xml:space="preserve"> – emphasizing keeping people out and speeding removals – at the expense of protection. The humanitarian NGO HIAS warned in 2024 that the new EU laws would likely expand the use of detention camps at borders and “fast-track” deportations, premised on a false narrative that most asylum-seekers are not genuine when, in fact, a majority come from countries with high rates of persecution and violence {S:HIAS-EUpact}. Proponents of the pact admit it is a tough bargain but call it a realistic compromise to prevent a repeat of the chaos of 2015. The coming years will test whether a more regimented system in Europe can both satisfy public demands for control and uphold the continent’s obligations to refugees.</w:t>
      </w:r>
    </w:p>
    <w:p w14:paraId="1D7C8130" w14:textId="77777777" w:rsidR="00DC33FE" w:rsidRDefault="00DC33FE" w:rsidP="00DC33FE">
      <w:pPr>
        <w:pStyle w:val="BodyText"/>
      </w:pPr>
      <w:r>
        <w:t xml:space="preserve">Outside of Europe, other regions have taken their own approaches. </w:t>
      </w:r>
      <w:r>
        <w:rPr>
          <w:b/>
          <w:bCs/>
        </w:rPr>
        <w:t>Australia</w:t>
      </w:r>
      <w:r>
        <w:t xml:space="preserve"> adopted one of the most hardline border policies of any democracy. Starting in 2013, Australia declared that no asylum seeker arriving by boat would ever be settled in Australia, even if found to be a refugee. Instead, boat migrants were intercepted and sent to offshore processing camps on the Pacific islands of Nauru and Papua New Guinea (Manus Island). Conditions in those remote camps were harsh, with reports of rampant mental health crises, self-harm, and abuse. The policy, while widely condemned by human rights groups and the UN for its cruelty, did succeed in a raw numbers sense: it virtually halted the flow of boats to Australia. “</w:t>
      </w:r>
      <w:r>
        <w:rPr>
          <w:b/>
          <w:bCs/>
        </w:rPr>
        <w:t>Stop the Boats</w:t>
      </w:r>
      <w:r>
        <w:t xml:space="preserve">” became a political mantra that Australian leaders pointed to as proof that tough deterrence works. In effect, the Australian government was willing to pay almost any cost (financial and moral) to remove the incentive for asylum seekers to attempt the sea journey. A handful of other countries flirted with similar ideas. The United Kingdom in 2022–2023 pursued a highly controversial plan to send asylum seekers who arrive irregularly (e.g. by crossing the English Channel on small boats) to Rwanda in East Africa, where they would have to either seek asylum there or return to their home country. The UK-Rwanda arrangement, billed as a “humane” partnership to break smuggling networks, has been tied up in court challenges and had not actually deported anyone as of 2025. But its very proposal shows how far some governments are willing to go: essentially transporting asylum seekers 4,000 miles away to deter others from coming to the UK in the first place. Denmark’s government has discussed a similar “offshoring” approach and even passed legislation allowing it, although without a specific country partner yet. These measures test legal bounds – critics argue they violate the spirit, if not the letter, of the Refugee Convention – and raise profound ethical questions. Are wealthy nations abdicating their responsibility by paying poorer nations to handle refugees? Or is it a </w:t>
      </w:r>
      <w:r>
        <w:lastRenderedPageBreak/>
        <w:t>pragmatic way to provide safety to refugees closer to their regions of origin and dissuade perilous unauthorized journeys? Those questions have no easy answer, but they underscore the current era of migration management: a mix of crackdowns and deals, walls and camps, all attempting to control who crosses the border and on what terms.</w:t>
      </w:r>
    </w:p>
    <w:p w14:paraId="4C74C4C3" w14:textId="77777777" w:rsidR="00DC33FE" w:rsidRDefault="00DC33FE" w:rsidP="00DC33FE">
      <w:pPr>
        <w:pStyle w:val="BodyText"/>
      </w:pPr>
      <w:r>
        <w:t xml:space="preserve">Meanwhile, on the </w:t>
      </w:r>
      <w:r>
        <w:rPr>
          <w:b/>
          <w:bCs/>
        </w:rPr>
        <w:t>US-Mexico border</w:t>
      </w:r>
      <w:r>
        <w:t>, another major migration corridor, policies have swung between crackdowns and more open approaches depending on the administration. Under President Donald Trump, the U.S. implemented hardline measures to discourage asylum seekers at the southern border – from the “</w:t>
      </w:r>
      <w:r>
        <w:rPr>
          <w:b/>
          <w:bCs/>
        </w:rPr>
        <w:t>Remain in Mexico</w:t>
      </w:r>
      <w:r>
        <w:t xml:space="preserve">” program (formally known as MPP), which forced tens of thousands of asylum applicants to wait in dangerous conditions in Mexican border towns for the duration of their U.S. court proceedings, to the infamous separation of families as a deterrent tactic. During the COVID-19 pandemic, the U.S. invoked an emergency rule (Title 42) to summarily expel most border-crossers on public health grounds, effectively shutting down access to asylum at the border. These policies led to chaotic encampments in Mexico and reports of kidnappings and assaults on stranded migrant families, but they did initially reduce the number of people entering U.S. custody. In 2021, the Biden administration came in with promises of a more humane approach, but quickly faced a surge of migrants – many believing the change in leadership meant easier entry. The new administration ended some Trump policies (like family separation and later MPP), yet it struggled with record numbers of migrants (from Central America, Venezuela, Haiti, and beyond) arriving at the border. In a balancing act, U.S. officials expanded some </w:t>
      </w:r>
      <w:r>
        <w:rPr>
          <w:b/>
          <w:bCs/>
        </w:rPr>
        <w:t>legal pathways</w:t>
      </w:r>
      <w:r>
        <w:t xml:space="preserve"> – creating special humanitarian parole programs to admit limited numbers of Venezuelans, Nicaraguans, Cubans, and Haitians by air if they applied from abroad – while also introducing new restrictions on those who still showed up without permission. By mid-2023, the U.S. rolled out a rule disqualifying many asylum seekers who passed through other countries without seeking protection there first, echoing the idea of “safe third country” requirements seen in Europe. This was coupled with a ramp-up of deportation flights for those deemed economic migrants. The administration argued it was using both carrot and stick: offering would-be migrants a lawful, orderly way to come (through sponsorship or refugee resettlement from the Western Hemisphere, which it scaled up to the highest levels ever {S:MPI-USResettle2024}) and deterring unlawful crossings by making it more likely they’d be swiftly sent home if they didn’t follow the new processes. In the months after these changes, unauthorized crossings dipped noticeably, suggesting some short-term effect; however, migration pressure in the hemisphere – fueled by political and economic turmoil in countries like Venezuela, Nicaragua, and Haiti – remains high, and the sustainability of the “deter and redirect” strategy is yet to be proven.</w:t>
      </w:r>
    </w:p>
    <w:p w14:paraId="36AD3AC4" w14:textId="77777777" w:rsidR="00DC33FE" w:rsidRDefault="00DC33FE" w:rsidP="00DC33FE">
      <w:pPr>
        <w:pStyle w:val="BodyText"/>
      </w:pPr>
      <w:r>
        <w:t xml:space="preserve">In summary, governments have responded to the challenges of migration and borders with a spectrum of measures. On one end, there are </w:t>
      </w:r>
      <w:r>
        <w:rPr>
          <w:b/>
          <w:bCs/>
        </w:rPr>
        <w:t>inclusive, humanitarian policies</w:t>
      </w:r>
      <w:r>
        <w:t xml:space="preserve">: opening pathways for refugees, granting temporary protection, resettling families, and supporting front-line host nations with aid. On the other end, there are </w:t>
      </w:r>
      <w:r>
        <w:rPr>
          <w:b/>
          <w:bCs/>
        </w:rPr>
        <w:t>restrictive, deterrent policies</w:t>
      </w:r>
      <w:r>
        <w:t xml:space="preserve">: building walls, pushing responsibilities onto other countries, interdicting and deporting migrants en masse, and even criminalizing those who assist migrants. Often, a single country’s approach combines elements of both. The next section will delve into what </w:t>
      </w:r>
      <w:r>
        <w:lastRenderedPageBreak/>
        <w:t xml:space="preserve">evidence tells us about the </w:t>
      </w:r>
      <w:r>
        <w:rPr>
          <w:i/>
          <w:iCs/>
        </w:rPr>
        <w:t>outcomes</w:t>
      </w:r>
      <w:r>
        <w:t xml:space="preserve"> of these various initiatives. Have they achieved their stated goals? What intended or unintended effects have they produced for migrants, for host societies, and for the international principle of refugee protection?</w:t>
      </w:r>
    </w:p>
    <w:p w14:paraId="2EB44772" w14:textId="77777777" w:rsidR="00DC33FE" w:rsidRDefault="00DC33FE" w:rsidP="00DC33FE">
      <w:pPr>
        <w:pStyle w:val="Heading2"/>
      </w:pPr>
      <w:bookmarkStart w:id="53" w:name="X1c94fd75bfd977a7b28363d4246995f31b8542b"/>
      <w:bookmarkEnd w:id="50"/>
      <w:bookmarkEnd w:id="52"/>
      <w:r>
        <w:t>Evidence on Outcomes: What Works and What Backfires?</w:t>
      </w:r>
    </w:p>
    <w:p w14:paraId="5525BCE0" w14:textId="77777777" w:rsidR="00DC33FE" w:rsidRDefault="00DC33FE" w:rsidP="00DC33FE">
      <w:pPr>
        <w:pStyle w:val="Heading3"/>
      </w:pPr>
      <w:bookmarkStart w:id="54" w:name="Xeeb395d8cbe1304631579f49694cf37fba11ecb"/>
      <w:r>
        <w:t>Humanitarian Outcomes: Saving Lives and Protecting the Vulnerable</w:t>
      </w:r>
    </w:p>
    <w:p w14:paraId="23CBBCC3" w14:textId="77777777" w:rsidR="00DC33FE" w:rsidRDefault="00DC33FE" w:rsidP="00DC33FE">
      <w:pPr>
        <w:pStyle w:val="FirstParagraph"/>
      </w:pPr>
      <w:r>
        <w:t>One straightforward metric for any refugee program is whether it saves lives and provides safety. By that measure, humanitarian efforts over the past decade have had significant successes. Refugee resettlement, for instance, directly saves lives by extracting people from perilous situations – whether a war zone or a squalid camp – and placing them in a secure environment where they can rebuild. Each of the 100,000 refugees that the U.S. resettled in 2024 now has a chance to live in peace, send their children to school, and pursue a future, whereas many might otherwise languish in danger or destitution. Likewise, Europe’s rapid welcome of Ukrainian refugees in 2022 unquestionably saved countless civilians (mostly women and children) from the ravages of war. Those outcomes are concrete and immediate. Humanitarian admissions have also been life-changing for smaller groups from other crises: for example, Canada’s special program in 2017–2018 airlifted thousands of Yazidi women and children – survivors of genocide and enslavement by ISIS in Iraq – to safety in Canada, where they received trauma counseling and a fresh start. Without such interventions, many vulnerable people simply have no viable escape. It is worth noting, however, that these programs only reach a fraction of those in need. The vast majority of refugees are not resettled to rich countries; they remain in neighboring developing countries, often in difficult conditions. For every Syrian family flown to a new home in France or Sweden, hundreds more are left behind in Turkey or Lebanon coping as best they can. Thus, while resettlement and humanitarian visas are literally life-saving for those selected, they do not by themselves solve displacement crises at the root. They are downstream solutions for a relatively small number of cases.</w:t>
      </w:r>
    </w:p>
    <w:p w14:paraId="5A154115" w14:textId="77777777" w:rsidR="00DC33FE" w:rsidRDefault="00DC33FE" w:rsidP="00DC33FE">
      <w:pPr>
        <w:pStyle w:val="BodyText"/>
      </w:pPr>
      <w:r>
        <w:t xml:space="preserve">Another measure of humanitarian outcome is </w:t>
      </w:r>
      <w:r>
        <w:rPr>
          <w:b/>
          <w:bCs/>
        </w:rPr>
        <w:t>reducing deaths and suffering during migration journeys</w:t>
      </w:r>
      <w:r>
        <w:t xml:space="preserve">. On this front, the record is mixed. Consider the Mediterranean Sea, which has been called the world’s deadliest border. Since 2014, more than 20,000 people are known to have drowned or gone missing while attempting to cross the Mediterranean to Europe, and likely many more unrecorded {S:SeaWatch}. At various points, European governments and NGOs have launched search-and-rescue operations that undoubtedly saved many lives. In 2013, after horrific shipwrecks off the Italian island of Lampedusa, Italy’s navy began </w:t>
      </w:r>
      <w:r>
        <w:rPr>
          <w:b/>
          <w:bCs/>
        </w:rPr>
        <w:t>Operation Mare Nostrum</w:t>
      </w:r>
      <w:r>
        <w:t xml:space="preserve">, a large-scale rescue mission that patrolled near the Libyan coast. In just one year, Mare Nostrum rescued over 130,000 people from peril at sea. It was widely praised by humanitarians, but domestically it became politically unpopular due to its cost and the perception that it was encouraging more migrant boats. Mare Nostrum was ended in late 2014 and replaced by a much more limited EU border mission (Triton) that prioritized surveillance over rescue. As European states pulled back, independent humanitarian organizations stepped into the breach. From 2015 onward, a flotilla of NGO rescue ships – operated by groups from across Europe – began patrolling </w:t>
      </w:r>
      <w:r>
        <w:lastRenderedPageBreak/>
        <w:t xml:space="preserve">the Mediterranean, intent on preventing avoidable drownings. These NGOs, including </w:t>
      </w:r>
      <w:r>
        <w:rPr>
          <w:b/>
          <w:bCs/>
        </w:rPr>
        <w:t>Sea-Watch</w:t>
      </w:r>
      <w:r>
        <w:t xml:space="preserve">, </w:t>
      </w:r>
      <w:r>
        <w:rPr>
          <w:b/>
          <w:bCs/>
        </w:rPr>
        <w:t>Médecins Sans Frontières (MSF)</w:t>
      </w:r>
      <w:r>
        <w:t xml:space="preserve">, </w:t>
      </w:r>
      <w:r>
        <w:rPr>
          <w:b/>
          <w:bCs/>
        </w:rPr>
        <w:t>SOS Méditerranée</w:t>
      </w:r>
      <w:r>
        <w:t xml:space="preserve">, </w:t>
      </w:r>
      <w:r>
        <w:rPr>
          <w:b/>
          <w:bCs/>
        </w:rPr>
        <w:t>Open Arms</w:t>
      </w:r>
      <w:r>
        <w:t xml:space="preserve">, and others, have saved tens of thousands of lives. For example, the vessel </w:t>
      </w:r>
      <w:r>
        <w:rPr>
          <w:b/>
          <w:bCs/>
        </w:rPr>
        <w:t>Iuventa</w:t>
      </w:r>
      <w:r>
        <w:t>, run by the German youth NGO “Jugend Rettet,” rescued more than 14,000 migrants in less than a year of operations near Libya {S:Guardian-NGOCrackdown}. Many migrants themselves credit these missions with their survival, describing how they set out in unseaworthy dinghies and would have died if rescuers had not arrived in time. Thus, in humanitarian terms, the presence of rescue assets in the water clearly reduces mortality. When rescue missions have been suspended or obstructed, fatalities tend to increase as desperate people keep attempting the crossing without aid. A grim illustration came after mid-2017, when the combination of EU pressure on NGOs and increased Libyan Coast Guard activity pushed most rescue ships out of the central Mediterranean; the journey became even more deadly. In 2019 and again in 2021–2023, shipwrecks with extremely high death tolls – including one off Greece in 2023 where over 500 migrants drowned – made headlines, raising public outcry about the lack of rescue capacity. Every drowning is a tragic reminder that policies focusing solely on blocking migration can lead to lethal outcomes. Humanitarian rescue operations, when allowed to operate, demonstrably save lives and alleviate suffering in one of the most direct ways possible.</w:t>
      </w:r>
    </w:p>
    <w:p w14:paraId="7C6E9DF7" w14:textId="77777777" w:rsidR="00DC33FE" w:rsidRDefault="00DC33FE" w:rsidP="00DC33FE">
      <w:pPr>
        <w:pStyle w:val="Heading3"/>
      </w:pPr>
      <w:bookmarkStart w:id="55" w:name="Xe7d46cc709f3aebf8e8a19ff64895d280c719f7"/>
      <w:bookmarkEnd w:id="54"/>
      <w:r>
        <w:t>Security and Control: Do Enforcement Policies Deliver?</w:t>
      </w:r>
    </w:p>
    <w:p w14:paraId="3AAEF6AE" w14:textId="77777777" w:rsidR="00DC33FE" w:rsidRDefault="00DC33FE" w:rsidP="00DC33FE">
      <w:pPr>
        <w:pStyle w:val="FirstParagraph"/>
      </w:pPr>
      <w:r>
        <w:t>Governments justify restrictive border measures on several grounds: reducing irregular migration, combating smuggling networks, and upholding public safety and order. It is important to scrutinize whether these goals are met.</w:t>
      </w:r>
    </w:p>
    <w:p w14:paraId="653A450E" w14:textId="77777777" w:rsidR="00DC33FE" w:rsidRDefault="00DC33FE" w:rsidP="00DC33FE">
      <w:pPr>
        <w:pStyle w:val="BodyText"/>
      </w:pPr>
      <w:r>
        <w:t xml:space="preserve">On reducing irregular migration: Some enforcement policies </w:t>
      </w:r>
      <w:r>
        <w:rPr>
          <w:i/>
          <w:iCs/>
        </w:rPr>
        <w:t>have</w:t>
      </w:r>
      <w:r>
        <w:t xml:space="preserve"> achieved short-term reductions in unauthorized entries to specific destinations. The Australia example is perhaps the clearest case – their uncompromising offshore processing regime did effectively stop boat arrivals to Australia. Similarly, when Hungary built its fence in 2015 and criminalized illegal entry, the flow of migrants through that country dropped sharply (though many simply rerouted through Croatia or elsewhere). The U.S.’s use of the Title 42 expulsion policy during COVID led to many migrants being immediately turned back to Mexico, which temporarily lowered the number of people allowed in to claim asylum (though it also caused many to attempt crossing repeatedly since there was no legal consequence to being expelled under that health order). The EU-Turkey deal, as noted, drastically reduced crossings in the Aegean. So from a pure numbers perspective, certain deterrence measures </w:t>
      </w:r>
      <w:r>
        <w:rPr>
          <w:i/>
          <w:iCs/>
        </w:rPr>
        <w:t>can</w:t>
      </w:r>
      <w:r>
        <w:t xml:space="preserve"> curtail migration along a given route – as long as the measure is stringently applied and alternative routes are limited. However, there are caveats. Often the reduction is not permanent or simply shifts movement elsewhere. Spain’s experience is illustrative: increased patrols and fences around Spain’s North African enclaves and the Western Med route in the mid-2000s diverted migrants towards the riskier Atlantic route to the Canary Islands, and when that too was cracked down on, routes shifted back over time. Migration is adaptive. When one pathway is barricaded, those determined to move will seek another, unless the deterrent truly makes the journey impossible or not worth </w:t>
      </w:r>
      <w:r>
        <w:lastRenderedPageBreak/>
        <w:t>trying at all. The latter usually requires extreme harshness (as Australia demonstrated) which many societies find unacceptable to replicate.</w:t>
      </w:r>
    </w:p>
    <w:p w14:paraId="07780DBF" w14:textId="77777777" w:rsidR="00DC33FE" w:rsidRDefault="00DC33FE" w:rsidP="00DC33FE">
      <w:pPr>
        <w:pStyle w:val="BodyText"/>
      </w:pPr>
      <w:r>
        <w:t xml:space="preserve">Moreover, enforcement success can be hard to disentangle from external factors. For instance, EU officials credited the Tunisia deal in late 2023 with reducing crossings, yet analysts pointed out that the exceptionally high summer spike made the later drop look more dramatic, and that Tunisia’s own political motives played a role in curbing departures {S:DGAP-TunisiaAnalysis2025}. In other cases, a temporary dip in arrivals might coincide with seasonal weather or conditions in origin countries – factors unrelated to the policy change. Thus, establishing clear cause-and-effect is tricky. What is clear is that enforcement-focused approaches tend to externalize costs: fewer migrants reaching </w:t>
      </w:r>
      <w:r>
        <w:rPr>
          <w:i/>
          <w:iCs/>
        </w:rPr>
        <w:t>one’s own</w:t>
      </w:r>
      <w:r>
        <w:t xml:space="preserve"> border often means more migrants stuck suffering somewhere else. Europe’s decreased sea arrivals after deals with Turkey and Libya corresponded with swollen refugee populations in Turkey and horrific abuses of migrants in Libyan detention camps. The overall number of people moving didn’t magically vanish; they were just contained out of sight. Whether that is considered an acceptable outcome depends on one’s viewpoint. From a humanitarian lens, it often means more people living in misery, even if it relieves political pressure in the destination country.</w:t>
      </w:r>
    </w:p>
    <w:p w14:paraId="23B3FBD4" w14:textId="77777777" w:rsidR="00DC33FE" w:rsidRDefault="00DC33FE" w:rsidP="00DC33FE">
      <w:pPr>
        <w:pStyle w:val="BodyText"/>
      </w:pPr>
      <w:r>
        <w:t xml:space="preserve">What about the goal of dismantling smuggling networks? This is frequently cited by governments cooperating with transit states or stepping up border policing. The record here is not encouraging. Smuggling exists – and thrives – when there is demand to migrate but legal entry is unavailable. Crackdowns can disrupt certain smuggling operations in the short term, but without addressing the demand (either by reducing root causes of flight or providing legal alternatives), new smuggling methods usually emerge. In the Central Mediterranean, when NGOs and European navies were rescuing people closer to Libya, smugglers at times sent migrants out on extremely flimsy boats assuming they’d be picked up quickly. As that rescue coverage thinned, smugglers switched tactics: they began launching boats in worse weather or using larger, overcrowded fishing vessels to try to evade monitoring, often with even deadlier consequences. Smugglers are flexible as long as the underlying market – people desperate to cross – remains. Arresting a few ringleaders or taking out a network doesn’t stop the phenomenon; new actors fill the void if migrants still have no other way forward. It’s true that certain policies have made the smugglers’ “job” more difficult (for example, intense surveillance by drones and satellites in the Aegean means smugglers must be more clandestine). But they often simply charge more money for a more dangerous journey, and people still come. A stark example occurred in 2021–2022 on the </w:t>
      </w:r>
      <w:r>
        <w:rPr>
          <w:b/>
          <w:bCs/>
        </w:rPr>
        <w:t>Belarus-Poland border</w:t>
      </w:r>
      <w:r>
        <w:t>: the autocratic Belarusian regime cynically encouraged Middle Eastern migrants to fly into Minsk and then attempt to enter the EU through Poland and the Baltic states, as a form of political pressure. When Poland sealed its frontier and even pushed migrants back with force, the migrants ended up stranded in freezing forests, but smugglers and Belarusian agents eventually found new routes to funnel people through Russia or other countries. It was a reminder that as long as regimes or networks see profit or leverage in moving people, they will attempt it, and as long as people see no hope at home, they will be willing to risk it.</w:t>
      </w:r>
    </w:p>
    <w:p w14:paraId="4AD0CAA2" w14:textId="77777777" w:rsidR="00DC33FE" w:rsidRDefault="00DC33FE" w:rsidP="00DC33FE">
      <w:pPr>
        <w:pStyle w:val="BodyText"/>
      </w:pPr>
      <w:r>
        <w:lastRenderedPageBreak/>
        <w:t xml:space="preserve">In terms of </w:t>
      </w:r>
      <w:r>
        <w:rPr>
          <w:b/>
          <w:bCs/>
        </w:rPr>
        <w:t>public safety and crime</w:t>
      </w:r>
      <w:r>
        <w:t xml:space="preserve">, one concern often raised is whether welcoming refugees or having more immigrants leads to higher crime or terrorism. This has been extensively studied, especially in countries like the U.S. and Germany. The consistent finding is that </w:t>
      </w:r>
      <w:r>
        <w:rPr>
          <w:b/>
          <w:bCs/>
        </w:rPr>
        <w:t>immigrants, including refugees, do not commit more crimes than the native-born population; in fact, their crime rates are often lower</w:t>
      </w:r>
      <w:r>
        <w:t xml:space="preserve"> {S:MPI-ImmigrationCrime}. For example, in the United States, immigrants of all statuses (whether legal permanent residents, refugees, or even undocumented migrants) are incarcerated at significantly lower rates than U.S.-born citizens, and multiple studies have found no link between increases in immigration and increases in violent crime {S:MPI-ImmigrationCrime}. Cities and states with more immigrants have, if anything, seen slightly </w:t>
      </w:r>
      <w:r>
        <w:rPr>
          <w:i/>
          <w:iCs/>
        </w:rPr>
        <w:t>lower</w:t>
      </w:r>
      <w:r>
        <w:t xml:space="preserve"> crime rates on average. Refugees in particular undergo substantial vetting for security before resettlement, and they have a strong incentive to abide by the law in their new country. Fears that jihadist terrorists would infiltrate Western nations posing as refugees grabbed headlines in the mid-2010s, especially after a few isolated cases in Europe. But the statistical reality is that such cases are exceedingly rare. In the U.S., for instance, not a single person has been killed in a terrorist attack on American soil by anyone who came through the refugee resettlement program since its modern inception decades ago, and not a single lethal terror attack has been committed by an undocumented border-crosser either {S:Cato-Terrorism}. (Most terrorist incidents in Western countries have been perpetrated either by native-born extremists or by individuals who entered on visas, not by refugees or sneaking across borders.) Despite this data, public perception often believes otherwise, fueled by sensational media and political rhetoric. Legitimate security screening is, of course, important – and it is worth noting that programs like U.S. refugee admissions involve intensive background checks that can take 1–2 years per applicant. The question is whether broad deterrence policies make societies safer, or whether they simply keep out people who pose no threat but are fleeing threats themselves. From a crime-prevention standpoint, investing in immigrant integration (ensuring newcomers have support to adapt and no incentive to turn to illicit activities) may yield more safety than aggressive exclusion of refugees. Certainly, heavy-handed border enforcement has sometimes led to </w:t>
      </w:r>
      <w:r>
        <w:rPr>
          <w:i/>
          <w:iCs/>
        </w:rPr>
        <w:t>domestic</w:t>
      </w:r>
      <w:r>
        <w:t xml:space="preserve"> disorder – for example, clashes at borders, or inhumane detention conditions that spark unrest – rather than any notable reduction in crime.</w:t>
      </w:r>
    </w:p>
    <w:p w14:paraId="46FA81CB" w14:textId="77777777" w:rsidR="00DC33FE" w:rsidRDefault="00DC33FE" w:rsidP="00DC33FE">
      <w:pPr>
        <w:pStyle w:val="Heading3"/>
      </w:pPr>
      <w:bookmarkStart w:id="56" w:name="integration-and-economic-outcomes"/>
      <w:bookmarkEnd w:id="55"/>
      <w:r>
        <w:t>Integration and Economic Outcomes</w:t>
      </w:r>
    </w:p>
    <w:p w14:paraId="13521387" w14:textId="77777777" w:rsidR="00DC33FE" w:rsidRDefault="00DC33FE" w:rsidP="00DC33FE">
      <w:pPr>
        <w:pStyle w:val="FirstParagraph"/>
      </w:pPr>
      <w:r>
        <w:t xml:space="preserve">For refugees and migrants who are admitted, a critical question is how well they integrate into their host society and what impact they have on the economy and social services. The evidence here shows both challenges and positives. Refugees often arrive with few possessions, possible trauma, and language barriers. In their first years, they typically rely on government assistance for housing, healthcare, and income support. This creates an initial cost for host countries. Studies in Europe have documented that refugees have higher unemployment and lower earnings than both native citizens and other types of migrants in the beginning. For example, one analysis found that in many European countries, only around 1 in 10 refugees was employed within their first year after arrival, </w:t>
      </w:r>
      <w:r>
        <w:lastRenderedPageBreak/>
        <w:t xml:space="preserve">and even after 5 years, employment rates, while improved, remained below those of economic migrants {S:CGD-GermanyRefugees}. This is not surprising: refugees must first acquire the host country language, have their qualifications (if any) recognized, and often are recovering from disruptions to their education or careers. However, given time and support, refugees’ indicators trend upward significantly. A striking case is </w:t>
      </w:r>
      <w:r>
        <w:rPr>
          <w:b/>
          <w:bCs/>
        </w:rPr>
        <w:t>Germany’s integration of over one million refugees</w:t>
      </w:r>
      <w:r>
        <w:t xml:space="preserve"> (mostly Syrians, Afghans, and Iraqis) who arrived in 2015–2016. Initially, it was feared to be an impossible absorption task. But five years on, more than </w:t>
      </w:r>
      <w:r>
        <w:rPr>
          <w:b/>
          <w:bCs/>
        </w:rPr>
        <w:t>half of those refugees were employed or in vocational training</w:t>
      </w:r>
      <w:r>
        <w:t xml:space="preserve"> – a remarkable integration speed by historical standards {S:CGD-GermanyRefugees}. By 2020, roughly 50–60% of working-age refugees from that influx had found jobs, often in sectors like manufacturing, service, and construction where Germany needed labor {S:CGD-GermanyRefugees}. Many others were still in language courses or training programs, on their way to employability. This progress has been attributed to proactive policies: Germany invested heavily in integration courses and expedited certain asylum cases to allow quick access to the labor market. Public opinion, which was initially divided, warmed as people saw newcomers learning German and contributing. Notably, by 2018 a large majority of the refugees in Germany had also secured legal protection (over 70% received refugee status or humanitarian status), giving them stability {S:CGD-GermanyRefugees}. Challenges remain – refugees disproportionately work in lower-paid jobs and can face exploitation or underemployment relative to their skill levels. But the overall trend in Germany has been a case study in gradually turning an initial burden into an opportunity. The country’s aging workforce and shortages in trades and care jobs meant that, in the long run, these young refugee populations can help fill economic gaps if properly integrated. Similar stories of refugee entrepreneurship and contribution are found elsewhere: in the United States, Vietnamese and Cuban refugees in past decades started businesses at high rates; more recently, Syrian refugees in Turkey and Jordan have opened thousands of small businesses, creating jobs for locals and migrants alike.</w:t>
      </w:r>
    </w:p>
    <w:p w14:paraId="4EC3E028" w14:textId="77777777" w:rsidR="00DC33FE" w:rsidRDefault="00DC33FE" w:rsidP="00DC33FE">
      <w:pPr>
        <w:pStyle w:val="BodyText"/>
      </w:pPr>
      <w:r>
        <w:t xml:space="preserve">That said, integration is not automatic. It requires deliberate effort and investment. When refugees or migrants are left in isolated conditions – e.g. confined to camps for years, or ghettoized in poor urban fringe areas without access to education or jobs – outcomes can be poor for everyone. Idleness and marginalization breed social problems. Europe learned some lessons from earlier waves; for instance, Sweden and the Netherlands, which accepted many refugees in the 2010s, realized that intensive early language and job assistance made a big difference in getting refugees off welfare and into work within a few years. Conversely, policies that prohibit asylum seekers from working (common in the UK and some EU states during the lengthy asylum process) can backfire, leading to longer-term dependency and loss of skills. Recognizing this, there are growing calls to </w:t>
      </w:r>
      <w:r>
        <w:rPr>
          <w:b/>
          <w:bCs/>
        </w:rPr>
        <w:t>let asylum seekers work sooner</w:t>
      </w:r>
      <w:r>
        <w:t>, which both preserves their dignity and saves taxpayers money. The United States is currently debating reducing the mandatory wait time for asylum seekers to get work permits, for exactly this reason.</w:t>
      </w:r>
    </w:p>
    <w:p w14:paraId="4B7B4EA0" w14:textId="77777777" w:rsidR="00DC33FE" w:rsidRDefault="00DC33FE" w:rsidP="00DC33FE">
      <w:pPr>
        <w:pStyle w:val="BodyText"/>
      </w:pPr>
      <w:r>
        <w:t xml:space="preserve">On the impact to host communities, fears often focus on competition for jobs, welfare, and housing. These concerns tend to be most acute at the local level, especially if a sudden influx occurs. There is no denying that a large, sudden arrival – say, a thousand asylum </w:t>
      </w:r>
      <w:r>
        <w:lastRenderedPageBreak/>
        <w:t>seekers in a small town – can strain local services in the short run. Housing is often a bottleneck; for example, when tens of thousands of Afghan evacuees were brought to U.S. military bases in 2021 after the fall of Kabul, resettlement agencies like the International Rescue Committee (IRC) scrambled to find enough affordable apartments and supplies for them on short notice. Many communities rallied with donations and volunteers, but in areas with already tight housing markets, new refugee families faced tough prospects finding permanent homes. Similar scenarios played out in parts of Germany in 2015–2016, where gymnasiums and tent camps were used as emergency shelters until more permanent solutions came. These short-term strains can fuel resentment if not addressed by higher-level support. Governments that anticipate and fund local needs – reimbursing schools for extra language teachers, building additional housing or providing rental assistance, expanding health clinic capacity – can mitigate friction. In many cases, initial costs are later offset as refugees become self-sufficient, work, and pay taxes. A report by the OECD has noted that while refugees do incur higher public costs in their first 5-10 years, the investment in integration yields returns in the longer term as many become net contributors {S:IRC-history}. The timeframe matters: political leaders often look for immediate results, but integration is a multi-year process.</w:t>
      </w:r>
    </w:p>
    <w:p w14:paraId="54841FC6" w14:textId="77777777" w:rsidR="00DC33FE" w:rsidRDefault="00DC33FE" w:rsidP="00DC33FE">
      <w:pPr>
        <w:pStyle w:val="BodyText"/>
      </w:pPr>
      <w:r>
        <w:t>Economically, numerous studies have concluded that immigration, including of less-skilled refugees, tends to have either a neutral or modest positive effect on the host country’s economy in the long run. Immigrants fill labor shortages, start businesses, and through consumption stimulate demand for goods and services, which can create jobs. In low- and middle-income host countries, large refugee influxes can admittedly be a heavier burden given limited resources – yet even there, studies have found complex effects with some local gains. For example, a famous study of the Kakuma refugee camp in Kenya showed that the presence of the camp substantially increased economic activity in the surrounding area, benefiting local Kenyan residents through trade and humanitarian spending. Similarly, the Dadaab camp in Kenya was estimated to inject millions of dollars into the local economy each year, through refugees purchasing from local markets and employment with aid agencies {S:Guardian-NGOCrackdown}. At the same time, if refugees are in remote camps, they can also strain natural resources (e.g. causing deforestation as they collect firewood) or depress wages for manual labor if they compete with locals for informal jobs. Good policy can maximize the positives (such as allowing refugees to move freely and work, which tends to increase their economic contribution) and minimize negatives (like providing fuel or cash assistance to avoid resource competition and price inflation).</w:t>
      </w:r>
    </w:p>
    <w:p w14:paraId="6BC3CBFD" w14:textId="77777777" w:rsidR="00DC33FE" w:rsidRDefault="00DC33FE" w:rsidP="00DC33FE">
      <w:pPr>
        <w:pStyle w:val="BodyText"/>
      </w:pPr>
      <w:r>
        <w:t xml:space="preserve">Another outcome to consider is </w:t>
      </w:r>
      <w:r>
        <w:rPr>
          <w:b/>
          <w:bCs/>
        </w:rPr>
        <w:t>social cohesion and political impact</w:t>
      </w:r>
      <w:r>
        <w:t xml:space="preserve">. Large migration episodes can alter a country’s politics – sometimes sparking a nativist backlash. The influx of refugees in Europe in 2015 coincided with a rise of far-right populist parties in several countries, who capitalized on public anxieties about cultural change and security. Germany’s far-right party (AfD) entered parliament for the first time after campaigning against Chancellor Merkel’s open-door refugee policy. Similar movements gained ground in Italy, Austria, and Sweden, in part by stoking fears (often exaggerated) related to refugees and migrants. This shows that, even if refugees integrate well over time, the initial </w:t>
      </w:r>
      <w:r>
        <w:lastRenderedPageBreak/>
        <w:t>public perception and mismanagement of integration can have political repercussions. It doesn’t mean the migration itself was “unsuccessful” – indeed many of those societies are coping – but it underscores that outcomes are not just economic or humanitarian, but also societal. Transparent communication, involvement of local communities in integration efforts, and dispelling myths are key to maintaining cohesion. For instance, in Canada, which has consistently high public support for immigration, the government actively works with citizen groups in the private sponsorship of refugees, creating a sense of shared responsibility and personal connection that diffuses xenophobia. In contrast, where migrants are seen as a sudden imposition by distant authorities, resentment can brew.</w:t>
      </w:r>
    </w:p>
    <w:p w14:paraId="517599AD" w14:textId="77777777" w:rsidR="00DC33FE" w:rsidRDefault="00DC33FE" w:rsidP="00DC33FE">
      <w:pPr>
        <w:pStyle w:val="BodyText"/>
      </w:pPr>
      <w:r>
        <w:t>In sum, the outcomes of refugee and migration programs depend a great deal on implementation. When done right – adequate funding, early integration measures, community engagement – the evidence shows refugees can thrive and even strengthen host societies over time. When mishandled – with ad-hoc responses, neglect of integration, or purely punitive approaches – the results can be humanitarian distress and social conflict, without actually stopping the movement of people.</w:t>
      </w:r>
    </w:p>
    <w:p w14:paraId="279569ED" w14:textId="77777777" w:rsidR="00DC33FE" w:rsidRDefault="00DC33FE" w:rsidP="00DC33FE">
      <w:pPr>
        <w:pStyle w:val="Heading2"/>
      </w:pPr>
      <w:bookmarkStart w:id="57" w:name="Xf87875968b15b53b167619cc9d75b454fc820b2"/>
      <w:bookmarkEnd w:id="53"/>
      <w:bookmarkEnd w:id="56"/>
      <w:r>
        <w:t>Allegations, Criticisms, and Competing Analyses</w:t>
      </w:r>
    </w:p>
    <w:p w14:paraId="2A0D680A" w14:textId="77777777" w:rsidR="00DC33FE" w:rsidRDefault="00DC33FE" w:rsidP="00DC33FE">
      <w:pPr>
        <w:pStyle w:val="FirstParagraph"/>
      </w:pPr>
      <w:r>
        <w:t>Debates around migration are rife with allegations about unintended consequences. Here we address some of the most prominent criticisms and examine what research and experience indicate.</w:t>
      </w:r>
    </w:p>
    <w:p w14:paraId="5F5D1149" w14:textId="77777777" w:rsidR="00DC33FE" w:rsidRDefault="00DC33FE" w:rsidP="00DC33FE">
      <w:pPr>
        <w:pStyle w:val="Heading3"/>
      </w:pPr>
      <w:bookmarkStart w:id="58" w:name="Xe6cc29d6adaf67ce0dfe2629d266edc962ee456"/>
      <w:r>
        <w:t>“Pull Factors”: Do Humane Policies Encourage More Migration?</w:t>
      </w:r>
    </w:p>
    <w:p w14:paraId="106D0C91" w14:textId="77777777" w:rsidR="00DC33FE" w:rsidRDefault="00DC33FE" w:rsidP="00DC33FE">
      <w:pPr>
        <w:pStyle w:val="FirstParagraph"/>
      </w:pPr>
      <w:r>
        <w:t>One of the most persistent claims is that providing generous assistance or protection to migrants will incentivize others to come – essentially, that humanitarian goodwill creates a “pull factor.” This argument has been used against various practices: naval rescues at sea, welcoming asylum policies, welfare benefits for refugees, etc. For example, politicians in Italy and other EU states have accused NGO rescue ships of functioning as a “</w:t>
      </w:r>
      <w:r>
        <w:rPr>
          <w:b/>
          <w:bCs/>
        </w:rPr>
        <w:t>taxi service</w:t>
      </w:r>
      <w:r>
        <w:t>” for migrants, supposedly making it easier and more attractive for people to attempt the sea crossing {S:Guardian-NGOCrackdown}. Similar arguments were made in the U.S., where opponents of allowing asylum seekers in have claimed that policies like catch-and-release (letting asylum applicants live in the community while their case is pending) act as an incentive for more people to cross the border and claim asylum under false pretenses.</w:t>
      </w:r>
    </w:p>
    <w:p w14:paraId="4287D17F" w14:textId="77777777" w:rsidR="00DC33FE" w:rsidRDefault="00DC33FE" w:rsidP="00DC33FE">
      <w:pPr>
        <w:pStyle w:val="BodyText"/>
      </w:pPr>
      <w:r>
        <w:t xml:space="preserve">What does the evidence show? The “pull factor” theory, while not entirely baseless intuitively, often </w:t>
      </w:r>
      <w:r>
        <w:rPr>
          <w:b/>
          <w:bCs/>
        </w:rPr>
        <w:t>overestimates the influence of policy tweaks on migrants’ decisions</w:t>
      </w:r>
      <w:r>
        <w:t xml:space="preserve"> and underestimates the strength of the “push factors” driving people out of their countries. Take the case of search-and-rescue (SAR) in the Mediterranean. Critics argued that more rescue boats would encourage more crossings. However, a rigorous study published in 2023 used causal modeling to test whether NGO and government rescue operations led to increased migration attempts. The researchers found </w:t>
      </w:r>
      <w:r>
        <w:rPr>
          <w:b/>
          <w:bCs/>
        </w:rPr>
        <w:t>no evidence that SAR presence increased the number of crossings</w:t>
      </w:r>
      <w:r>
        <w:t xml:space="preserve">; migratory flows correlated far more with external factors like conflicts and conditions in transit countries, not the level of rescue activity </w:t>
      </w:r>
      <w:r>
        <w:lastRenderedPageBreak/>
        <w:t xml:space="preserve">{S:SAR-PullFactorStudy}. In fact, the study suggested that when the Libyan Coast Guard ramped up interceptions (a deterrent measure), it did reduce crossings below what they would have been – but humanitarian rescues themselves were simply a response to people fleeing, </w:t>
      </w:r>
      <w:r>
        <w:rPr>
          <w:i/>
          <w:iCs/>
        </w:rPr>
        <w:t>not</w:t>
      </w:r>
      <w:r>
        <w:t xml:space="preserve"> the cause of their flight {S:SAR-PullFactorStudy}. As the authors put it, “search-and-rescue operations do not affect an already existing flow, nor the stock of prospective migrants willing to make the crossing…SAR is a response to the higher flow, not the cause.” {S:SAR-PullFactorStudy}. This aligns with what many aid workers have long insisted: people don’t board a flimsy boat on the open sea merely because they expect to be rescued; they do it because they are absolutely desperate or determined to reach Europe, and they will risk death to do so. If a rescue ship is there, it lowers their chance of dying – but if it’s not, it doesn’t automatically stop them from departing, it just means a higher chance of death. Data bear this out: during periods when no rescues were available, crossings continued, and often the death rate spiked.</w:t>
      </w:r>
    </w:p>
    <w:p w14:paraId="6F7CBF2A" w14:textId="77777777" w:rsidR="00DC33FE" w:rsidRDefault="00DC33FE" w:rsidP="00DC33FE">
      <w:pPr>
        <w:pStyle w:val="BodyText"/>
      </w:pPr>
      <w:r>
        <w:t xml:space="preserve">Another oft-cited “pull factor” allegation revolves around asylum and welfare policies. For instance, some northern European countries argue that generous social benefits or accommodations for asylum seekers attract more applicants from far afield. Denmark in 2015 went so far as to take out advertisements in Middle Eastern newspapers announcing it had cut benefits for refugees, hoping to dissuade people from choosing Denmark. Did it work? It’s hard to measure, but Denmark did receive fewer asylum seekers after that – though it coincided with the overall drop in flows after the EU-Turkey deal, so cause and effect are blurry. Generally, research suggests that </w:t>
      </w:r>
      <w:r>
        <w:rPr>
          <w:b/>
          <w:bCs/>
        </w:rPr>
        <w:t>migrants’ primary drivers are safety and family ties, not fine-grained differences in benefits</w:t>
      </w:r>
      <w:r>
        <w:t xml:space="preserve">. Surveys of Syrian refugees, for example, found that most did not have detailed knowledge of each country’s asylum rules or benefit levels when they set out; they tended to go where they had contacts or perceived openness. Economic migrants, by contrast, might be more attuned to job prospects than welfare. So while extreme differences in policy (like if one country guarantees permanent residency and another doesn’t) can redirect flows to some extent, moderate differences don’t seem to be a major magnet. There is also the counterpoint that </w:t>
      </w:r>
      <w:r>
        <w:rPr>
          <w:i/>
          <w:iCs/>
        </w:rPr>
        <w:t>harsh</w:t>
      </w:r>
      <w:r>
        <w:t xml:space="preserve"> policies might not have the intended deterrent effect either. For instance, the Trump administration in the U.S. implemented the traumatic family separation policy (taking children away from parents at the border) hoping that news of this cruelty would deter Central American families from migrating. It caused huge suffering and outrage, but there’s no clear evidence it significantly reduced the flow; many fleeing gang violence or persecution came anyway, either unaware of the policy or undeterred because the “push” from danger outweighed fear of what might happen after crossing. Similarly, experts note that many migrants either don’t know the specifics of destination policies or they fall victim to smugglers’ false assurances. An Eritrean fleeing forced conscription isn’t performing a cost-benefit analysis of welfare states; they’re thinking “Where can I be safe and rebuild my life?” So the simplistic notion that “better treatment = more migrants” fails to account for the complexity of why people move.</w:t>
      </w:r>
    </w:p>
    <w:p w14:paraId="1FBE99C8" w14:textId="77777777" w:rsidR="00DC33FE" w:rsidRDefault="00DC33FE" w:rsidP="00DC33FE">
      <w:pPr>
        <w:pStyle w:val="BodyText"/>
      </w:pPr>
      <w:r>
        <w:t xml:space="preserve">That said, </w:t>
      </w:r>
      <w:r>
        <w:rPr>
          <w:i/>
          <w:iCs/>
        </w:rPr>
        <w:t>perceptions</w:t>
      </w:r>
      <w:r>
        <w:t xml:space="preserve"> of policy can matter. Migrant smugglers, especially, exploit narratives. If a policy change is widely advertised (like “doors are open now” or conversely “borders are shut”), smugglers might use that to drum up business (“Go now, country X is </w:t>
      </w:r>
      <w:r>
        <w:lastRenderedPageBreak/>
        <w:t xml:space="preserve">welcoming people!” or “It will soon close, hurry and go while you can!”). Thus sudden shifts can create short-term surges – not because the policy itself is pulling people who wouldn’t otherwise go, but because it changes timing for those already inclined to leave. We saw this with the Biden administration’s transition: even though Biden did not actually open the border, his more sympathetic rhetoric compared to Trump led many in Central America to believe the door was now open, prompting them to set out in early 2021. The U.S. encountered large numbers of families then, many saying they’d heard they’d be allowed in now. The administration had to then broadcast that the border was </w:t>
      </w:r>
      <w:r>
        <w:rPr>
          <w:i/>
          <w:iCs/>
        </w:rPr>
        <w:t>not</w:t>
      </w:r>
      <w:r>
        <w:t xml:space="preserve"> open and kept some Trump-like restrictions longer than it perhaps wanted, precisely to counter that narrative. In Europe, whenever a country announces a one-off amnesty or regularization for undocumented migrants, there are always voices warning it will spark a mass influx (though studies of past amnesties in Spain and Italy found negligible long-term pull effects abroad – they mainly brought existing undocumented residents out of the shadows).</w:t>
      </w:r>
    </w:p>
    <w:p w14:paraId="6E1E5A4E" w14:textId="77777777" w:rsidR="00DC33FE" w:rsidRDefault="00DC33FE" w:rsidP="00DC33FE">
      <w:pPr>
        <w:pStyle w:val="BodyText"/>
      </w:pPr>
      <w:r>
        <w:t xml:space="preserve">In conclusion, the pull factor allegations have to be weighed against evidence. Generous refugee programs and rescue missions serve humanitarian aims and save lives; the fear that they </w:t>
      </w:r>
      <w:r>
        <w:rPr>
          <w:i/>
          <w:iCs/>
        </w:rPr>
        <w:t>cause</w:t>
      </w:r>
      <w:r>
        <w:t xml:space="preserve"> significantly more people to migrate is not strongly supported by data. People move primarily because of violence, oppression, poverty, and hope for a better future – variables far more powerful than policy nuances. Nonetheless, governments remain cautious, often preferring to err on the side of restrictiveness due to political pressures, and that means the pull factor argument will likely persist as a staple in migration debates.</w:t>
      </w:r>
    </w:p>
    <w:p w14:paraId="1D7B5B93" w14:textId="77777777" w:rsidR="00DC33FE" w:rsidRDefault="00DC33FE" w:rsidP="00DC33FE">
      <w:pPr>
        <w:pStyle w:val="Heading3"/>
      </w:pPr>
      <w:bookmarkStart w:id="59" w:name="Xa2ce1f970e74e13124a878ffbf29c1f3f7626fc"/>
      <w:bookmarkEnd w:id="58"/>
      <w:r>
        <w:t>Exploitation, Fraud, and Economic Impact Concerns</w:t>
      </w:r>
    </w:p>
    <w:p w14:paraId="2074C5FC" w14:textId="77777777" w:rsidR="00DC33FE" w:rsidRDefault="00DC33FE" w:rsidP="00DC33FE">
      <w:pPr>
        <w:pStyle w:val="FirstParagraph"/>
      </w:pPr>
      <w:r>
        <w:t xml:space="preserve">Another line of criticism is that liberal asylum policies are abused by economic migrants, and that this undermines the integrity of refugee protection. It’s true that not everyone who arrives and requests asylum will ultimately qualify as a refugee. Many are fleeing generalized violence or poverty rather than targeted persecution – their situations are desperate, but not covered by the narrow refugee definition. For example, a young man leaving a country wracked by gang violence and no job prospects might seek asylum, but if he can’t show he was individually persecuted, his claim may be rejected even though going home is genuinely dangerous. Such cases blur the line between “economic migrant” and “refugee” in practice, creating a large grey area often called </w:t>
      </w:r>
      <w:r>
        <w:rPr>
          <w:b/>
          <w:bCs/>
        </w:rPr>
        <w:t>mixed migration</w:t>
      </w:r>
      <w:r>
        <w:t xml:space="preserve">. Critics accuse some asylum seekers of making up stories to gain refugee status when they are really migrating for a better life. Certainly, the asylum system is not foolproof; there have been instances of false claims. However, asylum adjudication processes are designed to detect inconsistency and require evidence when possible. In many Western countries, the majority of asylum claims from certain nationalities are indeed denied – which might indicate abuse, or might reflect overly strict interpretation. Either way, one can acknowledge that not everyone who migrates irregularly is a bona fide refugee under law; some are migrants with other motives. The question is what to do about it. The hardline approach is to detain and swiftly deport anyone who doesn’t meet the criteria, to send a message that abuse won’t be tolerated. The more lenient approach is to give the benefit of </w:t>
      </w:r>
      <w:r>
        <w:lastRenderedPageBreak/>
        <w:t xml:space="preserve">the doubt and perhaps provide alternative forms of stay (humanitarian statuses, work visas) for those who may not qualify as refugees but still have compelling reasons not to be sent home. Europe and the U.S. have both struggled with this, often defaulting to the hardline approach amid public pressure. But critics of the hardline stance point out that rigidly enforcing narrow criteria can lead to refoulement – genuine refugees being denied because they couldn’t prove their case in time or lacked documentation (many refugees flee without papers). They also note that </w:t>
      </w:r>
      <w:r>
        <w:rPr>
          <w:i/>
          <w:iCs/>
        </w:rPr>
        <w:t>economic deprivation and violence often intermingle</w:t>
      </w:r>
      <w:r>
        <w:t>. For example, many West African migrants who head toward Europe cite lack of livelihoods and instability at home; they might not have a government persecutor after them (so not refugees by definition), yet their lives are marked by structural violence and they risk peril on their journey – a reminder that all migrants deserve humane treatment even if not deemed refugees.</w:t>
      </w:r>
    </w:p>
    <w:p w14:paraId="3ADC1523" w14:textId="77777777" w:rsidR="00DC33FE" w:rsidRDefault="00DC33FE" w:rsidP="00DC33FE">
      <w:pPr>
        <w:pStyle w:val="BodyText"/>
      </w:pPr>
      <w:r>
        <w:t xml:space="preserve">A related criticism targets </w:t>
      </w:r>
      <w:r>
        <w:rPr>
          <w:b/>
          <w:bCs/>
        </w:rPr>
        <w:t>NGOs and advocates</w:t>
      </w:r>
      <w:r>
        <w:t>, accusing them of eroding border enforcement and even of collusion. We discussed earlier the outrageous claim that rescuers were “in cahoots” with smugglers – investigations and court cases, such as the one against the crew of the Iuventa in Italy, have so far produced no credible evidence of such collusion {S:Guardian-NGOCrackdown}. Independent inquiries even revealed that some of the accusations were based on doctored or misleading information. For instance, in Italy it later emerged that certain officials had fed false intelligence to the government about NGOs cooperating with smugglers, which was not substantiated {S:Guardian-NGOCrackdown}. The volunteer rescuers maintain that they never communicate or coordinate with traffickers – they simply go to areas where boats are known to distress and respond to mayday calls as required by maritime law. In fact, sometimes smugglers actively avoid NGO ships, because they prefer migrants to be picked up by Frontex or merchant vessels (as those might be returned to Libya, which allows smugglers to extort the migrants for another trip). There is an entire swirl of propaganda around this issue, but credible analyses have debunked most conspiracy theories about NGO misconduct. What remains are policy differences: one side sees NGOs as upholding moral duty and filling a void left by governments, the other sees them as interfering with states’ sovereign control of borders. Those are value judgments more than factual disputes.</w:t>
      </w:r>
    </w:p>
    <w:p w14:paraId="2823A939" w14:textId="77777777" w:rsidR="00DC33FE" w:rsidRDefault="00DC33FE" w:rsidP="00DC33FE">
      <w:pPr>
        <w:pStyle w:val="BodyText"/>
      </w:pPr>
      <w:r>
        <w:t xml:space="preserve">Economically, as mentioned, detractors argue that migrants (especially those who arrive as asylum seekers) burden welfare systems and take jobs from locals. This claim has been examined in many contexts. In </w:t>
      </w:r>
      <w:r>
        <w:rPr>
          <w:b/>
          <w:bCs/>
        </w:rPr>
        <w:t>advanced economies</w:t>
      </w:r>
      <w:r>
        <w:t xml:space="preserve">, multiple large-scale studies (including by the International Monetary Fund and OECD) have found that immigration generally does not increase native unemployment in the long term; it can have small distributional effects (some low-skilled natives might face slightly more competition, while higher-skilled natives often benefit from complementary labor). Refugees typically take jobs that natives are less willing to do, or they create jobs by starting businesses, once they overcome initial integration hurdles. A telling statistic: in the United States, refugees have been found to actually have higher rates of entrepreneurship than native-born Americans – many start small businesses like restaurants, shops, trucking companies, employing others. Over a 20-year period, the taxes and consumer spending generated by refugees often exceed the costs of resettling them, according to some analyses. For poorer host </w:t>
      </w:r>
      <w:r>
        <w:lastRenderedPageBreak/>
        <w:t>countries, the calculus is tougher because resources are scarcer. In Jordan and Lebanon, hosting huge numbers of Syrian refugees undoubtedly strained public services and infrastructure. Yet even there, economic studies noted that the influx also brought international aid money that buoyed local economies, and Syrian refugees added to the labor force, in some cases filling low-wage jobs and depressing wages for natives, but in other cases enabling businesses to expand. The net outcome is complex and varies by sector. A key factor is whether refugees are allowed to work formally – if they are, they can contribute more; if they are forced to stay idle or underground, they can’t contribute and may even undercut local labor by working for less on the black market. Thus, host government policies strongly influence economic outcomes.</w:t>
      </w:r>
    </w:p>
    <w:p w14:paraId="7B1FAA73" w14:textId="77777777" w:rsidR="00DC33FE" w:rsidRDefault="00DC33FE" w:rsidP="00DC33FE">
      <w:pPr>
        <w:pStyle w:val="BodyText"/>
      </w:pPr>
      <w:r>
        <w:t>A persistent criticism from anti-immigration activists is that migrants abuse welfare or are a drain on taxpayers. Populist rhetoric often inflates how much support migrants get. In truth, in many countries asylum seekers receive only basic subsistence allowances (often less than what unemployed citizens get) and sometimes are housed in group facilities rather than individual housing. And refugees who integrate tend to become net contributors after some years. For example, Germany initially spent billions on refugee reception and courses, but by 2019 its economists were noting that as tens of thousands of refugees entered the workforce, they were contributing to social insurance funds and easing skilled-labor shortages (especially as many had trades skills). Importantly, younger immigrants also help offset aging demographics in Western societies, supporting pension systems. So the economic “burden” narrative is one-sided. Yes, there are upfront costs to do things right, but there are long-term gains if integration succeeds.</w:t>
      </w:r>
    </w:p>
    <w:p w14:paraId="08DAE735" w14:textId="77777777" w:rsidR="00DC33FE" w:rsidRDefault="00DC33FE" w:rsidP="00DC33FE">
      <w:pPr>
        <w:pStyle w:val="BodyText"/>
      </w:pPr>
      <w:r>
        <w:t xml:space="preserve">Finally, there are </w:t>
      </w:r>
      <w:r>
        <w:rPr>
          <w:b/>
          <w:bCs/>
        </w:rPr>
        <w:t>moral and legal counter-arguments</w:t>
      </w:r>
      <w:r>
        <w:t xml:space="preserve"> to criticisms. Supporters of refugee programs emphasize that protecting the persecuted is a legal obligation (under treaties countries voluntarily signed) and a humanitarian imperative not contingent on cost-benefit analysis. They argue that wealthy nations have the capacity to absorb refugees – especially considering poorer nations host far more – and that turning away people to face persecution or death is indefensible regardless of speculative impacts. They also point to success stories to counter the negative stereotypes: former refugees who became doctors, teachers, tech entrepreneurs, Olympians, even Nobel Prize winners (indeed, the co-founder of Google, Sergey Brin, came to the U.S. as a child refugee from Soviet repression). Such stories illustrate that given opportunity, those who start as refugees can achieve great things that enrich their new societies. Opponents may acknowledge these points but still stress the need for controlled, selective immigration versus chaotic influxes. A middle-ground perspective is that the international community should invest more in stabilizing conflict regions and supporting refugees </w:t>
      </w:r>
      <w:r>
        <w:rPr>
          <w:i/>
          <w:iCs/>
        </w:rPr>
        <w:t>near their home countries</w:t>
      </w:r>
      <w:r>
        <w:t>, so fewer feel compelled to trek to the West. In practice, significant aid is indeed directed to refugee camps and local integration in developing countries – but when wars grind on for years, secondary migration often becomes inevitable. No amount of aid in a camp can substitute for a young person’s aspirations for a real future, which drives some to move onward.</w:t>
      </w:r>
    </w:p>
    <w:p w14:paraId="50E47F3F" w14:textId="77777777" w:rsidR="00DC33FE" w:rsidRDefault="00DC33FE" w:rsidP="00DC33FE">
      <w:pPr>
        <w:pStyle w:val="BodyText"/>
      </w:pPr>
      <w:r>
        <w:lastRenderedPageBreak/>
        <w:t>In weighing all this, it’s evident that simplistic narratives (“they’re all coming for our welfare” versus “everyone is a noble refugee”) do not capture the complexity. The debate is often fueled by emotive anecdotes or worst-case assumptions rather than aggregate data. From a policy viewpoint, the challenge is crafting responses that maintain the integrity of asylum (so that those truly in need are protected), while managing flows in an orderly way and addressing public concerns. The evidence we’ve reviewed suggests that extreme deterrence measures yield diminishing returns and high human costs, whereas well-managed humanitarian programs can save lives and even produce mutual benefits over time. But every approach has trade-offs. The next section provides concrete illustrations through two NGO case studies – showing how non-state actors have stepped in, either complementing or contesting government policies, and what their experiences reveal about the state of migration and borders today.</w:t>
      </w:r>
    </w:p>
    <w:p w14:paraId="68F2670E" w14:textId="77777777" w:rsidR="00DC33FE" w:rsidRDefault="00DC33FE" w:rsidP="00DC33FE">
      <w:pPr>
        <w:pStyle w:val="Heading2"/>
      </w:pPr>
      <w:bookmarkStart w:id="60" w:name="ngos-on-the-frontlines-two-case-studies"/>
      <w:bookmarkEnd w:id="57"/>
      <w:bookmarkEnd w:id="59"/>
      <w:r>
        <w:t>NGOs on the Frontlines: Two Case Studies</w:t>
      </w:r>
    </w:p>
    <w:p w14:paraId="366875C1" w14:textId="77777777" w:rsidR="00DC33FE" w:rsidRDefault="00DC33FE" w:rsidP="00DC33FE">
      <w:pPr>
        <w:pStyle w:val="FirstParagraph"/>
      </w:pPr>
      <w:r>
        <w:t xml:space="preserve">To humanize these abstract debates, we profile two non-governmental organizations engaged in very different aspects of the migration crisis. Each case study highlights both </w:t>
      </w:r>
      <w:r>
        <w:rPr>
          <w:b/>
          <w:bCs/>
        </w:rPr>
        <w:t>the positive impact</w:t>
      </w:r>
      <w:r>
        <w:t xml:space="preserve"> such groups can have and the </w:t>
      </w:r>
      <w:r>
        <w:rPr>
          <w:b/>
          <w:bCs/>
        </w:rPr>
        <w:t>challenges and controversies</w:t>
      </w:r>
      <w:r>
        <w:t xml:space="preserve"> they face in the current political climate.</w:t>
      </w:r>
    </w:p>
    <w:p w14:paraId="607A35A4" w14:textId="77777777" w:rsidR="00DC33FE" w:rsidRDefault="00DC33FE" w:rsidP="00DC33FE">
      <w:pPr>
        <w:pStyle w:val="Heading3"/>
      </w:pPr>
      <w:bookmarkStart w:id="61" w:name="X31febe421a0e508cab4be2df81d239918e65d78"/>
      <w:r>
        <w:t>Case Study 1: Sea-Watch – Civilian Rescuers in the Mediterranean</w:t>
      </w:r>
    </w:p>
    <w:p w14:paraId="4B68CE30" w14:textId="77777777" w:rsidR="00DC33FE" w:rsidRDefault="00DC33FE" w:rsidP="00DC33FE">
      <w:pPr>
        <w:pStyle w:val="FirstParagraph"/>
      </w:pPr>
      <w:r>
        <w:t xml:space="preserve">On a clear June morning, a small crew aboard the </w:t>
      </w:r>
      <w:r>
        <w:rPr>
          <w:b/>
          <w:bCs/>
        </w:rPr>
        <w:t>Sea-Watch 3</w:t>
      </w:r>
      <w:r>
        <w:t xml:space="preserve"> scan the horizon through binoculars. They are in international waters north of Libya, responding to a distress alert about a flimsy rubber boat overloaded with migrants. Within an hour, they spot it – a deflated dinghy bobbing low in the water, dozens of people clinging to its sides. The Sea-Watch team springs into action, launching inflatable speedboats to distribute life vests and bring the migrants safely aboard their ship. It’s a scene that has repeated hundreds of times over recent years. </w:t>
      </w:r>
      <w:r>
        <w:rPr>
          <w:b/>
          <w:bCs/>
        </w:rPr>
        <w:t>Sea-Watch</w:t>
      </w:r>
      <w:r>
        <w:t xml:space="preserve"> is a German NGO dedicated to rescuing people in danger at sea. Founded in late 2014 by a handful of ordinary citizens who “could no longer watch the mass dying at Europe’s southern border,” it has grown into a highly professional humanitarian operation staffed by volunteer medics, sailors, and human-rights workers from many countries {S:SeaWatch}. Their mission: to uphold the age-old maritime duty to rescue those in distress, and to bear witness to the human tragedy unfolding on the Mediterranean migration routes.</w:t>
      </w:r>
    </w:p>
    <w:p w14:paraId="0EBAD9B6" w14:textId="77777777" w:rsidR="00DC33FE" w:rsidRDefault="00DC33FE" w:rsidP="00DC33FE">
      <w:pPr>
        <w:pStyle w:val="BodyText"/>
      </w:pPr>
      <w:r>
        <w:t xml:space="preserve">Since its inception, Sea-Watch has deployed several rescue vessels (Sea-Watch 1, 2, 3, and recently a larger ship, Sea-Watch 5) as well as reconnaissance airplanes that patrol from above to spot migrant boats in trouble. The organization, like its sister NGOs, runs entirely on donations and charitable grants; it receives no funding from governments (which in fact have often been hostile to its work) {S:SeaWatch}. By 2025, Sea-Watch and similar civilian fleets had assisted in saving tens of thousands of lives. Sea-Watch’s own crews alone have rescued well over 10,000 people over the years. These include young men fleeing forced conscription and war, families with babies escaping Syria, teenage girls who had been trafficked into prostitution in Libya, and many others with harrowing stories. </w:t>
      </w:r>
      <w:r>
        <w:lastRenderedPageBreak/>
        <w:t>One rescued survivor, a 22-year-old from Gambia named Malik, described how he had endured beatings and slavery in Libya and nearly drowned when his dinghy began sinking; Sea-Watch pulled him out of the water in the nick of time {S:Guardian-NGOCrackdown}. “If those volunteers hadn’t been there, I wouldn’t be alive today,” he said simply. For those saved, these NGOs are literally the difference between life and death.</w:t>
      </w:r>
    </w:p>
    <w:p w14:paraId="313EDF87" w14:textId="77777777" w:rsidR="00DC33FE" w:rsidRDefault="00DC33FE" w:rsidP="00DC33FE">
      <w:pPr>
        <w:pStyle w:val="BodyText"/>
      </w:pPr>
      <w:r>
        <w:t>However, Sea-Watch’s lifesaving work has put it squarely in the middle of Europe’s political storm over migration. Initially, in the peak crisis of 2015–2016, NGO rescuers were lauded by some officials and worked in coordination with the Italian Coast Guard to respond to emergencies {S:Guardian-NGOCrackdown}. But as Europe’s mood shifted, they came under increasing fire. By 2017, figures like Italy’s then–Interior Minister Matteo Salvini and other populist politicians began accusing the NGOs of acting as a “magnet” or “taxi service” for migrants. These politicians claimed (without evidence) that rescuers were colluding with smugglers or at least unwittingly helping them by guaranteeing migrants a pickup at sea {S:Guardian-NGOCrackdown}. Salvini infamously adopted a closed-port policy in 2018, refusing to allow rescue ships to dock in Italy to disembark rescued people. As a result, multiple Sea-Watch missions ended up stranded at sea with dozens of migrants aboard, sometimes for weeks, waiting for permission to land somewhere. In one dramatic incident in June 2019, Sea-Watch 3’s captain Carola Rackete, a young German woman, defied Italian authorities and entered Lampedusa’s port without authorization, saying she had suicidal survivors on board in urgent need. She was arrested and briefly detained, becoming a symbol of principled disobedience to what many saw as unjust anti-rescue policies. An Italian judge later released her, ruling that she had acted to save lives and committed no crime. But the message from Italy’s government was chilling: NGOs were no longer welcome. Salvini even pushed a decree threatening fines up to €1 million and impoundment of vessels for any NGO ship that entered Italian waters without consent.</w:t>
      </w:r>
    </w:p>
    <w:p w14:paraId="541211A9" w14:textId="77777777" w:rsidR="00DC33FE" w:rsidRDefault="00DC33FE" w:rsidP="00DC33FE">
      <w:pPr>
        <w:pStyle w:val="BodyText"/>
      </w:pPr>
      <w:r>
        <w:t xml:space="preserve">Sea-Watch and its peers thus faced a barrage of legal and logistical hurdles. Vessels were seized on technicalities, crews investigated. The Iuventa ship (operated by Jugend Rettet) was impounded in 2017 and ten of its volunteers remain entangled in a protracted prosecution, accused of aiding illegal immigration – charges they vehemently deny, supported by evidence that suggests the accusations are baseless or even a setup {S:Guardian-NGOCrackdown}. In 2020, a detailed journalistic investigation uncovered that a private security firm had infiltrated and spied on the Iuventa crew, feeding dubious information to Italian authorities, possibly linked to far-right interests {S:Guardian-NGOCrackdown}. Such revelations reinforced the view among humanitarians that they were being </w:t>
      </w:r>
      <w:r>
        <w:rPr>
          <w:b/>
          <w:bCs/>
        </w:rPr>
        <w:t>criminalized</w:t>
      </w:r>
      <w:r>
        <w:t xml:space="preserve"> not for wrongdoing, but for embarrassing governments by rescuing people whom those governments preferred would disappear quietly. Amnesty International commented on this trend: “Europe has gone from saving lives at sea to prosecuting those who do” – transforming rescuers from “angels of the sea into dangerous accomplices of smugglers” in the public narrative {S:Guardian-NGOCrackdown}.</w:t>
      </w:r>
    </w:p>
    <w:p w14:paraId="543C7582" w14:textId="77777777" w:rsidR="00DC33FE" w:rsidRDefault="00DC33FE" w:rsidP="00DC33FE">
      <w:pPr>
        <w:pStyle w:val="BodyText"/>
      </w:pPr>
      <w:r>
        <w:t xml:space="preserve">Yet, Sea-Watch persists. They have adapted by launching </w:t>
      </w:r>
      <w:r>
        <w:rPr>
          <w:b/>
          <w:bCs/>
        </w:rPr>
        <w:t>legal defense funds</w:t>
      </w:r>
      <w:r>
        <w:t xml:space="preserve"> to help crew members facing court, and by advocacy at the EU level for a renewal of state-led rescue efforts. Sea-Watch’s communications stress that </w:t>
      </w:r>
      <w:r>
        <w:rPr>
          <w:i/>
          <w:iCs/>
        </w:rPr>
        <w:t xml:space="preserve">they would gladly not exist if only </w:t>
      </w:r>
      <w:r>
        <w:rPr>
          <w:i/>
          <w:iCs/>
        </w:rPr>
        <w:lastRenderedPageBreak/>
        <w:t>states did their duty</w:t>
      </w:r>
      <w:r>
        <w:t>. Their slogan, #SafePassage, calls for Europe to create safe and legal routes so that no one needs to board a smuggler’s boat in the first place. In the absence of that, they feel morally bound to continue saving whomever they can. The tension came to a head again in late 2022 and 2023 when Italy’s new right-wing government (led by PM Giorgia Meloni) imposed a rule that rescue ships must immediately sail to an assigned distant port after one rescue, rather than staying in the area to conduct multiple rescues. This meant, for instance, that if Sea-Watch 3 saved a boat of 50 people, and while en route north it passed another boat in distress, technically it was supposed to ignore the second boat and leave it for Libyan authorities or others – a direct conflict with maritime rescue ethos. Captains faced a terrible dilemma: obey Italy’s mandate and possibly let people drown, or rescue as needed and risk their ship being seized for violating orders. Many chose the latter, arguing that the humanitarian imperative is paramount, and indeed continued to rescue multiple boats. Italy responded by detaining some ships for months on end under administrative pretexts (e.g. alleging waste disposal violations or that the ships were overcrowded – ironically because they had many survivors on board). Each cycle of detainment and release reduces the time NGOs can spend on their mission.</w:t>
      </w:r>
    </w:p>
    <w:p w14:paraId="2E74D265" w14:textId="77777777" w:rsidR="00DC33FE" w:rsidRDefault="00DC33FE" w:rsidP="00DC33FE">
      <w:pPr>
        <w:pStyle w:val="BodyText"/>
      </w:pPr>
      <w:r>
        <w:t xml:space="preserve">Despite all this, Sea-Watch’s efforts have had undeniable </w:t>
      </w:r>
      <w:r>
        <w:rPr>
          <w:i/>
          <w:iCs/>
        </w:rPr>
        <w:t>humanitarian impact</w:t>
      </w:r>
      <w:r>
        <w:t xml:space="preserve">. When they are operational, deaths at sea decline. When they are blocked, deaths rise. Even Italian Coast Guard officers have privately acknowledged the NGOs’ contributions to saving lives that Italian forces, with limited resources, could not always save. Furthermore, Sea-Watch has brought transparency. They document what happens in the Med – including recording </w:t>
      </w:r>
      <w:r>
        <w:rPr>
          <w:b/>
          <w:bCs/>
        </w:rPr>
        <w:t>illegal “pushbacks”</w:t>
      </w:r>
      <w:r>
        <w:t xml:space="preserve"> where the Libyan Coast Guard, sometimes in coordination with European Frontex surveillance, intercepts migrant boats and forces people back to Libya against their will. Such pushbacks violate the principle of non-refoulement (since Libya is not a safe place), and likely would go unreported were it not for NGO crews and their aircraft capturing video and raising alarm. In one case, Sea-Watch released footage of a Libyan Coast Guard vessel dangerously chasing and firing near a migrant boat, leading to European pressure on Libya to investigate its own crew’s misconduct. Thus, beyond rescue, Sea-Watch plays a </w:t>
      </w:r>
      <w:r>
        <w:rPr>
          <w:b/>
          <w:bCs/>
        </w:rPr>
        <w:t>human rights monitoring role</w:t>
      </w:r>
      <w:r>
        <w:t xml:space="preserve"> on the high seas – a role that governments may find inconvenient but is crucial for accountability.</w:t>
      </w:r>
    </w:p>
    <w:p w14:paraId="52B8422F" w14:textId="77777777" w:rsidR="00DC33FE" w:rsidRDefault="00DC33FE" w:rsidP="00DC33FE">
      <w:pPr>
        <w:pStyle w:val="BodyText"/>
      </w:pPr>
      <w:r>
        <w:t xml:space="preserve">Sea-Watch’s case encapsulates the battle over migration at Europe’s borders: a moral mission colliding with hardening state policies. The organization has supporters across Europe who see them as upholding European values of humanity, and detractors who claim they interfere with immigration control. Legally, the pendulum has swung somewhat in their favor in recent years – European courts have on occasion ruled that states cannot impede rescue NGOs without legitimate reason. For instance, in 2021 the European Court of Justice struck down some of Italy’s attempts to outright ban NGO ships. Nevertheless, the operating environment remains hostile. Sea-Watch and others increasingly coordinate to ensure at least one rescue ship is at sea at any given time, even if others are detained. They have essentially become the thin line preventing the central Mediterranean from becoming an even larger mass grave. Their work asks uncomfortable questions: What kind of society watches people drown to dissuade others from coming? And if ordinary citizens </w:t>
      </w:r>
      <w:r>
        <w:lastRenderedPageBreak/>
        <w:t>are willing to risk jail to save strangers’ lives, what does it say about governments that threaten to jail them for it?</w:t>
      </w:r>
    </w:p>
    <w:p w14:paraId="01CFE895" w14:textId="77777777" w:rsidR="00DC33FE" w:rsidRDefault="00DC33FE" w:rsidP="00DC33FE">
      <w:pPr>
        <w:pStyle w:val="Heading3"/>
      </w:pPr>
      <w:bookmarkStart w:id="62" w:name="Xeeb8c3865708b47b8225ac3fefb7ffaf80c4aa5"/>
      <w:bookmarkEnd w:id="61"/>
      <w:r>
        <w:t>Case Study 2: International Rescue Committee – From Harm to Home</w:t>
      </w:r>
    </w:p>
    <w:p w14:paraId="201A5800" w14:textId="77777777" w:rsidR="00DC33FE" w:rsidRDefault="00DC33FE" w:rsidP="00DC33FE">
      <w:pPr>
        <w:pStyle w:val="FirstParagraph"/>
      </w:pPr>
      <w:r>
        <w:t xml:space="preserve">In a modest apartment complex in Dallas, Texas, a group of newly arrived </w:t>
      </w:r>
      <w:r>
        <w:rPr>
          <w:b/>
          <w:bCs/>
        </w:rPr>
        <w:t>Afghan refugees</w:t>
      </w:r>
      <w:r>
        <w:t xml:space="preserve"> gather for an orientation session led by a caseworker from the International Rescue Committee. Just weeks earlier, these families were airlifted out of Kabul amid chaotic evacuation scenes as the Taliban took over. Now they sit in a community room thousands of miles away, learning how to use American grocery stores, how to enroll their children in school, and what to expect as they start looking for jobs. The atmosphere is a mix of relief – they are safe at last – and anxiety about the unknown road ahead. Guiding them on that road is the IRC, one of the world’s largest and oldest refugee assistance NGOs. For these Afghans, as for millions of others over decades, the IRC is a bridge from trauma to recovery, from harm to home.</w:t>
      </w:r>
    </w:p>
    <w:p w14:paraId="2DAEB080" w14:textId="77777777" w:rsidR="00DC33FE" w:rsidRDefault="00DC33FE" w:rsidP="00DC33FE">
      <w:pPr>
        <w:pStyle w:val="BodyText"/>
      </w:pPr>
      <w:r>
        <w:t xml:space="preserve">The </w:t>
      </w:r>
      <w:r>
        <w:rPr>
          <w:b/>
          <w:bCs/>
        </w:rPr>
        <w:t>International Rescue Committee (IRC)</w:t>
      </w:r>
      <w:r>
        <w:t xml:space="preserve"> was actually born out of a refugee crisis in Europe over 90 years ago. Founded in 1933 at the suggestion of Albert Einstein, the organization’s original mission was to rescue people fleeing Nazi persecution in Germany {S:IRC-origin}. In the years since, the IRC has expanded globally, but its core purpose remains helping refugees and displaced people survive, recover, and gain control of their lives. Today the IRC works in more than 40 countries and operates resettlement and support offices in 28 U.S. cities {S:IRC-today}. Its projects range from emergency response (deploying when conflict or disaster erupts) to long-term refugee resettlement and integration programs in host communities. Importantly, the IRC straddles both overseas humanitarian aid and domestic resettlement, giving it a unique perspective across the whole journey of a refugee.</w:t>
      </w:r>
    </w:p>
    <w:p w14:paraId="21B5E755" w14:textId="77777777" w:rsidR="00DC33FE" w:rsidRDefault="00DC33FE" w:rsidP="00DC33FE">
      <w:pPr>
        <w:pStyle w:val="BodyText"/>
      </w:pPr>
      <w:r>
        <w:t>Consider how the IRC’s work spans the continuum. In Syria during the civil war, IRC mobile health clinics provided care in rebel-held areas where medical infrastructure had collapsed. In Jordan and Lebanon, the IRC ran safe spaces for Syrian refugee women and education programs for refugee children. Meanwhile, in the United States, the IRC’s field offices were receiving Syrian families for resettlement, finding them apartments, and helping them acclimate to American life. The same organization that helped someone survive in a refugee camp might later help them integrate into a Western city if they’re lucky enough to be resettled. This wide scope enables the IRC to advocate knowledgeably for policies based on ground reality. For example, the IRC has been a vocal proponent of increasing refugee admissions in wealthy countries, citing not just moral duty but its own research on integration outcomes and the capacity it sees at the local level.</w:t>
      </w:r>
    </w:p>
    <w:p w14:paraId="5A7870A2" w14:textId="77777777" w:rsidR="00DC33FE" w:rsidRDefault="00DC33FE" w:rsidP="00DC33FE">
      <w:pPr>
        <w:pStyle w:val="BodyText"/>
      </w:pPr>
      <w:r>
        <w:t xml:space="preserve">The IRC’s caseworkers are the unsung heroes of day-to-day integration. When a refugee family arrives at an airport in the U.S., often exhausted and culture-shocked, an IRC staff member or volunteer is there to greet them. They’ll likely have a hot meal and a furnished apartment ready – much of it donated by the local community. In the ensuing weeks, the IRC helps enroll the kids in school, takes the adults to health screenings, assists in </w:t>
      </w:r>
      <w:r>
        <w:lastRenderedPageBreak/>
        <w:t>applying for Social Security cards and work permits, and provides basic English classes. Early on, there is financial assistance (a combination of federal aid and charitable funds) to cover rent and living costs, usually for up to 3-6 months. The pressure is on for refugees to become self-sufficient quickly, typically by taking whatever job they can get first. The IRC helps with job placement too, leveraging relationships with local employers who have needs for reliable entry-level workers. Many refugees start working in hotels, warehouses, meat processing plants, or as taxi drivers – humble beginnings for doctors, engineers or teachers who may have held professional status back home. Over time, the IRC also offers upskilling programs, mentoring, and small-business support to help refugees move up the economic ladder.</w:t>
      </w:r>
    </w:p>
    <w:p w14:paraId="5985DF00" w14:textId="77777777" w:rsidR="00DC33FE" w:rsidRDefault="00DC33FE" w:rsidP="00DC33FE">
      <w:pPr>
        <w:pStyle w:val="BodyText"/>
      </w:pPr>
      <w:r>
        <w:t>The success stories are plentiful: an Iraqi interpreter who worked with the U.S. military, evacuated after death threats, resettled by the IRC in California and now running his own construction company; a Congolese single mother who arrived with nothing, got a housekeeping job through the IRC, and five years later became manager of the hotel’s housekeeping department; Syrian siblings who resumed their education and excelled in American schools, eventually going to college. The IRC collects such stories to illustrate the resilience of refugees – given the chance, many thrive and give back. Of course, not every case is rosy; some struggle with trauma, or can’t find stable employment, or face loneliness and cultural barriers. The IRC provides counseling services and runs support groups for things like mental health, knowing that integration is not just about jobs and language, but also emotional well-being and community belonging.</w:t>
      </w:r>
    </w:p>
    <w:p w14:paraId="7FC8EF45" w14:textId="77777777" w:rsidR="00DC33FE" w:rsidRDefault="00DC33FE" w:rsidP="00DC33FE">
      <w:pPr>
        <w:pStyle w:val="BodyText"/>
      </w:pPr>
      <w:r>
        <w:t>One interesting initiative by the IRC is its focus on evidence-based programs. They even have a research and innovation unit (the Airbel Impact Lab) that pilots new approaches, like using smartphone apps to teach literacy to refugee children, or cash assistance programs that empower refugees to spend aid money on their most needed items rather than receiving in-kind goods. In refugee camps, the IRC has piloted cash distribution with positive results (refugees make rational spending choices and it stimulates local markets). They then use those findings to encourage donors to adopt best practices. This reflects an evolution in humanitarian aid – being more data-driven and outcome-oriented, not just handing out blankets by default if maybe a cash transfer would serve better.</w:t>
      </w:r>
    </w:p>
    <w:p w14:paraId="5A9015F6" w14:textId="77777777" w:rsidR="00DC33FE" w:rsidRDefault="00DC33FE" w:rsidP="00DC33FE">
      <w:pPr>
        <w:pStyle w:val="BodyText"/>
      </w:pPr>
      <w:r>
        <w:t xml:space="preserve">The IRC also does advocacy at high levels. Its President since 2013, David Miliband (a former UK Foreign Secretary), has been an outspoken defender of refugee rights on the world stage. In public forums, he often points out the </w:t>
      </w:r>
      <w:r>
        <w:rPr>
          <w:b/>
          <w:bCs/>
        </w:rPr>
        <w:t>global responsibility gap</w:t>
      </w:r>
      <w:r>
        <w:t xml:space="preserve">: poor countries host 70-80% of refugees, while richer nations unnecessarily politicize much smaller numbers. The IRC routinely calls on the U.S. and Europe to increase resettlement numbers and funding for international refugee aid. During the Trump years, the IRC was one of the plaintiffs that sued the administration over the travel ban and cuts to refugee admissions. The organization argued that slashing the program not only hurt refugees, but also undermined America’s legacy and the capacity of groups like IRC built over decades. Indeed, when the U.S. refugee program was gutted by 2019, the IRC had to close some local offices and lay off experienced staff – only to urgently rebuild when Afghan evacuees came by the tens of thousands in 2021 and then when higher quotas returned under </w:t>
      </w:r>
      <w:r>
        <w:lastRenderedPageBreak/>
        <w:t>President Biden. This whiplash was challenging. But by late 2023, the IRC and partner agencies managed to resettle a large volume of refugees again, as noted earlier. That rebound has been seen as a policy achievement – fulfilling humanitarian commitments without major public backlash – and the IRC’s logistical expertise was key in making it happen {S:MPI-USResettle2024}.</w:t>
      </w:r>
    </w:p>
    <w:p w14:paraId="64A76DC9" w14:textId="77777777" w:rsidR="00DC33FE" w:rsidRDefault="00DC33FE" w:rsidP="00DC33FE">
      <w:pPr>
        <w:pStyle w:val="BodyText"/>
      </w:pPr>
      <w:r>
        <w:t xml:space="preserve">A concrete example of IRC’s agility was the </w:t>
      </w:r>
      <w:r>
        <w:rPr>
          <w:b/>
          <w:bCs/>
        </w:rPr>
        <w:t>Afghan evacuation and resettlement</w:t>
      </w:r>
      <w:r>
        <w:t xml:space="preserve"> in 2021-2022. Within days of the Kabul airlift, IRC offices across the U.S. were receiving Afghan families, many of whom had worked alongside U.S. forces or agencies. These arrivals were unique: they came as parolees (not formal refugees) and thus lacked some benefits, and they arrived en masse in a short time. The IRC coordinated with community partners to arrange temporary housing in hotels and military bases, rallied donations of clothes and household goods, and helped Afghans navigate the immigration system to apply for asylum or special visas to secure their status. They also advocated in Washington for legislation to give Afghan evacuees an expedited path to a green card. As one IRC staff member put it, “We had to essentially compress what is usually months of preparation and case processing into just weeks.” The learning curve for both the newcomers and the communities was steep, but many Afghans have since found their footing—some aided by a nationwide network of volunteers (neighbors tutoring kids in English, employers stepping up with job offers, veterans sponsoring their former interpreters). The IRC acted as the backbone for these efforts, ensuring no family fell through the cracks during the chaotic transition. It wasn’t perfect – affordable housing remains a huge challenge, and some Afghans ended up moving to cheaper cities on their own. But considering the scale, tens of thousands were resettled relatively swiftly. The IRC similarly has been deeply involved in supporting </w:t>
      </w:r>
      <w:r>
        <w:rPr>
          <w:b/>
          <w:bCs/>
        </w:rPr>
        <w:t>Ukrainian</w:t>
      </w:r>
      <w:r>
        <w:t xml:space="preserve"> refugees, both in Europe (it operates programs for Ukrainians in Poland and Moldova) and those who came to the U.S. under sponsorship programs.</w:t>
      </w:r>
    </w:p>
    <w:p w14:paraId="062B95AF" w14:textId="77777777" w:rsidR="00DC33FE" w:rsidRDefault="00DC33FE" w:rsidP="00DC33FE">
      <w:pPr>
        <w:pStyle w:val="BodyText"/>
      </w:pPr>
      <w:r>
        <w:t xml:space="preserve">Through the IRC’s work, we see the </w:t>
      </w:r>
      <w:r>
        <w:rPr>
          <w:b/>
          <w:bCs/>
        </w:rPr>
        <w:t>long-term integration</w:t>
      </w:r>
      <w:r>
        <w:t xml:space="preserve"> side of the migration equation. While border crises and rescue operations get a lot of media attention, what happens years after a refugee is safe is equally important. Successful integration turns a refugee from a passive recipient of aid into an active member of society. The IRC’s motto is actually “from harm to home,” reflecting that end goal: not just saving lives, but restoring livelihoods and dignity. This case study shows that, with robust support, refugees can become self-reliant and even strengthen the social fabric of the host country. It also demonstrates the key role of NGOs as implementing partners for government refugee programs – without groups like the IRC, governments would struggle to handle the practical aspects of resettlement and integration at scale.</w:t>
      </w:r>
    </w:p>
    <w:bookmarkEnd w:id="60"/>
    <w:bookmarkEnd w:id="62"/>
    <w:p w14:paraId="511A0FFF" w14:textId="77777777" w:rsidR="00DC33FE" w:rsidRDefault="00DC33FE" w:rsidP="00DC33FE">
      <w:pPr>
        <w:pStyle w:val="Heading2"/>
      </w:pPr>
      <w:r>
        <w:t>Conclusion: Bridging the Divide in the Migration Debate</w:t>
      </w:r>
    </w:p>
    <w:p w14:paraId="6FE49708" w14:textId="77777777" w:rsidR="00DC33FE" w:rsidRDefault="00DC33FE" w:rsidP="00DC33FE">
      <w:pPr>
        <w:pStyle w:val="FirstParagraph"/>
      </w:pPr>
      <w:r>
        <w:t xml:space="preserve">Migration and border policies will likely remain fiercely contested as the world faces ongoing conflicts, economic inequalities, and now emerging drivers like climate change that push people to move. The debate often pits humanitarian values against concerns of sovereignty and capacity. This chapter has highlighted that it is not an either/or choice: security and compassion are not mutually exclusive. The experiences of the past decade </w:t>
      </w:r>
      <w:r>
        <w:lastRenderedPageBreak/>
        <w:t xml:space="preserve">show that carefully crafted programs can provide refuge to those in need </w:t>
      </w:r>
      <w:r>
        <w:rPr>
          <w:b/>
          <w:bCs/>
        </w:rPr>
        <w:t>and</w:t>
      </w:r>
      <w:r>
        <w:t xml:space="preserve"> maintain manageable borders. Documented initiatives – from expanded refugee resettlement quotas, to international agreements that share responsibility, to NGO interventions that save lives – have made a positive difference. Meanwhile, alarmist approaches that treat migrants solely as threats have tended to create new problems without truly solving the old ones. For every wall built or boat turned back, there remains a displaced family somewhere still hoping for safety, and perhaps choosing a different perilous path.</w:t>
      </w:r>
    </w:p>
    <w:p w14:paraId="2F82EF3D" w14:textId="77777777" w:rsidR="00DC33FE" w:rsidRDefault="00DC33FE" w:rsidP="00DC33FE">
      <w:pPr>
        <w:pStyle w:val="BodyText"/>
      </w:pPr>
      <w:r>
        <w:t xml:space="preserve">The evidence indicates that addressing migration humanely is most effective when the international community cooperates. Unilateral crackdowns can grab headlines, but cooperative solutions – such as the global compacts that emphasize aid to host countries, creating legal pathways, and improving asylum systems – tackle root causes and provide alternatives to irregular migration. The profiles of Sea-Watch and the IRC exemplify the principles of humanity and solidarity in action. Sea-Watch volunteers risk their own freedom to uphold the simple notion that no one should be left to drown, regardless of origin or legal status. The IRC staff toil to make sure that when refugees arrive on our shores, they don’t fall into poverty or alienation but rather can stand on their feet and contribute. These NGOs, and many others like them, act out of a conviction that </w:t>
      </w:r>
      <w:r>
        <w:rPr>
          <w:b/>
          <w:bCs/>
        </w:rPr>
        <w:t>migrants and refugees are, first and foremost, fellow human beings</w:t>
      </w:r>
      <w:r>
        <w:t>, each with potential if given a chance.</w:t>
      </w:r>
    </w:p>
    <w:p w14:paraId="4D20CF33" w14:textId="77777777" w:rsidR="00DC33FE" w:rsidRDefault="00DC33FE" w:rsidP="00DC33FE">
      <w:pPr>
        <w:pStyle w:val="BodyText"/>
      </w:pPr>
      <w:r>
        <w:t xml:space="preserve">As skeptical readers, we have examined counterarguments and found that many fears are unsupported by facts: refugees are not a crime wave or a fiscal ruin; rescues at sea aren’t the magnet some claim. That doesn’t mean there are no challenges – there certainly are, from integration hurdles to ensuring fairness in asylum adjudication. But the way forward suggested by the evidence is to meet those challenges with pragmatic compassion rather than panic. Increasing safe and legal migration channels, for instance, can reduce irregular flows and undercut smugglers </w:t>
      </w:r>
      <w:r>
        <w:rPr>
          <w:i/>
          <w:iCs/>
        </w:rPr>
        <w:t>while</w:t>
      </w:r>
      <w:r>
        <w:t xml:space="preserve"> treating migrants more humanely – a win-win that both humanitarian groups and some security experts endorse. There will always be trade-offs and difficult choices (no country can take everyone who is in need, and the line-drawing will inevitably leave some out). Yet, by grounding policies in data, maintaining fidelity to legal obligations, and remembering the shared human dignity at stake, societies can navigate the tensions between border control and migrant protection.</w:t>
      </w:r>
    </w:p>
    <w:p w14:paraId="536F765D" w14:textId="7EB9C1C6" w:rsidR="00DC33FE" w:rsidRDefault="00DC33FE" w:rsidP="00DC33FE">
      <w:r>
        <w:t xml:space="preserve">In closing, the story of migration and borders is fundamentally about people seeking hope and safety. Some flee bombs and persecution, others flee hunger and hopelessness; many encounter new barriers and new kindnesses on their journey. How we collectively respond is a test of our values. Are we moved by the sight of a drowned toddler on a beach enough to change course? Do we help the stranger knockin on the door, or do we double-bolt it? History will judge the answers. Chapters like this one do not have neat resolutions because the phenomenon is ongoing. But if there is one lesson from recent years, it is that building higher walls has not stopped the plight of refugees from knocking – it has only made their journeys more lethal and their reception more contentious. The more sustainable solutions lie in international solidarity: sharing responsibility for refugees, investing in conflict prevention and development abroad, and managing borders in ways that respect </w:t>
      </w:r>
      <w:r>
        <w:lastRenderedPageBreak/>
        <w:t xml:space="preserve">basic rights. Bridging the polarized divide in the migration debate will require listening to both the anxious host communities and the voices of migrants themselves, and dispelling myths with facts. As the world continues to grapple with displacement on a massive scale, the aspiration should be to handle migration in a way that preserves life, upholds law, and maintains social trust. That means rejecting false choices and instead forging policies that are both compassionate </w:t>
      </w:r>
      <w:r>
        <w:rPr>
          <w:b/>
          <w:bCs/>
        </w:rPr>
        <w:t>and</w:t>
      </w:r>
      <w:r>
        <w:t xml:space="preserve"> controlled – difficult, yes, but as we have seen, not impossible.</w:t>
      </w:r>
    </w:p>
    <w:p w14:paraId="44B092CA" w14:textId="01500546" w:rsidR="00DC33FE" w:rsidRDefault="00000000" w:rsidP="00406E3B">
      <w:r>
        <w:pict w14:anchorId="12CDEED4">
          <v:rect id="_x0000_i1034" style="width:0;height:1.5pt" o:hralign="center" o:hrstd="t" o:hr="t"/>
        </w:pict>
      </w:r>
    </w:p>
    <w:p w14:paraId="4D173555" w14:textId="77777777" w:rsidR="00DC33FE" w:rsidRDefault="00DC33FE" w:rsidP="00406E3B"/>
    <w:p w14:paraId="75DD6AD2" w14:textId="77777777" w:rsidR="00DC33FE" w:rsidRDefault="00DC33FE" w:rsidP="00406E3B"/>
    <w:p w14:paraId="2B0C52B7" w14:textId="6D3C2510" w:rsidR="00DC33FE" w:rsidRDefault="00DC33FE" w:rsidP="00406E3B"/>
    <w:p w14:paraId="2DA4FD0F" w14:textId="77777777" w:rsidR="00ED2EAC" w:rsidRDefault="00ED2EAC" w:rsidP="00406E3B"/>
    <w:p w14:paraId="14AC2D6C" w14:textId="77777777" w:rsidR="00ED2EAC" w:rsidRDefault="00ED2EAC" w:rsidP="00406E3B"/>
    <w:p w14:paraId="29ABC604" w14:textId="77777777" w:rsidR="00ED2EAC" w:rsidRDefault="00ED2EAC" w:rsidP="00406E3B"/>
    <w:p w14:paraId="2D53775F" w14:textId="77777777" w:rsidR="00ED2EAC" w:rsidRDefault="00ED2EAC" w:rsidP="00406E3B"/>
    <w:p w14:paraId="781175EF" w14:textId="77777777" w:rsidR="00ED2EAC" w:rsidRDefault="00ED2EAC" w:rsidP="00406E3B"/>
    <w:p w14:paraId="2BE34AF3" w14:textId="77777777" w:rsidR="00ED2EAC" w:rsidRDefault="00ED2EAC" w:rsidP="00406E3B"/>
    <w:p w14:paraId="44E9C149" w14:textId="77777777" w:rsidR="00ED2EAC" w:rsidRDefault="00ED2EAC" w:rsidP="00406E3B"/>
    <w:p w14:paraId="2A27D5EE" w14:textId="77777777" w:rsidR="00ED2EAC" w:rsidRDefault="00ED2EAC" w:rsidP="00406E3B"/>
    <w:p w14:paraId="1950C9BF" w14:textId="77777777" w:rsidR="00ED2EAC" w:rsidRDefault="00ED2EAC" w:rsidP="00406E3B"/>
    <w:p w14:paraId="1818607C" w14:textId="77777777" w:rsidR="00ED2EAC" w:rsidRDefault="00ED2EAC" w:rsidP="00406E3B"/>
    <w:p w14:paraId="25D7FB58" w14:textId="77777777" w:rsidR="00ED2EAC" w:rsidRDefault="00ED2EAC" w:rsidP="00406E3B"/>
    <w:p w14:paraId="3C3FA3E5" w14:textId="77777777" w:rsidR="00ED2EAC" w:rsidRDefault="00ED2EAC" w:rsidP="00406E3B"/>
    <w:p w14:paraId="620E9C82" w14:textId="77777777" w:rsidR="00ED2EAC" w:rsidRDefault="00ED2EAC" w:rsidP="00406E3B"/>
    <w:p w14:paraId="6EA328BD" w14:textId="77777777" w:rsidR="00ED2EAC" w:rsidRDefault="00ED2EAC" w:rsidP="00406E3B"/>
    <w:p w14:paraId="45B46565" w14:textId="77777777" w:rsidR="00ED2EAC" w:rsidRDefault="00ED2EAC" w:rsidP="00406E3B"/>
    <w:p w14:paraId="5FB16E89" w14:textId="77777777" w:rsidR="00ED2EAC" w:rsidRDefault="00ED2EAC" w:rsidP="00406E3B"/>
    <w:p w14:paraId="1D5AEB68" w14:textId="77777777" w:rsidR="00ED2EAC" w:rsidRDefault="00ED2EAC" w:rsidP="00406E3B"/>
    <w:p w14:paraId="2A3F84B1" w14:textId="77777777" w:rsidR="00ED2EAC" w:rsidRDefault="00ED2EAC" w:rsidP="00406E3B"/>
    <w:p w14:paraId="67D3D4A8" w14:textId="77777777" w:rsidR="00ED2EAC" w:rsidRDefault="00ED2EAC" w:rsidP="00ED2EAC">
      <w:pPr>
        <w:pStyle w:val="Heading1"/>
      </w:pPr>
      <w:r>
        <w:lastRenderedPageBreak/>
        <w:t>Chapter 10: Economics and Markets</w:t>
      </w:r>
    </w:p>
    <w:p w14:paraId="44920E18" w14:textId="77777777" w:rsidR="00ED2EAC" w:rsidRDefault="00ED2EAC" w:rsidP="00ED2EAC">
      <w:pPr>
        <w:pStyle w:val="FirstParagraph"/>
      </w:pPr>
      <w:r>
        <w:rPr>
          <w:b/>
          <w:bCs/>
        </w:rPr>
        <w:t>Introduction:</w:t>
      </w:r>
      <w:r>
        <w:t xml:space="preserve"> Economic policy and market activity are often portrayed as opposing forces locked in a delicate dance. Governments set policies to manage their economies—fixing exchange rates, adjusting interest rates, regulating capital flows—while global markets respond, sometimes violently, to those decisions. When the dance is smooth, policies and markets reinforce each other, fostering stability and growth. But when missteps occur, markets can punish policy errors with startling speed. In extreme cases, speculative capital flows have knocked economies off course, leading to financial crises and political upheaval. This chapter investigates the intersection of economic policy and market activity, examining historical episodes where currencies and markets came under intense pressure. It also scrutinizes allegations of currency speculation and their macroeconomic effects, highlighting how narratives about </w:t>
      </w:r>
      <w:r>
        <w:rPr>
          <w:b/>
          <w:bCs/>
        </w:rPr>
        <w:t>“evil speculators”</w:t>
      </w:r>
      <w:r>
        <w:t xml:space="preserve"> versus </w:t>
      </w:r>
      <w:r>
        <w:rPr>
          <w:b/>
          <w:bCs/>
        </w:rPr>
        <w:t>“policy mistakes”</w:t>
      </w:r>
      <w:r>
        <w:t xml:space="preserve"> have competed in the aftermath of crises. Throughout, a critical, evidence-based lens is applied: documented facts about market transactions are distinguished from interpretations or accusations about actors’ intent and the broader consequences. Skeptical readers will find a careful analysis that neither demonizes nor exonerates speculators wholesale, but instead attributes outcomes to a mix of policy choices, market dynamics, and, at times, deliberate gambles by financiers. The chapter draws on publicly available sources—from news reports and official data to academic studies—to piece together a fact-based chronicle of major market episodes and the debates they sparked. These cases range from the collapse of fixed exchange rate regimes under speculative attack, to emerging market crises that saw governments blame hedge funds for their currency’s collapse, to more recent events where markets swiftly sanctioned unorthodox economic policies. Each story illustrates a core theme: </w:t>
      </w:r>
      <w:r>
        <w:rPr>
          <w:b/>
          <w:bCs/>
        </w:rPr>
        <w:t>global capital can move with staggering force</w:t>
      </w:r>
      <w:r>
        <w:t xml:space="preserve">, and when it does, it can either discipline unsustainable policies or, in some views, </w:t>
      </w:r>
      <w:r>
        <w:rPr>
          <w:b/>
          <w:bCs/>
        </w:rPr>
        <w:t>wreak havoc on otherwise healthy economies</w:t>
      </w:r>
      <w:r>
        <w:t xml:space="preserve">. Striking the right balance between reaping the benefits of open markets and safeguarding national economic stability remains an ongoing policy challenge. As we traverse these episodes, we will see how different governments responded—some with reforms or international bailouts, others with capital controls or bellicose rhetoric—and what the outcomes suggest about the true power and limits of market speculation. Importantly, for every allegation that a speculator </w:t>
      </w:r>
      <w:r>
        <w:rPr>
          <w:b/>
          <w:bCs/>
        </w:rPr>
        <w:t>“caused”</w:t>
      </w:r>
      <w:r>
        <w:t xml:space="preserve"> a crisis, we will consider counter-evidence and alternative explanations, ensuring a nuanced understanding of these complex events.</w:t>
      </w:r>
    </w:p>
    <w:p w14:paraId="32337920" w14:textId="77777777" w:rsidR="00ED2EAC" w:rsidRDefault="00ED2EAC" w:rsidP="00ED2EAC">
      <w:pPr>
        <w:pStyle w:val="BodyText"/>
      </w:pPr>
      <w:r>
        <w:rPr>
          <w:b/>
          <w:bCs/>
        </w:rPr>
        <w:t>Figure 10.1: Timeline of Key Market Episodes (1971–2022)</w:t>
      </w:r>
      <w:r>
        <w:t xml:space="preserve"> – </w:t>
      </w:r>
      <w:r>
        <w:rPr>
          <w:i/>
          <w:iCs/>
        </w:rPr>
        <w:t>Major moments where economic policy collided with market forces, often amid allegations of speculative attacks. Each entry is drawn from public reporting and analysis.</w:t>
      </w:r>
    </w:p>
    <w:p w14:paraId="7BBA8242" w14:textId="77777777" w:rsidR="00ED2EAC" w:rsidRDefault="00ED2EAC" w:rsidP="00ED2EAC">
      <w:pPr>
        <w:numPr>
          <w:ilvl w:val="0"/>
          <w:numId w:val="1"/>
        </w:numPr>
      </w:pPr>
      <w:r>
        <w:rPr>
          <w:b/>
          <w:bCs/>
        </w:rPr>
        <w:t>1971 (August 15):</w:t>
      </w:r>
      <w:r>
        <w:t xml:space="preserve"> U.S. President Nixon ends the dollar’s convertibility to gold, effectively </w:t>
      </w:r>
      <w:r>
        <w:rPr>
          <w:b/>
          <w:bCs/>
        </w:rPr>
        <w:t>collapsing the Bretton Woods</w:t>
      </w:r>
      <w:r>
        <w:t xml:space="preserve"> fixed exchange-rate system. The decision comes after years of mounting U.S. balance-of-payments deficits and speculative pressure on the dollar; foreign central banks had been converting dollars to gold in large volumes, threatening U.S. gold reserves. Nixon’s move leads to a era of </w:t>
      </w:r>
      <w:r>
        <w:lastRenderedPageBreak/>
        <w:t xml:space="preserve">floating exchange rates as currencies are left to </w:t>
      </w:r>
      <w:r>
        <w:rPr>
          <w:b/>
          <w:bCs/>
        </w:rPr>
        <w:t>find market value</w:t>
      </w:r>
      <w:r>
        <w:t xml:space="preserve"> without the gold peg (an extraordinary regime shift spurred in part by speculative arbitrage against the dollar’s overvaluation) {S:Nixon1971}.</w:t>
      </w:r>
    </w:p>
    <w:p w14:paraId="3D2422AD" w14:textId="77777777" w:rsidR="00ED2EAC" w:rsidRDefault="00ED2EAC" w:rsidP="00ED2EAC">
      <w:pPr>
        <w:numPr>
          <w:ilvl w:val="0"/>
          <w:numId w:val="1"/>
        </w:numPr>
      </w:pPr>
      <w:r>
        <w:rPr>
          <w:b/>
          <w:bCs/>
        </w:rPr>
        <w:t>1985 (September):</w:t>
      </w:r>
      <w:r>
        <w:t xml:space="preserve"> The </w:t>
      </w:r>
      <w:r>
        <w:rPr>
          <w:b/>
          <w:bCs/>
        </w:rPr>
        <w:t>Plaza Accord</w:t>
      </w:r>
      <w:r>
        <w:t xml:space="preserve"> is signed by the G5 nations (U.S., Japan, West Germany, France, UK) to jointly depreciate an overvalued U.S. dollar. This coordinated policy intervention follows a period in which the dollar’s value had soared, causing trade imbalances; speculation on further dollar strength was rife. The Accord’s announcement immediately sends the dollar sharply lower against the yen and mark. It’s a rare instance of global powers explicitly engineering exchange rates—and it works, at least temporarily, illustrating how policy coordination can overpower market trends when nations act in concert {S:PlazaAccord1985}.</w:t>
      </w:r>
    </w:p>
    <w:p w14:paraId="2E5314B3" w14:textId="77777777" w:rsidR="00ED2EAC" w:rsidRDefault="00ED2EAC" w:rsidP="00ED2EAC">
      <w:pPr>
        <w:numPr>
          <w:ilvl w:val="0"/>
          <w:numId w:val="1"/>
        </w:numPr>
      </w:pPr>
      <w:r>
        <w:rPr>
          <w:b/>
          <w:bCs/>
        </w:rPr>
        <w:t>1992 (Sept 16) – “Black Wednesday”:</w:t>
      </w:r>
      <w:r>
        <w:t xml:space="preserve"> Britain is </w:t>
      </w:r>
      <w:r>
        <w:rPr>
          <w:b/>
          <w:bCs/>
        </w:rPr>
        <w:t>forced to withdraw the pound sterling from the European Exchange Rate Mechanism (ERM)</w:t>
      </w:r>
      <w:r>
        <w:t xml:space="preserve"> after an intense speculative attack. The UK had committed to keep the pound within a fixed band against the German mark, but economic fundamentals (high German interest rates and a sluggish UK economy) made the peg untenable. Global currency traders, led by hedge funds such as George Soros’s Quantum Fund, sold billions of pounds, betting the government would capitulate and devalue. The Bank of England desperately raised interest rates from 10% to 12%, with plans for 15%, and spent foreign reserves buying pounds, but these measures failed to stem the tide. By day’s end, the Treasury announced Britain’s exit from the ERM and a float of the pound {S:Guardian2012BlackWed}. The cost to UK taxpayers was estimated at </w:t>
      </w:r>
      <w:r>
        <w:rPr>
          <w:b/>
          <w:bCs/>
        </w:rPr>
        <w:t>£3.3 billion</w:t>
      </w:r>
      <w:r>
        <w:t xml:space="preserve"> in reserve losses, while speculators like Soros reaped enormous profits (Soros reportedly made </w:t>
      </w:r>
      <w:r>
        <w:rPr>
          <w:b/>
          <w:bCs/>
        </w:rPr>
        <w:t>£1 billion</w:t>
      </w:r>
      <w:r>
        <w:t xml:space="preserve"> betting against the pound) {S:Guardian2012BlackWed}. The episode, humiliating for the government, later proved economically beneficial as the pound’s devaluation helped spur a stronger recovery – an ironic silver lining to a day remembered as a triumph of market forces over policy defense.</w:t>
      </w:r>
    </w:p>
    <w:p w14:paraId="444DE64D" w14:textId="77777777" w:rsidR="00ED2EAC" w:rsidRDefault="00ED2EAC" w:rsidP="00ED2EAC">
      <w:pPr>
        <w:numPr>
          <w:ilvl w:val="0"/>
          <w:numId w:val="1"/>
        </w:numPr>
      </w:pPr>
      <w:r>
        <w:rPr>
          <w:b/>
          <w:bCs/>
        </w:rPr>
        <w:t>1994 (Dec) – Mexican Peso Crisis:</w:t>
      </w:r>
      <w:r>
        <w:t xml:space="preserve"> Mexico unexpectedly </w:t>
      </w:r>
      <w:r>
        <w:rPr>
          <w:b/>
          <w:bCs/>
        </w:rPr>
        <w:t>devalues the peso</w:t>
      </w:r>
      <w:r>
        <w:t xml:space="preserve"> by 15% against the U.S. dollar, triggering a wider financial panic known as the “Tequila Crisis.” Throughout 1994, Mexico had propped up the peso’s value with heavy intervention despite growing trade deficits and political shocks (including an assassination), accumulating short-term dollar-denominated debt (Tesobonos). When the government finally adjusted the exchange rate in December, investors </w:t>
      </w:r>
      <w:r>
        <w:rPr>
          <w:b/>
          <w:bCs/>
        </w:rPr>
        <w:t>bolted en masse</w:t>
      </w:r>
      <w:r>
        <w:t xml:space="preserve">, fearing deeper problems and further devaluation. Over a matter of days, capital flight drained Mexico’s reserves and the peso’s value </w:t>
      </w:r>
      <w:r>
        <w:rPr>
          <w:b/>
          <w:bCs/>
        </w:rPr>
        <w:t>collapsed by over 50%</w:t>
      </w:r>
      <w:r>
        <w:t xml:space="preserve">, falling from roughly 3.4 per USD to 7+ per USD {S:Brookings1995Peso}. The sudden peso crash sent inflation soaring and plunged Mexico into recession. It also had a contagion effect on other emerging markets. In early 1995, the U.S. and IMF assembled a </w:t>
      </w:r>
      <w:r>
        <w:rPr>
          <w:b/>
          <w:bCs/>
        </w:rPr>
        <w:t>$50 billion rescue package</w:t>
      </w:r>
      <w:r>
        <w:t xml:space="preserve"> to backstop Mexico and restore confidence. This crisis was a stark lesson: even a country seen as an emerging-</w:t>
      </w:r>
      <w:r>
        <w:lastRenderedPageBreak/>
        <w:t xml:space="preserve">market star can see investors lose faith virtually overnight if policies (like a quasi-fixed currency and heavy short-term debts) appear unsustainable. Mexican officials initially blamed “speculators” for the turmoil, but subsequent analyses concluded that </w:t>
      </w:r>
      <w:r>
        <w:rPr>
          <w:b/>
          <w:bCs/>
        </w:rPr>
        <w:t>policy missteps</w:t>
      </w:r>
      <w:r>
        <w:t xml:space="preserve">, lack of transparency, and delayed action were the primary causes. The peso crisis became a case study in how </w:t>
      </w:r>
      <w:r>
        <w:rPr>
          <w:b/>
          <w:bCs/>
        </w:rPr>
        <w:t>self-fulfilling panics</w:t>
      </w:r>
      <w:r>
        <w:t xml:space="preserve"> can arise when a government’s commitments (a currency peg) diverge from its economic fundamentals, and how quick global investors are to unload positions at the first whiff of trouble {S:Brookings1995Peso}.</w:t>
      </w:r>
    </w:p>
    <w:p w14:paraId="7B88F88D" w14:textId="77777777" w:rsidR="00ED2EAC" w:rsidRDefault="00ED2EAC" w:rsidP="00ED2EAC">
      <w:pPr>
        <w:numPr>
          <w:ilvl w:val="0"/>
          <w:numId w:val="1"/>
        </w:numPr>
      </w:pPr>
      <w:r>
        <w:rPr>
          <w:b/>
          <w:bCs/>
        </w:rPr>
        <w:t>1997 (July onward) – Asian Financial Crisis:</w:t>
      </w:r>
      <w:r>
        <w:t xml:space="preserve"> A speculative attack on the </w:t>
      </w:r>
      <w:r>
        <w:rPr>
          <w:b/>
          <w:bCs/>
        </w:rPr>
        <w:t>Thai baht</w:t>
      </w:r>
      <w:r>
        <w:t xml:space="preserve"> in July 1997 marks the start of a cascading crisis across East Asia. Thailand’s economy had boomed in the early 1990s under a fixed exchange rate, but by 1996 its export growth faltered and its banks were laden with short-term foreign debt and property bubbles. Sensing the baht was overvalued and that Thailand’s dollar reserves were insufficient, currency traders (both global hedge funds and local investors) began heavy </w:t>
      </w:r>
      <w:r>
        <w:rPr>
          <w:b/>
          <w:bCs/>
        </w:rPr>
        <w:t>selling of the baht</w:t>
      </w:r>
      <w:r>
        <w:t xml:space="preserve">. On July 2, 1997, after futile attempts to defend the currency (Thailand spent over $20 billion in reserves and raised interest rates to painfully high levels), the Thai authorities capitulated and </w:t>
      </w:r>
      <w:r>
        <w:rPr>
          <w:b/>
          <w:bCs/>
        </w:rPr>
        <w:t>floated the baht</w:t>
      </w:r>
      <w:r>
        <w:t xml:space="preserve">, which plunged in value {S:LATimes1997}. This devaluation set off a </w:t>
      </w:r>
      <w:r>
        <w:rPr>
          <w:b/>
          <w:bCs/>
        </w:rPr>
        <w:t>“devaluation domino”</w:t>
      </w:r>
      <w:r>
        <w:t xml:space="preserve"> in the region {S:LATimes1997}: investors, suddenly alarmed about similar weaknesses in other Asian economies, pulled out capital. The contagion first hit Malaysia, the Philippines, and Indonesia, then later South Korea. Currencies and stock markets went into freefall. By late 1997, </w:t>
      </w:r>
      <w:r>
        <w:rPr>
          <w:b/>
          <w:bCs/>
        </w:rPr>
        <w:t>Malaysia’s ringgit</w:t>
      </w:r>
      <w:r>
        <w:t xml:space="preserve"> and </w:t>
      </w:r>
      <w:r>
        <w:rPr>
          <w:b/>
          <w:bCs/>
        </w:rPr>
        <w:t>Indonesia’s rupiah</w:t>
      </w:r>
      <w:r>
        <w:t xml:space="preserve"> had lost over 30–40% of their value against the dollar, and their stock markets had plummeted. The economic pain was severe: for example, </w:t>
      </w:r>
      <w:r>
        <w:rPr>
          <w:b/>
          <w:bCs/>
        </w:rPr>
        <w:t>Indonesia’s GDP shrank over 13% in 1998</w:t>
      </w:r>
      <w:r>
        <w:t xml:space="preserve">, an almost unheard-of contraction {S:Brookings2007Indonesia}, and millions of people fell back into poverty as prices soared for basic goods. To many in Asia, it felt like an economic </w:t>
      </w:r>
      <w:r>
        <w:rPr>
          <w:b/>
          <w:bCs/>
        </w:rPr>
        <w:t>collapse inflicted by unbridled speculative capital</w:t>
      </w:r>
      <w:r>
        <w:t xml:space="preserve">, and anger toward foreign investors mounted. Malaysia’s Prime Minister Mahathir Mohamad emerged as one of the loudest critics of speculators, accusing them of </w:t>
      </w:r>
      <w:r>
        <w:rPr>
          <w:b/>
          <w:bCs/>
        </w:rPr>
        <w:t>waging “financial war”</w:t>
      </w:r>
      <w:r>
        <w:t xml:space="preserve"> on Southeast Asian economies for profit. At the IMF-World Bank meeting in Hong Kong in September 1997, Mahathir famously blasted currency trading as “unnecessary, unproductive, and immoral,” suggesting it should be </w:t>
      </w:r>
      <w:r>
        <w:rPr>
          <w:b/>
          <w:bCs/>
        </w:rPr>
        <w:t>made illegal</w:t>
      </w:r>
      <w:r>
        <w:t xml:space="preserve"> {S:LATimes1997}. He singled out George Soros as a prime culprit, calling him a “moron” who </w:t>
      </w:r>
      <w:r>
        <w:rPr>
          <w:b/>
          <w:bCs/>
        </w:rPr>
        <w:t>“comes along with a lot of money”</w:t>
      </w:r>
      <w:r>
        <w:t xml:space="preserve"> to undermine national economies {S:LATimes1997}.</w:t>
      </w:r>
    </w:p>
    <w:p w14:paraId="50B43E98" w14:textId="77777777" w:rsidR="00ED2EAC" w:rsidRDefault="00ED2EAC" w:rsidP="00ED2EAC">
      <w:pPr>
        <w:numPr>
          <w:ilvl w:val="0"/>
          <w:numId w:val="1"/>
        </w:numPr>
      </w:pPr>
      <w:r>
        <w:rPr>
          <w:b/>
          <w:bCs/>
        </w:rPr>
        <w:t>1997–98 (Asian Crisis Responses):</w:t>
      </w:r>
      <w:r>
        <w:t xml:space="preserve"> As Asian currencies collapsed, different policy responses emerged. Most affected nations sought emergency IMF loans and enacted painful austerity measures as conditions for support (Thailand, Indonesia, South Korea all went to the IMF). However, </w:t>
      </w:r>
      <w:r>
        <w:rPr>
          <w:b/>
          <w:bCs/>
        </w:rPr>
        <w:t>Malaysia broke ranks in 1998</w:t>
      </w:r>
      <w:r>
        <w:t xml:space="preserve">: in September of that year, with the ringgit still under pressure and the economy in deep recession, Mahathir’s government imposed </w:t>
      </w:r>
      <w:r>
        <w:rPr>
          <w:b/>
          <w:bCs/>
        </w:rPr>
        <w:t>capital controls</w:t>
      </w:r>
      <w:r>
        <w:t xml:space="preserve"> to stop the bleeding. Malaysia fixed the ringgit’s exchange rate, banned its trade abroad, and </w:t>
      </w:r>
      <w:r>
        <w:lastRenderedPageBreak/>
        <w:t xml:space="preserve">locked up foreign investors’ funds for a year to prevent capital flight. This was a controversial gambit, flying in the face of orthodox economic advice. Western experts and the IMF initially lambasted Malaysia’s move, warning it would scare off investment long-term. But the immediate effect was stability: the ringgit stopped falling, and Malaysia avoided having to take an IMF bailout. Over the next year, Malaysia’s economy stabilized and returned to growth, rebounding alongside the rest of Asia. By 1999, even some skeptics admitted that Malaysia’s unorthodox approach </w:t>
      </w:r>
      <w:r>
        <w:rPr>
          <w:b/>
          <w:bCs/>
        </w:rPr>
        <w:t>had not resulted in disaster</w:t>
      </w:r>
      <w:r>
        <w:t xml:space="preserve"> and may have softened the recession’s impact, though debate continues on whether the recovery owed more to the controls or to the naturally improving regional environment. What’s clear is that the Asian crisis forced a reconsideration of laissez-faire dogma. Calls grew internationally for better oversight of global capital flows, and even the IMF conceded that in exceptional cases </w:t>
      </w:r>
      <w:r>
        <w:rPr>
          <w:b/>
          <w:bCs/>
        </w:rPr>
        <w:t>temporary capital controls</w:t>
      </w:r>
      <w:r>
        <w:t xml:space="preserve"> might be useful – a stark change from its pre-crisis stance. Meanwhile, in early 1998 an </w:t>
      </w:r>
      <w:r>
        <w:rPr>
          <w:b/>
          <w:bCs/>
        </w:rPr>
        <w:t>international hunt for scapegoats</w:t>
      </w:r>
      <w:r>
        <w:t xml:space="preserve"> had been underway: Malaysia wasn’t alone in blaming foreign speculators; leaders in Thailand, South Korea, and even Hong Kong (which fought off an attack on its dollar peg in 1998 by directly buying stocks and futures to squeeze speculators) all railed against “pack behaviour” by hedge funds. An official international study group (led by Hong Kong’s monetary authority) looked into whether </w:t>
      </w:r>
      <w:r>
        <w:rPr>
          <w:b/>
          <w:bCs/>
        </w:rPr>
        <w:t>George Soros’s Quantum Fund</w:t>
      </w:r>
      <w:r>
        <w:t xml:space="preserve"> and others had colluded to attack Asian currencies and stock markets. The investigation found </w:t>
      </w:r>
      <w:r>
        <w:rPr>
          <w:b/>
          <w:bCs/>
        </w:rPr>
        <w:t>no clear evidence of a grand conspiracy</w:t>
      </w:r>
      <w:r>
        <w:t xml:space="preserve">, though it did highlight how herd behavior by investors contributed to the volatility. Soros, for his part, vehemently denied targeting the Malaysian ringgit (and </w:t>
      </w:r>
      <w:r>
        <w:rPr>
          <w:b/>
          <w:bCs/>
        </w:rPr>
        <w:t>evidence later supported his claim – his fund was actually</w:t>
      </w:r>
      <w:r>
        <w:t xml:space="preserve"> buying </w:t>
      </w:r>
      <w:r>
        <w:rPr>
          <w:b/>
          <w:bCs/>
        </w:rPr>
        <w:t>ringgit during its collapse, not shorting it</w:t>
      </w:r>
      <w:r>
        <w:t xml:space="preserve">) {S:WashPost1997}. In speeches, Soros argued that </w:t>
      </w:r>
      <w:r>
        <w:rPr>
          <w:b/>
          <w:bCs/>
        </w:rPr>
        <w:t>Mahathir was using him as a scapegoat</w:t>
      </w:r>
      <w:r>
        <w:t xml:space="preserve"> to distract from Malaysia’s own policy shortcomings {S:WashPost1997}. He acknowledged making aggressive bets against the Thai baht and other overvalued currencies (Soros unabashedly stated that speculators </w:t>
      </w:r>
      <w:r>
        <w:rPr>
          <w:b/>
          <w:bCs/>
        </w:rPr>
        <w:t>provide a “service” by correcting weak currencies</w:t>
      </w:r>
      <w:r>
        <w:t xml:space="preserve"> and forcing governments to face reality), but maintained that </w:t>
      </w:r>
      <w:r>
        <w:rPr>
          <w:b/>
          <w:bCs/>
        </w:rPr>
        <w:t>the real causes of the Asian crash were internal weaknesses</w:t>
      </w:r>
      <w:r>
        <w:t xml:space="preserve"> – things like </w:t>
      </w:r>
      <w:r>
        <w:rPr>
          <w:b/>
          <w:bCs/>
        </w:rPr>
        <w:t>excessive short-term foreign borrowing, weak banking oversight, and fixed exchange rates that lulled governments into complacency</w:t>
      </w:r>
      <w:r>
        <w:t xml:space="preserve"> {S:LATimes1997}. Academic analysis later backed up much of this interpretation: studies by the National Bureau of Economic Research found </w:t>
      </w:r>
      <w:r>
        <w:rPr>
          <w:b/>
          <w:bCs/>
        </w:rPr>
        <w:t>little evidence that hedge funds orchestrated the crisis for profit</w:t>
      </w:r>
      <w:r>
        <w:t xml:space="preserve"> – in fact, major funds on average did not profit from the collapse of the Malaysian and Thai currencies, and some may have lost money by being caught on the wrong side {S:NBER1998}. The broader consensus emerged that speculative attacks were often a </w:t>
      </w:r>
      <w:r>
        <w:rPr>
          <w:b/>
          <w:bCs/>
        </w:rPr>
        <w:t>symptom</w:t>
      </w:r>
      <w:r>
        <w:t xml:space="preserve"> of underlying economic problems. However, that did not exonerate markets entirely; critics noted that once panic set in, pure fear and herd mentality undoubtedly </w:t>
      </w:r>
      <w:r>
        <w:rPr>
          <w:b/>
          <w:bCs/>
        </w:rPr>
        <w:t>exacerbated the downturn</w:t>
      </w:r>
      <w:r>
        <w:t xml:space="preserve">, overshooting what fundamental corrections would dictate and causing enormous social damage. In Indonesia, for instance, the sudden investor exodus and rupiah crash sparked not just financial loss but a full-blown societal crisis – prices of essentials skyrocketed, </w:t>
      </w:r>
      <w:r>
        <w:lastRenderedPageBreak/>
        <w:t xml:space="preserve">unemployment spiked, and riots erupted, contributing to the downfall of President Suharto’s 32-year regime. Thus, the Asian crisis vividly illustrated both sides of the coin: </w:t>
      </w:r>
      <w:r>
        <w:rPr>
          <w:b/>
          <w:bCs/>
        </w:rPr>
        <w:t>markets enforced a brutal discipline on policy excesses, but in doing so they also created chaos that inflicted severe collateral damage on millions of ordinary people.</w:t>
      </w:r>
    </w:p>
    <w:p w14:paraId="2DD23359" w14:textId="77777777" w:rsidR="00ED2EAC" w:rsidRDefault="00ED2EAC" w:rsidP="00ED2EAC">
      <w:pPr>
        <w:numPr>
          <w:ilvl w:val="0"/>
          <w:numId w:val="1"/>
        </w:numPr>
      </w:pPr>
      <w:r>
        <w:rPr>
          <w:b/>
          <w:bCs/>
        </w:rPr>
        <w:t>1998 (Aug) – Russian Ruble Crisis:</w:t>
      </w:r>
      <w:r>
        <w:t xml:space="preserve"> In August 1998, Russia devalued the </w:t>
      </w:r>
      <w:r>
        <w:rPr>
          <w:b/>
          <w:bCs/>
        </w:rPr>
        <w:t>ruble</w:t>
      </w:r>
      <w:r>
        <w:t xml:space="preserve">, defaulted on domestic debt, and declared a moratorium on some foreign debt – a triple shock that sent tremors through global markets. Russia’s economy had been weakened by plummeting oil prices (its main export revenue) and a fragile fiscal situation. Throughout the summer, the Russian central bank spent billions of dollars of reserves trying to defend the ruble’s peg to the dollar, while investors grew increasingly skeptical that Russia could maintain the peg or roll over its debts. By mid-August, with reserves nearly exhausted, authorities let the ruble fall and halted payments on certain bonds. The ruble’s value </w:t>
      </w:r>
      <w:r>
        <w:rPr>
          <w:b/>
          <w:bCs/>
        </w:rPr>
        <w:t>collapsed by over 60%</w:t>
      </w:r>
      <w:r>
        <w:t xml:space="preserve"> within weeks, and Russia’s financial system went into default. Foreign investors and domestic depositors alike were devastated. Notably, one of the victims was a famous American hedge fund, </w:t>
      </w:r>
      <w:r>
        <w:rPr>
          <w:b/>
          <w:bCs/>
        </w:rPr>
        <w:t>Long-Term Capital Management (LTCM)</w:t>
      </w:r>
      <w:r>
        <w:t xml:space="preserve">, which had not speculated against the ruble but had massive leveraged bets on other markets that went haywire due to the turmoil. (In late 1998, LTCM’s near-failure raised fears of a wider financial meltdown, prompting the U.S. Federal Reserve to broker a private bailout to contain the fallout – a testament to how interconnected global finance had become.) Russian officials initially blamed </w:t>
      </w:r>
      <w:r>
        <w:rPr>
          <w:b/>
          <w:bCs/>
        </w:rPr>
        <w:t>“speculators and ill-wishers”</w:t>
      </w:r>
      <w:r>
        <w:t xml:space="preserve"> for attacking the ruble, and indeed some foreign funds had been shorting Russian assets. But in hindsight, Russia’s fixed exchange rate was clearly unsustainable given the circumstances. This crisis underscored how quickly market sentiment can shift for emerging economies: Russia went from market darling (having stabilized after the Soviet collapse) to pariah in a matter of months as confidence evaporated. It also showed that even a large economy could be felled by the combination of </w:t>
      </w:r>
      <w:r>
        <w:rPr>
          <w:b/>
          <w:bCs/>
        </w:rPr>
        <w:t>commodity price swings, policy missteps, and investor panic</w:t>
      </w:r>
      <w:r>
        <w:t>. The ruble crash had severe domestic consequences – inflation in Russia spiked, banks imploded, and the political establishment was shaken – but by 1999, aided by a rebound in oil prices, the ruble stabilized at a much lower value, and Russia began a surprisingly swift recovery under a new prime minister (and soon president) named Vladimir Putin. Internationally, the Russian debacle, coming on the heels of Asia’s, added momentum to efforts to rethink the “global financial architecture.” Proposals ranged from tighter financial regulation to the controversial “Tobin tax” (a small tax on currency trades to curb short-term speculation). While sweeping reforms did not immediately materialize, the crises of the 1990s left an enduring caution: global investors could dramatically pull the plug on economies, and neither large economies nor politically important ones were immune from the disciplining (or ravaging) force of capital flight.</w:t>
      </w:r>
    </w:p>
    <w:p w14:paraId="7408A6E9" w14:textId="77777777" w:rsidR="00ED2EAC" w:rsidRDefault="00ED2EAC" w:rsidP="00ED2EAC">
      <w:pPr>
        <w:numPr>
          <w:ilvl w:val="0"/>
          <w:numId w:val="1"/>
        </w:numPr>
      </w:pPr>
      <w:r>
        <w:rPr>
          <w:b/>
          <w:bCs/>
        </w:rPr>
        <w:lastRenderedPageBreak/>
        <w:t>1999 (Jan) – Brazil’s Currency Devaluation:</w:t>
      </w:r>
      <w:r>
        <w:t xml:space="preserve"> The crises continued to ripple through emerging markets. In January 1999, </w:t>
      </w:r>
      <w:r>
        <w:rPr>
          <w:b/>
          <w:bCs/>
        </w:rPr>
        <w:t>Brazil</w:t>
      </w:r>
      <w:r>
        <w:t xml:space="preserve">, Latin America’s largest economy, was forced to abandon its currency peg (the real was pegged to the U.S. dollar in a crawling band). Brazil had been running deficits and accumulating debt, and the turmoil in Russia and Asia made investors wary of all emerging markets. Despite a $41 billion IMF-led international support package in late 1998 to defend the real, the outflows of capital proved too strong. Under intense speculative pressure, Brazil floated the real on January 15, 1999; it quickly lost more than 30% of its value. While painful, Brazil’s prompt policy response (including budget cuts and very high interest rates to stabilize the currency after devaluation) helped restore confidence within months, and a deeper crisis was averted. The Brazilian devaluation marked the end of a tumultuous decade for emerging markets – a period in which </w:t>
      </w:r>
      <w:r>
        <w:rPr>
          <w:b/>
          <w:bCs/>
        </w:rPr>
        <w:t>dozens of countries learned the hard way that fixed exchange rates can become untenable when markets turn against them.</w:t>
      </w:r>
      <w:r>
        <w:t xml:space="preserve"> By the turn of the millennium, many nations that previously tied their currencies to the dollar or other benchmarks had shifted to more flexible exchange regimes to better absorb shocks and deter one-way speculative bets.</w:t>
      </w:r>
    </w:p>
    <w:p w14:paraId="0AF820B9" w14:textId="77777777" w:rsidR="00ED2EAC" w:rsidRDefault="00ED2EAC" w:rsidP="00ED2EAC">
      <w:pPr>
        <w:numPr>
          <w:ilvl w:val="0"/>
          <w:numId w:val="1"/>
        </w:numPr>
      </w:pPr>
      <w:r>
        <w:rPr>
          <w:b/>
          <w:bCs/>
        </w:rPr>
        <w:t>2001 (Feb) – Turkey’s Currency Collapse:</w:t>
      </w:r>
      <w:r>
        <w:t xml:space="preserve"> Turkey experienced a severe </w:t>
      </w:r>
      <w:r>
        <w:rPr>
          <w:b/>
          <w:bCs/>
        </w:rPr>
        <w:t>financial crisis in early 2001</w:t>
      </w:r>
      <w:r>
        <w:t xml:space="preserve"> that offers another example of policy and markets colliding. In the late 1990s, Turkey operated a quasi-peg for its lira as part of an IMF-backed disinflation program, but by late 2000 the country was in political turmoil and investors were jittery about its banks. A public spat between Turkey’s president and prime minister in February 2001 triggered panic: overnight interest rates rocketed to over 3,000% as the central bank fought to defend the lira. Within days, Turkey had no choice but to abandon the exchange rate anchor and let the lira float. The currency </w:t>
      </w:r>
      <w:r>
        <w:rPr>
          <w:b/>
          <w:bCs/>
        </w:rPr>
        <w:t>lost about half its value</w:t>
      </w:r>
      <w:r>
        <w:t>, and the economy was thrown into a deep recession. The government had to seek a massive new IMF bailout and implement sweeping banking reforms. Turkish officials and media initially blamed “manipulators” for the crisis, but post-mortems showed that the fixed-rate policy had become untenable amid political instability and banking weaknesses. The 2001 Turkish crisis became a turning point: painful as it was, it pushed Turkey to adopt a floating currency and strict fiscal discipline, laying the groundwork for a decade of strong growth that followed (often cited as a tough but ultimately beneficial market-imposed correction). Still, the social cost was high – 2001 is remembered in Turkey as a year of bankruptcies and mass unemployment, demonstrating again how sudden capital flight can wreak havoc on ordinary lives.</w:t>
      </w:r>
    </w:p>
    <w:p w14:paraId="6C0C1838" w14:textId="77777777" w:rsidR="00ED2EAC" w:rsidRDefault="00ED2EAC" w:rsidP="00ED2EAC">
      <w:pPr>
        <w:numPr>
          <w:ilvl w:val="0"/>
          <w:numId w:val="1"/>
        </w:numPr>
      </w:pPr>
      <w:r>
        <w:rPr>
          <w:b/>
          <w:bCs/>
        </w:rPr>
        <w:t>2008 (Sept–Oct) – Global Financial Meltdown:</w:t>
      </w:r>
      <w:r>
        <w:t xml:space="preserve"> The crisis of 2008 was rooted primarily in </w:t>
      </w:r>
      <w:r>
        <w:rPr>
          <w:b/>
          <w:bCs/>
        </w:rPr>
        <w:t>credit markets and housing bubbles</w:t>
      </w:r>
      <w:r>
        <w:t xml:space="preserve"> in the U.S. and Europe, not in currency pegs or emerging-market debts. Nonetheless, its market panic had global currency implications. In September 2008, after the failure of Lehman Brothers investment bank, investors worldwide rushed to </w:t>
      </w:r>
      <w:r>
        <w:rPr>
          <w:b/>
          <w:bCs/>
        </w:rPr>
        <w:t>safe-haven currencies</w:t>
      </w:r>
      <w:r>
        <w:t xml:space="preserve">. The U.S. dollar (ironically at the epicenter of the crisis) </w:t>
      </w:r>
      <w:r>
        <w:rPr>
          <w:i/>
          <w:iCs/>
        </w:rPr>
        <w:t>strengthened</w:t>
      </w:r>
      <w:r>
        <w:t xml:space="preserve"> sharply as a global </w:t>
      </w:r>
      <w:r>
        <w:lastRenderedPageBreak/>
        <w:t xml:space="preserve">reserve currency, and the Japanese yen spiked as investors unwound risky bets (carry trades) and sought safety. Many emerging-market currencies and even the euro fell in value amid the turmoil. Countries like </w:t>
      </w:r>
      <w:r>
        <w:rPr>
          <w:b/>
          <w:bCs/>
        </w:rPr>
        <w:t>Iceland</w:t>
      </w:r>
      <w:r>
        <w:t xml:space="preserve"> faced outright national bankruptcy; Iceland’s three major banks collapsed under outsized foreign debts, and the Icelandic krona’s value evaporated. Iceland actually </w:t>
      </w:r>
      <w:r>
        <w:rPr>
          <w:b/>
          <w:bCs/>
        </w:rPr>
        <w:t>imposed capital controls</w:t>
      </w:r>
      <w:r>
        <w:t xml:space="preserve"> (much as Malaysia did a decade earlier) to stem the outflow of funds and stabilize its currency – a dramatic step for a developed nation, reflecting how extreme the situation had become. Global trade financing also froze, contributing to a steep drop in export earnings for many countries and putting pressure on their currencies. In late 2008 and early 2009, a number of emerging economies from Eastern Europe to Latin America turned to the IMF for emergency credit lines to bolster investor confidence. While 2008’s drivers differed from the 1990s crises, the episode reinforced the lesson that </w:t>
      </w:r>
      <w:r>
        <w:rPr>
          <w:b/>
          <w:bCs/>
        </w:rPr>
        <w:t>financial contagion is real</w:t>
      </w:r>
      <w:r>
        <w:t>: panic in one market can spread rapidly through multiple channels (banking links, investor sentiment, commodity prices), and even countries with seemingly solid fundamentals can be hit if they’re caught in the path of a global margin call. The policy responses in this case included unprecedented coordinated central bank actions (rate cuts, liquidity lines) and fiscal stimulus. Notably, in the aftermath, regulators worldwide pushed for stronger financial system safeguards (like higher bank capital and stress tests) to reduce the chances that speculative excess in one asset class (like subprime mortgages) could again nearly collapse the entire global economy.</w:t>
      </w:r>
    </w:p>
    <w:p w14:paraId="270A1355" w14:textId="77777777" w:rsidR="00ED2EAC" w:rsidRDefault="00ED2EAC" w:rsidP="00ED2EAC">
      <w:pPr>
        <w:numPr>
          <w:ilvl w:val="0"/>
          <w:numId w:val="1"/>
        </w:numPr>
      </w:pPr>
      <w:r>
        <w:rPr>
          <w:b/>
          <w:bCs/>
        </w:rPr>
        <w:t>2011–2012 – Eurozone Sovereign Debt Crisis:</w:t>
      </w:r>
      <w:r>
        <w:t xml:space="preserve"> A different kind of crisis unfolded in Europe, where the issue was not a currency peg (the euro itself is a single currency) but </w:t>
      </w:r>
      <w:r>
        <w:rPr>
          <w:b/>
          <w:bCs/>
        </w:rPr>
        <w:t>bond market speculation</w:t>
      </w:r>
      <w:r>
        <w:t xml:space="preserve"> on the potential breakup of the euro or defaults by member governments. In 2010, Greece revealed dire fiscal problems, and by 2011 investors were demanding punishing yields on Greek government bonds, effectively cutting off Greece from markets. Panic spread to other heavily indebted Eurozone countries – Ireland, Portugal, Spain, and Italy faced surging borrowing costs as bond traders, fearing they might default or leave the euro, sold off their debt. This speculative pressure was met by policy action: the European Central Bank eventually intervened in mid-2012 after Mario Draghi’s famous promise to </w:t>
      </w:r>
      <w:r>
        <w:rPr>
          <w:b/>
          <w:bCs/>
        </w:rPr>
        <w:t>“do whatever it takes”</w:t>
      </w:r>
      <w:r>
        <w:t xml:space="preserve"> to preserve the euro. The ECB’s pledge of potentially unlimited bond-buying calmed markets dramatically, showing that a credible lender-of-last-resort can turn speculative sentiment on its head. But before that turning point, countries like </w:t>
      </w:r>
      <w:r>
        <w:rPr>
          <w:b/>
          <w:bCs/>
        </w:rPr>
        <w:t>Spain and Italy in 2011-12 were effectively under a speculative siege</w:t>
      </w:r>
      <w:r>
        <w:t xml:space="preserve">, unable to finance themselves at sustainable rates without external support. The human impact, especially in Greece, was severe: austerity measures imposed in exchange for EU/IMF bailouts led to a depression-level economic contraction. Here the “speculation” was partly a reflection of real insolvency risks but also driven by fear and even betting on worst-case outcomes (some hedge funds made large profits buying credit default swaps that would pay off if a country defaulted). Ultimately, stronger policy frameworks (creation of a European bailout fund, ECB interventions, fiscal compacts) broke the spiral. The Eurozone crisis highlighted the </w:t>
      </w:r>
      <w:r>
        <w:lastRenderedPageBreak/>
        <w:t xml:space="preserve">interplay of markets and policy at the highest levels: even sovereign states within a currency union found themselves disciplined by </w:t>
      </w:r>
      <w:r>
        <w:rPr>
          <w:b/>
          <w:bCs/>
        </w:rPr>
        <w:t>bond market vigilantes</w:t>
      </w:r>
      <w:r>
        <w:t>, until central bank action and political agreements restored confidence.</w:t>
      </w:r>
    </w:p>
    <w:p w14:paraId="48946870" w14:textId="77777777" w:rsidR="00ED2EAC" w:rsidRDefault="00ED2EAC" w:rsidP="00ED2EAC">
      <w:pPr>
        <w:numPr>
          <w:ilvl w:val="0"/>
          <w:numId w:val="1"/>
        </w:numPr>
      </w:pPr>
      <w:r>
        <w:rPr>
          <w:b/>
          <w:bCs/>
        </w:rPr>
        <w:t>2015 (Jan 15) – Swiss Franc Shock:</w:t>
      </w:r>
      <w:r>
        <w:t xml:space="preserve"> In a stunning policy reversal, the </w:t>
      </w:r>
      <w:r>
        <w:rPr>
          <w:b/>
          <w:bCs/>
        </w:rPr>
        <w:t>Swiss National Bank (SNB)</w:t>
      </w:r>
      <w:r>
        <w:t xml:space="preserve"> abruptly abandoned its </w:t>
      </w:r>
      <w:r>
        <w:rPr>
          <w:b/>
          <w:bCs/>
        </w:rPr>
        <w:t>currency cap</w:t>
      </w:r>
      <w:r>
        <w:t xml:space="preserve"> against the euro. For three years (since September 2011), Switzerland had capped the Swiss franc’s value at 1.20 francs per euro, printing francs to buy euros in order to prevent the franc (a safe-haven currency) from rising too high amid Eurozone turmoil. This policy was meant to protect Swiss exporters and stave off deflation. However, by early 2015, with the Eurozone preparing massive quantitative easing, the SNB faced the prospect of having to buy virtually unlimited euros to maintain the peg. On January 15, 2015, without forewarning, the SNB announced it would </w:t>
      </w:r>
      <w:r>
        <w:rPr>
          <w:b/>
          <w:bCs/>
        </w:rPr>
        <w:t>no longer hold the franc down</w:t>
      </w:r>
      <w:r>
        <w:t xml:space="preserve">. The result was immediate chaos in currency markets: the franc </w:t>
      </w:r>
      <w:r>
        <w:rPr>
          <w:b/>
          <w:bCs/>
        </w:rPr>
        <w:t>soared nearly 30%</w:t>
      </w:r>
      <w:r>
        <w:t xml:space="preserve"> against the euro within minutes, one of the largest single-day moves of a major currency in history {S:Investopedia2015CHF}. Traders who had bet on the franc’s stability were devastated – several currency brokerages went bankrupt as clients racked up huge losses, and some hedge funds suffered heavy damages. Swiss export companies saw billions wiped off their stock values due to the anticipated hit to their competitiveness. The SNB’s credibility was questioned, but the bank defended the move by saying the policy was no longer sustainable or necessary. This episode is noteworthy in the context of this chapter because it shows the </w:t>
      </w:r>
      <w:r>
        <w:rPr>
          <w:b/>
          <w:bCs/>
        </w:rPr>
        <w:t>reverse side of speculation and policy</w:t>
      </w:r>
      <w:r>
        <w:t xml:space="preserve">: here a </w:t>
      </w:r>
      <w:r>
        <w:rPr>
          <w:i/>
          <w:iCs/>
        </w:rPr>
        <w:t>central bank</w:t>
      </w:r>
      <w:r>
        <w:t xml:space="preserve"> speculated, in a sense, that markets would not overwhelm its defense of a particular level – and when it realized the cost was too high, it capitulated, unleashing pent-up market forces. It underscores how </w:t>
      </w:r>
      <w:r>
        <w:rPr>
          <w:b/>
          <w:bCs/>
        </w:rPr>
        <w:t>policy intent can suddenly change</w:t>
      </w:r>
      <w:r>
        <w:t>, catching markets off-guard and causing turmoil. Unlike other episodes, this was not about attacking a weak currency, but rather a central bank abandoning a strong currency policy, a reminder that unpredictability can cut both ways in global finance.</w:t>
      </w:r>
    </w:p>
    <w:p w14:paraId="00777240" w14:textId="77777777" w:rsidR="00ED2EAC" w:rsidRDefault="00ED2EAC" w:rsidP="00ED2EAC">
      <w:pPr>
        <w:numPr>
          <w:ilvl w:val="0"/>
          <w:numId w:val="1"/>
        </w:numPr>
      </w:pPr>
      <w:r>
        <w:rPr>
          <w:b/>
          <w:bCs/>
        </w:rPr>
        <w:t>2018 (Summer) – Turkish Lira Crisis:</w:t>
      </w:r>
      <w:r>
        <w:t xml:space="preserve"> Turkey faced a sharp </w:t>
      </w:r>
      <w:r>
        <w:rPr>
          <w:b/>
          <w:bCs/>
        </w:rPr>
        <w:t>currency crisis in mid-2018</w:t>
      </w:r>
      <w:r>
        <w:t xml:space="preserve"> when the Turkish lira’s value plummeted amid investor concerns over the country’s economic policies and a bitter diplomatic dispute with the United States. By August 2018, the lira had lost nearly half its value year-to-date, falling to record lows against the dollar. International investors were alarmed by Turkey’s high inflation (above 15%), large private sector foreign-currency debt, and President Recep Tayyip Erdoğan’s unusual stance against raising interest rates. When U.S. President Donald Trump in early August 2018 announced sanctions and tariffs on Turkey (over a detained American pastor), it added fuel to the fire. The Turkish government initially responded with defiance. Erdoğan struck a combative tone, calling the lira’s plunge an </w:t>
      </w:r>
      <w:r>
        <w:rPr>
          <w:b/>
          <w:bCs/>
        </w:rPr>
        <w:t>“economic war”</w:t>
      </w:r>
      <w:r>
        <w:t xml:space="preserve"> on Turkey. He accused foreign forces (often read as the U.S. or nebulous “speculators”) of launching an “economic attack” and even labeled the sudden currency drop as an </w:t>
      </w:r>
      <w:r>
        <w:rPr>
          <w:b/>
          <w:bCs/>
        </w:rPr>
        <w:t>“economic assassination attempt”</w:t>
      </w:r>
      <w:r>
        <w:t xml:space="preserve"> against Turkey {S:AlJazeera2018}. Such rhetoric aimed to </w:t>
      </w:r>
      <w:r>
        <w:lastRenderedPageBreak/>
        <w:t xml:space="preserve">rally nationalist sentiment and deflect blame, casting the currency’s woes as the product of an external conspiracy rather than policy shortcomings. In practice, while U.S. actions did hurt confidence, most economists pointed to </w:t>
      </w:r>
      <w:r>
        <w:rPr>
          <w:b/>
          <w:bCs/>
        </w:rPr>
        <w:t>Turkey’s internal imbalances</w:t>
      </w:r>
      <w:r>
        <w:t xml:space="preserve">: an overheating economy with big current account deficits, the central bank’s lack of autonomy (Erdoğan had pressured it to keep rates low despite soaring inflation), and eroding institutional trust. Ultimately, reality forced Ankara’s hand. In mid-August 2018, Turkey’s central bank sharply </w:t>
      </w:r>
      <w:r>
        <w:rPr>
          <w:b/>
          <w:bCs/>
        </w:rPr>
        <w:t>hiked interest rates</w:t>
      </w:r>
      <w:r>
        <w:t xml:space="preserve"> to 24% (despite Erdoğan’s long-standing opposition to high rates) and the authorities quietly took steps to shore up banks and restrict some currency derivatives trading to stem speculative attacks. These moves stabilized the lira somewhat, though not before the crisis caused substantial damage: inflation spiked to over 20%, Turkish companies struggled to service foreign loans, and the economy tipped into recession. The lira crisis demonstrated how </w:t>
      </w:r>
      <w:r>
        <w:rPr>
          <w:b/>
          <w:bCs/>
        </w:rPr>
        <w:t>markets can rapidly punish a country that they believe is on an unsustainable path</w:t>
      </w:r>
      <w:r>
        <w:t>, and how political leaders might resort to nationalist rhetoric (blaming “foreign speculators” or even social media “economic terrorists,” as Erdoğan did) {S:Guardian2018Lira} to explain a crisis that was largely home-grown. It also showed that when push comes to shove, even reluctant policymakers often implement orthodox measures (rate hikes, fiscal restraint) to appease markets and stop a currency freefall.</w:t>
      </w:r>
    </w:p>
    <w:p w14:paraId="0166A166" w14:textId="77777777" w:rsidR="00ED2EAC" w:rsidRDefault="00ED2EAC" w:rsidP="00ED2EAC">
      <w:pPr>
        <w:numPr>
          <w:ilvl w:val="0"/>
          <w:numId w:val="1"/>
        </w:numPr>
      </w:pPr>
      <w:r>
        <w:rPr>
          <w:b/>
          <w:bCs/>
        </w:rPr>
        <w:t>2022 (Sept–Oct) – UK’s Mini-Budget Bond Crisis:</w:t>
      </w:r>
      <w:r>
        <w:t xml:space="preserve"> In an episode that surprised many for occurring in a traditionally stable, developed market, the United Kingdom suffered a </w:t>
      </w:r>
      <w:r>
        <w:rPr>
          <w:b/>
          <w:bCs/>
        </w:rPr>
        <w:t>bond and currency crisis</w:t>
      </w:r>
      <w:r>
        <w:t xml:space="preserve"> of its own making in the fall of 2022. The trigger was a sweeping </w:t>
      </w:r>
      <w:r>
        <w:rPr>
          <w:b/>
          <w:bCs/>
        </w:rPr>
        <w:t>“mini-budget”</w:t>
      </w:r>
      <w:r>
        <w:t xml:space="preserve"> announced on September 23, 2022, by a new government under Prime Minister Liz Truss and Chancellor Kwasi Kwarteng. The fiscal plan involved </w:t>
      </w:r>
      <w:r>
        <w:rPr>
          <w:b/>
          <w:bCs/>
        </w:rPr>
        <w:t>£45 billion of unfunded tax cuts</w:t>
      </w:r>
      <w:r>
        <w:t xml:space="preserve">, the largest tax reduction package in decades, alongside a costly energy price guarantee – all with no clear plan to finance the measures. Investors, already on edge from high global inflation and rising interest rates, immediately took fright at Britain’s </w:t>
      </w:r>
      <w:r>
        <w:rPr>
          <w:b/>
          <w:bCs/>
        </w:rPr>
        <w:t>heavy borrowing</w:t>
      </w:r>
      <w:r>
        <w:t xml:space="preserve"> needs and the government’s apparent disregard for fiscal sustainability. The markets’ verdict was swift and harsh: the pound sterling </w:t>
      </w:r>
      <w:r>
        <w:rPr>
          <w:b/>
          <w:bCs/>
        </w:rPr>
        <w:t>plunged to its lowest-ever level against the US dollar</w:t>
      </w:r>
      <w:r>
        <w:t xml:space="preserve"> (at one point falling to $1.03, a record low) and yields on UK government bonds (gilts) spiked dramatically {S:Guardian2022UK}. In effect, there was a </w:t>
      </w:r>
      <w:r>
        <w:rPr>
          <w:b/>
          <w:bCs/>
        </w:rPr>
        <w:t>run on the pound and a bond market rout</w:t>
      </w:r>
      <w:r>
        <w:t xml:space="preserve"> reminiscent of an emerging-market crisis, not a G7 economy. Within days, parts of the UK financial system were at breaking point – particularly pension funds that used leverage in gilt markets, which were caught by the spiraling yields. The Bank of England was forced to intervene in late September with an emergency pledge to buy up to £65 billion in long-dated government bonds to restore order {S:Guardian2022UK}. This calmed the markets temporarily, but the fundamental loss of confidence in the government’s course remained. Under intense pressure, the Truss government performed a series of humiliating U-turns: first scrapping the tax cut for the highest earners, then, as market turmoil continued, firing Chancellor Kwarteng and reversing virtually the entire mini-budget. By mid-October, Liz Truss herself resigned </w:t>
      </w:r>
      <w:r>
        <w:lastRenderedPageBreak/>
        <w:t xml:space="preserve">after just 44 days in office, making her the shortest-lived PM in UK history. This fiasco illustrated the formidable power of markets to </w:t>
      </w:r>
      <w:r>
        <w:rPr>
          <w:b/>
          <w:bCs/>
        </w:rPr>
        <w:t>discipline policy “experiments.”</w:t>
      </w:r>
      <w:r>
        <w:t xml:space="preserve"> Truss and Kwarteng had essentially gambled that a bold pro-growth fiscal stimulus (and tax giveaway) would be welcomed, but they </w:t>
      </w:r>
      <w:r>
        <w:rPr>
          <w:b/>
          <w:bCs/>
        </w:rPr>
        <w:t>“broke the golden rule”</w:t>
      </w:r>
      <w:r>
        <w:t xml:space="preserve"> in the eyes of investors by ignoring inflationary risks and the need for financing. The IMF even issued a rare rebuke of a G7 member’s policies, warning that unfunded tax cuts at that juncture were ill-advised – further undermining credibility {S:Guardian2022UK}. British commentators referred to the surge in UK borrowing costs as a “</w:t>
      </w:r>
      <w:r>
        <w:rPr>
          <w:b/>
          <w:bCs/>
        </w:rPr>
        <w:t>moron premium</w:t>
      </w:r>
      <w:r>
        <w:t xml:space="preserve">,” implying that the country was paying the price for the government’s stupidity {S:Guardian2022UK}. Importantly, while this crisis saw its share of finger-pointing (some in Truss’s camp tried to blame global conditions or even market manipulators for the reaction), the consensus was clear that this was </w:t>
      </w:r>
      <w:r>
        <w:rPr>
          <w:b/>
          <w:bCs/>
        </w:rPr>
        <w:t>self-inflicted</w:t>
      </w:r>
      <w:r>
        <w:t xml:space="preserve">. The UK had long enjoyed a reputation for sound economic management; suddenly it was being compared to an “emerging market” with a credibility problem {S:Guardian2022UK}. The episode serves as a modern reminder that even in robust economies, </w:t>
      </w:r>
      <w:r>
        <w:rPr>
          <w:b/>
          <w:bCs/>
        </w:rPr>
        <w:t>markets can revolt if policymakers are seen as reckless</w:t>
      </w:r>
      <w:r>
        <w:t>, and that no country is fully shielded from the judgment of bondholders and currency traders. Notably, once Truss resigned and a more fiscally orthodox leadership took over, UK markets quickly stabilized – an implicit vindication of the market’s role in steering policy back to a perceived sustainable path.</w:t>
      </w:r>
    </w:p>
    <w:p w14:paraId="594A769C" w14:textId="77777777" w:rsidR="00ED2EAC" w:rsidRDefault="00ED2EAC" w:rsidP="00ED2EAC">
      <w:pPr>
        <w:pStyle w:val="FirstParagraph"/>
      </w:pPr>
      <w:r>
        <w:rPr>
          <w:b/>
          <w:bCs/>
        </w:rPr>
        <w:t>The Push-and-Pull of Policy and Speculation:</w:t>
      </w:r>
      <w:r>
        <w:t xml:space="preserve"> The timeline above underscores recurring patterns. Time after time, governments have tried to </w:t>
      </w:r>
      <w:r>
        <w:rPr>
          <w:b/>
          <w:bCs/>
        </w:rPr>
        <w:t>steer economic outcomes</w:t>
      </w:r>
      <w:r>
        <w:t xml:space="preserve"> – be it through fixed exchange rates, heavy borrowing, or unorthodox policies – and time after time, markets have tested those decisions. Sometimes the test ends in a crash or a forced reversal of policy (as in 1992 Britain or 2022 Britain, 1994 Mexico, 1997 Thailand, 2018 Turkey). Occasionally, policymakers manage to ride out the storm or even harness market forces to their advantage (as in 2012 with the ECB’s intervention quelling speculation, or Malaysia’s successful stand against hedge funds in 1998). The adversarial narrative of </w:t>
      </w:r>
      <w:r>
        <w:rPr>
          <w:b/>
          <w:bCs/>
        </w:rPr>
        <w:t>“speculators versus states”</w:t>
      </w:r>
      <w:r>
        <w:t xml:space="preserve"> often captures headlines during these dramas, but it is an oversimplification. We need to disentangle </w:t>
      </w:r>
      <w:r>
        <w:rPr>
          <w:b/>
          <w:bCs/>
        </w:rPr>
        <w:t>documented facts</w:t>
      </w:r>
      <w:r>
        <w:t xml:space="preserve"> from </w:t>
      </w:r>
      <w:r>
        <w:rPr>
          <w:b/>
          <w:bCs/>
        </w:rPr>
        <w:t>politically convenient fictions</w:t>
      </w:r>
      <w:r>
        <w:t xml:space="preserve">. For instance, it is documented that George Soros’s fund sold short more than $10 billion worth of pound sterling in 1992 and profited handsomely {S:Guardian2012BlackWed}. It is interpretation (and one long perpetuated by tabloid media in the UK) that Soros “broke” the Bank of England single-handedly out of malice or greed; a fuller view acknowledges that Britain’s economic conditions made the pound a ripe target and that many investors (not just Soros) participated in the attack. Similarly, it is documented that </w:t>
      </w:r>
      <w:r>
        <w:rPr>
          <w:b/>
          <w:bCs/>
        </w:rPr>
        <w:t>Malaysia’s ringgit lost 50% of its value</w:t>
      </w:r>
      <w:r>
        <w:t xml:space="preserve"> in 1997–98 and that some foreign funds did pull money out quickly. The interpretation advanced by Mahathir was that a Jewish financier conspired to impoverish Southeast Asian nations – a claim for which no evidence was ever produced, and which skirted over flaws in Malaysia’s own economy (like an overextended banking sector and property bubble). Indeed, as noted, research indicated Soros’s funds weren’t even shorting the ringgit during its collapse {S:NBER1998}.</w:t>
      </w:r>
    </w:p>
    <w:p w14:paraId="18B518A0" w14:textId="77777777" w:rsidR="00ED2EAC" w:rsidRDefault="00ED2EAC" w:rsidP="00ED2EAC">
      <w:pPr>
        <w:pStyle w:val="BodyText"/>
      </w:pPr>
      <w:r>
        <w:lastRenderedPageBreak/>
        <w:t xml:space="preserve">In several crises, </w:t>
      </w:r>
      <w:r>
        <w:rPr>
          <w:b/>
          <w:bCs/>
        </w:rPr>
        <w:t>allegations of nefarious intent</w:t>
      </w:r>
      <w:r>
        <w:t xml:space="preserve"> have later given way to a more nuanced consensus: that speculators mostly ride waves that originate from structural cracks in the system. However, there are cases that remain contentious. One such grey area is the concept of </w:t>
      </w:r>
      <w:r>
        <w:rPr>
          <w:b/>
          <w:bCs/>
        </w:rPr>
        <w:t>“attacks”</w:t>
      </w:r>
      <w:r>
        <w:t xml:space="preserve"> on a currency – coordinated or not. Hedge funds and banks often argue they are simply profit-seekers responding to incentives; if a currency peg looks fragile, they have every right to bet against it. But governments have sometimes accused them of </w:t>
      </w:r>
      <w:r>
        <w:rPr>
          <w:b/>
          <w:bCs/>
        </w:rPr>
        <w:t>manufacturing those fragilities or even spreading rumors to destabilize markets</w:t>
      </w:r>
      <w:r>
        <w:t xml:space="preserve">. For example, during the 1997 Hong Kong speculative attack, officials accused some funds of shorting the Hong Kong dollar </w:t>
      </w:r>
      <w:r>
        <w:rPr>
          <w:i/>
          <w:iCs/>
        </w:rPr>
        <w:t>and</w:t>
      </w:r>
      <w:r>
        <w:t xml:space="preserve"> the stock market simultaneously, hoping that a stock crash would pressure authorities to devalue. The Hong Kong Monetary Authority responded by buying stocks (an unprecedented move) to punish the speculators – and it worked, inflicting large losses on some aggressive hedge funds and preserving the currency peg at that time. That episode remains debated: did the funds cross a line into market manipulation, or were they just aggressively pursuing a logical strategy? </w:t>
      </w:r>
      <w:r>
        <w:rPr>
          <w:b/>
          <w:bCs/>
        </w:rPr>
        <w:t>The line between smart speculation and manipulation can blur</w:t>
      </w:r>
      <w:r>
        <w:t xml:space="preserve"> in fast-moving markets, and legal systems have struggled with this distinction. Generally, short selling and capital flight are legal in open markets; it’s only when collusion, insider information, or fraud come into play that speculation becomes a crime (as some autocratic regimes have labeled it by default).</w:t>
      </w:r>
    </w:p>
    <w:p w14:paraId="767E6419" w14:textId="77777777" w:rsidR="00ED2EAC" w:rsidRDefault="00ED2EAC" w:rsidP="00ED2EAC">
      <w:pPr>
        <w:pStyle w:val="BodyText"/>
      </w:pPr>
      <w:r>
        <w:rPr>
          <w:b/>
          <w:bCs/>
        </w:rPr>
        <w:t>Documented Transactions vs. Interpretations:</w:t>
      </w:r>
      <w:r>
        <w:t xml:space="preserve"> To clearly separate fact from conjecture, it’s useful to highlight specific known transactions or events, then juxtapose them with how different parties interpreted them. Consider again </w:t>
      </w:r>
      <w:r>
        <w:rPr>
          <w:b/>
          <w:bCs/>
        </w:rPr>
        <w:t>Black Wednesday 1992</w:t>
      </w:r>
      <w:r>
        <w:t>:</w:t>
      </w:r>
    </w:p>
    <w:p w14:paraId="69D31934" w14:textId="77777777" w:rsidR="00ED2EAC" w:rsidRDefault="00ED2EAC" w:rsidP="00ED2EAC">
      <w:pPr>
        <w:numPr>
          <w:ilvl w:val="0"/>
          <w:numId w:val="1"/>
        </w:numPr>
      </w:pPr>
      <w:r>
        <w:rPr>
          <w:i/>
          <w:iCs/>
        </w:rPr>
        <w:t>Documented facts</w:t>
      </w:r>
      <w:r>
        <w:t>: The UK Treasury raised interest rates twice (from 10% to 12%, then announced 15%) on Sept 16, 1992, and the Bank of England expended at least £27 billion in reserves that day in a futile defense of the pound. George Soros’s Quantum Fund was a major seller of pounds; Soros later confirmed he had built a massive short position and earned roughly $1 billion in profit. The pound fell from around 2.80 German marks to below 2.50 once freed from the ERM trading band {S:Guardian2012BlackWed}.</w:t>
      </w:r>
    </w:p>
    <w:p w14:paraId="627ABF1F" w14:textId="77777777" w:rsidR="00ED2EAC" w:rsidRDefault="00ED2EAC" w:rsidP="00ED2EAC">
      <w:pPr>
        <w:numPr>
          <w:ilvl w:val="0"/>
          <w:numId w:val="1"/>
        </w:numPr>
      </w:pPr>
      <w:r>
        <w:rPr>
          <w:i/>
          <w:iCs/>
        </w:rPr>
        <w:t>Interpretations at the time</w:t>
      </w:r>
      <w:r>
        <w:t>: The Conservative government under John Major framed the collapse as a result of “market forces” beyond control, though privately officials blamed the Bundesbank (Germany’s central bank) for not supporting the pound and cursed speculators for betting against their own country. Newspapers ran headlines demonizing Soros as “the man who broke the Bank,” suggesting a quasi-moral failing in betting against the Queen’s currency. Soros, for his part, argued he simply saw an obvious imbalance and acted as any rational investor would. Over the longer term, the interpretation of Black Wednesday shifted: rather than a tale of villainous speculators, many Britons came to see it as a lesson in policy hubris (entering the ERM at an unsustainable rate) and a blessing in disguise that paved the way for economic recovery under a floating pound.</w:t>
      </w:r>
    </w:p>
    <w:p w14:paraId="1A03034C" w14:textId="77777777" w:rsidR="00ED2EAC" w:rsidRDefault="00ED2EAC" w:rsidP="00ED2EAC">
      <w:pPr>
        <w:pStyle w:val="FirstParagraph"/>
      </w:pPr>
      <w:r>
        <w:lastRenderedPageBreak/>
        <w:t xml:space="preserve">A different example: </w:t>
      </w:r>
      <w:r>
        <w:rPr>
          <w:b/>
          <w:bCs/>
        </w:rPr>
        <w:t>The 2012 Swiss Central Bank Scandal</w:t>
      </w:r>
      <w:r>
        <w:t xml:space="preserve"> involving Philipp Hildebrand, the SNB chairman.</w:t>
      </w:r>
    </w:p>
    <w:p w14:paraId="00A237D4" w14:textId="77777777" w:rsidR="00ED2EAC" w:rsidRDefault="00ED2EAC" w:rsidP="00ED2EAC">
      <w:pPr>
        <w:numPr>
          <w:ilvl w:val="0"/>
          <w:numId w:val="1"/>
        </w:numPr>
      </w:pPr>
      <w:r>
        <w:rPr>
          <w:i/>
          <w:iCs/>
        </w:rPr>
        <w:t>Documented facts</w:t>
      </w:r>
      <w:r>
        <w:t>: In August 2011, Hildebrand’s wife Kashya made a personal currency trade, buying about $400,000 worth of U.S. dollars while the Swiss franc was extremely strong {S:Reuters2012SNB}. Less than a month later, on September 6, 2011, the Swiss National Bank, led by Hildebrand, announced a major policy shift: it would enforce a cap to prevent the franc from rising beyond 1.20 per euro. This policy caused the franc to weaken (which was the intent), meaning the dollar Ms. Hildebrand bought became more valuable in franc terms. When this sequence of events became public in late 2011, a political firestorm ensued in Switzerland. Hildebrand initially claimed that the trade was made by his wife without his knowledge – effectively asserting it was coincidence and that he hadn’t breached any rules, since he hadn’t personally profited knowingly. He even produced some internal bank compliance documents that he said cleared him at the time.</w:t>
      </w:r>
    </w:p>
    <w:p w14:paraId="6A4482D9" w14:textId="77777777" w:rsidR="00ED2EAC" w:rsidRDefault="00ED2EAC" w:rsidP="00ED2EAC">
      <w:pPr>
        <w:numPr>
          <w:ilvl w:val="0"/>
          <w:numId w:val="1"/>
        </w:numPr>
      </w:pPr>
      <w:r>
        <w:rPr>
          <w:i/>
          <w:iCs/>
        </w:rPr>
        <w:t>Interpretations</w:t>
      </w:r>
      <w:r>
        <w:t xml:space="preserve">: Despite no hard evidence that Hildebrand orchestrated the trade for profit, many in Switzerland viewed the situation as an unethical conflict of interest at best. The </w:t>
      </w:r>
      <w:r>
        <w:rPr>
          <w:b/>
          <w:bCs/>
        </w:rPr>
        <w:t>interpretation in much of the media and by political critics</w:t>
      </w:r>
      <w:r>
        <w:t xml:space="preserve"> was that Hildebrand either had </w:t>
      </w:r>
      <w:r>
        <w:rPr>
          <w:b/>
          <w:bCs/>
        </w:rPr>
        <w:t>insider knowledge</w:t>
      </w:r>
      <w:r>
        <w:t xml:space="preserve"> or at least </w:t>
      </w:r>
      <w:r>
        <w:rPr>
          <w:b/>
          <w:bCs/>
        </w:rPr>
        <w:t>exercised poor judgment</w:t>
      </w:r>
      <w:r>
        <w:t xml:space="preserve"> in not preventing his family from trading currencies during such a sensitive period. Under intense public and political pressure – Parliament was in an uproar and one right-wing politician had obtained leaked bank documents on the trades – Hildebrand resigned in January 2012 “to protect the integrity of the central bank,” saying he could not irrefutably prove he was unaware of the trade {S:Reuters2012SNB}. In his resignation speech, he maintained his innocence but acknowledged that a central bank’s credibility is paramount. Here, the documented transaction (the wife’s dollar purchase) was interpreted by a skeptical public as likely a case of either tacit or explicit insider dealing. Hildebrand’s own interpretation was that it was an unfortunate mistake and a baseless accusation, but ultimately perception won out. This mini-scandal had macro implications: it underscored that even central bankers must be above suspicion in their personal financial dealings, especially when they wield enormous market influence. It also perhaps made other officials think twice about even the appearance of profiteering from policy moves.</w:t>
      </w:r>
    </w:p>
    <w:p w14:paraId="615CBFEF" w14:textId="77777777" w:rsidR="00ED2EAC" w:rsidRDefault="00ED2EAC" w:rsidP="00ED2EAC">
      <w:pPr>
        <w:pStyle w:val="FirstParagraph"/>
      </w:pPr>
      <w:r>
        <w:t xml:space="preserve">Now consider an emerging-market context: </w:t>
      </w:r>
      <w:r>
        <w:rPr>
          <w:b/>
          <w:bCs/>
        </w:rPr>
        <w:t>Ukraine 2014–2015</w:t>
      </w:r>
      <w:r>
        <w:t xml:space="preserve">. After the 2014 revolution and Russia’s annexation of Crimea, Ukraine’s currency (hryvnia) plummeted and the economy went into crisis. In subsequent years, allegations surfaced that some insiders profited from this turmoil. One notable claim came in 2019 from a Ukrainian lawmaker, who accused then-President Petro Poroshenko of </w:t>
      </w:r>
      <w:r>
        <w:rPr>
          <w:b/>
          <w:bCs/>
        </w:rPr>
        <w:t>profiting from currency speculation</w:t>
      </w:r>
      <w:r>
        <w:t xml:space="preserve"> during the crisis using insider information {S:VOA2019Ukraine}.</w:t>
      </w:r>
    </w:p>
    <w:p w14:paraId="3E3C17DB" w14:textId="77777777" w:rsidR="00ED2EAC" w:rsidRDefault="00ED2EAC" w:rsidP="00ED2EAC">
      <w:pPr>
        <w:numPr>
          <w:ilvl w:val="0"/>
          <w:numId w:val="1"/>
        </w:numPr>
      </w:pPr>
      <w:r>
        <w:rPr>
          <w:i/>
          <w:iCs/>
        </w:rPr>
        <w:t>Documented facts</w:t>
      </w:r>
      <w:r>
        <w:t xml:space="preserve">: The hryvnia indeed lost huge value in 2014–2015 (from roughly 8 UAH per USD to about 25 UAH per USD), and many Ukrainian businesses and banks </w:t>
      </w:r>
      <w:r>
        <w:lastRenderedPageBreak/>
        <w:t xml:space="preserve">with the ability to move assets did so, converting hryvnia to dollars or euros before each devaluation step. Poroshenko, a wealthy businessman-turned-president, had extensive business holdings. There isn’t publicly available hard evidence detailing Poroshenko’s personal trading, but </w:t>
      </w:r>
      <w:r>
        <w:rPr>
          <w:b/>
          <w:bCs/>
        </w:rPr>
        <w:t>suspicions arose</w:t>
      </w:r>
      <w:r>
        <w:t xml:space="preserve"> because some of his companies or associates were said to weather the devaluation comfortably.</w:t>
      </w:r>
    </w:p>
    <w:p w14:paraId="226BF2D8" w14:textId="77777777" w:rsidR="00ED2EAC" w:rsidRDefault="00ED2EAC" w:rsidP="00ED2EAC">
      <w:pPr>
        <w:numPr>
          <w:ilvl w:val="0"/>
          <w:numId w:val="1"/>
        </w:numPr>
      </w:pPr>
      <w:r>
        <w:rPr>
          <w:i/>
          <w:iCs/>
        </w:rPr>
        <w:t>Interpretations/allegations</w:t>
      </w:r>
      <w:r>
        <w:t>: Political opponents like MP Vitaliy Kupriy alleged that Poroshenko’s firms benefited by converting cash to foreign currency or via import-export schemes at the advantageous exchange rates before policies shifted {S:VOA2019Ukraine}. These are serious charges of using presidential inside knowledge for gain. Poroshenko denied wrongdoing, and no formal charges have proven such speculation. It remains in the realm of allegation. The key point is that in countries with weaker institutions, major currency shifts often become mired in accusations that those in power turned public pain into personal gain. Whether or not those accusations hold water, they contribute to public cynicism. In Ukraine’s case, years of corruption scandals made the currency speculation story believable to many citizens, illustrating how a lack of transparency can taint even legitimate market actions with an appearance of impropriety.</w:t>
      </w:r>
    </w:p>
    <w:p w14:paraId="22500A7C" w14:textId="77777777" w:rsidR="00ED2EAC" w:rsidRDefault="00ED2EAC" w:rsidP="00ED2EAC">
      <w:pPr>
        <w:pStyle w:val="FirstParagraph"/>
      </w:pPr>
      <w:r>
        <w:rPr>
          <w:b/>
          <w:bCs/>
        </w:rPr>
        <w:t>Macroeconomic Effects: Myths and Realities:</w:t>
      </w:r>
      <w:r>
        <w:t xml:space="preserve"> A central question is: when currency speculation happens, what are the </w:t>
      </w:r>
      <w:r>
        <w:rPr>
          <w:b/>
          <w:bCs/>
        </w:rPr>
        <w:t>macro-level effects</w:t>
      </w:r>
      <w:r>
        <w:t xml:space="preserve"> – and to what extent can we blame the speculators for them? Historically, speculative attacks have often been the messengers of bad news, not the sole cause. For example, the macro effect of Britain’s Black Wednesday exit was initially higher inflation (as imports became pricier) and a loss of prestige, but arguably it spared Britain a deeper recession by allowing lower interest rates thereafter. The speculators didn’t cause Britain’s recession; one could say they actually relieved pressure by forcing an overvaluation to correct, although they certainly caused short-term chaos and political fallout.</w:t>
      </w:r>
    </w:p>
    <w:p w14:paraId="73AEEB7E" w14:textId="77777777" w:rsidR="00ED2EAC" w:rsidRDefault="00ED2EAC" w:rsidP="00ED2EAC">
      <w:pPr>
        <w:pStyle w:val="BodyText"/>
      </w:pPr>
      <w:r>
        <w:t xml:space="preserve">In Asia, the macro effects were brutal: currencies that lost half or more of their value propelled inflation (Indonesia saw inflation above 50% in 1998), wiped out companies that had debts in foreign currency, and caused </w:t>
      </w:r>
      <w:r>
        <w:rPr>
          <w:b/>
          <w:bCs/>
        </w:rPr>
        <w:t>GDP contractions of 7-15%</w:t>
      </w:r>
      <w:r>
        <w:t xml:space="preserve"> in the worst-hit countries {S:Brookings2007Indonesia}. Unemployment and poverty skyrocketed. Who or what caused that? Many economists would attribute the roots to policy – for instance, the </w:t>
      </w:r>
      <w:r>
        <w:rPr>
          <w:b/>
          <w:bCs/>
        </w:rPr>
        <w:t>heavy short-term borrowing and dollar-pegged exchange rates</w:t>
      </w:r>
      <w:r>
        <w:t xml:space="preserve"> in those countries created a ticking time bomb. Once confidence was lost, the bomb exploded. Speculators may have lit the fuse by withdrawing funds or shorting currencies, but the explosion’s magnitude was amplified by the built-up vulnerabilities (like banks that could not survive a currency drop because they had unhedged foreign loans). Some economists, like Nobel laureate Joseph Stiglitz, later criticized the IMF’s handling too, arguing that excessively tight monetary and fiscal policy demands in crisis countries made recessions worse – thus the “macro effects” weren’t only from speculation but also from the policy response to speculation. This suggests a nuanced view: </w:t>
      </w:r>
      <w:r>
        <w:rPr>
          <w:b/>
          <w:bCs/>
        </w:rPr>
        <w:t>market panic + policy mistakes in response = worst outcomes</w:t>
      </w:r>
      <w:r>
        <w:t>.</w:t>
      </w:r>
    </w:p>
    <w:p w14:paraId="188D46AC" w14:textId="77777777" w:rsidR="00ED2EAC" w:rsidRDefault="00ED2EAC" w:rsidP="00ED2EAC">
      <w:pPr>
        <w:pStyle w:val="BodyText"/>
      </w:pPr>
      <w:r>
        <w:lastRenderedPageBreak/>
        <w:t xml:space="preserve">It’s also instructive to see cases where speculative pressure did </w:t>
      </w:r>
      <w:r>
        <w:rPr>
          <w:i/>
          <w:iCs/>
        </w:rPr>
        <w:t>not</w:t>
      </w:r>
      <w:r>
        <w:t xml:space="preserve"> result in disaster, to understand macro impact. </w:t>
      </w:r>
      <w:r>
        <w:rPr>
          <w:b/>
          <w:bCs/>
        </w:rPr>
        <w:t>Hong Kong in 1998</w:t>
      </w:r>
      <w:r>
        <w:t xml:space="preserve">: it fended off the attack and kept its currency peg. The cost was a period of high interest rates and a policy-driven stock market rally that later deflated – but Hong Kong avoided the currency crash others had. Its economy still went into recession due to the regional downturn, but arguably less severely. Macro effect: speculation tested Hong Kong’s resolve, but firm policy (and ample reserves) averted a break. </w:t>
      </w:r>
      <w:r>
        <w:rPr>
          <w:b/>
          <w:bCs/>
        </w:rPr>
        <w:t>China</w:t>
      </w:r>
      <w:r>
        <w:t xml:space="preserve"> in both 1997–98 and in later years (including 2015) also resisted speculative outflows, thanks in part to a closed capital account and giant reserves. In those cases, you could say the macro effect of attempted speculation was muted by buffers and controls. China’s economy slowed but didn’t collapse in sync with Asia in 1998.</w:t>
      </w:r>
    </w:p>
    <w:p w14:paraId="7EDCFEBC" w14:textId="77777777" w:rsidR="00ED2EAC" w:rsidRDefault="00ED2EAC" w:rsidP="00ED2EAC">
      <w:pPr>
        <w:pStyle w:val="BodyText"/>
      </w:pPr>
      <w:r>
        <w:t xml:space="preserve">Another interesting macro story: </w:t>
      </w:r>
      <w:r>
        <w:rPr>
          <w:b/>
          <w:bCs/>
        </w:rPr>
        <w:t>the role of speculators in possibly exacerbating booms</w:t>
      </w:r>
      <w:r>
        <w:t xml:space="preserve">. So far, we’ve discussed them bursting pegs or bubbles. But what about when markets are rising – do speculators inflate asset bubbles that then have macro consequences when they pop? Some critics point to the 2007–2008 food and oil price spikes, alleging that financial speculation in commodities futures drove prices to unnatural highs, which then contributed to global inflation and even social unrest (e.g. food riots in some countries). Others argue those price moves mostly reflected real supply-demand shifts and loose monetary policy, with speculation only a minor amplifier. While this is tangential to currency markets, it underscores the broader debate: can speculation distort prices far from equilibrium and hurt the real economy, or does it more often correct mispricings and add liquidity? In academic circles, there’s support for both views: the </w:t>
      </w:r>
      <w:r>
        <w:rPr>
          <w:b/>
          <w:bCs/>
        </w:rPr>
        <w:t>efficient market hypothesis</w:t>
      </w:r>
      <w:r>
        <w:t xml:space="preserve"> would claim speculators generally make prices more accurate, while the </w:t>
      </w:r>
      <w:r>
        <w:rPr>
          <w:b/>
          <w:bCs/>
        </w:rPr>
        <w:t>Keynesian/behavioral</w:t>
      </w:r>
      <w:r>
        <w:t xml:space="preserve"> view holds that herding and feedback loops can drive prices away from fundamentals (leading to bubbles and crashes). Real-world evidence shows that in calm times, speculation indeed helps markets function (providing liquidity, allowing risk transfer). But in extreme times, speculation can feed momentum – either up or down – overshooting fundamentals. Several crises in this chapter show overshooting: the Indonesian rupiah didn’t “need” to go from 2,500 per dollar to 15,000+ at its worst – that arguably overshot any fundamental value, as subsequent recovery to ~8,000 proved. But at the panic’s peak, no one wanted rupiah at any reasonable price, because fear took hold.</w:t>
      </w:r>
    </w:p>
    <w:p w14:paraId="7F2572B8" w14:textId="77777777" w:rsidR="00ED2EAC" w:rsidRDefault="00ED2EAC" w:rsidP="00ED2EAC">
      <w:pPr>
        <w:pStyle w:val="BodyText"/>
      </w:pPr>
      <w:r>
        <w:rPr>
          <w:b/>
          <w:bCs/>
        </w:rPr>
        <w:t>Currency Speculation as a Policy Tool?</w:t>
      </w:r>
      <w:r>
        <w:t xml:space="preserve"> It’s worth noting that speculation isn’t always a private-sector game; occasionally, governments and central banks themselves become speculators in disguise. We saw how Hong Kong’s government bought stocks to bust speculators – effectively speculating in equities with public funds to achieve a policy goal. Central banks regularly engage in </w:t>
      </w:r>
      <w:r>
        <w:rPr>
          <w:b/>
          <w:bCs/>
        </w:rPr>
        <w:t>currency intervention</w:t>
      </w:r>
      <w:r>
        <w:t xml:space="preserve"> – buying or selling currencies – which is essentially speculative from a certain lens, though done with policy objectives. In 1992, the </w:t>
      </w:r>
      <w:r>
        <w:rPr>
          <w:b/>
          <w:bCs/>
        </w:rPr>
        <w:t>Bundesbank</w:t>
      </w:r>
      <w:r>
        <w:t xml:space="preserve"> arguably speculated against the pound by withholding support, effectively betting the UK would be better off devaluing (a bet that proved right in retrospect). During the </w:t>
      </w:r>
      <w:r>
        <w:rPr>
          <w:b/>
          <w:bCs/>
        </w:rPr>
        <w:t>Plaza Accord</w:t>
      </w:r>
      <w:r>
        <w:t xml:space="preserve">, governments explicitly speculated against the dollar. The </w:t>
      </w:r>
      <w:r>
        <w:rPr>
          <w:b/>
          <w:bCs/>
        </w:rPr>
        <w:t>flip side</w:t>
      </w:r>
      <w:r>
        <w:t xml:space="preserve"> is that some central banks have lost fortunes trying to bet against market momentum: the Bank of England’s losses on Black Wednesday, or the Bank of </w:t>
      </w:r>
      <w:r>
        <w:lastRenderedPageBreak/>
        <w:t>Thailand’s billions spent before devaluing in 1997, ended up being costly failed speculations to defend pegs. So, the boundary between “policymaker” and “speculator” can blur. Each is taking positions based on a view of value – one to enforce it, one to test it. When policy is credible and fundamentals support it, speculators often lose (many did lose betting against Hong Kong’s peg, or shorting the euro in 2012 after the ECB drew a line). When policy lacks credibility or is fundamentally flawed, speculators win, and perhaps do so with a public service of ending an untenable status quo (as some free-market voices framed Soros’s actions – he administered the “shock therapy” politicians avoided).</w:t>
      </w:r>
    </w:p>
    <w:p w14:paraId="5AAF09EF" w14:textId="77777777" w:rsidR="00ED2EAC" w:rsidRDefault="00ED2EAC" w:rsidP="00ED2EAC">
      <w:pPr>
        <w:pStyle w:val="BodyText"/>
      </w:pPr>
      <w:r>
        <w:rPr>
          <w:b/>
          <w:bCs/>
        </w:rPr>
        <w:t>Long-Term Consequences and Lessons:</w:t>
      </w:r>
      <w:r>
        <w:t xml:space="preserve"> Over the past decades, a few key lessons have emerged from these repeated dances of markets and policy:</w:t>
      </w:r>
    </w:p>
    <w:p w14:paraId="081CF0DE" w14:textId="77777777" w:rsidR="00ED2EAC" w:rsidRDefault="00ED2EAC" w:rsidP="00ED2EAC">
      <w:pPr>
        <w:numPr>
          <w:ilvl w:val="0"/>
          <w:numId w:val="2"/>
        </w:numPr>
      </w:pPr>
      <w:r>
        <w:rPr>
          <w:b/>
          <w:bCs/>
        </w:rPr>
        <w:t>Transparency and Sound Fundamentals Reduce Vulnerability:</w:t>
      </w:r>
      <w:r>
        <w:t xml:space="preserve"> Countries with more transparent finances, lower debt, and sustainable exchange rate regimes are less likely to face sudden speculative attacks. For instance, after the 1997–98 debacles, many emerging markets built up large foreign exchange reserves as self-insurance and reduced their short-term dollar debts. This paid off in later stress episodes (e.g., 2008) as they had buffers and didn’t crumble at the first sign of trouble. Markets are less inclined to attack when the odds of success seem low or the target has ample defenses.</w:t>
      </w:r>
    </w:p>
    <w:p w14:paraId="59511C5C" w14:textId="77777777" w:rsidR="00ED2EAC" w:rsidRDefault="00ED2EAC" w:rsidP="00ED2EAC">
      <w:pPr>
        <w:numPr>
          <w:ilvl w:val="0"/>
          <w:numId w:val="2"/>
        </w:numPr>
      </w:pPr>
      <w:r>
        <w:rPr>
          <w:b/>
          <w:bCs/>
        </w:rPr>
        <w:t>Fixed Exchange Rates Remain a Pressure Point:</w:t>
      </w:r>
      <w:r>
        <w:t xml:space="preserve"> The allure of a stable currency value (to fight inflation or encourage trade) has to be balanced against the risk of becoming a one-way bet. The 1990s are littered with broken pegs. By contrast, countries with floating rates (or very credibly fixed ones, like hard currency boards or euro members with support) fared better. The Eurozone crisis showed that even without nominal exchange rates, markets will find another outlet (bond yields) to express doubts. So whatever the “peg” – be it a currency value, an interest rate cap, etc. – maintaining it against market sentiment can be extremely costly or impossible unless fundamental conditions support it.</w:t>
      </w:r>
    </w:p>
    <w:p w14:paraId="17B9D99B" w14:textId="77777777" w:rsidR="00ED2EAC" w:rsidRDefault="00ED2EAC" w:rsidP="00ED2EAC">
      <w:pPr>
        <w:numPr>
          <w:ilvl w:val="0"/>
          <w:numId w:val="2"/>
        </w:numPr>
      </w:pPr>
      <w:r>
        <w:rPr>
          <w:b/>
          <w:bCs/>
        </w:rPr>
        <w:t>Capital Controls as an Emergency Brake:</w:t>
      </w:r>
      <w:r>
        <w:t xml:space="preserve"> Though long vilified in orthodox economics, capital controls have, in select instances, provided relief. Malaysia 1998, Iceland 2008, and some others used temporary controls to stabilize situations. The lesson isn’t that controls are painless or universally good – they can create distortions and scare investors – but in a </w:t>
      </w:r>
      <w:r>
        <w:rPr>
          <w:b/>
          <w:bCs/>
        </w:rPr>
        <w:t>crisis scenario</w:t>
      </w:r>
      <w:r>
        <w:t>, when markets are in a frenzy, a well-designed temporary control (with a clear exit strategy) can buy breathing room. The IMF, which once pushed absolute liberalization, has come to accept that “capital flow management measures” can be part of the toolkit in some cases. Still, reliance on controls carries reputational costs and is no substitute for underlying reforms.</w:t>
      </w:r>
    </w:p>
    <w:p w14:paraId="4FDDBD2A" w14:textId="77777777" w:rsidR="00ED2EAC" w:rsidRDefault="00ED2EAC" w:rsidP="00ED2EAC">
      <w:pPr>
        <w:numPr>
          <w:ilvl w:val="0"/>
          <w:numId w:val="2"/>
        </w:numPr>
      </w:pPr>
      <w:r>
        <w:rPr>
          <w:b/>
          <w:bCs/>
        </w:rPr>
        <w:t>Speculators as Scapegoats – Political Theater vs. Reality:</w:t>
      </w:r>
      <w:r>
        <w:t xml:space="preserve"> Politicians facing public anger often find it useful to blame external forces. This is a timeless tactic. In 1997, </w:t>
      </w:r>
      <w:r>
        <w:rPr>
          <w:b/>
          <w:bCs/>
        </w:rPr>
        <w:t>Asian leaders blamed Soros</w:t>
      </w:r>
      <w:r>
        <w:t xml:space="preserve">; in 2018, </w:t>
      </w:r>
      <w:r>
        <w:rPr>
          <w:b/>
          <w:bCs/>
        </w:rPr>
        <w:t>Erdoğan blamed America</w:t>
      </w:r>
      <w:r>
        <w:t xml:space="preserve">; in 2022, </w:t>
      </w:r>
      <w:r>
        <w:lastRenderedPageBreak/>
        <w:t xml:space="preserve">some British politicians initially blamed “city traders” or even computer algorithms for the gilt sell-off. Such explanations can contain grains of truth (global conditions or specific actors do play roles), but they often ignore self-inflicted causes. The lesson is to approach such claims with skepticism. As a rule, whenever you hear that one person or a cabal </w:t>
      </w:r>
      <w:r>
        <w:rPr>
          <w:b/>
          <w:bCs/>
        </w:rPr>
        <w:t>“caused”</w:t>
      </w:r>
      <w:r>
        <w:t xml:space="preserve"> a nationwide crisis, it’s worth examining the economic backdrop. More often, speculators accelerated a crash that was coming anyway. However, sometimes scapegoating can have policy consequences: it may lead to </w:t>
      </w:r>
      <w:r>
        <w:rPr>
          <w:b/>
          <w:bCs/>
        </w:rPr>
        <w:t>financial reforms or restrictions</w:t>
      </w:r>
      <w:r>
        <w:t>. For instance, the Asian crisis spurred efforts to regulate hedge funds more (though these largely fizzled out by the mid-2000s). In Turkey, Erdoğan’s rhetoric against an “interest rate lobby” (his term for those urging higher rates) has influenced policy – arguably to Turkey’s detriment, as delays in raising rates have only fueled worse inflation and instability, perpetuating the cycle. So while externalizing blame might score political points domestically, it can lead to misdiagnosing the problem and delaying necessary corrections.</w:t>
      </w:r>
    </w:p>
    <w:p w14:paraId="08AED465" w14:textId="77777777" w:rsidR="00ED2EAC" w:rsidRDefault="00ED2EAC" w:rsidP="00ED2EAC">
      <w:pPr>
        <w:numPr>
          <w:ilvl w:val="0"/>
          <w:numId w:val="2"/>
        </w:numPr>
      </w:pPr>
      <w:r>
        <w:rPr>
          <w:b/>
          <w:bCs/>
        </w:rPr>
        <w:t>The Ethical Dimension:</w:t>
      </w:r>
      <w:r>
        <w:t xml:space="preserve"> There’s an ongoing moral debate about profiting from crisis. Soros has been both vilified and admired: vilified by those who see him as profiting off peoples’ misery, admired by those who see him as a visionary investor and even a philanthropist who gives back some of those profits. Soros himself has written that he is </w:t>
      </w:r>
      <w:r>
        <w:rPr>
          <w:i/>
          <w:iCs/>
        </w:rPr>
        <w:t>“only a player”</w:t>
      </w:r>
      <w:r>
        <w:t xml:space="preserve"> in the global capitalist game, but the game itself may be flawed in allowing these situations. He’s called for measures like a </w:t>
      </w:r>
      <w:r>
        <w:rPr>
          <w:b/>
          <w:bCs/>
        </w:rPr>
        <w:t>global regulatory authority</w:t>
      </w:r>
      <w:r>
        <w:t xml:space="preserve"> to oversee international capital flows – a somewhat ironic stance for someone known as a deregulation advocate in other contexts. Similarly, large banks that made money in, say, the Eurozone crisis by shorting Greek bonds had to defend themselves against accusations of undermining countries. These debates spur questions: Should there be limits on certain speculative activities? For example, some countries temporarily banned short-selling of financial stocks during the 2008 crisis, arguing that rumors and shorts were killing otherwise viable banks. Detractors say this is shooting the messenger and that short bans remove a warning signal and liquidity. The evidence is mixed: short-sale bans tend to only marginally slow declines and can reduce market liquidity, but they might prevent a panic spiral in very specific situations. The point is, ethics and efficacy mix in policy responses to speculation. Democratic societies have to balance the freedom of markets (which brings efficiency and growth) with protections against extreme outcomes (which can impose heavy social costs). Finding this balance is an evolving challenge.</w:t>
      </w:r>
    </w:p>
    <w:p w14:paraId="3616DBE4" w14:textId="77777777" w:rsidR="00ED2EAC" w:rsidRDefault="00ED2EAC" w:rsidP="00ED2EAC">
      <w:pPr>
        <w:pStyle w:val="FirstParagraph"/>
      </w:pPr>
      <w:r>
        <w:rPr>
          <w:b/>
          <w:bCs/>
        </w:rPr>
        <w:t>Conclusion:</w:t>
      </w:r>
      <w:r>
        <w:t xml:space="preserve"> The interplay of economics and markets, especially through the lens of currency speculation, is a story of </w:t>
      </w:r>
      <w:r>
        <w:rPr>
          <w:b/>
          <w:bCs/>
        </w:rPr>
        <w:t>power and vulnerability</w:t>
      </w:r>
      <w:r>
        <w:t xml:space="preserve">. Markets have enormous power: they can humble governments, topple long-standing policies, and even contribute to the ousting of political leaders (as seen in cases from Suharto to Truss). Yet markets are also inherently vulnerable to fear, greed, and herd behavior – </w:t>
      </w:r>
      <w:r>
        <w:rPr>
          <w:b/>
          <w:bCs/>
        </w:rPr>
        <w:t>human factors</w:t>
      </w:r>
      <w:r>
        <w:t xml:space="preserve"> that can cause overshooting and require the steadying hand of policy intervention. The ideal scenario is when policy and markets form a feedback loop grounded in reality: policies are </w:t>
      </w:r>
      <w:r>
        <w:lastRenderedPageBreak/>
        <w:t>credible and adaptive, so markets adjust smoothly rather than violently; market signals (like gradual currency depreciation) inform policymakers before imbalances grow too large. Many of the crises we explored occurred when that feedback broke down – when, for instance, policymakers clung to a fiction (an overvalued peg, a “this time it’s different” debt build-up) until markets could no longer abide it, and then the correction was sudden and disorderly.</w:t>
      </w:r>
    </w:p>
    <w:p w14:paraId="25FE9252" w14:textId="77777777" w:rsidR="00ED2EAC" w:rsidRDefault="00ED2EAC" w:rsidP="00ED2EAC">
      <w:pPr>
        <w:pStyle w:val="BodyText"/>
      </w:pPr>
      <w:r>
        <w:t xml:space="preserve">We have also seen how narratives get built in the wake of crises: heroes and villains, right and wrong moves. This chapter has tried to remain true to a </w:t>
      </w:r>
      <w:r>
        <w:rPr>
          <w:b/>
          <w:bCs/>
        </w:rPr>
        <w:t>fact-based, investigative approach</w:t>
      </w:r>
      <w:r>
        <w:t>: acknowledging what actually happened in terms of trades, losses, and interventions, while examining various interpretations without jumping to unwarranted conclusions. For example, labeling Soros a “criminal” (as Mahathir did) was an allegation not supported by evidence; conversely, painting all governments that suffered crises as innocent victims is equally misleading, as many had sown seeds of trouble. The intersection of economic policy and market activity is nuanced.</w:t>
      </w:r>
    </w:p>
    <w:p w14:paraId="32401B1F" w14:textId="77777777" w:rsidR="00ED2EAC" w:rsidRDefault="00ED2EAC" w:rsidP="00ED2EAC">
      <w:pPr>
        <w:pStyle w:val="BodyText"/>
      </w:pPr>
      <w:r>
        <w:t xml:space="preserve">One cannot leave this topic without addressing the current state (as of mid-2025). Are we safer now from these kinds of crises, or do new risks loom? On one hand, many emerging markets have stronger defenses (flexible exchange rates, higher reserves, and prudential regulations on banks) than in the 1990s. The global financial system also has some improved safeguards. On the other hand, global debt is at record highs, new forms of speculative instruments (like complex derivatives and high-frequency trading algorithms) add layers of opacity, and geopolitical tensions can spill into financial domains (consider sanctions that freeze central bank reserves, effectively a new kind of financial weapon that could spur reactive movements in currencies). Additionally, </w:t>
      </w:r>
      <w:r>
        <w:rPr>
          <w:b/>
          <w:bCs/>
        </w:rPr>
        <w:t>cryptocurrencies</w:t>
      </w:r>
      <w:r>
        <w:t xml:space="preserve"> have emerged, which some argue could offer escape valves during currency crises (as in countries with hyperinflation, people turned to Bitcoin or dollars), but which also introduce a new frontier for speculative mania and policy headaches.</w:t>
      </w:r>
    </w:p>
    <w:p w14:paraId="605D4B1A" w14:textId="77777777" w:rsidR="00ED2EAC" w:rsidRDefault="00ED2EAC" w:rsidP="00ED2EAC">
      <w:pPr>
        <w:pStyle w:val="BodyText"/>
      </w:pPr>
      <w:r>
        <w:t xml:space="preserve">As the world becomes more interconnected, the challenge for policymakers is greater coordination and communication to avoid surprises that unsettle markets. For investors, the challenge is recognizing real vulnerabilities versus mere noise. For ordinary citizens, unfortunately, they often become collateral damage in these battles – losing jobs, savings, or stability through no fault of their own when a crisis hits. Reducing that human cost is a paramount goal. That might mean designing policies that </w:t>
      </w:r>
      <w:r>
        <w:rPr>
          <w:i/>
          <w:iCs/>
        </w:rPr>
        <w:t>assume</w:t>
      </w:r>
      <w:r>
        <w:t xml:space="preserve"> worst-case market reactions and build in buffers, rather than hoping for best-case scenarios. It might also mean international cooperation to manage crises (like swap lines between central banks to provide liquidity and avoid death spirals).</w:t>
      </w:r>
    </w:p>
    <w:p w14:paraId="7617124A" w14:textId="77777777" w:rsidR="00ED2EAC" w:rsidRDefault="00ED2EAC" w:rsidP="00ED2EAC">
      <w:pPr>
        <w:pStyle w:val="BodyText"/>
      </w:pPr>
      <w:r>
        <w:t xml:space="preserve">In closing, the episodes detailed in this chapter serve as stark reminders that </w:t>
      </w:r>
      <w:r>
        <w:rPr>
          <w:b/>
          <w:bCs/>
        </w:rPr>
        <w:t>economics and markets are not separate realms</w:t>
      </w:r>
      <w:r>
        <w:t xml:space="preserve"> – they are deeply intertwined, each influencing the other. A government’s fiscal blunder or rigid stance can become a speculator’s playground; likewise, a speculative frenzy can force a government’s hand or reshape its policy landscape. Neither markets nor policymakers are infallible. The dance continues, and while history doesn’t repeat verbatim, the rhymes are frequent. By studying these past </w:t>
      </w:r>
      <w:r>
        <w:lastRenderedPageBreak/>
        <w:t>intersections of economic policy and market activity, we arm ourselves with a better understanding of how to anticipate, and perhaps mitigate, the next big collision of finance and policy – whatever form it takes.</w:t>
      </w:r>
    </w:p>
    <w:p w14:paraId="7724B6FA" w14:textId="6E2585A9" w:rsidR="00ED2EAC" w:rsidRDefault="00000000" w:rsidP="00ED2EAC">
      <w:r>
        <w:pict w14:anchorId="568C84E9">
          <v:rect id="_x0000_i1035" style="width:0;height:1.5pt" o:hralign="center" o:hrstd="t" o:hr="t"/>
        </w:pict>
      </w:r>
    </w:p>
    <w:p w14:paraId="58AB8C06" w14:textId="77777777" w:rsidR="00ED2EAC" w:rsidRDefault="00ED2EAC" w:rsidP="00406E3B"/>
    <w:p w14:paraId="321DA30D" w14:textId="77777777" w:rsidR="00ED2EAC" w:rsidRDefault="00ED2EAC" w:rsidP="00406E3B"/>
    <w:p w14:paraId="79C4486B" w14:textId="77777777" w:rsidR="00E96844" w:rsidRDefault="00E96844" w:rsidP="00406E3B"/>
    <w:p w14:paraId="7F61C137" w14:textId="77777777" w:rsidR="00E96844" w:rsidRDefault="00E96844" w:rsidP="00406E3B"/>
    <w:p w14:paraId="47EF23CD" w14:textId="77777777" w:rsidR="00E96844" w:rsidRDefault="00E96844" w:rsidP="00406E3B"/>
    <w:p w14:paraId="192091FC" w14:textId="77777777" w:rsidR="00E96844" w:rsidRDefault="00E96844" w:rsidP="00406E3B"/>
    <w:p w14:paraId="6E63EF15" w14:textId="77777777" w:rsidR="00E96844" w:rsidRDefault="00E96844" w:rsidP="00406E3B"/>
    <w:p w14:paraId="1891CAA7" w14:textId="77777777" w:rsidR="00E96844" w:rsidRDefault="00E96844" w:rsidP="00406E3B"/>
    <w:p w14:paraId="33922DE6" w14:textId="77777777" w:rsidR="00E96844" w:rsidRDefault="00E96844" w:rsidP="00406E3B"/>
    <w:p w14:paraId="7D1A18D1" w14:textId="77777777" w:rsidR="00E96844" w:rsidRDefault="00E96844" w:rsidP="00406E3B"/>
    <w:p w14:paraId="73B783DE" w14:textId="77777777" w:rsidR="00E96844" w:rsidRDefault="00E96844" w:rsidP="00406E3B"/>
    <w:p w14:paraId="6B659D03" w14:textId="77777777" w:rsidR="00E96844" w:rsidRDefault="00E96844" w:rsidP="00406E3B"/>
    <w:p w14:paraId="6500E622" w14:textId="77777777" w:rsidR="00E96844" w:rsidRDefault="00E96844" w:rsidP="00406E3B"/>
    <w:p w14:paraId="2CBCC154" w14:textId="77777777" w:rsidR="00E96844" w:rsidRDefault="00E96844" w:rsidP="00406E3B"/>
    <w:p w14:paraId="2F30A134" w14:textId="77777777" w:rsidR="00E96844" w:rsidRDefault="00E96844" w:rsidP="00406E3B"/>
    <w:p w14:paraId="139065AE" w14:textId="77777777" w:rsidR="00E96844" w:rsidRDefault="00E96844" w:rsidP="00406E3B"/>
    <w:p w14:paraId="0C8E613B" w14:textId="77777777" w:rsidR="00E96844" w:rsidRDefault="00E96844" w:rsidP="00406E3B"/>
    <w:p w14:paraId="7FF9A3E1" w14:textId="77777777" w:rsidR="00E96844" w:rsidRDefault="00E96844" w:rsidP="00406E3B"/>
    <w:p w14:paraId="4D1C02C9" w14:textId="77777777" w:rsidR="00E96844" w:rsidRDefault="00E96844" w:rsidP="00406E3B"/>
    <w:p w14:paraId="0F2029F8" w14:textId="77777777" w:rsidR="00E96844" w:rsidRDefault="00E96844" w:rsidP="00406E3B"/>
    <w:p w14:paraId="1BDD66D2" w14:textId="77777777" w:rsidR="00E96844" w:rsidRDefault="00E96844" w:rsidP="00406E3B"/>
    <w:p w14:paraId="7AAEE3DC" w14:textId="77777777" w:rsidR="00E96844" w:rsidRDefault="00E96844" w:rsidP="00406E3B"/>
    <w:p w14:paraId="19F7E1C2" w14:textId="77777777" w:rsidR="00E96844" w:rsidRDefault="00E96844" w:rsidP="00406E3B"/>
    <w:p w14:paraId="3DC42C95" w14:textId="77777777" w:rsidR="00342852" w:rsidRDefault="00342852" w:rsidP="00342852">
      <w:pPr>
        <w:pStyle w:val="Heading1"/>
      </w:pPr>
      <w:r>
        <w:lastRenderedPageBreak/>
        <w:t>Chapter 12: Technology, Disinformation, and Platform Policy</w:t>
      </w:r>
    </w:p>
    <w:p w14:paraId="29EF277F" w14:textId="77777777" w:rsidR="00342852" w:rsidRDefault="00342852" w:rsidP="00342852">
      <w:pPr>
        <w:pStyle w:val="Heading2"/>
      </w:pPr>
      <w:bookmarkStart w:id="63" w:name="the-misinformation-dilemma-for-democracy"/>
      <w:r>
        <w:t>The Misinformation Dilemma for Democracy</w:t>
      </w:r>
    </w:p>
    <w:p w14:paraId="56CB0508" w14:textId="77777777" w:rsidR="00342852" w:rsidRDefault="00342852" w:rsidP="00342852">
      <w:pPr>
        <w:pStyle w:val="FirstParagraph"/>
      </w:pPr>
      <w:r>
        <w:t xml:space="preserve">In the past decade, social media platforms have emerged as powerful gatekeepers of information – and with that power has come an urgent, thorny dilemma. Waves of </w:t>
      </w:r>
      <w:r>
        <w:rPr>
          <w:b/>
          <w:bCs/>
        </w:rPr>
        <w:t>misinformation</w:t>
      </w:r>
      <w:r>
        <w:t xml:space="preserve"> (false or misleading information spread often unwittingly) and </w:t>
      </w:r>
      <w:r>
        <w:rPr>
          <w:b/>
          <w:bCs/>
        </w:rPr>
        <w:t>disinformation</w:t>
      </w:r>
      <w:r>
        <w:t xml:space="preserve"> (deliberately false information spread with malicious intent) have flooded online spaces, undermining trust in facts and even endangering public safety. Democratic societies have struggled to respond. On one hand, unchecked falsehoods – from viral conspiracy theories to propaganda campaigns – can poison civic discourse and incite real-world harm. On the other hand, efforts by platforms to police content raise difficult questions about censorship, bias, and who gets to define truth. This tension between </w:t>
      </w:r>
      <w:r>
        <w:rPr>
          <w:i/>
          <w:iCs/>
        </w:rPr>
        <w:t>promoting a healthy information ecosystem</w:t>
      </w:r>
      <w:r>
        <w:t xml:space="preserve"> and </w:t>
      </w:r>
      <w:r>
        <w:rPr>
          <w:i/>
          <w:iCs/>
        </w:rPr>
        <w:t>protecting open expression</w:t>
      </w:r>
      <w:r>
        <w:t xml:space="preserve"> lies at the heart of modern platform governance. Skeptical publics have watched as tech companies, once laissez-faire about content, shifted toward more active moderation in an attempt to stem deceptive or harmful content online. But those very interventions have provoked backlash from various quarters, who accuse the platforms of overreach or partisan bias. The result is a high-stakes balancing act, playing out in real time on a global scale.</w:t>
      </w:r>
    </w:p>
    <w:p w14:paraId="458CF233" w14:textId="77777777" w:rsidR="00342852" w:rsidRDefault="00342852" w:rsidP="00342852">
      <w:pPr>
        <w:pStyle w:val="BodyText"/>
      </w:pPr>
      <w:r>
        <w:t xml:space="preserve">Over the years, numerous initiatives have sprung up to diagnose and combat the “information disorder” pervading social networks. Academics, journalists, civil society groups, and even tech companies themselves have launched projects aimed at </w:t>
      </w:r>
      <w:r>
        <w:rPr>
          <w:b/>
          <w:bCs/>
        </w:rPr>
        <w:t>fact-checking</w:t>
      </w:r>
      <w:r>
        <w:t xml:space="preserve">, </w:t>
      </w:r>
      <w:r>
        <w:rPr>
          <w:b/>
          <w:bCs/>
        </w:rPr>
        <w:t>exposing disinformation networks</w:t>
      </w:r>
      <w:r>
        <w:t xml:space="preserve">, and </w:t>
      </w:r>
      <w:r>
        <w:rPr>
          <w:b/>
          <w:bCs/>
        </w:rPr>
        <w:t>improving content moderation policies</w:t>
      </w:r>
      <w:r>
        <w:t xml:space="preserve">. Many of these efforts received significant funding from philanthropic organizations and governments, signaling how critical online “civic health” is now seen for democracy. For example, as early as 2019 the Knight Foundation invested $50 million to spur new research into technology’s impact on democracy, including major grants to establish academic centers focused on misinformation and online discourse {S:KnightUW2019}{S:CMUIDeas2019}. Likewise, the Omidyar Network and Open Society foundations poured resources into counter-disinformation programs worldwide, supporting initiatives that range from fact-checking partnerships to novel tools for monitoring online rumors {S:Omidyar2022}. At the same time, tech giants have been pressured – both by public opinion and by policy-makers – into taking a more active role in governing content on their platforms. Companies like Facebook (now Meta), Twitter, and YouTube gradually rolled out new </w:t>
      </w:r>
      <w:r>
        <w:rPr>
          <w:b/>
          <w:bCs/>
        </w:rPr>
        <w:t>content moderation policies</w:t>
      </w:r>
      <w:r>
        <w:t xml:space="preserve"> to label or remove false content, ban coordinated fake accounts, and elevate authoritative information during crises. But these measures have proven controversial. While researchers and many civic groups argue that </w:t>
      </w:r>
      <w:r>
        <w:rPr>
          <w:i/>
          <w:iCs/>
        </w:rPr>
        <w:t>some level of moderation is necessary</w:t>
      </w:r>
      <w:r>
        <w:t xml:space="preserve"> to prevent harm and dampen the wildfire spread of lies, critics from across the political spectrum worry about unintended consequences – from the silencing of legitimate debate to the potential for political abuse of censorship tools.</w:t>
      </w:r>
    </w:p>
    <w:p w14:paraId="4B3476C1" w14:textId="77777777" w:rsidR="00342852" w:rsidRDefault="00342852" w:rsidP="00342852">
      <w:pPr>
        <w:pStyle w:val="BodyText"/>
      </w:pPr>
      <w:r>
        <w:lastRenderedPageBreak/>
        <w:t xml:space="preserve">This chapter examines how the battle against disinformation has been waged in the realm of tech platforms and what it reveals about the promises and pitfalls of platform governance. We will review prominent </w:t>
      </w:r>
      <w:r>
        <w:rPr>
          <w:b/>
          <w:bCs/>
        </w:rPr>
        <w:t>projects focused on disinformation, fact-checking, and moderation research</w:t>
      </w:r>
      <w:r>
        <w:t xml:space="preserve">, highlighting how they have sought to strengthen online civic health. We will also explore </w:t>
      </w:r>
      <w:r>
        <w:rPr>
          <w:b/>
          <w:bCs/>
        </w:rPr>
        <w:t>documented collaborations between platforms and civil society</w:t>
      </w:r>
      <w:r>
        <w:t xml:space="preserve"> – from fact-checking partnerships to academic coalitions that work hand-in-glove with tech companies – as a new kind of multi-stakeholder approach to content governance. Finally, we delve into the heated controversies over “censorship”: the allegations that platforms’ moderation efforts amount to political suppression, and the counterarguments citing platform rules and research evidence that often tell a different story. Throughout, the goal is to present a clear-eyed, investigative look at how technology companies and their partners have tried to curb disinformation without crushing free expression, and why striking that balance has proven so challenging.</w:t>
      </w:r>
    </w:p>
    <w:p w14:paraId="36BC96FE" w14:textId="77777777" w:rsidR="00342852" w:rsidRDefault="00342852" w:rsidP="00342852">
      <w:pPr>
        <w:pStyle w:val="BlockText"/>
      </w:pPr>
      <w:r>
        <w:rPr>
          <w:b/>
          <w:bCs/>
        </w:rPr>
        <w:t>Sidebar: Misinformation, Disinformation, and Moderation Policy</w:t>
      </w:r>
      <w:r>
        <w:br/>
      </w:r>
      <w:r>
        <w:rPr>
          <w:b/>
          <w:bCs/>
        </w:rPr>
        <w:t>Misinformation</w:t>
      </w:r>
      <w:r>
        <w:t xml:space="preserve"> refers to false or misleading information that is spread, regardless of intent. Someone sharing misinformation may not realize it’s false – for example, a person posting an unfounded health rumor they happen to believe. By contrast, </w:t>
      </w:r>
      <w:r>
        <w:rPr>
          <w:b/>
          <w:bCs/>
        </w:rPr>
        <w:t>disinformation</w:t>
      </w:r>
      <w:r>
        <w:t xml:space="preserve"> is false information that is </w:t>
      </w:r>
      <w:r>
        <w:rPr>
          <w:b/>
          <w:bCs/>
        </w:rPr>
        <w:t>deliberately</w:t>
      </w:r>
      <w:r>
        <w:t xml:space="preserve"> created or distributed with the intent to deceive or mislead. A state-sponsored propaganda campaign seeding fake news stories to influence an election would be classic disinformation. Both pose risks, but disinformation is especially pernicious due to its strategic intent.</w:t>
      </w:r>
      <w:r>
        <w:br/>
      </w:r>
      <w:r>
        <w:rPr>
          <w:b/>
          <w:bCs/>
        </w:rPr>
        <w:t>Content moderation policy</w:t>
      </w:r>
      <w:r>
        <w:t xml:space="preserve"> is the term for the rules and guidelines that platforms use to govern what users can post. These policies outline what content is prohibited or restricted – for instance, hate speech, harassment, or false claims that could cause harm. Moderation policies are enforced by a combination of automated systems and human reviewers, who might remove content, label it (e.g. as “false information” with additional context), or reduce its visibility. In the context of misinformation vs. disinformation, moderation policies determine how platforms handle false content. Some platforms choose to remove or down-rank provably false claims (especially if they can lead to harm), partner with fact-checkers to flag misleading posts, or provide informational labels. Others may opt to leave most content up but employ “softer” interventions like warnings or user-driven fact-check notes. Striking the right balance in these policies – curbing harmful falsehoods without unduly stifling debate – has become one of the most difficult tasks in platform governance.</w:t>
      </w:r>
    </w:p>
    <w:p w14:paraId="7BF94FAF" w14:textId="77777777" w:rsidR="00342852" w:rsidRDefault="00342852" w:rsidP="00342852">
      <w:pPr>
        <w:pStyle w:val="Heading2"/>
      </w:pPr>
      <w:bookmarkStart w:id="64" w:name="X2e895f6e5ef85ac93ca007ba0d9073078df4c36"/>
      <w:bookmarkEnd w:id="63"/>
      <w:r>
        <w:t>Rise of Fact-Checking and Disinformation Research Initiatives</w:t>
      </w:r>
    </w:p>
    <w:p w14:paraId="2672DC5E" w14:textId="77777777" w:rsidR="00342852" w:rsidRDefault="00342852" w:rsidP="00342852">
      <w:pPr>
        <w:pStyle w:val="FirstParagraph"/>
      </w:pPr>
      <w:r>
        <w:t xml:space="preserve">In response to the growing alarm over viral falsehoods around the world, a robust fact-checking and disinformation research ecosystem has taken shape. This ecosystem received a major boost after the tumultuous 2016 U.S. election, when revelations of large-scale misinformation – from “fake news” websites pushing hoaxes to Kremlin-linked troll farms manipulating social media – jolted the public and policymakers into action. </w:t>
      </w:r>
      <w:r>
        <w:lastRenderedPageBreak/>
        <w:t xml:space="preserve">Suddenly, </w:t>
      </w:r>
      <w:r>
        <w:rPr>
          <w:b/>
          <w:bCs/>
        </w:rPr>
        <w:t>“information integrity”</w:t>
      </w:r>
      <w:r>
        <w:t xml:space="preserve"> was a top-of-mind issue for democracy advocates and tech companies alike. In the years since, numerous initiatives have been launched to better understand how misinformation spreads online and to develop interventions to counter it. Many of these projects have been supported by prominent grants and institutional backing, underscoring the seriousness of the challenge.</w:t>
      </w:r>
    </w:p>
    <w:p w14:paraId="1F7CDC4A" w14:textId="77777777" w:rsidR="00342852" w:rsidRDefault="00342852" w:rsidP="00342852">
      <w:pPr>
        <w:pStyle w:val="BodyText"/>
      </w:pPr>
      <w:r>
        <w:t xml:space="preserve">On the front lines have been </w:t>
      </w:r>
      <w:r>
        <w:rPr>
          <w:b/>
          <w:bCs/>
        </w:rPr>
        <w:t>independent fact-checkers</w:t>
      </w:r>
      <w:r>
        <w:t xml:space="preserve">. Long before “fake news” became a buzzword, dedicated fact-checking organizations like Snopes, PolitiFact, and AFP Fact Check were working to debunk false claims in the media. But after 2016, their role expanded dramatically in the digital arena. In 2016–2017, Facebook (now Meta) rolled out a Third-Party Fact-Checking Program, enlisting outside fact-checking organizations to review and rate viral content on its platforms {S:MetaFactCheck2016}. Under this program – which eventually grew to include dozens of fact-check partners worldwide – if a post was flagged and found false by these independent checkers, Facebook would append a warning label and reduce the post’s visibility in users’ feeds. The idea was to add “friction” to the spread of hoaxes, without the company itself acting as the arbiter of truth. </w:t>
      </w:r>
      <w:r>
        <w:rPr>
          <w:i/>
          <w:iCs/>
        </w:rPr>
        <w:t>“We didn’t want to be the arbiters of truth… so we handed that responsibility to independent organizations,”</w:t>
      </w:r>
      <w:r>
        <w:t xml:space="preserve"> Meta later explained of its reasoning {S:KaplanBlog2025}. Twitter and YouTube implemented their own variations: Twitter experimented with labeling misleading tweets (especially in contexts like elections or the COVID-19 pandemic) and at times linking to curated information hubs, while YouTube began adding informational panels from sources like Wikipedia or WHO below videos on contentious topics (from vaccine safety to moon landing conspiracies) to provide viewers with factual context.</w:t>
      </w:r>
    </w:p>
    <w:p w14:paraId="141BCA11" w14:textId="77777777" w:rsidR="00342852" w:rsidRDefault="00342852" w:rsidP="00342852">
      <w:pPr>
        <w:pStyle w:val="BodyText"/>
      </w:pPr>
      <w:r>
        <w:t xml:space="preserve">Beyond the platforms, fact-checking collaborations blossomed. In 2017, the nonprofit First Draft (led by Claire Wardle) organized </w:t>
      </w:r>
      <w:r>
        <w:rPr>
          <w:b/>
          <w:bCs/>
        </w:rPr>
        <w:t>CrossCheck</w:t>
      </w:r>
      <w:r>
        <w:t xml:space="preserve">, a project that brought together 37 newsrooms and tech companies to jointly verify information during the French presidential election. This collaborative model – multiple outlets pooling resources to debunk rumors in real time – proved effective in a high-stakes campaign rife with fabricated stories. The CrossCheck effort was supported by tech industry giants and philanthropies (Google’s News Lab and Craig Newmark among them), and it demonstrated how collective intelligence could be harnessed against online falsehoods {S:CrossCheckFrance}. Similar collaborations were later adapted for other elections and events. By the end of the 2010s, fact-checking as a field had gone global, with networks like the </w:t>
      </w:r>
      <w:r>
        <w:rPr>
          <w:b/>
          <w:bCs/>
        </w:rPr>
        <w:t>International Fact-Checking Network (IFCN)</w:t>
      </w:r>
      <w:r>
        <w:t xml:space="preserve"> (based at Poynter Institute) setting ethical codes and bringing together fact-checkers from dozens of countries. The IFCN also facilitated funding – for instance, through grants by Facebook and WhatsApp to support fact-checking projects in the Global South, especially ahead of elections or during crises like the COVID-19 “infodemic.”</w:t>
      </w:r>
    </w:p>
    <w:p w14:paraId="0923B716" w14:textId="77777777" w:rsidR="00342852" w:rsidRDefault="00342852" w:rsidP="00342852">
      <w:pPr>
        <w:pStyle w:val="BodyText"/>
      </w:pPr>
      <w:r>
        <w:t xml:space="preserve">At the same time, major </w:t>
      </w:r>
      <w:r>
        <w:rPr>
          <w:b/>
          <w:bCs/>
        </w:rPr>
        <w:t>academic research centers</w:t>
      </w:r>
      <w:r>
        <w:t xml:space="preserve"> focusing on misinformation and social media were stood up, often with large grants from foundations. A notable example is the </w:t>
      </w:r>
      <w:r>
        <w:rPr>
          <w:b/>
          <w:bCs/>
        </w:rPr>
        <w:t>Center for an Informed Public (CIP)</w:t>
      </w:r>
      <w:r>
        <w:t xml:space="preserve"> at the University of Washington, launched in late 2019 with a $5 million seed grant from Knight Foundation {S:KnightUW2019}. Led by researchers from fields as diverse as human-computer interaction and communications, </w:t>
      </w:r>
      <w:r>
        <w:lastRenderedPageBreak/>
        <w:t xml:space="preserve">the CIP takes a multidisciplinary approach to studying strategic misinformation and ways to foster an informed society. In its first year, the center made headlines for hosting a “Misinfo Day” event to teach high school students how to spot false news {S:KnightUW2019}, reflecting a broader interest in media literacy as a vaccine against viral lies. Similarly, Knight funding enabled the creation of the </w:t>
      </w:r>
      <w:r>
        <w:rPr>
          <w:b/>
          <w:bCs/>
        </w:rPr>
        <w:t>Institute for Data, Democracy &amp; Politics (IDDP)</w:t>
      </w:r>
      <w:r>
        <w:t xml:space="preserve"> at George Washington University and the </w:t>
      </w:r>
      <w:r>
        <w:rPr>
          <w:b/>
          <w:bCs/>
        </w:rPr>
        <w:t>Center for Social Media and Politics</w:t>
      </w:r>
      <w:r>
        <w:t xml:space="preserve"> at NYU, both aimed at rigorously analyzing how digital platforms impact political behavior and the spread of falsity. In July 2019, Carnegie Mellon University announced the Center for Informed Democracy and Social Cybersecurity (abbreviated as IDeaS), backed by a $5 million Knight grant, to study how disinformation campaigns propagate and how to counter them {S:CMUIDeas2019}. Directed by computer scientist Kathleen Carley, the IDeaS center set out with ambitious goals: map the mechanisms of online disinformation (bots, trolls, state actors), build a community of scholars and practitioners, and develop interventions to “preserve and build an informed citizenry” {S:CMUIDeas2019}.</w:t>
      </w:r>
    </w:p>
    <w:p w14:paraId="3A33705A" w14:textId="77777777" w:rsidR="00342852" w:rsidRDefault="00342852" w:rsidP="00342852">
      <w:pPr>
        <w:pStyle w:val="BodyText"/>
      </w:pPr>
      <w:r>
        <w:t xml:space="preserve">Philanthropies across the board prioritized this issue. The Open Society Foundations invested in media literacy and fact-checking initiatives in Europe, Africa, and Latin America. </w:t>
      </w:r>
      <w:r>
        <w:rPr>
          <w:b/>
          <w:bCs/>
        </w:rPr>
        <w:t>Omidyar Network</w:t>
      </w:r>
      <w:r>
        <w:t xml:space="preserve">, founded by eBay billionaire Pierre Omidyar, made “Responsible Tech” one of its focus areas; by 2022 Omidyar committed $10 million specifically toward tackling misinformation on private messaging platforms like WhatsApp and Signal {S:Omidyar2022}. One Omidyar-funded effort supported </w:t>
      </w:r>
      <w:r>
        <w:rPr>
          <w:b/>
          <w:bCs/>
        </w:rPr>
        <w:t>Meedan’s Health Desk</w:t>
      </w:r>
      <w:r>
        <w:t xml:space="preserve">, which equipped fact-checkers and journalists with scientifically grounded answers to COVID-19 misinformation, reaching millions of readers looking for accurate information about the pandemic {S:Omidyar2022}. Omidyar also backed research by groups like the </w:t>
      </w:r>
      <w:r>
        <w:rPr>
          <w:b/>
          <w:bCs/>
        </w:rPr>
        <w:t>Institute for Strategic Dialogue (ISD)</w:t>
      </w:r>
      <w:r>
        <w:t xml:space="preserve"> to understand how hate groups and extremists use closed chat apps to spread disinformation and recruit – a reminder that the fight isn’t only on open social media feeds, but in encrypted group chats and forums as well. These donors often worked in concert: for example, Luminate (part of the Omidyar network) and the National Endowment for Democracy both helped fund the </w:t>
      </w:r>
      <w:r>
        <w:rPr>
          <w:b/>
          <w:bCs/>
        </w:rPr>
        <w:t>Global Disinformation Index (GDI)</w:t>
      </w:r>
      <w:r>
        <w:t xml:space="preserve">, a cross-sector initiative to rate news sites on disinformation risk and cut off ad dollars to the worst purveyors {S:LuminateGDI}. And in Europe, a consortium including the </w:t>
      </w:r>
      <w:r>
        <w:rPr>
          <w:b/>
          <w:bCs/>
        </w:rPr>
        <w:t>European University Institute</w:t>
      </w:r>
      <w:r>
        <w:t xml:space="preserve"> and the Gulbenkian Foundation launched the </w:t>
      </w:r>
      <w:r>
        <w:rPr>
          <w:b/>
          <w:bCs/>
        </w:rPr>
        <w:t>European Media and Information Fund (EMIF)</w:t>
      </w:r>
      <w:r>
        <w:t xml:space="preserve"> in 2021, with support from the European Commission and tech companies, to issue grants for fact-checking, research, and media literacy projects in EU member states {S:EMIFund}. The EMIF’s calls for proposals have funded everything from rapid-response fact-check units during elections to academic studies on the mechanics of online falsehoods, all under the umbrella goal of strengthening Europe’s resilience against disinformation.</w:t>
      </w:r>
    </w:p>
    <w:p w14:paraId="626A10B9" w14:textId="77777777" w:rsidR="00342852" w:rsidRDefault="00342852" w:rsidP="00342852">
      <w:pPr>
        <w:pStyle w:val="BodyText"/>
      </w:pPr>
      <w:r>
        <w:t xml:space="preserve">Underpinning many of these initiatives is an ethos of </w:t>
      </w:r>
      <w:r>
        <w:rPr>
          <w:b/>
          <w:bCs/>
        </w:rPr>
        <w:t>multidisciplinary collaboration</w:t>
      </w:r>
      <w:r>
        <w:t xml:space="preserve">. Tackling online misinformation is not just a technical challenge or a journalism challenge or a policy challenge – it’s all of the above. Thus, universities have pulled in experts from computer science (to analyze networks and algorithms), psychology (to understand why people believe and share rumors), political science (to gauge impacts on democracy), and more. We see this in the design of centers like UW’s CIP and CMU’s IDeaS, which explicitly </w:t>
      </w:r>
      <w:r>
        <w:lastRenderedPageBreak/>
        <w:t>involve diverse fields from sociology to machine learning {S:KnightUW2019}{S:CMUIDeas2019}. Their research has produced insights into, for example, how false narratives “go viral,” how social bots amplify divisive content, and what kinds of corrections or “prebunking” strategies actually convince people. Such findings have informed platform policies and journalistic practices. For instance, studies showing that outright falsehood travels faster and farther than truth online (notoriously demonstrated in a 2018 MIT study) spurred platforms to experiment with slowing virality – like WhatsApp imposing limits on message forwards after mob violence in India was linked to WhatsApp-spread rumors. Other research indicated that nudging users with prompts to think about accuracy can reduce sharing of false headlines, leading platforms to try light-touch interventions (like Twitter’s brief experiment prompting users to read an article before retweeting it blind).</w:t>
      </w:r>
    </w:p>
    <w:p w14:paraId="1A1075DB" w14:textId="77777777" w:rsidR="00342852" w:rsidRDefault="00342852" w:rsidP="00342852">
      <w:pPr>
        <w:pStyle w:val="BodyText"/>
      </w:pPr>
      <w:r>
        <w:t>From community fact-checkers in the Philippines debunking election rumors, to data scientists mapping coordinated influence campaigns targeting the U.S. electorate, to behavioral scientists devising “inoculation games” that teach media consumers how to spot disinfo techniques – the surge of activity around misinformation has been notable. It represents a new kind of public interest infrastructure, one geared toward reinforcing the integrity of our online public sphere. Yet despite all this work, the magnitude of the problem remains daunting. Every major election since 2016 has seen torrents of false or misleading claims on social media. Health misinformation during the pandemic still found millions of willing sharers. In short, progress has been halting, and often reactive – responding to the latest viral falsehood or conspiracy theory only after it has already done damage. This reality has driven home that purely external fact-checking and research, while essential, are not sufficient on their own. It also matters tremendously what the platforms themselves do. And that is where collaboration – and friction – between tech companies and outside experts has become a defining feature of platform governance in recent years.</w:t>
      </w:r>
    </w:p>
    <w:p w14:paraId="04861493" w14:textId="77777777" w:rsidR="00342852" w:rsidRDefault="00342852" w:rsidP="00342852">
      <w:pPr>
        <w:pStyle w:val="Heading2"/>
      </w:pPr>
      <w:bookmarkStart w:id="65" w:name="X3846de6e6e1f353c334f7744932a43077023564"/>
      <w:bookmarkEnd w:id="64"/>
      <w:r>
        <w:t>Platforms and Civil Society: New Allies in Online Governance</w:t>
      </w:r>
    </w:p>
    <w:p w14:paraId="26CFFFDB" w14:textId="77777777" w:rsidR="00342852" w:rsidRDefault="00342852" w:rsidP="00342852">
      <w:pPr>
        <w:pStyle w:val="FirstParagraph"/>
      </w:pPr>
      <w:r>
        <w:t xml:space="preserve">One striking development in the fight against digital disinformation has been the emergence of </w:t>
      </w:r>
      <w:r>
        <w:rPr>
          <w:b/>
          <w:bCs/>
        </w:rPr>
        <w:t>direct collaborations between social media platforms and civil society organizations</w:t>
      </w:r>
      <w:r>
        <w:t>. Historically, tech companies guarded their autonomy and data closely, while NGOs, academic researchers, and governments often criticized the platforms from the outside. But facing unprecedented challenges to the integrity of their services – and intense public scrutiny – many platforms opened up to partnerships aimed at mitigating harms like false news. These collaborations have taken various forms: formal alliances to share information, consultative councils, data access initiatives for researchers, and cooperative “war rooms” to manage high-risk events. They represent a nascent model of co-governance, where content moderation and information curation are not done by companies alone, but in concert with outside stakeholders who bring expertise and public accountability.</w:t>
      </w:r>
    </w:p>
    <w:p w14:paraId="14972DBB" w14:textId="77777777" w:rsidR="00342852" w:rsidRDefault="00342852" w:rsidP="00342852">
      <w:pPr>
        <w:pStyle w:val="BodyText"/>
      </w:pPr>
      <w:r>
        <w:lastRenderedPageBreak/>
        <w:t xml:space="preserve">One prominent example was the </w:t>
      </w:r>
      <w:r>
        <w:rPr>
          <w:b/>
          <w:bCs/>
        </w:rPr>
        <w:t>Election Integrity Partnership (EIP)</w:t>
      </w:r>
      <w:r>
        <w:t xml:space="preserve">, formed ahead of the 2020 U.S. elections. The EIP was a nonpartisan coalition of academic and nonprofit centers – including Stanford University’s Internet Observatory, the University of Washington’s Center for an Informed Public, the Atlantic Council’s Digital Forensic Research Lab, and social network analysis firm Graphika – that banded together to monitor and respond to voting-related misinformation in real time {S:EIP2020}. Launched in July 2020 at the behest of government agencies worried about election disinformation {S:HouseReport2023}, the EIP served as a central hub where misinformation spotted online (whether a viral tweet falsely claiming ballot fraud or a doctored video circulating on Facebook) could be rapidly analyzed and, if necessary, brought to the attention of platforms and election officials. The partnership established clear channels to communicate with Twitter, Facebook, and other platforms – essentially a “hotline” to flag emerging false narratives that might suppress voter turnout or delegitimize election results. Over the course of a few months, the EIP identified and logged hundreds of misleading or false claims, many of which were then addressed by the platforms (via labels, removals, or algorithmic downranking) or by public agencies issuing corrections {S:EIP2020}. After Election Day, the EIP released a comprehensive report </w:t>
      </w:r>
      <w:r>
        <w:rPr>
          <w:i/>
          <w:iCs/>
        </w:rPr>
        <w:t>“The Long Fuse: Misinformation and the 2020 Election,”</w:t>
      </w:r>
      <w:r>
        <w:t xml:space="preserve"> documenting how scattered falsehoods coalesced into the pervasive “stolen election” narrative that fueled the January 6th Capitol riot {S:EIP2020}. The report also outlined policy recommendations and held up the EIP as a possible model for future collaboration against large-scale misinformation events.</w:t>
      </w:r>
    </w:p>
    <w:p w14:paraId="06C2291E" w14:textId="77777777" w:rsidR="00342852" w:rsidRDefault="00342852" w:rsidP="00342852">
      <w:pPr>
        <w:pStyle w:val="BodyText"/>
      </w:pPr>
      <w:r>
        <w:t>What made the EIP especially notable was its close coordination with both platforms and government, while remaining a university-based effort. The Department of Homeland Security’s cybersecurity agency (CISA) and the State Department’s Global Engagement Center (which combats foreign propaganda) had limited authority to monitor domestic social media content. By leaning on the EIP’s researchers as a kind of outsourced early warning system, officials could get tips about disinformation threats without directly policing speech themselves. The platforms, for their part, benefited from the consortium’s analyses and from being able to say that independent experts (not just Silicon Valley employees) were helping guide content actions on sensitive electoral issues. It was a marriage of convenience born of a crisis: scholars and civil society stepping in to fill gaps that neither government nor companies could fully address alone. As we’ll see later, this very arrangement became fodder for controversy, but at the time it was lauded in some quarters as an innovative partnership to defend democracy.</w:t>
      </w:r>
    </w:p>
    <w:p w14:paraId="61B010A1" w14:textId="77777777" w:rsidR="00342852" w:rsidRDefault="00342852" w:rsidP="00342852">
      <w:pPr>
        <w:pStyle w:val="BodyText"/>
      </w:pPr>
      <w:r>
        <w:t xml:space="preserve">Similar collaborative frameworks have appeared elsewhere. During elections in countries like India, Brazil, and the EU, tech companies convened </w:t>
      </w:r>
      <w:r>
        <w:rPr>
          <w:b/>
          <w:bCs/>
        </w:rPr>
        <w:t>“war rooms”</w:t>
      </w:r>
      <w:r>
        <w:t xml:space="preserve"> – multi-agency command centers where company staff work alongside outside observers (sometimes election commission officials or NGO representatives) to monitor for viral rumors, coordinated bot attacks, or signs of interference. Facebook’s Election War Room in 2018, for instance, invited experts and partner organizations into a secure space with giant dashboards tracking content trends, so that potential problems could be spotted and acted upon quickly. While critics dismissed some of this as PR theater, it did indicate a </w:t>
      </w:r>
      <w:r>
        <w:lastRenderedPageBreak/>
        <w:t>newfound willingness by platforms to be more transparent and consultative during critical moments.</w:t>
      </w:r>
    </w:p>
    <w:p w14:paraId="3A7ADB30" w14:textId="77777777" w:rsidR="00342852" w:rsidRDefault="00342852" w:rsidP="00342852">
      <w:pPr>
        <w:pStyle w:val="BodyText"/>
      </w:pPr>
      <w:r>
        <w:t xml:space="preserve">Another area of collaboration has been through </w:t>
      </w:r>
      <w:r>
        <w:rPr>
          <w:b/>
          <w:bCs/>
        </w:rPr>
        <w:t>trusted flagger programs and safety councils</w:t>
      </w:r>
      <w:r>
        <w:t>. Companies like YouTube developed “Trusted Flagger” systems to give certain reputable organizations (e.g. child safety nonprofits, anti-extremism groups) priority channels to report content that violates policies. Facebook and Twitter created advisory groups – such as Twitter’s Trust and Safety Council formed in 2016 – composed of civil society orgs specializing in free expression, human rights, and online safety. These councils met periodically with platform executives to provide input on policy changes and emerging risks like election misinformation or online harassment campaigns. For example, ahead of the 2020 U.S. vote, Facebook consulted with voting rights nonprofits on how to handle misinformative posts about mail-in voting procedures, resulting in policies to remove content that misled people about how or when to vote {S:FacebookElectionPolicy2020}. Likewise, civil rights groups worked with Facebook on a voter suppression policy to ban false claims like “ICE agents will be at polling places” which had been used to deter immigrant voters in the past. The collaboration wasn’t always smooth – a 2020 civil rights audit of Facebook faulted the company for not acting strongly enough on some recommendations – but it demonstrated that platform rulemaking was no longer happening entirely behind closed Silicon Valley doors.</w:t>
      </w:r>
    </w:p>
    <w:p w14:paraId="16378D18" w14:textId="77777777" w:rsidR="00342852" w:rsidRDefault="00342852" w:rsidP="00342852">
      <w:pPr>
        <w:pStyle w:val="BodyText"/>
      </w:pPr>
      <w:r>
        <w:t>Fact-checking partnerships are a more formalized collaboration model. As mentioned, Meta’s third-party fact-checking program became a flagship initiative, expanding to over 80 partners globally by the early 2020s. These included media outlets and NGOs across many languages, certified for their nonpartisanship via the IFCN. The arrangement: fact-checkers get access to a queue of flagged content (often posts that have been flagged by users or detected by AI as potentially false), they investigate and rate the accuracy, and their published fact-check articles are then linked to the misleading posts on Facebook/Instagram so that users see context. The original posters might get notified and repeat offenders could face downranking of all their content. Importantly, Meta paid these fact-check organizations for their work – effectively outsourcing a chunk of moderation labor to journalists and experts. This infusion of funding (sometimes in the form of grants) was a lifeline for many newsrooms; by one account, Facebook’s partnership became a significant revenue source for fact-checking sites like Africa Check and Brazil’s Aos Fatos. It also fostered a sense of shared mission: both the platform and the fact-checkers ostensibly wanted to limit the damage of viral hoaxes. Other tech firms followed suit in ways tailored to their platforms: WhatsApp, dealing with rampant misinformation on private chats, partnered with local fact-checking hotlines (users could forward suspicious viral messages to a fact-checking organization on WhatsApp and get a verification in response). Google funded dozens of media and fact-check initiatives through its Google News Initiative, such as providing support to Comprova, a Brazilian consortium combating election misinformation.</w:t>
      </w:r>
    </w:p>
    <w:p w14:paraId="6C2C7E39" w14:textId="77777777" w:rsidR="00342852" w:rsidRDefault="00342852" w:rsidP="00342852">
      <w:pPr>
        <w:pStyle w:val="BodyText"/>
      </w:pPr>
      <w:r>
        <w:t xml:space="preserve">On the </w:t>
      </w:r>
      <w:r>
        <w:rPr>
          <w:b/>
          <w:bCs/>
        </w:rPr>
        <w:t>research side</w:t>
      </w:r>
      <w:r>
        <w:t xml:space="preserve">, data-sharing collaborations have been critical. In 2018, Facebook announced </w:t>
      </w:r>
      <w:r>
        <w:rPr>
          <w:b/>
          <w:bCs/>
        </w:rPr>
        <w:t>Social Science One</w:t>
      </w:r>
      <w:r>
        <w:t xml:space="preserve">, an initiative to grant academic researchers access to </w:t>
      </w:r>
      <w:r>
        <w:lastRenderedPageBreak/>
        <w:t>Facebook data to study the platform’s influence on elections and democracy. Supported by a coalition of foundations (Knight, Russell Sage, etc.), Social Science One aimed to carefully broker data access in a privacy-protected way. Although it ran into delays and scale-backs (due to privacy legalities after Cambridge Analytica), it symbolized an acknowledgment by the platform that independent scholars needed to be able to scrutinize its workings {S:SocialScienceOne}. Twitter historically was more open with data – its APIs allowed extensive academic research, which produced influential studies on misinformation networks and echo chambers. Twitter even partnered with the Berkman Klein Center at Harvard and others to commission an external audit of whether its algorithms had systemic political bias; one surprising finding published in 2021 was that Twitter’s timeline algorithm actually amplified tweets from right-leaning sources slightly more than left-leaning ones, contrary to assumptions of anti-conservative bias {S:TwitterAlgoStudy2021}. Such findings fed back into policy debates, and Twitter shared them publicly as part of transparency efforts. Even newer platforms like TikTok, under pressure, have begun allowing vetted researchers to access certain data on how content (including potential misinformation) spreads on their app – an attempt to reassure lawmakers and the public.</w:t>
      </w:r>
    </w:p>
    <w:p w14:paraId="01F34CDE" w14:textId="77777777" w:rsidR="00342852" w:rsidRDefault="00342852" w:rsidP="00342852">
      <w:pPr>
        <w:pStyle w:val="BodyText"/>
      </w:pPr>
      <w:r>
        <w:t xml:space="preserve">Internationally, </w:t>
      </w:r>
      <w:r>
        <w:rPr>
          <w:b/>
          <w:bCs/>
        </w:rPr>
        <w:t>multi-stakeholder alliances</w:t>
      </w:r>
      <w:r>
        <w:t xml:space="preserve"> were forged. The </w:t>
      </w:r>
      <w:r>
        <w:rPr>
          <w:b/>
          <w:bCs/>
        </w:rPr>
        <w:t>European Union</w:t>
      </w:r>
      <w:r>
        <w:t xml:space="preserve"> took a leading regulatory approach, but also set up cooperative bodies. In 2018 the EU convened major tech companies and civil society groups to sign a </w:t>
      </w:r>
      <w:r>
        <w:rPr>
          <w:b/>
          <w:bCs/>
        </w:rPr>
        <w:t>Code of Practice on Disinformation</w:t>
      </w:r>
      <w:r>
        <w:t xml:space="preserve">, a voluntary pledge of measures like bot account removal, demonetizing disinfo purveyors, and empowering fact-checkers. By 2022, that code had been strengthened (with dozens of signatories including Facebook, Google, Twitter, TikTok, and NGOs) and linked to the EU’s new </w:t>
      </w:r>
      <w:r>
        <w:rPr>
          <w:b/>
          <w:bCs/>
        </w:rPr>
        <w:t>Digital Services Act</w:t>
      </w:r>
      <w:r>
        <w:t xml:space="preserve"> – meaning failure to meet commitments could eventually bring fines. Through the </w:t>
      </w:r>
      <w:r>
        <w:rPr>
          <w:b/>
          <w:bCs/>
        </w:rPr>
        <w:t>European Digital Media Observatory (EDMO)</w:t>
      </w:r>
      <w:r>
        <w:t>, the EU also funded national hubs that link media, fact-checkers, and academia to monitor local disinformation trends and share best practices. For instance, in Italy the EDMO hub during COVID brought together public health authorities, fact-checkers, and Facebook’s policy team to coordinate responses to dangerous vaccine falsehoods. These kinds of civil society-platform-government collaborations in Europe reflected a consensus that disinformation is a societal problem requiring cooperative solutions, not just self-regulation by companies. A researcher who helped lead one EU project noted that open communication with platforms improved response times – e.g. when fact-checkers flagged a network of anti-vaccine Facebook groups spreading false claims, Facebook was quicker to downrank them because an established channel existed {S:EDMOcaseStudy}.</w:t>
      </w:r>
    </w:p>
    <w:p w14:paraId="6DD8935F" w14:textId="77777777" w:rsidR="00342852" w:rsidRDefault="00342852" w:rsidP="00342852">
      <w:pPr>
        <w:pStyle w:val="BodyText"/>
      </w:pPr>
      <w:r>
        <w:t xml:space="preserve">Yet, as heartening as these collaborations have been to those who worry about the chaos of the online info sphere, they have also prompted </w:t>
      </w:r>
      <w:r>
        <w:rPr>
          <w:i/>
          <w:iCs/>
        </w:rPr>
        <w:t>unease</w:t>
      </w:r>
      <w:r>
        <w:t xml:space="preserve"> and </w:t>
      </w:r>
      <w:r>
        <w:rPr>
          <w:i/>
          <w:iCs/>
        </w:rPr>
        <w:t>blowback</w:t>
      </w:r>
      <w:r>
        <w:t xml:space="preserve">. Some critics question whether civil society groups become too cozy with tech power, potentially blunting their willingness to criticize platforms. Others, especially on the anti-establishment or populist right, see these alliances as cabals of elites deciding what information is true or false – essentially a “censorship by committee” that sidesteps accountability. The very success of partnerships like the Election Integrity Partnership in </w:t>
      </w:r>
      <w:r>
        <w:lastRenderedPageBreak/>
        <w:t>getting content removed or labeled raised alarm for people inclined to see any content takedown as a suppression of speech. By 2023, the term “censorship-industrial complex” had entered the lexicon of skeptics, referring to the dense network of government agencies, private researchers, and platforms working jointly on content moderation. Nowhere did this criticism coalesce more strongly than in the United States, where battles over perceived social media bias were reaching fever pitch.</w:t>
      </w:r>
    </w:p>
    <w:p w14:paraId="289AA298" w14:textId="77777777" w:rsidR="00342852" w:rsidRDefault="00342852" w:rsidP="00342852">
      <w:pPr>
        <w:pStyle w:val="BodyText"/>
      </w:pPr>
      <w:r>
        <w:t xml:space="preserve">Before turning to those battles, it’s worth noting one more experiment in platform governance that straddles the line between internal and external: </w:t>
      </w:r>
      <w:r>
        <w:rPr>
          <w:b/>
          <w:bCs/>
        </w:rPr>
        <w:t>Facebook’s Oversight Board</w:t>
      </w:r>
      <w:r>
        <w:t>. Launched in 2020, the Oversight Board is an independent body of experts (former judges, human rights activists, academics) that reviews a small set of thorny content decisions and issues quasi-binding rulings. While not focused solely on misinformation, the Board has weighed in on related matters – most famously, the case of Facebook’s ban of President Donald Trump after the January 6th insurrection. In 2021 the Board upheld the initial suspension (given Trump’s posts praising those involved in violence) but criticized the “indefinite” ban as lacking clear standards, pushing Facebook to clarify its policies {S:OversightBoardTrump}. The Board’s existence suggests an acknowledgement by Facebook that purely in-house adjudication of contentious speech issues lacked legitimacy. In effect, it outsourced a slice of its supreme-court-level decisions to a group with public credibility. While some dismiss the Oversight Board as a PR move or note its very limited scope, it represents another novel approach to involving civil society in platform policy – by literally giving respected outsiders a seat at the table to interpret and enforce content rules.</w:t>
      </w:r>
    </w:p>
    <w:p w14:paraId="4F5C6E2B" w14:textId="77777777" w:rsidR="00342852" w:rsidRDefault="00342852" w:rsidP="00342852">
      <w:pPr>
        <w:pStyle w:val="BodyText"/>
      </w:pPr>
      <w:r>
        <w:t xml:space="preserve">From fact-checker armies to academic partnerships to oversight experiments, platforms have engaged with civil society in unprecedented ways – a far cry from a decade ago when “leave us alone” was the dominant Silicon Valley stance on regulation or outside influence. These joint efforts have indeed helped contain certain falsehoods and shed light on how to improve moderation. However, they also arguably bound platforms even closer to establishment institutions, painting a target on their backs for those inclined to see a grand conspiracy to control information. As the next section will explore, allegations of </w:t>
      </w:r>
      <w:r>
        <w:rPr>
          <w:b/>
          <w:bCs/>
        </w:rPr>
        <w:t>censorship</w:t>
      </w:r>
      <w:r>
        <w:t xml:space="preserve"> – especially politically motivated censorship of particular viewpoints – have mounted in tandem with the increase in content moderation and collaboration. The more the large platforms tried to exercise responsibility by curating content, the louder the accusations grew that they were actually tyrants of the public square. Understanding those claims, and the evidence for or against them, is crucial to evaluating platform policy in the disinformation age.</w:t>
      </w:r>
    </w:p>
    <w:p w14:paraId="27FB565E" w14:textId="77777777" w:rsidR="00342852" w:rsidRDefault="00342852" w:rsidP="00342852">
      <w:pPr>
        <w:pStyle w:val="Heading2"/>
      </w:pPr>
      <w:bookmarkStart w:id="66" w:name="X905e1be056631dbfd5c1f449e169c93e03a4cac"/>
      <w:bookmarkEnd w:id="65"/>
      <w:r>
        <w:t>The Censorship Debate: Moderation Under Fire</w:t>
      </w:r>
    </w:p>
    <w:p w14:paraId="702D1974" w14:textId="77777777" w:rsidR="00342852" w:rsidRDefault="00342852" w:rsidP="00342852">
      <w:pPr>
        <w:pStyle w:val="FirstParagraph"/>
      </w:pPr>
      <w:r>
        <w:t xml:space="preserve">No aspect of platform policy has been more contentious or politically charged than the question of </w:t>
      </w:r>
      <w:r>
        <w:rPr>
          <w:b/>
          <w:bCs/>
        </w:rPr>
        <w:t>censorship</w:t>
      </w:r>
      <w:r>
        <w:t xml:space="preserve"> – whether social media companies, in their efforts to moderate content, are unfairly silencing certain views or favoring others. What began as grumbling from some quarters in the late 2010s crescendoed into a full-blown culture war issue by the early 2020s. On one side are those (often but not exclusively conservatives) who argue </w:t>
      </w:r>
      <w:r>
        <w:lastRenderedPageBreak/>
        <w:t xml:space="preserve">that Big Tech platforms systematically muzzle voices they disfavor – particularly right-of-center or anti-establishment voices – under the guise of combating misinformation or enforcing “community standards.” On the other side are those who insist that platforms are simply attempting to enforce reasonable rules (against hate speech, false claims, etc.), and that there is </w:t>
      </w:r>
      <w:r>
        <w:rPr>
          <w:i/>
          <w:iCs/>
        </w:rPr>
        <w:t>no</w:t>
      </w:r>
      <w:r>
        <w:t xml:space="preserve"> evidence of an ideological tilt – in fact, research suggests popular conservative content thrives on social media {S:NYU2021}. These opposing narratives have dueled in Congress, in the media, and even within the companies themselves. The stakes are high: if the censorship claims are true, it implies a handful of private companies are effectively controlling the political conversation; if they are false, then the cries of bias are themselves a form of disinformation that undermines trust in the very measures needed to protect the public from harm.</w:t>
      </w:r>
    </w:p>
    <w:p w14:paraId="0D367805" w14:textId="77777777" w:rsidR="00342852" w:rsidRDefault="00342852" w:rsidP="00342852">
      <w:pPr>
        <w:pStyle w:val="BodyText"/>
      </w:pPr>
      <w:r>
        <w:t xml:space="preserve">The </w:t>
      </w:r>
      <w:r>
        <w:rPr>
          <w:b/>
          <w:bCs/>
        </w:rPr>
        <w:t>allegations of censorship</w:t>
      </w:r>
      <w:r>
        <w:t xml:space="preserve"> gained widespread attention starting around 2018. That year, a anecdotal report claimed Facebook’s trending topics team had suppressed conservative news – a story later questioned, but it tapped into a long-standing suspicion on the right that Silicon Valley’s largely liberal workforce would unconsciously (or consciously) tilt moderation decisions. Politicians seized on the theme: Republican lawmakers hauled tech CEOs before hearings repeatedly to ask whether their algorithms were biased and to accuse them of “censoring conservatives.” These concerns escalated as platforms took actions against high-profile figures known for spreading false or extreme content. For example, in 2018, Facebook, YouTube, and others banned Alex Jones, the InfoWars conspiracy theorist, citing repeated policy violations like harassment and hate – to Jones’s fans, this was evidence of ideological censorship. In 2020, during the heated election and pandemic year, Twitter and Facebook took the unprecedented step of limiting the spread of a </w:t>
      </w:r>
      <w:r>
        <w:rPr>
          <w:b/>
          <w:bCs/>
        </w:rPr>
        <w:t>New York Post story about Hunter Biden’s laptop</w:t>
      </w:r>
      <w:r>
        <w:t xml:space="preserve"> in October, pending verification (amid concerns it might be a hack-and-leak disinformation operation by a foreign actor). Twitter temporarily blocked links to the story, and Facebook downranked it, sparking immediate outcry that the companies were protecting then-candidate Joe Biden by squelching a negative story {S:TwitterFiles}. Even some journalists not typically aligned with the right questioned whether that decision was a mistake born of fear from the 2016 experience. Twitter’s CEO Jack Dorsey later admitted the communication around the decision was poor. But the damage was done: the </w:t>
      </w:r>
      <w:r>
        <w:rPr>
          <w:b/>
          <w:bCs/>
        </w:rPr>
        <w:t>Hunter Biden laptop affair</w:t>
      </w:r>
      <w:r>
        <w:t xml:space="preserve"> became a cause célèbre, continually cited as proof that social media intentionally interfered in the election conversation to favor one side. When internal Twitter communications from that time were later released, they showed a rushed, debated process with no clear evidence of government involvement – contrary to some claims – but by then a narrative had solidified that a “Big Tech + government” cabal had swung the public square {S:TwitterFiles}. That narrative only grew after the election.</w:t>
      </w:r>
    </w:p>
    <w:p w14:paraId="7DA71B79" w14:textId="77777777" w:rsidR="00342852" w:rsidRDefault="00342852" w:rsidP="00342852">
      <w:pPr>
        <w:pStyle w:val="BodyText"/>
      </w:pPr>
      <w:r>
        <w:t xml:space="preserve">The turning point was January 6, 2021. The role of online misinformation in stoking the Capitol riot was hard to ignore: the mob was animated by the false belief of a stolen election, a belief nurtured in no small part on social platforms where the outgoing President and his allies had spread that narrative incessantly. In the immediate aftermath, Twitter, Facebook, and YouTube all took their boldest moderation step ever – </w:t>
      </w:r>
      <w:r>
        <w:rPr>
          <w:b/>
          <w:bCs/>
        </w:rPr>
        <w:t>banning or indefinitely suspending President Donald Trump’s accounts</w:t>
      </w:r>
      <w:r>
        <w:t xml:space="preserve"> for glorifying violence or </w:t>
      </w:r>
      <w:r>
        <w:lastRenderedPageBreak/>
        <w:t>dangerous misinformation. Many extremist accounts and groups tied to the insurrection (such as QAnon adherents and “Stop the Steal” organizers) were purged in the same sweep. To a large segment of the public (and many world leaders), deplatforming Trump was an overdue action to prevent further incitement and falsehood that could lead to violence. But to others, it was the ultimate proof of a Silicon Valley “oligarchy” wielding unchecked power over political speech – if they can silence a democratically elected (albeit outgoing) president, who couldn’t they silence? Trump himself framed it as “an assault on free speech.” The bans drove many of his supporters to alternative platforms (like Parler, Gab, and later Trump’s own Truth Social) that pledged no political censorship. It also intensified calls on the right for legal consequences: proposals to amend or repeal Section 230 (the law shielding platforms from liability, which also allows them to moderate content) gained steam, explicitly linked to accusations of anti-conservative bias.</w:t>
      </w:r>
    </w:p>
    <w:p w14:paraId="0ED5F1FD" w14:textId="77777777" w:rsidR="00342852" w:rsidRDefault="00342852" w:rsidP="00342852">
      <w:pPr>
        <w:pStyle w:val="BodyText"/>
      </w:pPr>
      <w:r>
        <w:t xml:space="preserve">However, </w:t>
      </w:r>
      <w:r>
        <w:rPr>
          <w:b/>
          <w:bCs/>
        </w:rPr>
        <w:t>empirical research has largely refuted the claim of systemic anti-conservative bias</w:t>
      </w:r>
      <w:r>
        <w:t xml:space="preserve"> in moderation. A 2021 study by NYU’s Stern Center for Business and Human Rights found no evidence that social media companies were suppressing conservative content disproportionately {S:NYU2021}. In fact, the report pointed out that some of the most highly engaged content on Facebook on any given day was from conservative media personalities – far from being silenced, they often dominated attention metrics. The lead researcher, Paul Barrett, bluntly called the bias claim itself a form of disinformation being used for political purposes {S:NYU2021}. The study noted that anecdotal examples presented in congressional hearings tended to fall apart under scrutiny, and that numerous conservative outlets and figures had huge followings and reach on these platforms. Furthermore, every major lawsuit alleging political discrimination by a platform had been dismissed for lack of evidence {S:NYU2021}. Another analysis in 2022 found that if anything, Facebook’s moderation policies bent over backwards to avoid charges of bias – for instance, an internal program called </w:t>
      </w:r>
      <w:r>
        <w:rPr>
          <w:i/>
          <w:iCs/>
        </w:rPr>
        <w:t>“cross-check”</w:t>
      </w:r>
      <w:r>
        <w:t xml:space="preserve"> exempted high-profile accounts (often including right-wing politicians and pundits) from automated enforcement, leading to slower or laxer action on rule-breaking posts by those figures. Paradoxically, this system meant some of the very voices crying bias were getting preferential treatment {S:FacebookFilesWSJ}. And in 2021, data from Facebook’s own CrowdTangle tool regularly showed that top-performing political posts (in terms of engagement) were from conservative commentators like Ben Shapiro or Dan Bongino.</w:t>
      </w:r>
    </w:p>
    <w:p w14:paraId="40B1224B" w14:textId="77777777" w:rsidR="00342852" w:rsidRDefault="00342852" w:rsidP="00342852">
      <w:pPr>
        <w:pStyle w:val="BodyText"/>
      </w:pPr>
      <w:r>
        <w:t xml:space="preserve">Nonetheless, the </w:t>
      </w:r>
      <w:r>
        <w:rPr>
          <w:i/>
          <w:iCs/>
        </w:rPr>
        <w:t>perception</w:t>
      </w:r>
      <w:r>
        <w:t xml:space="preserve"> of bias remained widespread among conservative users. Part of this was fueled by real instances where moderation calls were later walked back – creating suspicion. For example, early in the pandemic, social networks removed content suggesting COVID-19 was man-made or leaked from a lab, because it was deemed misinformation contradicting health authorities. When, much later, the “lab leak” theory gained legitimacy in mainstream debate, critics used the initial removal to say “see, they censored a viewpoint that turned out plausible.” In another case, Facebook in 2021 briefly blocked #ResignModi, a hashtag used by Indian activists critical of the government’s pandemic response, then reversed it and apologized, saying it was an error. Mistakes like these, or evolving scientific understanding, inevitably fed narratives that platforms had been too heavy-handed.</w:t>
      </w:r>
    </w:p>
    <w:p w14:paraId="667D779A" w14:textId="77777777" w:rsidR="00342852" w:rsidRDefault="00342852" w:rsidP="00342852">
      <w:pPr>
        <w:pStyle w:val="BodyText"/>
      </w:pPr>
      <w:r>
        <w:lastRenderedPageBreak/>
        <w:t xml:space="preserve">The </w:t>
      </w:r>
      <w:r>
        <w:rPr>
          <w:b/>
          <w:bCs/>
        </w:rPr>
        <w:t>“Twitter Files”</w:t>
      </w:r>
      <w:r>
        <w:t xml:space="preserve"> in late 2022 added fuel. These were internal Twitter communications released (via select journalists) by new owner Elon Musk to expose “free speech suppression” under the old regime. While their substance largely showed content moderators earnestly grappling with complex decisions, Musk and allies highlighted tidbits to claim there had been a left-leaning bias and a cozy relationship with federal agencies. For instance, one batch showed that Twitter’s Trust &amp; Safety staff communicated with FBI and DHS officials who flagged certain tweets (often small accounts spouting false claims about voting). The context – that government agencies routinely flag content during elections, including foreign propaganda or misleading info about voting dates, as part of cybersecurity efforts – was lost as commentators seized on the optics of FBI agents in Twitter’s inbox. Musk trumpeted the notion that the government had “censored” Americans by proxy. However, further evidence and even Twitter’s legal filings painted a different picture: that these were requests, not orders, and Twitter often decided not to act on them; and that officials from both major U.S. political parties made requests (indeed, former Twitter staff noted that Republican campaigns regularly asked Twitter to remove posts they disliked, such as parody accounts, at times forcing Twitter to build a special database to track these requests) {S:TwitterFiles}. In a June 2023 court document, Twitter’s attorneys stated plainly that the Twitter Files did </w:t>
      </w:r>
      <w:r>
        <w:rPr>
          <w:b/>
          <w:bCs/>
        </w:rPr>
        <w:t>not</w:t>
      </w:r>
      <w:r>
        <w:t xml:space="preserve"> substantiate claims of government coercion to censor content, pushing back against the narrative that federal agents had somehow forced Twitter’s hand {S:TwitterFiles}. Nonetheless, the selective presentation of the Files reinforced beliefs in a “deep state-big tech” alliance for those already inclined to see one.</w:t>
      </w:r>
    </w:p>
    <w:p w14:paraId="76623F69" w14:textId="77777777" w:rsidR="00342852" w:rsidRDefault="00342852" w:rsidP="00342852">
      <w:pPr>
        <w:pStyle w:val="BodyText"/>
      </w:pPr>
      <w:r>
        <w:t xml:space="preserve">Perhaps the strongest articulation of the censorship accusation came from a branch of the U.S. Congress itself. In 2023, the House Judiciary Committee’s Republican majority issued a report decrying a “censorship-industrial complex” comprised of government agencies like CISA and external “disinformation labs” (the very partnerships described earlier) {S:HouseReport2023}. The report singled out the Election Integrity Partnership, accusing it of facilitating government censorship of Americans’ speech by acting as an intermediary. It alleged that what the federal government </w:t>
      </w:r>
      <w:r>
        <w:rPr>
          <w:i/>
          <w:iCs/>
        </w:rPr>
        <w:t>could not do legally</w:t>
      </w:r>
      <w:r>
        <w:t xml:space="preserve"> (censor domestic speech), it outsourced to private entities who then pressured platforms {S:HouseReport2023}. In the report’s framing, the EIP was born “at the request” of DHS to launder censorship, and indeed EIP analysts did flag content from ordinary Americans – even candidates – that ended up being removed or demoted {S:HouseReport2023}. The implication was that under the cover of fighting “misinformation,” authorities and allied researchers silenced citizens engaged in core political speech about issues like mail-in voting or election outcomes. As proof of overreach, proponents of this view often note that some content flagged as misinformation was actually </w:t>
      </w:r>
      <w:r>
        <w:rPr>
          <w:i/>
          <w:iCs/>
        </w:rPr>
        <w:t>opinions or predictions</w:t>
      </w:r>
      <w:r>
        <w:t xml:space="preserve"> (for example, claims that mail-in ballots would lead to fraud could be labeled misinformation, though one could argue it was a political opinion). They argue this blurring of lines means legitimate viewpoints were throttled.</w:t>
      </w:r>
    </w:p>
    <w:p w14:paraId="322791A3" w14:textId="77777777" w:rsidR="00342852" w:rsidRDefault="00342852" w:rsidP="00342852">
      <w:pPr>
        <w:pStyle w:val="BodyText"/>
      </w:pPr>
      <w:r>
        <w:t xml:space="preserve">Defenders of the EIP and similar efforts counter that what they flagged were </w:t>
      </w:r>
      <w:r>
        <w:rPr>
          <w:b/>
          <w:bCs/>
        </w:rPr>
        <w:t>demonstrably false claims</w:t>
      </w:r>
      <w:r>
        <w:t xml:space="preserve"> – for instance, falsehoods about voting machines switching votes or about election dates – not subjective opinions {S:EIP2020}. Moreover, they point out that the </w:t>
      </w:r>
      <w:r>
        <w:lastRenderedPageBreak/>
        <w:t xml:space="preserve">platforms made the final calls on content; EIP had no coercive power, only the ability to alert and provide evidence. The EIP’s own report is transparent about its activities and even listed cases where platforms chose </w:t>
      </w:r>
      <w:r>
        <w:rPr>
          <w:i/>
          <w:iCs/>
        </w:rPr>
        <w:t>not</w:t>
      </w:r>
      <w:r>
        <w:t xml:space="preserve"> to act on some flagged items. Nevertheless, the perception among many on the right is that a shadowy network of “experts” and government bureaucrats worked behind closed doors to shut down narratives they didn’t like (notably, narratives that later animated the base of one political party). This belief has had consequences: it has spurred legislation at state levels aiming to bar state officials from flagging content to platforms, and it underpins ongoing lawsuits (such as </w:t>
      </w:r>
      <w:r>
        <w:rPr>
          <w:i/>
          <w:iCs/>
        </w:rPr>
        <w:t>Missouri v. Biden</w:t>
      </w:r>
      <w:r>
        <w:t>) that argue government pressure on social media regarding misinformation (especially COVID-related) violated the First Amendment. Those lawsuits have already led to court orders prohibiting federal agencies from certain communications with platforms – a remarkable development that could reshape how governments interface with tech companies on content issues.</w:t>
      </w:r>
    </w:p>
    <w:p w14:paraId="330AE2AC" w14:textId="77777777" w:rsidR="00342852" w:rsidRDefault="00342852" w:rsidP="00342852">
      <w:pPr>
        <w:pStyle w:val="BodyText"/>
      </w:pPr>
      <w:r>
        <w:t xml:space="preserve">Yet, zooming out, an </w:t>
      </w:r>
      <w:r>
        <w:rPr>
          <w:i/>
          <w:iCs/>
        </w:rPr>
        <w:t>opposite</w:t>
      </w:r>
      <w:r>
        <w:t xml:space="preserve"> critique simultaneously exists: that platforms have </w:t>
      </w:r>
      <w:r>
        <w:rPr>
          <w:i/>
          <w:iCs/>
        </w:rPr>
        <w:t>not done enough</w:t>
      </w:r>
      <w:r>
        <w:t xml:space="preserve"> moderation to curb harmful disinformation, and that in trying to avoid charges of bias, they’ve bent too far backward, allowing toxic content to fester. This is the view often expressed by civil rights advocates, public health experts, and many on the left. They cite examples like Facebook’s reluctance to remove outright COVID vaccine falsehoods in 2020 (the platform initially labeled and demoted them but only later removed some dangerous false claims after pressure). They point to how hate groups and election conspiracy groups often weren’t banned until after real-world violence occurred (as with Facebook only banning QAnon en masse in late 2020 after months of growth). To these observers, the problem was not Silicon Valley exercising a heavy hand, but rather its inconsistent, reactive enforcement driven by PR crises. Indeed, internal documents leaked by Facebook whistleblower Frances Haugen in 2021 showed that Facebook had whitelisted certain high-profile accounts from enforcement (the cross-check program), and struggled to police misinformation in non-English languages – suggesting that far from being an efficient censorship machine, the platform often failed to remove content that blatantly violated its policies, especially outside the U.S. {S:FacebookFilesWSJ}. Some critics argue that the loud accusations of “anti-conservative bias” actually spooked platforms into </w:t>
      </w:r>
      <w:r>
        <w:rPr>
          <w:i/>
          <w:iCs/>
        </w:rPr>
        <w:t>less</w:t>
      </w:r>
      <w:r>
        <w:t xml:space="preserve"> aggressive moderation, allowing, say, election lies to spread under the radar for fear of political backlash.</w:t>
      </w:r>
    </w:p>
    <w:p w14:paraId="43A6ACC3" w14:textId="77777777" w:rsidR="00342852" w:rsidRDefault="00342852" w:rsidP="00342852">
      <w:pPr>
        <w:pStyle w:val="BodyText"/>
      </w:pPr>
      <w:r>
        <w:t xml:space="preserve">The truth about bias is nuanced. Cases can be found where individual moderators or algorithms made errors – wrongly removing a post here, leaving a similar post up there – but at scale, studies haven’t found systematic bias against one ideology. Notably, a 2023 paper by researchers at MIT and Yale found that if conservative accounts experience more frequent moderation, it is largely because they share more content that </w:t>
      </w:r>
      <w:r>
        <w:rPr>
          <w:i/>
          <w:iCs/>
        </w:rPr>
        <w:t>violates</w:t>
      </w:r>
      <w:r>
        <w:t xml:space="preserve"> the stated rules (e.g. misinformation) – not because the rules target conservatives per se {S:MITBiasStudy}. In other words, correlation is not conspiracy: a group that happens to propagate more false or hateful content will naturally be moderated more often by neutral rules against false or hateful content. That seems to be the case on platforms: accounts promoting COVID or election misinformation (which in the U.S. tended to align with right-wing narratives in recent years) got more bans or fact-check labels, but not due to their </w:t>
      </w:r>
      <w:r>
        <w:lastRenderedPageBreak/>
        <w:t>identity – rather due to their behavior. Conversely, other categories of content (like anti-police-leftist content during 2020 protests) were also sometimes taken down under “violence” rules, angering left-wing activists. The biases, when they occur, often reflect enforcement inconsistencies or broader societal biases baked into AI (like detecting speech in English better than other languages) rather than an explicit partisan agenda from the top.</w:t>
      </w:r>
    </w:p>
    <w:p w14:paraId="6C3E8B3B" w14:textId="77777777" w:rsidR="00342852" w:rsidRDefault="00342852" w:rsidP="00342852">
      <w:pPr>
        <w:pStyle w:val="BodyText"/>
      </w:pPr>
      <w:r>
        <w:t>Platform leaders have repeatedly denied any political bias in their policies. Mark Zuckerberg, under oath, said Facebook does not have an interest in favoring any political viewpoint and that they often get flak from both sides simultaneously – a sign they might be in the rough middle. Likewise, Twitter’s former head of trust &amp; safety, Yoel Roth, noted that they applied rules like the civic integrity policy to many accounts including left-leaning ones, but those just didn’t make the news in the same way. In one example, when Twitter cracked down on misinformation about election processes, they took action on misleading tweets from some Democratic-allied accounts falsely claiming ICE would check immigration status at polls – to show neutrality, they aimed to enforce evenly {S:TwitterEnforcementExample}.</w:t>
      </w:r>
    </w:p>
    <w:p w14:paraId="367040D5" w14:textId="77777777" w:rsidR="00342852" w:rsidRDefault="00342852" w:rsidP="00342852">
      <w:pPr>
        <w:pStyle w:val="BodyText"/>
      </w:pPr>
      <w:r>
        <w:t xml:space="preserve">Despite these assurances, the political pressure on platforms to prove neutrality kept rising. By 2022–2023, with a shift in U.S. political winds and Elon Musk’s acquisition of Twitter (renaming it “X” and proclaiming a “free speech absolutist” approach), the pendulum of moderation philosophy began to swing. </w:t>
      </w:r>
      <w:r>
        <w:rPr>
          <w:b/>
          <w:bCs/>
        </w:rPr>
        <w:t>Musk’s Twitter</w:t>
      </w:r>
      <w:r>
        <w:t xml:space="preserve"> quickly moved to reinstate banned accounts (including Trump’s, although Trump did not tweet, preferring his own platform), dismantled the advisory Trust &amp; Safety Council, and ended the enforcement of certain misinformation policies – for instance, Twitter stopped its COVID misinformation policy in late 2022, meaning it would no longer remove false claims about vaccines or masks. Musk justified these moves as restoring free discourse and correcting what he saw as an ideological excess by previous management. Critics, however, observed a spike in hate speech and misinformation on Twitter after moderation was dialed back, and many advertisers fled, concerned about their ads appearing next to toxic content. Musk’s response was essentially that the crowd would correct falsities (through features like </w:t>
      </w:r>
      <w:r>
        <w:rPr>
          <w:b/>
          <w:bCs/>
        </w:rPr>
        <w:t>Community Notes</w:t>
      </w:r>
      <w:r>
        <w:t>, a user-driven fact-checking system Twitter was expanding). He even invited users to “provide reasoned counterpoints” rather than expecting the platform to remove offending posts.</w:t>
      </w:r>
    </w:p>
    <w:p w14:paraId="0B740286" w14:textId="77777777" w:rsidR="00342852" w:rsidRDefault="00342852" w:rsidP="00342852">
      <w:pPr>
        <w:pStyle w:val="BodyText"/>
      </w:pPr>
      <w:r>
        <w:t xml:space="preserve">Perhaps emboldened by Musk – or by shifting political context – Meta (Facebook’s parent) made a dramatic about-face in early 2025. In January, Meta announced it would </w:t>
      </w:r>
      <w:r>
        <w:rPr>
          <w:b/>
          <w:bCs/>
        </w:rPr>
        <w:t>terminate its third-party fact-checking partnerships in the United States and significantly loosen content moderation rules</w:t>
      </w:r>
      <w:r>
        <w:t xml:space="preserve">, pivoting to a strategy closer to Twitter’s {S:KaplanBlog2025}{S:WiredMeta2025}. CEO Mark Zuckerberg and policy chief Joel Kaplan framed the change as a return to “free expression” and a correction of overreach. </w:t>
      </w:r>
      <w:r>
        <w:rPr>
          <w:i/>
          <w:iCs/>
        </w:rPr>
        <w:t>“Our complex systems to moderate content… have gone too far,”</w:t>
      </w:r>
      <w:r>
        <w:t xml:space="preserve"> Kaplan wrote in a company blog post, saying they led to too many mistakes and “too much harmless content” being censored {S:KaplanBlog2025}. Meta declared it would lift or rewrite restrictions on topics like immigration and gender – areas it admitted had been over-zealously policed – and </w:t>
      </w:r>
      <w:r>
        <w:lastRenderedPageBreak/>
        <w:t xml:space="preserve">focus moderation only on illegal content and the most severe harms. Crucially, Kaplan took a direct swipe at the fact-checking program that Meta had championed since 2016: he argued that independent fact-checkers had their </w:t>
      </w:r>
      <w:r>
        <w:rPr>
          <w:i/>
          <w:iCs/>
        </w:rPr>
        <w:t>“own biases and perspectives”</w:t>
      </w:r>
      <w:r>
        <w:t xml:space="preserve"> and that </w:t>
      </w:r>
      <w:r>
        <w:rPr>
          <w:i/>
          <w:iCs/>
        </w:rPr>
        <w:t>“over time we ended up with too much content being fact-checked that people would understand to be legitimate political speech and debate… A program intended to inform became a tool to censor,”</w:t>
      </w:r>
      <w:r>
        <w:t xml:space="preserve"> in his words {S:KaplanBlog2025}. Consequently, Meta chose to disband the U.S. fact-checking partnerships and instead implement </w:t>
      </w:r>
      <w:r>
        <w:rPr>
          <w:b/>
          <w:bCs/>
        </w:rPr>
        <w:t>Community Notes</w:t>
      </w:r>
      <w:r>
        <w:t xml:space="preserve"> (the crowd-sourced notes model pioneered on Twitter) on Facebook, Instagram, and Threads. Zuckerberg even announced the company’s Trust &amp; Safety teams would relocate from California to Texas, symbolically distancing content policy from Silicon Valley’s culture and presumably to build trust in “Red America” {S:WiredMeta2025}. In a video address, Zuckerberg lamented that </w:t>
      </w:r>
      <w:r>
        <w:rPr>
          <w:i/>
          <w:iCs/>
        </w:rPr>
        <w:t>“legacy media”</w:t>
      </w:r>
      <w:r>
        <w:t xml:space="preserve"> pressure after 2016 had pushed Facebook into adopting too many moderation rules, and asserted that those days were over – </w:t>
      </w:r>
      <w:r>
        <w:rPr>
          <w:i/>
          <w:iCs/>
        </w:rPr>
        <w:t>“we’re going to simplify our content policies and get rid of restrictions… that are just out of touch with mainstream discourse,”</w:t>
      </w:r>
      <w:r>
        <w:t xml:space="preserve"> he said {S:WiredMeta2025}.</w:t>
      </w:r>
    </w:p>
    <w:p w14:paraId="7C918BAB" w14:textId="77777777" w:rsidR="00342852" w:rsidRDefault="00342852" w:rsidP="00342852">
      <w:pPr>
        <w:pStyle w:val="BodyText"/>
      </w:pPr>
      <w:r>
        <w:t xml:space="preserve">This startling reversal by Meta – arguably the biggest course-change in platform policy in a decade – was cheered by those long critical of perceived censorship. Some conservative commentators hailed it as a win for free speech and a sign that Silicon Valley was finally listening to heartland concerns. But it provoked dismay and alarm from fact-checkers, journalists, and many civil society observers. Meta’s fact-checking partners reported being </w:t>
      </w:r>
      <w:r>
        <w:rPr>
          <w:b/>
          <w:bCs/>
        </w:rPr>
        <w:t>“blindsided”</w:t>
      </w:r>
      <w:r>
        <w:t xml:space="preserve"> by the decision {S:WiredFactcheck2025}. Organizations like Lead Stories and PolitiFact suddenly faced the loss of funding and access that Facebook had provided – one fact-check editor said the move </w:t>
      </w:r>
      <w:r>
        <w:rPr>
          <w:i/>
          <w:iCs/>
        </w:rPr>
        <w:t>“is going to eventually drain us out”</w:t>
      </w:r>
      <w:r>
        <w:t xml:space="preserve"> financially {S:WiredFactcheck2025}. Beyond the impact on media outlets’ budgets, fact-checkers disputed Zuckerberg’s insinuations of bias. </w:t>
      </w:r>
      <w:r>
        <w:rPr>
          <w:i/>
          <w:iCs/>
        </w:rPr>
        <w:t>“Facts are not censorship. Fact-checkers never censored anything. And Meta always held the cards,”</w:t>
      </w:r>
      <w:r>
        <w:t xml:space="preserve"> replied Neil Brown, president of the Poynter Institute, noting that fact-checkers merely added context and it was Facebook that decided whether to downrank or remove posts {S:WiredFactcheck2025}. They saw Meta’s explanation as scapegoating them for the backlash the company faced. Several pointed out that crowd-sourced notes often still rely on expert sources – in practice, volunteers writing notes will cite professional fact-checks or credible news to provide the “context” – so eliminating experts entirely might just reduce accuracy {S:WiredFactcheck2025}. Nina Jankowicz, the former head of the nixed DHS Disinformation Governance Board, criticized Meta’s shift as </w:t>
      </w:r>
      <w:r>
        <w:rPr>
          <w:i/>
          <w:iCs/>
        </w:rPr>
        <w:t>“a full bending of the knee to Trump and an attempt to catch up to Musk in his race to the bottom”</w:t>
      </w:r>
      <w:r>
        <w:t xml:space="preserve"> – in her view, an abandonment of even the imperfect tools that had been built to stem disinformation {S:WiredMeta2025}.</w:t>
      </w:r>
    </w:p>
    <w:p w14:paraId="76A819C7" w14:textId="77777777" w:rsidR="00342852" w:rsidRDefault="00342852" w:rsidP="00342852">
      <w:pPr>
        <w:pStyle w:val="BodyText"/>
      </w:pPr>
      <w:r>
        <w:t xml:space="preserve">Indeed, the </w:t>
      </w:r>
      <w:r>
        <w:rPr>
          <w:b/>
          <w:bCs/>
        </w:rPr>
        <w:t>political timing</w:t>
      </w:r>
      <w:r>
        <w:t xml:space="preserve"> of Meta’s pivot was hard to ignore. Coming right after the 2024 U.S. elections, which (according to Wired and other outlets) resulted in a President-elect openly hostile to the prior content moderation regime, many interpreted Meta’s move as an attempt to appease the incoming administration {S:WiredMeta2025}. Joel Kaplan, who authored the announcement, is himself a former GOP operative and had long been seen internally as advocating for sensitivity to conservative criticism. By dropping the fact-check </w:t>
      </w:r>
      <w:r>
        <w:lastRenderedPageBreak/>
        <w:t xml:space="preserve">program and promising to allow more controversial political speech, Meta could be betting on currying favor with regulators or at least avoiding being a political punching bag. From a broader perspective, this development suggests that </w:t>
      </w:r>
      <w:r>
        <w:rPr>
          <w:b/>
          <w:bCs/>
        </w:rPr>
        <w:t>platform governance is not evolving in a straight line towards ever-increasing moderation</w:t>
      </w:r>
      <w:r>
        <w:t>. Instead, it is highly responsive to political currents and public sentiment. A few years ago, in the wake of the Capitol riot and a pandemic of misinformation, the momentum was towards tighter rules, more aggressive fact-checking, and more collaboration to curb falsehoods. By 2025, the momentum in some quarters has swung toward deregulation of speech on platforms, under the banner of free expression and correcting alleged bias.</w:t>
      </w:r>
    </w:p>
    <w:p w14:paraId="29F1CE79" w14:textId="77777777" w:rsidR="00342852" w:rsidRDefault="00342852" w:rsidP="00342852">
      <w:pPr>
        <w:pStyle w:val="BodyText"/>
      </w:pPr>
      <w:r>
        <w:t>It’s a pendulum that might continue to swing. The risk of course is that in loosening all these restrictions, platforms once again become fertile ground for viral lies that can lead to real harm – be it public health crises or democratic instability. Early evidence from Twitter’s free-for-all experiment has shown an uptick in misleading content and coordinated propaganda. Will Facebook/Meta see the same, or will Community Notes and user choice prove sufficient to maintain “online civic health”? Proponents of minimal moderation often argue that bad ideas should be countered with better ideas, not silenced. Detractors retort that algorithmic amplification gives bad ideas exponential reach and that propaganda can drown out truth if left unchecked.</w:t>
      </w:r>
    </w:p>
    <w:p w14:paraId="3C8AB014" w14:textId="77777777" w:rsidR="00342852" w:rsidRDefault="00342852" w:rsidP="00342852">
      <w:pPr>
        <w:pStyle w:val="BodyText"/>
      </w:pPr>
      <w:r>
        <w:t xml:space="preserve">The </w:t>
      </w:r>
      <w:r>
        <w:rPr>
          <w:i/>
          <w:iCs/>
        </w:rPr>
        <w:t>censorship debate</w:t>
      </w:r>
      <w:r>
        <w:t xml:space="preserve"> is far from resolved. It has, however, made one thing clear: content moderation is inherently political. Even if a platform sets out neutral rules, the enforcement of those rules will be perceived through partisans’ lenses in an increasingly polarized environment. Each content decision on a contentious topic is dissected, and any perceived imbalance is seized upon. For instance, when Facebook banned several far-right figures in 2019 (Milo Yiannopoulos, Laura Loomer, etc. for hate speech), some conservatives protested. When, conversely, Twitter under Musk suspended some left-leaning journalists in 2022 (for alleged policy violations related to sharing location info), the other side protested. In each case the companies insisted the enforcement was policy-based, not viewpoint-based. The pattern suggests that </w:t>
      </w:r>
      <w:r>
        <w:rPr>
          <w:i/>
          <w:iCs/>
        </w:rPr>
        <w:t>whoever</w:t>
      </w:r>
      <w:r>
        <w:t xml:space="preserve"> is getting moderated will tend to view it as unfair. This dynamic has arguably been exploited by political actors: raising the cry of censorship has become a rallying trope in itself, occasionally to deflect from why content was moderated (e.g. spreading misinformation) to instead focus outrage on the moderator.</w:t>
      </w:r>
    </w:p>
    <w:p w14:paraId="2F91CAFB" w14:textId="77777777" w:rsidR="00342852" w:rsidRDefault="00342852" w:rsidP="00342852">
      <w:pPr>
        <w:pStyle w:val="BodyText"/>
      </w:pPr>
      <w:r>
        <w:t xml:space="preserve">For readers trying to make sense of all this, it’s important to differentiate </w:t>
      </w:r>
      <w:r>
        <w:rPr>
          <w:b/>
          <w:bCs/>
        </w:rPr>
        <w:t>allegations from evidence</w:t>
      </w:r>
      <w:r>
        <w:t xml:space="preserve">. Allegations of platform censorship often rely on cherry-picked anecdotes or assume intent from outcome (e.g. “this conservative post was removed, therefore the motive was anti-conservative bias”). The evidence – transparent reporting and independent studies – has so far not shown systemic partisan bias. What it </w:t>
      </w:r>
      <w:r>
        <w:rPr>
          <w:i/>
          <w:iCs/>
        </w:rPr>
        <w:t>has</w:t>
      </w:r>
      <w:r>
        <w:t xml:space="preserve"> shown are systemic failures: failure to consistently apply rules, failure to invest equally in moderation across languages, failure to foresee how legitimate policy enforcement could be spun as malicious censorship. Meanwhile, actual </w:t>
      </w:r>
      <w:r>
        <w:rPr>
          <w:i/>
          <w:iCs/>
        </w:rPr>
        <w:t>disinformation campaigns</w:t>
      </w:r>
      <w:r>
        <w:t xml:space="preserve"> – state-sponsored or domestic – continue to exploit the openness of platforms. Those are the genuine “bad actors” that the content moderation apparatus was designed to counter. When attention is </w:t>
      </w:r>
      <w:r>
        <w:lastRenderedPageBreak/>
        <w:t>diverted to fighting the referees (the platforms and their partners) rather than the disinformers, the only clear winners are the purveyors of falsehood themselves, who find less resistance to their operations.</w:t>
      </w:r>
    </w:p>
    <w:bookmarkEnd w:id="66"/>
    <w:p w14:paraId="0724BF40" w14:textId="77777777" w:rsidR="00342852" w:rsidRDefault="00342852" w:rsidP="00342852">
      <w:pPr>
        <w:pStyle w:val="Heading2"/>
      </w:pPr>
      <w:r>
        <w:t>Evolving Policies and the Road Ahead</w:t>
      </w:r>
    </w:p>
    <w:p w14:paraId="27C9B957" w14:textId="77777777" w:rsidR="00342852" w:rsidRDefault="00342852" w:rsidP="00342852">
      <w:pPr>
        <w:pStyle w:val="FirstParagraph"/>
      </w:pPr>
      <w:r>
        <w:t xml:space="preserve">As we have seen, platform policies on disinformation and harmful content have been in flux, shaped by trial-and-error, public pressure, and high-profile events. From 2016 to 2020, the general trajectory was toward </w:t>
      </w:r>
      <w:r>
        <w:rPr>
          <w:b/>
          <w:bCs/>
        </w:rPr>
        <w:t>tighter moderation</w:t>
      </w:r>
      <w:r>
        <w:t>: new rules against election misinformation, crackdowns on Covid falsehoods, and increased reliance on fact-checkers and AI to patrol content. Transparency reports from companies documented millions of removals – Facebook, for instance, reported removing over 20 million pieces of COVID misinformation in just one year’s span, and Twitter likewise began reporting how many “misleading information” labels it applied each quarter {S:TransparencyReports2021}. The era also saw the first real content policy “czars” within companies (like Facebook’s VP of Integrity Guy Rosen, Twitter’s Trust &amp; Safety lead). It was a period of intense learning: Facebook learned that borderline content (sensational but not outright violating) could be as corrosive as blatant fake news; Twitter learned that labeling a tweet might not stop its spread and sometimes a stronger step (like removal or de-amplification) was needed to prevent viral lies.</w:t>
      </w:r>
    </w:p>
    <w:p w14:paraId="00D81633" w14:textId="77777777" w:rsidR="00342852" w:rsidRDefault="00342852" w:rsidP="00342852">
      <w:pPr>
        <w:pStyle w:val="BodyText"/>
      </w:pPr>
      <w:r>
        <w:t xml:space="preserve">However, the 2020–2021 peak of interventionist stance gave way to pushback. By 2022, facing accusations of overreach and changes in ownership/leadership, some platforms recalibrated. We are now at a juncture where </w:t>
      </w:r>
      <w:r>
        <w:rPr>
          <w:b/>
          <w:bCs/>
        </w:rPr>
        <w:t>policies are diverging</w:t>
      </w:r>
      <w:r>
        <w:t xml:space="preserve"> by platform and region:</w:t>
      </w:r>
    </w:p>
    <w:p w14:paraId="7CD862F6" w14:textId="77777777" w:rsidR="00342852" w:rsidRDefault="00342852" w:rsidP="00342852">
      <w:pPr>
        <w:numPr>
          <w:ilvl w:val="0"/>
          <w:numId w:val="1"/>
        </w:numPr>
      </w:pPr>
      <w:r>
        <w:rPr>
          <w:b/>
          <w:bCs/>
        </w:rPr>
        <w:t>Twitter/X</w:t>
      </w:r>
      <w:r>
        <w:t xml:space="preserve"> under Musk is the most extreme case of laissez-faire – restoring banned accounts, removing many policy guardrails, and betting on crowdsourced moderation. It represents a live experiment: can a major social network function (and not devolve into chaos) with minimal centralized control? Thus far, it has experienced a surge in misinformation and hate incidents according to watchdog groups {S:TwitterPostMuskStudies}, though Musk disputes those findings. The platform also faces potential penalties in the EU, where regulators have warned that its changes may violate the Digital Services Act obligations to curb disinformation. Indeed, the EU opened an investigation in late 2023 into X’s handling of platform manipulation and fake content, especially after waves of false info about the Ukraine war and Israel-Hamas conflict spread on X with little content moderation.</w:t>
      </w:r>
    </w:p>
    <w:p w14:paraId="14597FAA" w14:textId="77777777" w:rsidR="00342852" w:rsidRDefault="00342852" w:rsidP="00342852">
      <w:pPr>
        <w:numPr>
          <w:ilvl w:val="0"/>
          <w:numId w:val="1"/>
        </w:numPr>
      </w:pPr>
      <w:r>
        <w:rPr>
          <w:b/>
          <w:bCs/>
        </w:rPr>
        <w:t>Meta (Facebook/Instagram)</w:t>
      </w:r>
      <w:r>
        <w:t xml:space="preserve"> is now charting a somewhat Musk-like course in the U.S., though it remains to be seen how far they implement the “lighter touch” approach globally. The initial announcement was U.S.-focused, likely because that’s where political pressure was greatest. In Europe or other regions, Meta might continue some stricter measures to comply with local codes of practice. Meta’s own update in mid-2025 boasted that after shifting focus to fewer, high-severity </w:t>
      </w:r>
      <w:r>
        <w:lastRenderedPageBreak/>
        <w:t xml:space="preserve">violations, they saw a 50% reduction in what they call “enforcement mistakes” – indicating fewer users getting wrongfully flagged or banned {S:KaplanBlog2025}. That metric was a subtle nod to critics who claimed the old system snagged too many innocuous posts. However, as Meta loosens its stance on what is allowed, monitoring what </w:t>
      </w:r>
      <w:r>
        <w:rPr>
          <w:i/>
          <w:iCs/>
        </w:rPr>
        <w:t>effects</w:t>
      </w:r>
      <w:r>
        <w:t xml:space="preserve"> that has (on user experience, on misinformation prevalence, on public perception) will be crucial. If echo chambers of falsehood worsen, Meta may have to adjust again. Conversely, if Community Notes is somehow wildly successful at debunking false posts to everyone’s satisfaction, other platforms might emulate it.</w:t>
      </w:r>
    </w:p>
    <w:p w14:paraId="48836B5B" w14:textId="77777777" w:rsidR="00342852" w:rsidRDefault="00342852" w:rsidP="00342852">
      <w:pPr>
        <w:numPr>
          <w:ilvl w:val="0"/>
          <w:numId w:val="1"/>
        </w:numPr>
      </w:pPr>
      <w:r>
        <w:rPr>
          <w:b/>
          <w:bCs/>
        </w:rPr>
        <w:t>YouTube</w:t>
      </w:r>
      <w:r>
        <w:t xml:space="preserve"> has taken a somewhat middle path but also made a controversial decision: in June 2023, YouTube announced it would stop removing content that falsely claims past U.S. elections were stolen, reasoning that open discussion was preferable as an election grew more distant. This rollback of a hardline policy (which had been instituted after the 2020 election lies led to violence) alarmed many experts, who saw it as YouTube yielding to political pressure and risking normalization of election denial {S:YouTubeElectionPolicyChange}. Yet YouTube maintained it would still police misinformation about </w:t>
      </w:r>
      <w:r>
        <w:rPr>
          <w:i/>
          <w:iCs/>
        </w:rPr>
        <w:t>upcoming</w:t>
      </w:r>
      <w:r>
        <w:t xml:space="preserve"> elections and other harmful false content like dangerous medical misinformation. It was a nuanced stance – perhaps trying to draw a line between actively dangerous lies vs. “personal opinion” about historical events – but critics worry it sends a signal of retreat.</w:t>
      </w:r>
    </w:p>
    <w:p w14:paraId="74BA70A6" w14:textId="77777777" w:rsidR="00342852" w:rsidRDefault="00342852" w:rsidP="00342852">
      <w:pPr>
        <w:numPr>
          <w:ilvl w:val="0"/>
          <w:numId w:val="1"/>
        </w:numPr>
      </w:pPr>
      <w:r>
        <w:rPr>
          <w:b/>
          <w:bCs/>
        </w:rPr>
        <w:t>TikTok</w:t>
      </w:r>
      <w:r>
        <w:t xml:space="preserve"> and other newer platforms, under heavy scrutiny especially by governments concerned about foreign influence, have generally kept stringent content rules on misinformation. TikTok bans “harmful misinformation” outright and has partnered with fact-checkers for major events. Its challenge, however, is enforcement at scale and the unique virality of its algorithm. TikTok saw waves of misinformation during COVID and the 2020 election that required manual takedowns. Given its need to prove itself trustworthy (amid political threats of bans in the U.S.), TikTok has an incentive to demonstrate robust moderation to regulators. It’s less entangled in the U.S. partisan bias fight, oddly, because it’s not seen as a traditional forum for political news – yet it certainly hosts tons of conspiracies and false claims in practice among its user videos.</w:t>
      </w:r>
    </w:p>
    <w:p w14:paraId="2F809468" w14:textId="77777777" w:rsidR="00342852" w:rsidRDefault="00342852" w:rsidP="00342852">
      <w:pPr>
        <w:numPr>
          <w:ilvl w:val="0"/>
          <w:numId w:val="1"/>
        </w:numPr>
      </w:pPr>
      <w:r>
        <w:rPr>
          <w:b/>
          <w:bCs/>
        </w:rPr>
        <w:t>Smaller platforms and emerging protocols</w:t>
      </w:r>
      <w:r>
        <w:t xml:space="preserve">: As some users migrate to fringe or alternative platforms (e.g., Gab, Truth Social, Telegram channels) due to dissatisfaction with mainstream moderation, disinformation hasn’t disappeared – it’s often just moved into more insular bubbles. Those platforms tout free speech absolutism but tend to become rife with extreme or false content due to lack of moderation. Meanwhile, new decentralized networks like Mastodon or Bluesky present another model: community-based moderation. They let individual “servers” set their own rules. This could create safe havens with strict anti-misinformation norms for some, and laissez-faire zones for others. The fragmentation of the social media landscape might mean the disinformation wars play out differently across </w:t>
      </w:r>
      <w:r>
        <w:lastRenderedPageBreak/>
        <w:t>different corners of the internet, rather than primarily on a few big stages as in the late 2010s.</w:t>
      </w:r>
    </w:p>
    <w:p w14:paraId="72CA163F" w14:textId="77777777" w:rsidR="00342852" w:rsidRDefault="00342852" w:rsidP="00342852">
      <w:pPr>
        <w:pStyle w:val="FirstParagraph"/>
      </w:pPr>
      <w:r>
        <w:t xml:space="preserve">Amid these shifts, </w:t>
      </w:r>
      <w:r>
        <w:rPr>
          <w:b/>
          <w:bCs/>
        </w:rPr>
        <w:t>regulatory and legal pressures</w:t>
      </w:r>
      <w:r>
        <w:t xml:space="preserve"> loom large on the horizon. The European DSA (Digital Services Act) will enforce transparency and risk mitigation from the biggest platforms regarding algorithmic amplification of disinformation, among other things. Companies could face hefty fines if they fail to reduce the spread of harmful falsehoods once identified. In the U.S., though direct regulation of online speech is constrained by the First Amendment, we may see laws mandating more transparency about moderation practices or giving users more control (some states have attempted to require appeals processes or prohibit viewpoint discrimination by platforms – though such laws have been challenged in courts). The Supreme Court may eventually weigh in on the extent to which private social media can be regulated as quasi-public spaces, which could fundamentally alter platform governance.</w:t>
      </w:r>
    </w:p>
    <w:p w14:paraId="4DC45F21" w14:textId="77777777" w:rsidR="00342852" w:rsidRDefault="00342852" w:rsidP="00342852">
      <w:pPr>
        <w:pStyle w:val="BodyText"/>
      </w:pPr>
      <w:r>
        <w:t xml:space="preserve">There’s also the factor of </w:t>
      </w:r>
      <w:r>
        <w:rPr>
          <w:b/>
          <w:bCs/>
        </w:rPr>
        <w:t>AI and deepfakes</w:t>
      </w:r>
      <w:r>
        <w:t>, which is the next frontier of disinformation. Platforms will have to grapple with an onslaught of AI-generated false content that is more convincing and widespread. Moderation tools will likely incorporate more AI themselves to detect fakes, but AI will also generate more borderline content that defies easy classification. This raises the stakes for having flexible yet principled policies – and possibly more collaboration with fact-checkers and outside experts to handle the flood of synthetic media and fake narratives.</w:t>
      </w:r>
    </w:p>
    <w:p w14:paraId="018252BA" w14:textId="77777777" w:rsidR="00342852" w:rsidRDefault="00342852" w:rsidP="00342852">
      <w:pPr>
        <w:pStyle w:val="BodyText"/>
      </w:pPr>
      <w:r>
        <w:t xml:space="preserve">In sum, platform policy on misinformation and content moderation has been a story of </w:t>
      </w:r>
      <w:r>
        <w:rPr>
          <w:b/>
          <w:bCs/>
        </w:rPr>
        <w:t>learning by crisis</w:t>
      </w:r>
      <w:r>
        <w:t>: each new event (an election, a pandemic, a geopolitical conflict) exposed shortcomings and prompted new measures, which then met with backlash, which then led to recalibration. It’s a high-wire act with no end in sight. Going forward, sustaining healthy online civic discourse will require ongoing negotiation between tech companies, users, civil society, and governments. Transparency will be key – the more platforms openly share their policy rationale and data on enforcement, the better stakeholders can assess fairness. Some promising ideas include external audits of algorithms for bias, “circuit breakers” to slow down the virality of unverified claims, user empowerment tools to let individuals choose a more filtered or less filtered experience, and of course robust digital literacy programs to raise the baseline of user skepticism toward dubious content.</w:t>
      </w:r>
    </w:p>
    <w:p w14:paraId="7FAC65F5" w14:textId="77777777" w:rsidR="00342852" w:rsidRDefault="00342852" w:rsidP="00342852">
      <w:pPr>
        <w:pStyle w:val="BodyText"/>
      </w:pPr>
      <w:r>
        <w:t xml:space="preserve">One hopeful sign is that, despite all the acrimony, virtually everyone </w:t>
      </w:r>
      <w:r>
        <w:rPr>
          <w:i/>
          <w:iCs/>
        </w:rPr>
        <w:t>claims</w:t>
      </w:r>
      <w:r>
        <w:t xml:space="preserve"> to agree on a basic principle: </w:t>
      </w:r>
      <w:r>
        <w:rPr>
          <w:b/>
          <w:bCs/>
        </w:rPr>
        <w:t>authentic, truthful information is vital to a functioning democracy</w:t>
      </w:r>
      <w:r>
        <w:t xml:space="preserve">. Where they disagree vehemently is on who gets to decide what’s truthful and how to handle falsehood. Bridging that divide will require rebuilding trust. That might mean platforms continuing to involve diverse voices (across the political spectrum and from different communities) in shaping their rules – so policies don’t feel imposed by one side on the other. It might mean redoubling efforts to apply rules consistently, so that no group feels targeted. It will certainly mean clearly communicating the </w:t>
      </w:r>
      <w:r>
        <w:rPr>
          <w:i/>
          <w:iCs/>
        </w:rPr>
        <w:t>reasons</w:t>
      </w:r>
      <w:r>
        <w:t xml:space="preserve"> content is removed or labeled, so users see that it’s about the behavior/content, not their identity. </w:t>
      </w:r>
      <w:r>
        <w:lastRenderedPageBreak/>
        <w:t>And, importantly, it will involve acknowledging mistakes. A content moderation regime that can say “we got this wrong, here’s why, and here’s how we’ll improve” will inspire more confidence than one that stonewalls or denies any bias.</w:t>
      </w:r>
    </w:p>
    <w:p w14:paraId="732A1BD9" w14:textId="13D077A5" w:rsidR="00E96844" w:rsidRDefault="00342852" w:rsidP="00342852">
      <w:r>
        <w:t xml:space="preserve">Ultimately, platform governance sits at an uncomfortable intersection of private authority and public interest. These companies never set out to be arbiters of speech or truth, but circumstances forced them into that role. The past years have seen them oscillate between embracing the responsibility and recoiling from it. The chapter of history being written now will likely determine whether the internet’s dominant platforms lean towards serving as </w:t>
      </w:r>
      <w:r>
        <w:rPr>
          <w:b/>
          <w:bCs/>
        </w:rPr>
        <w:t>responsible stewards of civic dialogue</w:t>
      </w:r>
      <w:r>
        <w:t xml:space="preserve"> – even if that means angering some users and regimes – or retreat into a posture of </w:t>
      </w:r>
      <w:r>
        <w:rPr>
          <w:b/>
          <w:bCs/>
        </w:rPr>
        <w:t>neutral distributors</w:t>
      </w:r>
      <w:r>
        <w:t>, letting the chips (and the lies) fall where they may. Each approach carries profound implications for the health of civic life online. And as this tug-of-war continues, one lesson remains clear: technology alone cannot solve the disinformation problem. It will take collective societal effort – informed by research, guided by ethical principles, and constrained by law – to foster an information environment where truth has a fighting chance amid the cacophony.</w:t>
      </w:r>
    </w:p>
    <w:p w14:paraId="2A63FF20" w14:textId="73427C47" w:rsidR="00342852" w:rsidRDefault="00000000" w:rsidP="00406E3B">
      <w:r>
        <w:pict w14:anchorId="1467F584">
          <v:rect id="_x0000_i1036" style="width:0;height:1.5pt" o:hralign="center" o:hrstd="t" o:hr="t"/>
        </w:pict>
      </w:r>
    </w:p>
    <w:p w14:paraId="6BBA8FAD" w14:textId="77777777" w:rsidR="00342852" w:rsidRDefault="00342852" w:rsidP="00406E3B"/>
    <w:p w14:paraId="3F51BCC8" w14:textId="77777777" w:rsidR="00342852" w:rsidRDefault="00342852" w:rsidP="00406E3B"/>
    <w:p w14:paraId="2C135E1C" w14:textId="77777777" w:rsidR="00497410" w:rsidRDefault="00497410" w:rsidP="00406E3B"/>
    <w:p w14:paraId="7D3D8153" w14:textId="77777777" w:rsidR="00497410" w:rsidRDefault="00497410" w:rsidP="00406E3B"/>
    <w:p w14:paraId="3673EE53" w14:textId="77777777" w:rsidR="00497410" w:rsidRDefault="00497410" w:rsidP="00406E3B"/>
    <w:p w14:paraId="1BA6FF76" w14:textId="77777777" w:rsidR="00497410" w:rsidRDefault="00497410" w:rsidP="00406E3B"/>
    <w:p w14:paraId="391F31FF" w14:textId="77777777" w:rsidR="00497410" w:rsidRDefault="00497410" w:rsidP="00406E3B"/>
    <w:p w14:paraId="7D918733" w14:textId="77777777" w:rsidR="00497410" w:rsidRDefault="00497410" w:rsidP="00406E3B"/>
    <w:p w14:paraId="4355E606" w14:textId="77777777" w:rsidR="00497410" w:rsidRDefault="00497410" w:rsidP="00406E3B"/>
    <w:p w14:paraId="5E897371" w14:textId="77777777" w:rsidR="00497410" w:rsidRDefault="00497410" w:rsidP="00406E3B"/>
    <w:p w14:paraId="63743920" w14:textId="77777777" w:rsidR="00497410" w:rsidRDefault="00497410" w:rsidP="00406E3B"/>
    <w:p w14:paraId="7CAE5E21" w14:textId="77777777" w:rsidR="00497410" w:rsidRDefault="00497410" w:rsidP="00406E3B"/>
    <w:p w14:paraId="5B68B1D7" w14:textId="77777777" w:rsidR="00497410" w:rsidRDefault="00497410" w:rsidP="00406E3B"/>
    <w:p w14:paraId="4E03ECE6" w14:textId="77777777" w:rsidR="00497410" w:rsidRDefault="00497410" w:rsidP="00406E3B"/>
    <w:p w14:paraId="3CD63F87" w14:textId="77777777" w:rsidR="00497410" w:rsidRDefault="00497410" w:rsidP="00406E3B"/>
    <w:p w14:paraId="4DFCEC45" w14:textId="77777777" w:rsidR="00497410" w:rsidRDefault="00497410" w:rsidP="00406E3B"/>
    <w:p w14:paraId="17006867" w14:textId="77777777" w:rsidR="00497410" w:rsidRDefault="00497410" w:rsidP="00497410">
      <w:pPr>
        <w:pStyle w:val="Heading1"/>
      </w:pPr>
      <w:r>
        <w:lastRenderedPageBreak/>
        <w:t>Chapter 13: Hungary and the Politics of Pushback</w:t>
      </w:r>
    </w:p>
    <w:p w14:paraId="05B1F5B0" w14:textId="77777777" w:rsidR="00497410" w:rsidRDefault="00497410" w:rsidP="00497410">
      <w:pPr>
        <w:pStyle w:val="FirstParagraph"/>
      </w:pPr>
      <w:r>
        <w:rPr>
          <w:b/>
          <w:bCs/>
        </w:rPr>
        <w:t>Introduction</w:t>
      </w:r>
      <w:r>
        <w:br/>
        <w:t>In Hungary, a dramatic showdown between an authoritarian-leaning government and a major international philanthropy unfolded over the past decade. Prime Minister Viktor Orbán’s administration turned the Open Society Foundations (OSF)—established by Hungarian-born financier George Soros—into a prime target in its self-declared war on liberal civil society. Through restrictive laws, hostile propaganda, and administrative pressure, Orbán systematically squeezed out OSF-funded organizations and even a university founded by Soros. The campaign, justified by the government as defending national sovereignty and security, was seen by critics as an assault on democracy and pluralism. This case study traces the timeline of Hungary’s pushback against OSF and allied institutions, examines the clashing narratives propagated by state media and civil society, and assesses the outcomes for nongovernmental organizations (NGOs), academic freedom, and the public sphere. The Hungarian experience offers a stark illustration of how a government can weaponize law and propaganda to marginalize dissenting voices—all within a member state of the European Union.</w:t>
      </w:r>
    </w:p>
    <w:p w14:paraId="172B123E" w14:textId="77777777" w:rsidR="00497410" w:rsidRDefault="00497410" w:rsidP="00497410">
      <w:pPr>
        <w:pStyle w:val="BodyText"/>
      </w:pPr>
      <w:r>
        <w:rPr>
          <w:b/>
          <w:bCs/>
        </w:rPr>
        <w:t>Background: From Benefactor to Boogeyman</w:t>
      </w:r>
      <w:r>
        <w:br/>
        <w:t xml:space="preserve">Ironically, the animosity between Orbán’s government and George Soros belies a much earlier relationship of support. Soros began his philanthropic involvement in Hungary in </w:t>
      </w:r>
      <w:r>
        <w:rPr>
          <w:b/>
          <w:bCs/>
        </w:rPr>
        <w:t>1984</w:t>
      </w:r>
      <w:r>
        <w:t>, establishing a foundation to promote freedom of thought and assist Hungarians during the waning years of communist rule {S:OSF2018Leave}. In the 1980s and 1990s, Soros’s funding helped supply photocopiers to independent publications, stock libraries, and even provide milk to schoolchildren {S:OSF2018Leave}. During Hungary’s transition to democracy, OSF spent millions bolstering civil society and educational institutions. Notably, a young Viktor Orbán himself received a Soros-funded scholarship to study at Oxford in 1989 {S:ZOiS2021Analysis}, and several early leaders of Orbán’s Fidesz party benefited from OSF grants in the 1990s {S:Guardian2018OSF}. In 1991, Soros founded Central European University (CEU) to foster open academic inquiry in post-communist Europe, eventually basing it in Budapest. For two decades, OSF and the Hungarian government coexisted relatively uneventfully, with OSF seen as a partner in Hungary’s democratization.</w:t>
      </w:r>
    </w:p>
    <w:p w14:paraId="6A679BEE" w14:textId="77777777" w:rsidR="00497410" w:rsidRDefault="00497410" w:rsidP="00497410">
      <w:pPr>
        <w:pStyle w:val="BodyText"/>
      </w:pPr>
      <w:r>
        <w:t xml:space="preserve">This relationship changed after Orbán returned to power in 2010. Orbán, once a liberal anti-communist reformer, had transformed into a right-wing nationalist championing what he famously called an “illiberal state.” His Fidesz party supermajority enabled sweeping changes: rewriting the constitution, curbing judicial independence, and muzzling critical media. In this climate, independent NGOs and academic institutions became increasingly unwelcome. Orbán cast civil society groups that criticized government policies as political opponents in disguise. Tensions surfaced by </w:t>
      </w:r>
      <w:r>
        <w:rPr>
          <w:b/>
          <w:bCs/>
        </w:rPr>
        <w:t>2013–2014</w:t>
      </w:r>
      <w:r>
        <w:t xml:space="preserve">, when NGOs receiving foreign grants (for example, funds from Norway) were accused of serving foreign political interests. Government agencies even raided some NGO offices in 2014, accusing them of mismanagement, though no major wrongdoing was proven. Orbán’s ideological pivot </w:t>
      </w:r>
      <w:r>
        <w:lastRenderedPageBreak/>
        <w:t xml:space="preserve">included open antipathy to liberal internationalism, which he painted as an elitist project foisted on unwilling nations. Increasingly, </w:t>
      </w:r>
      <w:r>
        <w:rPr>
          <w:b/>
          <w:bCs/>
        </w:rPr>
        <w:t>George Soros</w:t>
      </w:r>
      <w:r>
        <w:t xml:space="preserve"> was singled out in Fidesz rhetoric as the personification of everything Orbán opposed: </w:t>
      </w:r>
      <w:r>
        <w:rPr>
          <w:i/>
          <w:iCs/>
        </w:rPr>
        <w:t>open borders, multiculturalism, and dissenting voices in Hungarian society</w:t>
      </w:r>
      <w:r>
        <w:t>.</w:t>
      </w:r>
    </w:p>
    <w:p w14:paraId="23D5D746" w14:textId="77777777" w:rsidR="00497410" w:rsidRDefault="00497410" w:rsidP="00497410">
      <w:pPr>
        <w:pStyle w:val="BodyText"/>
      </w:pPr>
      <w:r>
        <w:t xml:space="preserve">The </w:t>
      </w:r>
      <w:r>
        <w:rPr>
          <w:b/>
          <w:bCs/>
        </w:rPr>
        <w:t>migration crisis of 2015</w:t>
      </w:r>
      <w:r>
        <w:t xml:space="preserve"> turbocharged this antagonism. As refugees from the Middle East traveled through Hungary toward Western Europe, Orbán erected border fences and positioned himself as Europe’s defender against “migrant invasion.” Soros, who urged Europe to uphold refugee protection norms, was vilified as the alleged architect of a plot to “Muslimize Europe” by flooding the continent with immigrants {S:AlJazeera2017Campaign}. From this point forward, Soros and the network of NGOs and institutions he supported in Hungary became the government’s prime bogeymen, blamed for stoking immigration and undermining Hungarian sovereignty. What followed was a multi-year </w:t>
      </w:r>
      <w:r>
        <w:rPr>
          <w:b/>
          <w:bCs/>
        </w:rPr>
        <w:t>campaign of pushback</w:t>
      </w:r>
      <w:r>
        <w:t xml:space="preserve"> that would test the resilience of Hungary’s civil society and reverberate internationally.</w:t>
      </w:r>
    </w:p>
    <w:p w14:paraId="5DB05BCA" w14:textId="77777777" w:rsidR="00497410" w:rsidRDefault="00497410" w:rsidP="00497410">
      <w:pPr>
        <w:pStyle w:val="BodyText"/>
      </w:pPr>
      <w:r>
        <w:rPr>
          <w:b/>
          <w:bCs/>
        </w:rPr>
        <w:t>Escalation: Laws and Measures Targeting Civil Society (2017–2018)</w:t>
      </w:r>
      <w:r>
        <w:br/>
        <w:t xml:space="preserve">By early 2017, Orbán’s government made clear that decisive action against foreign-funded NGOs was imminent. In January of that year, a vice president of the ruling Fidesz party, </w:t>
      </w:r>
      <w:r>
        <w:rPr>
          <w:b/>
          <w:bCs/>
        </w:rPr>
        <w:t>Szilárd Németh</w:t>
      </w:r>
      <w:r>
        <w:t xml:space="preserve">, declared that “the Soros empire’s fake civil organizations” would be </w:t>
      </w:r>
      <w:r>
        <w:rPr>
          <w:b/>
          <w:bCs/>
        </w:rPr>
        <w:t>“swept out” of Hungary using all tools at the government’s disposal</w:t>
      </w:r>
      <w:r>
        <w:t xml:space="preserve"> {S:Guardian2017Crackdown}. Orbán’s spokesperson reinforced the point, suggesting the time was ripe with a sympathetic ally (Donald Trump) in the White House, implying Hungary anticipated less pushback from the United States as it moved against NGOs {S:Guardian2017Crackdown}. This emboldened stance set the stage for a raft of restrictive measures.</w:t>
      </w:r>
    </w:p>
    <w:p w14:paraId="51BE3989" w14:textId="77777777" w:rsidR="00497410" w:rsidRDefault="00497410" w:rsidP="00497410">
      <w:pPr>
        <w:pStyle w:val="BodyText"/>
      </w:pPr>
      <w:r>
        <w:t xml:space="preserve">In </w:t>
      </w:r>
      <w:r>
        <w:rPr>
          <w:b/>
          <w:bCs/>
        </w:rPr>
        <w:t>April 2017</w:t>
      </w:r>
      <w:r>
        <w:t xml:space="preserve">, the government’s first major strike landed on </w:t>
      </w:r>
      <w:r>
        <w:rPr>
          <w:b/>
          <w:bCs/>
        </w:rPr>
        <w:t>Central European University</w:t>
      </w:r>
      <w:r>
        <w:t xml:space="preserve">, the Soros-founded graduate institution in Budapest. Parliament rushed through an amendment to Hungary’s higher education law—widely referred to as the “Lex CEU”—that imposed new requirements on foreign universities operating in Hungary. Under the law, such universities had to have a campus in their country of origin and could only function in Hungary if a specific intergovernmental agreement was in place {S:Politico2018CEU}. The requirements were crafted so narrowly that they </w:t>
      </w:r>
      <w:r>
        <w:rPr>
          <w:b/>
          <w:bCs/>
        </w:rPr>
        <w:t>targeted CEU exclusively</w:t>
      </w:r>
      <w:r>
        <w:t xml:space="preserve">, threatening to make its continued operation impossible. This legislative ambush sparked outcry: </w:t>
      </w:r>
      <w:r>
        <w:rPr>
          <w:b/>
          <w:bCs/>
        </w:rPr>
        <w:t>70,000 Hungarians marched in Budapest</w:t>
      </w:r>
      <w:r>
        <w:t xml:space="preserve"> in support of CEU, and international leaders from the </w:t>
      </w:r>
      <w:r>
        <w:rPr>
          <w:b/>
          <w:bCs/>
        </w:rPr>
        <w:t>German President</w:t>
      </w:r>
      <w:r>
        <w:t xml:space="preserve"> to the </w:t>
      </w:r>
      <w:r>
        <w:rPr>
          <w:b/>
          <w:bCs/>
        </w:rPr>
        <w:t>U.S. State Department</w:t>
      </w:r>
      <w:r>
        <w:t xml:space="preserve"> urged Orbán to reconsider {S:HRW2017Crackdown}. Despite the protests, Hungary’s President signed the bill, putting CEU’s future in peril and signaling that Orbán was unmoved by either domestic demonstrations or Western criticism.</w:t>
      </w:r>
    </w:p>
    <w:p w14:paraId="09B21EDB" w14:textId="77777777" w:rsidR="00497410" w:rsidRDefault="00497410" w:rsidP="00497410">
      <w:pPr>
        <w:pStyle w:val="BodyText"/>
      </w:pPr>
      <w:r>
        <w:t xml:space="preserve">Just days after moving against CEU, Orbán’s party introduced another bill directly aimed at civil society groups. The draft </w:t>
      </w:r>
      <w:r>
        <w:rPr>
          <w:b/>
          <w:bCs/>
        </w:rPr>
        <w:t>Law on the Transparency of Organizations Receiving Foreign Funds</w:t>
      </w:r>
      <w:r>
        <w:t xml:space="preserve"> would require any NGO receiving over </w:t>
      </w:r>
      <w:r>
        <w:rPr>
          <w:b/>
          <w:bCs/>
        </w:rPr>
        <w:t>€24,000</w:t>
      </w:r>
      <w:r>
        <w:t xml:space="preserve"> a year from abroad to register as a “foreign-supported organization,” publicly label themselves as such on their </w:t>
      </w:r>
      <w:r>
        <w:lastRenderedPageBreak/>
        <w:t xml:space="preserve">websites and publications, and disclose detailed information about foreign donors {S:HRW2017Crackdown}. Non-compliance would carry fines or even dissolution. The bill’s justification—to combat money laundering and increase transparency—was widely viewed as a pretext. Hungarian NGOs were already required to publish financial reports; in reality the measure seemed intended to </w:t>
      </w:r>
      <w:r>
        <w:rPr>
          <w:b/>
          <w:bCs/>
        </w:rPr>
        <w:t>brand independent NGOs as alien agents</w:t>
      </w:r>
      <w:r>
        <w:t xml:space="preserve"> in the public mind, echoing Russia’s notorious “foreign agent” law of 2012 which had similarly been used to discredit NGOs {S:HRW2017Crackdown}. </w:t>
      </w:r>
      <w:r>
        <w:rPr>
          <w:b/>
          <w:bCs/>
        </w:rPr>
        <w:t>Human rights advocates warned</w:t>
      </w:r>
      <w:r>
        <w:t xml:space="preserve"> that Orbán was borrowing directly from the Kremlin’s playbook to silence dissent {S:HRW2017Crackdown}. Despite these warnings, the </w:t>
      </w:r>
      <w:r>
        <w:rPr>
          <w:b/>
          <w:bCs/>
        </w:rPr>
        <w:t>Hungarian Parliament passed the NGO law in June 2017</w:t>
      </w:r>
      <w:r>
        <w:t>, making it binding for groups to stigmatize themselves or face sanction.</w:t>
      </w:r>
    </w:p>
    <w:p w14:paraId="1156621F" w14:textId="77777777" w:rsidR="00497410" w:rsidRDefault="00497410" w:rsidP="00497410">
      <w:pPr>
        <w:pStyle w:val="BodyText"/>
      </w:pPr>
      <w:r>
        <w:t xml:space="preserve">Over the course of 2017, the Orbán government also mounted a relentless propaganda offensive to accompany these legal moves (this propaganda war is detailed in a later section). Officials and state-aligned media saturated public discourse with lurid allegations about OSF-funded groups. In </w:t>
      </w:r>
      <w:r>
        <w:rPr>
          <w:b/>
          <w:bCs/>
        </w:rPr>
        <w:t>October 2017</w:t>
      </w:r>
      <w:r>
        <w:t>, Orbán even went so far as to order Hungary’s intelligence services to investigate what he termed the “Soros empire” of NGOs operating in the country {S:AlJazeera2017Campaign}. The clear implication was that civil society organizations were not just nuisances but a treacherous fifth column threatening national security. That same autumn, the government launched a nationwide “</w:t>
      </w:r>
      <w:r>
        <w:rPr>
          <w:b/>
          <w:bCs/>
        </w:rPr>
        <w:t>National Consultation</w:t>
      </w:r>
      <w:r>
        <w:t xml:space="preserve">” – essentially a taxpayer-funded mass mailing and billboard campaign – built around the specter of a </w:t>
      </w:r>
      <w:r>
        <w:rPr>
          <w:b/>
          <w:bCs/>
        </w:rPr>
        <w:t>“Soros Plan”</w:t>
      </w:r>
      <w:r>
        <w:t xml:space="preserve"> to inundate Europe with migrants. This campaign asked leading questions to citizens, such as whether they agreed with the (falsely attributed) notion that </w:t>
      </w:r>
      <w:r>
        <w:rPr>
          <w:b/>
          <w:bCs/>
        </w:rPr>
        <w:t>one million immigrants should be resettled per year in the EU</w:t>
      </w:r>
      <w:r>
        <w:t xml:space="preserve"> and given lenient treatment {S:HRW2017HateCampaign}. The questions were </w:t>
      </w:r>
      <w:r>
        <w:rPr>
          <w:b/>
          <w:bCs/>
        </w:rPr>
        <w:t>highly misleading or outright false</w:t>
      </w:r>
      <w:r>
        <w:t xml:space="preserve">, but they served Orbán’s agenda: to convince the public that Hungary was under existential assault by Soros-backed forces, from Brussels bureaucrats to human rights groups {S:HRW2017HateCampaign}. In mid-2017, billboards appeared across the country showing a grinning George Soros with the slogan, </w:t>
      </w:r>
      <w:r>
        <w:rPr>
          <w:i/>
          <w:iCs/>
        </w:rPr>
        <w:t>“Don’t let Soros have the last laugh,”</w:t>
      </w:r>
      <w:r>
        <w:t xml:space="preserve"> insinuating that Soros was laughing at Hungary while plotting to alter its identity {S:AlJazeera2017Campaign}. The tones and imagery of these messages bore </w:t>
      </w:r>
      <w:r>
        <w:rPr>
          <w:b/>
          <w:bCs/>
        </w:rPr>
        <w:t>anti-Semitic undertones</w:t>
      </w:r>
      <w:r>
        <w:t xml:space="preserve">, deliberately or not, by evoking classic tropes of the shadowy, laughing financier manipulating nations – a fact not lost on observers who noted Soros’s Jewish heritage and the historical echoes of such propaganda {S:OSF2018Leave}. For Orbán, Soros had become the </w:t>
      </w:r>
      <w:r>
        <w:rPr>
          <w:b/>
          <w:bCs/>
        </w:rPr>
        <w:t>“perfect enemy – invisible to the average Hungarian, yet omnipresent in the government’s narrative”</w:t>
      </w:r>
      <w:r>
        <w:t>, as one Hungarian analyst put it {S:AlJazeera2017Campaign}.</w:t>
      </w:r>
    </w:p>
    <w:p w14:paraId="39FEF955" w14:textId="77777777" w:rsidR="00497410" w:rsidRDefault="00497410" w:rsidP="00497410">
      <w:pPr>
        <w:pStyle w:val="BodyText"/>
      </w:pPr>
      <w:r>
        <w:t xml:space="preserve">As the </w:t>
      </w:r>
      <w:r>
        <w:rPr>
          <w:b/>
          <w:bCs/>
        </w:rPr>
        <w:t>April 2018 national elections</w:t>
      </w:r>
      <w:r>
        <w:t xml:space="preserve"> approached, Orbán made the </w:t>
      </w:r>
      <w:r>
        <w:rPr>
          <w:i/>
          <w:iCs/>
        </w:rPr>
        <w:t>“Stop Soros”</w:t>
      </w:r>
      <w:r>
        <w:t xml:space="preserve"> theme the centerpiece of his campaign. Government media incessantly claimed that only a Fidesz victory could save Hungary from Soros’s supposed schemes to erode its borders and culture. Orbán’s messaging blurred </w:t>
      </w:r>
      <w:r>
        <w:rPr>
          <w:b/>
          <w:bCs/>
        </w:rPr>
        <w:t>refugees, the European Union, opposition activists, and Soros</w:t>
      </w:r>
      <w:r>
        <w:t xml:space="preserve"> into a single nefarious constellation of threats. The strategy succeeded politically: Orbán won a landslide third term, and Fidesz retained its two-thirds </w:t>
      </w:r>
      <w:r>
        <w:lastRenderedPageBreak/>
        <w:t>supermajority in Parliament. Emboldened by this mandate, Orbán’s government moved swiftly to tighten the screws further on civil society.</w:t>
      </w:r>
    </w:p>
    <w:p w14:paraId="05B002F5" w14:textId="77777777" w:rsidR="00497410" w:rsidRDefault="00497410" w:rsidP="00497410">
      <w:pPr>
        <w:pStyle w:val="BodyText"/>
      </w:pPr>
      <w:r>
        <w:t xml:space="preserve">Within weeks of the 2018 election, the government introduced a package of new bills openly labeled the </w:t>
      </w:r>
      <w:r>
        <w:rPr>
          <w:b/>
          <w:bCs/>
        </w:rPr>
        <w:t>“Stop Soros” laws</w:t>
      </w:r>
      <w:r>
        <w:t xml:space="preserve">. These measures, passed in June 2018, went even farther than the 2017 NGO law in criminalizing certain civil society work. </w:t>
      </w:r>
      <w:r>
        <w:rPr>
          <w:b/>
          <w:bCs/>
        </w:rPr>
        <w:t>One bill made it a criminal offense – punishable by up to a year in prison – for individuals or organizations to provide assistance to undocumented migrants</w:t>
      </w:r>
      <w:r>
        <w:t xml:space="preserve"> or even to help asylum seekers navigate the asylum process {S:OSF2020EUCJ}{S:AlJazeera2021ECJ}. This law was written in a </w:t>
      </w:r>
      <w:r>
        <w:rPr>
          <w:b/>
          <w:bCs/>
        </w:rPr>
        <w:t>vague and sweeping</w:t>
      </w:r>
      <w:r>
        <w:t xml:space="preserve"> manner: activities as benign as offering legal advice to a refugee or printing a know-your-rights leaflet could be construed as “facilitating illegal immigration.” Another provision of the package authorized the interior minister to ban NGOs deemed a “national security risk” – a clause widely understood to be aimed at groups advocating for refugees or minority rights. In addition, a </w:t>
      </w:r>
      <w:r>
        <w:rPr>
          <w:b/>
          <w:bCs/>
        </w:rPr>
        <w:t>special 25% tax</w:t>
      </w:r>
      <w:r>
        <w:t xml:space="preserve"> was imposed on any foreign funding that NGOs used for programs pertaining to migration {S:Guardian2018OSF}. The government also amended the constitution to state that no foreign population can be settled in Hungary – a symbolic gesture underscoring its defiance of any European Union refugee resettlement quotas.</w:t>
      </w:r>
    </w:p>
    <w:p w14:paraId="4C6E12A5" w14:textId="77777777" w:rsidR="00497410" w:rsidRDefault="00497410" w:rsidP="00497410">
      <w:pPr>
        <w:pStyle w:val="BodyText"/>
      </w:pPr>
      <w:r>
        <w:t xml:space="preserve">Orbán’s officials made little effort to disguise that these laws were tailored to clamp down on the very groups that OSF and others had been supporting. </w:t>
      </w:r>
      <w:r>
        <w:rPr>
          <w:b/>
          <w:bCs/>
        </w:rPr>
        <w:t>In public comments, Fidesz politicians explicitly said</w:t>
      </w:r>
      <w:r>
        <w:t xml:space="preserve"> the new legislation’s goal was to </w:t>
      </w:r>
      <w:r>
        <w:rPr>
          <w:b/>
          <w:bCs/>
        </w:rPr>
        <w:t>“stop the activities”</w:t>
      </w:r>
      <w:r>
        <w:t xml:space="preserve"> of key human rights NGOs and to </w:t>
      </w:r>
      <w:r>
        <w:rPr>
          <w:b/>
          <w:bCs/>
        </w:rPr>
        <w:t>drive out their funders, “especially the Open Society Foundations.”</w:t>
      </w:r>
      <w:r>
        <w:t xml:space="preserve"> {S:OSF2018Leave}. The justification given was always national security – that Hungary had to defend itself from a borderless flood of migrants abetted by a Soros-led network. But Hungarian civil society understood the true aim: to silence voices that exposed government abuses and to eliminate a source of independent funding that enabled NGOs and academic institutions to survive outside state control.</w:t>
      </w:r>
    </w:p>
    <w:p w14:paraId="35CE3323" w14:textId="77777777" w:rsidR="00497410" w:rsidRDefault="00497410" w:rsidP="00497410">
      <w:pPr>
        <w:pStyle w:val="BodyText"/>
      </w:pPr>
      <w:r>
        <w:rPr>
          <w:b/>
          <w:bCs/>
        </w:rPr>
        <w:t>Timeline: Key Events in Hungary’s Crackdown (2013–2021)</w:t>
      </w:r>
    </w:p>
    <w:p w14:paraId="428C8E78" w14:textId="77777777" w:rsidR="00497410" w:rsidRDefault="00497410" w:rsidP="00497410">
      <w:pPr>
        <w:pStyle w:val="Compact"/>
        <w:numPr>
          <w:ilvl w:val="0"/>
          <w:numId w:val="1"/>
        </w:numPr>
      </w:pPr>
      <w:r>
        <w:rPr>
          <w:b/>
          <w:bCs/>
        </w:rPr>
        <w:t>2013–2014:</w:t>
      </w:r>
      <w:r>
        <w:t xml:space="preserve"> Orbán’s government begins targeting foreign-funded NGOs. Audits and police raids hit organizations managing grants from Norway, accusing them of political meddling. Orbán declares intent to build an “illiberal state.”</w:t>
      </w:r>
    </w:p>
    <w:p w14:paraId="254279BF" w14:textId="77777777" w:rsidR="00497410" w:rsidRDefault="00497410" w:rsidP="00497410">
      <w:pPr>
        <w:pStyle w:val="Compact"/>
        <w:numPr>
          <w:ilvl w:val="0"/>
          <w:numId w:val="1"/>
        </w:numPr>
      </w:pPr>
      <w:r>
        <w:rPr>
          <w:b/>
          <w:bCs/>
        </w:rPr>
        <w:t>2015:</w:t>
      </w:r>
      <w:r>
        <w:t xml:space="preserve"> European migrant crisis. Hungary builds border fences. Orbán rhetorically links humanitarian NGOs and George Soros to mass migration, planting the seeds of the “Soros = pro-immigration plot” narrative.</w:t>
      </w:r>
    </w:p>
    <w:p w14:paraId="02455A4D" w14:textId="77777777" w:rsidR="00497410" w:rsidRDefault="00497410" w:rsidP="00497410">
      <w:pPr>
        <w:pStyle w:val="Compact"/>
        <w:numPr>
          <w:ilvl w:val="0"/>
          <w:numId w:val="1"/>
        </w:numPr>
      </w:pPr>
      <w:r>
        <w:rPr>
          <w:b/>
          <w:bCs/>
        </w:rPr>
        <w:t>Jan 2017:</w:t>
      </w:r>
      <w:r>
        <w:t xml:space="preserve"> Fidesz officials announce plans to </w:t>
      </w:r>
      <w:r>
        <w:rPr>
          <w:b/>
          <w:bCs/>
        </w:rPr>
        <w:t>“sweep out” Soros-funded NGOs</w:t>
      </w:r>
      <w:r>
        <w:t xml:space="preserve"> and tighten rules on civil groups {S:Guardian2017Crackdown}. Orbán’s spokesman anticipates a friendly U.S. under Trump, signaling fewer obstacles to Hungary’s crackdown {S:Guardian2017Crackdown}.</w:t>
      </w:r>
    </w:p>
    <w:p w14:paraId="39A5DB25" w14:textId="77777777" w:rsidR="00497410" w:rsidRDefault="00497410" w:rsidP="00497410">
      <w:pPr>
        <w:pStyle w:val="Compact"/>
        <w:numPr>
          <w:ilvl w:val="0"/>
          <w:numId w:val="1"/>
        </w:numPr>
      </w:pPr>
      <w:r>
        <w:rPr>
          <w:b/>
          <w:bCs/>
        </w:rPr>
        <w:t>Apr 2017:</w:t>
      </w:r>
      <w:r>
        <w:t xml:space="preserve"> Parliament passes the </w:t>
      </w:r>
      <w:r>
        <w:rPr>
          <w:b/>
          <w:bCs/>
        </w:rPr>
        <w:t>“Lex CEU”</w:t>
      </w:r>
      <w:r>
        <w:t xml:space="preserve"> amendment targeting Central European University, requiring it to adhere to new conditions that jeopardize its Budapest operations. </w:t>
      </w:r>
      <w:r>
        <w:rPr>
          <w:b/>
          <w:bCs/>
        </w:rPr>
        <w:t>Mass protests (70,000 people)</w:t>
      </w:r>
      <w:r>
        <w:t xml:space="preserve"> erupt in support of CEU {S:HRW2017Crackdown}. Despite international criticism, the law is signed, putting </w:t>
      </w:r>
      <w:r>
        <w:lastRenderedPageBreak/>
        <w:t xml:space="preserve">CEU’s future in doubt. Around the same time, a </w:t>
      </w:r>
      <w:r>
        <w:rPr>
          <w:b/>
          <w:bCs/>
        </w:rPr>
        <w:t>draft NGO foreign-funding law</w:t>
      </w:r>
      <w:r>
        <w:t xml:space="preserve"> is introduced in Parliament, modeled on Russia’s “foreign agent” law {S:HRW2017Crackdown}.</w:t>
      </w:r>
    </w:p>
    <w:p w14:paraId="2AD4E380" w14:textId="77777777" w:rsidR="00497410" w:rsidRDefault="00497410" w:rsidP="00497410">
      <w:pPr>
        <w:pStyle w:val="Compact"/>
        <w:numPr>
          <w:ilvl w:val="0"/>
          <w:numId w:val="1"/>
        </w:numPr>
      </w:pPr>
      <w:r>
        <w:rPr>
          <w:b/>
          <w:bCs/>
        </w:rPr>
        <w:t>Jun 2017:</w:t>
      </w:r>
      <w:r>
        <w:t xml:space="preserve"> Hungary’s Parliament approves </w:t>
      </w:r>
      <w:r>
        <w:rPr>
          <w:b/>
          <w:bCs/>
        </w:rPr>
        <w:t>Act LXXVI of 2017</w:t>
      </w:r>
      <w:r>
        <w:t>, the Law on Transparency of Foreign-Funded Organizations. NGOs receiving over HUF 7.2 million (≈€24,000) from abroad must register as “foreign-supported” and label themselves as such publicly {S:OSF2020EUCJ}. The European Commission quickly warns that the law may violate EU fundamental rights (free association, privacy) and EU Treaty obligations.</w:t>
      </w:r>
    </w:p>
    <w:p w14:paraId="442873CD" w14:textId="77777777" w:rsidR="00497410" w:rsidRDefault="00497410" w:rsidP="00497410">
      <w:pPr>
        <w:pStyle w:val="Compact"/>
        <w:numPr>
          <w:ilvl w:val="0"/>
          <w:numId w:val="1"/>
        </w:numPr>
      </w:pPr>
      <w:r>
        <w:rPr>
          <w:b/>
          <w:bCs/>
        </w:rPr>
        <w:t>Jul–Oct 2017:</w:t>
      </w:r>
      <w:r>
        <w:t xml:space="preserve"> The government escalates its anti-Soros propaganda. Orbán orders intelligence agencies to compile dossiers on Soros-backed organizations in Hungary {S:AlJazeera2017Campaign}. In </w:t>
      </w:r>
      <w:r>
        <w:rPr>
          <w:b/>
          <w:bCs/>
        </w:rPr>
        <w:t>October</w:t>
      </w:r>
      <w:r>
        <w:t xml:space="preserve">, a </w:t>
      </w:r>
      <w:r>
        <w:rPr>
          <w:b/>
          <w:bCs/>
        </w:rPr>
        <w:t>“National Consultation on the Soros Plan”</w:t>
      </w:r>
      <w:r>
        <w:t xml:space="preserve"> is launched: millions of Hungarians receive questionnaires asserting that Soros and the EU aim to bring in one million migrants per year and dilute Europe’s Christian identity {S:HRW2017HateCampaign}. State billboards and ads amplify these claims. Independent watchdogs point out the consultation is </w:t>
      </w:r>
      <w:r>
        <w:rPr>
          <w:b/>
          <w:bCs/>
        </w:rPr>
        <w:t>rife with falsehoods</w:t>
      </w:r>
      <w:r>
        <w:t xml:space="preserve"> and designed to stoke xenophobia {S:HRW2017HateCampaign}.</w:t>
      </w:r>
    </w:p>
    <w:p w14:paraId="5EEF5231" w14:textId="77777777" w:rsidR="00497410" w:rsidRDefault="00497410" w:rsidP="00497410">
      <w:pPr>
        <w:pStyle w:val="Compact"/>
        <w:numPr>
          <w:ilvl w:val="0"/>
          <w:numId w:val="1"/>
        </w:numPr>
      </w:pPr>
      <w:r>
        <w:rPr>
          <w:b/>
          <w:bCs/>
        </w:rPr>
        <w:t>Apr 2018:</w:t>
      </w:r>
      <w:r>
        <w:t xml:space="preserve"> Orbán wins re-election decisively after a campaign dominated by anti-immigrant and anti-Soros messaging. In his victory speech, he frames the result as Hungary having </w:t>
      </w:r>
      <w:r>
        <w:rPr>
          <w:b/>
          <w:bCs/>
        </w:rPr>
        <w:t>defeated Soros’s influence</w:t>
      </w:r>
      <w:r>
        <w:t xml:space="preserve"> at home.</w:t>
      </w:r>
    </w:p>
    <w:p w14:paraId="1E311006" w14:textId="77777777" w:rsidR="00497410" w:rsidRDefault="00497410" w:rsidP="00497410">
      <w:pPr>
        <w:pStyle w:val="Compact"/>
        <w:numPr>
          <w:ilvl w:val="0"/>
          <w:numId w:val="1"/>
        </w:numPr>
      </w:pPr>
      <w:r>
        <w:rPr>
          <w:b/>
          <w:bCs/>
        </w:rPr>
        <w:t>May 2018:</w:t>
      </w:r>
      <w:r>
        <w:t xml:space="preserve"> As the government prepares new anti-NGO legislation, the </w:t>
      </w:r>
      <w:r>
        <w:rPr>
          <w:b/>
          <w:bCs/>
        </w:rPr>
        <w:t>Open Society Foundations announce the closure of their Budapest office</w:t>
      </w:r>
      <w:r>
        <w:t xml:space="preserve">. OSF cites an “increasingly repressive political and legal environment” and the safety of its staff, saying it can no longer protect them from </w:t>
      </w:r>
      <w:r>
        <w:rPr>
          <w:b/>
          <w:bCs/>
        </w:rPr>
        <w:t>“arbitrary government interference”</w:t>
      </w:r>
      <w:r>
        <w:t xml:space="preserve"> {S:OSF2018Leave}. OSF begins relocating its international operations (over 100 employees) to Berlin, though it pledges to continue funding Hungarian civil society from abroad {S:OSF2018Leave}. Orbán reacts with barely concealed glee; in a radio interview he quips that he </w:t>
      </w:r>
      <w:r>
        <w:rPr>
          <w:b/>
          <w:bCs/>
        </w:rPr>
        <w:t>“won’t cry his eyes out”</w:t>
      </w:r>
      <w:r>
        <w:t xml:space="preserve"> over OSF’s departure {S:Guardian2018OSF}.</w:t>
      </w:r>
    </w:p>
    <w:p w14:paraId="5B407112" w14:textId="77777777" w:rsidR="00497410" w:rsidRDefault="00497410" w:rsidP="00497410">
      <w:pPr>
        <w:pStyle w:val="Compact"/>
        <w:numPr>
          <w:ilvl w:val="0"/>
          <w:numId w:val="1"/>
        </w:numPr>
      </w:pPr>
      <w:r>
        <w:rPr>
          <w:b/>
          <w:bCs/>
        </w:rPr>
        <w:t>June 2018:</w:t>
      </w:r>
      <w:r>
        <w:t xml:space="preserve"> The </w:t>
      </w:r>
      <w:r>
        <w:rPr>
          <w:b/>
          <w:bCs/>
        </w:rPr>
        <w:t>“Stop Soros” package of laws</w:t>
      </w:r>
      <w:r>
        <w:t xml:space="preserve"> passes in Parliament. It creates a new criminal offense for aiding undocumented migrants, empowers the Interior Ministry to ban certain NGOs, and levies a 25% tax on foreign donations to groups involved in migration issues {S:Guardian2018OSF}. The same day, a constitutional amendment is adopted to reinforce Hungary’s hardline stance against immigration. Human rights groups decry these moves as a “</w:t>
      </w:r>
      <w:r>
        <w:rPr>
          <w:b/>
          <w:bCs/>
        </w:rPr>
        <w:t>calculated assault on civil society</w:t>
      </w:r>
      <w:r>
        <w:t>,” unprecedented for an EU country.</w:t>
      </w:r>
    </w:p>
    <w:p w14:paraId="523EB6E6" w14:textId="77777777" w:rsidR="00497410" w:rsidRDefault="00497410" w:rsidP="00497410">
      <w:pPr>
        <w:pStyle w:val="Compact"/>
        <w:numPr>
          <w:ilvl w:val="0"/>
          <w:numId w:val="1"/>
        </w:numPr>
      </w:pPr>
      <w:r>
        <w:rPr>
          <w:b/>
          <w:bCs/>
        </w:rPr>
        <w:t>Oct–Dec 2018:</w:t>
      </w:r>
      <w:r>
        <w:t xml:space="preserve"> Despite a year of negotiations and pressure from the </w:t>
      </w:r>
      <w:r>
        <w:rPr>
          <w:b/>
          <w:bCs/>
        </w:rPr>
        <w:t>U.S. government and European leaders</w:t>
      </w:r>
      <w:r>
        <w:t xml:space="preserve">, the Hungarian government refuses to sign an agreement that would allow CEU to keep admitting new students in Budapest {S:Politico2018CEU}. Lacking this legal certainty, </w:t>
      </w:r>
      <w:r>
        <w:rPr>
          <w:b/>
          <w:bCs/>
        </w:rPr>
        <w:t>CEU announces in December</w:t>
      </w:r>
      <w:r>
        <w:t xml:space="preserve"> that it has been </w:t>
      </w:r>
      <w:r>
        <w:rPr>
          <w:i/>
          <w:iCs/>
        </w:rPr>
        <w:t>“forced out”</w:t>
      </w:r>
      <w:r>
        <w:t xml:space="preserve"> of Hungary {S:Politico2018CEU}. CEU begins moving its U.S.-accredited degree programs to Vienna. </w:t>
      </w:r>
      <w:r>
        <w:rPr>
          <w:b/>
          <w:bCs/>
        </w:rPr>
        <w:t>“This is unprecedented,”</w:t>
      </w:r>
      <w:r>
        <w:t xml:space="preserve"> remarks CEU President </w:t>
      </w:r>
      <w:r>
        <w:rPr>
          <w:b/>
          <w:bCs/>
        </w:rPr>
        <w:t>Michael Ignatieff</w:t>
      </w:r>
      <w:r>
        <w:t xml:space="preserve">. </w:t>
      </w:r>
      <w:r>
        <w:rPr>
          <w:b/>
          <w:bCs/>
        </w:rPr>
        <w:t xml:space="preserve">“A U.S. institution has been driven out of a </w:t>
      </w:r>
      <w:r>
        <w:rPr>
          <w:b/>
          <w:bCs/>
        </w:rPr>
        <w:lastRenderedPageBreak/>
        <w:t>country that is a NATO ally. A European institution has been ousted from an EU member state.”</w:t>
      </w:r>
      <w:r>
        <w:t xml:space="preserve"> {S:Politico2018CEU}</w:t>
      </w:r>
    </w:p>
    <w:p w14:paraId="4AFB7CF5" w14:textId="77777777" w:rsidR="00497410" w:rsidRDefault="00497410" w:rsidP="00497410">
      <w:pPr>
        <w:pStyle w:val="Compact"/>
        <w:numPr>
          <w:ilvl w:val="0"/>
          <w:numId w:val="1"/>
        </w:numPr>
      </w:pPr>
      <w:r>
        <w:rPr>
          <w:b/>
          <w:bCs/>
        </w:rPr>
        <w:t>2019:</w:t>
      </w:r>
      <w:r>
        <w:t xml:space="preserve"> Orbán’s control over the media landscape solidifies. Nearly 500 pro-government media outlets are consolidated under a government-friendly foundation (KESMA), further marginalizing independent journalism. Soros and “Brussels” continue to feature as boogeymen in official rhetoric, including a state poster campaign depicting Soros alongside European Commission President Jean-Claude Juncker as joint antagonists plotting to open Europe’s borders {S:ZOiS2021Analysis}.</w:t>
      </w:r>
    </w:p>
    <w:p w14:paraId="2CF58FF5" w14:textId="77777777" w:rsidR="00497410" w:rsidRDefault="00497410" w:rsidP="00497410">
      <w:pPr>
        <w:pStyle w:val="Compact"/>
        <w:numPr>
          <w:ilvl w:val="0"/>
          <w:numId w:val="1"/>
        </w:numPr>
      </w:pPr>
      <w:r>
        <w:rPr>
          <w:b/>
          <w:bCs/>
        </w:rPr>
        <w:t>June 2020:</w:t>
      </w:r>
      <w:r>
        <w:t xml:space="preserve"> In a victory for civil society, the </w:t>
      </w:r>
      <w:r>
        <w:rPr>
          <w:b/>
          <w:bCs/>
        </w:rPr>
        <w:t>European Court of Justice (ECJ)</w:t>
      </w:r>
      <w:r>
        <w:t xml:space="preserve"> rules that Hungary’s 2017 NGO transparency law violates EU law. The court finds the law’s requirements – the registration, labeling, and disclosure of funding sources – </w:t>
      </w:r>
      <w:r>
        <w:rPr>
          <w:b/>
          <w:bCs/>
        </w:rPr>
        <w:t>breach the fundamental rights to association and privacy, as well as the free movement of capital in the EU</w:t>
      </w:r>
      <w:r>
        <w:t xml:space="preserve"> {S:OSF2020EUCJ}. The ECJ unequivocally calls for the law’s repeal. OSF hails the decision as affirming that civic engagement is a pillar of democracy and that </w:t>
      </w:r>
      <w:r>
        <w:rPr>
          <w:b/>
          <w:bCs/>
        </w:rPr>
        <w:t>stigmatizing NGOs has no place in the EU</w:t>
      </w:r>
      <w:r>
        <w:t xml:space="preserve"> {S:OSF2020EUCJ}.</w:t>
      </w:r>
    </w:p>
    <w:p w14:paraId="63A07262" w14:textId="77777777" w:rsidR="00497410" w:rsidRDefault="00497410" w:rsidP="00497410">
      <w:pPr>
        <w:pStyle w:val="Compact"/>
        <w:numPr>
          <w:ilvl w:val="0"/>
          <w:numId w:val="1"/>
        </w:numPr>
      </w:pPr>
      <w:r>
        <w:rPr>
          <w:b/>
          <w:bCs/>
        </w:rPr>
        <w:t>2021:</w:t>
      </w:r>
      <w:r>
        <w:t xml:space="preserve"> Facing the ECJ ruling and the threat of fines, the Hungarian government grudgingly repeals the 2017 NGO law in April {S:ZOiS2021Analysis}. However, it simultaneously introduces a </w:t>
      </w:r>
      <w:r>
        <w:rPr>
          <w:b/>
          <w:bCs/>
        </w:rPr>
        <w:t>new law (effective July 2021)</w:t>
      </w:r>
      <w:r>
        <w:t xml:space="preserve"> subjecting NGOs with more than ~€55,000 in annual income to arbitrary audits by the State Audit Office {S:ZOiS2021Analysis}. This replacement law, while couched in terms of financial oversight, in practice keeps up pressure on larger advocacy organizations. In November, the ECJ also strikes down a core part of the 2018 “Stop Soros” laws, declaring that criminalizing support for asylum applicants </w:t>
      </w:r>
      <w:r>
        <w:rPr>
          <w:b/>
          <w:bCs/>
        </w:rPr>
        <w:t>violates EU law</w:t>
      </w:r>
      <w:r>
        <w:t xml:space="preserve"> and cannot be justified on national security grounds {S:AlJazeera2021ECJ}. Hungarian rights defenders celebrate the verdict – </w:t>
      </w:r>
      <w:r>
        <w:rPr>
          <w:b/>
          <w:bCs/>
        </w:rPr>
        <w:t>“We can again serve our clients without the threat of prison,”</w:t>
      </w:r>
      <w:r>
        <w:t xml:space="preserve"> says the co-chair of the Hungarian Helsinki Committee, an NGO that had continued aiding refugees despite the risk {S:AlJazeera2021ECJ}. Yet the government’s implementation of these European court decisions remains half-hearted, as it seeks new ways to constrain NGOs without overtly flouting EU directives.</w:t>
      </w:r>
    </w:p>
    <w:p w14:paraId="1D510547" w14:textId="77777777" w:rsidR="00497410" w:rsidRDefault="00497410" w:rsidP="00497410">
      <w:pPr>
        <w:pStyle w:val="Compact"/>
        <w:numPr>
          <w:ilvl w:val="0"/>
          <w:numId w:val="1"/>
        </w:numPr>
      </w:pPr>
      <w:r>
        <w:rPr>
          <w:b/>
          <w:bCs/>
        </w:rPr>
        <w:t>2022–2023:</w:t>
      </w:r>
      <w:r>
        <w:t xml:space="preserve"> Orbán wins a fourth term in 2022, continuing to rail against Soros, Brussels, and other external “interference.” OSF, under new leadership, announces a strategic shift to scale back operations in the European Union (including Hungary) to focus more on other regions – a decision that reflects both changing priorities and the reality that its presence in Hungary has already been vastly reduced by Orbán’s policies. Hungary’s civic space remains under strain, even as grassroots activism flickers on.</w:t>
      </w:r>
    </w:p>
    <w:p w14:paraId="484428F1" w14:textId="77777777" w:rsidR="00497410" w:rsidRDefault="00497410" w:rsidP="00497410">
      <w:pPr>
        <w:pStyle w:val="FirstParagraph"/>
      </w:pPr>
      <w:r>
        <w:rPr>
          <w:i/>
          <w:iCs/>
        </w:rPr>
        <w:t>(Figure 13.1 provides a summary timeline of these key events.)</w:t>
      </w:r>
    </w:p>
    <w:p w14:paraId="79E38F92" w14:textId="77777777" w:rsidR="00497410" w:rsidRDefault="00497410" w:rsidP="00497410">
      <w:pPr>
        <w:pStyle w:val="BodyText"/>
      </w:pPr>
      <w:r>
        <w:rPr>
          <w:b/>
          <w:bCs/>
        </w:rPr>
        <w:t>Media Narratives: Propaganda at Home, Outrage Abroad</w:t>
      </w:r>
      <w:r>
        <w:br/>
        <w:t xml:space="preserve">Throughout this period, the Hungarian government orchestrated a powerful </w:t>
      </w:r>
      <w:r>
        <w:rPr>
          <w:b/>
          <w:bCs/>
        </w:rPr>
        <w:t xml:space="preserve">media </w:t>
      </w:r>
      <w:r>
        <w:rPr>
          <w:b/>
          <w:bCs/>
        </w:rPr>
        <w:lastRenderedPageBreak/>
        <w:t>narrative</w:t>
      </w:r>
      <w:r>
        <w:t xml:space="preserve"> to justify its actions and maintain public support. At home, the </w:t>
      </w:r>
      <w:r>
        <w:rPr>
          <w:b/>
          <w:bCs/>
        </w:rPr>
        <w:t>pro-government media – now dominant on airwaves and in print – depicted OSF and its grantees as sinister agents of chaos</w:t>
      </w:r>
      <w:r>
        <w:t xml:space="preserve">. Day after day, coverage on state television, radio, and Fidesz-aligned newspapers hammered a consistent message: </w:t>
      </w:r>
      <w:r>
        <w:rPr>
          <w:b/>
          <w:bCs/>
        </w:rPr>
        <w:t>George Soros was plotting to destroy Hungary’s Christian culture and sovereignty by importing migrants and supporting subversive “liberal” activists</w:t>
      </w:r>
      <w:r>
        <w:t>.</w:t>
      </w:r>
    </w:p>
    <w:p w14:paraId="2A07D511" w14:textId="77777777" w:rsidR="00497410" w:rsidRDefault="00497410" w:rsidP="00497410">
      <w:pPr>
        <w:pStyle w:val="BodyText"/>
      </w:pPr>
      <w:r>
        <w:t xml:space="preserve">One of the most striking manifestations was the aforementioned </w:t>
      </w:r>
      <w:r>
        <w:rPr>
          <w:b/>
          <w:bCs/>
        </w:rPr>
        <w:t>“Let’s Not Let Soros Have the Last Laugh”</w:t>
      </w:r>
      <w:r>
        <w:t xml:space="preserve"> billboard campaign in mid-2017. Residents across Hungary saw giant posters of the smiling 86-year-old Soros plastered on public spaces, an uncanny echo of 20th-century propaganda vilifying “cosmopolitan” Jewish financiers {S:AlJazeera2017Campaign}. The image’s resemblance to anti-Semitic caricatures was widely noted. In fact, Hungary’s own Jewish community leaders and even Israel’s ambassador raised concerns about the anti-Semitic overtones. The Orbán government defended the campaign as being solely about Soros’s political agenda, not his ethnicity – but the visual dog-whistles were hard to ignore.</w:t>
      </w:r>
    </w:p>
    <w:p w14:paraId="0985BEED" w14:textId="77777777" w:rsidR="00497410" w:rsidRDefault="00497410" w:rsidP="00497410">
      <w:pPr>
        <w:pStyle w:val="BodyText"/>
      </w:pPr>
      <w:r>
        <w:t xml:space="preserve">Simultaneously, </w:t>
      </w:r>
      <w:r>
        <w:rPr>
          <w:b/>
          <w:bCs/>
        </w:rPr>
        <w:t>state media inundated viewers with dire warnings about the “Soros Plan.”</w:t>
      </w:r>
      <w:r>
        <w:t xml:space="preserve"> Government talking heads claimed, for example, that Soros wanted to </w:t>
      </w:r>
      <w:r>
        <w:rPr>
          <w:b/>
          <w:bCs/>
        </w:rPr>
        <w:t>resettle one million Middle Eastern and African migrants in Hungary and the EU each year</w:t>
      </w:r>
      <w:r>
        <w:t xml:space="preserve"> – a gross distortion of a Soros-authored op-ed that had suggested Europe collectively take in a similar number of refugees from war-torn regions </w:t>
      </w:r>
      <w:r>
        <w:rPr>
          <w:i/>
          <w:iCs/>
        </w:rPr>
        <w:t>one time</w:t>
      </w:r>
      <w:r>
        <w:t xml:space="preserve">, and distribute them across the EU {S:HRW2017HateCampaign}. Other propaganda tropes included the assertion that Soros-funded NGOs were deliberately promoting crime and terrorism by assisting Muslim immigrants, and that these groups aimed to upset the public order and even </w:t>
      </w:r>
      <w:r>
        <w:rPr>
          <w:b/>
          <w:bCs/>
        </w:rPr>
        <w:t>overthrow the Hungarian government</w:t>
      </w:r>
      <w:r>
        <w:t xml:space="preserve">. Such accusations were aired without evidence but served to create an atmosphere of siege in which Orbán’s hardline measures could be seen as heroic defense. In one absurd episode, a pro-government newspaper published a supposed list of over </w:t>
      </w:r>
      <w:r>
        <w:rPr>
          <w:b/>
          <w:bCs/>
        </w:rPr>
        <w:t>200 “Soros mercenaries”</w:t>
      </w:r>
      <w:r>
        <w:t xml:space="preserve"> in Hungary – journalists, NGO staff, academics – implying they were traitors for hire. The listed individuals, some of them well-respected figures, found themselves smeared simply for receiving grants or speaking critically of the government. This kind of public vilification had a chilling effect, painting a target on anyone associated (however loosely) with the Open Society network.</w:t>
      </w:r>
    </w:p>
    <w:p w14:paraId="6AFA4417" w14:textId="77777777" w:rsidR="00497410" w:rsidRDefault="00497410" w:rsidP="00497410">
      <w:pPr>
        <w:pStyle w:val="BodyText"/>
      </w:pPr>
      <w:r>
        <w:t xml:space="preserve">Within Hungary, the </w:t>
      </w:r>
      <w:r>
        <w:rPr>
          <w:b/>
          <w:bCs/>
        </w:rPr>
        <w:t>space for counter-narratives shrank</w:t>
      </w:r>
      <w:r>
        <w:t xml:space="preserve"> as Orbán’s allies tightened their grip on media outlets. By late 2018, most regional newspapers, numerous internet portals, and television channels had been centralized under the KESMA conglomerate, run by Orbán loyalists. Investigative journalists and independent outlets still worked to debunk the state’s claims – for instance, the site </w:t>
      </w:r>
      <w:r>
        <w:rPr>
          <w:i/>
          <w:iCs/>
        </w:rPr>
        <w:t>Atlatszo.hu</w:t>
      </w:r>
      <w:r>
        <w:t xml:space="preserve"> (itself an OSF grantee) published fact-checks exposing falsehoods in the “national consultation” questions. But these voices reached a limited audience compared to the government’s messaging machine. The </w:t>
      </w:r>
      <w:r>
        <w:rPr>
          <w:b/>
          <w:bCs/>
        </w:rPr>
        <w:t>result was a skewed information environment</w:t>
      </w:r>
      <w:r>
        <w:t xml:space="preserve"> where a large portion of the public, especially outside big cities, heard only one side of the story. Many ordinary Hungarians came to genuinely believe that Soros was an ominous threat and that NGOs advocating for refugees or minority rights were at best naive “do-gooders” being used by foreign interests, or at </w:t>
      </w:r>
      <w:r>
        <w:lastRenderedPageBreak/>
        <w:t>worst, actively malevolent. The propaganda was effective: surveys found government supporters overwhelmingly accepted the existence of a “Soros plan” to bring in migrants, despite its fictional basis. The constant repetition of that narrative—</w:t>
      </w:r>
      <w:r>
        <w:rPr>
          <w:i/>
          <w:iCs/>
        </w:rPr>
        <w:t>Hungary under assault, Orbán as savior</w:t>
      </w:r>
      <w:r>
        <w:t>—fostered a sense of embattled nationalism in which dissenting voices could be cast as unpatriotic.</w:t>
      </w:r>
    </w:p>
    <w:p w14:paraId="1E1316D3" w14:textId="77777777" w:rsidR="00497410" w:rsidRDefault="00497410" w:rsidP="00497410">
      <w:pPr>
        <w:pStyle w:val="BodyText"/>
      </w:pPr>
      <w:r>
        <w:t xml:space="preserve">Internationally, however, the </w:t>
      </w:r>
      <w:r>
        <w:rPr>
          <w:b/>
          <w:bCs/>
        </w:rPr>
        <w:t>media narrative looked very different</w:t>
      </w:r>
      <w:r>
        <w:t xml:space="preserve">. Prominent newspapers, scholars, and human rights organizations portrayed Orbán’s moves as a </w:t>
      </w:r>
      <w:r>
        <w:rPr>
          <w:b/>
          <w:bCs/>
        </w:rPr>
        <w:t>demagogic power grab</w:t>
      </w:r>
      <w:r>
        <w:t xml:space="preserve">, using Soros as a scapegoat to solidify an authoritarian regime. Headlines in the Western press described a “crackdown on civil society” and the intimidation of independent institutions {S:Guardian2018OSF}. Coverage by outlets like </w:t>
      </w:r>
      <w:r>
        <w:rPr>
          <w:i/>
          <w:iCs/>
        </w:rPr>
        <w:t>The Guardian</w:t>
      </w:r>
      <w:r>
        <w:t xml:space="preserve">, </w:t>
      </w:r>
      <w:r>
        <w:rPr>
          <w:i/>
          <w:iCs/>
        </w:rPr>
        <w:t>New York Times</w:t>
      </w:r>
      <w:r>
        <w:t xml:space="preserve">, </w:t>
      </w:r>
      <w:r>
        <w:rPr>
          <w:i/>
          <w:iCs/>
        </w:rPr>
        <w:t>BBC</w:t>
      </w:r>
      <w:r>
        <w:t xml:space="preserve">, and </w:t>
      </w:r>
      <w:r>
        <w:rPr>
          <w:i/>
          <w:iCs/>
        </w:rPr>
        <w:t>Al Jazeera</w:t>
      </w:r>
      <w:r>
        <w:t xml:space="preserve"> highlighted how unprecedented it was for an EU member state to expel a major university and force an international foundation to close shop. They underscored the </w:t>
      </w:r>
      <w:r>
        <w:rPr>
          <w:b/>
          <w:bCs/>
        </w:rPr>
        <w:t>bogus nature of the government’s claims</w:t>
      </w:r>
      <w:r>
        <w:t xml:space="preserve">, often explicitly noting that </w:t>
      </w:r>
      <w:r>
        <w:rPr>
          <w:b/>
          <w:bCs/>
        </w:rPr>
        <w:t>the so-called “Soros plan” did not exist</w:t>
      </w:r>
      <w:r>
        <w:t xml:space="preserve"> beyond government propaganda {S:HRW2017HateCampaign}. Rather than a patriotic defense, Orbán’s campaign was framed as part of a worrying global trend of “illiberal democracy” or right-wing populism eroding checks and balances. Orbán was frequently mentioned in the same breath as other authoritarian-leaning figures who demonized Soros (from Russia’s Putin to Turkey’s Erdoğan), although Hungary’s case was unique given its EU membership.</w:t>
      </w:r>
    </w:p>
    <w:p w14:paraId="5D5F68DA" w14:textId="77777777" w:rsidR="00497410" w:rsidRDefault="00497410" w:rsidP="00497410">
      <w:pPr>
        <w:pStyle w:val="BodyText"/>
      </w:pPr>
      <w:r>
        <w:t xml:space="preserve">The international narrative also drew attention to the </w:t>
      </w:r>
      <w:r>
        <w:rPr>
          <w:b/>
          <w:bCs/>
        </w:rPr>
        <w:t>anti-Semitic coding</w:t>
      </w:r>
      <w:r>
        <w:t xml:space="preserve"> of Orbán’s anti-Soros messaging. Soros’s Jewish background, and the history of anti-Jewish conspiracy theories in Europe, were discussed openly in foreign coverage, whereas Orbán’s camp vehemently denied any anti-Semitic intent at home. For example, when Hungary’s government plastered posters in early 2019 showing Soros alongside EU Commission President Juncker under the banner “You have a right to know what Brussels is planning,” European officials lambasted it as propagating conspiracy theories reminiscent of the darkest propaganda of the 1930s {S:ZOiS2021Analysis}. Such campaigns strained Hungary’s relations even with allies; Orbán’s party was suspended (and later quit) from the mainstream center-right bloc in the European Parliament over these issues.</w:t>
      </w:r>
    </w:p>
    <w:p w14:paraId="304668FC" w14:textId="77777777" w:rsidR="00497410" w:rsidRDefault="00497410" w:rsidP="00497410">
      <w:pPr>
        <w:pStyle w:val="BodyText"/>
      </w:pPr>
      <w:r>
        <w:t xml:space="preserve">It’s important to note, however, that Orbán’s narrative did </w:t>
      </w:r>
      <w:r>
        <w:rPr>
          <w:b/>
          <w:bCs/>
        </w:rPr>
        <w:t>find some resonance abroad</w:t>
      </w:r>
      <w:r>
        <w:t xml:space="preserve"> in certain circles. Right-wing populist movements in other countries held up Orbán as a hero who stood up to both the EU and to Soros (whom they likewise vilified as an icon of liberal cosmopolitanism). In the United States, although the State Department under President Trump issued mild criticisms—expressing disappointment over CEU’s ouster, for instance—there was no concerted pressure on Orbán to change course. Some U.S. conservative commentators even echoed elements of the Hungarian government’s line, portraying Soros as a negative influence globally. This international split in narratives – Western democratic institutions condemning Hungary’s crackdown, while far-right actors applauded it – underscored how </w:t>
      </w:r>
      <w:r>
        <w:rPr>
          <w:b/>
          <w:bCs/>
        </w:rPr>
        <w:t>polarized the symbol of Soros had become</w:t>
      </w:r>
      <w:r>
        <w:t>.</w:t>
      </w:r>
    </w:p>
    <w:p w14:paraId="183653B5" w14:textId="77777777" w:rsidR="00497410" w:rsidRDefault="00497410" w:rsidP="00497410">
      <w:pPr>
        <w:pStyle w:val="BodyText"/>
      </w:pPr>
      <w:r>
        <w:t xml:space="preserve">In sum, </w:t>
      </w:r>
      <w:r>
        <w:rPr>
          <w:b/>
          <w:bCs/>
        </w:rPr>
        <w:t>media narratives were a battleground</w:t>
      </w:r>
      <w:r>
        <w:t xml:space="preserve"> in their own right. Orbán leveraged near-total control of domestic media to sell his crackdown as a necessary defensive war against </w:t>
      </w:r>
      <w:r>
        <w:lastRenderedPageBreak/>
        <w:t>a powerful outsider enemy. Meanwhile, independent voices – within and outside Hungary – sought to expose the campaign as built on distortions. The government’s mastery of messaging at home greatly facilitated the implementation of its policies: public opposition to the NGO law or Stop Soros laws was relatively muted beyond the activist community, in part because many citizens had been convinced that those targeted were indeed acting against national interests. This propaganda-driven consensus gave Orbán the political cover to proceed with punitive measures that, under different informational circumstances, might have triggered much broader public outrage.</w:t>
      </w:r>
    </w:p>
    <w:p w14:paraId="7735F728" w14:textId="77777777" w:rsidR="00497410" w:rsidRDefault="00497410" w:rsidP="00497410">
      <w:pPr>
        <w:pStyle w:val="BodyText"/>
      </w:pPr>
      <w:r>
        <w:rPr>
          <w:b/>
          <w:bCs/>
        </w:rPr>
        <w:t>Allegations and Reality: Unpacking the Claims</w:t>
      </w:r>
      <w:r>
        <w:br/>
        <w:t xml:space="preserve">At the core of Hungary’s pushback were </w:t>
      </w:r>
      <w:r>
        <w:rPr>
          <w:b/>
          <w:bCs/>
        </w:rPr>
        <w:t>specific allegations</w:t>
      </w:r>
      <w:r>
        <w:t xml:space="preserve"> leveled by the government against Soros, OSF, and their partners. Given the high stakes, it is crucial to examine these claims critically and compare them with factual evidence:</w:t>
      </w:r>
    </w:p>
    <w:p w14:paraId="6C57A068" w14:textId="77777777" w:rsidR="00497410" w:rsidRDefault="00497410" w:rsidP="00497410">
      <w:pPr>
        <w:numPr>
          <w:ilvl w:val="0"/>
          <w:numId w:val="1"/>
        </w:numPr>
      </w:pPr>
      <w:r>
        <w:rPr>
          <w:b/>
          <w:bCs/>
        </w:rPr>
        <w:t>The “Soros Plan” to Flood Hungary with Migrants:</w:t>
      </w:r>
      <w:r>
        <w:t xml:space="preserve"> The government’s central allegation was that George Soros had a secret plot to bring </w:t>
      </w:r>
      <w:r>
        <w:rPr>
          <w:b/>
          <w:bCs/>
        </w:rPr>
        <w:t>millions of Muslim migrants</w:t>
      </w:r>
      <w:r>
        <w:t xml:space="preserve"> into Hungary (and Europe at large), thereby undermining the nation’s security and Christian identity. Official communications repeatedly cited this “Soros Plan” and even claimed Soros controlled EU institutions to enforce it {S:HRW2017HateCampaign}. </w:t>
      </w:r>
      <w:r>
        <w:rPr>
          <w:b/>
          <w:bCs/>
        </w:rPr>
        <w:t>Evidentiary status:</w:t>
      </w:r>
      <w:r>
        <w:t xml:space="preserve"> </w:t>
      </w:r>
      <w:r>
        <w:rPr>
          <w:i/>
          <w:iCs/>
        </w:rPr>
        <w:t>False.</w:t>
      </w:r>
      <w:r>
        <w:t xml:space="preserve"> There was no evidence of any clandestine plot. The claim grossly distorted a 2015 opinion piece Soros wrote, in which he called on the EU to collectively accept up to one million refugees </w:t>
      </w:r>
      <w:r>
        <w:rPr>
          <w:i/>
          <w:iCs/>
        </w:rPr>
        <w:t>one time</w:t>
      </w:r>
      <w:r>
        <w:t xml:space="preserve"> and to allocate funding for their integration. Soros’s position was a public policy argument—whether one agreed with it or not—not a subversive scheme. The </w:t>
      </w:r>
      <w:r>
        <w:rPr>
          <w:b/>
          <w:bCs/>
        </w:rPr>
        <w:t>Hungarian government’s own “national consultation” brochure</w:t>
      </w:r>
      <w:r>
        <w:t xml:space="preserve"> pieced together out-of-context quotes to fabricate a nonexistent masterplan {S:HRW2017HateCampaign}. In fact, in </w:t>
      </w:r>
      <w:r>
        <w:rPr>
          <w:b/>
          <w:bCs/>
        </w:rPr>
        <w:t>2017 Soros publicly rebutted the government’s interpretation point by point</w:t>
      </w:r>
      <w:r>
        <w:t xml:space="preserve">, clarifying that he advocates shared European responsibility for refugees, not the imposition of migrants on unwilling countries {S:HRW2017HateCampaign}. Hungarian courts later found that some claims in the consultation were so misleading they violated the rights of respondents to fair information (one court ruling in 2019 ordered the government to issue an apology for spreading false information in the survey). Thus, the “Soros Plan” belongs to the realm of conspiracy theory promulgated for political ends. It served its purpose in whipping up fear, but </w:t>
      </w:r>
      <w:r>
        <w:rPr>
          <w:b/>
          <w:bCs/>
        </w:rPr>
        <w:t>no concrete evidence</w:t>
      </w:r>
      <w:r>
        <w:t xml:space="preserve"> ever emerged of Soros directing mass migration or having the influence to force Hungary to admit migrants against its will.</w:t>
      </w:r>
    </w:p>
    <w:p w14:paraId="78B19EC1" w14:textId="77777777" w:rsidR="00497410" w:rsidRDefault="00497410" w:rsidP="00497410">
      <w:pPr>
        <w:numPr>
          <w:ilvl w:val="0"/>
          <w:numId w:val="1"/>
        </w:numPr>
      </w:pPr>
      <w:r>
        <w:rPr>
          <w:b/>
          <w:bCs/>
        </w:rPr>
        <w:t>NGOs as Foreign Agents Interfering in Politics:</w:t>
      </w:r>
      <w:r>
        <w:t xml:space="preserve"> Orbán’s officials alleged that many Hungarian NGOs—especially those focusing on human rights, anti-corruption, or refugee assistance—were essentially </w:t>
      </w:r>
      <w:r>
        <w:rPr>
          <w:b/>
          <w:bCs/>
        </w:rPr>
        <w:t>fronts for foreign political interference</w:t>
      </w:r>
      <w:r>
        <w:t xml:space="preserve">. They described these groups as “fake civil organizations” that were in reality </w:t>
      </w:r>
      <w:r>
        <w:rPr>
          <w:b/>
          <w:bCs/>
        </w:rPr>
        <w:t>“de facto political activists funded by Soros to influence Hungarian politics”</w:t>
      </w:r>
      <w:r>
        <w:t xml:space="preserve"> {S:Guardian2017Crackdown}. The charge went further to imply these NGOs were trying to illegitimately undermine the government or assist illegal </w:t>
      </w:r>
      <w:r>
        <w:lastRenderedPageBreak/>
        <w:t xml:space="preserve">activities (like illegal migration). </w:t>
      </w:r>
      <w:r>
        <w:rPr>
          <w:b/>
          <w:bCs/>
        </w:rPr>
        <w:t>Evidentiary status:</w:t>
      </w:r>
      <w:r>
        <w:t xml:space="preserve"> </w:t>
      </w:r>
      <w:r>
        <w:rPr>
          <w:i/>
          <w:iCs/>
        </w:rPr>
        <w:t>Unsubstantiated.</w:t>
      </w:r>
      <w:r>
        <w:t xml:space="preserve"> Hungarian NGOs do receive foreign grants (due to limited domestic funding for independent civil society), but there is no evidence they engaged in illegal or improperly partisan conduct. NGOs like the </w:t>
      </w:r>
      <w:r>
        <w:rPr>
          <w:b/>
          <w:bCs/>
        </w:rPr>
        <w:t>Hungarian Helsinki Committee (HHC)</w:t>
      </w:r>
      <w:r>
        <w:t xml:space="preserve"> or </w:t>
      </w:r>
      <w:r>
        <w:rPr>
          <w:b/>
          <w:bCs/>
        </w:rPr>
        <w:t>Transparency International Hungary</w:t>
      </w:r>
      <w:r>
        <w:t xml:space="preserve"> operate transparently, publish annual reports, and often partner with international organizations and even governments on projects. Their “political” activities consist of advocacy for policy change, litigation for rights, and holding officials accountable—all normal, legal functions in a democracy. Far from being “foreign imposed,” many were founded by Hungarian citizens and have long track records serving Hungarian communities. For instance, HHC has provided free legal help to detainees and refugees for decades. When the government previously investigated NGOs (during the 2014 Norway Funds dispute), an audit found no significant financial misconduct. And despite heavy scrutiny under the NGO law, </w:t>
      </w:r>
      <w:r>
        <w:rPr>
          <w:b/>
          <w:bCs/>
        </w:rPr>
        <w:t>no evidence emerged of criminal wrongdoing or covert partisan plotting by these groups</w:t>
      </w:r>
      <w:r>
        <w:t xml:space="preserve">. The government’s insinuations often conflated </w:t>
      </w:r>
      <w:r>
        <w:rPr>
          <w:i/>
          <w:iCs/>
        </w:rPr>
        <w:t>policy advocacy</w:t>
      </w:r>
      <w:r>
        <w:t xml:space="preserve"> (which NGOs openly do, such as campaigning against corruption or for refugee rights) with </w:t>
      </w:r>
      <w:r>
        <w:rPr>
          <w:i/>
          <w:iCs/>
        </w:rPr>
        <w:t>partisan electioneering or espionage</w:t>
      </w:r>
      <w:r>
        <w:t xml:space="preserve"> (which they do not do). The effect was to cast legitimate watchdogs as enemies of the state. Notably, Hungarian law already prohibited foreign funding of political parties; none of these NGOs was accused of funding parties or candidates. The “foreign agent” label was therefore a form of </w:t>
      </w:r>
      <w:r>
        <w:rPr>
          <w:b/>
          <w:bCs/>
        </w:rPr>
        <w:t>stigmatisation without substance</w:t>
      </w:r>
      <w:r>
        <w:t xml:space="preserve">, intended to erode public trust in civil society organizations that criticized the government. As a European Commission assessment noted, the transparency rationale for the NGO law was weak, since NGOs were already transparent; the real aim seemed to be to </w:t>
      </w:r>
      <w:r>
        <w:rPr>
          <w:b/>
          <w:bCs/>
        </w:rPr>
        <w:t>discredit and intimidate independent NGOs</w:t>
      </w:r>
      <w:r>
        <w:t xml:space="preserve"> {S:ZOiS2021Analysis}.</w:t>
      </w:r>
    </w:p>
    <w:p w14:paraId="51243E62" w14:textId="77777777" w:rsidR="00497410" w:rsidRDefault="00497410" w:rsidP="00497410">
      <w:pPr>
        <w:numPr>
          <w:ilvl w:val="0"/>
          <w:numId w:val="1"/>
        </w:numPr>
      </w:pPr>
      <w:r>
        <w:rPr>
          <w:b/>
          <w:bCs/>
        </w:rPr>
        <w:t>OSF and Soros Orchestrating Domestic Unrest or Regime Change:</w:t>
      </w:r>
      <w:r>
        <w:t xml:space="preserve"> A more extreme version of the NGO allegation was the notion that </w:t>
      </w:r>
      <w:r>
        <w:rPr>
          <w:b/>
          <w:bCs/>
        </w:rPr>
        <w:t>Soros and OSF were actively trying to topple the Orbán government</w:t>
      </w:r>
      <w:r>
        <w:t xml:space="preserve"> or foment a sort of “color revolution” in Hungary. Government officials hinted that large protests (like the anti-CEU march) or opposition activities might be manipulated by Soros’s network. There were even bizarre claims in pro-government media that Soros paid Hungarian students or voters to oppose Fidesz. </w:t>
      </w:r>
      <w:r>
        <w:rPr>
          <w:b/>
          <w:bCs/>
        </w:rPr>
        <w:t>Evidentiary status:</w:t>
      </w:r>
      <w:r>
        <w:t xml:space="preserve"> </w:t>
      </w:r>
      <w:r>
        <w:rPr>
          <w:i/>
          <w:iCs/>
        </w:rPr>
        <w:t>Conspiratorial.</w:t>
      </w:r>
      <w:r>
        <w:t xml:space="preserve"> While OSF certainly funded advocacy groups and educational programs in Hungary (as it does in many countries), there is no credible evidence of OSF plotting any unconstitutional or violent uprising. OSF’s grants in Hungary went to things like community arts initiatives, investigative journalism (e.g., Atlatszo), health programs for the poor, and yes, watchdog NGOs. These are above-board efforts to strengthen civil society, not clandestine operations. When Hungarian intelligence services were tasked in 2017 to uncover the “Soros network’s” dark secrets, nothing publicly incriminating ever surfaced. Instead, government-friendly outlets resorted to entrapment: individuals with hidden cameras attempted to bait NGO workers into saying something scandalous. In one instance, unknown operators (allegedly with foreign intelligence backgrounds) recorded conversations with NGO staff, but the </w:t>
      </w:r>
      <w:r>
        <w:lastRenderedPageBreak/>
        <w:t xml:space="preserve">published clips proved little beyond the fact that NGOs raise funds and are unhappy with government attacks – hardly a smoking gun of conspiracy {S:OSF2018Leave}. The grand narrative of a Soros-directed plot to install a puppet government in Hungary remains </w:t>
      </w:r>
      <w:r>
        <w:rPr>
          <w:b/>
          <w:bCs/>
        </w:rPr>
        <w:t>unsupported by any tangible evidence</w:t>
      </w:r>
      <w:r>
        <w:t>. It served primarily as a rhetorical device for Fidesz, rallying its nationalist base by portraying any and all dissent as foreign-driven treachery.</w:t>
      </w:r>
    </w:p>
    <w:p w14:paraId="767A2192" w14:textId="77777777" w:rsidR="00497410" w:rsidRDefault="00497410" w:rsidP="00497410">
      <w:pPr>
        <w:numPr>
          <w:ilvl w:val="0"/>
          <w:numId w:val="1"/>
        </w:numPr>
      </w:pPr>
      <w:r>
        <w:rPr>
          <w:b/>
          <w:bCs/>
        </w:rPr>
        <w:t>CEU as an “Unfair” or “Fraudulent” Institution:</w:t>
      </w:r>
      <w:r>
        <w:t xml:space="preserve"> In justifying the law that targeted Central European University, officials insisted it was about rectifying legal anomalies. They claimed CEU enjoyed an unfair advantage by issuing U.S.-accredited degrees without having a U.S. campus, and alleged that maybe CEU’s degrees weren’t fully legitimate. They also objected that CEU was “Soros University,” implying it carried a political agenda. </w:t>
      </w:r>
      <w:r>
        <w:rPr>
          <w:b/>
          <w:bCs/>
        </w:rPr>
        <w:t>Evidentiary status:</w:t>
      </w:r>
      <w:r>
        <w:t xml:space="preserve"> </w:t>
      </w:r>
      <w:r>
        <w:rPr>
          <w:i/>
          <w:iCs/>
        </w:rPr>
        <w:t>Misleading pretext.</w:t>
      </w:r>
      <w:r>
        <w:t xml:space="preserve"> Prior to 2017, CEU operated legally under Hungarian law, accredited in both Hungary and the U.S. It was widely recognized as a reputable graduate institution, ranked favorably in social sciences and humanities fields. The new requirement for a U.S. campus and a Hungary-New York intergovernmental agreement was </w:t>
      </w:r>
      <w:r>
        <w:rPr>
          <w:i/>
          <w:iCs/>
        </w:rPr>
        <w:t>tailor-made to create bureaucratic hurdles</w:t>
      </w:r>
      <w:r>
        <w:t xml:space="preserve"> for CEU. In fact, CEU </w:t>
      </w:r>
      <w:r>
        <w:rPr>
          <w:i/>
          <w:iCs/>
        </w:rPr>
        <w:t>did</w:t>
      </w:r>
      <w:r>
        <w:t xml:space="preserve"> scramble to comply: it established a small program in New York state in partnership with Bard College, fulfilling the letter of the law that it have educational activity in the U.S. Moreover, the State of New York negotiated an agreement with the Hungarian government to secure CEU’s status. But in a telling move, </w:t>
      </w:r>
      <w:r>
        <w:rPr>
          <w:b/>
          <w:bCs/>
        </w:rPr>
        <w:t>the Orbán government simply refused to sign the agreement</w:t>
      </w:r>
      <w:r>
        <w:t xml:space="preserve"> it had itself demanded, even after CEU met all conditions {S:Politico2018CEU}. This demonstrated that the issue was not CEU’s compliance or fairness at all—the issue was political. Orbán viewed CEU as a training ground for liberals (its programs in public policy, human rights, gender studies, etc., were an anathema to his culture-war agenda) and as a symbolic stronghold of Soros. By driving CEU out, Orbán could both eliminate a prestigious source of independent scholarship in Hungary and notch a very public victory against Soros. No evidence ever emerged that CEU did anything illegitimate academically. In 2020, the European Court of Justice ruled that Hungary’s action against CEU violated EU law on academic freedom and the freedom to provide services – essentially confirming that the Hungarian law was an unjustified, discriminatory measure {S:Bloomberg2020CEUCase, source not directly cited above but presumably the Bloomberg piece or similar}. The government’s official line about “legal technicalities” was thus largely a smokescreen for an attack on an institution’s values and affiliations, not its legality.</w:t>
      </w:r>
    </w:p>
    <w:p w14:paraId="4666D46D" w14:textId="77777777" w:rsidR="00497410" w:rsidRDefault="00497410" w:rsidP="00497410">
      <w:pPr>
        <w:numPr>
          <w:ilvl w:val="0"/>
          <w:numId w:val="1"/>
        </w:numPr>
      </w:pPr>
      <w:r>
        <w:rPr>
          <w:b/>
          <w:bCs/>
        </w:rPr>
        <w:t>National Security and Public Order Rationales:</w:t>
      </w:r>
      <w:r>
        <w:t xml:space="preserve"> The broad justification for the 2018 Stop Soros laws was that </w:t>
      </w:r>
      <w:r>
        <w:rPr>
          <w:b/>
          <w:bCs/>
        </w:rPr>
        <w:t>national security</w:t>
      </w:r>
      <w:r>
        <w:t xml:space="preserve"> required clamping down on organizations that “facilitate illegal immigration” and that such measures would maintain public order. Government spokespeople claimed that Hungary had to prevent situations seen in Western Europe, where (according to Orbán’s narrative) unchecked migration led to crime and terrorism. They asserted that any leniency or </w:t>
      </w:r>
      <w:r>
        <w:lastRenderedPageBreak/>
        <w:t xml:space="preserve">help extended to asylum seekers could be abused by terrorists, and thus even humanitarian legal assistance had to be criminalized. </w:t>
      </w:r>
      <w:r>
        <w:rPr>
          <w:b/>
          <w:bCs/>
        </w:rPr>
        <w:t>Evidentiary status:</w:t>
      </w:r>
      <w:r>
        <w:t xml:space="preserve"> </w:t>
      </w:r>
      <w:r>
        <w:rPr>
          <w:i/>
          <w:iCs/>
        </w:rPr>
        <w:t>Unfounded and disproportional.</w:t>
      </w:r>
      <w:r>
        <w:t xml:space="preserve"> Hungary at that time had </w:t>
      </w:r>
      <w:r>
        <w:rPr>
          <w:b/>
          <w:bCs/>
        </w:rPr>
        <w:t>minimal immigration</w:t>
      </w:r>
      <w:r>
        <w:t xml:space="preserve"> – after building fences, arrivals dropped to a trickle. The NGOs targeted (like MigSzol or HHC) were not bringing in new immigrants; they were helping those who were already in Hungary or at its borders lawfully request asylum or basic services. There was no evidence that these NGO activities posed any threat to public safety. In fact, none of the dire events (riots, terrorist infiltration) that the government hinted at ever materialized in Hungary. When the Stop Soros laws went into effect, the immediate consequence was that respected charity and rights groups had to pull back from doing things like distributing food in transit zones or even printing information leaflets, for fear of prosecution. The </w:t>
      </w:r>
      <w:r>
        <w:rPr>
          <w:b/>
          <w:bCs/>
        </w:rPr>
        <w:t>European Court’s 2021 ruling</w:t>
      </w:r>
      <w:r>
        <w:t xml:space="preserve"> was explicit that </w:t>
      </w:r>
      <w:r>
        <w:rPr>
          <w:b/>
          <w:bCs/>
        </w:rPr>
        <w:t>criminalizing such support had no valid security justification</w:t>
      </w:r>
      <w:r>
        <w:t xml:space="preserve"> and breached EU asylum law {S:AlJazeera2021ECJ}. The court noted that helping a bona fide asylum seeker with legal advice or a translation does not equal abetting illegal migration. The Hungarian government’s true motive appeared punitive: to frighten off anyone from assisting asylum seekers, thereby aligning with Orbán’s hardline stance. It also sent a broader chilling message to civil society: if we can criminalize charity to refugees, we can do the same to other forms of activism we dislike. In practice, by 2018–2019, some NGO staff had to think twice about whether speaking on migration issues or continuing certain projects might land them in legal trouble. This self-censorship was </w:t>
      </w:r>
      <w:r>
        <w:rPr>
          <w:b/>
          <w:bCs/>
        </w:rPr>
        <w:t>precisely the aim</w:t>
      </w:r>
      <w:r>
        <w:t>, rather than addressing any real security gap (which experts and police noted was nonexistent – Hungary was not facing a migrant influx at that point).</w:t>
      </w:r>
    </w:p>
    <w:p w14:paraId="71F03322" w14:textId="77777777" w:rsidR="00497410" w:rsidRDefault="00497410" w:rsidP="00497410">
      <w:pPr>
        <w:pStyle w:val="FirstParagraph"/>
      </w:pPr>
      <w:r>
        <w:t xml:space="preserve">In evaluating the Hungarian government’s allegations, a pattern emerges: </w:t>
      </w:r>
      <w:r>
        <w:rPr>
          <w:b/>
          <w:bCs/>
        </w:rPr>
        <w:t>inflated threats and scapegoating</w:t>
      </w:r>
      <w:r>
        <w:t xml:space="preserve">. Orbán’s administration took kernels of truth – OSF-funded NGOs existed; Soros advocated more liberal refugee policies; CEU was Soros-linked; migrants had passed through Hungary – and blew them up into existential dangers through a distorted lens. By contrast, </w:t>
      </w:r>
      <w:r>
        <w:rPr>
          <w:b/>
          <w:bCs/>
        </w:rPr>
        <w:t>independent investigations, court rulings, and the lived reality</w:t>
      </w:r>
      <w:r>
        <w:t xml:space="preserve"> all pointed to the conclusion that these “dangers” were either wholly imagined or grossly exaggerated for political purposes. Far from Hungary being under assault by Soros, it was Hungary’s </w:t>
      </w:r>
      <w:r>
        <w:rPr>
          <w:i/>
          <w:iCs/>
        </w:rPr>
        <w:t>democratic institutions</w:t>
      </w:r>
      <w:r>
        <w:t xml:space="preserve"> that came under assault by its own government’s measures. The allegations served a narrative that justified concentrating power and quashing dissent, rather than reflecting fact-based policymaking.</w:t>
      </w:r>
    </w:p>
    <w:p w14:paraId="26E6A1E1" w14:textId="77777777" w:rsidR="00497410" w:rsidRDefault="00497410" w:rsidP="00497410">
      <w:pPr>
        <w:pStyle w:val="BodyText"/>
      </w:pPr>
      <w:r>
        <w:rPr>
          <w:b/>
          <w:bCs/>
        </w:rPr>
        <w:t>Outcomes and Consequences</w:t>
      </w:r>
      <w:r>
        <w:br/>
        <w:t xml:space="preserve">The confrontation between Orbán’s government and the Open Society network had </w:t>
      </w:r>
      <w:r>
        <w:rPr>
          <w:b/>
          <w:bCs/>
        </w:rPr>
        <w:t>far-reaching consequences</w:t>
      </w:r>
      <w:r>
        <w:t xml:space="preserve"> for Hungary’s NGOs, academic community, and overall public life. By the early 2020s, the landscape of Hungarian civil society and education bore the impacts of these tumultuous years.</w:t>
      </w:r>
    </w:p>
    <w:p w14:paraId="78DCF865" w14:textId="77777777" w:rsidR="00497410" w:rsidRDefault="00497410" w:rsidP="00497410">
      <w:pPr>
        <w:pStyle w:val="BodyText"/>
      </w:pPr>
      <w:r>
        <w:t xml:space="preserve">First and most visibly, the </w:t>
      </w:r>
      <w:r>
        <w:rPr>
          <w:b/>
          <w:bCs/>
        </w:rPr>
        <w:t>Open Society Foundations closed their major hub in Budapest in 2018 and never reopened it.</w:t>
      </w:r>
      <w:r>
        <w:t xml:space="preserve"> For Hungary, this meant the loss of an institution that had contributed an estimated </w:t>
      </w:r>
      <w:r>
        <w:rPr>
          <w:b/>
          <w:bCs/>
        </w:rPr>
        <w:t>$400 million</w:t>
      </w:r>
      <w:r>
        <w:t xml:space="preserve"> to democratic transition and </w:t>
      </w:r>
      <w:r>
        <w:lastRenderedPageBreak/>
        <w:t>civil society over three decades {S:Guardian2018OSF}. OSF’s Budapest office had also coordinated programs for the broader region; its departure symbolized Hungary’s turn from being a regional center of open society work to a more insular posture. Roughly 100 OSF staff (mostly Hungarian nationals) had to relocate or lose their jobs {S:OSF2018Leave}. Berlin gained an influx of expertise as OSF moved its international grantmaking operations there, but Budapest lost an ecosystem of philanthropy and development know-how. OSF vowed to continue supporting Hungarian NGOs, but doing so from abroad introduced inefficiencies and distance. Indeed, some Hungarian activists noted that informal networking, training sessions, and day-to-day support became harder with OSF staff gone.</w:t>
      </w:r>
    </w:p>
    <w:p w14:paraId="50323BB8" w14:textId="77777777" w:rsidR="00497410" w:rsidRDefault="00497410" w:rsidP="00497410">
      <w:pPr>
        <w:pStyle w:val="BodyText"/>
      </w:pPr>
      <w:r>
        <w:t xml:space="preserve">For </w:t>
      </w:r>
      <w:r>
        <w:rPr>
          <w:b/>
          <w:bCs/>
        </w:rPr>
        <w:t>Hungarian NGOs</w:t>
      </w:r>
      <w:r>
        <w:t xml:space="preserve">, the period after 2017 brought a mixture of intimidation and resilience. Many groups did register as “foreign-funded” under protest, posting the required label on their websites while denouncing the law’s intent. Others, like the Hungarian Civil Liberties Union, initially refused to comply, calling the law unconstitutional. The legal battle in the courts provided some shield: enforcement of certain penalties was put on hold pending the EU court case, so no NGO was dissolved under the 2017 law before it was struck down. Nonetheless, the </w:t>
      </w:r>
      <w:r>
        <w:rPr>
          <w:b/>
          <w:bCs/>
        </w:rPr>
        <w:t>stigma took its toll</w:t>
      </w:r>
      <w:r>
        <w:t xml:space="preserve">. Being officially classified as “foreign-supported” (and loudly so by government media) made it harder for these NGOs to gain trust among some local communities and officials. Some reported that government agencies stopped engaging in any partnership or dialogue with them, citing their new stigmatized status. The rhetorical attacks (“Soros organization”) also led to </w:t>
      </w:r>
      <w:r>
        <w:rPr>
          <w:b/>
          <w:bCs/>
        </w:rPr>
        <w:t>harassment</w:t>
      </w:r>
      <w:r>
        <w:t>: staff at prominent NGOs faced hate mail and threats spurred by the demonizing coverage.</w:t>
      </w:r>
    </w:p>
    <w:p w14:paraId="3229D397" w14:textId="77777777" w:rsidR="00497410" w:rsidRDefault="00497410" w:rsidP="00497410">
      <w:pPr>
        <w:pStyle w:val="BodyText"/>
      </w:pPr>
      <w:r>
        <w:t xml:space="preserve">The introduction of the </w:t>
      </w:r>
      <w:r>
        <w:rPr>
          <w:b/>
          <w:bCs/>
        </w:rPr>
        <w:t>Stop Soros laws in 2018 cast a long shadow</w:t>
      </w:r>
      <w:r>
        <w:t xml:space="preserve">. In practice, there were </w:t>
      </w:r>
      <w:r>
        <w:rPr>
          <w:b/>
          <w:bCs/>
        </w:rPr>
        <w:t>no known prosecutions</w:t>
      </w:r>
      <w:r>
        <w:t xml:space="preserve"> of NGO workers under the law for helping asylum-seekers – likely because the law itself was partly suspended during the EU challenge, and also because NGOs adapted by scaling back or altering their activities. For example, the Hungarian Helsinki Committee ceased some of its public-facing aid to asylum seekers and focused on legal cases in international courts. “Migration Aid,” a volunteer group that helped refugees in 2015, actually transformed into a new entity partly to avoid the risk of being targeted. The chilling effect was palpable: individuals who might have volunteered to assist refugees or Roma or other marginalized groups grew more wary in an environment where the government signaled such work could be labeled treasonous.</w:t>
      </w:r>
    </w:p>
    <w:p w14:paraId="09A72838" w14:textId="77777777" w:rsidR="00497410" w:rsidRDefault="00497410" w:rsidP="00497410">
      <w:pPr>
        <w:pStyle w:val="BodyText"/>
      </w:pPr>
      <w:r>
        <w:t xml:space="preserve">Despite these pressures, </w:t>
      </w:r>
      <w:r>
        <w:rPr>
          <w:b/>
          <w:bCs/>
        </w:rPr>
        <w:t>Hungary’s core human rights NGOs survived</w:t>
      </w:r>
      <w:r>
        <w:t xml:space="preserve">. Groups like HHC, HCLU, Amnesty International’s local chapter, and Transparency International Hungary continued operating, litigating, and speaking out. They proved adaptive – seeking alternate funding, forging alliances, and internationalizing their struggles. Some took their cases to the </w:t>
      </w:r>
      <w:r>
        <w:rPr>
          <w:b/>
          <w:bCs/>
        </w:rPr>
        <w:t>European courts and won</w:t>
      </w:r>
      <w:r>
        <w:t xml:space="preserve">, as seen with the NGO law and asylum law verdicts {S:OSF2020EUCJ}{S:AlJazeera2021ECJ}. These victories, however, were </w:t>
      </w:r>
      <w:r>
        <w:rPr>
          <w:i/>
          <w:iCs/>
        </w:rPr>
        <w:t>pyrrhic</w:t>
      </w:r>
      <w:r>
        <w:t xml:space="preserve"> in the short term: by the time the EU forced legal changes, the damage to the NGO sector’s environment had largely been done. Trust had eroded, and the government quickly found ways to keep pressure on (like the 2021 audit law) {S:ZOiS2021Analysis}. Many NGOs felt </w:t>
      </w:r>
      <w:r>
        <w:lastRenderedPageBreak/>
        <w:t>they had little choice but to keep a low profile on the most contentious issues (notably migration).</w:t>
      </w:r>
    </w:p>
    <w:p w14:paraId="6CBE9015" w14:textId="77777777" w:rsidR="00497410" w:rsidRDefault="00497410" w:rsidP="00497410">
      <w:pPr>
        <w:pStyle w:val="BodyText"/>
      </w:pPr>
      <w:r>
        <w:t xml:space="preserve">One clear casualty was </w:t>
      </w:r>
      <w:r>
        <w:rPr>
          <w:b/>
          <w:bCs/>
        </w:rPr>
        <w:t>Central European University</w:t>
      </w:r>
      <w:r>
        <w:t xml:space="preserve">. After its forced relocation of degree programs to Vienna, CEU’s bustling campus in downtown Budapest fell quiet. By late 2019, incoming students were enrolling in Vienna, and CEU’s Hungarian accreditation lapsed for most programs. Hungary thus lost one of its top-ranked universities and hundreds of faculty and researchers who had contributed to the intellectual and cultural life of Budapest. CEU tried to retain a foothold in Hungary by maintaining some research activities and the Open Society Archives, but it was a shadow of its former presence. The </w:t>
      </w:r>
      <w:r>
        <w:rPr>
          <w:b/>
          <w:bCs/>
        </w:rPr>
        <w:t>academic freedom climate</w:t>
      </w:r>
      <w:r>
        <w:t xml:space="preserve"> continued to deteriorate: In the wake of CEU’s ouster, Orbán’s government took aim at other targets – including Hungary’s venerable Academy of Sciences (stripping its research institutes) and university boards (installing partisan loyalists in control under a new model of governance). The message was that </w:t>
      </w:r>
      <w:r>
        <w:rPr>
          <w:b/>
          <w:bCs/>
        </w:rPr>
        <w:t>no autonomous sector was safe</w:t>
      </w:r>
      <w:r>
        <w:t>. For Hungarian scholars, this has prompted increased emigration and a brain drain. As Ignatieff lamented, the CEU episode signaled to academics worldwide that even the EU could not shield academic institutions from political retribution in Hungary {S:Politico2018CEU}.</w:t>
      </w:r>
    </w:p>
    <w:p w14:paraId="65AA681E" w14:textId="77777777" w:rsidR="00497410" w:rsidRDefault="00497410" w:rsidP="00497410">
      <w:pPr>
        <w:pStyle w:val="BodyText"/>
      </w:pPr>
      <w:r>
        <w:t xml:space="preserve">The </w:t>
      </w:r>
      <w:r>
        <w:rPr>
          <w:b/>
          <w:bCs/>
        </w:rPr>
        <w:t>Hungarian public sphere</w:t>
      </w:r>
      <w:r>
        <w:t xml:space="preserve"> has accordingly transformed. </w:t>
      </w:r>
      <w:r>
        <w:rPr>
          <w:b/>
          <w:bCs/>
        </w:rPr>
        <w:t>Media pluralism is severely diminished.</w:t>
      </w:r>
      <w:r>
        <w:t xml:space="preserve"> With so many outlets under Fidesz influence, criticism of the government’s civil society crackdown rarely surfaces on television or in mass newspapers. Independent journalism lives mostly on the internet and in a few print weeklies, reaching a more limited, self-selecting audience. The </w:t>
      </w:r>
      <w:r>
        <w:rPr>
          <w:b/>
          <w:bCs/>
        </w:rPr>
        <w:t>level of public debate</w:t>
      </w:r>
      <w:r>
        <w:t xml:space="preserve"> has coarsened, too—government campaigns normalize conspiracy theories and slurs (“Soros mercenary,” “traitor NGOs”), eroding rational policy discussion. The constant scapegoating of outsiders for domestic issues (be it Soros for immigration, or Brussels for economic woes) has had the effect of </w:t>
      </w:r>
      <w:r>
        <w:rPr>
          <w:b/>
          <w:bCs/>
        </w:rPr>
        <w:t>blurring accountability</w:t>
      </w:r>
      <w:r>
        <w:t xml:space="preserve"> in voters’ minds. Orbán’s supporters often dismiss any negative news—be it corruption revelations or health care failings—as somehow engineered by foreign-funded activists or media. This environment makes it extraordinarily difficult for civil society voices to be heard or trusted outside their own circles. The result is a sort of </w:t>
      </w:r>
      <w:r>
        <w:rPr>
          <w:b/>
          <w:bCs/>
        </w:rPr>
        <w:t>self-censorship and caution</w:t>
      </w:r>
      <w:r>
        <w:t xml:space="preserve"> even among ordinary citizens: many avoid discussing politics except with close friends, knowing how toxic and polarized the narratives have become.</w:t>
      </w:r>
    </w:p>
    <w:p w14:paraId="556935B7" w14:textId="77777777" w:rsidR="00497410" w:rsidRDefault="00497410" w:rsidP="00497410">
      <w:pPr>
        <w:pStyle w:val="BodyText"/>
      </w:pPr>
      <w:r>
        <w:t xml:space="preserve">For the </w:t>
      </w:r>
      <w:r>
        <w:rPr>
          <w:b/>
          <w:bCs/>
        </w:rPr>
        <w:t>groups directly affected</w:t>
      </w:r>
      <w:r>
        <w:t xml:space="preserve">, outcomes have been bittersweet. Marta Pardavi of the Helsinki Committee noted that OSF’s exit and the ensuing fear </w:t>
      </w:r>
      <w:r>
        <w:rPr>
          <w:b/>
          <w:bCs/>
        </w:rPr>
        <w:t>“panicked” parts of the sector, but also showed which organizations were truly committed</w:t>
      </w:r>
      <w:r>
        <w:t xml:space="preserve"> {S:Guardian2018OSF}. The most committed NGOs adjusted to working with less domestic legitimacy, doubling down on international advocacy (reaching out to UN, EU, etc.) to offset their isolation at home. </w:t>
      </w:r>
      <w:r>
        <w:rPr>
          <w:b/>
          <w:bCs/>
        </w:rPr>
        <w:t>Some smaller community-based NGOs, however, folded or redirected their focus</w:t>
      </w:r>
      <w:r>
        <w:t xml:space="preserve"> away from human rights to less politicized work, simply to avoid the crossfire. New civic initiatives do still emerge in Hungary – for instance, youth-led climate and environmental groups, or humanitarian networks responding to crises (like helping Ukrainian refugees in 2022). But inevitably, they must operate in the shadow of </w:t>
      </w:r>
      <w:r>
        <w:lastRenderedPageBreak/>
        <w:t>what happened to their predecessors, calibrating their activism to not trip the wires that Orbán’s government has laid.</w:t>
      </w:r>
    </w:p>
    <w:p w14:paraId="403EA01F" w14:textId="77777777" w:rsidR="00497410" w:rsidRDefault="00497410" w:rsidP="00497410">
      <w:pPr>
        <w:pStyle w:val="BodyText"/>
      </w:pPr>
      <w:r>
        <w:t xml:space="preserve">On the </w:t>
      </w:r>
      <w:r>
        <w:rPr>
          <w:b/>
          <w:bCs/>
        </w:rPr>
        <w:t>legal front</w:t>
      </w:r>
      <w:r>
        <w:t xml:space="preserve">, there have been partial remedies but lingering issues. After the ECJ invalidated the NGO labeling law, Hungary formally repealed it in 2021 {S:ZOiS2021Analysis}. Yet the </w:t>
      </w:r>
      <w:r>
        <w:rPr>
          <w:b/>
          <w:bCs/>
        </w:rPr>
        <w:t>new audit mechanism</w:t>
      </w:r>
      <w:r>
        <w:t xml:space="preserve"> that replaced it could still be used to harass NGOs deemed troublesome, by subjecting them to onerous yearly financial inspections beyond normal requirements. As of 2025, there is evidence that this tool is applied selectively – critical NGOs find themselves frequently “audited,” tying up time and resources, whereas government-friendly civic groups (like pro-Orbán think tanks or sports associations) are left alone. Similarly, although the ECJ struck down the criminalization of helping asylum seekers, the Hungarian government has been slow and grudging in adjusting its laws. The transit zone camps for asylum seekers, condemned by European courts, were eventually closed, but access to asylum remains extremely restrictive, and the </w:t>
      </w:r>
      <w:r>
        <w:rPr>
          <w:b/>
          <w:bCs/>
        </w:rPr>
        <w:t>intimidation of migration activists during 2018–2021 succeeded in largely dismantling what little refugee support network existed</w:t>
      </w:r>
      <w:r>
        <w:t xml:space="preserve">. In effect, </w:t>
      </w:r>
      <w:r>
        <w:rPr>
          <w:b/>
          <w:bCs/>
        </w:rPr>
        <w:t>Orbán’s objectives were met</w:t>
      </w:r>
      <w:r>
        <w:t>: even if laws are tweaked after EU intervention, CEU is gone, OSF is gone, and the NGO sector is muzzled compared to a decade ago.</w:t>
      </w:r>
    </w:p>
    <w:p w14:paraId="3D919BA8" w14:textId="77777777" w:rsidR="00497410" w:rsidRDefault="00497410" w:rsidP="00497410">
      <w:pPr>
        <w:pStyle w:val="BodyText"/>
      </w:pPr>
      <w:r>
        <w:t xml:space="preserve">For </w:t>
      </w:r>
      <w:r>
        <w:rPr>
          <w:b/>
          <w:bCs/>
        </w:rPr>
        <w:t>George Soros and OSF</w:t>
      </w:r>
      <w:r>
        <w:t xml:space="preserve"> at the macro level, the Hungary case was a blow but not the end of their global efforts. OSF reallocated funds to support Hungarian NGOs via its Berlin office and by backing litigation like the EU court cases. Soros himself continued to speak out occasionally on Hungary, but he focused more on larger EU-wide issues (like criticizing Orbán’s influence in Europe broadly). In a sense, OSF’s retreat from Hungary marked a strategic decision to fight from afar rather than maintain a costly presence in a hostile environment. Notably, in 2023, OSF’s leadership transition (with Soros’s son taking over) led to a further shift away from Europe—perhaps a tacit acknowledgment that in EU countries like Hungary, where governments themselves have stable resources to fund civic work, OSF’s added value is now limited or unwelcome. This raises the question: </w:t>
      </w:r>
      <w:r>
        <w:rPr>
          <w:b/>
          <w:bCs/>
        </w:rPr>
        <w:t>what is the long-term impact on Hungarian society?</w:t>
      </w:r>
      <w:r>
        <w:t xml:space="preserve"> The departure of institutions like OSF and CEU could have generational effects. Young Hungarians lost opportunities (scholarships, educational paths) that might have been available. Public discourse lost mediating voices that previously might convene cross-cutting dialogue (OSF’s local forum events, CEU’s public lectures). In their place, the </w:t>
      </w:r>
      <w:r>
        <w:rPr>
          <w:b/>
          <w:bCs/>
        </w:rPr>
        <w:t>public sphere is more monolithic and controlled</w:t>
      </w:r>
      <w:r>
        <w:t>.</w:t>
      </w:r>
    </w:p>
    <w:p w14:paraId="160D4012" w14:textId="77777777" w:rsidR="00497410" w:rsidRDefault="00497410" w:rsidP="00497410">
      <w:pPr>
        <w:pStyle w:val="BodyText"/>
      </w:pPr>
      <w:r>
        <w:t xml:space="preserve">One outcome that is hard to quantify but deeply significant is the </w:t>
      </w:r>
      <w:r>
        <w:rPr>
          <w:b/>
          <w:bCs/>
        </w:rPr>
        <w:t>psychological impact on Hungarian civic actors and citizens</w:t>
      </w:r>
      <w:r>
        <w:t xml:space="preserve">. Those who fought to defend civil society through these years describe a sense of exhaustion and caution. They remain determined, but the constant demonization takes a toll. Trust between the third sector and the state has been badly damaged. Meanwhile, Orbán’s supporters feel vindicated that “Soros was defeated” in Hungary, a narrative Fidesz proudly touts. This has arguably entrenched a toxic precedent: </w:t>
      </w:r>
      <w:r>
        <w:rPr>
          <w:i/>
          <w:iCs/>
        </w:rPr>
        <w:t>if something (or someone) is unpopular with the ruling party, demonize it enough and you can justify purging it from the country.</w:t>
      </w:r>
      <w:r>
        <w:t xml:space="preserve"> It sets a chilling example that other governments with authoritarian tendencies have surely noted.</w:t>
      </w:r>
    </w:p>
    <w:p w14:paraId="155FA352" w14:textId="77777777" w:rsidR="00497410" w:rsidRDefault="00497410" w:rsidP="00497410">
      <w:pPr>
        <w:pStyle w:val="BodyText"/>
      </w:pPr>
      <w:r>
        <w:lastRenderedPageBreak/>
        <w:t xml:space="preserve">Yet, the story also produced </w:t>
      </w:r>
      <w:r>
        <w:rPr>
          <w:b/>
          <w:bCs/>
        </w:rPr>
        <w:t>strong pushback and solidarity</w:t>
      </w:r>
      <w:r>
        <w:t xml:space="preserve"> from various quarters: Hungarian students and professors stood up for CEU; international academic and NGO networks rallied to support those under attack; the European institutions (after much delay) did assert legal principles to rein in the worst excesses; and within Hungary, a core of civic leaders proved they would not be intimidated into silence. The legacies of that fight endure. Hungary’s civil society, though smaller and embattled, is arguably more cohesive now – different NGOs formed coalitions to defend each other when it mattered. The values of open society still have champions in Hungary, even if they operate in a much more unfavorable context.</w:t>
      </w:r>
    </w:p>
    <w:p w14:paraId="11093DC9" w14:textId="77777777" w:rsidR="00497410" w:rsidRDefault="00497410" w:rsidP="00497410">
      <w:pPr>
        <w:pStyle w:val="BodyText"/>
      </w:pPr>
      <w:r>
        <w:rPr>
          <w:b/>
          <w:bCs/>
        </w:rPr>
        <w:t>Stakeholder Map: Key Players in Hungary’s Pushback</w:t>
      </w:r>
      <w:r>
        <w:br/>
        <w:t xml:space="preserve">To fully understand this case, it’s helpful to delineate the main </w:t>
      </w:r>
      <w:r>
        <w:rPr>
          <w:b/>
          <w:bCs/>
        </w:rPr>
        <w:t>stakeholders</w:t>
      </w:r>
      <w:r>
        <w:t xml:space="preserve"> involved and their roles in the conflict:</w:t>
      </w:r>
    </w:p>
    <w:p w14:paraId="2A93F5F4" w14:textId="77777777" w:rsidR="00497410" w:rsidRDefault="00497410" w:rsidP="00497410">
      <w:pPr>
        <w:numPr>
          <w:ilvl w:val="0"/>
          <w:numId w:val="1"/>
        </w:numPr>
      </w:pPr>
      <w:r>
        <w:rPr>
          <w:b/>
          <w:bCs/>
        </w:rPr>
        <w:t>The Orbán Government and Fidesz Party:</w:t>
      </w:r>
      <w:r>
        <w:t xml:space="preserve"> Viktor Orbán, as Prime Minister, was the chief architect and public face of the pushback. His personal convictions about defending Hungary from liberal influence drove the agenda. The Fidesz party machinery and its supermajority in Parliament enabled rapid passage of laws like the NGO law and Stop Soros package. Key officials included </w:t>
      </w:r>
      <w:r>
        <w:rPr>
          <w:b/>
          <w:bCs/>
        </w:rPr>
        <w:t>Zoltán Kovács</w:t>
      </w:r>
      <w:r>
        <w:t xml:space="preserve">, Orbán’s international spokesman, who articulated and defended the government’s narrative abroad (often dismissing critics and framing the issue as Hungary’s sovereign right to legislate). </w:t>
      </w:r>
      <w:r>
        <w:rPr>
          <w:b/>
          <w:bCs/>
        </w:rPr>
        <w:t>Gergely Gulyás</w:t>
      </w:r>
      <w:r>
        <w:t xml:space="preserve">, a top Orbán lieutenant, and others in Fidesz frequently gave voice to the more combative accusations, such as asserting Soros was launching a “full frontal attack” on Hungary {S:AlJazeera2017Campaign}. </w:t>
      </w:r>
      <w:r>
        <w:rPr>
          <w:b/>
          <w:bCs/>
        </w:rPr>
        <w:t>Ministers of Justice and Interior</w:t>
      </w:r>
      <w:r>
        <w:t xml:space="preserve"> played roles in drafting and enforcing the laws. The Hungarian </w:t>
      </w:r>
      <w:r>
        <w:rPr>
          <w:b/>
          <w:bCs/>
        </w:rPr>
        <w:t>security services</w:t>
      </w:r>
      <w:r>
        <w:t xml:space="preserve"> (internal intelligence) were deployed to surveil and report on OSF-linked activities, underscoring that the government treated this as a security domain as well as political. Fidesz’s governing style centralized authority in Orbán’s cabinet office, which coordinated the propaganda campaigns and legal changes tightly. In the broader picture, Orbán’s government saw itself as waging both an ideological battle (against liberal globalism) and a practical one (consolidating power by neutralizing independent sectors).</w:t>
      </w:r>
    </w:p>
    <w:p w14:paraId="094F5262" w14:textId="77777777" w:rsidR="00497410" w:rsidRDefault="00497410" w:rsidP="00497410">
      <w:pPr>
        <w:numPr>
          <w:ilvl w:val="0"/>
          <w:numId w:val="1"/>
        </w:numPr>
      </w:pPr>
      <w:r>
        <w:rPr>
          <w:b/>
          <w:bCs/>
        </w:rPr>
        <w:t>Open Society Foundations (OSF) and George Soros:</w:t>
      </w:r>
      <w:r>
        <w:t xml:space="preserve"> OSF was at the eye of the storm. As a grantmaker, OSF was not used to being thrust into the limelight—it typically works behind the scenes funding partners. In Hungary, OSF’s staff suddenly had to take on a defensive, public posture. </w:t>
      </w:r>
      <w:r>
        <w:rPr>
          <w:b/>
          <w:bCs/>
        </w:rPr>
        <w:t>George Soros</w:t>
      </w:r>
      <w:r>
        <w:t xml:space="preserve">, though not residing in Hungary, became an unavoidable figurehead in absentia. Soros rarely gave interviews on the matter, but he authorized OSF to fight back through statements, legal challenges, and continuing support to allies. </w:t>
      </w:r>
      <w:r>
        <w:rPr>
          <w:b/>
          <w:bCs/>
        </w:rPr>
        <w:t>Patrick Gaspard</w:t>
      </w:r>
      <w:r>
        <w:t xml:space="preserve">, OSF’s President during 2017–2018, became a spokesperson condemning Hungary’s actions (his outspoken comments that Orbán was propagating “distortions and lies” about Soros {S:AlJazeera2017Campaign} gave as good as he got in the war of words). Locally, OSF’s Hungary office director had to manage staff safety and morale as they faced personal smear attacks and even mysterious </w:t>
      </w:r>
      <w:r>
        <w:rPr>
          <w:b/>
          <w:bCs/>
        </w:rPr>
        <w:t xml:space="preserve">sting </w:t>
      </w:r>
      <w:r>
        <w:rPr>
          <w:b/>
          <w:bCs/>
        </w:rPr>
        <w:lastRenderedPageBreak/>
        <w:t>operations</w:t>
      </w:r>
      <w:r>
        <w:t xml:space="preserve"> targeting them {S:OSF2018Leave}. The OSF network also tapped into its global connections: other international philanthropies and human rights bodies issued solidarity statements. OSF lobbied European and American officials to raise the issue with Hungary (though with mixed results). In the stakeholder map, OSF was both a symbol (in government eyes, a proxy for foreign influence) and an enabler (for NGOs, a crucial source of funds and legitimacy). When OSF decided to leave Budapest, it did so in consultation with those NGOs, trying to ensure support would continue from abroad. Nonetheless, OSF’s withdrawal was a turning point: it meant </w:t>
      </w:r>
      <w:r>
        <w:rPr>
          <w:b/>
          <w:bCs/>
        </w:rPr>
        <w:t>one less direct target</w:t>
      </w:r>
      <w:r>
        <w:t xml:space="preserve"> for the government inside the country, but also a loss of on-the-ground convening power for civil society.</w:t>
      </w:r>
    </w:p>
    <w:p w14:paraId="43182AAE" w14:textId="77777777" w:rsidR="00497410" w:rsidRDefault="00497410" w:rsidP="00497410">
      <w:pPr>
        <w:numPr>
          <w:ilvl w:val="0"/>
          <w:numId w:val="1"/>
        </w:numPr>
      </w:pPr>
      <w:r>
        <w:rPr>
          <w:b/>
          <w:bCs/>
        </w:rPr>
        <w:t>Local NGOs and Civil Society Leaders:</w:t>
      </w:r>
      <w:r>
        <w:t xml:space="preserve"> This group includes the myriad Hungarian non-governmental organizations that were either directly targeted by legislation or tarred by the broader smear campaign. Notable among them:</w:t>
      </w:r>
    </w:p>
    <w:p w14:paraId="112A2E14" w14:textId="77777777" w:rsidR="00497410" w:rsidRDefault="00497410" w:rsidP="00497410">
      <w:pPr>
        <w:pStyle w:val="Compact"/>
        <w:numPr>
          <w:ilvl w:val="0"/>
          <w:numId w:val="1"/>
        </w:numPr>
      </w:pPr>
      <w:r>
        <w:t xml:space="preserve">The </w:t>
      </w:r>
      <w:r>
        <w:rPr>
          <w:b/>
          <w:bCs/>
        </w:rPr>
        <w:t>Hungarian Helsinki Committee (HHC)</w:t>
      </w:r>
      <w:r>
        <w:t xml:space="preserve">, co-led by </w:t>
      </w:r>
      <w:r>
        <w:rPr>
          <w:b/>
          <w:bCs/>
        </w:rPr>
        <w:t>Márta Pardavi</w:t>
      </w:r>
      <w:r>
        <w:t>, which provides legal assistance to asylum seekers and detainees, was specifically singled out as doing work the government wanted stopped. HHC lost a significant portion of its funding when OSF left (28% of its budget, by Pardavi’s estimate) {S:Guardian2018OSF}, and had to adapt quickly. Pardavi and her colleagues became de facto spokespeople to international media about the civil sector’s plight.</w:t>
      </w:r>
    </w:p>
    <w:p w14:paraId="1A367914" w14:textId="77777777" w:rsidR="00497410" w:rsidRDefault="00497410" w:rsidP="00497410">
      <w:pPr>
        <w:pStyle w:val="Compact"/>
        <w:numPr>
          <w:ilvl w:val="0"/>
          <w:numId w:val="1"/>
        </w:numPr>
      </w:pPr>
      <w:r>
        <w:t xml:space="preserve">The </w:t>
      </w:r>
      <w:r>
        <w:rPr>
          <w:b/>
          <w:bCs/>
        </w:rPr>
        <w:t>Hungarian Civil Liberties Union (HCLU)</w:t>
      </w:r>
      <w:r>
        <w:t>, a human rights watchdog and legal advocacy group, similarly reliant on foreign funding, spearheaded domestic legal resistance – filing appeals in Hungarian courts and informing citizens about the NGO law’s implications.</w:t>
      </w:r>
    </w:p>
    <w:p w14:paraId="36CFB681" w14:textId="77777777" w:rsidR="00497410" w:rsidRDefault="00497410" w:rsidP="00497410">
      <w:pPr>
        <w:pStyle w:val="Compact"/>
        <w:numPr>
          <w:ilvl w:val="0"/>
          <w:numId w:val="1"/>
        </w:numPr>
      </w:pPr>
      <w:r>
        <w:rPr>
          <w:b/>
          <w:bCs/>
        </w:rPr>
        <w:t>Transparency International Hungary</w:t>
      </w:r>
      <w:r>
        <w:t xml:space="preserve">, which monitors corruption, and </w:t>
      </w:r>
      <w:r>
        <w:rPr>
          <w:b/>
          <w:bCs/>
        </w:rPr>
        <w:t>Átlátszó</w:t>
      </w:r>
      <w:r>
        <w:t xml:space="preserve">, an investigative journalism outlet led by </w:t>
      </w:r>
      <w:r>
        <w:rPr>
          <w:b/>
          <w:bCs/>
        </w:rPr>
        <w:t>Tamás Bodoky</w:t>
      </w:r>
      <w:r>
        <w:t>, were active voices. Bodoky openly talked about how OSF grantees like his are demonized to intimidate independent media and how government-friendly outlets get showered with taxpayer money {S:Guardian2018OSF}.</w:t>
      </w:r>
    </w:p>
    <w:p w14:paraId="59993C38" w14:textId="77777777" w:rsidR="00497410" w:rsidRDefault="00497410" w:rsidP="00497410">
      <w:pPr>
        <w:pStyle w:val="Compact"/>
        <w:numPr>
          <w:ilvl w:val="0"/>
          <w:numId w:val="1"/>
        </w:numPr>
      </w:pPr>
      <w:r>
        <w:t>Smaller community organizations (for example those assisting the Roma community or LGBT groups) suddenly found themselves lumped into the “foreign-funded” category if they had any international grants, even if their work was far from political. Some of these tried to keep their heads down, while others banded together in forums and umbrella groups to protect civic space.</w:t>
      </w:r>
    </w:p>
    <w:p w14:paraId="66A80383" w14:textId="77777777" w:rsidR="00497410" w:rsidRDefault="00497410" w:rsidP="00497410">
      <w:pPr>
        <w:pStyle w:val="FirstParagraph"/>
      </w:pPr>
      <w:r>
        <w:t xml:space="preserve">Civil society leaders often coordinated through informal networks to share strategies. When one organization was attacked, others rallied – a notable instance being when secret recordings of civil activists were released on pro-government media; a coalition of NGOs jointly denounced the entrapment attempt {S:OSF2018Leave}. In the stakeholder equation, these NGOs represent the “last line of defense” for liberal-democratic values inside Hungary – as Nora Kovács of the Eötvös Károly Institute said, </w:t>
      </w:r>
      <w:r>
        <w:rPr>
          <w:i/>
          <w:iCs/>
        </w:rPr>
        <w:t xml:space="preserve">“Basically, we are the last </w:t>
      </w:r>
      <w:r>
        <w:rPr>
          <w:i/>
          <w:iCs/>
        </w:rPr>
        <w:lastRenderedPageBreak/>
        <w:t>critics standing in Hungary.”</w:t>
      </w:r>
      <w:r>
        <w:t xml:space="preserve"> {S:AlJazeera2017Campaign} Orbán’s moves aimed to isolate and incapacitate them; their goal was to survive and continue their missions.</w:t>
      </w:r>
    </w:p>
    <w:p w14:paraId="569BAA41" w14:textId="77777777" w:rsidR="00497410" w:rsidRDefault="00497410" w:rsidP="00497410">
      <w:pPr>
        <w:numPr>
          <w:ilvl w:val="0"/>
          <w:numId w:val="1"/>
        </w:numPr>
      </w:pPr>
      <w:r>
        <w:rPr>
          <w:b/>
          <w:bCs/>
        </w:rPr>
        <w:t>Central European University (CEU) and Academia:</w:t>
      </w:r>
      <w:r>
        <w:t xml:space="preserve"> CEU was a stakeholder of a different sort – an educational institution caught in the crossfire. </w:t>
      </w:r>
      <w:r>
        <w:rPr>
          <w:b/>
          <w:bCs/>
        </w:rPr>
        <w:t>Michael Ignatieff</w:t>
      </w:r>
      <w:r>
        <w:t xml:space="preserve">, a former politician and scholar, as CEU’s Rector had to navigate an unprecedented academic freedom crisis. CEU’s students and faculty became active participants in protests, with students organizing rallies and alumni lobbying foreign governments. The university’s fate also concerned the </w:t>
      </w:r>
      <w:r>
        <w:rPr>
          <w:b/>
          <w:bCs/>
        </w:rPr>
        <w:t>wider academic community in Hungary</w:t>
      </w:r>
      <w:r>
        <w:t xml:space="preserve"> – other universities’ professors marched in solidarity, aware that if CEU could be targeted, so could they. After CEU’s relocation, Hungarian academia did indeed face further ideological control. The CEU saga mobilized stakeholders like academic associations and even bodies like the </w:t>
      </w:r>
      <w:r>
        <w:rPr>
          <w:b/>
          <w:bCs/>
        </w:rPr>
        <w:t>European University Association</w:t>
      </w:r>
      <w:r>
        <w:t xml:space="preserve"> to condemn political interference in education. Within Hungary’s stakeholder map, CEU symbolized the loss of an open, international intellectual space, and its forced exit served as a warning to the scientific and cultural sectors that the government’s culture war was intensifying (Orbán had explicitly talked of the need to curb liberal influence in universities and arts after 2018) {S:ZOiS2021Analysis}.</w:t>
      </w:r>
    </w:p>
    <w:p w14:paraId="2CDF6E82" w14:textId="77777777" w:rsidR="00497410" w:rsidRDefault="00497410" w:rsidP="00497410">
      <w:pPr>
        <w:numPr>
          <w:ilvl w:val="0"/>
          <w:numId w:val="1"/>
        </w:numPr>
      </w:pPr>
      <w:r>
        <w:rPr>
          <w:b/>
          <w:bCs/>
        </w:rPr>
        <w:t>Media and Journalists:</w:t>
      </w:r>
      <w:r>
        <w:t xml:space="preserve"> Media can be divided into two camps in this conflict. </w:t>
      </w:r>
      <w:r>
        <w:rPr>
          <w:b/>
          <w:bCs/>
        </w:rPr>
        <w:t>Pro-government media</w:t>
      </w:r>
      <w:r>
        <w:t xml:space="preserve"> (public broadcasters, Fidesz-aligned private outlets) were not neutral observers but active instruments of Orbán’s strategy. Editors and propagandists in these outlets were stakeholders who benefited from the government’s campaign via increased state advertising revenue and patronage. They dutifully amplified official lines, often outdoing politicians in vitriol – for example, some ran overtly racist or anti-Semitic pieces about Soros that the government itself might avoid issuing formally. On the other side, </w:t>
      </w:r>
      <w:r>
        <w:rPr>
          <w:b/>
          <w:bCs/>
        </w:rPr>
        <w:t>independent journalists</w:t>
      </w:r>
      <w:r>
        <w:t xml:space="preserve"> (at outlets like </w:t>
      </w:r>
      <w:r>
        <w:rPr>
          <w:i/>
          <w:iCs/>
        </w:rPr>
        <w:t>Index.hu</w:t>
      </w:r>
      <w:r>
        <w:t xml:space="preserve">, </w:t>
      </w:r>
      <w:r>
        <w:rPr>
          <w:i/>
          <w:iCs/>
        </w:rPr>
        <w:t>HVG</w:t>
      </w:r>
      <w:r>
        <w:t xml:space="preserve">, </w:t>
      </w:r>
      <w:r>
        <w:rPr>
          <w:i/>
          <w:iCs/>
        </w:rPr>
        <w:t>444.hu</w:t>
      </w:r>
      <w:r>
        <w:t xml:space="preserve">, </w:t>
      </w:r>
      <w:r>
        <w:rPr>
          <w:i/>
          <w:iCs/>
        </w:rPr>
        <w:t>Magyar Narancs</w:t>
      </w:r>
      <w:r>
        <w:t xml:space="preserve">) strove to investigate the truth behind the government’s claims and to give voice to the targeted NGOs. However, their reach was limited and, in some cases, their existence precarious (the largest independent news site </w:t>
      </w:r>
      <w:r>
        <w:rPr>
          <w:i/>
          <w:iCs/>
        </w:rPr>
        <w:t>Index</w:t>
      </w:r>
      <w:r>
        <w:t xml:space="preserve"> fell to an internal coup in 2020, widely seen as an indirect result of Orbán’s media capture policy). International media and correspondents covering Hungary also became stakeholders in that their reporting shaped global perception and sometimes fed back into EU-level debates about taking action on Hungary. The government, interestingly, at times treated critical foreign press as part of the Soros-affiliated network – Orbán’s spokesman Kovács often lambasted outlets like the BBC or </w:t>
      </w:r>
      <w:r>
        <w:rPr>
          <w:i/>
          <w:iCs/>
        </w:rPr>
        <w:t>The New York Times</w:t>
      </w:r>
      <w:r>
        <w:t xml:space="preserve"> for “siding with Soros” or peddling the opposition’s view. Thus, journalism itself was politicized: independent journalists were cast as potential adversaries (some even got labeled “foreign agents” in the smear campaigns), while loyalist journalists were effectively part of the ruling power structure.</w:t>
      </w:r>
    </w:p>
    <w:p w14:paraId="129F447A" w14:textId="77777777" w:rsidR="00497410" w:rsidRDefault="00497410" w:rsidP="00497410">
      <w:pPr>
        <w:numPr>
          <w:ilvl w:val="0"/>
          <w:numId w:val="1"/>
        </w:numPr>
      </w:pPr>
      <w:r>
        <w:rPr>
          <w:b/>
          <w:bCs/>
        </w:rPr>
        <w:t>European Union Institutions:</w:t>
      </w:r>
      <w:r>
        <w:t xml:space="preserve"> The EU, as a supranational stakeholder, played a complicated role. The </w:t>
      </w:r>
      <w:r>
        <w:rPr>
          <w:b/>
          <w:bCs/>
        </w:rPr>
        <w:t>European Commission</w:t>
      </w:r>
      <w:r>
        <w:t xml:space="preserve"> (the EU’s executive arm) took on the responsibility of enforcing EU law. Commissioners and their legal teams monitored </w:t>
      </w:r>
      <w:r>
        <w:lastRenderedPageBreak/>
        <w:t xml:space="preserve">Hungary’s laws and launched infringement procedures when they believed Orbán overstepped EU rules – as they did in 2017 for the NGO law and in 2018 for the CEU law and refugee measures. The </w:t>
      </w:r>
      <w:r>
        <w:rPr>
          <w:b/>
          <w:bCs/>
        </w:rPr>
        <w:t>European Court of Justice</w:t>
      </w:r>
      <w:r>
        <w:t xml:space="preserve"> then became the arena where these disputes were resolved, ultimately delivering rulings in 2020 and 2021 that vindicated the NGOs and CEU. However, this legal process was slow, often taking years – during which Orbán’s policies remained in effect. The </w:t>
      </w:r>
      <w:r>
        <w:rPr>
          <w:b/>
          <w:bCs/>
        </w:rPr>
        <w:t>European Parliament</w:t>
      </w:r>
      <w:r>
        <w:t xml:space="preserve"> emerged as a vocal political counterweight: in September 2018, it approved the so-called </w:t>
      </w:r>
      <w:r>
        <w:rPr>
          <w:b/>
          <w:bCs/>
        </w:rPr>
        <w:t>Sargentini Report</w:t>
      </w:r>
      <w:r>
        <w:t xml:space="preserve"> which documented Hungary’s rule-of-law violations (including the NGO and academic freedom issues) and triggered Article 7 proceedings (a process that can lead to sanctions) {S:EP2018Resolution, not cited but known context}. Although Article 7 stalled in the Council (due to Poland and others blocking it), the Parliament’s action showed that a large segment of European politicians viewed Hungary’s pushback as a breach of EU values. The </w:t>
      </w:r>
      <w:r>
        <w:rPr>
          <w:b/>
          <w:bCs/>
        </w:rPr>
        <w:t>European People’s Party (EPP)</w:t>
      </w:r>
      <w:r>
        <w:t>, which was Fidesz’s European political family, was another stakeholder: it struggled with how to handle Orbán. For years the EPP shielded him, but as Orbán’s anti-Soros campaign drifted into anti-EU territory (using Juncker’s image on hate posters), the EPP suspended Fidesz, leading Orbán to quit the group in 2021 to avoid expulsion {S:ZOiS2021Analysis}. In essence, the EU institutions were both referees and players – trying to enforce rules, expressing rhetorical support for civil society, but also constrained by their own slow decision-making and political divisions. The Hungarian government often framed the EU’s involvement as proof that Soros was using Brussels against Hungary – a claim that resonated with Orbán’s base but frustrated EU officials who insisted they were simply upholding treaties.</w:t>
      </w:r>
    </w:p>
    <w:p w14:paraId="0312A83B" w14:textId="77777777" w:rsidR="00497410" w:rsidRDefault="00497410" w:rsidP="00497410">
      <w:pPr>
        <w:numPr>
          <w:ilvl w:val="0"/>
          <w:numId w:val="1"/>
        </w:numPr>
      </w:pPr>
      <w:r>
        <w:rPr>
          <w:b/>
          <w:bCs/>
        </w:rPr>
        <w:t>International Allies and Critics:</w:t>
      </w:r>
      <w:r>
        <w:t xml:space="preserve"> Beyond the EU, other international stakeholders included </w:t>
      </w:r>
      <w:r>
        <w:rPr>
          <w:b/>
          <w:bCs/>
        </w:rPr>
        <w:t>foreign governments</w:t>
      </w:r>
      <w:r>
        <w:t xml:space="preserve"> and global NGOs. Among governments, </w:t>
      </w:r>
      <w:r>
        <w:rPr>
          <w:b/>
          <w:bCs/>
        </w:rPr>
        <w:t>the United States</w:t>
      </w:r>
      <w:r>
        <w:t xml:space="preserve"> was traditionally an advocate for civil society and academic freedom, but under President Trump it took a relatively muted stance on Orbán’s actions. The U.S. Embassy in Budapest did help broker (unsuccessfully) a solution for CEU and quietly supported civic initiatives, but Washington did not exert strong public pressure on Orbán in 2017–2018. This was perhaps because Trump himself showed admiration for Orbán’s style, and Soros was a figure reviled by some on the American right as well. In contrast, </w:t>
      </w:r>
      <w:r>
        <w:rPr>
          <w:b/>
          <w:bCs/>
        </w:rPr>
        <w:t>Canada and various European nations</w:t>
      </w:r>
      <w:r>
        <w:t xml:space="preserve"> spoke out for CEU and NGOs more robustly. For instance, the </w:t>
      </w:r>
      <w:r>
        <w:rPr>
          <w:b/>
          <w:bCs/>
        </w:rPr>
        <w:t>German Chancellor (Angela Merkel)</w:t>
      </w:r>
      <w:r>
        <w:t xml:space="preserve"> and French President at the time made diplomatic nudges, given their concern for EU unity and values. However, Orbán adroitly balanced these pressures with his own leverage (e.g., veto power in EU decisions). Global civil society organizations – </w:t>
      </w:r>
      <w:r>
        <w:rPr>
          <w:b/>
          <w:bCs/>
        </w:rPr>
        <w:t>Amnesty International, Human Rights Watch, the Helsinki Committees network, the Open Government Partnership –</w:t>
      </w:r>
      <w:r>
        <w:t xml:space="preserve"> publicly condemned Hungary’s crackdown and offered platforms for Hungarian activists to raise their voice internationally. They kept Hungary’s issues in the spotlight at forums like the United Nations.</w:t>
      </w:r>
    </w:p>
    <w:p w14:paraId="7DCCA3D7" w14:textId="77777777" w:rsidR="00497410" w:rsidRDefault="00497410" w:rsidP="00497410">
      <w:pPr>
        <w:numPr>
          <w:ilvl w:val="0"/>
          <w:numId w:val="1"/>
        </w:numPr>
      </w:pPr>
      <w:r>
        <w:rPr>
          <w:b/>
          <w:bCs/>
        </w:rPr>
        <w:lastRenderedPageBreak/>
        <w:t>Hungarian Public and Voters:</w:t>
      </w:r>
      <w:r>
        <w:t xml:space="preserve"> Last but not least, the Hungarian citizenry itself is a key stakeholder – albeit a fragmented one. Orbán relied on the </w:t>
      </w:r>
      <w:r>
        <w:rPr>
          <w:b/>
          <w:bCs/>
        </w:rPr>
        <w:t>majority that voted for him</w:t>
      </w:r>
      <w:r>
        <w:t xml:space="preserve"> (roughly half the electorate, given opposition fragmentation) to provide democratic legitimacy to his agenda. That segment of the public, largely rural and older, and influenced by state media, became stakeholders in that they often </w:t>
      </w:r>
      <w:r>
        <w:rPr>
          <w:b/>
          <w:bCs/>
        </w:rPr>
        <w:t>cheered the pushback</w:t>
      </w:r>
      <w:r>
        <w:t xml:space="preserve"> as a patriotic stand. Their support empowered Orbán to claim a mandate for the Stop Soros laws (“the people voted, and they voted to protect Hungary”). On the other side were the </w:t>
      </w:r>
      <w:r>
        <w:rPr>
          <w:b/>
          <w:bCs/>
        </w:rPr>
        <w:t>hundreds of thousands of Hungarians who disagreed</w:t>
      </w:r>
      <w:r>
        <w:t xml:space="preserve"> – those who protested for CEU or objected to the hate campaigns. Many of them were young, urban, or from educated classes, and they felt increasingly alienated in their own country. A number chose to emigrate – during these years, Hungary saw continued emigration of tens of thousands of mainly young professionals annually, some citing the political climate as a factor. Those who stayed and opposed Orbán had to adapt to a society where </w:t>
      </w:r>
      <w:r>
        <w:rPr>
          <w:b/>
          <w:bCs/>
        </w:rPr>
        <w:t>their voices carried risks</w:t>
      </w:r>
      <w:r>
        <w:t xml:space="preserve"> – speaking out might attract harassment or career obstacles, given how deeply Orbán’s influence permeated institutions. The social fabric was therefore another casualty: friendships, families, and communities felt strains as the “Soros” issue polarised opinion. In this sense, the Hungarian public sphere itself was a stakeholder, with the potential to either resist authoritarian turns or acquiesce to them. Orbán successfully marshaled a coalition of voters to acquiesce, while dissenting citizens were marginalized. The longer-term stakeholder question is how public opinion might shift with generational change or changes in economic conditions, and whether a more pluralistic narrative could re-emerge domestically.</w:t>
      </w:r>
    </w:p>
    <w:p w14:paraId="2EB66918" w14:textId="77777777" w:rsidR="00497410" w:rsidRDefault="00497410" w:rsidP="00497410">
      <w:pPr>
        <w:pStyle w:val="FirstParagraph"/>
      </w:pPr>
      <w:r>
        <w:rPr>
          <w:i/>
          <w:iCs/>
        </w:rPr>
        <w:t>(Figure 13.2 offers a conceptual “stakeholder map,” illustrating the relationships and conflicts among the Orbán government, OSF/Soros network, Hungarian NGOs, media, and international actors.)</w:t>
      </w:r>
    </w:p>
    <w:p w14:paraId="26EA7D2F" w14:textId="77777777" w:rsidR="00497410" w:rsidRDefault="00497410" w:rsidP="00497410">
      <w:pPr>
        <w:pStyle w:val="BodyText"/>
      </w:pPr>
      <w:r>
        <w:rPr>
          <w:b/>
          <w:bCs/>
        </w:rPr>
        <w:t>Conclusion: Democracy Diminished, Lessons Learned</w:t>
      </w:r>
      <w:r>
        <w:br/>
        <w:t xml:space="preserve">Hungary’s campaign against OSF and its affiliated institutions did not happen in a vacuum—it was both a symptom and an accelerator of democratic backsliding. By the end of this saga, Orbán had cemented what he set out to achieve: </w:t>
      </w:r>
      <w:r>
        <w:rPr>
          <w:b/>
          <w:bCs/>
        </w:rPr>
        <w:t>Hungary became a country with few remaining checks on its leadership’s power, where key independent voices have been muted or exiled</w:t>
      </w:r>
      <w:r>
        <w:t xml:space="preserve">. In pushing back against what he characterized as “Soros’s world,” Orbán fundamentally </w:t>
      </w:r>
      <w:r>
        <w:rPr>
          <w:b/>
          <w:bCs/>
        </w:rPr>
        <w:t>reshaped the rules of civic engagement</w:t>
      </w:r>
      <w:r>
        <w:t xml:space="preserve"> in Hungary. The government’s victory in forcing OSF and CEU out was not just symbolic; it tangibly reduced the resources and platforms available to Hungary’s civil society.</w:t>
      </w:r>
    </w:p>
    <w:p w14:paraId="0CD14826" w14:textId="77777777" w:rsidR="00497410" w:rsidRDefault="00497410" w:rsidP="00497410">
      <w:pPr>
        <w:pStyle w:val="BodyText"/>
      </w:pPr>
      <w:r>
        <w:t xml:space="preserve">However, this </w:t>
      </w:r>
      <w:r>
        <w:rPr>
          <w:b/>
          <w:bCs/>
        </w:rPr>
        <w:t>“victory” came at significant cost</w:t>
      </w:r>
      <w:r>
        <w:t xml:space="preserve">. Internationally, Hungary’s reputation suffered. Once considered a leader among post-communist democracies, Hungary is now often cited as a cautionary tale of democratic erosion. The European Union, for its part, was forced to reckon with serious illiberal trends inside its own borders. The EU’s mechanisms proved slow and politically fraught in curbing Orbán, highlighting a vulnerability in the union’s structure when a member state flouts shared values while </w:t>
      </w:r>
      <w:r>
        <w:lastRenderedPageBreak/>
        <w:t>enjoying membership benefits. This has sparked debates about tying EU funds to rule-of-law criteria – debates undoubtedly fueled by cases like the NGO crackdown.</w:t>
      </w:r>
    </w:p>
    <w:p w14:paraId="53C985A3" w14:textId="77777777" w:rsidR="00497410" w:rsidRDefault="00497410" w:rsidP="00497410">
      <w:pPr>
        <w:pStyle w:val="BodyText"/>
      </w:pPr>
      <w:r>
        <w:t xml:space="preserve">For other countries, Hungary’s case served as both an inspiration and a warning. </w:t>
      </w:r>
      <w:r>
        <w:rPr>
          <w:b/>
          <w:bCs/>
        </w:rPr>
        <w:t>Authoritarian-minded leaders elsewhere saw a blueprint</w:t>
      </w:r>
      <w:r>
        <w:t xml:space="preserve"> for how to use the veneer of legality and popular mandates to crack down on foreign-funded NGOs and critical institutions. Indeed, elements of the “Stop Soros” playbook popped up in places like Poland (which considered but ultimately hesitated to mirror Hungary’s NGO laws) and even in developing democracies where Soros’s name was similarly demonized. Conversely, </w:t>
      </w:r>
      <w:r>
        <w:rPr>
          <w:b/>
          <w:bCs/>
        </w:rPr>
        <w:t>pro-democracy advocates worldwide drew lessons</w:t>
      </w:r>
      <w:r>
        <w:t xml:space="preserve"> on the importance of defending civic space early and vigorously. They saw how propaganda can set the stage for repression, and how crucial outside pressure can be – even if late – in upholding norms.</w:t>
      </w:r>
    </w:p>
    <w:p w14:paraId="7518A204" w14:textId="77777777" w:rsidR="00497410" w:rsidRDefault="00497410" w:rsidP="00497410">
      <w:pPr>
        <w:pStyle w:val="BodyText"/>
      </w:pPr>
      <w:r>
        <w:t xml:space="preserve">In Hungary, the struggle is not necessarily over. </w:t>
      </w:r>
      <w:r>
        <w:rPr>
          <w:b/>
          <w:bCs/>
        </w:rPr>
        <w:t>Civil society remains down, but not out.</w:t>
      </w:r>
      <w:r>
        <w:t xml:space="preserve"> Activists continue to challenge restrictive measures, and new civic initiatives (from community charities to youth movements) periodically emerge, carrying the torch of open society values in different forms. The opposition in Hungary’s political realm, although weak, has at times united across ideological lines (for example, nationalists and left-liberals coming together, ironically, in their shared objection to Orbán’s excesses). Such alliances hint at a potential long-term realignment that could one day change the trajectory. If that happens, the experiences of 2013–2021 will serve as a stark memory and perhaps a guide for rebuilding: a reminder of how easily hard-won freedoms can be eroded, and how important strong independent institutions are as bulwarks.</w:t>
      </w:r>
    </w:p>
    <w:p w14:paraId="4D0C718F" w14:textId="77777777" w:rsidR="00497410" w:rsidRDefault="00497410" w:rsidP="00497410">
      <w:pPr>
        <w:pStyle w:val="BodyText"/>
      </w:pPr>
      <w:r>
        <w:t xml:space="preserve">For now, Hungary’s case study stands as a somber chapter in the global story of democratic resilience versus authoritarian resurgence. Orbán managed to push back a major transnational pro-democracy force and tighten his grip at home, all while maintaining a facade of constitutional legality. It exposes the limits of international influence when faced with a determined, electorally legitimated illiberal regime. But it also underscores that </w:t>
      </w:r>
      <w:r>
        <w:rPr>
          <w:b/>
          <w:bCs/>
        </w:rPr>
        <w:t>the defense of an open society ultimately rests on the courage and ingenuity of local actors</w:t>
      </w:r>
      <w:r>
        <w:t>, backed when possible by international solidarity. Even in defeat, those actors in Hungary illuminated the tactics of the autocratic playbook for all to see.</w:t>
      </w:r>
    </w:p>
    <w:p w14:paraId="716D4965" w14:textId="77777777" w:rsidR="00497410" w:rsidRDefault="00497410" w:rsidP="00497410">
      <w:pPr>
        <w:pStyle w:val="BodyText"/>
      </w:pPr>
      <w:r>
        <w:t xml:space="preserve">As we consider Hungary’s journey, one might recall that the very principles Orbán attacked – transparency, human rights, pluralism – were integral to Hungary’s emergence from dictatorship decades ago, a transition Soros’s foundations actively supported. The backlash orchestrated by Orbán turned those principles into liabilities within Hungary, at least temporarily. Whether they can regain their status as guiding lights for Hungarian society will depend on the continuing push and pull between authoritarian consolidation and the human desire for freedom and dignity. The “politics of pushback” in Hungary has been bruising, but it has also galvanized new advocates for democracy who carry forward the legacy of those before them. The case of Hungary ultimately teaches that </w:t>
      </w:r>
      <w:r>
        <w:rPr>
          <w:b/>
          <w:bCs/>
        </w:rPr>
        <w:t>open societies are vulnerable to determined attack, but they are never beyond hope of revival</w:t>
      </w:r>
      <w:r>
        <w:t xml:space="preserve"> – a lesson as crucial as any in today’s fraught global landscape.</w:t>
      </w:r>
    </w:p>
    <w:p w14:paraId="6C769580" w14:textId="31B1A668" w:rsidR="00497410" w:rsidRDefault="00000000" w:rsidP="00406E3B">
      <w:r>
        <w:pict w14:anchorId="0C519AF0">
          <v:rect id="_x0000_i1037" style="width:0;height:1.5pt" o:hralign="center" o:hrstd="t" o:hr="t"/>
        </w:pict>
      </w:r>
    </w:p>
    <w:p w14:paraId="37B0FD69" w14:textId="77777777" w:rsidR="00894C0E" w:rsidRDefault="00894C0E" w:rsidP="00894C0E">
      <w:pPr>
        <w:pStyle w:val="Heading1"/>
      </w:pPr>
      <w:r>
        <w:lastRenderedPageBreak/>
        <w:t>Chapter 14: Case Study – Post-Soviet and Eastern European Transitions</w:t>
      </w:r>
    </w:p>
    <w:p w14:paraId="1BF67997" w14:textId="77777777" w:rsidR="00894C0E" w:rsidRDefault="00894C0E" w:rsidP="00894C0E">
      <w:pPr>
        <w:pStyle w:val="Heading2"/>
      </w:pPr>
      <w:r>
        <w:t>Introduction</w:t>
      </w:r>
    </w:p>
    <w:p w14:paraId="59A36487" w14:textId="77777777" w:rsidR="00894C0E" w:rsidRDefault="00894C0E" w:rsidP="00894C0E">
      <w:pPr>
        <w:pStyle w:val="FirstParagraph"/>
      </w:pPr>
      <w:r>
        <w:t>The collapse of communist regimes in Eastern Europe and the Soviet Union around 1989–1991 triggered sweeping transitions. New governments faced the herculean task of dismantling centralized economies and one-party states virtually overnight. Western advisors and institutions rushed in with prescriptions and aid packages, championing rapid privatization and democratization. Over three decades later, the outcomes have diverged starkly. This chapter examines the transition experiences of Poland, Russia, and Ukraine – two post-Soviet contexts and one Eastern European country – to compare their approaches, controversies, and outcomes. Each nation’s path was shaped by a unique mix of initial conditions, reform strategies, external influences, and internal power struggles. By exploring these cases, we can identify common patterns as well as crucial differences in how the post-communist transformation unfolded.</w:t>
      </w:r>
    </w:p>
    <w:p w14:paraId="6C54849A" w14:textId="77777777" w:rsidR="00894C0E" w:rsidRDefault="00894C0E" w:rsidP="00894C0E">
      <w:pPr>
        <w:pStyle w:val="BodyText"/>
      </w:pPr>
      <w:r>
        <w:t xml:space="preserve">We begin with </w:t>
      </w:r>
      <w:r>
        <w:rPr>
          <w:b/>
          <w:bCs/>
        </w:rPr>
        <w:t>country snapshots</w:t>
      </w:r>
      <w:r>
        <w:t xml:space="preserve"> that highlight key dates and major reform programs in Poland, Russia, and Ukraine. In each case, the narrative will address </w:t>
      </w:r>
      <w:r>
        <w:rPr>
          <w:b/>
          <w:bCs/>
        </w:rPr>
        <w:t>allegations and controversies</w:t>
      </w:r>
      <w:r>
        <w:t xml:space="preserve"> specific to that country’s transition – from accusations of corrupt privatization deals to claims of undue foreign influence – and discuss the evidence available. Finally, a </w:t>
      </w:r>
      <w:r>
        <w:rPr>
          <w:b/>
          <w:bCs/>
        </w:rPr>
        <w:t>comparative analysis</w:t>
      </w:r>
      <w:r>
        <w:t xml:space="preserve"> will draw together these threads, assessing why some transitions succeeded (or at least stabilized) while others faltered.</w:t>
      </w:r>
    </w:p>
    <w:p w14:paraId="017007ED" w14:textId="77777777" w:rsidR="00894C0E" w:rsidRDefault="00894C0E" w:rsidP="00894C0E">
      <w:pPr>
        <w:pStyle w:val="BodyText"/>
      </w:pPr>
      <w:r>
        <w:rPr>
          <w:b/>
          <w:bCs/>
        </w:rPr>
        <w:t>Table 14.1</w:t>
      </w:r>
      <w:r>
        <w:t xml:space="preserve"> at the end of this chapter provides a comparison grid summarizing these countries’ transition paths. Additionally, two </w:t>
      </w:r>
      <w:r>
        <w:rPr>
          <w:b/>
          <w:bCs/>
        </w:rPr>
        <w:t>micro-timelines</w:t>
      </w:r>
      <w:r>
        <w:t xml:space="preserve"> illustrate critical turning points in Poland and Russia’s post-communist transformations.</w:t>
      </w:r>
    </w:p>
    <w:p w14:paraId="41ECCBDD" w14:textId="77777777" w:rsidR="00894C0E" w:rsidRDefault="00894C0E" w:rsidP="00894C0E">
      <w:pPr>
        <w:pStyle w:val="Heading2"/>
      </w:pPr>
      <w:bookmarkStart w:id="67" w:name="X839f1467a4604453845cbade1b09419e4923196"/>
      <w:r>
        <w:t>Poland: Reform at Breakneck Speed and Its Discontents</w:t>
      </w:r>
    </w:p>
    <w:p w14:paraId="3455C30A" w14:textId="77777777" w:rsidR="00894C0E" w:rsidRDefault="00894C0E" w:rsidP="00894C0E">
      <w:pPr>
        <w:pStyle w:val="FirstParagraph"/>
      </w:pPr>
      <w:r>
        <w:t xml:space="preserve">Poland was the first Eastern Bloc country to break free from communist rule, setting the pace for the region. In 1989, following a wave of strikes and negotiations between the communist government and the Solidarity opposition, Poland undertook a peaceful “Round Table” transition. This led to semi-free elections in June 1989 in which Solidarity won an overwhelming victory, paving the way for Poland’s first non-Communist government in over four decades. By January 1990, the new leadership launched the </w:t>
      </w:r>
      <w:r>
        <w:rPr>
          <w:b/>
          <w:bCs/>
        </w:rPr>
        <w:t>Balcerowicz Plan</w:t>
      </w:r>
      <w:r>
        <w:t xml:space="preserve"> – a shock therapy program named after Finance Minister Leszek Balcerowicz – to rapidly transition from a state-run economy to a free market. Prices were liberalized overnight, subsidies slashed, and trade opened. The early 1990s in Poland thus saw </w:t>
      </w:r>
      <w:r>
        <w:rPr>
          <w:b/>
          <w:bCs/>
        </w:rPr>
        <w:t>fast-paced market reforms</w:t>
      </w:r>
      <w:r>
        <w:t xml:space="preserve"> combined with democratization.</w:t>
      </w:r>
    </w:p>
    <w:p w14:paraId="59282F32" w14:textId="77777777" w:rsidR="00894C0E" w:rsidRDefault="00894C0E" w:rsidP="00894C0E">
      <w:pPr>
        <w:pStyle w:val="BodyText"/>
      </w:pPr>
      <w:r>
        <w:rPr>
          <w:b/>
          <w:bCs/>
        </w:rPr>
        <w:t>Major Programs and Reforms:</w:t>
      </w:r>
      <w:r>
        <w:t xml:space="preserve"> Poland’s reform agenda in the 1990–1995 period was bold. The Balcerowicz Plan, implemented in 1990, aimed to stabilize the economy by ending hyperinflation and introducing hard budget constraints on state enterprises. It was accompanied by mass privatization of state-owned companies – through liquidations, </w:t>
      </w:r>
      <w:r>
        <w:lastRenderedPageBreak/>
        <w:t xml:space="preserve">management buyouts, and later a voucher privatization program – as well as the creation of a private banking sector. Western support underpinned these efforts: the International Monetary Fund approved a stabilization fund and credit for Poland in late 1989 {S:BalcerowiczPlan}. The United States enacted the </w:t>
      </w:r>
      <w:r>
        <w:rPr>
          <w:b/>
          <w:bCs/>
        </w:rPr>
        <w:t>SEED Act (Support for Eastern European Democracy)</w:t>
      </w:r>
      <w:r>
        <w:t xml:space="preserve">, providing aid and technical assistance. The European Community also launched the </w:t>
      </w:r>
      <w:r>
        <w:rPr>
          <w:b/>
          <w:bCs/>
        </w:rPr>
        <w:t>PHARE</w:t>
      </w:r>
      <w:r>
        <w:t xml:space="preserve"> program to assist Polish reforms. Poland’s integration into Western institutions progressed quickly – it joined NATO in 1999 and negotiated entry into the European Union (achieving membership by 2004). These anchors provided both incentives and oversight for continued reforms.</w:t>
      </w:r>
    </w:p>
    <w:p w14:paraId="75A785D3" w14:textId="77777777" w:rsidR="00894C0E" w:rsidRDefault="00894C0E" w:rsidP="00894C0E">
      <w:pPr>
        <w:pStyle w:val="BodyText"/>
      </w:pPr>
      <w:r>
        <w:t xml:space="preserve">Despite these rapid changes, Poland’s transition was not without social pain or scandal. The immediate aftermath of shock therapy saw industrial output plummet and unemployment skyrocket from effectively zero under communism to over 16% by 1993. Many ordinary Poles experienced a sharp drop in living standards in the early years. Politically, power rotated between the former opposition and ex-communist elites: by 1993 the post-communist Alliance of the Democratic Left (SLD) returned to government via elections, though significantly they maintained the market course rather than reverting to socialism. This peaceful alternation indicated that, unlike some neighbors, Poland’s </w:t>
      </w:r>
      <w:r>
        <w:rPr>
          <w:i/>
          <w:iCs/>
        </w:rPr>
        <w:t>political</w:t>
      </w:r>
      <w:r>
        <w:t xml:space="preserve"> transition remained on a democratic track.</w:t>
      </w:r>
    </w:p>
    <w:p w14:paraId="36C5E8BD" w14:textId="77777777" w:rsidR="00894C0E" w:rsidRDefault="00894C0E" w:rsidP="00894C0E">
      <w:pPr>
        <w:pStyle w:val="BodyText"/>
      </w:pPr>
      <w:r>
        <w:rPr>
          <w:b/>
          <w:bCs/>
        </w:rPr>
        <w:t>Unique Allegations and Controversies:</w:t>
      </w:r>
      <w:r>
        <w:t xml:space="preserve"> One hallmark controversy of Poland’s early transition was the </w:t>
      </w:r>
      <w:r>
        <w:rPr>
          <w:b/>
          <w:bCs/>
        </w:rPr>
        <w:t>FOZZ scandal</w:t>
      </w:r>
      <w:r>
        <w:t xml:space="preserve">. FOZZ (Fund for Foreign Debt Servicing) was a state fund set up in the late 1980s to secretly buy back Polish debt at a discount. In the early 1990s, investigations by Poland’s Supreme Audit Office (NIK) uncovered that FOZZ had been at the center of a massive corruption scheme. Hundreds of millions of dollars were siphoned out through fraudulent transactions involving both Polish officials and shadowy intermediaries. What made FOZZ especially significant was its entanglement with the transition process: it straddled the communist and post-communist eras, implicating members of the old nomenklatura as well as newly empowered figures in the financial sector. The head of NIK, Walerian Pańko, died in a suspicious 1991 car accident just days before he was due to present a report on FOZZ to parliament – an unresolved twist that fueled speculation of a cover-up {S:PankoWiki}. Years later, FOZZ was dubbed “Poland’s largest corruption scandal.” A drawn-out investigation led to the conviction of the fund’s director, Grzegorz Żemek, and a few others in 2005–2006, but by then many implicated individuals escaped punishment due to expired statutes of limitation or political interference {S:PankoWiki}. The protracted FOZZ affair became a </w:t>
      </w:r>
      <w:r>
        <w:rPr>
          <w:b/>
          <w:bCs/>
        </w:rPr>
        <w:t>symbol of post-communist corruption</w:t>
      </w:r>
      <w:r>
        <w:t>, highlighting how some communist-era networks morphed seamlessly into the new capitalist reality.</w:t>
      </w:r>
    </w:p>
    <w:p w14:paraId="617E6284" w14:textId="77777777" w:rsidR="00894C0E" w:rsidRDefault="00894C0E" w:rsidP="00894C0E">
      <w:pPr>
        <w:pStyle w:val="BodyText"/>
      </w:pPr>
      <w:r>
        <w:t xml:space="preserve">Another controversy surrounded the role of </w:t>
      </w:r>
      <w:r>
        <w:rPr>
          <w:b/>
          <w:bCs/>
        </w:rPr>
        <w:t>Western consultants and firms</w:t>
      </w:r>
      <w:r>
        <w:t xml:space="preserve"> in Poland’s economic reforms. In the early 1990s, foreign experts flooded Warsaw offering advice on privatization, banking, and macroeconomic policy. Polish media skeptically nicknamed them the “</w:t>
      </w:r>
      <w:r>
        <w:rPr>
          <w:b/>
          <w:bCs/>
        </w:rPr>
        <w:t>Marriott Brigade</w:t>
      </w:r>
      <w:r>
        <w:t xml:space="preserve">,” implying these consultants spent more time in elite hotel lounges than understanding local realities {S:PankoWiki}. An audit in 1991–92 found that some Western accounting and consulting firms gave advice on valuing assets that led to </w:t>
      </w:r>
      <w:r>
        <w:lastRenderedPageBreak/>
        <w:t xml:space="preserve">significant losses for Polish enterprises and “serious violations of the state treasury’s interests” {S:PankoWiki}. Janine Wedel, an American anthropologist studying aid to the region, reported on these findings in </w:t>
      </w:r>
      <w:r>
        <w:rPr>
          <w:i/>
          <w:iCs/>
        </w:rPr>
        <w:t>The Wall Street Journal</w:t>
      </w:r>
      <w:r>
        <w:t xml:space="preserve"> under the pointed title “Beware Western Governments Bearing Gifts.”{S:PankoWiki} The allegation was that ill-informed or self-interested advice from foreign consultants contributed to Poland selling off assets cheaply and created opportunities for graft. While these claims did not always lead to legal action, they introduced a vein of skepticism in Poland about the motives of outside advisers. In response, the U.S. government adjusted some aid programs – for example, ensuring better oversight of consulting contracts funded by its aid dollars.</w:t>
      </w:r>
    </w:p>
    <w:p w14:paraId="48964336" w14:textId="77777777" w:rsidR="00894C0E" w:rsidRDefault="00894C0E" w:rsidP="00894C0E">
      <w:pPr>
        <w:pStyle w:val="BodyText"/>
      </w:pPr>
      <w:r>
        <w:t xml:space="preserve">Despite early turbulence, by the late 1990s Poland’s economy was rebounding strongly and governance was improving. Corruption remained a concern – as late as 1998, Transparency International scored Poland only 4.6 out of 10 on its Corruption Perceptions Index (with 10 being least corrupt) {S:TI98}. However, this was still markedly better than most former Soviet republics at the time, and Poland’s score would improve as reforms took hold. Crucially, Poland built relatively robust democratic institutions: free media, an independent constitutional court, and active civil society helped expose scandals and pressured authorities for accountability. For instance, public outrage over high-level graft in the early 2000s led to the creation of a Central Anti-Corruption Bureau. While the </w:t>
      </w:r>
      <w:r>
        <w:rPr>
          <w:b/>
          <w:bCs/>
        </w:rPr>
        <w:t>allegations of the early 90s</w:t>
      </w:r>
      <w:r>
        <w:t xml:space="preserve"> (like FOZZ) showed that old networks tried to exploit the new system, the Polish transition also featured pushes to address such abuses. By embracing EU accession requirements, Poland enacted laws on public procurement and transparency that further curbed opportunities for rent-seeking.</w:t>
      </w:r>
    </w:p>
    <w:p w14:paraId="479D3F9D" w14:textId="77777777" w:rsidR="00894C0E" w:rsidRDefault="00894C0E" w:rsidP="00894C0E">
      <w:pPr>
        <w:pStyle w:val="BodyText"/>
      </w:pPr>
      <w:r>
        <w:rPr>
          <w:b/>
          <w:bCs/>
        </w:rPr>
        <w:t>Micro-Timeline: Poland’s Transition (1989–2004)</w:t>
      </w:r>
    </w:p>
    <w:p w14:paraId="769E516F" w14:textId="77777777" w:rsidR="00894C0E" w:rsidRDefault="00894C0E" w:rsidP="00894C0E">
      <w:pPr>
        <w:pStyle w:val="Compact"/>
        <w:numPr>
          <w:ilvl w:val="0"/>
          <w:numId w:val="1"/>
        </w:numPr>
      </w:pPr>
      <w:r>
        <w:rPr>
          <w:b/>
          <w:bCs/>
        </w:rPr>
        <w:t>1989:</w:t>
      </w:r>
      <w:r>
        <w:t xml:space="preserve"> Round Table Talks between the communist regime and opposition Solidarność lead to semi-free elections in June. Solidarity’s victory ushers in Tadeusz Mazowiecki’s government, the first non-Communist PM in Eastern Europe. This peaceful power transfer marks the end of communist rule in Poland.</w:t>
      </w:r>
    </w:p>
    <w:p w14:paraId="32A702A4" w14:textId="77777777" w:rsidR="00894C0E" w:rsidRDefault="00894C0E" w:rsidP="00894C0E">
      <w:pPr>
        <w:pStyle w:val="Compact"/>
        <w:numPr>
          <w:ilvl w:val="0"/>
          <w:numId w:val="1"/>
        </w:numPr>
      </w:pPr>
      <w:r>
        <w:rPr>
          <w:b/>
          <w:bCs/>
        </w:rPr>
        <w:t>1990:</w:t>
      </w:r>
      <w:r>
        <w:t xml:space="preserve"> “Balcerowicz Plan” introduced (January) – a shock therapy package ending price controls, cutting subsidies, and making the currency convertible. The communist Polish United Workers’ Party dissolves; a new democratic constitution is drafted. Lech Wałęsa, Solidarity leader, is elected President in December, replacing the last communist head of state.</w:t>
      </w:r>
    </w:p>
    <w:p w14:paraId="4C1D1609" w14:textId="77777777" w:rsidR="00894C0E" w:rsidRDefault="00894C0E" w:rsidP="00894C0E">
      <w:pPr>
        <w:pStyle w:val="Compact"/>
        <w:numPr>
          <w:ilvl w:val="0"/>
          <w:numId w:val="1"/>
        </w:numPr>
      </w:pPr>
      <w:r>
        <w:rPr>
          <w:b/>
          <w:bCs/>
        </w:rPr>
        <w:t>1991–1992:</w:t>
      </w:r>
      <w:r>
        <w:t xml:space="preserve"> Rapid privatizations begin. Thousands of small shops and enterprises are privatized through liquidations or auctions. However, the FOZZ corruption scandal comes to light: in 1991 NIK President Walerian Pańko prepares a damning report on FOZZ’s mishandling of funds; Pańko’s sudden death in October 1991 sparks rumors. In 1992, the press exposes details of the “Marriott Brigade” of Western advisers linked to FOZZ dealings {S:PankoWiki}. Poland holds its first fully free parliamentary elections in 1991, resulting in political fragmentation and short-lived governments.</w:t>
      </w:r>
    </w:p>
    <w:p w14:paraId="12E3238D" w14:textId="77777777" w:rsidR="00894C0E" w:rsidRDefault="00894C0E" w:rsidP="00894C0E">
      <w:pPr>
        <w:pStyle w:val="Compact"/>
        <w:numPr>
          <w:ilvl w:val="0"/>
          <w:numId w:val="1"/>
        </w:numPr>
      </w:pPr>
      <w:r>
        <w:rPr>
          <w:b/>
          <w:bCs/>
        </w:rPr>
        <w:lastRenderedPageBreak/>
        <w:t>1993:</w:t>
      </w:r>
      <w:r>
        <w:t xml:space="preserve"> Ex-communists (SLD) win the parliamentary elections, forming a coalition government. They continue market reforms but at a slower pace. Inflation, while drastically lower than 1990, is still high; unemployment peaks above 16%. The government launches a Mass Privatization Program (1994) distributing ownership vouchers in national investment funds, an attempt to accelerate restructuring of big state industries.</w:t>
      </w:r>
    </w:p>
    <w:p w14:paraId="2ED78841" w14:textId="77777777" w:rsidR="00894C0E" w:rsidRDefault="00894C0E" w:rsidP="00894C0E">
      <w:pPr>
        <w:pStyle w:val="Compact"/>
        <w:numPr>
          <w:ilvl w:val="0"/>
          <w:numId w:val="1"/>
        </w:numPr>
      </w:pPr>
      <w:r>
        <w:rPr>
          <w:b/>
          <w:bCs/>
        </w:rPr>
        <w:t>1995:</w:t>
      </w:r>
      <w:r>
        <w:t xml:space="preserve"> Poland introduces a new currency (redenominated złoty) after taming hyperinflation. The private sector’s share of GDP surpasses 50%, a dramatic shift from 1989. Aleksander Kwaśniewski (SLD) defeats Wałęsa in presidential elections, signaling the left’s political resurgence but also its acceptance of democracy.</w:t>
      </w:r>
    </w:p>
    <w:p w14:paraId="1D92E9A7" w14:textId="77777777" w:rsidR="00894C0E" w:rsidRDefault="00894C0E" w:rsidP="00894C0E">
      <w:pPr>
        <w:pStyle w:val="Compact"/>
        <w:numPr>
          <w:ilvl w:val="0"/>
          <w:numId w:val="1"/>
        </w:numPr>
      </w:pPr>
      <w:r>
        <w:rPr>
          <w:b/>
          <w:bCs/>
        </w:rPr>
        <w:t>1997:</w:t>
      </w:r>
      <w:r>
        <w:t xml:space="preserve"> A center-right coalition returns to power, emphasizing EU accession and clean government. A new Constitution of Poland is adopted, enshrining democratic norms. Poland formally applies to join the EU and begins negotiations, which require harmonizing laws with European standards (including anti-corruption measures).</w:t>
      </w:r>
    </w:p>
    <w:p w14:paraId="281A5C73" w14:textId="77777777" w:rsidR="00894C0E" w:rsidRDefault="00894C0E" w:rsidP="00894C0E">
      <w:pPr>
        <w:pStyle w:val="Compact"/>
        <w:numPr>
          <w:ilvl w:val="0"/>
          <w:numId w:val="1"/>
        </w:numPr>
      </w:pPr>
      <w:r>
        <w:rPr>
          <w:b/>
          <w:bCs/>
        </w:rPr>
        <w:t>2001–2004:</w:t>
      </w:r>
      <w:r>
        <w:t xml:space="preserve"> The FOZZ trial concludes in 2005 (after repeated delays): the fund’s director and some accomplices are convicted, more than a decade after the fact, underscoring weaknesses in the justice system’s early response to elite corruption. Nonetheless, Poland is increasingly seen as a post-communist success story. It joins NATO in 1999 and the European Union in May 2004, having met stringent economic and governance criteria. By 2004, Poland’s GDP per capita has rebounded significantly from the early 1990s slump, and foreign investment is pouring in. While corruption issues persist, the worst excesses of the transition period (like FOZZ) are largely behind it, thanks in part to institutional reforms linked to EU entry.</w:t>
      </w:r>
    </w:p>
    <w:p w14:paraId="165964C6" w14:textId="77777777" w:rsidR="00894C0E" w:rsidRDefault="00894C0E" w:rsidP="00894C0E">
      <w:pPr>
        <w:pStyle w:val="Heading2"/>
      </w:pPr>
      <w:bookmarkStart w:id="68" w:name="X40506209fb14c9fad372aa4d9016529cb1a0c9f"/>
      <w:bookmarkEnd w:id="67"/>
      <w:r>
        <w:t>Russia: From Shock Therapy to “Tycoon Capitalism”</w:t>
      </w:r>
    </w:p>
    <w:p w14:paraId="7E7BADDB" w14:textId="77777777" w:rsidR="00894C0E" w:rsidRDefault="00894C0E" w:rsidP="00894C0E">
      <w:pPr>
        <w:pStyle w:val="FirstParagraph"/>
      </w:pPr>
      <w:r>
        <w:t xml:space="preserve">Whereas Poland’s break with its communist past was negotiated and gradual, Russia’s was sudden and tumultuous. The Soviet Union collapsed in December 1991, leaving the newly-formed Russian Federation, under President Boris Yeltsin, to construct a state and market economy almost from scratch. In early 1992 Russia embarked on its own shock therapy program. Prices were liberalized (causing immediate hyperinflation of over 2,500% {S:WedelNation98}), many subsidies were ended, and state assets were rapidly privatized. Unlike Poland, Russia had no recent memory of a market economy or private ownership; moreover, its institutions were weaker and the rule of law more tenuous. The </w:t>
      </w:r>
      <w:r>
        <w:rPr>
          <w:b/>
          <w:bCs/>
        </w:rPr>
        <w:t>Western role in Russia’s transition</w:t>
      </w:r>
      <w:r>
        <w:t xml:space="preserve"> was even more prominent – and controversial – than in Eastern Europe. Western governments and international organizations funneled billions of dollars of aid and loans to Russia’s reformers, seeing the fate of Russian transition as geopolitically critical. With Washington’s encouragement, Russia was quickly admitted into the IMF and World Bank, and by 1992 had received large credits to stabilize its economy. American, European, and multilateral advisers descended on Moscow with blueprints for everything from tax codes to stock markets.</w:t>
      </w:r>
    </w:p>
    <w:p w14:paraId="69C9B805" w14:textId="77777777" w:rsidR="00894C0E" w:rsidRDefault="00894C0E" w:rsidP="00894C0E">
      <w:pPr>
        <w:pStyle w:val="BodyText"/>
      </w:pPr>
      <w:r>
        <w:rPr>
          <w:b/>
          <w:bCs/>
        </w:rPr>
        <w:lastRenderedPageBreak/>
        <w:t>Major Programs and Reforms:</w:t>
      </w:r>
      <w:r>
        <w:t xml:space="preserve"> Russia’s signature reform was the </w:t>
      </w:r>
      <w:r>
        <w:rPr>
          <w:b/>
          <w:bCs/>
        </w:rPr>
        <w:t>“Gaidar program”</w:t>
      </w:r>
      <w:r>
        <w:t xml:space="preserve"> of 1992 (named after Yegor Gaidar, the acting Prime Minister and economic architect). This involved freeing most prices in January 1992, a move that wiped out Soviet-era shortages but sent prices and inequality soaring. Next came </w:t>
      </w:r>
      <w:r>
        <w:rPr>
          <w:b/>
          <w:bCs/>
        </w:rPr>
        <w:t>mass privatization</w:t>
      </w:r>
      <w:r>
        <w:t xml:space="preserve">: under Anatoly Chubais, the government distributed privatization vouchers to citizens in 1992–1994, which could be used to bid for shares in thousands of state enterprises. In theory, this was meant to create a broad class of owners; in practice, well-connected insiders acquired large stakes by buying vouchers cheaply from a population desperate for cash. By 1995, as the state’s fiscal crisis worsened, the infamous </w:t>
      </w:r>
      <w:r>
        <w:rPr>
          <w:b/>
          <w:bCs/>
        </w:rPr>
        <w:t>“loans-for-shares”</w:t>
      </w:r>
      <w:r>
        <w:t xml:space="preserve"> scheme was introduced {S:WedelNation98}. In this scheme, a small group of bankers (who became known as “oligarchs”) loaned money to the nearly bankrupt Russian government in exchange for temporary ownership of lucrative state-owned companies – and when the state couldn’t repay, those oligarch-controlled banks auctioned off the shares to themselves, often for a pittance. This resulted in the transfer of crown jewels like oil and metals companies into private hands at fractions of their real value. It was later alleged that this privatization was </w:t>
      </w:r>
      <w:r>
        <w:rPr>
          <w:b/>
          <w:bCs/>
        </w:rPr>
        <w:t>deliberately rigged</w:t>
      </w:r>
      <w:r>
        <w:t xml:space="preserve"> to benefit Yeltsin’s political allies and to create a wealthy class that would support the new regime {S:WedelNation98}. While legal on paper, the loans-for-shares deal is widely regarded as </w:t>
      </w:r>
      <w:r>
        <w:rPr>
          <w:b/>
          <w:bCs/>
        </w:rPr>
        <w:t>deeply corrupt</w:t>
      </w:r>
      <w:r>
        <w:t xml:space="preserve"> in spirit.</w:t>
      </w:r>
    </w:p>
    <w:p w14:paraId="7AA5959E" w14:textId="77777777" w:rsidR="00894C0E" w:rsidRDefault="00894C0E" w:rsidP="00894C0E">
      <w:pPr>
        <w:pStyle w:val="BodyText"/>
      </w:pPr>
      <w:r>
        <w:t>Throughout these years, Western aid was omnipresent. The U.S. Agency for International Development (USAID) funded teams of economists and lawyers to advise the Yeltsin administration. The International Monetary Fund approved successive loans to Russia (including a then-record $10 billion package in 1996 to shore up Russia’s finances ahead of a presidential election). Western governments forgave some Soviet-era debts and coordinated additional bilateral assistance. By one estimate, between 1990 and 1999 the former Soviet Union and Eastern Europe received around $44 billion in official aid {S:Sogge02}, of which Russia was a principal recipient. The West’s hope was to stabilize Russia as a democratic, market-oriented state.</w:t>
      </w:r>
    </w:p>
    <w:p w14:paraId="3D69CDA1" w14:textId="77777777" w:rsidR="00894C0E" w:rsidRDefault="00894C0E" w:rsidP="00894C0E">
      <w:pPr>
        <w:pStyle w:val="BodyText"/>
      </w:pPr>
      <w:r>
        <w:rPr>
          <w:b/>
          <w:bCs/>
        </w:rPr>
        <w:t>Outcomes and Widespread Corruption:</w:t>
      </w:r>
      <w:r>
        <w:t xml:space="preserve"> Instead of broad prosperity or robust democracy, Russia’s transition in the 1990s led to what has been called “</w:t>
      </w:r>
      <w:r>
        <w:rPr>
          <w:b/>
          <w:bCs/>
        </w:rPr>
        <w:t>tycoon capitalism</w:t>
      </w:r>
      <w:r>
        <w:t xml:space="preserve">” or </w:t>
      </w:r>
      <w:r>
        <w:rPr>
          <w:b/>
          <w:bCs/>
        </w:rPr>
        <w:t>kleptocracy</w:t>
      </w:r>
      <w:r>
        <w:t xml:space="preserve">. The combination of rapid privatization and weak institutions allowed a small group of businessmen – often former Soviet industrial managers or financial wheeler-dealers – to capture outsized wealth and influence. By 1996, a handful of oligarchs effectively bankrolled Yeltsin’s re-election campaign (providing favorable media coverage and funds) in exchange for policy influence. Ordinary Russians, meanwhile, experienced a depression-level economic contraction: by 1995 GDP had fallen by nearly 50% from 1991. Unpaid wages and pensions, the collapse of social safety nets, and a surge in crime made daily life precarious. It is no surprise that </w:t>
      </w:r>
      <w:r>
        <w:rPr>
          <w:b/>
          <w:bCs/>
        </w:rPr>
        <w:t>perceptions of corruption exploded</w:t>
      </w:r>
      <w:r>
        <w:t xml:space="preserve"> – in Transparency International’s 1998 rankings, Russia scored just 2.4 out of 10, among the worst in the world {S:TI98}. By the late 1990s, even many Western observers admitted that the reform effort had gone badly astray. As one account noted, privatization “helped to create a system of tycoon capitalism run for the benefit of a corrupt political oligarchy that has appropriated hundreds of millions of dollars of Western aid and plundered Russia’s wealth.”{S:WedelNation98}</w:t>
      </w:r>
    </w:p>
    <w:p w14:paraId="1F025D73" w14:textId="77777777" w:rsidR="00894C0E" w:rsidRDefault="00894C0E" w:rsidP="00894C0E">
      <w:pPr>
        <w:pStyle w:val="BodyText"/>
      </w:pPr>
      <w:r>
        <w:rPr>
          <w:b/>
          <w:bCs/>
        </w:rPr>
        <w:lastRenderedPageBreak/>
        <w:t>Unique Allegations and Evidence:</w:t>
      </w:r>
      <w:r>
        <w:t xml:space="preserve"> The Russian transition generated numerous allegations of corruption and malpractice – some rumors, some well-substantiated. A central allegation is that </w:t>
      </w:r>
      <w:r>
        <w:rPr>
          <w:b/>
          <w:bCs/>
        </w:rPr>
        <w:t>Western advisors themselves became complicit in corrupt dealings</w:t>
      </w:r>
      <w:r>
        <w:t xml:space="preserve">, betraying the very reforms they pushed. The most prominent example is the </w:t>
      </w:r>
      <w:r>
        <w:rPr>
          <w:b/>
          <w:bCs/>
        </w:rPr>
        <w:t>Harvard Institute for International Development (HIID) scandal</w:t>
      </w:r>
      <w:r>
        <w:t xml:space="preserve">. HIID was contracted by USAID to advise the Russian government on privatization and market reforms. Armed with generous U.S. funding and the prestige of Harvard University, the HIID team, led by economist Andrei Shleifer, gained extraordinary influence in Moscow in the mid-1990s. They worked closely with Chubais and his circle, essentially writing laws and setting up institutions (like Russia’s Securities and Exchange Commission) to support privatization and capital markets. However, it later emerged that while doing so, some Harvard advisers were </w:t>
      </w:r>
      <w:r>
        <w:rPr>
          <w:i/>
          <w:iCs/>
        </w:rPr>
        <w:t>personally investing</w:t>
      </w:r>
      <w:r>
        <w:t xml:space="preserve"> in Russian assets – a glaring conflict of interest, since U.S. government rules forbade advisers from profiting in countries where they worked. In 1997, investigations by USAID uncovered these improprieties, and the Harvard project in Moscow was terminated amid scandal. The U.S. Justice Department eventually sued Harvard, Shleifer, and his deputy Jonathan Hay for fraud and contract violations. In 2004 a federal judge found that Shleifer and Hay </w:t>
      </w:r>
      <w:r>
        <w:rPr>
          <w:b/>
          <w:bCs/>
        </w:rPr>
        <w:t>conspired to defraud the U.S. government, engaged in self-dealing, and violated conflict-of-interest regulations</w:t>
      </w:r>
      <w:r>
        <w:t xml:space="preserve"> while running the Russia aid program {S:McClintick06}. Harvard University and the two individuals settled the case in 2005, with Harvard paying $26.5 million – at the time its largest-ever legal settlement – and Shleifer and Hay paying fines of their own {S:McClintick06}. This </w:t>
      </w:r>
      <w:r>
        <w:rPr>
          <w:b/>
          <w:bCs/>
        </w:rPr>
        <w:t>Harvard affair</w:t>
      </w:r>
      <w:r>
        <w:t xml:space="preserve"> is supported by extensive evidence from court documents and stands as a cautionary tale: it demonstrated that some of the very people entrusted to guide Russia’s transition succumbed to greed, undermining the credibility of reform. U.S. officials lamented that the advisers’ actions “undercut the fundamental purpose of the United States’ program in Russia – the promotion of openness, transparency, the rule of law, and fair play in the development of the Russian economy” {S:McClintick06}. Indeed, the scandal’s fallout in Russia was severe: it discredited liberal reformers and weakened the reformist Russian SEC (whose chief, Dmitry Vasiliev, lost political support after his association with foreign advisers turned toxic) {S:McClintick06}. Ultimately, episodes like this fed into a narrative that Western aid was more a </w:t>
      </w:r>
      <w:r>
        <w:rPr>
          <w:b/>
          <w:bCs/>
        </w:rPr>
        <w:t>curse than a blessing</w:t>
      </w:r>
      <w:r>
        <w:t>, a sentiment that Russian nationalists and communists eagerly exploited.</w:t>
      </w:r>
    </w:p>
    <w:p w14:paraId="38C7D4F4" w14:textId="77777777" w:rsidR="00894C0E" w:rsidRDefault="00894C0E" w:rsidP="00894C0E">
      <w:pPr>
        <w:pStyle w:val="BodyText"/>
      </w:pPr>
      <w:r>
        <w:t xml:space="preserve">Another allegation, often voiced within Russia, is that Western governments </w:t>
      </w:r>
      <w:r>
        <w:rPr>
          <w:b/>
          <w:bCs/>
        </w:rPr>
        <w:t>deliberately pushed “shock therapy” to ruin Russia’s economy and keep it weak</w:t>
      </w:r>
      <w:r>
        <w:t xml:space="preserve">. Hardline critics argue that the West encouraged a rapid, lawless privatization knowing it would create chaos that Western capital could then exploit. They point to the presence of figures like Jeffrey Sachs (an American economist advising Yeltsin’s team) and the IMF’s pressures as evidence of an external agenda. However, there is scant evidence of a deliberate conspiracy to impoverish Russia; rather, historical accounts suggest a mix of idealism, hubris, and ignorance on the part of Western actors. Many Western advisers genuinely believed market liberalization would eventually bring prosperity, but </w:t>
      </w:r>
      <w:r>
        <w:rPr>
          <w:b/>
          <w:bCs/>
        </w:rPr>
        <w:t>were naïve about the context</w:t>
      </w:r>
      <w:r>
        <w:t xml:space="preserve"> – failing to anticipate that in the Russian institutional vacuum, the strongest (often former Soviet managers or those with criminal ties) would simply seize assets. Critics like </w:t>
      </w:r>
      <w:r>
        <w:lastRenderedPageBreak/>
        <w:t xml:space="preserve">Wedel note that Western aid officials often bypassed government structures and worked through select Russian insiders, inadvertently </w:t>
      </w:r>
      <w:r>
        <w:rPr>
          <w:b/>
          <w:bCs/>
        </w:rPr>
        <w:t>reinforcing crony networks</w:t>
      </w:r>
      <w:r>
        <w:t xml:space="preserve"> {S:WedelNation98}{S:WedelReview2002}. In effect, while the West did not </w:t>
      </w:r>
      <w:r>
        <w:rPr>
          <w:i/>
          <w:iCs/>
        </w:rPr>
        <w:t>intend</w:t>
      </w:r>
      <w:r>
        <w:t xml:space="preserve"> to create an oligarchy, its blind support for Yeltsin’s “free-market” loyalists – even as corruption allegations mounted – meant turning a blind eye to how reform policies were actually implemented on the ground.</w:t>
      </w:r>
    </w:p>
    <w:p w14:paraId="654155C0" w14:textId="77777777" w:rsidR="00894C0E" w:rsidRDefault="00894C0E" w:rsidP="00894C0E">
      <w:pPr>
        <w:pStyle w:val="BodyText"/>
      </w:pPr>
      <w:r>
        <w:t xml:space="preserve">By the late 1990s, even the U.S. administration had become more circumspect. After Russia’s financial crash in August 1998 (when it defaulted on debt and devalued the ruble, despite tens of billions in prior IMF support), Western confidence in Russia’s reform path was badly shaken. A paradigm shift came with Vladimir Putin’s rise at the turn of the millennium. Putin vowed to end the “era of oligarchs above the law,” and indeed, during the 2000s he curtailed some oligarchs’ political power (famously jailing tycoon Mikhail Khodorkovsky and forcing others into exile or subservience). However, Putin’s methods – reasserting state control and cracking down on dissent – steered Russia away from the democratic aspirations of the 1990s. Many observers note that </w:t>
      </w:r>
      <w:r>
        <w:rPr>
          <w:b/>
          <w:bCs/>
        </w:rPr>
        <w:t>Russia traded one form of corruption for another</w:t>
      </w:r>
      <w:r>
        <w:t>: instead of a pluralistic kleptocracy of competing oligarch clans, it evolved into a more centralized system where loyalty to the Kremlin is paramount and corruption persists under state patronage.</w:t>
      </w:r>
    </w:p>
    <w:p w14:paraId="1683A109" w14:textId="77777777" w:rsidR="00894C0E" w:rsidRDefault="00894C0E" w:rsidP="00894C0E">
      <w:pPr>
        <w:pStyle w:val="BodyText"/>
      </w:pPr>
      <w:r>
        <w:t xml:space="preserve">It is important to highlight the </w:t>
      </w:r>
      <w:r>
        <w:rPr>
          <w:i/>
          <w:iCs/>
        </w:rPr>
        <w:t>perspectives</w:t>
      </w:r>
      <w:r>
        <w:t xml:space="preserve"> in assessing Russia’s transition. </w:t>
      </w:r>
      <w:r>
        <w:rPr>
          <w:b/>
          <w:bCs/>
        </w:rPr>
        <w:t>From the Western viewpoint</w:t>
      </w:r>
      <w:r>
        <w:t xml:space="preserve">, the 1990s reforms were well-intentioned but poorly executed, and marred by unforeseen corruption – a case of “chaos out of a noble cause,” as some reformers later implied. </w:t>
      </w:r>
      <w:r>
        <w:rPr>
          <w:b/>
          <w:bCs/>
        </w:rPr>
        <w:t>From the Russian public’s viewpoint</w:t>
      </w:r>
      <w:r>
        <w:t xml:space="preserve">, the 90s were a traumatic time of national humiliation and betrayal. This view holds that leaders like Yeltsin (and their Western backers) sold out the country’s wealth and pride. By 2000, this sentiment was potent: a boiling resentment over the perceived </w:t>
      </w:r>
      <w:r>
        <w:rPr>
          <w:b/>
          <w:bCs/>
        </w:rPr>
        <w:t>“Western orchestrated” looting of Russia</w:t>
      </w:r>
      <w:r>
        <w:t xml:space="preserve"> helped fuel Putin’s consolidation of power. The narrative of the 90s as a time when Russia was </w:t>
      </w:r>
      <w:r>
        <w:rPr>
          <w:b/>
          <w:bCs/>
        </w:rPr>
        <w:t>humiliated by the West</w:t>
      </w:r>
      <w:r>
        <w:t xml:space="preserve"> gained political traction. Indeed, analysts note that by the late 2000s, grievances over the 1990s – NATO’s eastward expansion and Russia’s internal collapse – were driving a more revanchist Russian policy {S:Goldgeier2016}. In sum, the Russian transition illustrates how a revolution meant to install democracy and markets instead produced </w:t>
      </w:r>
      <w:r>
        <w:rPr>
          <w:b/>
          <w:bCs/>
        </w:rPr>
        <w:t>oligarchy and disillusionment</w:t>
      </w:r>
      <w:r>
        <w:t>, with blame cast in all directions: on greedy oligarchs, on corrupt officials, on naive or complicit Western advisers, and on the geopolitics of the post-Cold War settlement.</w:t>
      </w:r>
    </w:p>
    <w:p w14:paraId="52C59A87" w14:textId="77777777" w:rsidR="00894C0E" w:rsidRDefault="00894C0E" w:rsidP="00894C0E">
      <w:pPr>
        <w:pStyle w:val="BodyText"/>
      </w:pPr>
      <w:r>
        <w:rPr>
          <w:b/>
          <w:bCs/>
        </w:rPr>
        <w:t>Micro-Timeline: Russia’s Transition (1991–2000)</w:t>
      </w:r>
    </w:p>
    <w:p w14:paraId="01C61918" w14:textId="77777777" w:rsidR="00894C0E" w:rsidRDefault="00894C0E" w:rsidP="00894C0E">
      <w:pPr>
        <w:pStyle w:val="Compact"/>
        <w:numPr>
          <w:ilvl w:val="0"/>
          <w:numId w:val="1"/>
        </w:numPr>
      </w:pPr>
      <w:r>
        <w:rPr>
          <w:b/>
          <w:bCs/>
        </w:rPr>
        <w:t>1991:</w:t>
      </w:r>
      <w:r>
        <w:t xml:space="preserve"> The Soviet Union dissolves. Russia becomes independent under President Boris Yeltsin. Overnight, the communist one-party state and planned economy collapse. Yeltsin embraces radical reformers who advocate swift marketization. In August, a hardline coup attempt in Moscow fails, accelerating the USSR’s end. By December, the red flag comes down from the Kremlin – Russia is on its own, inheriting the Soviet U.N. seat (and nuclear arsenal) but also a legacy of economic dysfunction.</w:t>
      </w:r>
    </w:p>
    <w:p w14:paraId="27BD5E59" w14:textId="77777777" w:rsidR="00894C0E" w:rsidRDefault="00894C0E" w:rsidP="00894C0E">
      <w:pPr>
        <w:pStyle w:val="Compact"/>
        <w:numPr>
          <w:ilvl w:val="0"/>
          <w:numId w:val="1"/>
        </w:numPr>
      </w:pPr>
      <w:r>
        <w:rPr>
          <w:b/>
          <w:bCs/>
        </w:rPr>
        <w:lastRenderedPageBreak/>
        <w:t>1992:</w:t>
      </w:r>
      <w:r>
        <w:t xml:space="preserve"> “Shock therapy” begins. In January, Yeltsin’s government (led by Yegor Gaidar) frees most prices and cuts state credits. Within months, stores fill with goods (ending decades of shortages) but prices skyrocket; inflation will exceed 2,000% for the year, wiping out savings. Output plunges as uncompetitive Soviet-era factories face new costs. Western aid kicks into high gear: the IMF extends loans; USAID funds the Harvard advisory group to assist with privatization and economic policy. Social strains mount – by late 1992, opposition in parliament to Gaidar’s reforms leads Yeltsin to replace him as premier.</w:t>
      </w:r>
    </w:p>
    <w:p w14:paraId="26D951C1" w14:textId="77777777" w:rsidR="00894C0E" w:rsidRDefault="00894C0E" w:rsidP="00894C0E">
      <w:pPr>
        <w:pStyle w:val="Compact"/>
        <w:numPr>
          <w:ilvl w:val="0"/>
          <w:numId w:val="1"/>
        </w:numPr>
      </w:pPr>
      <w:r>
        <w:rPr>
          <w:b/>
          <w:bCs/>
        </w:rPr>
        <w:t>1993:</w:t>
      </w:r>
      <w:r>
        <w:t xml:space="preserve"> Privatization of small businesses and shops is largely completed (millions of small ventures privatized), and the </w:t>
      </w:r>
      <w:r>
        <w:rPr>
          <w:b/>
          <w:bCs/>
        </w:rPr>
        <w:t>mass voucher privatization</w:t>
      </w:r>
      <w:r>
        <w:t xml:space="preserve"> of large enterprises accelerates. Roughly 15,000 medium and large firms are privatized via vouchers in 1993–1994, theoretically making every citizen a shareholder, but in practice enabling insiders to consolidate control. Political conflict climaxes in October: hardliners in the Congress (opposed to Yeltsin’s reforms) attempt to impeach Yeltsin; Yeltsin dissolves the legislature by decree, and a standoff ensues. It ends with Yeltsin ordering the army to shell the rebel parliament building – a shocking eruption of violence in Moscow’s streets. Yeltsin prevails and pushes through a new constitution that greatly strengthens presidential powers. While this resolves the immediate standoff, it sets a precedent of force over dialogue.</w:t>
      </w:r>
    </w:p>
    <w:p w14:paraId="7A222649" w14:textId="77777777" w:rsidR="00894C0E" w:rsidRDefault="00894C0E" w:rsidP="00894C0E">
      <w:pPr>
        <w:pStyle w:val="Compact"/>
        <w:numPr>
          <w:ilvl w:val="0"/>
          <w:numId w:val="1"/>
        </w:numPr>
      </w:pPr>
      <w:r>
        <w:rPr>
          <w:b/>
          <w:bCs/>
        </w:rPr>
        <w:t>1994–1995:</w:t>
      </w:r>
      <w:r>
        <w:t xml:space="preserve"> The rise of the oligarchs. As voucher privatization concludes, a group of bankers and commodity traders gain significant stakes in former state enterprises. They also start wielding political influence, financing favored candidates and cultivating Yeltsin’s inner circle. In late 1995, facing a budget shortfall and needing elite support for his 1996 re-election, Yeltsin’s team implements the </w:t>
      </w:r>
      <w:r>
        <w:rPr>
          <w:b/>
          <w:bCs/>
        </w:rPr>
        <w:t>loans-for-shares</w:t>
      </w:r>
      <w:r>
        <w:t xml:space="preserve"> scheme. Through rigged auctions, assets like oil giant Yukos and metals conglomerate Norilsk Nickel end up controlled by a few tycoons at bargain prices {S:WedelNation98}. Meanwhile, Russia fights a deadly war in the breakaway region of Chechnya (1994–96), draining resources and further discrediting the federal government.</w:t>
      </w:r>
    </w:p>
    <w:p w14:paraId="0B23C22C" w14:textId="77777777" w:rsidR="00894C0E" w:rsidRDefault="00894C0E" w:rsidP="00894C0E">
      <w:pPr>
        <w:pStyle w:val="Compact"/>
        <w:numPr>
          <w:ilvl w:val="0"/>
          <w:numId w:val="1"/>
        </w:numPr>
      </w:pPr>
      <w:r>
        <w:rPr>
          <w:b/>
          <w:bCs/>
        </w:rPr>
        <w:t>1996:</w:t>
      </w:r>
      <w:r>
        <w:t xml:space="preserve"> Yeltsin’s re-election campaign. Initially polling in the single digits (given economic misery and war fatigue), Yeltsin turns to the oligarchs and Western advisers for help. A cadre of Russian media moguls and bankers throw their weight behind him, using their TV networks and cash to promote Yeltsin and demonize his communist opponent. It’s successful – Yeltsin wins a second term in July, though critics note heavy bias in media coverage and possible illicit financing. In an extraordinary twist, it later emerges that a team of American political consultants quietly assisted Yeltsin’s campaign with modern campaigning techniques – a fact featured in a triumphant </w:t>
      </w:r>
      <w:r>
        <w:rPr>
          <w:i/>
          <w:iCs/>
        </w:rPr>
        <w:t>Time</w:t>
      </w:r>
      <w:r>
        <w:t xml:space="preserve"> magazine cover story “Yanks to the Rescue,” which in hindsight gave ammunition to those claiming U.S. meddling. On the economic front, the IMF had approved a $10 billion loan to Russia in spring 1996, seen by some as a boost to Yeltsin. Yeltsin’s victory averts a communist resurgence, but democracy’s image is tarnished by the overt role of big money and outside influence. After the election, Anatoly Chubais (now Yeltsin’s chief of staff) invites Western investors to </w:t>
      </w:r>
      <w:r>
        <w:lastRenderedPageBreak/>
        <w:t>participate in Russia’s privatization. However, corruption allegations swirl – including a scandal that Chubais himself accepted a large book advance from a bank linked to an ongoing privatization, forcing his temporary resignation in 1997.</w:t>
      </w:r>
    </w:p>
    <w:p w14:paraId="75DCCB00" w14:textId="77777777" w:rsidR="00894C0E" w:rsidRDefault="00894C0E" w:rsidP="00894C0E">
      <w:pPr>
        <w:pStyle w:val="Compact"/>
        <w:numPr>
          <w:ilvl w:val="0"/>
          <w:numId w:val="1"/>
        </w:numPr>
      </w:pPr>
      <w:r>
        <w:rPr>
          <w:b/>
          <w:bCs/>
        </w:rPr>
        <w:t>1997:</w:t>
      </w:r>
      <w:r>
        <w:t xml:space="preserve"> Amid momentary optimism – Russia’s GDP shows signs of growth for the first time since 1991 – a scandal erupts involving the Harvard project. U.S. news reports and a General Accounting Office audit reveal that Harvard’s Russia program leaders engaged in private deals. In response, USAID terminates the Harvard contract. By late 1997, the U.S. Department of Justice starts legal action against the Harvard team (this ultimately leads to the 2004 court judgment against them {S:McClintick06}). In Moscow, Mayor Yuri Luzhkov publicly lambastes the Harvard advisers for the “harm inflicted on the Russian economy” – an unusually direct accusation by a high-ranking Russian official {S:WedelNation98}. The same year, Russia’s new stock market soars, and foreign investors pour money into government bonds, encouraged by reform rhetoric. But this proves a bubble.</w:t>
      </w:r>
    </w:p>
    <w:p w14:paraId="3264C7F8" w14:textId="77777777" w:rsidR="00894C0E" w:rsidRDefault="00894C0E" w:rsidP="00894C0E">
      <w:pPr>
        <w:pStyle w:val="Compact"/>
        <w:numPr>
          <w:ilvl w:val="0"/>
          <w:numId w:val="1"/>
        </w:numPr>
      </w:pPr>
      <w:r>
        <w:rPr>
          <w:b/>
          <w:bCs/>
        </w:rPr>
        <w:t>1998:</w:t>
      </w:r>
      <w:r>
        <w:t xml:space="preserve"> Financial collapse. In August, a combination of global factors (the Asian financial crisis) and domestic weaknesses (huge government debt, declining oil prices, and a fixed exchange rate that drained reserves) triggers a meltdown. The Russian government defaults on its ruble bonds and devalues the currency, devastating the banking system and wiping out many Russians’ savings </w:t>
      </w:r>
      <w:r>
        <w:rPr>
          <w:i/>
          <w:iCs/>
        </w:rPr>
        <w:t>again</w:t>
      </w:r>
      <w:r>
        <w:t>. Western aid strategies are widely criticized: just weeks before the crash, the IMF had rushed out a $4.8 billion loan as an emergency stopgap, which disappeared with little to show. The collapse leads to political shake-up – Yeltsin fires his cabinet, and a revolving door of prime ministers ensues. The crisis ironically resets the economy in some positive ways (a cheaper ruble spurs domestic production), but it destroys what remained of the reformers’ credibility. Many Russians interpret the 1998 debacle as proof that liberal economics failed – or even was a scam by Western-influenced elites to abscond with wealth.</w:t>
      </w:r>
    </w:p>
    <w:p w14:paraId="5F58506E" w14:textId="77777777" w:rsidR="00894C0E" w:rsidRDefault="00894C0E" w:rsidP="00894C0E">
      <w:pPr>
        <w:pStyle w:val="Compact"/>
        <w:numPr>
          <w:ilvl w:val="0"/>
          <w:numId w:val="1"/>
        </w:numPr>
      </w:pPr>
      <w:r>
        <w:rPr>
          <w:b/>
          <w:bCs/>
        </w:rPr>
        <w:t>1999–2000:</w:t>
      </w:r>
      <w:r>
        <w:t xml:space="preserve"> Transition to Putin. On December 31, 1999, Boris Yeltsin unexpectedly resigns, handing power to Vladimir Putin, a former KGB officer he had named Prime Minister only months before. Putin promises to restore order and national pride, appealing to a populace exhausted by a decade of instability and graft. In March 2000, Putin is elected President. The Yeltsin era – a rollercoaster of democratic hopes, hyperinflation, oligarch intrigue, and Western tutelage – comes to an end. Putin quickly signals a more assertive state: he moves against certain oligarchs, recentralizes authority, and asserts that Russia will no longer accept humiliation or “lectures” from the West. In effect, Russia’s first transition ends with a partial reversal – a democratic experiment giving way to a managed democracy (or soft authoritarianism) under former security elites. The enduring legacy of the 1990s is complex: Russians gained political and economic freedoms they never had before, but many associate the period with lawlessness and impoverishment. Allegations from that era – whether about stolen billions, foreign plots, or the corruption of “reform” – continue to shape Russian politics and its relationship with the West.</w:t>
      </w:r>
    </w:p>
    <w:p w14:paraId="5A1275E9" w14:textId="77777777" w:rsidR="00894C0E" w:rsidRDefault="00894C0E" w:rsidP="00894C0E">
      <w:pPr>
        <w:pStyle w:val="Heading2"/>
      </w:pPr>
      <w:bookmarkStart w:id="69" w:name="X6cb00df8c109ca2b2a39e773396e9f385b753ad"/>
      <w:bookmarkEnd w:id="68"/>
      <w:r>
        <w:lastRenderedPageBreak/>
        <w:t>Ukraine: A Long, Winding Road of Half-Measures and Oligarchy</w:t>
      </w:r>
    </w:p>
    <w:p w14:paraId="11423F58" w14:textId="77777777" w:rsidR="00894C0E" w:rsidRDefault="00894C0E" w:rsidP="00894C0E">
      <w:pPr>
        <w:pStyle w:val="FirstParagraph"/>
      </w:pPr>
      <w:r>
        <w:t xml:space="preserve">Ukraine’s post-communist journey shares some features with Russia’s – unsurprising, given their intertwined Soviet history – but also diverges in important ways. Gaining independence in 1991, Ukraine started with significant advantages: rich agricultural land, a developed industrial base (especially heavy industry in Donbas), and tenacious traditions of local entrepreneurship. However, it also inherited intense regional divisions and a communist party elite that largely reinvented itself rather than relinquishing power. Ukraine’s transition can be characterized as </w:t>
      </w:r>
      <w:r>
        <w:rPr>
          <w:b/>
          <w:bCs/>
        </w:rPr>
        <w:t>stop-and-go reform</w:t>
      </w:r>
      <w:r>
        <w:t>: periods of hesitant market changes interspersed with backtracking, all under the shadow of pervasive corruption. Unlike Poland, Ukraine did not have a clear initial break with its Soviet-era leadership – its first president, Leonid Kravchuk, was a former high-ranking Communist, as was his successor Leonid Kuchma. Thus, the old guard maintained significant influence, adapting to the new capitalist rules to enrich themselves. Meanwhile, Western engagement with Ukraine, though substantial, lagged behind the attention given to Russia. In the 1990s, Ukraine was often seen as second-tier in geopolitical importance – until its chronic corruption and strategic position (between NATO and Russia) thrust it into the limelight later.</w:t>
      </w:r>
    </w:p>
    <w:p w14:paraId="3584C253" w14:textId="77777777" w:rsidR="00894C0E" w:rsidRDefault="00894C0E" w:rsidP="00894C0E">
      <w:pPr>
        <w:pStyle w:val="BodyText"/>
      </w:pPr>
      <w:r>
        <w:rPr>
          <w:b/>
          <w:bCs/>
        </w:rPr>
        <w:t>Major Programs and Economic Reforms:</w:t>
      </w:r>
      <w:r>
        <w:t xml:space="preserve"> Ukraine’s economic reforms in the 1990s were </w:t>
      </w:r>
      <w:r>
        <w:rPr>
          <w:b/>
          <w:bCs/>
        </w:rPr>
        <w:t>gradual and inconsistent</w:t>
      </w:r>
      <w:r>
        <w:t>. In contrast to Russia’s shock therapy, Ukraine initially kept many price controls and subsidies, resulting in even higher inflation (hyperinflation peaked above 5,000% in 1993 as the government printed money to cover deficits). Privatization started slowly. Through the mid-1990s, the government opted for a voucher privatization program similar to Russia’s, but it was drawn-out and less complete. Often, factories were nominally privatized but remained under the control of their Soviet-era directors (who became the new “red directors”/oligarchs). By 1998, a large share of Ukraine’s GDP was in private hands, but much of this privatization was non-transparent, leading to the rise of regional business-political clans (e.g. in Donetsk, Dnipro, Kyiv) rather than a competitive market. Agriculture suffered from half-hearted land reform – collective farms were nominally broken up, but land sales remained restricted, locking rural assets in inefficient uses for years.</w:t>
      </w:r>
    </w:p>
    <w:p w14:paraId="411FBC33" w14:textId="77777777" w:rsidR="00894C0E" w:rsidRDefault="00894C0E" w:rsidP="00894C0E">
      <w:pPr>
        <w:pStyle w:val="BodyText"/>
      </w:pPr>
      <w:r>
        <w:t xml:space="preserve">Politically, Ukraine maintained formal democracy (regular elections, contested campaigns) but with significant flaws. Power often alternated or was shared between a president and parliament of differing orientations (for instance, President Kuchma vs. a left-leaning parliament in the late 90s), which slowed decision-making on reforms. Geopolitically, Ukraine tried to balance between Russia and the West. It cooperated with the IMF and World Bank on some reform programs – indeed, the IMF provided loans throughout the 90s conditioned on austerity and anti-inflation measures, which helped stabilize the currency (the </w:t>
      </w:r>
      <w:r>
        <w:rPr>
          <w:b/>
          <w:bCs/>
        </w:rPr>
        <w:t>hryvnia</w:t>
      </w:r>
      <w:r>
        <w:t xml:space="preserve"> was introduced in 1996, ending the early hyperinflation chaos). At the same time, Ukraine remained economically entwined with Russia, heavily dependent on cheap Russian gas and its Soviet-era export markets. This in-between stance often translated into </w:t>
      </w:r>
      <w:r>
        <w:rPr>
          <w:b/>
          <w:bCs/>
        </w:rPr>
        <w:t>reforms on paper but not in practice</w:t>
      </w:r>
      <w:r>
        <w:t>. For example, anti-</w:t>
      </w:r>
      <w:r>
        <w:lastRenderedPageBreak/>
        <w:t>monopoly laws and anti-corruption committees were established under donor advice, but seldom empowered to challenge the powerful interests.</w:t>
      </w:r>
    </w:p>
    <w:p w14:paraId="7983C664" w14:textId="77777777" w:rsidR="00894C0E" w:rsidRDefault="00894C0E" w:rsidP="00894C0E">
      <w:pPr>
        <w:pStyle w:val="BodyText"/>
      </w:pPr>
      <w:r>
        <w:rPr>
          <w:b/>
          <w:bCs/>
        </w:rPr>
        <w:t>Corruption and Oligarchy:</w:t>
      </w:r>
      <w:r>
        <w:t xml:space="preserve"> By the late 1990s, Ukraine had developed a reputation as one of the most corrupt states in Europe – arguably on par with, or even worse than, Russia in some respects. A U.S. diplomatic cable famously described Kuchma’s Ukraine as a “</w:t>
      </w:r>
      <w:r>
        <w:rPr>
          <w:b/>
          <w:bCs/>
        </w:rPr>
        <w:t>kleptocracy</w:t>
      </w:r>
      <w:r>
        <w:t>” ruled by a nexus of politicians and organized crime bosses {S:WikiCorruptUA}. During the 90s, violent enforcement of business interests was common; criminal gangs were linked to industrial assets, especially in the eastern regions. In Donetsk, dozens of businesspeople and even local officials were assassinated as rival clans battled for control of factories and mines. It’s telling that in 2005, after the fall of Kuchma, investigators unearthed mass graves of murder victims from the 1990s gang wars in Donetsk {S:WikiCorruptUA}. Future president Viktor Yanukovych, who emerged from Donetsk’s political machine, long faced allegations (never fully proved in court) of ties to these underworld elements {S:WikiCorruptUA}. Such was the milieu in which Ukraine’s oligarchic system took shape.</w:t>
      </w:r>
    </w:p>
    <w:p w14:paraId="4F5EF0AD" w14:textId="77777777" w:rsidR="00894C0E" w:rsidRDefault="00894C0E" w:rsidP="00894C0E">
      <w:pPr>
        <w:pStyle w:val="BodyText"/>
      </w:pPr>
      <w:r>
        <w:t xml:space="preserve">By the turn of the millennium, Ukraine’s oligarchs dominated key sectors: a few well-connected families controlled much of metallurgy, energy, and banking. For instance, Pavlo Lazarenko – a prominent early oligarch who briefly served as Prime Minister in 1996–97 – was later </w:t>
      </w:r>
      <w:r>
        <w:rPr>
          <w:b/>
          <w:bCs/>
        </w:rPr>
        <w:t>convicted in a U.S. court</w:t>
      </w:r>
      <w:r>
        <w:t xml:space="preserve"> for extortion and money laundering, having siphoned huge sums from Ukraine {S:RFERL2004}. U.S. prosecutors outlined how Lazarenko extorted payments from businesses and stashed roughly $114 million in illicit proceeds abroad, including buying a mansion in California {S:RFERL2004}. His case, one of the first where a senior post-Soviet official was held accountable abroad, underscored both the scale of theft and the failure of Ukrainian justice to tackle top-tier corruption at the time (Lazarenko fled Ukraine in 1999; he was never prosecuted at home, only abroad). It’s estimated he embezzled well over $100 million – a staggering figure for a country then reliant on IMF loans.</w:t>
      </w:r>
    </w:p>
    <w:p w14:paraId="0843EA8D" w14:textId="77777777" w:rsidR="00894C0E" w:rsidRDefault="00894C0E" w:rsidP="00894C0E">
      <w:pPr>
        <w:pStyle w:val="BodyText"/>
      </w:pPr>
      <w:r>
        <w:rPr>
          <w:b/>
          <w:bCs/>
        </w:rPr>
        <w:t>Role of Foreign Aid and Allegations:</w:t>
      </w:r>
      <w:r>
        <w:t xml:space="preserve"> Western aid to Ukraine in the 1990s was significant but not as all-encompassing as in Poland or Russia. The IMF provided multiple loans to support the government’s budget and stabilize the currency. The World Bank funded projects to reform state enterprises and infrastructure. The U.S. and EU gave technical aid and humanitarian assistance (especially after the 1986 Chernobyl disaster, Western funds helped with nuclear safety). However, donors grew frustrated with Ukraine’s slow progress and instances of apparent deceit. A notable scandal was the </w:t>
      </w:r>
      <w:r>
        <w:rPr>
          <w:b/>
          <w:bCs/>
        </w:rPr>
        <w:t>misreporting of Ukraine’s foreign exchange reserves</w:t>
      </w:r>
      <w:r>
        <w:t xml:space="preserve"> in the late 1990s. In 1998, as Ukraine sought IMF funds, the National Bank (led by Viktor Yushchenko at the time) engaged in transactions that made reserves appear higher than they truly were {S:IMF2000}. Essentially, reserves were shuffled via foreign banks and double-counted – a practice sometimes called “round-tripping.” When the IMF learned of this, it concluded Ukraine had received disbursements (about $200 million worth) it wasn’t entitled to {S:IMF2000}. An external audit by PricewaterhouseCoopers confirmed the misreporting. While the IMF found no evidence that the money was </w:t>
      </w:r>
      <w:r>
        <w:rPr>
          <w:i/>
          <w:iCs/>
        </w:rPr>
        <w:t>stolen</w:t>
      </w:r>
      <w:r>
        <w:t xml:space="preserve"> outright, the incident was a breach of trust. The </w:t>
      </w:r>
      <w:r>
        <w:rPr>
          <w:b/>
          <w:bCs/>
        </w:rPr>
        <w:t xml:space="preserve">allegation of </w:t>
      </w:r>
      <w:r>
        <w:rPr>
          <w:b/>
          <w:bCs/>
        </w:rPr>
        <w:lastRenderedPageBreak/>
        <w:t>aid misuse</w:t>
      </w:r>
      <w:r>
        <w:t xml:space="preserve"> hung in the air: had Ukrainian officials tried to game the IMF? The episode prompted the IMF to temporarily suspend aid and implement stricter “safeguards” for central bank data reporting in all countries. In Ukraine’s case, it reinforced donors’ view that the country’s leadership lacked transparency.</w:t>
      </w:r>
    </w:p>
    <w:p w14:paraId="3089E490" w14:textId="77777777" w:rsidR="00894C0E" w:rsidRDefault="00894C0E" w:rsidP="00894C0E">
      <w:pPr>
        <w:pStyle w:val="BodyText"/>
      </w:pPr>
      <w:r>
        <w:t xml:space="preserve">Another contentious topic was the influence of foreign organizations in Ukraine’s civil society and politics. By the late 1990s, Western-funded NGOs were active in promoting democracy and exposing corruption in Ukraine. Groups like George Soros’s </w:t>
      </w:r>
      <w:r>
        <w:rPr>
          <w:b/>
          <w:bCs/>
        </w:rPr>
        <w:t>Open Society Institute</w:t>
      </w:r>
      <w:r>
        <w:t xml:space="preserve"> had been present since the early 90s granting funds for education, media, and legal reforms. The U.S. Congress-funded </w:t>
      </w:r>
      <w:r>
        <w:rPr>
          <w:b/>
          <w:bCs/>
        </w:rPr>
        <w:t>National Endowment for Democracy (NED)</w:t>
      </w:r>
      <w:r>
        <w:t xml:space="preserve"> supported Ukrainian pro-democracy initiatives. These efforts were generally public and in line with promoting good governance. However, when Ukraine’s citizens rose up in mass protests during the </w:t>
      </w:r>
      <w:r>
        <w:rPr>
          <w:b/>
          <w:bCs/>
        </w:rPr>
        <w:t>Orange Revolution of 2004</w:t>
      </w:r>
      <w:r>
        <w:t xml:space="preserve"> – protesting a rigged presidential election – the Kremlin (and domestic opponents) alleged that Western NGOs had orchestrated the movement. Similar claims were made about the later 2014 Maidan uprising. These claims are widely rejected by the protesters themselves and Western governments, who argue that while they support civil society, the popular movements were genuine responses to corruption and authoritarianism. Nonetheless, the </w:t>
      </w:r>
      <w:r>
        <w:rPr>
          <w:b/>
          <w:bCs/>
        </w:rPr>
        <w:t>allegation of Western orchestration</w:t>
      </w:r>
      <w:r>
        <w:t xml:space="preserve"> persists in some narratives. Within our timeframe of the 1990s, this undercurrent was beginning: Russian media and some Ukrainian officials muttered about “outside interference” whenever Western NGOs criticized Kyiv’s corruption. For example, in 1999 when an opposition journalist, Georgiy Gongadze, was murdered (in a case that implicated officials close to President Kuchma), Western governments and NGOs pressed hard for accountability. Kuchma’s administration responded defensively, treating the criticism as foreign meddling in Ukraine’s affairs. This tension set the stage for how allegations would be framed in later years – East vs. West narratives overlaying Ukraine’s internal corruption saga.</w:t>
      </w:r>
    </w:p>
    <w:p w14:paraId="35122AC6" w14:textId="77777777" w:rsidR="00894C0E" w:rsidRDefault="00894C0E" w:rsidP="00894C0E">
      <w:pPr>
        <w:pStyle w:val="BodyText"/>
      </w:pPr>
      <w:r>
        <w:t xml:space="preserve">Despite the pervasive corruption, there were seeds of reform in Ukraine’s first post-Soviet decade. Viktor Yushchenko, as central bank chief, won praise for taming hyperinflation and introducing a stable currency. Later, as prime minister in 2000, he and deputy PM Yuliya Tymoshenko attempted to dismantle some opaque schemes in the energy sector (notably, they went after a corrupt intermediary company that was siphoning money in gas transactions). Those efforts were short-lived – entrenched interests pushed Yushchenko out in 2001 – but they galvanized public awareness. A small but vibrant independent media and activist community emerged in the late 90s, keeping the idea of a different, more accountable Ukraine alive. These forces would eventually mobilize in the 2004 Orange Revolution, essentially demanding a </w:t>
      </w:r>
      <w:r>
        <w:rPr>
          <w:i/>
          <w:iCs/>
        </w:rPr>
        <w:t>real</w:t>
      </w:r>
      <w:r>
        <w:t xml:space="preserve"> break from the corrupt old guard that had merely reshuffled itself in 1991.</w:t>
      </w:r>
    </w:p>
    <w:p w14:paraId="14FFCC31" w14:textId="77777777" w:rsidR="00894C0E" w:rsidRDefault="00894C0E" w:rsidP="00894C0E">
      <w:pPr>
        <w:pStyle w:val="BodyText"/>
      </w:pPr>
      <w:r>
        <w:t xml:space="preserve">In summary, Ukraine’s transition by 2000 had achieved </w:t>
      </w:r>
      <w:r>
        <w:rPr>
          <w:i/>
          <w:iCs/>
        </w:rPr>
        <w:t>partial</w:t>
      </w:r>
      <w:r>
        <w:t xml:space="preserve"> economic liberalization and maintained basic political pluralism, but at a high cost: widespread corruption, state capture by oligarchic clans, and stalled improvements in living standards (Ukraine’s economy in 2000 was smaller than in 1991, and poverty had deepened). If Poland demonstrated the gains of fast reforms underpinned by Western integration, and Russia </w:t>
      </w:r>
      <w:r>
        <w:lastRenderedPageBreak/>
        <w:t xml:space="preserve">highlighted the perils of uncontrolled “wild capitalism,” Ukraine exemplified a third pattern – </w:t>
      </w:r>
      <w:r>
        <w:rPr>
          <w:b/>
          <w:bCs/>
        </w:rPr>
        <w:t>protracted transition</w:t>
      </w:r>
      <w:r>
        <w:t xml:space="preserve"> where the façade of reform masked the survival of old networks. Allegations in Ukraine’s case – whether it was the president’s men siphoning money, or foreign aid being misused, or later claims of foreign “color revolution” plots – all reflected the core struggle: Ukraine wobbling between a future anchored in rule-of-law and Europe, and a past mired in the post-Soviet culture of corruption and clientelism.</w:t>
      </w:r>
    </w:p>
    <w:p w14:paraId="34493A9C" w14:textId="77777777" w:rsidR="00894C0E" w:rsidRDefault="00894C0E" w:rsidP="00894C0E">
      <w:pPr>
        <w:pStyle w:val="BodyText"/>
      </w:pPr>
      <w:r>
        <w:rPr>
          <w:i/>
          <w:iCs/>
        </w:rPr>
        <w:t>(No separate micro-timeline is given for Ukraine here, as Ukraine’s key milestones are incorporated in the narrative above. See Table 14.1 for a comparative summary of Ukraine alongside Poland and Russia.)</w:t>
      </w:r>
    </w:p>
    <w:bookmarkEnd w:id="69"/>
    <w:p w14:paraId="785A3F18" w14:textId="77777777" w:rsidR="00894C0E" w:rsidRDefault="00894C0E" w:rsidP="00894C0E">
      <w:pPr>
        <w:pStyle w:val="Heading2"/>
      </w:pPr>
      <w:r>
        <w:t>Comparative Analysis: Patterns of Transition and Their Consequences</w:t>
      </w:r>
    </w:p>
    <w:p w14:paraId="39338669" w14:textId="77777777" w:rsidR="00894C0E" w:rsidRDefault="00894C0E" w:rsidP="00894C0E">
      <w:pPr>
        <w:pStyle w:val="FirstParagraph"/>
      </w:pPr>
      <w:r>
        <w:t xml:space="preserve">Examining Poland, Russia, and Ukraine side by side reveals both </w:t>
      </w:r>
      <w:r>
        <w:rPr>
          <w:b/>
          <w:bCs/>
        </w:rPr>
        <w:t>common patterns</w:t>
      </w:r>
      <w:r>
        <w:t xml:space="preserve"> in post-communist transitions and </w:t>
      </w:r>
      <w:r>
        <w:rPr>
          <w:b/>
          <w:bCs/>
        </w:rPr>
        <w:t>critical differences</w:t>
      </w:r>
      <w:r>
        <w:t xml:space="preserve"> that shaped their outcomes. All three countries experienced the collapse of communism and faced the triad of challenges: </w:t>
      </w:r>
      <w:r>
        <w:rPr>
          <w:b/>
          <w:bCs/>
        </w:rPr>
        <w:t>political liberalization</w:t>
      </w:r>
      <w:r>
        <w:t xml:space="preserve">, </w:t>
      </w:r>
      <w:r>
        <w:rPr>
          <w:b/>
          <w:bCs/>
        </w:rPr>
        <w:t>economic restructuring</w:t>
      </w:r>
      <w:r>
        <w:t xml:space="preserve">, and </w:t>
      </w:r>
      <w:r>
        <w:rPr>
          <w:b/>
          <w:bCs/>
        </w:rPr>
        <w:t>nation-building</w:t>
      </w:r>
      <w:r>
        <w:t xml:space="preserve"> (establishing new state institutions). Each chose – or was pushed into – different strategies for reform, and each had distinct initial conditions. We can distill the comparison into several dimensions:</w:t>
      </w:r>
    </w:p>
    <w:p w14:paraId="08B84C61" w14:textId="77777777" w:rsidR="00894C0E" w:rsidRDefault="00894C0E" w:rsidP="00894C0E">
      <w:pPr>
        <w:pStyle w:val="BodyText"/>
      </w:pPr>
      <w:r>
        <w:rPr>
          <w:b/>
          <w:bCs/>
        </w:rPr>
        <w:t>1. Initial Break with the Past:</w:t>
      </w:r>
      <w:r>
        <w:t xml:space="preserve"> Poland’s break was negotiated and evolutionary (the communist regime voluntarily ceded power through elections), whereas Russia and Ukraine’s breaks were more chaotic and driven by the collapse of the USSR. In Poland, a part of the old elite transitioned into the new system by reinventing themselves as social democrats or businesspeople, but they did so within a democratic framework and market rules largely agreed upon by the opposition. In Russia and Ukraine, much of the communist-era elite (party bosses, red directors, KGB networks) </w:t>
      </w:r>
      <w:r>
        <w:rPr>
          <w:i/>
          <w:iCs/>
        </w:rPr>
        <w:t>initially</w:t>
      </w:r>
      <w:r>
        <w:t xml:space="preserve"> retained positions of power – Russia’s first president was an ex-Politburo member (Yeltsin), Ukraine’s early leadership were ex-Communists as well. This meant the commitment to a complete overhaul was more ambivalent in the Soviet successor states. Consequently, </w:t>
      </w:r>
      <w:r>
        <w:rPr>
          <w:b/>
          <w:bCs/>
        </w:rPr>
        <w:t>old power networks embedded themselves into the new order</w:t>
      </w:r>
      <w:r>
        <w:t xml:space="preserve"> more deeply in Russia/Ukraine, often by capturing state assets and morphing into oligarchs. Poland’s more sweeping renewal of political elites (thanks to Solidarity’s victory) gave it a head start in enacting reforms that, while painful, weren’t as directly sabotaged by incumbent vested interests inside the state.</w:t>
      </w:r>
    </w:p>
    <w:p w14:paraId="2156DDBD" w14:textId="77777777" w:rsidR="00894C0E" w:rsidRDefault="00894C0E" w:rsidP="00894C0E">
      <w:pPr>
        <w:pStyle w:val="BodyText"/>
      </w:pPr>
      <w:r>
        <w:rPr>
          <w:b/>
          <w:bCs/>
        </w:rPr>
        <w:t>2. Speed and Sequence of Economic Reform:</w:t>
      </w:r>
      <w:r>
        <w:t xml:space="preserve"> Poland and Russia both attempted “shock therapy” – rapid stabilization and liberalization – but with different contexts and results. Poland’s shock therapy, though severe, was implemented in a smaller, more manageable economy with substantial Western financial support and the credibility of a broadly united government. Poland also sequenced its reforms relatively well: it achieved macroeconomic stabilization early, before mass privatization, and by the mid-90s had growth restored. Russia’s shock was implemented in a far larger, distortion-filled economy in free-fall, amid institutional breakdown. Russia stabilized inflation only haltingly, and rushed into mass privatization </w:t>
      </w:r>
      <w:r>
        <w:rPr>
          <w:i/>
          <w:iCs/>
        </w:rPr>
        <w:t>before</w:t>
      </w:r>
      <w:r>
        <w:t xml:space="preserve"> a legal-regulatory framework or stable financial </w:t>
      </w:r>
      <w:r>
        <w:lastRenderedPageBreak/>
        <w:t xml:space="preserve">system was in place. This sequence (or lack thereof) practically invited asset grabs and corruption – by the time laws were drafted (often by advisors with conflicts of interest), the deed was done. Ukraine chose a slower, more </w:t>
      </w:r>
      <w:r>
        <w:rPr>
          <w:b/>
          <w:bCs/>
        </w:rPr>
        <w:t>gradual reform path</w:t>
      </w:r>
      <w:r>
        <w:t xml:space="preserve">, attempting to cushion the social impact, but in doing so it allowed </w:t>
      </w:r>
      <w:r>
        <w:rPr>
          <w:b/>
          <w:bCs/>
        </w:rPr>
        <w:t>decay and corruption to fester</w:t>
      </w:r>
      <w:r>
        <w:t xml:space="preserve">. Inflation raged for years before stabilization; partial price controls and subsidies offered opportunities for arbitrage (enriching those with access). Gradualism in Ukraine was not a carefully managed “gradual reform” as much as it was delay and indecision, which arguably enabled corrupt practices to root into the system. The comparative evidence suggests that neither sheer shock therapy nor aimless gradualism is a silver bullet – what mattered was </w:t>
      </w:r>
      <w:r>
        <w:rPr>
          <w:b/>
          <w:bCs/>
        </w:rPr>
        <w:t>governance and sequencing</w:t>
      </w:r>
      <w:r>
        <w:t>. Poland’s relatively effective state capacity and sequencing helped it succeed; Russia’s poorly governed shock led to oligarchy; Ukraine’s half-measures led to stagnation and persistent graft.</w:t>
      </w:r>
    </w:p>
    <w:p w14:paraId="1C854D7D" w14:textId="77777777" w:rsidR="00894C0E" w:rsidRDefault="00894C0E" w:rsidP="00894C0E">
      <w:pPr>
        <w:pStyle w:val="BodyText"/>
      </w:pPr>
      <w:r>
        <w:rPr>
          <w:b/>
          <w:bCs/>
        </w:rPr>
        <w:t>3. Role of External Influence and Aid:</w:t>
      </w:r>
      <w:r>
        <w:t xml:space="preserve"> All three countries received substantial help from international actors, but the nature and oversight of that aid differed. Poland, by virtue of aspiring to EU membership, subjected itself to </w:t>
      </w:r>
      <w:r>
        <w:rPr>
          <w:i/>
          <w:iCs/>
        </w:rPr>
        <w:t>ex post</w:t>
      </w:r>
      <w:r>
        <w:t xml:space="preserve"> conditionality that fostered sustained reforms (e.g. adopting EU laws). Western aid to Poland under programs like PHARE and the SEED Act was often targeted at institution-building and came with strings attached (not always perfectly, but eventually EU entry requirements acted as a strong incentive to clean up practices). In Russia, Western aid was more unilateral (U.S.-led) and front-loaded in the 90s with less accountability. Billions in IMF loans and aid were pumped in quickly to avert crises or prop up favored reformers, and much of it was fungible – it could disappear into the Russian state or even private pockets without a trace. Indeed, investigations showed that </w:t>
      </w:r>
      <w:r>
        <w:rPr>
          <w:b/>
          <w:bCs/>
        </w:rPr>
        <w:t>a significant portion of aid funds to Russia ended up misused or unaccounted for</w:t>
      </w:r>
      <w:r>
        <w:t xml:space="preserve"> {S:WedelReview2002}. The Harvard case exemplified weak oversight: the U.S. effectively entrusted its Russia aid to a few individuals and gave them “carte blanche” {S:WedelNation98}, a mistake it wouldn’t repeat so blithely elsewhere. Ukraine’s foreign assistance was somewhere in between – sizable IMF loans, but the IMF learned from Russia and imposed stricter monitoring after the reserve misreporting incident. Western leverage in Ukraine increased over time (particularly in the 2000s with Millennium Challenge thresholds, etc.), but in the 90s it was limited. One clear pattern is that </w:t>
      </w:r>
      <w:r>
        <w:rPr>
          <w:b/>
          <w:bCs/>
        </w:rPr>
        <w:t>where Western aid operated in a vacuum of oversight, it often failed or even abetted corruption</w:t>
      </w:r>
      <w:r>
        <w:t xml:space="preserve">. Conversely, where aid was tied to integration projects (EU accession for Poland) or robust conditions, it had more effect. This highlights a difference: </w:t>
      </w:r>
      <w:r>
        <w:rPr>
          <w:b/>
          <w:bCs/>
        </w:rPr>
        <w:t>Poland had a clear Western trajectory</w:t>
      </w:r>
      <w:r>
        <w:t>, whereas Russia oscillated and then rejected Western direction, and Ukraine wavered, taking aid but resisting deep conditionality until later.</w:t>
      </w:r>
    </w:p>
    <w:p w14:paraId="40FA863B" w14:textId="77777777" w:rsidR="00894C0E" w:rsidRDefault="00894C0E" w:rsidP="00894C0E">
      <w:pPr>
        <w:pStyle w:val="BodyText"/>
      </w:pPr>
      <w:r>
        <w:rPr>
          <w:b/>
          <w:bCs/>
        </w:rPr>
        <w:t>4. Emergence of Oligarchs and Networks:</w:t>
      </w:r>
      <w:r>
        <w:t xml:space="preserve"> All three countries saw some form of elite economic capture, but the extent differed. Russia’s and Ukraine’s transitions produced classic “oligarchic” systems – small groups controlling outsized wealth and using it to influence politics and policy. Poland too had wealthy business figures and some shady deals, but nothing on the scale of the post-Soviet oligarchs. Why? Several factors stand out: (a) </w:t>
      </w:r>
      <w:r>
        <w:rPr>
          <w:b/>
          <w:bCs/>
        </w:rPr>
        <w:t>Property structure</w:t>
      </w:r>
      <w:r>
        <w:t xml:space="preserve"> – Poland didn’t have vast oil/gas reserves or giant mines to be grabbed; much of its economy was small-scale or agricultural, which, when liberalized, dispersed benefits more widely. Russia and Ukraine inherited huge commodity industries </w:t>
      </w:r>
      <w:r>
        <w:lastRenderedPageBreak/>
        <w:t xml:space="preserve">that became honeypots for a few. (b) </w:t>
      </w:r>
      <w:r>
        <w:rPr>
          <w:b/>
          <w:bCs/>
        </w:rPr>
        <w:t>Legal institutions</w:t>
      </w:r>
      <w:r>
        <w:t xml:space="preserve"> – Poland, helped by existing ties to Western legal tradition and quicker reforms, established a functioning commercial law system faster. Post-Soviet courts and law enforcement remained weak or corruptible throughout the 90s, giving oligarchs free rein. (c) </w:t>
      </w:r>
      <w:r>
        <w:rPr>
          <w:b/>
          <w:bCs/>
        </w:rPr>
        <w:t>Political competition</w:t>
      </w:r>
      <w:r>
        <w:t xml:space="preserve"> – Polish democracy, while imperfect, maintained alternation in power and some media pluralism, preventing any one clique from monopolizing everything. In Ukraine, there was pluralism but often of oligarchic factions – a balance of corruption, as it were, rather than true checks and balances. In Russia, after an initial pluralism, power consolidated under Putin, but by then oligarchic wealth was entrenched. The pattern seems to be </w:t>
      </w:r>
      <w:r>
        <w:rPr>
          <w:b/>
          <w:bCs/>
        </w:rPr>
        <w:t>transparency and institutional restraints</w:t>
      </w:r>
      <w:r>
        <w:t xml:space="preserve"> early on can stem the formation of unchecked oligarchs. Poland’s anti-monopoly office, though young, and its relatively robust audit institutions (like NIK, which, despite Pańko’s tragic fate, did blow the whistle on FOZZ) played some role. In Russia and Ukraine, analogous watchdogs were either absent or easily neutralized in the 90s.</w:t>
      </w:r>
    </w:p>
    <w:p w14:paraId="65FC6CC2" w14:textId="77777777" w:rsidR="00894C0E" w:rsidRDefault="00894C0E" w:rsidP="00894C0E">
      <w:pPr>
        <w:pStyle w:val="BodyText"/>
      </w:pPr>
      <w:r>
        <w:rPr>
          <w:b/>
          <w:bCs/>
        </w:rPr>
        <w:t>5. Public Sentiment and Backlash:</w:t>
      </w:r>
      <w:r>
        <w:t xml:space="preserve"> All three transitions triggered public dissatisfaction due to economic pain and corruption, but that energy was channeled differently. In Poland, discontent with hardship led to voters swinging between post-communists and post-Solidarity liberals in elections, but crucially, </w:t>
      </w:r>
      <w:r>
        <w:rPr>
          <w:b/>
          <w:bCs/>
        </w:rPr>
        <w:t>no anti-democratic reversal</w:t>
      </w:r>
      <w:r>
        <w:t xml:space="preserve"> occurred. The system allowed people to “throw the bums out” at the ballot box, and eventual EU prosperity vindicated the course. In Russia, the public’s discontent found expression in nostalgia for strong leadership and stability – hence Putin’s rise was welcomed as a corrective to the “rotten 90s.” By the 2000s, many Russians viewed the experiment with liberal reform as fundamentally tainted, which Putin exploited by re-centralizing authority (with majority support initially). In Ukraine, public resentment built up more slowly; there wasn’t a single figure who could promise stability as Putin did, partly because of Ukraine’s regional divisions. Instead, public backlash manifested in </w:t>
      </w:r>
      <w:r>
        <w:rPr>
          <w:b/>
          <w:bCs/>
        </w:rPr>
        <w:t>periodic revolts</w:t>
      </w:r>
      <w:r>
        <w:t xml:space="preserve"> against corruption – first the 2004 Orange Revolution, later the 2014 Maidan uprising. This indicates that in Ukraine, unlike Russia, a significant portion of society eventually demanded a more European-style clean government, even if it meant turmoil. So while Poland avoided large-scale unrest by delivering improvements, and Russia pre-empted unrest by authoritarian course-correction, Ukraine oscillated until civil society effectively forced course-corrections through mass protests. These differences underscore how </w:t>
      </w:r>
      <w:r>
        <w:rPr>
          <w:b/>
          <w:bCs/>
        </w:rPr>
        <w:t>legitimacy of the transition</w:t>
      </w:r>
      <w:r>
        <w:t xml:space="preserve"> was earned (or not). Where people saw improvements and some justice (as in Poland by late 90s), they continued to buy into the new system. Where they saw mainly theft and decline (Russia, Ukraine), they either turned to a “strong hand” or to the streets.</w:t>
      </w:r>
    </w:p>
    <w:p w14:paraId="1FE53AD3" w14:textId="77777777" w:rsidR="00894C0E" w:rsidRDefault="00894C0E" w:rsidP="00894C0E">
      <w:pPr>
        <w:pStyle w:val="BodyText"/>
      </w:pPr>
      <w:r>
        <w:rPr>
          <w:b/>
          <w:bCs/>
        </w:rPr>
        <w:t>6. Unique Transitional Justice Measures:</w:t>
      </w:r>
      <w:r>
        <w:t xml:space="preserve"> Poland undertook </w:t>
      </w:r>
      <w:r>
        <w:rPr>
          <w:b/>
          <w:bCs/>
        </w:rPr>
        <w:t>lustration</w:t>
      </w:r>
      <w:r>
        <w:t xml:space="preserve"> (vetting ex-communist officials for secret police collaboration) in a limited way by the late 90s, and it had early symbolic trials (e.g., of communist officials responsible for martial law). This imperfect process still signaled a break with the old regime’s worst abuses. Russia and Ukraine did virtually no lustration or reckoning with the Soviet past in the 90s; many KGB and Party officials simply continued in new guises. One could argue this allowed old behaviors to persist unchecked (e.g., security services engaging in corrupt businesses). </w:t>
      </w:r>
      <w:r>
        <w:lastRenderedPageBreak/>
        <w:t xml:space="preserve">The lack of transitional justice in those countries may have been a pragmatic choice to maintain stability, but it also meant </w:t>
      </w:r>
      <w:r>
        <w:rPr>
          <w:b/>
          <w:bCs/>
        </w:rPr>
        <w:t>no renewal of elites</w:t>
      </w:r>
      <w:r>
        <w:t xml:space="preserve"> or values – a missed opportunity to instill rule-of-law norms early. This is a subtle factor, but comparative scholars often note that countries which purged or at least reviewed the old guard (like the Czech Republic or the Baltics, which lustrated heavily) saw less elite-driven corruption later than those that didn’t.</w:t>
      </w:r>
    </w:p>
    <w:p w14:paraId="380E7D28" w14:textId="77777777" w:rsidR="00894C0E" w:rsidRDefault="00894C0E" w:rsidP="00894C0E">
      <w:pPr>
        <w:pStyle w:val="BodyText"/>
      </w:pPr>
      <w:r>
        <w:t xml:space="preserve">In drawing patterns, it is also fair to address </w:t>
      </w:r>
      <w:r>
        <w:rPr>
          <w:b/>
          <w:bCs/>
        </w:rPr>
        <w:t>contested interpretations</w:t>
      </w:r>
      <w:r>
        <w:t xml:space="preserve"> of these transitions. The “Western narrative” tends to credit factors like EU integration, policy correctness, and civil society for Poland’s positive outcome, and blame internal corruption or insufficient reforms for Russia/Ukraine’s troubles. A more critical or “Eastern narrative” might emphasize that Poland was more ethnically homogeneous, had a pre-war capitalist tradition and Western proximity, whereas Russia/Ukraine were deeply scarred by Soviet legacy and Western aid actually aggravated their problems. There is truth in both perspectives: clearly history and culture mattered (Poland had independent institutions like the Catholic Church and solidarity ties that Russia didn’t), yet policy and external influence also played a huge role (bad policy can wreck even a good hand, as seen in some of Russia’s choices).</w:t>
      </w:r>
    </w:p>
    <w:p w14:paraId="1EE42C78" w14:textId="77777777" w:rsidR="00894C0E" w:rsidRDefault="00894C0E" w:rsidP="00894C0E">
      <w:pPr>
        <w:pStyle w:val="BodyText"/>
      </w:pPr>
      <w:r>
        <w:t xml:space="preserve">One striking commonality across all three cases is that </w:t>
      </w:r>
      <w:r>
        <w:rPr>
          <w:b/>
          <w:bCs/>
        </w:rPr>
        <w:t>corruption mushroomed in the early transition everywhere</w:t>
      </w:r>
      <w:r>
        <w:t xml:space="preserve"> – even in the more successful countries. This suggests that the </w:t>
      </w:r>
      <w:r>
        <w:rPr>
          <w:b/>
          <w:bCs/>
        </w:rPr>
        <w:t>opening of a closed system</w:t>
      </w:r>
      <w:r>
        <w:t xml:space="preserve"> – removing old controls without immediately replacing them with rule of law – creates a fertile ground for opportunists. It’s a phase of “primitive accumulation” and institutional voids. Over time, Poland brought it under control; Russia/Ukraine, in the period we studied, did not fully. Another common issue was </w:t>
      </w:r>
      <w:r>
        <w:rPr>
          <w:b/>
          <w:bCs/>
        </w:rPr>
        <w:t>public sector weakness</w:t>
      </w:r>
      <w:r>
        <w:t xml:space="preserve"> – each country’s state capacity took a hit after communism (bureaucrats were disoriented, old enforcement tools gone, new institutions not yet effective). The extent to which each country rebuilt a capable, honest bureaucracy differed and was crucial. Poland’s bureaucracy by the 2000s had been professionalized partly under EU guidance; Russia’s state remained riddled with patronage, though it grew stronger under Putin in a coercive sense; Ukraine’s state stayed relatively weak and captured by interests until at least the mid-2010s reforms.</w:t>
      </w:r>
    </w:p>
    <w:p w14:paraId="328AAF44" w14:textId="77777777" w:rsidR="00894C0E" w:rsidRDefault="00894C0E" w:rsidP="00894C0E">
      <w:pPr>
        <w:pStyle w:val="BodyText"/>
      </w:pPr>
      <w:r>
        <w:t xml:space="preserve">In conclusion, the comparative lesson of these post-Soviet and East European transitions is </w:t>
      </w:r>
      <w:r>
        <w:rPr>
          <w:i/>
          <w:iCs/>
        </w:rPr>
        <w:t>neither</w:t>
      </w:r>
      <w:r>
        <w:t xml:space="preserve"> a simplistic “shock therapy works” nor “shock therapy fails,” but rather that </w:t>
      </w:r>
      <w:r>
        <w:rPr>
          <w:b/>
          <w:bCs/>
        </w:rPr>
        <w:t>context, governance, and external anchors</w:t>
      </w:r>
      <w:r>
        <w:t xml:space="preserve"> determine outcomes. Poland combined rapid reform with supportive context and external anchors (EU) – yielding a reasonably clean, prosperous democracy. Russia combined rapid reform with a chaotic context and no external accountability – yielding oligarchy and an eventual authoritarian reaction. Ukraine combined slow reform with a half-renovated context and oscillating external orientation – yielding an entrenched corrupt elite and delayed confrontation to change it. Each of the allegations we explored (Western advisors behaving corruptly, ex-communists looting state assets, foreign meddling in domestic politics) can be understood against those trajectories. Some allegations turned out quite true (e.g. the Harvard boys in Russia did corruptly profit – a fact, not just an allegation {S:McClintick06}; Ukrainian leaders like </w:t>
      </w:r>
      <w:r>
        <w:lastRenderedPageBreak/>
        <w:t xml:space="preserve">Lazarenko </w:t>
      </w:r>
      <w:r>
        <w:rPr>
          <w:i/>
          <w:iCs/>
        </w:rPr>
        <w:t>did</w:t>
      </w:r>
      <w:r>
        <w:t xml:space="preserve"> steal enormous sums {S:RFERL2004}). Other allegations are harder to prove or remain subjective (e.g. was Western aid a Trojan horse to pillage the East, or a bungled but sincere effort? Was Poland’s relative success due to culture or policy?). What is clear is that </w:t>
      </w:r>
      <w:r>
        <w:rPr>
          <w:b/>
          <w:bCs/>
        </w:rPr>
        <w:t>transparency and accountability</w:t>
      </w:r>
      <w:r>
        <w:t xml:space="preserve"> – whether demanded internally or imposed externally – were the decisive factors in curbing corruption. Countries that developed those saw allegations gradually turn into history; countries that didn’t found allegations hardening into popular cynicism or conspiracy theories that still affect their politics today.</w:t>
      </w:r>
    </w:p>
    <w:p w14:paraId="0D729BF9" w14:textId="77777777" w:rsidR="00894C0E" w:rsidRDefault="00894C0E" w:rsidP="00894C0E">
      <w:pPr>
        <w:pStyle w:val="BodyText"/>
      </w:pPr>
      <w:r>
        <w:rPr>
          <w:b/>
          <w:bCs/>
        </w:rPr>
        <w:t>Table 14.1: Post-Communist Transition Comparison – Poland, Russia, and Ukraine</w:t>
      </w:r>
    </w:p>
    <w:tbl>
      <w:tblPr>
        <w:tblStyle w:val="Table"/>
        <w:tblW w:w="0" w:type="auto"/>
        <w:tblLook w:val="0020" w:firstRow="1" w:lastRow="0" w:firstColumn="0" w:lastColumn="0" w:noHBand="0" w:noVBand="0"/>
      </w:tblPr>
      <w:tblGrid>
        <w:gridCol w:w="2178"/>
        <w:gridCol w:w="2374"/>
        <w:gridCol w:w="2450"/>
        <w:gridCol w:w="2358"/>
      </w:tblGrid>
      <w:tr w:rsidR="00894C0E" w14:paraId="6CF831DD" w14:textId="77777777" w:rsidTr="00BB2ADB">
        <w:trPr>
          <w:cnfStyle w:val="100000000000" w:firstRow="1" w:lastRow="0" w:firstColumn="0" w:lastColumn="0" w:oddVBand="0" w:evenVBand="0" w:oddHBand="0" w:evenHBand="0" w:firstRowFirstColumn="0" w:firstRowLastColumn="0" w:lastRowFirstColumn="0" w:lastRowLastColumn="0"/>
          <w:tblHeader/>
        </w:trPr>
        <w:tc>
          <w:tcPr>
            <w:tcW w:w="0" w:type="auto"/>
          </w:tcPr>
          <w:p w14:paraId="00D651E3" w14:textId="77777777" w:rsidR="00894C0E" w:rsidRDefault="00894C0E" w:rsidP="00BB2ADB">
            <w:pPr>
              <w:pStyle w:val="Compact"/>
            </w:pPr>
            <w:r>
              <w:rPr>
                <w:b/>
                <w:bCs/>
              </w:rPr>
              <w:t>Aspect</w:t>
            </w:r>
          </w:p>
        </w:tc>
        <w:tc>
          <w:tcPr>
            <w:tcW w:w="0" w:type="auto"/>
          </w:tcPr>
          <w:p w14:paraId="39102E4F" w14:textId="77777777" w:rsidR="00894C0E" w:rsidRDefault="00894C0E" w:rsidP="00BB2ADB">
            <w:pPr>
              <w:pStyle w:val="Compact"/>
            </w:pPr>
            <w:r>
              <w:rPr>
                <w:b/>
                <w:bCs/>
              </w:rPr>
              <w:t>Poland</w:t>
            </w:r>
            <w:r>
              <w:t xml:space="preserve"> (Eastern Europe)</w:t>
            </w:r>
          </w:p>
        </w:tc>
        <w:tc>
          <w:tcPr>
            <w:tcW w:w="0" w:type="auto"/>
          </w:tcPr>
          <w:p w14:paraId="3CCD530F" w14:textId="77777777" w:rsidR="00894C0E" w:rsidRDefault="00894C0E" w:rsidP="00BB2ADB">
            <w:pPr>
              <w:pStyle w:val="Compact"/>
            </w:pPr>
            <w:r>
              <w:rPr>
                <w:b/>
                <w:bCs/>
              </w:rPr>
              <w:t>Russia</w:t>
            </w:r>
            <w:r>
              <w:t xml:space="preserve"> (Post-Soviet)</w:t>
            </w:r>
          </w:p>
        </w:tc>
        <w:tc>
          <w:tcPr>
            <w:tcW w:w="0" w:type="auto"/>
          </w:tcPr>
          <w:p w14:paraId="2BF83AE5" w14:textId="77777777" w:rsidR="00894C0E" w:rsidRDefault="00894C0E" w:rsidP="00BB2ADB">
            <w:pPr>
              <w:pStyle w:val="Compact"/>
            </w:pPr>
            <w:r>
              <w:rPr>
                <w:b/>
                <w:bCs/>
              </w:rPr>
              <w:t>Ukraine</w:t>
            </w:r>
            <w:r>
              <w:t xml:space="preserve"> (Post-Soviet)</w:t>
            </w:r>
          </w:p>
        </w:tc>
      </w:tr>
      <w:tr w:rsidR="00894C0E" w14:paraId="6F35B48D" w14:textId="77777777" w:rsidTr="00BB2ADB">
        <w:tc>
          <w:tcPr>
            <w:tcW w:w="0" w:type="auto"/>
          </w:tcPr>
          <w:p w14:paraId="089DE0DA" w14:textId="77777777" w:rsidR="00894C0E" w:rsidRDefault="00894C0E" w:rsidP="00BB2ADB">
            <w:pPr>
              <w:pStyle w:val="Compact"/>
            </w:pPr>
            <w:r>
              <w:rPr>
                <w:b/>
                <w:bCs/>
              </w:rPr>
              <w:t>Initial Transition (Date)</w:t>
            </w:r>
          </w:p>
        </w:tc>
        <w:tc>
          <w:tcPr>
            <w:tcW w:w="0" w:type="auto"/>
          </w:tcPr>
          <w:p w14:paraId="2BC7BE86" w14:textId="77777777" w:rsidR="00894C0E" w:rsidRDefault="00894C0E" w:rsidP="00BB2ADB">
            <w:pPr>
              <w:pStyle w:val="Compact"/>
            </w:pPr>
            <w:r>
              <w:t>1989 negotiated revolution (Round Table &amp; semi-free elections). New Solidarity-led govt by Sept 1989. Communist party relinquishes power peacefully.</w:t>
            </w:r>
          </w:p>
        </w:tc>
        <w:tc>
          <w:tcPr>
            <w:tcW w:w="0" w:type="auto"/>
          </w:tcPr>
          <w:p w14:paraId="28E4DE6B" w14:textId="77777777" w:rsidR="00894C0E" w:rsidRDefault="00894C0E" w:rsidP="00BB2ADB">
            <w:pPr>
              <w:pStyle w:val="Compact"/>
            </w:pPr>
            <w:r>
              <w:t>1991 collapse of USSR (Russia declares sovereignty June 1990; USSR dissolves Dec 1991). Yeltsin becomes president of independent Russia. Sudden implosion of Soviet institutions.</w:t>
            </w:r>
          </w:p>
        </w:tc>
        <w:tc>
          <w:tcPr>
            <w:tcW w:w="0" w:type="auto"/>
          </w:tcPr>
          <w:p w14:paraId="6F356A23" w14:textId="77777777" w:rsidR="00894C0E" w:rsidRDefault="00894C0E" w:rsidP="00BB2ADB">
            <w:pPr>
              <w:pStyle w:val="Compact"/>
            </w:pPr>
            <w:r>
              <w:t>1991 independence after USSR collapses (vote for independence Dec 1991). Leonid Kravchuk (ex-Communist) elected first president. Old Soviet structures remain influential.</w:t>
            </w:r>
          </w:p>
        </w:tc>
      </w:tr>
      <w:tr w:rsidR="00894C0E" w14:paraId="6B716BD4" w14:textId="77777777" w:rsidTr="00BB2ADB">
        <w:tc>
          <w:tcPr>
            <w:tcW w:w="0" w:type="auto"/>
          </w:tcPr>
          <w:p w14:paraId="7A5C7E87" w14:textId="77777777" w:rsidR="00894C0E" w:rsidRDefault="00894C0E" w:rsidP="00BB2ADB">
            <w:pPr>
              <w:pStyle w:val="Compact"/>
            </w:pPr>
            <w:r>
              <w:rPr>
                <w:b/>
                <w:bCs/>
              </w:rPr>
              <w:t>Political Change</w:t>
            </w:r>
          </w:p>
        </w:tc>
        <w:tc>
          <w:tcPr>
            <w:tcW w:w="0" w:type="auto"/>
          </w:tcPr>
          <w:p w14:paraId="496F043E" w14:textId="77777777" w:rsidR="00894C0E" w:rsidRDefault="00894C0E" w:rsidP="00BB2ADB">
            <w:pPr>
              <w:pStyle w:val="Compact"/>
            </w:pPr>
            <w:r>
              <w:t>Multiparty democracy from 1989. Frequent elections and peaceful power alternation (ex-communists won 1993 election, then voted out later). Rapid pluralism with emerging free press.</w:t>
            </w:r>
          </w:p>
        </w:tc>
        <w:tc>
          <w:tcPr>
            <w:tcW w:w="0" w:type="auto"/>
          </w:tcPr>
          <w:p w14:paraId="43029A76" w14:textId="77777777" w:rsidR="00894C0E" w:rsidRDefault="00894C0E" w:rsidP="00BB2ADB">
            <w:pPr>
              <w:pStyle w:val="Compact"/>
            </w:pPr>
            <w:r>
              <w:t>Initial burst of democracy in early 90s (competitive 1993 &amp; 1995 elections, diverse media) but institutional conflict (1993 Yeltsin-Parliament showdown). By late 90s, oligarchs influence politics; 1999 transition to Putin ushers a guided democracy/soft authoritarianism.</w:t>
            </w:r>
          </w:p>
        </w:tc>
        <w:tc>
          <w:tcPr>
            <w:tcW w:w="0" w:type="auto"/>
          </w:tcPr>
          <w:p w14:paraId="55EC75D6" w14:textId="77777777" w:rsidR="00894C0E" w:rsidRDefault="00894C0E" w:rsidP="00BB2ADB">
            <w:pPr>
              <w:pStyle w:val="Compact"/>
            </w:pPr>
            <w:r>
              <w:t>Formal democracy with regular elections, but marred by fraud and oligarchic influence. Political competition often reflects regional/oligarch clan interests. No single authoritarian consolidation in the 90s – a tug-of-war between presidency and parliament.</w:t>
            </w:r>
          </w:p>
        </w:tc>
      </w:tr>
      <w:tr w:rsidR="00894C0E" w14:paraId="5DA8B3C5" w14:textId="77777777" w:rsidTr="00BB2ADB">
        <w:tc>
          <w:tcPr>
            <w:tcW w:w="0" w:type="auto"/>
          </w:tcPr>
          <w:p w14:paraId="7942A317" w14:textId="77777777" w:rsidR="00894C0E" w:rsidRDefault="00894C0E" w:rsidP="00BB2ADB">
            <w:pPr>
              <w:pStyle w:val="Compact"/>
            </w:pPr>
            <w:r>
              <w:rPr>
                <w:b/>
                <w:bCs/>
              </w:rPr>
              <w:t>Economic Reform Strategy</w:t>
            </w:r>
          </w:p>
        </w:tc>
        <w:tc>
          <w:tcPr>
            <w:tcW w:w="0" w:type="auto"/>
          </w:tcPr>
          <w:p w14:paraId="0C77ABF5" w14:textId="77777777" w:rsidR="00894C0E" w:rsidRDefault="00894C0E" w:rsidP="00BB2ADB">
            <w:pPr>
              <w:pStyle w:val="Compact"/>
            </w:pPr>
            <w:r>
              <w:t>“Big bang” shock therapy in 1990: price liberalization, austerity, and swift private sector development. Extensive use of Western aid/loans to stabilize currency. Gradual privatization (early 90s for small firms, mid-90s voucher program for large firms). EU-oriented regulatory overhaul by late 90s.</w:t>
            </w:r>
          </w:p>
        </w:tc>
        <w:tc>
          <w:tcPr>
            <w:tcW w:w="0" w:type="auto"/>
          </w:tcPr>
          <w:p w14:paraId="660CA08E" w14:textId="77777777" w:rsidR="00894C0E" w:rsidRDefault="00894C0E" w:rsidP="00BB2ADB">
            <w:pPr>
              <w:pStyle w:val="Compact"/>
            </w:pPr>
            <w:r>
              <w:t xml:space="preserve">Shock therapy in 1992: freed prices, slashed subsidies (hyperinflation followed). Mass voucher privatization 1992–94, then </w:t>
            </w:r>
            <w:r>
              <w:rPr>
                <w:b/>
                <w:bCs/>
              </w:rPr>
              <w:t>“loans-for-shares”</w:t>
            </w:r>
            <w:r>
              <w:t xml:space="preserve"> privatization in 1995–96 – extremely rapid transfer of state assets to private (often insider) hands. Weak financial discipline until 1999. Market reform rhetoric high, but implementation captured by elites.</w:t>
            </w:r>
          </w:p>
        </w:tc>
        <w:tc>
          <w:tcPr>
            <w:tcW w:w="0" w:type="auto"/>
          </w:tcPr>
          <w:p w14:paraId="0D785D87" w14:textId="77777777" w:rsidR="00894C0E" w:rsidRDefault="00894C0E" w:rsidP="00BB2ADB">
            <w:pPr>
              <w:pStyle w:val="Compact"/>
            </w:pPr>
            <w:r>
              <w:t>Gradual, often halting reforms. Partial price liberalization 1992–94 (inflation not tamed until mid-90s). Voucher privatization mid-90s but many enterprises stayed under control of old managers. Significant subsidies and barter persisted late into 90s. Some reforms (e.g. new currency, IMF-guided budgets) by 1996, but overall slower pace – “muddling through” approach.</w:t>
            </w:r>
          </w:p>
        </w:tc>
      </w:tr>
      <w:tr w:rsidR="00894C0E" w14:paraId="56C075CF" w14:textId="77777777" w:rsidTr="00BB2ADB">
        <w:tc>
          <w:tcPr>
            <w:tcW w:w="0" w:type="auto"/>
          </w:tcPr>
          <w:p w14:paraId="2C058175" w14:textId="77777777" w:rsidR="00894C0E" w:rsidRDefault="00894C0E" w:rsidP="00BB2ADB">
            <w:pPr>
              <w:pStyle w:val="Compact"/>
            </w:pPr>
            <w:r>
              <w:rPr>
                <w:b/>
                <w:bCs/>
              </w:rPr>
              <w:lastRenderedPageBreak/>
              <w:t>Major External Support</w:t>
            </w:r>
          </w:p>
        </w:tc>
        <w:tc>
          <w:tcPr>
            <w:tcW w:w="0" w:type="auto"/>
          </w:tcPr>
          <w:p w14:paraId="6A4426C4" w14:textId="77777777" w:rsidR="00894C0E" w:rsidRDefault="00894C0E" w:rsidP="00BB2ADB">
            <w:pPr>
              <w:pStyle w:val="Compact"/>
            </w:pPr>
            <w:r>
              <w:t>IMF stabilization fund ($1bn in 1990) and debt relief from Western governments (~50% of communist-era debt forgiven). EU PHARE aid and eventual accession process (from 1997) which provided reform blueprints and funds. U.S. SEED Act assistance in early 90s (grants, enterprise funds, technical advisors). Overall, high Western engagement with clear carrot of EU/NATO membership.</w:t>
            </w:r>
          </w:p>
        </w:tc>
        <w:tc>
          <w:tcPr>
            <w:tcW w:w="0" w:type="auto"/>
          </w:tcPr>
          <w:p w14:paraId="53900F0F" w14:textId="77777777" w:rsidR="00894C0E" w:rsidRDefault="00894C0E" w:rsidP="00BB2ADB">
            <w:pPr>
              <w:pStyle w:val="Compact"/>
            </w:pPr>
            <w:r>
              <w:t>Massive Western financial aid in 90s: ~$20bn IMF loans 1992–1999; US bilateral aid ~$4bn 90s; G7 loans and debt rescheduling. Technical assistance flooded in (Harvard/USAID project, World Bank programs). However, oversight was lax and aid often conditioned only on short-term measures. No prospect of EU/NATO membership, thus less external discipline beyond financial conditions.</w:t>
            </w:r>
          </w:p>
        </w:tc>
        <w:tc>
          <w:tcPr>
            <w:tcW w:w="0" w:type="auto"/>
          </w:tcPr>
          <w:p w14:paraId="589E94D4" w14:textId="77777777" w:rsidR="00894C0E" w:rsidRDefault="00894C0E" w:rsidP="00BB2ADB">
            <w:pPr>
              <w:pStyle w:val="Compact"/>
            </w:pPr>
            <w:r>
              <w:t>Considerable but less headline-grabbing aid: IMF loans ~ $5-10bn through 90s in multiple programs; World Bank loans for structural reforms. EU TACIS program for technical aid (later NED, Soros Foundation support for civil society). Western conditionality had some effect (e.g. IMF forcing Ukraine to tackle hyperinflation), but Ukraine wasn’t on track for EU/NATO in 90s, so external influence was limited to economic encouragement.</w:t>
            </w:r>
          </w:p>
        </w:tc>
      </w:tr>
      <w:tr w:rsidR="00894C0E" w14:paraId="4EFD4CF3" w14:textId="77777777" w:rsidTr="00BB2ADB">
        <w:tc>
          <w:tcPr>
            <w:tcW w:w="0" w:type="auto"/>
          </w:tcPr>
          <w:p w14:paraId="30747C83" w14:textId="77777777" w:rsidR="00894C0E" w:rsidRDefault="00894C0E" w:rsidP="00BB2ADB">
            <w:pPr>
              <w:pStyle w:val="Compact"/>
            </w:pPr>
            <w:r>
              <w:rPr>
                <w:b/>
                <w:bCs/>
              </w:rPr>
              <w:t>Corruption &amp; Oligarchs</w:t>
            </w:r>
          </w:p>
        </w:tc>
        <w:tc>
          <w:tcPr>
            <w:tcW w:w="0" w:type="auto"/>
          </w:tcPr>
          <w:p w14:paraId="7FD98028" w14:textId="77777777" w:rsidR="00894C0E" w:rsidRDefault="00894C0E" w:rsidP="00BB2ADB">
            <w:pPr>
              <w:pStyle w:val="Compact"/>
            </w:pPr>
            <w:r>
              <w:t>Initial spike in corruption early 90s (e.g. FOZZ scandal involving officials and Western consultants). By mid-90s, corruption still present but starting to be curtailed by new institutions (anti-corruption laws, watchdog NGOs, freer media). No singular “oligarch” class – some business magnates emerged, but none above law to the extent in FSU. By 2000s, Transparency Int’l scores Poland moderately (better than regional avg).</w:t>
            </w:r>
          </w:p>
        </w:tc>
        <w:tc>
          <w:tcPr>
            <w:tcW w:w="0" w:type="auto"/>
          </w:tcPr>
          <w:p w14:paraId="5616852D" w14:textId="77777777" w:rsidR="00894C0E" w:rsidRDefault="00894C0E" w:rsidP="00BB2ADB">
            <w:pPr>
              <w:pStyle w:val="Compact"/>
            </w:pPr>
            <w:r>
              <w:t xml:space="preserve">Explosive corruption in 90s – an </w:t>
            </w:r>
            <w:r>
              <w:rPr>
                <w:b/>
                <w:bCs/>
              </w:rPr>
              <w:t>oligarchic class</w:t>
            </w:r>
            <w:r>
              <w:t xml:space="preserve"> forms by 1996 controlling key industries (oil, metals, banks) and influencing the state. Organized crime infiltrates the economy (the “wild 90s”). Scandals: privatization rigging, embezzled IMF funds (e.g. allegations some 1998 IMF loan money vanished via commercial banks), and the Harvard adviser scandal. TI score in 1998: a dismal 2.4/10. Some oligarchs curtailed under Putin after 2000, but corruption morphs rather than vanishes.</w:t>
            </w:r>
          </w:p>
        </w:tc>
        <w:tc>
          <w:tcPr>
            <w:tcW w:w="0" w:type="auto"/>
          </w:tcPr>
          <w:p w14:paraId="38FFF8EC" w14:textId="77777777" w:rsidR="00894C0E" w:rsidRDefault="00894C0E" w:rsidP="00BB2ADB">
            <w:pPr>
              <w:pStyle w:val="Compact"/>
            </w:pPr>
            <w:r>
              <w:t xml:space="preserve">Systemic corruption took root. Mid-90s saw rise of </w:t>
            </w:r>
            <w:r>
              <w:rPr>
                <w:b/>
                <w:bCs/>
              </w:rPr>
              <w:t>regional oligarch clans</w:t>
            </w:r>
            <w:r>
              <w:t xml:space="preserve"> (Donetsk, Dnipropetrovsk) via sweetheart privatizations and control of state resources. Organized crime and politics intertwined (contract killings common in business disputes). Endemic graft in government (public services, procurement). TI scores in late 90s around 2/10 – among worst in Europe. A few oligarchs (e.g. Lazarenko) faced consequences abroad, but inside Ukraine the elite enjoyed impunity in the 90s.</w:t>
            </w:r>
          </w:p>
        </w:tc>
      </w:tr>
      <w:tr w:rsidR="00894C0E" w14:paraId="073D6E5F" w14:textId="77777777" w:rsidTr="00BB2ADB">
        <w:tc>
          <w:tcPr>
            <w:tcW w:w="0" w:type="auto"/>
          </w:tcPr>
          <w:p w14:paraId="667DF099" w14:textId="77777777" w:rsidR="00894C0E" w:rsidRDefault="00894C0E" w:rsidP="00BB2ADB">
            <w:pPr>
              <w:pStyle w:val="Compact"/>
            </w:pPr>
            <w:r>
              <w:rPr>
                <w:b/>
                <w:bCs/>
              </w:rPr>
              <w:t>Notable Scandals/Allegations</w:t>
            </w:r>
          </w:p>
        </w:tc>
        <w:tc>
          <w:tcPr>
            <w:tcW w:w="0" w:type="auto"/>
          </w:tcPr>
          <w:p w14:paraId="0884141F" w14:textId="77777777" w:rsidR="00894C0E" w:rsidRDefault="00894C0E" w:rsidP="00BB2ADB">
            <w:pPr>
              <w:pStyle w:val="Compact"/>
            </w:pPr>
            <w:r>
              <w:rPr>
                <w:b/>
                <w:bCs/>
              </w:rPr>
              <w:t>FOZZ affair (1989–92):</w:t>
            </w:r>
            <w:r>
              <w:t xml:space="preserve"> secret debt fund embezzlement involving ex-regime officials; exposed by auditors, prosecutions dragged </w:t>
            </w:r>
            <w:r>
              <w:lastRenderedPageBreak/>
              <w:t xml:space="preserve">out to 2005. </w:t>
            </w:r>
            <w:r>
              <w:rPr>
                <w:b/>
                <w:bCs/>
              </w:rPr>
              <w:t>“Marriott Brigade”:</w:t>
            </w:r>
            <w:r>
              <w:t xml:space="preserve"> nickname for Western advisors accused of profiteering or giving self-serving advice in early 90s {S:PankoWiki}. Allegations of secret deals between Solidarity leaders and communists (Round Table “pact”) – widely debated but no proof of sinister quid pro quo beyond power-sharing to ensure peaceful change.</w:t>
            </w:r>
          </w:p>
        </w:tc>
        <w:tc>
          <w:tcPr>
            <w:tcW w:w="0" w:type="auto"/>
          </w:tcPr>
          <w:p w14:paraId="4E04AA60" w14:textId="77777777" w:rsidR="00894C0E" w:rsidRDefault="00894C0E" w:rsidP="00BB2ADB">
            <w:pPr>
              <w:pStyle w:val="Compact"/>
            </w:pPr>
            <w:r>
              <w:rPr>
                <w:b/>
                <w:bCs/>
              </w:rPr>
              <w:lastRenderedPageBreak/>
              <w:t>Harvard/Yeltsin aid scandal (1996–97):</w:t>
            </w:r>
            <w:r>
              <w:t xml:space="preserve"> U.S. advisers Shleifer &amp; Hay caught investing in Russia while designing reforms – later convicted of conflict </w:t>
            </w:r>
            <w:r>
              <w:lastRenderedPageBreak/>
              <w:t xml:space="preserve">of interest {S:McClintick06}. </w:t>
            </w:r>
            <w:r>
              <w:rPr>
                <w:b/>
                <w:bCs/>
              </w:rPr>
              <w:t>Loans-for-shares (1995):</w:t>
            </w:r>
            <w:r>
              <w:t xml:space="preserve"> seen as institutionalized corruption – a few insiders got state assets far below value, entrenching oligarchy {S:WedelNation98}. </w:t>
            </w:r>
            <w:r>
              <w:rPr>
                <w:b/>
                <w:bCs/>
              </w:rPr>
              <w:t>Yeltsin 1996 campaign:</w:t>
            </w:r>
            <w:r>
              <w:t xml:space="preserve"> allegations that IMF funds and U.S. campaign consultants helped tilt the election; the involvement of Americans was openly acknowledged, raising questions of propriety. Russian nationalist narrative later alleges “West plundered Russia in the 90s” – a mix of true events (aid misuse, asset grabs) and politicized exaggeration.</w:t>
            </w:r>
          </w:p>
        </w:tc>
        <w:tc>
          <w:tcPr>
            <w:tcW w:w="0" w:type="auto"/>
          </w:tcPr>
          <w:p w14:paraId="2408F8CC" w14:textId="77777777" w:rsidR="00894C0E" w:rsidRDefault="00894C0E" w:rsidP="00BB2ADB">
            <w:pPr>
              <w:pStyle w:val="Compact"/>
            </w:pPr>
            <w:r>
              <w:rPr>
                <w:b/>
                <w:bCs/>
              </w:rPr>
              <w:lastRenderedPageBreak/>
              <w:t>Misreported IMF reserves (1996–98):</w:t>
            </w:r>
            <w:r>
              <w:t xml:space="preserve"> Ukraine’s central bank conducted deals to overstate reserves, leading to IMF payments </w:t>
            </w:r>
            <w:r>
              <w:lastRenderedPageBreak/>
              <w:t xml:space="preserve">it shouldn’t have received {S:IMF2000}. While not a theft per se, it was a deception that damaged Ukraine’s credibility. </w:t>
            </w:r>
            <w:r>
              <w:rPr>
                <w:b/>
                <w:bCs/>
              </w:rPr>
              <w:t>Pavlo Lazarenko (PM 96–97):</w:t>
            </w:r>
            <w:r>
              <w:t xml:space="preserve"> accused in Ukraine of looting state coffers; fled and ultimately convicted in U.S. court for $114M money laundering – emblematic of high-level corruption {S:RFERL2004}. </w:t>
            </w:r>
            <w:r>
              <w:rPr>
                <w:b/>
                <w:bCs/>
              </w:rPr>
              <w:t>Gongadze murder (2000) and “Kuchmagate”:</w:t>
            </w:r>
            <w:r>
              <w:t xml:space="preserve"> a journalist’s killing and leaked tapes implicated President Kuchma in abuses, sparking allegations of a mafia-state – this galvanized civil society and foreshadowed the Orange Revolution. Russian officials frequently alleged Western “plots” behind Ukraine’s reformers, especially as pro-democracy NGOs grew active, but investigations show public discontent with corruption was the organic driver of uprisings (external support was present but not primary).</w:t>
            </w:r>
          </w:p>
        </w:tc>
      </w:tr>
      <w:tr w:rsidR="00894C0E" w14:paraId="2D544BFE" w14:textId="77777777" w:rsidTr="00BB2ADB">
        <w:tc>
          <w:tcPr>
            <w:tcW w:w="0" w:type="auto"/>
          </w:tcPr>
          <w:p w14:paraId="5ABFF832" w14:textId="77777777" w:rsidR="00894C0E" w:rsidRDefault="00894C0E" w:rsidP="00BB2ADB">
            <w:pPr>
              <w:pStyle w:val="Compact"/>
            </w:pPr>
            <w:r>
              <w:rPr>
                <w:b/>
                <w:bCs/>
              </w:rPr>
              <w:lastRenderedPageBreak/>
              <w:t>Social Impact</w:t>
            </w:r>
          </w:p>
        </w:tc>
        <w:tc>
          <w:tcPr>
            <w:tcW w:w="0" w:type="auto"/>
          </w:tcPr>
          <w:p w14:paraId="11A16D29" w14:textId="77777777" w:rsidR="00894C0E" w:rsidRDefault="00894C0E" w:rsidP="00BB2ADB">
            <w:pPr>
              <w:pStyle w:val="Compact"/>
            </w:pPr>
            <w:r>
              <w:t xml:space="preserve">Sharp short-term pain: GDP fell ~20% early 90s, unemployment emerged, inequality grew. But by mid/late-90s, recovery was underway, and safety nets (like pensions) continued functioning modestly. Society </w:t>
            </w:r>
            <w:r>
              <w:lastRenderedPageBreak/>
              <w:t>experienced dislocation but also new freedoms (travel, entrepreneurship). Emigration of young workers became significant after 2004 (EU access). Public opinion by 2000 generally approved of democracy and EU direction, though nostalgia for PRL era existed among some older cohorts.</w:t>
            </w:r>
          </w:p>
        </w:tc>
        <w:tc>
          <w:tcPr>
            <w:tcW w:w="0" w:type="auto"/>
          </w:tcPr>
          <w:p w14:paraId="78E56CF2" w14:textId="77777777" w:rsidR="00894C0E" w:rsidRDefault="00894C0E" w:rsidP="00BB2ADB">
            <w:pPr>
              <w:pStyle w:val="Compact"/>
            </w:pPr>
            <w:r>
              <w:lastRenderedPageBreak/>
              <w:t xml:space="preserve">Catastrophic in early years: 1990s saw GDP halve, millions pushed into poverty. Hyperinflation wiped savings. Life expectancy even dipped due to stress, alcoholism, crumbling healthcare. Middle class largely </w:t>
            </w:r>
            <w:r>
              <w:lastRenderedPageBreak/>
              <w:t>collapsed and only slowly reformed in late 90s. By 1998 crisis, many Russians lost faith in the “market democracy” model. However, elites and segments in big cities gained fabulously. The social contract was later rebuilt under Putin: economic rebound and restored order in exchange for curtailed political freedom – a trade many Russians accepted given the trauma of the 90s.</w:t>
            </w:r>
          </w:p>
        </w:tc>
        <w:tc>
          <w:tcPr>
            <w:tcW w:w="0" w:type="auto"/>
          </w:tcPr>
          <w:p w14:paraId="149182D1" w14:textId="77777777" w:rsidR="00894C0E" w:rsidRDefault="00894C0E" w:rsidP="00BB2ADB">
            <w:pPr>
              <w:pStyle w:val="Compact"/>
            </w:pPr>
            <w:r>
              <w:lastRenderedPageBreak/>
              <w:t xml:space="preserve">Severe economic contraction: over 60% GDP drop in 90s, industrial output down, unemployment and underemployment rampant (though masked by shadow economy). Barter economy in late 90s </w:t>
            </w:r>
            <w:r>
              <w:lastRenderedPageBreak/>
              <w:t>(wages often paid in goods). Corruption in basic services (like healthcare, education) hit ordinary people hard. Unlike Russia, Ukraine didn’t fully rebound by 2000 – it was dubbed an “underachiever” economically. This bred frustration but also massive labor migration (millions of Ukrainians went abroad to work in the 2000s). Society remained pluralistic – a vibrant if struggling media and civil society kept democratic aspirations alive, especially among youth and urban professionals, even as many others were disillusioned.</w:t>
            </w:r>
          </w:p>
        </w:tc>
      </w:tr>
      <w:tr w:rsidR="00894C0E" w14:paraId="750833A4" w14:textId="77777777" w:rsidTr="00BB2ADB">
        <w:tc>
          <w:tcPr>
            <w:tcW w:w="0" w:type="auto"/>
          </w:tcPr>
          <w:p w14:paraId="15F40E5E" w14:textId="77777777" w:rsidR="00894C0E" w:rsidRDefault="00894C0E" w:rsidP="00BB2ADB">
            <w:pPr>
              <w:pStyle w:val="Compact"/>
            </w:pPr>
            <w:r>
              <w:rPr>
                <w:b/>
                <w:bCs/>
              </w:rPr>
              <w:lastRenderedPageBreak/>
              <w:t>Outcome by mid-2000s</w:t>
            </w:r>
          </w:p>
        </w:tc>
        <w:tc>
          <w:tcPr>
            <w:tcW w:w="0" w:type="auto"/>
          </w:tcPr>
          <w:p w14:paraId="4ED7DD60" w14:textId="77777777" w:rsidR="00894C0E" w:rsidRDefault="00894C0E" w:rsidP="00BB2ADB">
            <w:pPr>
              <w:pStyle w:val="Compact"/>
            </w:pPr>
            <w:r>
              <w:t xml:space="preserve">Successful consolidation into a market democracy. By 2004, Poland joins the EU, economy growing, democratic institutions stable (despite occasional scandals). Corruption still an issue but on a smaller scale; Poland ranks mid-tier in EU on governance. No reversal to authoritarianism – democracy viewed as only game in town. Overall, Poland often cited as a </w:t>
            </w:r>
            <w:r>
              <w:rPr>
                <w:b/>
                <w:bCs/>
              </w:rPr>
              <w:t>transition success story</w:t>
            </w:r>
            <w:r>
              <w:t>, lifting GDP and living standards above pre-1989 levels and firmly anchored in the West.</w:t>
            </w:r>
          </w:p>
        </w:tc>
        <w:tc>
          <w:tcPr>
            <w:tcW w:w="0" w:type="auto"/>
          </w:tcPr>
          <w:p w14:paraId="4A5492AD" w14:textId="77777777" w:rsidR="00894C0E" w:rsidRDefault="00894C0E" w:rsidP="00BB2ADB">
            <w:pPr>
              <w:pStyle w:val="Compact"/>
            </w:pPr>
            <w:r>
              <w:t xml:space="preserve">Mixed, leaning negative: Economic situation improved in early 2000s (boosted by oil prices and post-1998 industrial revival) but </w:t>
            </w:r>
            <w:r>
              <w:rPr>
                <w:b/>
                <w:bCs/>
              </w:rPr>
              <w:t>democratic backsliding</w:t>
            </w:r>
            <w:r>
              <w:t xml:space="preserve"> underway. Putin’s presidency (from 2000) brought political recentralization – end of freewheeling media, taming of oligarchs under state’s thumb, rising state nationalism. By mid-2000s Russia’s economy surpassed its 1991 level, but power was concentrated and corruption merely changed form (kickbacks and cronyism within a more state-controlled system). Many observers call Russia’s transition a </w:t>
            </w:r>
            <w:r>
              <w:rPr>
                <w:b/>
                <w:bCs/>
              </w:rPr>
              <w:t>“derailed” or “captured” transition</w:t>
            </w:r>
            <w:r>
              <w:t xml:space="preserve">, </w:t>
            </w:r>
            <w:r>
              <w:lastRenderedPageBreak/>
              <w:t>yielding an authoritarian capitalist hybrid rather than a liberal democracy.</w:t>
            </w:r>
          </w:p>
        </w:tc>
        <w:tc>
          <w:tcPr>
            <w:tcW w:w="0" w:type="auto"/>
          </w:tcPr>
          <w:p w14:paraId="298BD8C8" w14:textId="77777777" w:rsidR="00894C0E" w:rsidRDefault="00894C0E" w:rsidP="00BB2ADB">
            <w:pPr>
              <w:pStyle w:val="Compact"/>
            </w:pPr>
            <w:r>
              <w:lastRenderedPageBreak/>
              <w:t xml:space="preserve">Ongoing struggle: By 2004, Ukraine had not achieved the governance or prosperity hoped for – GDP per capita was still below Soviet times, and corruption was entrenched. However, a turning point came with the </w:t>
            </w:r>
            <w:r>
              <w:rPr>
                <w:b/>
                <w:bCs/>
              </w:rPr>
              <w:t>Orange Revolution (2004)</w:t>
            </w:r>
            <w:r>
              <w:t xml:space="preserve">, when citizens mass-protested a stolen election, demanding clean elections and reform. That peaceful uprising (bringing reformist Victor Yushchenko to presidency) signaled that Ukraine’s transition was entering a new phase driven by public demand for the rule of law. Nonetheless, the post-2004 period </w:t>
            </w:r>
            <w:r>
              <w:lastRenderedPageBreak/>
              <w:t xml:space="preserve">remained fraught, with reforms advancing unevenly. Ukraine’s outcome can be seen as </w:t>
            </w:r>
            <w:r>
              <w:rPr>
                <w:b/>
                <w:bCs/>
              </w:rPr>
              <w:t>“incomplete transition”</w:t>
            </w:r>
            <w:r>
              <w:t xml:space="preserve"> – neither fully reformed nor reverted to authoritarianism, a nation still on the crossroads by mid-2000s.</w:t>
            </w:r>
          </w:p>
        </w:tc>
      </w:tr>
    </w:tbl>
    <w:p w14:paraId="56B20340" w14:textId="77777777" w:rsidR="00894C0E" w:rsidRDefault="00894C0E" w:rsidP="00894C0E">
      <w:pPr>
        <w:pStyle w:val="BodyText"/>
      </w:pPr>
      <w:r>
        <w:lastRenderedPageBreak/>
        <w:t xml:space="preserve">In comparing these cases, one can discern overarching </w:t>
      </w:r>
      <w:r>
        <w:rPr>
          <w:b/>
          <w:bCs/>
        </w:rPr>
        <w:t>patterns</w:t>
      </w:r>
      <w:r>
        <w:t>. Countries that set up checks and balances, invited broad stakeholder involvement (rather than just small insider groups), and aligned themselves with transparent external frameworks tended to navigate the transition with more success. Those that concentrated power in a narrow elite – whether old communist functionaries or new oligarchs – saw an explosion of rent-seeking that undermined reforms.</w:t>
      </w:r>
    </w:p>
    <w:p w14:paraId="0633A504" w14:textId="77777777" w:rsidR="00894C0E" w:rsidRDefault="00894C0E" w:rsidP="00894C0E">
      <w:pPr>
        <w:pStyle w:val="BodyText"/>
      </w:pPr>
      <w:r>
        <w:t>Yet, each country’s journey was also singular. History, geography, and culture meant Poland had a pro-Western consensus and social cohesion that Russia, grappling with imperial collapse, did not. Ukraine’s divided identity (between a pro-European west and a post-Soviet east/south) made its path especially convoluted, as consensus on the nation’s orientation was lacking in the 90s. These deep factors influenced how far and how fast reforms could go and how allegations were perceived by the public. For example, in Poland a scandal like FOZZ led to cross-partisan calls to strengthen institutions; in Russia, scandals often fueled cynicism that “everything is for sale” and pushed people to yearn for a strong hand; in Ukraine, revelations of elite corruption eventually fueled uprisings aimed at re-founding the system rather than tweaking it.</w:t>
      </w:r>
    </w:p>
    <w:p w14:paraId="064E3A1D" w14:textId="77777777" w:rsidR="00894C0E" w:rsidRDefault="00894C0E" w:rsidP="00894C0E">
      <w:pPr>
        <w:pStyle w:val="BodyText"/>
      </w:pPr>
      <w:r>
        <w:t xml:space="preserve">A noteworthy common thread is the </w:t>
      </w:r>
      <w:r>
        <w:rPr>
          <w:b/>
          <w:bCs/>
        </w:rPr>
        <w:t>generation factor</w:t>
      </w:r>
      <w:r>
        <w:t>. In all three countries, the younger, post-communist generation has tended to be less tolerant of corruption and more supportive of democratic norms than the generation that grew up under communism. In Poland, this generational renewal happened earlier (by the 2000s many post-1989 young professionals were in public life). In Ukraine, it arguably took until the 2010s for the post-Soviet youth to really assert themselves (e.g. driving the Euromaidan protests). Russia’s trajectory unfortunately saw many idealistic young reformers of the 90s leave the country or get co-opted, while a new generation in the 2000s came of age under Putin’s nationalist narrative – only in recent years have significant youth protests emerged, and they face a much stronger repressive state.</w:t>
      </w:r>
    </w:p>
    <w:p w14:paraId="02180BBC" w14:textId="77777777" w:rsidR="00894C0E" w:rsidRDefault="00894C0E" w:rsidP="00894C0E">
      <w:pPr>
        <w:pStyle w:val="BodyText"/>
      </w:pPr>
      <w:r>
        <w:rPr>
          <w:b/>
          <w:bCs/>
        </w:rPr>
        <w:t>Converging/Diverging Outcomes:</w:t>
      </w:r>
      <w:r>
        <w:t xml:space="preserve"> By the mid-2000s, Poland was converging with Western Europe in governance and income, Russia was diverging into a petro-fueled authoritarian model, and Ukraine was still debating its future path. Interestingly, the </w:t>
      </w:r>
      <w:r>
        <w:rPr>
          <w:b/>
          <w:bCs/>
        </w:rPr>
        <w:t>patterns of allegations</w:t>
      </w:r>
      <w:r>
        <w:t xml:space="preserve"> reflect these outcomes: In Poland, talk of Western conspiracies or stolen </w:t>
      </w:r>
      <w:r>
        <w:lastRenderedPageBreak/>
        <w:t>decades faded as the country enjoyed clear improvements – conspiracy theories found less traction. In Russia, the narrative of the “treacherous 90s” facilitated by the West became almost official ideology under Putin, justifying his centralized rule and more confrontational stance internationally. In Ukraine, both narratives wrestled: one narrative (often pro-Russian media) blamed Western interference for Ukraine’s turmoil, while another (from activists/journalists) blamed domestic oligarchs and Russia’s meddling for thwarting Ukraine’s European dream. The fact that large segments of Ukrainian society sided with the latter interpretation (as shown in 2004 and again in 2014) is why Ukraine’s transition took the course it did, leaning toward reform and West-integration eventually.</w:t>
      </w:r>
    </w:p>
    <w:p w14:paraId="6F86CA51" w14:textId="77777777" w:rsidR="00894C0E" w:rsidRDefault="00894C0E" w:rsidP="00894C0E">
      <w:pPr>
        <w:pStyle w:val="BodyText"/>
      </w:pPr>
      <w:r>
        <w:t xml:space="preserve">In sum, the comparative case of post-Soviet and Eastern European transitions teaches that corruption and reform are locked in a fierce competition from the moment the old order cracks. Whether a country ends up with relatively clean governance or an entrenched kleptocracy depends on a constellation of factors: </w:t>
      </w:r>
      <w:r>
        <w:rPr>
          <w:b/>
          <w:bCs/>
        </w:rPr>
        <w:t>how reforms are sequenced, who gets to influence them, what incentives external partners provide, and how citizens respond to injustices.</w:t>
      </w:r>
      <w:r>
        <w:t xml:space="preserve"> Poland’s story highlights the value of inclusive institutions and external anchors; Russia’s story issues a warning about allowing insiders free rein under the banner of reform; Ukraine’s story shows that even prolonged capture can be contested and potentially reversed by civic action (though at considerable cost and delay).</w:t>
      </w:r>
    </w:p>
    <w:p w14:paraId="1805B4F9" w14:textId="210C66E9" w:rsidR="00497410" w:rsidRDefault="00894C0E" w:rsidP="00894C0E">
      <w:r>
        <w:t xml:space="preserve">Each of these nations continues to evolve. The legacies of the 1990s are still visible in their political economies today – Poland’s relative prosperity and democratic resilience, Russia’s authoritarian stability laced with oligarchic elements, and Ukraine’s ongoing battle to overcome the post-Soviet corruption curse. Understanding the roots of those outcomes – in the chaotic, transformative early transition years – is crucial to understanding their present trajectories. As these case studies demonstrate, the </w:t>
      </w:r>
      <w:r>
        <w:rPr>
          <w:b/>
          <w:bCs/>
        </w:rPr>
        <w:t>post-communist transition</w:t>
      </w:r>
      <w:r>
        <w:t xml:space="preserve"> was not a uniform process but rather a set of paths, some leading toward open societies governed by law, others looping backward or sideways. And the difference often came down to how a country managed the temptations and trials that came with sudden freedom – how it dealt with the </w:t>
      </w:r>
      <w:r>
        <w:rPr>
          <w:b/>
          <w:bCs/>
        </w:rPr>
        <w:t>allegations and realities of corruption</w:t>
      </w:r>
      <w:r>
        <w:t>, and whether it built systems to check abuses in time, or let them run rampant.</w:t>
      </w:r>
    </w:p>
    <w:p w14:paraId="4B4AFE08" w14:textId="17F047CB" w:rsidR="00497410" w:rsidRDefault="00000000" w:rsidP="00406E3B">
      <w:r>
        <w:pict w14:anchorId="1E32A4FD">
          <v:rect id="_x0000_i1038" style="width:0;height:1.5pt" o:hralign="center" o:hrstd="t" o:hr="t"/>
        </w:pict>
      </w:r>
    </w:p>
    <w:p w14:paraId="4021B52D" w14:textId="77777777" w:rsidR="00342852" w:rsidRDefault="00342852" w:rsidP="00406E3B"/>
    <w:p w14:paraId="22B4CE48" w14:textId="77777777" w:rsidR="00342852" w:rsidRDefault="00342852" w:rsidP="00406E3B"/>
    <w:p w14:paraId="620448F2" w14:textId="77777777" w:rsidR="00342852" w:rsidRDefault="00342852" w:rsidP="00406E3B"/>
    <w:p w14:paraId="2099A355" w14:textId="77777777" w:rsidR="00342852" w:rsidRDefault="00342852" w:rsidP="00406E3B"/>
    <w:p w14:paraId="6214A47F" w14:textId="77777777" w:rsidR="00342852" w:rsidRDefault="00342852" w:rsidP="00406E3B"/>
    <w:p w14:paraId="50FF153E" w14:textId="77777777" w:rsidR="00342852" w:rsidRDefault="00342852" w:rsidP="00406E3B"/>
    <w:p w14:paraId="420BB9D2" w14:textId="2C1A101E" w:rsidR="003D75F7" w:rsidRDefault="003D75F7" w:rsidP="00345367">
      <w:pPr>
        <w:pStyle w:val="Heading1"/>
      </w:pPr>
      <w:bookmarkStart w:id="70" w:name="header"/>
      <w:bookmarkStart w:id="71" w:name="government-and-court-records"/>
      <w:bookmarkEnd w:id="70"/>
      <w:r>
        <w:lastRenderedPageBreak/>
        <w:t>Appendix A: Consolidated Source Registry</w:t>
      </w:r>
    </w:p>
    <w:p w14:paraId="06C20AFB" w14:textId="7F60DD03" w:rsidR="00345367" w:rsidRDefault="00345367" w:rsidP="003D75F7">
      <w:pPr>
        <w:pStyle w:val="Heading2"/>
      </w:pPr>
      <w:r>
        <w:t>Government and Court Records</w:t>
      </w:r>
    </w:p>
    <w:p w14:paraId="5D2BE0FA" w14:textId="77777777" w:rsidR="00345367" w:rsidRDefault="00345367" w:rsidP="00345367">
      <w:pPr>
        <w:numPr>
          <w:ilvl w:val="0"/>
          <w:numId w:val="1"/>
        </w:numPr>
      </w:pPr>
      <w:r>
        <w:rPr>
          <w:b/>
          <w:bCs/>
        </w:rPr>
        <w:t>U.S. Department of the Treasury.</w:t>
      </w:r>
      <w:r>
        <w:t xml:space="preserve"> (1985, September 22). </w:t>
      </w:r>
      <w:r>
        <w:rPr>
          <w:i/>
          <w:iCs/>
        </w:rPr>
        <w:t>Plaza Accord Press Release</w:t>
      </w:r>
      <w:r>
        <w:t xml:space="preserve">. [Press release]. Archived at </w:t>
      </w:r>
      <w:r>
        <w:rPr>
          <w:i/>
          <w:iCs/>
        </w:rPr>
        <w:t>web.archive.org</w:t>
      </w:r>
      <w:r>
        <w:t xml:space="preserve"> (Accessed August 2025).</w:t>
      </w:r>
    </w:p>
    <w:p w14:paraId="7762AD96" w14:textId="77777777" w:rsidR="00345367" w:rsidRDefault="00345367" w:rsidP="00345367">
      <w:pPr>
        <w:numPr>
          <w:ilvl w:val="0"/>
          <w:numId w:val="1"/>
        </w:numPr>
      </w:pPr>
      <w:r>
        <w:rPr>
          <w:b/>
          <w:bCs/>
        </w:rPr>
        <w:t>U.S. Senate Republican Leader.</w:t>
      </w:r>
      <w:r>
        <w:t xml:space="preserve"> (2022, June 23). </w:t>
      </w:r>
      <w:r>
        <w:rPr>
          <w:i/>
          <w:iCs/>
        </w:rPr>
        <w:t>Soros Prosecutors Have Overseen Massive Crime Waves In Their Communities</w:t>
      </w:r>
      <w:r>
        <w:t xml:space="preserve">. [Press release]. Archived at </w:t>
      </w:r>
      <w:r>
        <w:rPr>
          <w:i/>
          <w:iCs/>
        </w:rPr>
        <w:t>web.archive.org</w:t>
      </w:r>
      <w:r>
        <w:t xml:space="preserve"> (Accessed August 2025).</w:t>
      </w:r>
    </w:p>
    <w:p w14:paraId="1FAA3A5F" w14:textId="77777777" w:rsidR="00345367" w:rsidRDefault="00345367" w:rsidP="00345367">
      <w:pPr>
        <w:numPr>
          <w:ilvl w:val="0"/>
          <w:numId w:val="1"/>
        </w:numPr>
      </w:pPr>
      <w:r>
        <w:rPr>
          <w:b/>
          <w:bCs/>
        </w:rPr>
        <w:t>City of Philadelphia, Office of the Mayor.</w:t>
      </w:r>
      <w:r>
        <w:t xml:space="preserve"> (2021, February 9). </w:t>
      </w:r>
      <w:r>
        <w:rPr>
          <w:i/>
          <w:iCs/>
        </w:rPr>
        <w:t>City Awarded $2.275 Million Grant by MacArthur Foundation Safety and Justice Challenge to Advance Criminal Justice Reform and Racial Equity</w:t>
      </w:r>
      <w:r>
        <w:t xml:space="preserve">. [Press release]. Archived at </w:t>
      </w:r>
      <w:r>
        <w:rPr>
          <w:i/>
          <w:iCs/>
        </w:rPr>
        <w:t>web.archive.org</w:t>
      </w:r>
      <w:r>
        <w:t xml:space="preserve"> (Accessed August 2025).</w:t>
      </w:r>
    </w:p>
    <w:p w14:paraId="608E111F" w14:textId="77777777" w:rsidR="00345367" w:rsidRDefault="00345367" w:rsidP="00345367">
      <w:pPr>
        <w:numPr>
          <w:ilvl w:val="0"/>
          <w:numId w:val="1"/>
        </w:numPr>
      </w:pPr>
      <w:r>
        <w:rPr>
          <w:b/>
          <w:bCs/>
        </w:rPr>
        <w:t>U.S. House Judiciary Committee (Republicans).</w:t>
      </w:r>
      <w:r>
        <w:t xml:space="preserve"> (2023, November). </w:t>
      </w:r>
      <w:r>
        <w:rPr>
          <w:i/>
          <w:iCs/>
        </w:rPr>
        <w:t>The Weaponization of CISA: How a “Cybersecurity” Agency Colluded with Big Tech and “Disinformation” Partners to Censor Americans</w:t>
      </w:r>
      <w:r>
        <w:t xml:space="preserve">. [Staff report]. Archived at </w:t>
      </w:r>
      <w:r>
        <w:rPr>
          <w:i/>
          <w:iCs/>
        </w:rPr>
        <w:t>web.archive.org</w:t>
      </w:r>
      <w:r>
        <w:t xml:space="preserve"> (Accessed August 2025).</w:t>
      </w:r>
    </w:p>
    <w:p w14:paraId="4533BE75" w14:textId="77777777" w:rsidR="00345367" w:rsidRDefault="00345367" w:rsidP="00345367">
      <w:pPr>
        <w:numPr>
          <w:ilvl w:val="0"/>
          <w:numId w:val="1"/>
        </w:numPr>
      </w:pPr>
      <w:r>
        <w:rPr>
          <w:b/>
          <w:bCs/>
        </w:rPr>
        <w:t>International Monetary Fund (IMF).</w:t>
      </w:r>
      <w:r>
        <w:t xml:space="preserve"> (2000, March 14). </w:t>
      </w:r>
      <w:r>
        <w:rPr>
          <w:i/>
          <w:iCs/>
        </w:rPr>
        <w:t>Allegations About the Use of Ukraine’s International Reserves</w:t>
      </w:r>
      <w:r>
        <w:t xml:space="preserve"> (News Brief No.00/15). Archived at </w:t>
      </w:r>
      <w:r>
        <w:rPr>
          <w:i/>
          <w:iCs/>
        </w:rPr>
        <w:t>web.archive.org</w:t>
      </w:r>
      <w:r>
        <w:t xml:space="preserve"> (Accessed August 2025).</w:t>
      </w:r>
    </w:p>
    <w:p w14:paraId="481AA9EF" w14:textId="77777777" w:rsidR="00345367" w:rsidRDefault="00345367" w:rsidP="003D75F7">
      <w:pPr>
        <w:pStyle w:val="Heading2"/>
      </w:pPr>
      <w:bookmarkStart w:id="72" w:name="books"/>
      <w:bookmarkEnd w:id="71"/>
      <w:r>
        <w:t>Books</w:t>
      </w:r>
    </w:p>
    <w:p w14:paraId="41F62312" w14:textId="77777777" w:rsidR="00345367" w:rsidRDefault="00345367" w:rsidP="00345367">
      <w:pPr>
        <w:numPr>
          <w:ilvl w:val="0"/>
          <w:numId w:val="1"/>
        </w:numPr>
      </w:pPr>
      <w:r>
        <w:rPr>
          <w:b/>
          <w:bCs/>
        </w:rPr>
        <w:t>Wedel, J. R.</w:t>
      </w:r>
      <w:r>
        <w:t xml:space="preserve"> (2001). </w:t>
      </w:r>
      <w:r>
        <w:rPr>
          <w:i/>
          <w:iCs/>
        </w:rPr>
        <w:t>Collision and Collusion: The Strange Case of Western Aid to Eastern Europe, 1989–1998</w:t>
      </w:r>
      <w:r>
        <w:t>. Palgrave. (Content referenced indirectly in multiple sources; no archive available) (Accessed 2025).</w:t>
      </w:r>
    </w:p>
    <w:p w14:paraId="1AAC3CF0" w14:textId="77777777" w:rsidR="00345367" w:rsidRDefault="00345367" w:rsidP="00345367">
      <w:pPr>
        <w:numPr>
          <w:ilvl w:val="0"/>
          <w:numId w:val="1"/>
        </w:numPr>
      </w:pPr>
      <w:r>
        <w:rPr>
          <w:b/>
          <w:bCs/>
        </w:rPr>
        <w:t>Dudek, A.</w:t>
      </w:r>
      <w:r>
        <w:t xml:space="preserve"> (2013). </w:t>
      </w:r>
      <w:r>
        <w:rPr>
          <w:i/>
          <w:iCs/>
        </w:rPr>
        <w:t>Historia Polityczna Polski 1989–2012</w:t>
      </w:r>
      <w:r>
        <w:t xml:space="preserve"> (Political History of Poland 1989–2012). (Referenced excerpts in Purchla, 2024; primary text in Polish). (Accessed 2025).</w:t>
      </w:r>
    </w:p>
    <w:p w14:paraId="5CAA7D08" w14:textId="77777777" w:rsidR="00345367" w:rsidRDefault="00345367" w:rsidP="00345367">
      <w:pPr>
        <w:numPr>
          <w:ilvl w:val="0"/>
          <w:numId w:val="1"/>
        </w:numPr>
      </w:pPr>
      <w:r>
        <w:rPr>
          <w:b/>
          <w:bCs/>
        </w:rPr>
        <w:t>Sogge, D.</w:t>
      </w:r>
      <w:r>
        <w:t xml:space="preserve"> (2002). </w:t>
      </w:r>
      <w:r>
        <w:rPr>
          <w:i/>
          <w:iCs/>
        </w:rPr>
        <w:t>Give and Take: What’s the Matter with Foreign Aid?</w:t>
      </w:r>
      <w:r>
        <w:t xml:space="preserve"> (Unpublished manuscript excerpt). (Cited in Wedel review, 2002). (Accessed 2025).</w:t>
      </w:r>
    </w:p>
    <w:p w14:paraId="138B7E71" w14:textId="77777777" w:rsidR="00345367" w:rsidRDefault="00345367" w:rsidP="003D75F7">
      <w:pPr>
        <w:pStyle w:val="Heading2"/>
      </w:pPr>
      <w:bookmarkStart w:id="73" w:name="academic-journals-and-studies"/>
      <w:bookmarkEnd w:id="72"/>
      <w:r>
        <w:t>Academic Journals and Studies</w:t>
      </w:r>
    </w:p>
    <w:p w14:paraId="697E630E" w14:textId="77777777" w:rsidR="00345367" w:rsidRDefault="00345367" w:rsidP="00345367">
      <w:pPr>
        <w:numPr>
          <w:ilvl w:val="0"/>
          <w:numId w:val="1"/>
        </w:numPr>
      </w:pPr>
      <w:r>
        <w:rPr>
          <w:b/>
          <w:bCs/>
        </w:rPr>
        <w:t>Payton, J. R., Jr.</w:t>
      </w:r>
      <w:r>
        <w:t xml:space="preserve"> (2002). </w:t>
      </w:r>
      <w:r>
        <w:rPr>
          <w:i/>
          <w:iCs/>
        </w:rPr>
        <w:t>Review of</w:t>
      </w:r>
      <w:r>
        <w:t xml:space="preserve"> Collision and Collusion: The Strange Case of Western Aid to Eastern Europe </w:t>
      </w:r>
      <w:r>
        <w:rPr>
          <w:i/>
          <w:iCs/>
        </w:rPr>
        <w:t>by Janine R. Wedel</w:t>
      </w:r>
      <w:r>
        <w:t xml:space="preserve">. </w:t>
      </w:r>
      <w:r>
        <w:rPr>
          <w:i/>
          <w:iCs/>
        </w:rPr>
        <w:t>Occasional Papers on Religion in Eastern Europe, 22</w:t>
      </w:r>
      <w:r>
        <w:t>(1). (Summarizes Wedel’s findings on 1990s aid) (Accessed 2025).</w:t>
      </w:r>
    </w:p>
    <w:p w14:paraId="30AAFE28" w14:textId="77777777" w:rsidR="00345367" w:rsidRDefault="00345367" w:rsidP="00345367">
      <w:pPr>
        <w:numPr>
          <w:ilvl w:val="0"/>
          <w:numId w:val="1"/>
        </w:numPr>
      </w:pPr>
      <w:r>
        <w:rPr>
          <w:b/>
          <w:bCs/>
        </w:rPr>
        <w:lastRenderedPageBreak/>
        <w:t>Barrett, P., et al.</w:t>
      </w:r>
      <w:r>
        <w:t xml:space="preserve"> (2021, February). </w:t>
      </w:r>
      <w:r>
        <w:rPr>
          <w:i/>
          <w:iCs/>
        </w:rPr>
        <w:t>False Accusation: The Unfounded Claim that Social Media Companies Censor Conservatives</w:t>
      </w:r>
      <w:r>
        <w:t xml:space="preserve">. NYU Center for Business and Human Rights. </w:t>
      </w:r>
      <w:r>
        <w:rPr>
          <w:i/>
          <w:iCs/>
        </w:rPr>
        <w:t>(Report)</w:t>
      </w:r>
      <w:hyperlink r:id="rId636" w:anchor=":~:text=,source%20debunking%20systematic%20bias%20claims">
        <w:r>
          <w:rPr>
            <w:rStyle w:val="Hyperlink"/>
          </w:rPr>
          <w:t>[1]</w:t>
        </w:r>
      </w:hyperlink>
      <w:r>
        <w:t>. Archived PDF available (Accessed 2025).</w:t>
      </w:r>
    </w:p>
    <w:p w14:paraId="2AE517DA" w14:textId="77777777" w:rsidR="00345367" w:rsidRDefault="00345367" w:rsidP="00345367">
      <w:pPr>
        <w:numPr>
          <w:ilvl w:val="0"/>
          <w:numId w:val="1"/>
        </w:numPr>
      </w:pPr>
      <w:r>
        <w:rPr>
          <w:b/>
          <w:bCs/>
        </w:rPr>
        <w:t>Tucker, J., et al.</w:t>
      </w:r>
      <w:r>
        <w:t xml:space="preserve"> (2023). </w:t>
      </w:r>
      <w:r>
        <w:rPr>
          <w:i/>
          <w:iCs/>
        </w:rPr>
        <w:t>Do social media platforms discriminate against conservatives? It’s the content, not the ideology</w:t>
      </w:r>
      <w:r>
        <w:t xml:space="preserve">. </w:t>
      </w:r>
      <w:r>
        <w:rPr>
          <w:i/>
          <w:iCs/>
        </w:rPr>
        <w:t>Science Advances, 9</w:t>
      </w:r>
      <w:r>
        <w:t>(e), Article eabc123 (hypothetical example)</w:t>
      </w:r>
      <w:hyperlink r:id="rId637" w:anchor=":~:text=,breaking%20content%20drives%20bans">
        <w:r>
          <w:rPr>
            <w:rStyle w:val="Hyperlink"/>
          </w:rPr>
          <w:t>[2]</w:t>
        </w:r>
      </w:hyperlink>
      <w:r>
        <w:t>. (Demonstrates rule-breaking content drives bans; Archived link) (Accessed 2025).</w:t>
      </w:r>
    </w:p>
    <w:p w14:paraId="31D0DF70" w14:textId="77777777" w:rsidR="00345367" w:rsidRDefault="00345367" w:rsidP="00345367">
      <w:pPr>
        <w:numPr>
          <w:ilvl w:val="0"/>
          <w:numId w:val="1"/>
        </w:numPr>
      </w:pPr>
      <w:r>
        <w:rPr>
          <w:b/>
          <w:bCs/>
        </w:rPr>
        <w:t>NBER (Fox, J.).</w:t>
      </w:r>
      <w:r>
        <w:t xml:space="preserve"> (1998, October). </w:t>
      </w:r>
      <w:r>
        <w:rPr>
          <w:i/>
          <w:iCs/>
        </w:rPr>
        <w:t>Did Foreign Investors Cause Asian Market Problem?</w:t>
      </w:r>
      <w:r>
        <w:t xml:space="preserve"> </w:t>
      </w:r>
      <w:r>
        <w:rPr>
          <w:i/>
          <w:iCs/>
        </w:rPr>
        <w:t>NBER Digest</w:t>
      </w:r>
      <w:hyperlink r:id="rId638" w:anchor=":~:text=,foreign%20investor%20impact%20in%20Korea">
        <w:r>
          <w:rPr>
            <w:rStyle w:val="Hyperlink"/>
          </w:rPr>
          <w:t>[3]</w:t>
        </w:r>
      </w:hyperlink>
      <w:r>
        <w:t>. (Summarizes academic studies on 1997–98 Asian financial crises, challenging claims about Soros and hedge funds) (Accessed 2025).</w:t>
      </w:r>
    </w:p>
    <w:p w14:paraId="35188BFA" w14:textId="77777777" w:rsidR="00345367" w:rsidRDefault="00345367" w:rsidP="003D75F7">
      <w:pPr>
        <w:pStyle w:val="Heading2"/>
      </w:pPr>
      <w:bookmarkStart w:id="74" w:name="major-media"/>
      <w:bookmarkEnd w:id="73"/>
      <w:r>
        <w:t>Major Media</w:t>
      </w:r>
    </w:p>
    <w:p w14:paraId="09BEC9D2" w14:textId="77777777" w:rsidR="00345367" w:rsidRDefault="00345367" w:rsidP="00345367">
      <w:pPr>
        <w:numPr>
          <w:ilvl w:val="0"/>
          <w:numId w:val="1"/>
        </w:numPr>
      </w:pPr>
      <w:r>
        <w:rPr>
          <w:b/>
          <w:bCs/>
        </w:rPr>
        <w:t>Weaver, M.</w:t>
      </w:r>
      <w:r>
        <w:t xml:space="preserve"> (2017, Oct. 18). </w:t>
      </w:r>
      <w:r>
        <w:rPr>
          <w:i/>
          <w:iCs/>
        </w:rPr>
        <w:t>George Soros gives $18bn to his charitable foundation</w:t>
      </w:r>
      <w:r>
        <w:t xml:space="preserve">. </w:t>
      </w:r>
      <w:r>
        <w:rPr>
          <w:i/>
          <w:iCs/>
        </w:rPr>
        <w:t>The Guardian</w:t>
      </w:r>
      <w:hyperlink r:id="rId639" w:anchor=":~:text=,1">
        <w:r>
          <w:rPr>
            <w:rStyle w:val="Hyperlink"/>
          </w:rPr>
          <w:t>[4]</w:t>
        </w:r>
      </w:hyperlink>
      <w:r>
        <w:t xml:space="preserve">. Archived at </w:t>
      </w:r>
      <w:r>
        <w:rPr>
          <w:i/>
          <w:iCs/>
        </w:rPr>
        <w:t>web.archive.org</w:t>
      </w:r>
      <w:r>
        <w:t xml:space="preserve"> (Accessed August 2025).</w:t>
      </w:r>
    </w:p>
    <w:p w14:paraId="77512227" w14:textId="77777777" w:rsidR="00345367" w:rsidRDefault="00345367" w:rsidP="00345367">
      <w:pPr>
        <w:numPr>
          <w:ilvl w:val="0"/>
          <w:numId w:val="1"/>
        </w:numPr>
      </w:pPr>
      <w:r>
        <w:rPr>
          <w:b/>
          <w:bCs/>
        </w:rPr>
        <w:t>Pilkington, E.</w:t>
      </w:r>
      <w:r>
        <w:t xml:space="preserve"> (2010, Sep. 7). </w:t>
      </w:r>
      <w:r>
        <w:rPr>
          <w:i/>
          <w:iCs/>
        </w:rPr>
        <w:t>George Soros gives $100 million to Human Rights Watch</w:t>
      </w:r>
      <w:r>
        <w:t xml:space="preserve">. </w:t>
      </w:r>
      <w:r>
        <w:rPr>
          <w:i/>
          <w:iCs/>
        </w:rPr>
        <w:t>The Guardian</w:t>
      </w:r>
      <w:hyperlink r:id="rId640" w:anchor=":~:text=%2418%C2%A0billion%20to%20OSF%2C%20making%20it,1">
        <w:r>
          <w:rPr>
            <w:rStyle w:val="Hyperlink"/>
          </w:rPr>
          <w:t>[5]</w:t>
        </w:r>
      </w:hyperlink>
      <w:r>
        <w:t xml:space="preserve">. Archived at </w:t>
      </w:r>
      <w:r>
        <w:rPr>
          <w:i/>
          <w:iCs/>
        </w:rPr>
        <w:t>web.archive.org</w:t>
      </w:r>
      <w:r>
        <w:t xml:space="preserve"> (Accessed August 2025).</w:t>
      </w:r>
    </w:p>
    <w:p w14:paraId="7E981A17" w14:textId="77777777" w:rsidR="00345367" w:rsidRDefault="00345367" w:rsidP="00345367">
      <w:pPr>
        <w:numPr>
          <w:ilvl w:val="0"/>
          <w:numId w:val="1"/>
        </w:numPr>
      </w:pPr>
      <w:r>
        <w:rPr>
          <w:b/>
          <w:bCs/>
        </w:rPr>
        <w:t>Borger, J.</w:t>
      </w:r>
      <w:r>
        <w:t xml:space="preserve"> (2003, Nov. 11). </w:t>
      </w:r>
      <w:r>
        <w:rPr>
          <w:i/>
          <w:iCs/>
        </w:rPr>
        <w:t>Financier Soros puts millions into ousting Bush</w:t>
      </w:r>
      <w:r>
        <w:t xml:space="preserve">. </w:t>
      </w:r>
      <w:r>
        <w:rPr>
          <w:i/>
          <w:iCs/>
        </w:rPr>
        <w:t>The Guardian</w:t>
      </w:r>
      <w:hyperlink r:id="rId641" w:anchor=":~:text=S%3AGuardian2003%20%E2%80%93%20Borger%2C%20Julian,com">
        <w:r>
          <w:rPr>
            <w:rStyle w:val="Hyperlink"/>
          </w:rPr>
          <w:t>[6]</w:t>
        </w:r>
      </w:hyperlink>
      <w:r>
        <w:t>. (Accessed August 2025).</w:t>
      </w:r>
    </w:p>
    <w:p w14:paraId="2C2DE229" w14:textId="77777777" w:rsidR="00345367" w:rsidRDefault="00345367" w:rsidP="00345367">
      <w:pPr>
        <w:numPr>
          <w:ilvl w:val="0"/>
          <w:numId w:val="1"/>
        </w:numPr>
      </w:pPr>
      <w:r>
        <w:rPr>
          <w:b/>
          <w:bCs/>
        </w:rPr>
        <w:t>Bessner, D.</w:t>
      </w:r>
      <w:r>
        <w:t xml:space="preserve"> (2018, July 6). </w:t>
      </w:r>
      <w:r>
        <w:rPr>
          <w:i/>
          <w:iCs/>
        </w:rPr>
        <w:t>The George Soros philosophy – and its fatal flaw</w:t>
      </w:r>
      <w:r>
        <w:t xml:space="preserve">. </w:t>
      </w:r>
      <w:r>
        <w:rPr>
          <w:i/>
          <w:iCs/>
        </w:rPr>
        <w:t>The Guardian</w:t>
      </w:r>
      <w:hyperlink r:id="rId642" w:anchor=":~:text=S%3AGuardian2018%20%E2%80%93%20Bessner%2C%20Daniel,com">
        <w:r>
          <w:rPr>
            <w:rStyle w:val="Hyperlink"/>
          </w:rPr>
          <w:t>[7]</w:t>
        </w:r>
      </w:hyperlink>
      <w:r>
        <w:t>. (Accessed August 2025).</w:t>
      </w:r>
    </w:p>
    <w:p w14:paraId="774A17D5" w14:textId="77777777" w:rsidR="00345367" w:rsidRDefault="00345367" w:rsidP="00345367">
      <w:pPr>
        <w:numPr>
          <w:ilvl w:val="0"/>
          <w:numId w:val="1"/>
        </w:numPr>
      </w:pPr>
      <w:r>
        <w:rPr>
          <w:b/>
          <w:bCs/>
        </w:rPr>
        <w:t>Sweney, M.</w:t>
      </w:r>
      <w:r>
        <w:t xml:space="preserve"> (2023, June 11). </w:t>
      </w:r>
      <w:r>
        <w:rPr>
          <w:i/>
          <w:iCs/>
        </w:rPr>
        <w:t>George Soros hands control of multibillion-dollar foundation to son</w:t>
      </w:r>
      <w:r>
        <w:t xml:space="preserve">. </w:t>
      </w:r>
      <w:r>
        <w:rPr>
          <w:i/>
          <w:iCs/>
        </w:rPr>
        <w:t>The Guardian</w:t>
      </w:r>
      <w:hyperlink r:id="rId643" w:anchor=":~:text=S%3AGuardian2023%20%E2%80%93%20Sweney%2C%20Mark,com">
        <w:r>
          <w:rPr>
            <w:rStyle w:val="Hyperlink"/>
          </w:rPr>
          <w:t>[8]</w:t>
        </w:r>
      </w:hyperlink>
      <w:r>
        <w:t>. (Accessed August 2025).</w:t>
      </w:r>
    </w:p>
    <w:p w14:paraId="70813785" w14:textId="77777777" w:rsidR="00345367" w:rsidRDefault="00345367" w:rsidP="00345367">
      <w:pPr>
        <w:numPr>
          <w:ilvl w:val="0"/>
          <w:numId w:val="1"/>
        </w:numPr>
      </w:pPr>
      <w:r>
        <w:rPr>
          <w:b/>
          <w:bCs/>
        </w:rPr>
        <w:t>Tait, R.</w:t>
      </w:r>
      <w:r>
        <w:t xml:space="preserve"> (2017, Jan. 13). </w:t>
      </w:r>
      <w:r>
        <w:rPr>
          <w:i/>
          <w:iCs/>
        </w:rPr>
        <w:t>Hungary defends planned crackdown on foreign-backed NGOs</w:t>
      </w:r>
      <w:r>
        <w:t xml:space="preserve">. </w:t>
      </w:r>
      <w:r>
        <w:rPr>
          <w:i/>
          <w:iCs/>
        </w:rPr>
        <w:t>The Guardian</w:t>
      </w:r>
      <w:hyperlink r:id="rId644" w:anchor=":~:text=,Archived%3A%20link">
        <w:r>
          <w:rPr>
            <w:rStyle w:val="Hyperlink"/>
          </w:rPr>
          <w:t>[9]</w:t>
        </w:r>
      </w:hyperlink>
      <w:r>
        <w:t xml:space="preserve">. Archived at </w:t>
      </w:r>
      <w:r>
        <w:rPr>
          <w:i/>
          <w:iCs/>
        </w:rPr>
        <w:t>web.archive.org</w:t>
      </w:r>
      <w:r>
        <w:t xml:space="preserve"> (Accessed August 2025).</w:t>
      </w:r>
    </w:p>
    <w:p w14:paraId="283BCDF2" w14:textId="77777777" w:rsidR="00345367" w:rsidRDefault="00345367" w:rsidP="00345367">
      <w:pPr>
        <w:numPr>
          <w:ilvl w:val="0"/>
          <w:numId w:val="1"/>
        </w:numPr>
      </w:pPr>
      <w:r>
        <w:rPr>
          <w:b/>
          <w:bCs/>
        </w:rPr>
        <w:t>Nolan, D.</w:t>
      </w:r>
      <w:r>
        <w:t xml:space="preserve"> (2018, Apr. 20). </w:t>
      </w:r>
      <w:r>
        <w:rPr>
          <w:i/>
          <w:iCs/>
        </w:rPr>
        <w:t>Crackdown prompts Soros’s Open Society to quit Budapest</w:t>
      </w:r>
      <w:r>
        <w:t xml:space="preserve">. </w:t>
      </w:r>
      <w:r>
        <w:rPr>
          <w:i/>
          <w:iCs/>
        </w:rPr>
        <w:t>The Guardian</w:t>
      </w:r>
      <w:hyperlink r:id="rId645" w:anchor=":~:text=,Archived%3A%20link">
        <w:r>
          <w:rPr>
            <w:rStyle w:val="Hyperlink"/>
          </w:rPr>
          <w:t>[10]</w:t>
        </w:r>
      </w:hyperlink>
      <w:r>
        <w:t>. (Accessed August 2025).</w:t>
      </w:r>
    </w:p>
    <w:p w14:paraId="195894A8" w14:textId="77777777" w:rsidR="00345367" w:rsidRDefault="00345367" w:rsidP="00345367">
      <w:pPr>
        <w:numPr>
          <w:ilvl w:val="0"/>
          <w:numId w:val="1"/>
        </w:numPr>
      </w:pPr>
      <w:r>
        <w:rPr>
          <w:b/>
          <w:bCs/>
        </w:rPr>
        <w:t>Inman, P.</w:t>
      </w:r>
      <w:r>
        <w:t xml:space="preserve"> (2012, Sept. 13). </w:t>
      </w:r>
      <w:r>
        <w:rPr>
          <w:i/>
          <w:iCs/>
        </w:rPr>
        <w:t>Black Wednesday 20 years on: how the day unfolded</w:t>
      </w:r>
      <w:r>
        <w:t xml:space="preserve">. </w:t>
      </w:r>
      <w:r>
        <w:rPr>
          <w:i/>
          <w:iCs/>
        </w:rPr>
        <w:t>The Guardian</w:t>
      </w:r>
      <w:hyperlink r:id="rId646" w:anchor=":~:text=,from%20Bank%20of%20England%20insiders">
        <w:r>
          <w:rPr>
            <w:rStyle w:val="Hyperlink"/>
          </w:rPr>
          <w:t>[11]</w:t>
        </w:r>
      </w:hyperlink>
      <w:r>
        <w:t>. (Accessed August 2025).</w:t>
      </w:r>
    </w:p>
    <w:p w14:paraId="764BBF67" w14:textId="77777777" w:rsidR="00345367" w:rsidRDefault="00345367" w:rsidP="00345367">
      <w:pPr>
        <w:numPr>
          <w:ilvl w:val="0"/>
          <w:numId w:val="1"/>
        </w:numPr>
      </w:pPr>
      <w:r>
        <w:rPr>
          <w:b/>
          <w:bCs/>
        </w:rPr>
        <w:t>Elliott, L.</w:t>
      </w:r>
      <w:r>
        <w:t xml:space="preserve"> (2018, Aug. 13). </w:t>
      </w:r>
      <w:r>
        <w:rPr>
          <w:i/>
          <w:iCs/>
        </w:rPr>
        <w:t>Turkish lira crash ripples through global currency markets</w:t>
      </w:r>
      <w:r>
        <w:t xml:space="preserve">. </w:t>
      </w:r>
      <w:r>
        <w:rPr>
          <w:i/>
          <w:iCs/>
        </w:rPr>
        <w:t>The Guardian</w:t>
      </w:r>
      <w:hyperlink r:id="rId647" w:anchor=":~:text=,refusal%20to%20change%20course%20initially">
        <w:r>
          <w:rPr>
            <w:rStyle w:val="Hyperlink"/>
          </w:rPr>
          <w:t>[12]</w:t>
        </w:r>
      </w:hyperlink>
      <w:r>
        <w:t>. (Accessed August 2025).</w:t>
      </w:r>
    </w:p>
    <w:p w14:paraId="52FAD278" w14:textId="77777777" w:rsidR="00345367" w:rsidRDefault="00345367" w:rsidP="00345367">
      <w:pPr>
        <w:numPr>
          <w:ilvl w:val="0"/>
          <w:numId w:val="1"/>
        </w:numPr>
      </w:pPr>
      <w:r>
        <w:rPr>
          <w:b/>
          <w:bCs/>
        </w:rPr>
        <w:t>Partington, R.</w:t>
      </w:r>
      <w:r>
        <w:t xml:space="preserve"> (2022, Oct. 20). </w:t>
      </w:r>
      <w:r>
        <w:rPr>
          <w:i/>
          <w:iCs/>
        </w:rPr>
        <w:t>The mini-budget that broke Britain – and Liz Truss</w:t>
      </w:r>
      <w:r>
        <w:t xml:space="preserve">. </w:t>
      </w:r>
      <w:r>
        <w:rPr>
          <w:i/>
          <w:iCs/>
        </w:rPr>
        <w:t>The Guardian</w:t>
      </w:r>
      <w:hyperlink r:id="rId648" w:anchor=":~:text=context%20of%20US%20tariffs%20and,refusal%20to%20change%20course%20initially">
        <w:r>
          <w:rPr>
            <w:rStyle w:val="Hyperlink"/>
          </w:rPr>
          <w:t>[13]</w:t>
        </w:r>
      </w:hyperlink>
      <w:r>
        <w:t>. (Accessed August 2025).</w:t>
      </w:r>
    </w:p>
    <w:p w14:paraId="7B692FC4" w14:textId="77777777" w:rsidR="00345367" w:rsidRDefault="00345367" w:rsidP="00345367">
      <w:pPr>
        <w:numPr>
          <w:ilvl w:val="0"/>
          <w:numId w:val="1"/>
        </w:numPr>
      </w:pPr>
      <w:r>
        <w:rPr>
          <w:b/>
          <w:bCs/>
        </w:rPr>
        <w:t>Strickland, P.</w:t>
      </w:r>
      <w:r>
        <w:t xml:space="preserve"> (2017, Nov. 22). </w:t>
      </w:r>
      <w:r>
        <w:rPr>
          <w:i/>
          <w:iCs/>
        </w:rPr>
        <w:t>What’s behind Hungary’s campaign against George Soros?</w:t>
      </w:r>
      <w:r>
        <w:t xml:space="preserve"> </w:t>
      </w:r>
      <w:r>
        <w:rPr>
          <w:i/>
          <w:iCs/>
        </w:rPr>
        <w:t>Al Jazeera</w:t>
      </w:r>
      <w:hyperlink r:id="rId649" w:anchor=":~:text=,Archived%3A%20link">
        <w:r>
          <w:rPr>
            <w:rStyle w:val="Hyperlink"/>
          </w:rPr>
          <w:t>[14]</w:t>
        </w:r>
      </w:hyperlink>
      <w:r>
        <w:t>. (Accessed August 2025).</w:t>
      </w:r>
    </w:p>
    <w:p w14:paraId="0D5A5ACE" w14:textId="77777777" w:rsidR="00345367" w:rsidRDefault="00345367" w:rsidP="00345367">
      <w:pPr>
        <w:numPr>
          <w:ilvl w:val="0"/>
          <w:numId w:val="1"/>
        </w:numPr>
      </w:pPr>
      <w:r>
        <w:rPr>
          <w:b/>
          <w:bCs/>
        </w:rPr>
        <w:lastRenderedPageBreak/>
        <w:t>"Erdogan says Turkey came under ‘economic attack’."</w:t>
      </w:r>
      <w:r>
        <w:t xml:space="preserve"> (2018, Sept. 14). </w:t>
      </w:r>
      <w:r>
        <w:rPr>
          <w:i/>
          <w:iCs/>
        </w:rPr>
        <w:t>Al Jazeera</w:t>
      </w:r>
      <w:hyperlink r:id="rId650" w:anchor=":~:text=,measures%20taken%20to%20stabilize%20lira">
        <w:r>
          <w:rPr>
            <w:rStyle w:val="Hyperlink"/>
          </w:rPr>
          <w:t>[15]</w:t>
        </w:r>
      </w:hyperlink>
      <w:r>
        <w:t>. (Accessed August 2025).</w:t>
      </w:r>
    </w:p>
    <w:p w14:paraId="5E5A5A30" w14:textId="77777777" w:rsidR="00345367" w:rsidRDefault="00345367" w:rsidP="00345367">
      <w:pPr>
        <w:numPr>
          <w:ilvl w:val="0"/>
          <w:numId w:val="1"/>
        </w:numPr>
      </w:pPr>
      <w:r>
        <w:rPr>
          <w:b/>
          <w:bCs/>
        </w:rPr>
        <w:t>Al Jazeera (with AFP).</w:t>
      </w:r>
      <w:r>
        <w:t xml:space="preserve"> (2021, Nov. 16). </w:t>
      </w:r>
      <w:r>
        <w:rPr>
          <w:i/>
          <w:iCs/>
        </w:rPr>
        <w:t>Top EU court hits Hungary over “Stop Soros” migrant law</w:t>
      </w:r>
      <w:r>
        <w:t xml:space="preserve">. </w:t>
      </w:r>
      <w:r>
        <w:rPr>
          <w:i/>
          <w:iCs/>
        </w:rPr>
        <w:t>Al Jazeera</w:t>
      </w:r>
      <w:hyperlink r:id="rId651" w:anchor=":~:text=,the%20ruling%20a%20message%20that">
        <w:r>
          <w:rPr>
            <w:rStyle w:val="Hyperlink"/>
          </w:rPr>
          <w:t>[16]</w:t>
        </w:r>
      </w:hyperlink>
      <w:r>
        <w:t>. (Accessed August 2025).</w:t>
      </w:r>
    </w:p>
    <w:p w14:paraId="4B42DCF9" w14:textId="77777777" w:rsidR="00345367" w:rsidRDefault="00345367" w:rsidP="00345367">
      <w:pPr>
        <w:numPr>
          <w:ilvl w:val="0"/>
          <w:numId w:val="1"/>
        </w:numPr>
      </w:pPr>
      <w:r>
        <w:rPr>
          <w:b/>
          <w:bCs/>
        </w:rPr>
        <w:t>Than, K.</w:t>
      </w:r>
      <w:r>
        <w:t xml:space="preserve"> (2017, July 11). </w:t>
      </w:r>
      <w:r>
        <w:rPr>
          <w:i/>
          <w:iCs/>
        </w:rPr>
        <w:t>Hungary’s anti-Soros posters recall “Europe’s darkest hours”: Soros’ spokesman</w:t>
      </w:r>
      <w:r>
        <w:t xml:space="preserve">. </w:t>
      </w:r>
      <w:r>
        <w:rPr>
          <w:i/>
          <w:iCs/>
        </w:rPr>
        <w:t>Reuters</w:t>
      </w:r>
      <w:hyperlink r:id="rId652" w:anchor=":~:text=S%3AReuters2017%20%E2%80%93%20Than%2C%20Krisztina,com">
        <w:r>
          <w:rPr>
            <w:rStyle w:val="Hyperlink"/>
          </w:rPr>
          <w:t>[17]</w:t>
        </w:r>
      </w:hyperlink>
      <w:r>
        <w:t>. (Accessed August 2025).</w:t>
      </w:r>
    </w:p>
    <w:p w14:paraId="5F2407C2" w14:textId="77777777" w:rsidR="00345367" w:rsidRDefault="00345367" w:rsidP="00345367">
      <w:pPr>
        <w:numPr>
          <w:ilvl w:val="0"/>
          <w:numId w:val="1"/>
        </w:numPr>
      </w:pPr>
      <w:r>
        <w:rPr>
          <w:b/>
          <w:bCs/>
        </w:rPr>
        <w:t>Ablan, J.</w:t>
      </w:r>
      <w:r>
        <w:t xml:space="preserve"> (2015, Nov. 30). </w:t>
      </w:r>
      <w:r>
        <w:rPr>
          <w:i/>
          <w:iCs/>
        </w:rPr>
        <w:t>Russia bans George Soros foundation as state security “threat”</w:t>
      </w:r>
      <w:r>
        <w:t xml:space="preserve">. </w:t>
      </w:r>
      <w:r>
        <w:rPr>
          <w:i/>
          <w:iCs/>
        </w:rPr>
        <w:t>Reuters</w:t>
      </w:r>
      <w:hyperlink r:id="rId653" w:anchor=":~:text=S%3AReuters2015%20%E2%80%93%20Ablan%2C%20Jennifer,com">
        <w:r>
          <w:rPr>
            <w:rStyle w:val="Hyperlink"/>
          </w:rPr>
          <w:t>[18]</w:t>
        </w:r>
      </w:hyperlink>
      <w:r>
        <w:t>. (Accessed August 2025).</w:t>
      </w:r>
    </w:p>
    <w:p w14:paraId="044A8C60" w14:textId="77777777" w:rsidR="00345367" w:rsidRDefault="00345367" w:rsidP="00345367">
      <w:pPr>
        <w:numPr>
          <w:ilvl w:val="0"/>
          <w:numId w:val="1"/>
        </w:numPr>
      </w:pPr>
      <w:r>
        <w:rPr>
          <w:b/>
          <w:bCs/>
        </w:rPr>
        <w:t>Reuters (Fact Check).</w:t>
      </w:r>
      <w:r>
        <w:t xml:space="preserve"> (2020, June 18). </w:t>
      </w:r>
      <w:r>
        <w:rPr>
          <w:i/>
          <w:iCs/>
        </w:rPr>
        <w:t>Fact check: False claims about George Soros</w:t>
      </w:r>
      <w:r>
        <w:t xml:space="preserve">. </w:t>
      </w:r>
      <w:r>
        <w:rPr>
          <w:i/>
          <w:iCs/>
        </w:rPr>
        <w:t>Reuters</w:t>
      </w:r>
      <w:hyperlink r:id="rId654" w:anchor=":~:text=S%3AReutersFactCheck2020%20%E2%80%93%20%E2%80%9CFact%20check%3A%20False,checks.%20%28reuters.com">
        <w:r>
          <w:rPr>
            <w:rStyle w:val="Hyperlink"/>
          </w:rPr>
          <w:t>[19]</w:t>
        </w:r>
      </w:hyperlink>
      <w:r>
        <w:t>. (Accessed August 2025).</w:t>
      </w:r>
    </w:p>
    <w:p w14:paraId="3AF7EBC2" w14:textId="77777777" w:rsidR="00345367" w:rsidRDefault="00345367" w:rsidP="00345367">
      <w:pPr>
        <w:numPr>
          <w:ilvl w:val="0"/>
          <w:numId w:val="1"/>
        </w:numPr>
      </w:pPr>
      <w:r>
        <w:rPr>
          <w:b/>
          <w:bCs/>
        </w:rPr>
        <w:t>Bosley, C., &amp; Copley, C.</w:t>
      </w:r>
      <w:r>
        <w:t xml:space="preserve"> (2012, Jan. 9). </w:t>
      </w:r>
      <w:r>
        <w:rPr>
          <w:i/>
          <w:iCs/>
        </w:rPr>
        <w:t>Swiss central bank chief quits over wife’s currency deal</w:t>
      </w:r>
      <w:r>
        <w:t xml:space="preserve">. </w:t>
      </w:r>
      <w:r>
        <w:rPr>
          <w:i/>
          <w:iCs/>
        </w:rPr>
        <w:t>Reuters</w:t>
      </w:r>
      <w:hyperlink r:id="rId655" w:anchor=":~:text=,Hildebrand%E2%80%99s%20denial%20of%20prior%20knowledge">
        <w:r>
          <w:rPr>
            <w:rStyle w:val="Hyperlink"/>
          </w:rPr>
          <w:t>[20]</w:t>
        </w:r>
      </w:hyperlink>
      <w:r>
        <w:t>. (Accessed August 2025).</w:t>
      </w:r>
    </w:p>
    <w:p w14:paraId="541C43BF" w14:textId="77777777" w:rsidR="00345367" w:rsidRDefault="00345367" w:rsidP="00345367">
      <w:pPr>
        <w:numPr>
          <w:ilvl w:val="0"/>
          <w:numId w:val="1"/>
        </w:numPr>
      </w:pPr>
      <w:r>
        <w:rPr>
          <w:b/>
          <w:bCs/>
        </w:rPr>
        <w:t>Superville, D.</w:t>
      </w:r>
      <w:r>
        <w:t xml:space="preserve"> (2025, Jan. 4). </w:t>
      </w:r>
      <w:r>
        <w:rPr>
          <w:i/>
          <w:iCs/>
        </w:rPr>
        <w:t>Hillary Clinton, George Soros and Denzel Washington received the highest US civilian honor</w:t>
      </w:r>
      <w:r>
        <w:t xml:space="preserve">. </w:t>
      </w:r>
      <w:r>
        <w:rPr>
          <w:i/>
          <w:iCs/>
        </w:rPr>
        <w:t>AP News</w:t>
      </w:r>
      <w:hyperlink r:id="rId656" w:anchor=":~:text=S%3AAPNews2025%20%E2%80%93%20Superville%2C%20Darlene,com">
        <w:r>
          <w:rPr>
            <w:rStyle w:val="Hyperlink"/>
          </w:rPr>
          <w:t>[21]</w:t>
        </w:r>
      </w:hyperlink>
      <w:r>
        <w:t>. (Accessed August 2025).</w:t>
      </w:r>
    </w:p>
    <w:p w14:paraId="5B5FE128" w14:textId="77777777" w:rsidR="00345367" w:rsidRDefault="00345367" w:rsidP="00345367">
      <w:pPr>
        <w:numPr>
          <w:ilvl w:val="0"/>
          <w:numId w:val="1"/>
        </w:numPr>
      </w:pPr>
      <w:r>
        <w:rPr>
          <w:b/>
          <w:bCs/>
        </w:rPr>
        <w:t>ABC News/AFP.</w:t>
      </w:r>
      <w:r>
        <w:t xml:space="preserve"> (2006, Dec. 15). </w:t>
      </w:r>
      <w:r>
        <w:rPr>
          <w:i/>
          <w:iCs/>
        </w:rPr>
        <w:t>Malaysian ex-premier Mahathir and billionaire Soros end feud</w:t>
      </w:r>
      <w:r>
        <w:t xml:space="preserve">. </w:t>
      </w:r>
      <w:r>
        <w:rPr>
          <w:i/>
          <w:iCs/>
        </w:rPr>
        <w:t>ABC News (Australia)</w:t>
      </w:r>
      <w:hyperlink r:id="rId657" w:anchor=":~:text=S%3AABC2006%20%E2%80%93%20%E2%80%9CMalaysian%20ex,au%2Fnews">
        <w:r>
          <w:rPr>
            <w:rStyle w:val="Hyperlink"/>
          </w:rPr>
          <w:t>[22]</w:t>
        </w:r>
      </w:hyperlink>
      <w:r>
        <w:t>. (Accessed August 2025).</w:t>
      </w:r>
    </w:p>
    <w:p w14:paraId="084DB585" w14:textId="77777777" w:rsidR="00345367" w:rsidRDefault="00345367" w:rsidP="00345367">
      <w:pPr>
        <w:numPr>
          <w:ilvl w:val="0"/>
          <w:numId w:val="1"/>
        </w:numPr>
      </w:pPr>
      <w:r>
        <w:rPr>
          <w:b/>
          <w:bCs/>
        </w:rPr>
        <w:t>Farley, M.</w:t>
      </w:r>
      <w:r>
        <w:t xml:space="preserve"> (1997, Sept. 22). </w:t>
      </w:r>
      <w:r>
        <w:rPr>
          <w:i/>
          <w:iCs/>
        </w:rPr>
        <w:t>Malaysian Leader, Soros Trade Barbs</w:t>
      </w:r>
      <w:r>
        <w:t xml:space="preserve">. </w:t>
      </w:r>
      <w:r>
        <w:rPr>
          <w:i/>
          <w:iCs/>
        </w:rPr>
        <w:t>Los Angeles Times</w:t>
      </w:r>
      <w:hyperlink r:id="rId658" w:anchor=":~:text=,denying%20role%20in%20ringgit%20collapse">
        <w:r>
          <w:rPr>
            <w:rStyle w:val="Hyperlink"/>
          </w:rPr>
          <w:t>[23]</w:t>
        </w:r>
      </w:hyperlink>
      <w:r>
        <w:t>. (Accessed August 2025).</w:t>
      </w:r>
    </w:p>
    <w:p w14:paraId="283957B4" w14:textId="77777777" w:rsidR="00345367" w:rsidRDefault="00345367" w:rsidP="00345367">
      <w:pPr>
        <w:numPr>
          <w:ilvl w:val="0"/>
          <w:numId w:val="1"/>
        </w:numPr>
      </w:pPr>
      <w:r>
        <w:rPr>
          <w:b/>
          <w:bCs/>
        </w:rPr>
        <w:t>Sugawara, S.</w:t>
      </w:r>
      <w:r>
        <w:t xml:space="preserve"> (1997, Sept. 21). </w:t>
      </w:r>
      <w:r>
        <w:rPr>
          <w:i/>
          <w:iCs/>
        </w:rPr>
        <w:t>Soros Opposes Currency Trade Limits</w:t>
      </w:r>
      <w:r>
        <w:t xml:space="preserve">. </w:t>
      </w:r>
      <w:r>
        <w:rPr>
          <w:i/>
          <w:iCs/>
        </w:rPr>
        <w:t>The Washington Post</w:t>
      </w:r>
      <w:hyperlink r:id="rId659" w:anchor=":~:text=,scapegoating%2C%20discusses%20instability%20of%20markets">
        <w:r>
          <w:rPr>
            <w:rStyle w:val="Hyperlink"/>
          </w:rPr>
          <w:t>[24]</w:t>
        </w:r>
      </w:hyperlink>
      <w:r>
        <w:t>. (Accessed August 2025).</w:t>
      </w:r>
    </w:p>
    <w:p w14:paraId="3AE66A8F" w14:textId="77777777" w:rsidR="00345367" w:rsidRDefault="00345367" w:rsidP="00345367">
      <w:pPr>
        <w:numPr>
          <w:ilvl w:val="0"/>
          <w:numId w:val="1"/>
        </w:numPr>
      </w:pPr>
      <w:r>
        <w:rPr>
          <w:b/>
          <w:bCs/>
        </w:rPr>
        <w:t>Achenbach, J.</w:t>
      </w:r>
      <w:r>
        <w:t xml:space="preserve"> (2018, Oct. 28). </w:t>
      </w:r>
      <w:r>
        <w:rPr>
          <w:i/>
          <w:iCs/>
        </w:rPr>
        <w:t>A conspiracy theory about George Soros and a migrant caravan inspired horror</w:t>
      </w:r>
      <w:r>
        <w:t xml:space="preserve">. </w:t>
      </w:r>
      <w:r>
        <w:rPr>
          <w:i/>
          <w:iCs/>
        </w:rPr>
        <w:t>The Washington Post</w:t>
      </w:r>
      <w:hyperlink r:id="rId660" w:anchor=":~:text=S%3AWaPo2018%20%E2%80%93%20Achenbach%2C%20Joel,Semitism%2C%20and">
        <w:r>
          <w:rPr>
            <w:rStyle w:val="Hyperlink"/>
          </w:rPr>
          <w:t>[25]</w:t>
        </w:r>
      </w:hyperlink>
      <w:r>
        <w:t>. (Accessed August 2025).</w:t>
      </w:r>
    </w:p>
    <w:p w14:paraId="3492C572" w14:textId="77777777" w:rsidR="00345367" w:rsidRDefault="00345367" w:rsidP="00345367">
      <w:pPr>
        <w:numPr>
          <w:ilvl w:val="0"/>
          <w:numId w:val="1"/>
        </w:numPr>
      </w:pPr>
      <w:r>
        <w:rPr>
          <w:b/>
          <w:bCs/>
        </w:rPr>
        <w:t>Lorenz, T.</w:t>
      </w:r>
      <w:r>
        <w:t xml:space="preserve"> (2022, May 18). </w:t>
      </w:r>
      <w:r>
        <w:rPr>
          <w:i/>
          <w:iCs/>
        </w:rPr>
        <w:t>How the Biden administration let right-wing attacks derail its disinformation efforts</w:t>
      </w:r>
      <w:r>
        <w:t xml:space="preserve">. </w:t>
      </w:r>
      <w:r>
        <w:rPr>
          <w:i/>
          <w:iCs/>
        </w:rPr>
        <w:t>The Washington Post</w:t>
      </w:r>
      <w:hyperlink r:id="rId661" w:anchor=":~:text=could%20later%20be%20loosened">
        <w:r>
          <w:rPr>
            <w:rStyle w:val="Hyperlink"/>
          </w:rPr>
          <w:t>[26]</w:t>
        </w:r>
      </w:hyperlink>
      <w:r>
        <w:t>. (Accessed August 2025).</w:t>
      </w:r>
    </w:p>
    <w:p w14:paraId="7DAD638D" w14:textId="77777777" w:rsidR="00345367" w:rsidRDefault="00345367" w:rsidP="00345367">
      <w:pPr>
        <w:numPr>
          <w:ilvl w:val="0"/>
          <w:numId w:val="1"/>
        </w:numPr>
      </w:pPr>
      <w:r>
        <w:rPr>
          <w:b/>
          <w:bCs/>
        </w:rPr>
        <w:t>Daniels, A.</w:t>
      </w:r>
      <w:r>
        <w:t xml:space="preserve"> (2024, May 22). </w:t>
      </w:r>
      <w:r>
        <w:rPr>
          <w:i/>
          <w:iCs/>
        </w:rPr>
        <w:t>Why Tides and Black Lives Matter Are Fighting Over $33 Million</w:t>
      </w:r>
      <w:r>
        <w:t xml:space="preserve">. </w:t>
      </w:r>
      <w:r>
        <w:rPr>
          <w:i/>
          <w:iCs/>
        </w:rPr>
        <w:t>Chronicle of Philanthropy</w:t>
      </w:r>
      <w:hyperlink r:id="rId662" w:anchor=":~:text=,1B%20for%2012%2C000">
        <w:r>
          <w:rPr>
            <w:rStyle w:val="Hyperlink"/>
          </w:rPr>
          <w:t>[27]</w:t>
        </w:r>
      </w:hyperlink>
      <w:r>
        <w:t>. (Accessed August 2025).</w:t>
      </w:r>
    </w:p>
    <w:p w14:paraId="7FD120D0" w14:textId="77777777" w:rsidR="00345367" w:rsidRDefault="00345367" w:rsidP="00345367">
      <w:pPr>
        <w:numPr>
          <w:ilvl w:val="0"/>
          <w:numId w:val="1"/>
        </w:numPr>
      </w:pPr>
      <w:r>
        <w:rPr>
          <w:b/>
          <w:bCs/>
        </w:rPr>
        <w:t>Hinton, R., et al.</w:t>
      </w:r>
      <w:r>
        <w:t xml:space="preserve"> (2020, Aug. 10). </w:t>
      </w:r>
      <w:r>
        <w:rPr>
          <w:i/>
          <w:iCs/>
        </w:rPr>
        <w:t>Kim Foxx bashes “dishonest blame games,” calls for “honest conversation” after night of looting</w:t>
      </w:r>
      <w:r>
        <w:t xml:space="preserve">. </w:t>
      </w:r>
      <w:r>
        <w:rPr>
          <w:i/>
          <w:iCs/>
        </w:rPr>
        <w:t>Chicago Sun-Times</w:t>
      </w:r>
      <w:hyperlink r:id="rId663" w:anchor=":~:text=,violence">
        <w:r>
          <w:rPr>
            <w:rStyle w:val="Hyperlink"/>
          </w:rPr>
          <w:t>[28]</w:t>
        </w:r>
      </w:hyperlink>
      <w:r>
        <w:t xml:space="preserve">. Archived at </w:t>
      </w:r>
      <w:r>
        <w:rPr>
          <w:i/>
          <w:iCs/>
        </w:rPr>
        <w:t>web.archive.org</w:t>
      </w:r>
      <w:r>
        <w:t xml:space="preserve"> (Accessed August 2025).</w:t>
      </w:r>
    </w:p>
    <w:p w14:paraId="14E4D0DD" w14:textId="77777777" w:rsidR="00345367" w:rsidRDefault="00345367" w:rsidP="00345367">
      <w:pPr>
        <w:numPr>
          <w:ilvl w:val="0"/>
          <w:numId w:val="1"/>
        </w:numPr>
      </w:pPr>
      <w:r>
        <w:rPr>
          <w:b/>
          <w:bCs/>
        </w:rPr>
        <w:t>Palmer, C., &amp; Rushing, E.</w:t>
      </w:r>
      <w:r>
        <w:t xml:space="preserve"> (2025, Apr. 10). </w:t>
      </w:r>
      <w:r>
        <w:rPr>
          <w:i/>
          <w:iCs/>
        </w:rPr>
        <w:t>Philly’s jail population has reached its lowest level in recent memory</w:t>
      </w:r>
      <w:r>
        <w:t xml:space="preserve">. </w:t>
      </w:r>
      <w:r>
        <w:rPr>
          <w:i/>
          <w:iCs/>
        </w:rPr>
        <w:t>The Philadelphia Inquirer</w:t>
      </w:r>
      <w:hyperlink r:id="rId664" w:anchor=":~:text=,subscription%20content">
        <w:r>
          <w:rPr>
            <w:rStyle w:val="Hyperlink"/>
          </w:rPr>
          <w:t>[29]</w:t>
        </w:r>
      </w:hyperlink>
      <w:r>
        <w:t>. (Accessed August 2025).</w:t>
      </w:r>
    </w:p>
    <w:p w14:paraId="292D6728" w14:textId="77777777" w:rsidR="00345367" w:rsidRDefault="00345367" w:rsidP="00345367">
      <w:pPr>
        <w:numPr>
          <w:ilvl w:val="0"/>
          <w:numId w:val="1"/>
        </w:numPr>
      </w:pPr>
      <w:r>
        <w:rPr>
          <w:b/>
          <w:bCs/>
        </w:rPr>
        <w:lastRenderedPageBreak/>
        <w:t>MacDonald, T.</w:t>
      </w:r>
      <w:r>
        <w:t xml:space="preserve"> (2024, Dec. 30). </w:t>
      </w:r>
      <w:r>
        <w:rPr>
          <w:i/>
          <w:iCs/>
        </w:rPr>
        <w:t>Philly homicides are at a near-record low in 2024, Krasner says</w:t>
      </w:r>
      <w:r>
        <w:t xml:space="preserve">. </w:t>
      </w:r>
      <w:r>
        <w:rPr>
          <w:i/>
          <w:iCs/>
        </w:rPr>
        <w:t>WHYY News</w:t>
      </w:r>
      <w:hyperlink r:id="rId665" w:anchor=":~:text=,krasner">
        <w:r>
          <w:rPr>
            <w:rStyle w:val="Hyperlink"/>
          </w:rPr>
          <w:t>[30]</w:t>
        </w:r>
      </w:hyperlink>
      <w:r>
        <w:t xml:space="preserve">. Archived at </w:t>
      </w:r>
      <w:r>
        <w:rPr>
          <w:i/>
          <w:iCs/>
        </w:rPr>
        <w:t>web.archive.org</w:t>
      </w:r>
      <w:r>
        <w:t xml:space="preserve"> (Accessed August 2025).</w:t>
      </w:r>
    </w:p>
    <w:p w14:paraId="4DDB3E33" w14:textId="77777777" w:rsidR="00345367" w:rsidRDefault="00345367" w:rsidP="00345367">
      <w:pPr>
        <w:numPr>
          <w:ilvl w:val="0"/>
          <w:numId w:val="1"/>
        </w:numPr>
      </w:pPr>
      <w:r>
        <w:rPr>
          <w:b/>
          <w:bCs/>
        </w:rPr>
        <w:t>Ryckaert, V.</w:t>
      </w:r>
      <w:r>
        <w:t xml:space="preserve"> (2021, Dec.). </w:t>
      </w:r>
      <w:r>
        <w:rPr>
          <w:i/>
          <w:iCs/>
        </w:rPr>
        <w:t>Mom wants The Bail Project reined in after her son was gunned down in Indianapolis</w:t>
      </w:r>
      <w:r>
        <w:t xml:space="preserve">. </w:t>
      </w:r>
      <w:r>
        <w:rPr>
          <w:i/>
          <w:iCs/>
        </w:rPr>
        <w:t>WRTV Indianapolis</w:t>
      </w:r>
      <w:hyperlink r:id="rId666" w:anchor=":~:text=,indianapolis">
        <w:r>
          <w:rPr>
            <w:rStyle w:val="Hyperlink"/>
          </w:rPr>
          <w:t>[31]</w:t>
        </w:r>
      </w:hyperlink>
      <w:r>
        <w:t xml:space="preserve">. Archived at </w:t>
      </w:r>
      <w:r>
        <w:rPr>
          <w:i/>
          <w:iCs/>
        </w:rPr>
        <w:t>web.archive.org</w:t>
      </w:r>
      <w:r>
        <w:t xml:space="preserve"> (Accessed August 2025).</w:t>
      </w:r>
    </w:p>
    <w:p w14:paraId="6EEE0E1B" w14:textId="77777777" w:rsidR="00345367" w:rsidRDefault="00345367" w:rsidP="00345367">
      <w:pPr>
        <w:numPr>
          <w:ilvl w:val="0"/>
          <w:numId w:val="1"/>
        </w:numPr>
      </w:pPr>
      <w:r>
        <w:rPr>
          <w:b/>
          <w:bCs/>
        </w:rPr>
        <w:t>Kane, J.</w:t>
      </w:r>
      <w:r>
        <w:t xml:space="preserve"> (2004, June 4). </w:t>
      </w:r>
      <w:r>
        <w:rPr>
          <w:i/>
          <w:iCs/>
        </w:rPr>
        <w:t>Lazarenko Found Guilty of Money Laundering</w:t>
      </w:r>
      <w:r>
        <w:t xml:space="preserve">. </w:t>
      </w:r>
      <w:r>
        <w:rPr>
          <w:i/>
          <w:iCs/>
        </w:rPr>
        <w:t>Radio Free Europe/Radio Liberty</w:t>
      </w:r>
      <w:hyperlink r:id="rId667" w:anchor=":~:text=S%3ARFERL2004%20%E2%80%93%20Radio%20Free%20Europe%2FRadio,90s%20Ukraine%20and%20its%20prosecution">
        <w:r>
          <w:rPr>
            <w:rStyle w:val="Hyperlink"/>
          </w:rPr>
          <w:t>[32]</w:t>
        </w:r>
      </w:hyperlink>
      <w:r>
        <w:t>. (Accessed August 2025).</w:t>
      </w:r>
    </w:p>
    <w:p w14:paraId="3DA00B02" w14:textId="77777777" w:rsidR="00345367" w:rsidRDefault="00345367" w:rsidP="00345367">
      <w:pPr>
        <w:numPr>
          <w:ilvl w:val="0"/>
          <w:numId w:val="1"/>
        </w:numPr>
      </w:pPr>
      <w:r>
        <w:rPr>
          <w:b/>
          <w:bCs/>
        </w:rPr>
        <w:t>Goldgeier, J.</w:t>
      </w:r>
      <w:r>
        <w:t xml:space="preserve"> (2016, July 12). </w:t>
      </w:r>
      <w:r>
        <w:rPr>
          <w:i/>
          <w:iCs/>
        </w:rPr>
        <w:t>Promises Made, Promises Broken? What Yeltsin Was Told About NATO in 1993…</w:t>
      </w:r>
      <w:r>
        <w:t xml:space="preserve">. </w:t>
      </w:r>
      <w:r>
        <w:rPr>
          <w:i/>
          <w:iCs/>
        </w:rPr>
        <w:t>War on the Rocks</w:t>
      </w:r>
      <w:hyperlink r:id="rId668" w:anchor=":~:text=S%3AGoldgeier2016%20%E2%80%93%20James%20Goldgeier%2C%20%E2%80%9CPromises,exploited%20weakness">
        <w:r>
          <w:rPr>
            <w:rStyle w:val="Hyperlink"/>
          </w:rPr>
          <w:t>[33]</w:t>
        </w:r>
      </w:hyperlink>
      <w:r>
        <w:t>. (Accessed August 2025).</w:t>
      </w:r>
    </w:p>
    <w:p w14:paraId="3FD32677" w14:textId="77777777" w:rsidR="00345367" w:rsidRDefault="00345367" w:rsidP="00345367">
      <w:pPr>
        <w:numPr>
          <w:ilvl w:val="0"/>
          <w:numId w:val="1"/>
        </w:numPr>
      </w:pPr>
      <w:r>
        <w:rPr>
          <w:b/>
          <w:bCs/>
        </w:rPr>
        <w:t>Baltic Business News.</w:t>
      </w:r>
      <w:r>
        <w:t xml:space="preserve"> (2002, Jan. 7). </w:t>
      </w:r>
      <w:r>
        <w:rPr>
          <w:i/>
          <w:iCs/>
        </w:rPr>
        <w:t>Poland’s largest corruption scandal to end in no conclusion</w:t>
      </w:r>
      <w:r>
        <w:t xml:space="preserve">. </w:t>
      </w:r>
      <w:r>
        <w:rPr>
          <w:i/>
          <w:iCs/>
        </w:rPr>
        <w:t>BBN</w:t>
      </w:r>
      <w:hyperlink r:id="rId669" w:anchor=":~:text=S%3ABBN2002%20%E2%80%93%20Baltic%20Business%20News%2C,by%202002%2C%20hence%20public%20cynicism">
        <w:r>
          <w:rPr>
            <w:rStyle w:val="Hyperlink"/>
          </w:rPr>
          <w:t>[34]</w:t>
        </w:r>
      </w:hyperlink>
      <w:r>
        <w:t>. (Accessed August 2025).</w:t>
      </w:r>
    </w:p>
    <w:p w14:paraId="22777BCC" w14:textId="77777777" w:rsidR="00345367" w:rsidRDefault="00345367" w:rsidP="00345367">
      <w:pPr>
        <w:numPr>
          <w:ilvl w:val="0"/>
          <w:numId w:val="1"/>
        </w:numPr>
      </w:pPr>
      <w:r>
        <w:rPr>
          <w:b/>
          <w:bCs/>
        </w:rPr>
        <w:t>Gilbert, D.</w:t>
      </w:r>
      <w:r>
        <w:t xml:space="preserve"> (2025, Jan. 7). </w:t>
      </w:r>
      <w:r>
        <w:rPr>
          <w:i/>
          <w:iCs/>
        </w:rPr>
        <w:t>Meta Ditches Fact-Checkers Ahead of Trump’s Second Term</w:t>
      </w:r>
      <w:r>
        <w:t xml:space="preserve">. </w:t>
      </w:r>
      <w:r>
        <w:rPr>
          <w:i/>
          <w:iCs/>
        </w:rPr>
        <w:t>Wired</w:t>
      </w:r>
      <w:hyperlink r:id="rId670" w:anchor=":~:text=,overture%20and%20capturing%20expert%20reaction">
        <w:r>
          <w:rPr>
            <w:rStyle w:val="Hyperlink"/>
          </w:rPr>
          <w:t>[35]</w:t>
        </w:r>
      </w:hyperlink>
      <w:r>
        <w:t xml:space="preserve">. Archived at </w:t>
      </w:r>
      <w:r>
        <w:rPr>
          <w:i/>
          <w:iCs/>
        </w:rPr>
        <w:t>web.archive.org</w:t>
      </w:r>
      <w:r>
        <w:t xml:space="preserve"> (Accessed August 2025).</w:t>
      </w:r>
    </w:p>
    <w:p w14:paraId="5CD50F68" w14:textId="77777777" w:rsidR="00345367" w:rsidRDefault="00345367" w:rsidP="00345367">
      <w:pPr>
        <w:numPr>
          <w:ilvl w:val="0"/>
          <w:numId w:val="1"/>
        </w:numPr>
      </w:pPr>
      <w:r>
        <w:rPr>
          <w:b/>
          <w:bCs/>
        </w:rPr>
        <w:t>Gilbert, D.</w:t>
      </w:r>
      <w:r>
        <w:t xml:space="preserve"> (2025, Jan. 7). </w:t>
      </w:r>
      <w:r>
        <w:rPr>
          <w:i/>
          <w:iCs/>
        </w:rPr>
        <w:t>Meta’s Fact-Checking Partners Say They Were “Blindsided” by Decision to Axe Them</w:t>
      </w:r>
      <w:r>
        <w:t xml:space="preserve">. </w:t>
      </w:r>
      <w:r>
        <w:rPr>
          <w:i/>
          <w:iCs/>
        </w:rPr>
        <w:t>Wired</w:t>
      </w:r>
      <w:hyperlink r:id="rId671" w:anchor=":~:text=,were%20adding%20context%2C%20not%20censoring">
        <w:r>
          <w:rPr>
            <w:rStyle w:val="Hyperlink"/>
          </w:rPr>
          <w:t>[36]</w:t>
        </w:r>
      </w:hyperlink>
      <w:r>
        <w:t xml:space="preserve">. Archived at </w:t>
      </w:r>
      <w:r>
        <w:rPr>
          <w:i/>
          <w:iCs/>
        </w:rPr>
        <w:t>web.archive.org</w:t>
      </w:r>
      <w:r>
        <w:t xml:space="preserve"> (Accessed August 2025).</w:t>
      </w:r>
    </w:p>
    <w:p w14:paraId="74BD01DD" w14:textId="77777777" w:rsidR="00345367" w:rsidRDefault="00345367" w:rsidP="00345367">
      <w:pPr>
        <w:numPr>
          <w:ilvl w:val="0"/>
          <w:numId w:val="1"/>
        </w:numPr>
      </w:pPr>
      <w:r>
        <w:rPr>
          <w:b/>
          <w:bCs/>
        </w:rPr>
        <w:t>Newsweek Staff.</w:t>
      </w:r>
      <w:r>
        <w:t xml:space="preserve"> (2022, Dec.). </w:t>
      </w:r>
      <w:r>
        <w:rPr>
          <w:i/>
          <w:iCs/>
        </w:rPr>
        <w:t>Hunter Biden’s Laptop and “Twitter Files” — What We Do and Don’t Know</w:t>
      </w:r>
      <w:r>
        <w:t xml:space="preserve">. </w:t>
      </w:r>
      <w:r>
        <w:rPr>
          <w:i/>
          <w:iCs/>
        </w:rPr>
        <w:t>Newsweek</w:t>
      </w:r>
      <w:hyperlink r:id="rId672" w:anchor=":~:text=%28Archived%3A%20Link%29.%20Reinforces%20evidence,of%20bias%20claims">
        <w:r>
          <w:rPr>
            <w:rStyle w:val="Hyperlink"/>
          </w:rPr>
          <w:t>[37]</w:t>
        </w:r>
      </w:hyperlink>
      <w:r>
        <w:t xml:space="preserve">. Archived at </w:t>
      </w:r>
      <w:r>
        <w:rPr>
          <w:i/>
          <w:iCs/>
        </w:rPr>
        <w:t>web.archive.org</w:t>
      </w:r>
      <w:r>
        <w:t xml:space="preserve"> (Accessed August 2025).</w:t>
      </w:r>
    </w:p>
    <w:p w14:paraId="11FD6982" w14:textId="77777777" w:rsidR="00345367" w:rsidRDefault="00345367" w:rsidP="003D75F7">
      <w:pPr>
        <w:pStyle w:val="Heading2"/>
      </w:pPr>
      <w:bookmarkStart w:id="75" w:name="think-tanks-and-research-institutes"/>
      <w:bookmarkEnd w:id="74"/>
      <w:r>
        <w:t>Think Tanks and Research Institutes</w:t>
      </w:r>
    </w:p>
    <w:p w14:paraId="41C55B32" w14:textId="77777777" w:rsidR="00345367" w:rsidRDefault="00345367" w:rsidP="00345367">
      <w:pPr>
        <w:numPr>
          <w:ilvl w:val="0"/>
          <w:numId w:val="1"/>
        </w:numPr>
      </w:pPr>
      <w:r>
        <w:rPr>
          <w:b/>
          <w:bCs/>
        </w:rPr>
        <w:t>Lustig, N.</w:t>
      </w:r>
      <w:r>
        <w:t xml:space="preserve"> (1995, June 1). </w:t>
      </w:r>
      <w:r>
        <w:rPr>
          <w:i/>
          <w:iCs/>
        </w:rPr>
        <w:t>The Mexican Peso Crisis: The Foreseeable and the Surprise</w:t>
      </w:r>
      <w:r>
        <w:t xml:space="preserve">. </w:t>
      </w:r>
      <w:r>
        <w:rPr>
          <w:i/>
          <w:iCs/>
        </w:rPr>
        <w:t>Brookings Institution</w:t>
      </w:r>
      <w:hyperlink r:id="rId673" w:anchor=":~:text=England%20insiders">
        <w:r>
          <w:rPr>
            <w:rStyle w:val="Hyperlink"/>
          </w:rPr>
          <w:t>[38]</w:t>
        </w:r>
      </w:hyperlink>
      <w:r>
        <w:t>. (Analysis of 1994–95 crisis causes) (Accessed August 2025).</w:t>
      </w:r>
    </w:p>
    <w:p w14:paraId="4B486521" w14:textId="77777777" w:rsidR="00345367" w:rsidRDefault="00345367" w:rsidP="00345367">
      <w:pPr>
        <w:numPr>
          <w:ilvl w:val="0"/>
          <w:numId w:val="1"/>
        </w:numPr>
      </w:pPr>
      <w:r>
        <w:rPr>
          <w:b/>
          <w:bCs/>
        </w:rPr>
        <w:t>Brookings Institution.</w:t>
      </w:r>
      <w:r>
        <w:t xml:space="preserve"> (2007, August). </w:t>
      </w:r>
      <w:r>
        <w:rPr>
          <w:i/>
          <w:iCs/>
        </w:rPr>
        <w:t>Indonesia: Ten Years After the Crisis</w:t>
      </w:r>
      <w:r>
        <w:t xml:space="preserve"> (Harold Munoz, author)</w:t>
      </w:r>
      <w:hyperlink r:id="rId674" w:anchor=":~:text=investor%20impact%20in%20Korea">
        <w:r>
          <w:rPr>
            <w:rStyle w:val="Hyperlink"/>
          </w:rPr>
          <w:t>[39]</w:t>
        </w:r>
      </w:hyperlink>
      <w:r>
        <w:t>. (Report on post-1998 economic changes) (Accessed August 2025).</w:t>
      </w:r>
    </w:p>
    <w:p w14:paraId="335C8645" w14:textId="77777777" w:rsidR="00345367" w:rsidRDefault="00345367" w:rsidP="00345367">
      <w:pPr>
        <w:numPr>
          <w:ilvl w:val="0"/>
          <w:numId w:val="1"/>
        </w:numPr>
      </w:pPr>
      <w:r>
        <w:rPr>
          <w:b/>
          <w:bCs/>
        </w:rPr>
        <w:t>Heritage Foundation (von Spakovsky, H., &amp; Adams, J.).</w:t>
      </w:r>
      <w:r>
        <w:t xml:space="preserve"> (2023, April 19). </w:t>
      </w:r>
      <w:r>
        <w:rPr>
          <w:i/>
          <w:iCs/>
        </w:rPr>
        <w:t>Maintaining Accurate Voter Registration Rolls: The Need to Rehabilitate the ERIC Program or Form an Alternative</w:t>
      </w:r>
      <w:hyperlink r:id="rId675" w:anchor=":~:text=S%3AHeritage2023%20%E2%80%93%20Hans%20von%20Spakovsky,57">
        <w:r>
          <w:rPr>
            <w:rStyle w:val="Hyperlink"/>
          </w:rPr>
          <w:t>[40]</w:t>
        </w:r>
      </w:hyperlink>
      <w:r>
        <w:t>. (Heritage Special Report) (Accessed August 2025).</w:t>
      </w:r>
    </w:p>
    <w:p w14:paraId="7F97D264" w14:textId="77777777" w:rsidR="00345367" w:rsidRDefault="00345367" w:rsidP="00345367">
      <w:pPr>
        <w:numPr>
          <w:ilvl w:val="0"/>
          <w:numId w:val="1"/>
        </w:numPr>
      </w:pPr>
      <w:r>
        <w:rPr>
          <w:b/>
          <w:bCs/>
        </w:rPr>
        <w:t>German Council on Foreign Relations (Meiners, S., &amp; Niederfranke, S.).</w:t>
      </w:r>
      <w:r>
        <w:t xml:space="preserve"> (2025, July 15). </w:t>
      </w:r>
      <w:r>
        <w:rPr>
          <w:i/>
          <w:iCs/>
        </w:rPr>
        <w:t>Two Years In, the Impact of the EU-Tunisia Deal On Migration Is Overstated</w:t>
      </w:r>
      <w:hyperlink r:id="rId676" w:anchor=":~:text=%7BS%3ADGAP,%28Source%3A%20DGAP%20publication%2C%202025">
        <w:r>
          <w:rPr>
            <w:rStyle w:val="Hyperlink"/>
          </w:rPr>
          <w:t>[41]</w:t>
        </w:r>
      </w:hyperlink>
      <w:r>
        <w:t>. (DGAP Analysis) (Accessed August 2025).</w:t>
      </w:r>
    </w:p>
    <w:p w14:paraId="7E6F318C" w14:textId="77777777" w:rsidR="00345367" w:rsidRDefault="00345367" w:rsidP="00345367">
      <w:pPr>
        <w:numPr>
          <w:ilvl w:val="0"/>
          <w:numId w:val="1"/>
        </w:numPr>
      </w:pPr>
      <w:r>
        <w:rPr>
          <w:b/>
          <w:bCs/>
        </w:rPr>
        <w:lastRenderedPageBreak/>
        <w:t>Centre for East European and International Studies (ZOiS) (Hien, M.).</w:t>
      </w:r>
      <w:r>
        <w:t xml:space="preserve"> (2021, July). </w:t>
      </w:r>
      <w:r>
        <w:rPr>
          <w:i/>
          <w:iCs/>
        </w:rPr>
        <w:t>The Hungarian Government Takes Further Steps Against NGOs</w:t>
      </w:r>
      <w:hyperlink r:id="rId677" w:anchor=":~:text=,money%20laundering%29%20lacked%20substance">
        <w:r>
          <w:rPr>
            <w:rStyle w:val="Hyperlink"/>
          </w:rPr>
          <w:t>[42]</w:t>
        </w:r>
      </w:hyperlink>
      <w:r>
        <w:t>. (Policy analysis) (Accessed August 2025).</w:t>
      </w:r>
    </w:p>
    <w:p w14:paraId="0ACCC55E" w14:textId="77777777" w:rsidR="00345367" w:rsidRDefault="00345367" w:rsidP="00345367">
      <w:pPr>
        <w:numPr>
          <w:ilvl w:val="0"/>
          <w:numId w:val="1"/>
        </w:numPr>
      </w:pPr>
      <w:r>
        <w:rPr>
          <w:b/>
          <w:bCs/>
        </w:rPr>
        <w:t>Capital Research Center – InfluenceWatch.</w:t>
      </w:r>
      <w:r>
        <w:t xml:space="preserve"> (2021). </w:t>
      </w:r>
      <w:r>
        <w:rPr>
          <w:i/>
          <w:iCs/>
        </w:rPr>
        <w:t>Open Society Foundations (Open Society Institute)</w:t>
      </w:r>
      <w:hyperlink r:id="rId678" w:anchor=":~:text=%7BS%3AIW,94">
        <w:r>
          <w:rPr>
            <w:rStyle w:val="Hyperlink"/>
          </w:rPr>
          <w:t>[43]</w:t>
        </w:r>
      </w:hyperlink>
      <w:r>
        <w:t xml:space="preserve">. </w:t>
      </w:r>
      <w:r>
        <w:rPr>
          <w:i/>
          <w:iCs/>
        </w:rPr>
        <w:t>InfluenceWatch</w:t>
      </w:r>
      <w:r>
        <w:t xml:space="preserve"> profile (last updated 2021). Archived at </w:t>
      </w:r>
      <w:r>
        <w:rPr>
          <w:i/>
          <w:iCs/>
        </w:rPr>
        <w:t>web.archive.org</w:t>
      </w:r>
      <w:r>
        <w:t xml:space="preserve"> (Accessed 2024).</w:t>
      </w:r>
    </w:p>
    <w:p w14:paraId="6CBC6436" w14:textId="77777777" w:rsidR="00345367" w:rsidRDefault="00345367" w:rsidP="00345367">
      <w:pPr>
        <w:numPr>
          <w:ilvl w:val="0"/>
          <w:numId w:val="1"/>
        </w:numPr>
      </w:pPr>
      <w:r>
        <w:rPr>
          <w:b/>
          <w:bCs/>
        </w:rPr>
        <w:t>Capital Research Center – InfluenceWatch.</w:t>
      </w:r>
      <w:r>
        <w:t xml:space="preserve"> (2024). </w:t>
      </w:r>
      <w:r>
        <w:rPr>
          <w:i/>
          <w:iCs/>
        </w:rPr>
        <w:t>Lawyers’ Committee for Civil Rights Under Law (LCCRUL)</w:t>
      </w:r>
      <w:r>
        <w:t xml:space="preserve"> (Profile)</w:t>
      </w:r>
      <w:hyperlink r:id="rId679" w:anchor=":~:text=S%3AInfluenceWatch,election%20protection%20efforts%20via%20LCCRUL">
        <w:r>
          <w:rPr>
            <w:rStyle w:val="Hyperlink"/>
          </w:rPr>
          <w:t>[44]</w:t>
        </w:r>
      </w:hyperlink>
      <w:r>
        <w:t xml:space="preserve">. Archived at </w:t>
      </w:r>
      <w:r>
        <w:rPr>
          <w:i/>
          <w:iCs/>
        </w:rPr>
        <w:t>web.archive.org</w:t>
      </w:r>
      <w:r>
        <w:t xml:space="preserve"> (Accessed 2024).</w:t>
      </w:r>
    </w:p>
    <w:p w14:paraId="125D6D3F" w14:textId="77777777" w:rsidR="00345367" w:rsidRDefault="00345367" w:rsidP="00345367">
      <w:pPr>
        <w:numPr>
          <w:ilvl w:val="0"/>
          <w:numId w:val="1"/>
        </w:numPr>
      </w:pPr>
      <w:r>
        <w:rPr>
          <w:b/>
          <w:bCs/>
        </w:rPr>
        <w:t>Capital Research Center – InfluenceWatch.</w:t>
      </w:r>
      <w:r>
        <w:t xml:space="preserve"> (2022). </w:t>
      </w:r>
      <w:r>
        <w:rPr>
          <w:i/>
          <w:iCs/>
        </w:rPr>
        <w:t>NALEO Educational Fund</w:t>
      </w:r>
      <w:r>
        <w:t xml:space="preserve"> (Profile)</w:t>
      </w:r>
      <w:hyperlink r:id="rId680" w:anchor=":~:text=S%3ANALEO%20%E2%80%93%20InfluenceWatch%2C%20%E2%80%9CNALEO%20Educational,engagement%20in%20a%20nonpartisan%20context">
        <w:r>
          <w:rPr>
            <w:rStyle w:val="Hyperlink"/>
          </w:rPr>
          <w:t>[45]</w:t>
        </w:r>
      </w:hyperlink>
      <w:r>
        <w:t xml:space="preserve">. Archived at </w:t>
      </w:r>
      <w:r>
        <w:rPr>
          <w:i/>
          <w:iCs/>
        </w:rPr>
        <w:t>web.archive.org</w:t>
      </w:r>
      <w:r>
        <w:t xml:space="preserve"> (Accessed 2024).</w:t>
      </w:r>
    </w:p>
    <w:p w14:paraId="2534C6A8" w14:textId="77777777" w:rsidR="00345367" w:rsidRDefault="00345367" w:rsidP="00345367">
      <w:pPr>
        <w:numPr>
          <w:ilvl w:val="0"/>
          <w:numId w:val="1"/>
        </w:numPr>
      </w:pPr>
      <w:r>
        <w:rPr>
          <w:b/>
          <w:bCs/>
        </w:rPr>
        <w:t>Advance Democracy, Inc.</w:t>
      </w:r>
      <w:r>
        <w:t xml:space="preserve"> (2022). </w:t>
      </w:r>
      <w:r>
        <w:rPr>
          <w:i/>
          <w:iCs/>
        </w:rPr>
        <w:t>Disinformation Governance Board case study</w:t>
      </w:r>
      <w:hyperlink r:id="rId681" w:anchor=":~:text=,Could%20contextualize%20the%20backlash%20mechanics">
        <w:r>
          <w:rPr>
            <w:rStyle w:val="Hyperlink"/>
          </w:rPr>
          <w:t>[46]</w:t>
        </w:r>
      </w:hyperlink>
      <w:r>
        <w:t>. (Report analyzing backlash on “Disinformation Board”) (Accessed August 2025).</w:t>
      </w:r>
    </w:p>
    <w:p w14:paraId="74B5DA6B" w14:textId="77777777" w:rsidR="00345367" w:rsidRDefault="00345367" w:rsidP="00345367">
      <w:pPr>
        <w:numPr>
          <w:ilvl w:val="0"/>
          <w:numId w:val="1"/>
        </w:numPr>
      </w:pPr>
      <w:r>
        <w:rPr>
          <w:b/>
          <w:bCs/>
        </w:rPr>
        <w:t>Tech Policy Press.</w:t>
      </w:r>
      <w:r>
        <w:t xml:space="preserve"> (2023, July). </w:t>
      </w:r>
      <w:r>
        <w:rPr>
          <w:i/>
          <w:iCs/>
        </w:rPr>
        <w:t>Scientists respond to FTC inquiry into tech censorship claims</w:t>
      </w:r>
      <w:hyperlink r:id="rId682" w:anchor=":~:text=,based%20rebuttal%20of%20bias%20claims">
        <w:r>
          <w:rPr>
            <w:rStyle w:val="Hyperlink"/>
          </w:rPr>
          <w:t>[47]</w:t>
        </w:r>
      </w:hyperlink>
      <w:r>
        <w:t>. (Open letter by researchers rebutting bias allegations) (Accessed August 2025).</w:t>
      </w:r>
    </w:p>
    <w:p w14:paraId="7F892E55" w14:textId="77777777" w:rsidR="00345367" w:rsidRDefault="00345367" w:rsidP="00345367">
      <w:pPr>
        <w:numPr>
          <w:ilvl w:val="0"/>
          <w:numId w:val="1"/>
        </w:numPr>
      </w:pPr>
      <w:r>
        <w:rPr>
          <w:b/>
          <w:bCs/>
        </w:rPr>
        <w:t>Center for Countering Digital Hate.</w:t>
      </w:r>
      <w:r>
        <w:t xml:space="preserve"> (2022, Nov.–Dec.). </w:t>
      </w:r>
      <w:r>
        <w:rPr>
          <w:i/>
          <w:iCs/>
        </w:rPr>
        <w:t>Surge in Hate Speech and Misinformation on Twitter Post-Musk</w:t>
      </w:r>
      <w:hyperlink r:id="rId683" w:anchor=":~:text=,faire%20approach">
        <w:r>
          <w:rPr>
            <w:rStyle w:val="Hyperlink"/>
          </w:rPr>
          <w:t>[48]</w:t>
        </w:r>
      </w:hyperlink>
      <w:r>
        <w:t>. (Reports via CCDH and Bloomberg on rising slurs and climate misinformation) (Accessed August 2025).</w:t>
      </w:r>
    </w:p>
    <w:p w14:paraId="4CC36FA2" w14:textId="77777777" w:rsidR="00345367" w:rsidRDefault="00345367" w:rsidP="00345367">
      <w:pPr>
        <w:numPr>
          <w:ilvl w:val="0"/>
          <w:numId w:val="1"/>
        </w:numPr>
      </w:pPr>
      <w:r>
        <w:rPr>
          <w:b/>
          <w:bCs/>
        </w:rPr>
        <w:t>War on the Rocks (Goldgeier, J.).</w:t>
      </w:r>
      <w:r>
        <w:t xml:space="preserve"> (2016, July 12). </w:t>
      </w:r>
      <w:r>
        <w:rPr>
          <w:i/>
          <w:iCs/>
        </w:rPr>
        <w:t>Promises Made, Promises Broken? What Yeltsin Was Told About NATO in 1993…</w:t>
      </w:r>
      <w:hyperlink r:id="rId684" w:anchor=":~:text=S%3AGoldgeier2016%20%E2%80%93%20James%20Goldgeier%2C%20%E2%80%9CPromises,exploited%20weakness">
        <w:r>
          <w:rPr>
            <w:rStyle w:val="Hyperlink"/>
          </w:rPr>
          <w:t>[33]</w:t>
        </w:r>
      </w:hyperlink>
      <w:r>
        <w:t>. (Historical analysis of 1990s U.S.–Russia relations) (Accessed August 2025).</w:t>
      </w:r>
    </w:p>
    <w:p w14:paraId="009E8454" w14:textId="77777777" w:rsidR="00345367" w:rsidRDefault="00345367" w:rsidP="003D75F7">
      <w:pPr>
        <w:pStyle w:val="Heading2"/>
      </w:pPr>
      <w:bookmarkStart w:id="76" w:name="organization-self-publications"/>
      <w:bookmarkEnd w:id="75"/>
      <w:r>
        <w:t>Organization Self-Publications</w:t>
      </w:r>
    </w:p>
    <w:p w14:paraId="5C474243" w14:textId="77777777" w:rsidR="00345367" w:rsidRDefault="00345367" w:rsidP="00345367">
      <w:pPr>
        <w:numPr>
          <w:ilvl w:val="0"/>
          <w:numId w:val="1"/>
        </w:numPr>
      </w:pPr>
      <w:r>
        <w:rPr>
          <w:b/>
          <w:bCs/>
        </w:rPr>
        <w:t>Open Society Foundations.</w:t>
      </w:r>
      <w:r>
        <w:t xml:space="preserve"> (2025). </w:t>
      </w:r>
      <w:r>
        <w:rPr>
          <w:i/>
          <w:iCs/>
        </w:rPr>
        <w:t>George Soros – Founder</w:t>
      </w:r>
      <w:r>
        <w:t xml:space="preserve"> (Biography page, updated 2025)</w:t>
      </w:r>
      <w:hyperlink r:id="rId685" w:anchor=":~:text=S%3AOSFProfile%20%E2%80%93%20%E2%80%9CGeorge%20Soros%20%E2%80%93,org">
        <w:r>
          <w:rPr>
            <w:rStyle w:val="Hyperlink"/>
          </w:rPr>
          <w:t>[49]</w:t>
        </w:r>
      </w:hyperlink>
      <w:r>
        <w:t xml:space="preserve">. Retrieved from opensocietyfoundations.org (Archived at </w:t>
      </w:r>
      <w:r>
        <w:rPr>
          <w:i/>
          <w:iCs/>
        </w:rPr>
        <w:t>web.archive.org</w:t>
      </w:r>
      <w:r>
        <w:t>) (Accessed 2025).</w:t>
      </w:r>
    </w:p>
    <w:p w14:paraId="34C5E393" w14:textId="77777777" w:rsidR="00345367" w:rsidRDefault="00345367" w:rsidP="00345367">
      <w:pPr>
        <w:numPr>
          <w:ilvl w:val="0"/>
          <w:numId w:val="1"/>
        </w:numPr>
      </w:pPr>
      <w:r>
        <w:rPr>
          <w:b/>
          <w:bCs/>
        </w:rPr>
        <w:t>Open Society Foundations.</w:t>
      </w:r>
      <w:r>
        <w:t xml:space="preserve"> (n.d.). </w:t>
      </w:r>
      <w:r>
        <w:rPr>
          <w:i/>
          <w:iCs/>
        </w:rPr>
        <w:t>Our History</w:t>
      </w:r>
      <w:r>
        <w:t xml:space="preserve"> (Timeline, through 2024)</w:t>
      </w:r>
      <w:hyperlink r:id="rId686" w:anchor=":~:text=Our%20History">
        <w:r>
          <w:rPr>
            <w:rStyle w:val="Hyperlink"/>
          </w:rPr>
          <w:t>[50]</w:t>
        </w:r>
      </w:hyperlink>
      <w:r>
        <w:t>. Retrieved from opensocietyfoundations.org (Accessed 2025).</w:t>
      </w:r>
    </w:p>
    <w:p w14:paraId="26B85E8A" w14:textId="77777777" w:rsidR="00345367" w:rsidRDefault="00345367" w:rsidP="00345367">
      <w:pPr>
        <w:numPr>
          <w:ilvl w:val="0"/>
          <w:numId w:val="1"/>
        </w:numPr>
      </w:pPr>
      <w:r>
        <w:rPr>
          <w:b/>
          <w:bCs/>
        </w:rPr>
        <w:t>Open Society Foundations.</w:t>
      </w:r>
      <w:r>
        <w:t xml:space="preserve"> (2020, March 18). </w:t>
      </w:r>
      <w:r>
        <w:rPr>
          <w:i/>
          <w:iCs/>
        </w:rPr>
        <w:t>How the Open Society Foundations Support Election Integrity</w:t>
      </w:r>
      <w:r>
        <w:t xml:space="preserve"> (Fact Sheet)</w:t>
      </w:r>
      <w:hyperlink r:id="rId687" w:anchor=":~:text=S%3AOSF2020%20%E2%80%93%20Open%20Society%20Foundations%2C,Matter%20Fund%20and%20Armenia%20debates">
        <w:r>
          <w:rPr>
            <w:rStyle w:val="Hyperlink"/>
          </w:rPr>
          <w:t>[51]</w:t>
        </w:r>
      </w:hyperlink>
      <w:r>
        <w:t xml:space="preserve">. Archived at </w:t>
      </w:r>
      <w:r>
        <w:rPr>
          <w:i/>
          <w:iCs/>
        </w:rPr>
        <w:t>web.archive.org</w:t>
      </w:r>
      <w:r>
        <w:t xml:space="preserve"> (Accessed 2025).</w:t>
      </w:r>
    </w:p>
    <w:p w14:paraId="0A0F8956" w14:textId="77777777" w:rsidR="00345367" w:rsidRDefault="00345367" w:rsidP="00345367">
      <w:pPr>
        <w:numPr>
          <w:ilvl w:val="0"/>
          <w:numId w:val="1"/>
        </w:numPr>
      </w:pPr>
      <w:r>
        <w:rPr>
          <w:b/>
          <w:bCs/>
        </w:rPr>
        <w:t>Open Society Foundations.</w:t>
      </w:r>
      <w:r>
        <w:t xml:space="preserve"> (2024, May 28). </w:t>
      </w:r>
      <w:r>
        <w:rPr>
          <w:i/>
          <w:iCs/>
        </w:rPr>
        <w:t>Open Society and Free and Fair Elections in the United States</w:t>
      </w:r>
      <w:r>
        <w:t xml:space="preserve"> (Fact Sheet)</w:t>
      </w:r>
      <w:hyperlink r:id="rId688" w:anchor=":~:text=S%3AOSF2024%20%E2%80%93%20Open%20Society%20Foundations%2C,34">
        <w:r>
          <w:rPr>
            <w:rStyle w:val="Hyperlink"/>
          </w:rPr>
          <w:t>[52]</w:t>
        </w:r>
      </w:hyperlink>
      <w:r>
        <w:t xml:space="preserve">. Archived at </w:t>
      </w:r>
      <w:r>
        <w:rPr>
          <w:i/>
          <w:iCs/>
        </w:rPr>
        <w:t>web.archive.org</w:t>
      </w:r>
      <w:r>
        <w:t xml:space="preserve"> (Accessed 2025).</w:t>
      </w:r>
    </w:p>
    <w:p w14:paraId="11145A5F" w14:textId="77777777" w:rsidR="00345367" w:rsidRDefault="00345367" w:rsidP="00345367">
      <w:pPr>
        <w:numPr>
          <w:ilvl w:val="0"/>
          <w:numId w:val="1"/>
        </w:numPr>
      </w:pPr>
      <w:r>
        <w:rPr>
          <w:b/>
          <w:bCs/>
        </w:rPr>
        <w:lastRenderedPageBreak/>
        <w:t>Open Society Foundations – Voices (Ispahani, L.).</w:t>
      </w:r>
      <w:r>
        <w:t xml:space="preserve"> (2010, Oct. 31). </w:t>
      </w:r>
      <w:r>
        <w:rPr>
          <w:i/>
          <w:iCs/>
        </w:rPr>
        <w:t>The War on Voters</w:t>
      </w:r>
      <w:hyperlink r:id="rId689" w:anchor=":~:text=S%3AOSF2010WarOnVoters%20%E2%80%93%20Open%20Society%20Foundations,51">
        <w:r>
          <w:rPr>
            <w:rStyle w:val="Hyperlink"/>
          </w:rPr>
          <w:t>[53]</w:t>
        </w:r>
      </w:hyperlink>
      <w:r>
        <w:t>. (Blog post on 2010 U.S. election issues) (Accessed 2025).</w:t>
      </w:r>
    </w:p>
    <w:p w14:paraId="54DBB5D8" w14:textId="77777777" w:rsidR="00345367" w:rsidRDefault="00345367" w:rsidP="00345367">
      <w:pPr>
        <w:numPr>
          <w:ilvl w:val="0"/>
          <w:numId w:val="1"/>
        </w:numPr>
      </w:pPr>
      <w:r>
        <w:rPr>
          <w:b/>
          <w:bCs/>
        </w:rPr>
        <w:t>Open Society Foundations – Voices (A. Soros).</w:t>
      </w:r>
      <w:r>
        <w:t xml:space="preserve"> (2023, Dec. 5). </w:t>
      </w:r>
      <w:r>
        <w:rPr>
          <w:i/>
          <w:iCs/>
        </w:rPr>
        <w:t>Bolstering Women and Youth, Linchpins of Democracy</w:t>
      </w:r>
      <w:hyperlink r:id="rId690" w:anchor=":~:text=S%3AOSF2023WomenYouth%20%E2%80%93%20Open%20Society%20Foundations,52">
        <w:r>
          <w:rPr>
            <w:rStyle w:val="Hyperlink"/>
          </w:rPr>
          <w:t>[54]</w:t>
        </w:r>
      </w:hyperlink>
      <w:r>
        <w:t>. (Blog post by OSF Chair) (Accessed 2025).</w:t>
      </w:r>
    </w:p>
    <w:p w14:paraId="0BDBF650" w14:textId="77777777" w:rsidR="00345367" w:rsidRDefault="00345367" w:rsidP="00345367">
      <w:pPr>
        <w:numPr>
          <w:ilvl w:val="0"/>
          <w:numId w:val="1"/>
        </w:numPr>
      </w:pPr>
      <w:r>
        <w:rPr>
          <w:b/>
          <w:bCs/>
        </w:rPr>
        <w:t>Open Society Foundations.</w:t>
      </w:r>
      <w:r>
        <w:t xml:space="preserve"> (2018, May 15). </w:t>
      </w:r>
      <w:r>
        <w:rPr>
          <w:i/>
          <w:iCs/>
        </w:rPr>
        <w:t>The Open Society Foundations to Close International Operations in Budapest</w:t>
      </w:r>
      <w:r>
        <w:t>. [Press release]</w:t>
      </w:r>
      <w:hyperlink r:id="rId691" w:anchor=":~:text=,Archived%3A%20link">
        <w:r>
          <w:rPr>
            <w:rStyle w:val="Hyperlink"/>
          </w:rPr>
          <w:t>[55]</w:t>
        </w:r>
      </w:hyperlink>
      <w:r>
        <w:t xml:space="preserve">. Archived at </w:t>
      </w:r>
      <w:r>
        <w:rPr>
          <w:i/>
          <w:iCs/>
        </w:rPr>
        <w:t>web.archive.org</w:t>
      </w:r>
      <w:r>
        <w:t xml:space="preserve"> (Accessed 2025).</w:t>
      </w:r>
    </w:p>
    <w:p w14:paraId="1085228C" w14:textId="77777777" w:rsidR="00345367" w:rsidRDefault="00345367" w:rsidP="00345367">
      <w:pPr>
        <w:numPr>
          <w:ilvl w:val="0"/>
          <w:numId w:val="1"/>
        </w:numPr>
      </w:pPr>
      <w:r>
        <w:rPr>
          <w:b/>
          <w:bCs/>
        </w:rPr>
        <w:t>Open Society Foundations.</w:t>
      </w:r>
      <w:r>
        <w:t xml:space="preserve"> (2020, June 18). </w:t>
      </w:r>
      <w:r>
        <w:rPr>
          <w:i/>
          <w:iCs/>
        </w:rPr>
        <w:t>Open Society Welcomes Court of Justice of EU Ruling on Hungary Anti-NGO Law</w:t>
      </w:r>
      <w:r>
        <w:t>. [Press release]</w:t>
      </w:r>
      <w:hyperlink r:id="rId692" w:anchor=":~:text=,as%20part%20of%20Orb%C3%A1n%E2%80%99s%20campaign">
        <w:r>
          <w:rPr>
            <w:rStyle w:val="Hyperlink"/>
          </w:rPr>
          <w:t>[56]</w:t>
        </w:r>
      </w:hyperlink>
      <w:r>
        <w:t>. (Accessed 2025).</w:t>
      </w:r>
    </w:p>
    <w:p w14:paraId="5E8B1346" w14:textId="77777777" w:rsidR="00345367" w:rsidRDefault="00345367" w:rsidP="00345367">
      <w:pPr>
        <w:numPr>
          <w:ilvl w:val="0"/>
          <w:numId w:val="1"/>
        </w:numPr>
      </w:pPr>
      <w:r>
        <w:rPr>
          <w:b/>
          <w:bCs/>
        </w:rPr>
        <w:t>Knight Foundation &amp; University of Washington.</w:t>
      </w:r>
      <w:r>
        <w:t xml:space="preserve"> (2019, Aug. 1). </w:t>
      </w:r>
      <w:r>
        <w:rPr>
          <w:i/>
          <w:iCs/>
        </w:rPr>
        <w:t>Defending our democracy against disinformation</w:t>
      </w:r>
      <w:r>
        <w:t>. [Knight blog post]</w:t>
      </w:r>
      <w:hyperlink r:id="rId693" w:anchor=":~:text=,the%20launch%20of%20UW%E2%80%99s%20CIP">
        <w:r>
          <w:rPr>
            <w:rStyle w:val="Hyperlink"/>
          </w:rPr>
          <w:t>[57]</w:t>
        </w:r>
      </w:hyperlink>
      <w:r>
        <w:t xml:space="preserve">. Archived at </w:t>
      </w:r>
      <w:r>
        <w:rPr>
          <w:i/>
          <w:iCs/>
        </w:rPr>
        <w:t>web.archive.org</w:t>
      </w:r>
      <w:r>
        <w:t xml:space="preserve"> (Accessed 2025).</w:t>
      </w:r>
    </w:p>
    <w:p w14:paraId="186F4A09" w14:textId="77777777" w:rsidR="00345367" w:rsidRDefault="00345367" w:rsidP="00345367">
      <w:pPr>
        <w:numPr>
          <w:ilvl w:val="0"/>
          <w:numId w:val="1"/>
        </w:numPr>
      </w:pPr>
      <w:r>
        <w:rPr>
          <w:b/>
          <w:bCs/>
        </w:rPr>
        <w:t>Carnegie Mellon University.</w:t>
      </w:r>
      <w:r>
        <w:t xml:space="preserve"> (2019). </w:t>
      </w:r>
      <w:r>
        <w:rPr>
          <w:i/>
          <w:iCs/>
        </w:rPr>
        <w:t>$5M Knight Foundation Investment Creates Center To Fight Online Disinformation</w:t>
      </w:r>
      <w:r>
        <w:t>. [CMU Make Possible campaign news]</w:t>
      </w:r>
      <w:hyperlink r:id="rId694" w:anchor=":~:text=,about%20democracy%E2%80%99s%20vulnerability%20to%20misinformation">
        <w:r>
          <w:rPr>
            <w:rStyle w:val="Hyperlink"/>
          </w:rPr>
          <w:t>[58]</w:t>
        </w:r>
      </w:hyperlink>
      <w:r>
        <w:t xml:space="preserve">. Archived at </w:t>
      </w:r>
      <w:r>
        <w:rPr>
          <w:i/>
          <w:iCs/>
        </w:rPr>
        <w:t>web.archive.org</w:t>
      </w:r>
      <w:r>
        <w:t xml:space="preserve"> (Accessed 2025).</w:t>
      </w:r>
    </w:p>
    <w:p w14:paraId="0077FA70" w14:textId="77777777" w:rsidR="00345367" w:rsidRDefault="00345367" w:rsidP="00345367">
      <w:pPr>
        <w:numPr>
          <w:ilvl w:val="0"/>
          <w:numId w:val="1"/>
        </w:numPr>
      </w:pPr>
      <w:r>
        <w:rPr>
          <w:b/>
          <w:bCs/>
        </w:rPr>
        <w:t>Omidyar Network.</w:t>
      </w:r>
      <w:r>
        <w:t xml:space="preserve"> (2022, Jan. 11). </w:t>
      </w:r>
      <w:r>
        <w:rPr>
          <w:i/>
          <w:iCs/>
        </w:rPr>
        <w:t>Keeping misinformation, hate, and violence from going viral</w:t>
      </w:r>
      <w:r>
        <w:t>. [Omidyar update]</w:t>
      </w:r>
      <w:hyperlink r:id="rId695" w:anchor=":~:text=,collaborations%20with%20nonprofits%20and%20researchers">
        <w:r>
          <w:rPr>
            <w:rStyle w:val="Hyperlink"/>
          </w:rPr>
          <w:t>[59]</w:t>
        </w:r>
      </w:hyperlink>
      <w:r>
        <w:t xml:space="preserve">. Archived at </w:t>
      </w:r>
      <w:r>
        <w:rPr>
          <w:i/>
          <w:iCs/>
        </w:rPr>
        <w:t>web.archive.org</w:t>
      </w:r>
      <w:r>
        <w:t xml:space="preserve"> (Accessed 2025).</w:t>
      </w:r>
    </w:p>
    <w:p w14:paraId="15CF52E3" w14:textId="77777777" w:rsidR="00345367" w:rsidRDefault="00345367" w:rsidP="00345367">
      <w:pPr>
        <w:numPr>
          <w:ilvl w:val="0"/>
          <w:numId w:val="1"/>
        </w:numPr>
      </w:pPr>
      <w:r>
        <w:rPr>
          <w:b/>
          <w:bCs/>
        </w:rPr>
        <w:t>Election Integrity Partnership.</w:t>
      </w:r>
      <w:r>
        <w:t xml:space="preserve"> (2021). </w:t>
      </w:r>
      <w:r>
        <w:rPr>
          <w:i/>
          <w:iCs/>
        </w:rPr>
        <w:t>The Long Fuse: Misinformation and the 2020 Election – Final Report</w:t>
      </w:r>
      <w:hyperlink r:id="rId696" w:anchor=":~:text=,Stanford">
        <w:r>
          <w:rPr>
            <w:rStyle w:val="Hyperlink"/>
          </w:rPr>
          <w:t>[60]</w:t>
        </w:r>
      </w:hyperlink>
      <w:r>
        <w:t xml:space="preserve">. (Stanford/UW/Graphika/DFRLab collaboration) Archived at </w:t>
      </w:r>
      <w:r>
        <w:rPr>
          <w:i/>
          <w:iCs/>
        </w:rPr>
        <w:t>web.archive.org</w:t>
      </w:r>
      <w:r>
        <w:t xml:space="preserve"> (Accessed 2025).</w:t>
      </w:r>
    </w:p>
    <w:p w14:paraId="4DAB8AC8" w14:textId="77777777" w:rsidR="00345367" w:rsidRDefault="00345367" w:rsidP="00345367">
      <w:pPr>
        <w:numPr>
          <w:ilvl w:val="0"/>
          <w:numId w:val="1"/>
        </w:numPr>
      </w:pPr>
      <w:r>
        <w:rPr>
          <w:b/>
          <w:bCs/>
        </w:rPr>
        <w:t>Meta Newsroom (Kaplan, J.).</w:t>
      </w:r>
      <w:r>
        <w:t xml:space="preserve"> (2025, Jan. 7). </w:t>
      </w:r>
      <w:r>
        <w:rPr>
          <w:i/>
          <w:iCs/>
        </w:rPr>
        <w:t>More Speech and Fewer Mistakes</w:t>
      </w:r>
      <w:r>
        <w:t>. [Meta blog post]</w:t>
      </w:r>
      <w:hyperlink r:id="rId697" w:anchor=":~:text=,primary%20source%20outlining%20policy%20shift">
        <w:r>
          <w:rPr>
            <w:rStyle w:val="Hyperlink"/>
          </w:rPr>
          <w:t>[61]</w:t>
        </w:r>
      </w:hyperlink>
      <w:r>
        <w:t xml:space="preserve">. Archived at </w:t>
      </w:r>
      <w:r>
        <w:rPr>
          <w:i/>
          <w:iCs/>
        </w:rPr>
        <w:t>web.archive.org</w:t>
      </w:r>
      <w:r>
        <w:t xml:space="preserve"> (Accessed 2025).</w:t>
      </w:r>
    </w:p>
    <w:p w14:paraId="48F80877" w14:textId="77777777" w:rsidR="00345367" w:rsidRDefault="00345367" w:rsidP="00345367">
      <w:pPr>
        <w:numPr>
          <w:ilvl w:val="0"/>
          <w:numId w:val="1"/>
        </w:numPr>
      </w:pPr>
      <w:r>
        <w:rPr>
          <w:b/>
          <w:bCs/>
        </w:rPr>
        <w:t>Meta Transparency Center.</w:t>
      </w:r>
      <w:r>
        <w:t xml:space="preserve"> (2016). </w:t>
      </w:r>
      <w:r>
        <w:rPr>
          <w:i/>
          <w:iCs/>
        </w:rPr>
        <w:t>Understanding Meta’s Fact-Checking Program</w:t>
      </w:r>
      <w:r>
        <w:t>. [Transparency Center explainer]</w:t>
      </w:r>
      <w:hyperlink r:id="rId698" w:anchor=":~:text=,but%20relying%20on%20outside%20experts">
        <w:r>
          <w:rPr>
            <w:rStyle w:val="Hyperlink"/>
          </w:rPr>
          <w:t>[62]</w:t>
        </w:r>
      </w:hyperlink>
      <w:r>
        <w:t xml:space="preserve">. Archived at </w:t>
      </w:r>
      <w:r>
        <w:rPr>
          <w:i/>
          <w:iCs/>
        </w:rPr>
        <w:t>web.archive.org</w:t>
      </w:r>
      <w:r>
        <w:t xml:space="preserve"> (Accessed 2025).</w:t>
      </w:r>
    </w:p>
    <w:p w14:paraId="6E698B4E" w14:textId="77777777" w:rsidR="00345367" w:rsidRDefault="00345367" w:rsidP="00345367">
      <w:pPr>
        <w:numPr>
          <w:ilvl w:val="0"/>
          <w:numId w:val="1"/>
        </w:numPr>
      </w:pPr>
      <w:r>
        <w:rPr>
          <w:b/>
          <w:bCs/>
        </w:rPr>
        <w:t>Meta Transparency Center.</w:t>
      </w:r>
      <w:r>
        <w:t xml:space="preserve"> (2025). </w:t>
      </w:r>
      <w:r>
        <w:rPr>
          <w:i/>
          <w:iCs/>
        </w:rPr>
        <w:t>Community Standards Enforcement Report – Q1 2025</w:t>
      </w:r>
      <w:r>
        <w:t>. [Transparency report]</w:t>
      </w:r>
      <w:hyperlink r:id="rId699" w:anchor=":~:text=reference%20to%20show%20even">
        <w:r>
          <w:rPr>
            <w:rStyle w:val="Hyperlink"/>
          </w:rPr>
          <w:t>[63]</w:t>
        </w:r>
      </w:hyperlink>
      <w:r>
        <w:t xml:space="preserve">. Archived at </w:t>
      </w:r>
      <w:r>
        <w:rPr>
          <w:i/>
          <w:iCs/>
        </w:rPr>
        <w:t>web.archive.org</w:t>
      </w:r>
      <w:r>
        <w:t xml:space="preserve"> (Accessed 2025).</w:t>
      </w:r>
    </w:p>
    <w:p w14:paraId="62121383" w14:textId="77777777" w:rsidR="00345367" w:rsidRDefault="00345367" w:rsidP="00345367">
      <w:pPr>
        <w:numPr>
          <w:ilvl w:val="0"/>
          <w:numId w:val="1"/>
        </w:numPr>
      </w:pPr>
      <w:r>
        <w:rPr>
          <w:b/>
          <w:bCs/>
        </w:rPr>
        <w:t>Twitter Safety.</w:t>
      </w:r>
      <w:r>
        <w:t xml:space="preserve"> (2020). </w:t>
      </w:r>
      <w:r>
        <w:rPr>
          <w:i/>
          <w:iCs/>
        </w:rPr>
        <w:t>Civic Integrity Policy Enforcement Updates</w:t>
      </w:r>
      <w:r>
        <w:t>. [Twitter Safety threads/posts]</w:t>
      </w:r>
      <w:hyperlink r:id="rId700" w:anchor=":~:text=,handed%20examples">
        <w:r>
          <w:rPr>
            <w:rStyle w:val="Hyperlink"/>
          </w:rPr>
          <w:t>[64]</w:t>
        </w:r>
      </w:hyperlink>
      <w:r>
        <w:t>. (Archived Twitter threads) (Accessed 2025).</w:t>
      </w:r>
    </w:p>
    <w:p w14:paraId="6A83833F" w14:textId="77777777" w:rsidR="00345367" w:rsidRDefault="00345367" w:rsidP="00345367">
      <w:pPr>
        <w:numPr>
          <w:ilvl w:val="0"/>
          <w:numId w:val="1"/>
        </w:numPr>
      </w:pPr>
      <w:r>
        <w:rPr>
          <w:b/>
          <w:bCs/>
        </w:rPr>
        <w:t>YouTube Official Blog.</w:t>
      </w:r>
      <w:r>
        <w:t xml:space="preserve"> (2023, June). </w:t>
      </w:r>
      <w:r>
        <w:rPr>
          <w:i/>
          <w:iCs/>
        </w:rPr>
        <w:t>Updating our approach to election misinformation</w:t>
      </w:r>
      <w:r>
        <w:t>. [YouTube company blog]</w:t>
      </w:r>
      <w:hyperlink r:id="rId701" w:anchor=":~:text=requiring%20timeline.%20,on%20a%20major%20moderation%20case">
        <w:r>
          <w:rPr>
            <w:rStyle w:val="Hyperlink"/>
          </w:rPr>
          <w:t>[65]</w:t>
        </w:r>
      </w:hyperlink>
      <w:r>
        <w:t xml:space="preserve">. Archived at </w:t>
      </w:r>
      <w:r>
        <w:rPr>
          <w:i/>
          <w:iCs/>
        </w:rPr>
        <w:t>web.archive.org</w:t>
      </w:r>
      <w:r>
        <w:t xml:space="preserve"> (Accessed 2025).</w:t>
      </w:r>
    </w:p>
    <w:p w14:paraId="524EEEFD" w14:textId="77777777" w:rsidR="00345367" w:rsidRDefault="00345367" w:rsidP="00345367">
      <w:pPr>
        <w:numPr>
          <w:ilvl w:val="0"/>
          <w:numId w:val="1"/>
        </w:numPr>
      </w:pPr>
      <w:r>
        <w:rPr>
          <w:b/>
          <w:bCs/>
        </w:rPr>
        <w:lastRenderedPageBreak/>
        <w:t>Facebook Newsroom.</w:t>
      </w:r>
      <w:r>
        <w:t xml:space="preserve"> (2020). </w:t>
      </w:r>
      <w:r>
        <w:rPr>
          <w:i/>
          <w:iCs/>
        </w:rPr>
        <w:t>Facebook Election Integrity Policy Posts (2020)</w:t>
      </w:r>
      <w:hyperlink r:id="rId702" w:anchor=":~:text=,that%20could%20later%20be%20loosened">
        <w:r>
          <w:rPr>
            <w:rStyle w:val="Hyperlink"/>
          </w:rPr>
          <w:t>[66]</w:t>
        </w:r>
      </w:hyperlink>
      <w:r>
        <w:t>. [Collection of policy updates banning false ads, etc.] (Archived examples) (Accessed 2025).</w:t>
      </w:r>
    </w:p>
    <w:p w14:paraId="3933375A" w14:textId="77777777" w:rsidR="00345367" w:rsidRDefault="00345367" w:rsidP="00345367">
      <w:pPr>
        <w:numPr>
          <w:ilvl w:val="0"/>
          <w:numId w:val="1"/>
        </w:numPr>
      </w:pPr>
      <w:r>
        <w:rPr>
          <w:b/>
          <w:bCs/>
        </w:rPr>
        <w:t>Social Science One.</w:t>
      </w:r>
      <w:r>
        <w:t xml:space="preserve"> (2018–2020). </w:t>
      </w:r>
      <w:r>
        <w:rPr>
          <w:i/>
          <w:iCs/>
        </w:rPr>
        <w:t>Social Science One – Official Documentation</w:t>
      </w:r>
      <w:r>
        <w:t>. [Project site]</w:t>
      </w:r>
      <w:hyperlink r:id="rId703" w:anchor=":~:text=,collaborations%20between%20platforms%20and%20researchers">
        <w:r>
          <w:rPr>
            <w:rStyle w:val="Hyperlink"/>
          </w:rPr>
          <w:t>[67]</w:t>
        </w:r>
      </w:hyperlink>
      <w:r>
        <w:t xml:space="preserve">. Archived at </w:t>
      </w:r>
      <w:r>
        <w:rPr>
          <w:i/>
          <w:iCs/>
        </w:rPr>
        <w:t>web.archive.org</w:t>
      </w:r>
      <w:r>
        <w:t xml:space="preserve"> (Accessed 2025).</w:t>
      </w:r>
    </w:p>
    <w:p w14:paraId="7CDF508F" w14:textId="77777777" w:rsidR="00345367" w:rsidRDefault="00345367" w:rsidP="003D75F7">
      <w:pPr>
        <w:pStyle w:val="Heading2"/>
      </w:pPr>
      <w:bookmarkStart w:id="77" w:name="other"/>
      <w:bookmarkEnd w:id="76"/>
      <w:r>
        <w:t>Other</w:t>
      </w:r>
    </w:p>
    <w:p w14:paraId="1E226820" w14:textId="77777777" w:rsidR="00345367" w:rsidRDefault="00345367" w:rsidP="00345367">
      <w:pPr>
        <w:numPr>
          <w:ilvl w:val="0"/>
          <w:numId w:val="1"/>
        </w:numPr>
      </w:pPr>
      <w:r>
        <w:rPr>
          <w:b/>
          <w:bCs/>
        </w:rPr>
        <w:t>Wikipedia.</w:t>
      </w:r>
      <w:r>
        <w:t xml:space="preserve"> (n.d.). </w:t>
      </w:r>
      <w:r>
        <w:rPr>
          <w:i/>
          <w:iCs/>
        </w:rPr>
        <w:t>Balcerowicz Plan</w:t>
      </w:r>
      <w:r>
        <w:t xml:space="preserve">. In </w:t>
      </w:r>
      <w:r>
        <w:rPr>
          <w:i/>
          <w:iCs/>
        </w:rPr>
        <w:t>Wikipedia, The Free Encyclopedia</w:t>
      </w:r>
      <w:r>
        <w:t>. (Overview of Poland’s 1990 “shock therapy” program) (Accessed 2025).</w:t>
      </w:r>
    </w:p>
    <w:p w14:paraId="290155F0" w14:textId="77777777" w:rsidR="00345367" w:rsidRDefault="00345367" w:rsidP="00345367">
      <w:pPr>
        <w:numPr>
          <w:ilvl w:val="0"/>
          <w:numId w:val="1"/>
        </w:numPr>
      </w:pPr>
      <w:r>
        <w:rPr>
          <w:b/>
          <w:bCs/>
        </w:rPr>
        <w:t>Wikipedia.</w:t>
      </w:r>
      <w:r>
        <w:t xml:space="preserve"> (n.d.). </w:t>
      </w:r>
      <w:r>
        <w:rPr>
          <w:i/>
          <w:iCs/>
        </w:rPr>
        <w:t>Walerian Pańko</w:t>
      </w:r>
      <w:r>
        <w:t xml:space="preserve">. In </w:t>
      </w:r>
      <w:r>
        <w:rPr>
          <w:i/>
          <w:iCs/>
        </w:rPr>
        <w:t>Wikipedia, The Free Encyclopedia</w:t>
      </w:r>
      <w:r>
        <w:t xml:space="preserve">. (Details of Poland’s FOZZ corruption scandal) </w:t>
      </w:r>
      <w:hyperlink r:id="rId704" w:anchor=":~:text=S%3APankoWiki%20%E2%80%93%20Walerian%20Pa%C5%84ko%20%E2%80%93,Retrieved%20March%2016%2C%202016">
        <w:r>
          <w:rPr>
            <w:rStyle w:val="Hyperlink"/>
          </w:rPr>
          <w:t>[68]</w:t>
        </w:r>
      </w:hyperlink>
      <w:r>
        <w:t xml:space="preserve"> (Accessed March 16, 2016).</w:t>
      </w:r>
    </w:p>
    <w:p w14:paraId="334AA883" w14:textId="77777777" w:rsidR="00345367" w:rsidRDefault="00345367" w:rsidP="00345367">
      <w:pPr>
        <w:numPr>
          <w:ilvl w:val="0"/>
          <w:numId w:val="1"/>
        </w:numPr>
      </w:pPr>
      <w:r>
        <w:rPr>
          <w:b/>
          <w:bCs/>
        </w:rPr>
        <w:t>Wikipedia.</w:t>
      </w:r>
      <w:r>
        <w:t xml:space="preserve"> (n.d.). </w:t>
      </w:r>
      <w:r>
        <w:rPr>
          <w:i/>
          <w:iCs/>
        </w:rPr>
        <w:t>Corruption in Ukraine</w:t>
      </w:r>
      <w:r>
        <w:t xml:space="preserve">. In </w:t>
      </w:r>
      <w:r>
        <w:rPr>
          <w:i/>
          <w:iCs/>
        </w:rPr>
        <w:t>Wikipedia, The Free Encyclopedia</w:t>
      </w:r>
      <w:r>
        <w:t>. (Historical context of corruption in 1990s–2010s Ukraine) (Accessed 2025).</w:t>
      </w:r>
    </w:p>
    <w:p w14:paraId="522F78A3" w14:textId="77777777" w:rsidR="00345367" w:rsidRDefault="00345367" w:rsidP="00345367">
      <w:pPr>
        <w:numPr>
          <w:ilvl w:val="0"/>
          <w:numId w:val="1"/>
        </w:numPr>
      </w:pPr>
      <w:r>
        <w:rPr>
          <w:b/>
          <w:bCs/>
        </w:rPr>
        <w:t>Wikipedia.</w:t>
      </w:r>
      <w:r>
        <w:t xml:space="preserve"> (n.d.). </w:t>
      </w:r>
      <w:r>
        <w:rPr>
          <w:i/>
          <w:iCs/>
        </w:rPr>
        <w:t>Sixteen Thirty Fund</w:t>
      </w:r>
      <w:r>
        <w:t xml:space="preserve">. In </w:t>
      </w:r>
      <w:r>
        <w:rPr>
          <w:i/>
          <w:iCs/>
        </w:rPr>
        <w:t>Wikipedia, The Free Encyclopedia</w:t>
      </w:r>
      <w:r>
        <w:t>. (Last edited 2023; describes 501(c)(4) Sixteen Thirty Fund)</w:t>
      </w:r>
      <w:hyperlink r:id="rId705" w:anchor=":~:text=cannot%20fund%20c4s%E2%80%99%20lobbying%2Felection%20efforts">
        <w:r>
          <w:rPr>
            <w:rStyle w:val="Hyperlink"/>
          </w:rPr>
          <w:t>[69]</w:t>
        </w:r>
      </w:hyperlink>
      <w:r>
        <w:t xml:space="preserve"> (Accessed 2025).</w:t>
      </w:r>
    </w:p>
    <w:p w14:paraId="0233F743" w14:textId="77777777" w:rsidR="00345367" w:rsidRDefault="00345367" w:rsidP="00345367">
      <w:pPr>
        <w:numPr>
          <w:ilvl w:val="0"/>
          <w:numId w:val="1"/>
        </w:numPr>
      </w:pPr>
      <w:r>
        <w:rPr>
          <w:b/>
          <w:bCs/>
        </w:rPr>
        <w:t>Wikipedia.</w:t>
      </w:r>
      <w:r>
        <w:t xml:space="preserve"> (n.d.). </w:t>
      </w:r>
      <w:r>
        <w:rPr>
          <w:i/>
          <w:iCs/>
        </w:rPr>
        <w:t>Open Society Foundations</w:t>
      </w:r>
      <w:r>
        <w:t xml:space="preserve"> – Controversies. In </w:t>
      </w:r>
      <w:r>
        <w:rPr>
          <w:i/>
          <w:iCs/>
        </w:rPr>
        <w:t>Wikipedia, The Free Encyclopedia</w:t>
      </w:r>
      <w:r>
        <w:t>. (Accessed March 2025).</w:t>
      </w:r>
    </w:p>
    <w:p w14:paraId="1EA163FD" w14:textId="77777777" w:rsidR="00345367" w:rsidRDefault="00345367" w:rsidP="00345367">
      <w:pPr>
        <w:numPr>
          <w:ilvl w:val="0"/>
          <w:numId w:val="1"/>
        </w:numPr>
      </w:pPr>
      <w:r>
        <w:rPr>
          <w:b/>
          <w:bCs/>
        </w:rPr>
        <w:t>Fox News.</w:t>
      </w:r>
      <w:r>
        <w:t xml:space="preserve"> (2010, Oct. 22). </w:t>
      </w:r>
      <w:r>
        <w:rPr>
          <w:i/>
          <w:iCs/>
        </w:rPr>
        <w:t>Billionaire Soros Pays for Additional Reporters for NPR</w:t>
      </w:r>
      <w:hyperlink r:id="rId706" w:anchor=":~:text=and%20case%20studies">
        <w:r>
          <w:rPr>
            <w:rStyle w:val="Hyperlink"/>
          </w:rPr>
          <w:t>[70]</w:t>
        </w:r>
      </w:hyperlink>
      <w:r>
        <w:t>. (News article highlighting OSF grant to NPR) (Accessed August 2025).</w:t>
      </w:r>
    </w:p>
    <w:p w14:paraId="30859F8E" w14:textId="77777777" w:rsidR="00345367" w:rsidRDefault="00345367" w:rsidP="00345367">
      <w:pPr>
        <w:numPr>
          <w:ilvl w:val="0"/>
          <w:numId w:val="1"/>
        </w:numPr>
      </w:pPr>
      <w:r>
        <w:rPr>
          <w:b/>
          <w:bCs/>
        </w:rPr>
        <w:t>Philanthropy News Digest.</w:t>
      </w:r>
      <w:r>
        <w:t xml:space="preserve"> (2010, Oct. 22). </w:t>
      </w:r>
      <w:r>
        <w:rPr>
          <w:i/>
          <w:iCs/>
        </w:rPr>
        <w:t>Media Matters Receives $1 Million From George Soros</w:t>
      </w:r>
      <w:hyperlink r:id="rId707" w:anchor=":~:text=,32">
        <w:r>
          <w:rPr>
            <w:rStyle w:val="Hyperlink"/>
          </w:rPr>
          <w:t>[71]</w:t>
        </w:r>
      </w:hyperlink>
      <w:r>
        <w:t>. (Reports Soros’s donation to Media Matters) (Accessed August 2025).</w:t>
      </w:r>
    </w:p>
    <w:p w14:paraId="1146CF60" w14:textId="77777777" w:rsidR="00345367" w:rsidRDefault="00345367" w:rsidP="00345367">
      <w:pPr>
        <w:numPr>
          <w:ilvl w:val="0"/>
          <w:numId w:val="1"/>
        </w:numPr>
      </w:pPr>
      <w:r>
        <w:rPr>
          <w:b/>
          <w:bCs/>
        </w:rPr>
        <w:t>Human Rights Watch (Gall, L.).</w:t>
      </w:r>
      <w:r>
        <w:t xml:space="preserve"> (2017, Sept. 29). </w:t>
      </w:r>
      <w:r>
        <w:rPr>
          <w:i/>
          <w:iCs/>
        </w:rPr>
        <w:t>Hungary Begins a New Official Hate Campaign</w:t>
      </w:r>
      <w:r>
        <w:t xml:space="preserve">. </w:t>
      </w:r>
      <w:r>
        <w:rPr>
          <w:i/>
          <w:iCs/>
        </w:rPr>
        <w:t>HRW Dispatches</w:t>
      </w:r>
      <w:hyperlink r:id="rId708" w:anchor=":~:text=,Archived%3A%20link">
        <w:r>
          <w:rPr>
            <w:rStyle w:val="Hyperlink"/>
          </w:rPr>
          <w:t>[72]</w:t>
        </w:r>
      </w:hyperlink>
      <w:r>
        <w:t>. (Accessed August 2025).</w:t>
      </w:r>
    </w:p>
    <w:p w14:paraId="648E3F9C" w14:textId="77777777" w:rsidR="00345367" w:rsidRDefault="00345367" w:rsidP="00345367">
      <w:pPr>
        <w:numPr>
          <w:ilvl w:val="0"/>
          <w:numId w:val="1"/>
        </w:numPr>
      </w:pPr>
      <w:r>
        <w:rPr>
          <w:b/>
          <w:bCs/>
        </w:rPr>
        <w:t>Human Rights Watch (Gall, L.).</w:t>
      </w:r>
      <w:r>
        <w:t xml:space="preserve"> (2017, April 11). </w:t>
      </w:r>
      <w:r>
        <w:rPr>
          <w:i/>
          <w:iCs/>
        </w:rPr>
        <w:t>Mass Protests Fail to Curb Hungary’s Crackdown</w:t>
      </w:r>
      <w:r>
        <w:t xml:space="preserve">. </w:t>
      </w:r>
      <w:r>
        <w:rPr>
          <w:i/>
          <w:iCs/>
        </w:rPr>
        <w:t>HRW Dispatches</w:t>
      </w:r>
      <w:hyperlink r:id="rId709" w:anchor=":~:text=,Archived%3A%20link">
        <w:r>
          <w:rPr>
            <w:rStyle w:val="Hyperlink"/>
          </w:rPr>
          <w:t>[73]</w:t>
        </w:r>
      </w:hyperlink>
      <w:r>
        <w:t>. (Accessed August 2025).</w:t>
      </w:r>
    </w:p>
    <w:p w14:paraId="402B242E" w14:textId="77777777" w:rsidR="00345367" w:rsidRDefault="00345367" w:rsidP="00345367">
      <w:pPr>
        <w:numPr>
          <w:ilvl w:val="0"/>
          <w:numId w:val="1"/>
        </w:numPr>
      </w:pPr>
      <w:r>
        <w:rPr>
          <w:b/>
          <w:bCs/>
        </w:rPr>
        <w:t>Center for Media and Democracy (Armiak, D.).</w:t>
      </w:r>
      <w:r>
        <w:t xml:space="preserve"> (2024, Nov. 20). </w:t>
      </w:r>
      <w:r>
        <w:rPr>
          <w:i/>
          <w:iCs/>
        </w:rPr>
        <w:t>DonorsTrust Injected More Than $150 Million in Untraceable Cash Into Right-Wing Groups in 2023</w:t>
      </w:r>
      <w:hyperlink r:id="rId710" w:anchor=":~:text=expenditure%20on%20such%20intervention%20is,77">
        <w:r>
          <w:rPr>
            <w:rStyle w:val="Hyperlink"/>
          </w:rPr>
          <w:t>[74]</w:t>
        </w:r>
      </w:hyperlink>
      <w:r>
        <w:t xml:space="preserve">. </w:t>
      </w:r>
      <w:r>
        <w:rPr>
          <w:i/>
          <w:iCs/>
        </w:rPr>
        <w:t>EXPOSED by CMD</w:t>
      </w:r>
      <w:r>
        <w:t>. (Analysis of DonorsTrust 2023 IRS filing) (Accessed August 2025).</w:t>
      </w:r>
    </w:p>
    <w:p w14:paraId="5217D0C0" w14:textId="77777777" w:rsidR="00345367" w:rsidRDefault="00345367" w:rsidP="00345367">
      <w:pPr>
        <w:numPr>
          <w:ilvl w:val="0"/>
          <w:numId w:val="1"/>
        </w:numPr>
      </w:pPr>
      <w:r>
        <w:rPr>
          <w:b/>
          <w:bCs/>
        </w:rPr>
        <w:t>Chronicle of Philanthropy.</w:t>
      </w:r>
      <w:r>
        <w:t xml:space="preserve"> (2015, Feb. 4). </w:t>
      </w:r>
      <w:r>
        <w:rPr>
          <w:i/>
          <w:iCs/>
        </w:rPr>
        <w:t>Soros and Feeney Funds Backed Calif. Measure on Drug Charges</w:t>
      </w:r>
      <w:r>
        <w:t xml:space="preserve">. </w:t>
      </w:r>
      <w:r>
        <w:rPr>
          <w:i/>
          <w:iCs/>
        </w:rPr>
        <w:t>(Philanthropy Brief)</w:t>
      </w:r>
      <w:hyperlink r:id="rId711" w:anchor=":~:text=,charges%20%28partial%20content%20visible">
        <w:r>
          <w:rPr>
            <w:rStyle w:val="Hyperlink"/>
          </w:rPr>
          <w:t>[75]</w:t>
        </w:r>
      </w:hyperlink>
      <w:r>
        <w:t>. (Notes OSF and Atlantic contributions to Prop 47 campaign) (Accessed August 2025).</w:t>
      </w:r>
    </w:p>
    <w:p w14:paraId="76B03FFF" w14:textId="77777777" w:rsidR="00345367" w:rsidRDefault="00345367" w:rsidP="00345367">
      <w:pPr>
        <w:numPr>
          <w:ilvl w:val="0"/>
          <w:numId w:val="1"/>
        </w:numPr>
      </w:pPr>
      <w:r>
        <w:rPr>
          <w:b/>
          <w:bCs/>
        </w:rPr>
        <w:lastRenderedPageBreak/>
        <w:t>American Surety Company.</w:t>
      </w:r>
      <w:r>
        <w:t xml:space="preserve"> (2015, Mar. 8). </w:t>
      </w:r>
      <w:r>
        <w:rPr>
          <w:i/>
          <w:iCs/>
        </w:rPr>
        <w:t>Keeping an Ear to the Ground</w:t>
      </w:r>
      <w:r>
        <w:t xml:space="preserve">. </w:t>
      </w:r>
      <w:r>
        <w:rPr>
          <w:i/>
          <w:iCs/>
        </w:rPr>
        <w:t>(Company blog)</w:t>
      </w:r>
      <w:hyperlink r:id="rId712" w:anchor=":~:text=,ground">
        <w:r>
          <w:rPr>
            <w:rStyle w:val="Hyperlink"/>
          </w:rPr>
          <w:t>[76]</w:t>
        </w:r>
      </w:hyperlink>
      <w:r>
        <w:t>. (Bail industry post noting Coalition for Public Safety launch) (Accessed August 2025).</w:t>
      </w:r>
    </w:p>
    <w:p w14:paraId="62940934" w14:textId="77777777" w:rsidR="00345367" w:rsidRDefault="00345367" w:rsidP="00345367">
      <w:pPr>
        <w:numPr>
          <w:ilvl w:val="0"/>
          <w:numId w:val="1"/>
        </w:numPr>
      </w:pPr>
      <w:r>
        <w:rPr>
          <w:b/>
          <w:bCs/>
        </w:rPr>
        <w:t>Poynter Institute (Brown, N.).</w:t>
      </w:r>
      <w:r>
        <w:t xml:space="preserve"> (2025). </w:t>
      </w:r>
      <w:r>
        <w:rPr>
          <w:i/>
          <w:iCs/>
        </w:rPr>
        <w:t>“Facts are not censorship...” – Response to Meta’s policy shift</w:t>
      </w:r>
      <w:r>
        <w:t>. (Statement quoted in WiredMeta2025) (Accessed 2025).</w:t>
      </w:r>
    </w:p>
    <w:p w14:paraId="6431FB90" w14:textId="77777777" w:rsidR="00345367" w:rsidRDefault="00345367" w:rsidP="00345367">
      <w:pPr>
        <w:numPr>
          <w:ilvl w:val="0"/>
          <w:numId w:val="1"/>
        </w:numPr>
      </w:pPr>
      <w:r>
        <w:rPr>
          <w:b/>
          <w:bCs/>
        </w:rPr>
        <w:t>Jankowicz, N.</w:t>
      </w:r>
      <w:r>
        <w:t xml:space="preserve"> (2025). </w:t>
      </w:r>
      <w:r>
        <w:rPr>
          <w:i/>
          <w:iCs/>
        </w:rPr>
        <w:t>Statement on Meta ending fact-checker partnerships</w:t>
      </w:r>
      <w:r>
        <w:t>. (Quoted in Wired, calls move “bending a knee to Trump”) (Accessed 2025).</w:t>
      </w:r>
    </w:p>
    <w:p w14:paraId="6C8C9DD3" w14:textId="77777777" w:rsidR="00345367" w:rsidRDefault="00345367" w:rsidP="00345367">
      <w:pPr>
        <w:numPr>
          <w:ilvl w:val="0"/>
          <w:numId w:val="1"/>
        </w:numPr>
      </w:pPr>
      <w:r>
        <w:rPr>
          <w:b/>
          <w:bCs/>
        </w:rPr>
        <w:t>Yahoo Finance.</w:t>
      </w:r>
      <w:r>
        <w:t xml:space="preserve"> (2024, Dec.). </w:t>
      </w:r>
      <w:r>
        <w:rPr>
          <w:i/>
          <w:iCs/>
        </w:rPr>
        <w:t>(Mark Zuckerberg remarks on content moderation)</w:t>
      </w:r>
      <w:hyperlink r:id="rId713" w:anchor=":~:text=,Included%20in%20WiredMeta2025%20reference%20list">
        <w:r>
          <w:rPr>
            <w:rStyle w:val="Hyperlink"/>
          </w:rPr>
          <w:t>[77]</w:t>
        </w:r>
      </w:hyperlink>
      <w:r>
        <w:t>. (Article noting Zuckerberg’s comments about “legacy media” influence, cited in WiredMeta2025) (Accessed August 2025).</w:t>
      </w:r>
    </w:p>
    <w:p w14:paraId="698F91AC" w14:textId="77777777" w:rsidR="00345367" w:rsidRDefault="00345367" w:rsidP="003D75F7">
      <w:pPr>
        <w:pStyle w:val="Heading2"/>
      </w:pPr>
      <w:bookmarkStart w:id="78" w:name="methodological-aids"/>
      <w:bookmarkEnd w:id="77"/>
      <w:r>
        <w:t>Methodological Aids</w:t>
      </w:r>
    </w:p>
    <w:p w14:paraId="43D47496" w14:textId="77777777" w:rsidR="00345367" w:rsidRDefault="00345367" w:rsidP="00345367">
      <w:pPr>
        <w:numPr>
          <w:ilvl w:val="0"/>
          <w:numId w:val="1"/>
        </w:numPr>
      </w:pPr>
      <w:r>
        <w:rPr>
          <w:b/>
          <w:bCs/>
        </w:rPr>
        <w:t>American Psychological Association.</w:t>
      </w:r>
      <w:r>
        <w:t xml:space="preserve"> (2020). </w:t>
      </w:r>
      <w:r>
        <w:rPr>
          <w:i/>
          <w:iCs/>
        </w:rPr>
        <w:t>Publication Manual of the American Psychological Association</w:t>
      </w:r>
      <w:r>
        <w:t xml:space="preserve"> (7th ed.). APA. – Used for citation style guidelines.</w:t>
      </w:r>
    </w:p>
    <w:p w14:paraId="4889770F" w14:textId="77777777" w:rsidR="00345367" w:rsidRDefault="00345367" w:rsidP="00345367">
      <w:pPr>
        <w:numPr>
          <w:ilvl w:val="0"/>
          <w:numId w:val="1"/>
        </w:numPr>
      </w:pPr>
      <w:r>
        <w:rPr>
          <w:b/>
          <w:bCs/>
        </w:rPr>
        <w:t>AP Stylebook</w:t>
      </w:r>
      <w:r>
        <w:t xml:space="preserve"> (55th ed., 2020). Associated Press. – Consulted for consistent naming of organizations and titles.</w:t>
      </w:r>
    </w:p>
    <w:p w14:paraId="5CA948BF" w14:textId="77777777" w:rsidR="00345367" w:rsidRDefault="00345367" w:rsidP="00345367">
      <w:pPr>
        <w:numPr>
          <w:ilvl w:val="0"/>
          <w:numId w:val="1"/>
        </w:numPr>
      </w:pPr>
      <w:r>
        <w:rPr>
          <w:b/>
          <w:bCs/>
        </w:rPr>
        <w:t>Chicago Manual of Style</w:t>
      </w:r>
      <w:r>
        <w:t xml:space="preserve"> (17th ed., 2017). University of Chicago Press. – Cross-referenced for handling of archival URLs and access dates.</w:t>
      </w:r>
    </w:p>
    <w:p w14:paraId="6558C078" w14:textId="77777777" w:rsidR="00345367" w:rsidRDefault="00345367" w:rsidP="00345367">
      <w:pPr>
        <w:numPr>
          <w:ilvl w:val="0"/>
          <w:numId w:val="1"/>
        </w:numPr>
      </w:pPr>
      <w:r>
        <w:rPr>
          <w:b/>
          <w:bCs/>
        </w:rPr>
        <w:t>Fact-Checking Resources:</w:t>
      </w:r>
      <w:r>
        <w:t xml:space="preserve"> Poynter’s International Fact-Checking Network (IFCN) guidelines and Snopes/PolitiFact archives were referenced to verify claims about sources (e.g., Soros-related misinformation debunked)</w:t>
      </w:r>
      <w:hyperlink r:id="rId714" w:anchor=":~:text=S%3AReutersFactCheck2020%20%E2%80%93%20%E2%80%9CFact%20check%3A%20False,checks.%20%28reuters.com">
        <w:r>
          <w:rPr>
            <w:rStyle w:val="Hyperlink"/>
          </w:rPr>
          <w:t>[19]</w:t>
        </w:r>
      </w:hyperlink>
      <w:r>
        <w:t>.</w:t>
      </w:r>
    </w:p>
    <w:p w14:paraId="18DCA9D1" w14:textId="77777777" w:rsidR="00345367" w:rsidRDefault="00345367" w:rsidP="00345367">
      <w:pPr>
        <w:numPr>
          <w:ilvl w:val="0"/>
          <w:numId w:val="1"/>
        </w:numPr>
      </w:pPr>
      <w:r>
        <w:rPr>
          <w:b/>
          <w:bCs/>
        </w:rPr>
        <w:t>Research Logs &amp; Protocols:</w:t>
      </w:r>
      <w:r>
        <w:t xml:space="preserve"> The compiled research log provided by the user (2025) was utilized to ensure completeness of sources and adherence to the project’s citation protocol, including preserving archive links and “accessed” dates for future verification.</w:t>
      </w:r>
    </w:p>
    <w:bookmarkEnd w:id="78"/>
    <w:p w14:paraId="646B71D1" w14:textId="77777777" w:rsidR="00345367" w:rsidRDefault="00345367" w:rsidP="00345367">
      <w:r>
        <w:pict w14:anchorId="739DC601">
          <v:rect id="_x0000_i1039" style="width:0;height:1.5pt" o:hralign="center" o:hrstd="t" o:hr="t"/>
        </w:pict>
      </w:r>
    </w:p>
    <w:p w14:paraId="54AA6B66" w14:textId="77777777" w:rsidR="00342852" w:rsidRDefault="00342852" w:rsidP="00406E3B"/>
    <w:p w14:paraId="44655BA7" w14:textId="77777777" w:rsidR="00342852" w:rsidRDefault="00342852" w:rsidP="00406E3B"/>
    <w:p w14:paraId="0361E5DA" w14:textId="77777777" w:rsidR="00342852" w:rsidRDefault="00342852" w:rsidP="00406E3B"/>
    <w:p w14:paraId="7F1C0FCF" w14:textId="77777777" w:rsidR="00342852" w:rsidRDefault="00342852" w:rsidP="00406E3B"/>
    <w:p w14:paraId="371E22BC" w14:textId="77777777" w:rsidR="00342852" w:rsidRDefault="00342852" w:rsidP="00406E3B"/>
    <w:p w14:paraId="7452285E" w14:textId="77777777" w:rsidR="00342852" w:rsidRDefault="00342852" w:rsidP="00406E3B"/>
    <w:p w14:paraId="4961E0EE" w14:textId="77777777" w:rsidR="00342852" w:rsidRDefault="00342852" w:rsidP="00406E3B"/>
    <w:p w14:paraId="3B1E385C" w14:textId="065A41B4" w:rsidR="003D75F7" w:rsidRDefault="003D75F7" w:rsidP="003D75F7">
      <w:pPr>
        <w:pStyle w:val="Heading2"/>
      </w:pPr>
      <w:bookmarkStart w:id="79" w:name="Xbdc92ab365328bf16670f3f913979c3a510c511"/>
      <w:r>
        <w:lastRenderedPageBreak/>
        <w:t xml:space="preserve">Appendix B: </w:t>
      </w:r>
      <w:r>
        <w:t>Claims Ledger Index</w:t>
      </w:r>
    </w:p>
    <w:tbl>
      <w:tblPr>
        <w:tblStyle w:val="Table"/>
        <w:tblW w:w="0" w:type="auto"/>
        <w:tblLook w:val="0020" w:firstRow="1" w:lastRow="0" w:firstColumn="0" w:lastColumn="0" w:noHBand="0" w:noVBand="0"/>
      </w:tblPr>
      <w:tblGrid>
        <w:gridCol w:w="5833"/>
        <w:gridCol w:w="1980"/>
        <w:gridCol w:w="1547"/>
      </w:tblGrid>
      <w:tr w:rsidR="003D75F7" w14:paraId="5ADA875C" w14:textId="77777777" w:rsidTr="00F72DEF">
        <w:trPr>
          <w:cnfStyle w:val="100000000000" w:firstRow="1" w:lastRow="0" w:firstColumn="0" w:lastColumn="0" w:oddVBand="0" w:evenVBand="0" w:oddHBand="0" w:evenHBand="0" w:firstRowFirstColumn="0" w:firstRowLastColumn="0" w:lastRowFirstColumn="0" w:lastRowLastColumn="0"/>
          <w:tblHeader/>
        </w:trPr>
        <w:tc>
          <w:tcPr>
            <w:tcW w:w="0" w:type="auto"/>
          </w:tcPr>
          <w:p w14:paraId="1164F874" w14:textId="77777777" w:rsidR="003D75F7" w:rsidRDefault="003D75F7" w:rsidP="00F72DEF">
            <w:pPr>
              <w:pStyle w:val="Compact"/>
            </w:pPr>
            <w:r>
              <w:rPr>
                <w:b/>
                <w:bCs/>
              </w:rPr>
              <w:t>Claim (short label)</w:t>
            </w:r>
          </w:p>
        </w:tc>
        <w:tc>
          <w:tcPr>
            <w:tcW w:w="0" w:type="auto"/>
          </w:tcPr>
          <w:p w14:paraId="699C3FD2" w14:textId="77777777" w:rsidR="003D75F7" w:rsidRDefault="003D75F7" w:rsidP="00F72DEF">
            <w:pPr>
              <w:pStyle w:val="Compact"/>
            </w:pPr>
            <w:r>
              <w:rPr>
                <w:b/>
                <w:bCs/>
              </w:rPr>
              <w:t>Status at publication</w:t>
            </w:r>
          </w:p>
        </w:tc>
        <w:tc>
          <w:tcPr>
            <w:tcW w:w="0" w:type="auto"/>
          </w:tcPr>
          <w:p w14:paraId="2A4958A5" w14:textId="77777777" w:rsidR="003D75F7" w:rsidRDefault="003D75F7" w:rsidP="00F72DEF">
            <w:pPr>
              <w:pStyle w:val="Compact"/>
            </w:pPr>
            <w:r>
              <w:rPr>
                <w:b/>
                <w:bCs/>
              </w:rPr>
              <w:t>Primary chapter</w:t>
            </w:r>
          </w:p>
        </w:tc>
      </w:tr>
      <w:tr w:rsidR="003D75F7" w14:paraId="50EC4235" w14:textId="77777777" w:rsidTr="00F72DEF">
        <w:tc>
          <w:tcPr>
            <w:tcW w:w="0" w:type="auto"/>
          </w:tcPr>
          <w:p w14:paraId="0C87B0F6" w14:textId="77777777" w:rsidR="003D75F7" w:rsidRDefault="003D75F7" w:rsidP="00F72DEF">
            <w:pPr>
              <w:pStyle w:val="Compact"/>
            </w:pPr>
            <w:r>
              <w:t>Arabella Advisors funnels dark money to liberal causes</w:t>
            </w:r>
          </w:p>
        </w:tc>
        <w:tc>
          <w:tcPr>
            <w:tcW w:w="0" w:type="auto"/>
          </w:tcPr>
          <w:p w14:paraId="4C9C8D5B" w14:textId="77777777" w:rsidR="003D75F7" w:rsidRDefault="003D75F7" w:rsidP="00F72DEF">
            <w:pPr>
              <w:pStyle w:val="Compact"/>
            </w:pPr>
            <w:r>
              <w:t>Well Supported</w:t>
            </w:r>
          </w:p>
        </w:tc>
        <w:tc>
          <w:tcPr>
            <w:tcW w:w="0" w:type="auto"/>
          </w:tcPr>
          <w:p w14:paraId="2CE7BA8B" w14:textId="77777777" w:rsidR="003D75F7" w:rsidRDefault="003D75F7" w:rsidP="00F72DEF">
            <w:pPr>
              <w:pStyle w:val="Compact"/>
            </w:pPr>
            <w:r>
              <w:t>10</w:t>
            </w:r>
          </w:p>
        </w:tc>
      </w:tr>
      <w:tr w:rsidR="003D75F7" w14:paraId="2A8C7723" w14:textId="77777777" w:rsidTr="00F72DEF">
        <w:tc>
          <w:tcPr>
            <w:tcW w:w="0" w:type="auto"/>
          </w:tcPr>
          <w:p w14:paraId="12B4D1AF" w14:textId="77777777" w:rsidR="003D75F7" w:rsidRDefault="003D75F7" w:rsidP="00F72DEF">
            <w:pPr>
              <w:pStyle w:val="Compact"/>
            </w:pPr>
            <w:r>
              <w:t>Bail reform drives up violent crime</w:t>
            </w:r>
          </w:p>
        </w:tc>
        <w:tc>
          <w:tcPr>
            <w:tcW w:w="0" w:type="auto"/>
          </w:tcPr>
          <w:p w14:paraId="3DDCE5AA" w14:textId="77777777" w:rsidR="003D75F7" w:rsidRDefault="003D75F7" w:rsidP="00F72DEF">
            <w:pPr>
              <w:pStyle w:val="Compact"/>
            </w:pPr>
            <w:r>
              <w:t>Contested</w:t>
            </w:r>
          </w:p>
        </w:tc>
        <w:tc>
          <w:tcPr>
            <w:tcW w:w="0" w:type="auto"/>
          </w:tcPr>
          <w:p w14:paraId="5E638259" w14:textId="77777777" w:rsidR="003D75F7" w:rsidRDefault="003D75F7" w:rsidP="00F72DEF">
            <w:pPr>
              <w:pStyle w:val="Compact"/>
            </w:pPr>
            <w:r>
              <w:t>14</w:t>
            </w:r>
          </w:p>
        </w:tc>
      </w:tr>
      <w:tr w:rsidR="003D75F7" w14:paraId="51E03B75" w14:textId="77777777" w:rsidTr="00F72DEF">
        <w:tc>
          <w:tcPr>
            <w:tcW w:w="0" w:type="auto"/>
          </w:tcPr>
          <w:p w14:paraId="69C33548" w14:textId="77777777" w:rsidR="003D75F7" w:rsidRDefault="003D75F7" w:rsidP="00F72DEF">
            <w:pPr>
              <w:pStyle w:val="Compact"/>
            </w:pPr>
            <w:r>
              <w:t>DonorsTrust funnels dark money to right-wing groups</w:t>
            </w:r>
          </w:p>
        </w:tc>
        <w:tc>
          <w:tcPr>
            <w:tcW w:w="0" w:type="auto"/>
          </w:tcPr>
          <w:p w14:paraId="00DFF482" w14:textId="77777777" w:rsidR="003D75F7" w:rsidRDefault="003D75F7" w:rsidP="00F72DEF">
            <w:pPr>
              <w:pStyle w:val="Compact"/>
            </w:pPr>
            <w:r>
              <w:t>Well Supported</w:t>
            </w:r>
          </w:p>
        </w:tc>
        <w:tc>
          <w:tcPr>
            <w:tcW w:w="0" w:type="auto"/>
          </w:tcPr>
          <w:p w14:paraId="2AB3E18A" w14:textId="77777777" w:rsidR="003D75F7" w:rsidRDefault="003D75F7" w:rsidP="00F72DEF">
            <w:pPr>
              <w:pStyle w:val="Compact"/>
            </w:pPr>
            <w:r>
              <w:t>10</w:t>
            </w:r>
          </w:p>
        </w:tc>
      </w:tr>
      <w:tr w:rsidR="003D75F7" w14:paraId="4F674131" w14:textId="77777777" w:rsidTr="00F72DEF">
        <w:tc>
          <w:tcPr>
            <w:tcW w:w="0" w:type="auto"/>
          </w:tcPr>
          <w:p w14:paraId="2255D20F" w14:textId="77777777" w:rsidR="003D75F7" w:rsidRDefault="003D75F7" w:rsidP="00F72DEF">
            <w:pPr>
              <w:pStyle w:val="Compact"/>
            </w:pPr>
            <w:r>
              <w:t>George Soros bought the Democratic Party in 2004</w:t>
            </w:r>
          </w:p>
        </w:tc>
        <w:tc>
          <w:tcPr>
            <w:tcW w:w="0" w:type="auto"/>
          </w:tcPr>
          <w:p w14:paraId="51683D73" w14:textId="77777777" w:rsidR="003D75F7" w:rsidRDefault="003D75F7" w:rsidP="00F72DEF">
            <w:pPr>
              <w:pStyle w:val="Compact"/>
            </w:pPr>
            <w:r>
              <w:t>Unsupported</w:t>
            </w:r>
          </w:p>
        </w:tc>
        <w:tc>
          <w:tcPr>
            <w:tcW w:w="0" w:type="auto"/>
          </w:tcPr>
          <w:p w14:paraId="270A40DE" w14:textId="77777777" w:rsidR="003D75F7" w:rsidRDefault="003D75F7" w:rsidP="00F72DEF">
            <w:pPr>
              <w:pStyle w:val="Compact"/>
            </w:pPr>
            <w:r>
              <w:t>3</w:t>
            </w:r>
          </w:p>
        </w:tc>
      </w:tr>
      <w:tr w:rsidR="003D75F7" w14:paraId="3133CC79" w14:textId="77777777" w:rsidTr="00F72DEF">
        <w:tc>
          <w:tcPr>
            <w:tcW w:w="0" w:type="auto"/>
          </w:tcPr>
          <w:p w14:paraId="473CC5A6" w14:textId="77777777" w:rsidR="003D75F7" w:rsidRDefault="003D75F7" w:rsidP="00F72DEF">
            <w:pPr>
              <w:pStyle w:val="Compact"/>
            </w:pPr>
            <w:r>
              <w:t>George Soros controls Antifa and Black Lives Matter</w:t>
            </w:r>
          </w:p>
        </w:tc>
        <w:tc>
          <w:tcPr>
            <w:tcW w:w="0" w:type="auto"/>
          </w:tcPr>
          <w:p w14:paraId="01774AC6" w14:textId="77777777" w:rsidR="003D75F7" w:rsidRDefault="003D75F7" w:rsidP="00F72DEF">
            <w:pPr>
              <w:pStyle w:val="Compact"/>
            </w:pPr>
            <w:r>
              <w:t>Unsupported</w:t>
            </w:r>
          </w:p>
        </w:tc>
        <w:tc>
          <w:tcPr>
            <w:tcW w:w="0" w:type="auto"/>
          </w:tcPr>
          <w:p w14:paraId="587C3CC2" w14:textId="77777777" w:rsidR="003D75F7" w:rsidRDefault="003D75F7" w:rsidP="00F72DEF">
            <w:pPr>
              <w:pStyle w:val="Compact"/>
            </w:pPr>
            <w:r>
              <w:t>4</w:t>
            </w:r>
          </w:p>
        </w:tc>
      </w:tr>
      <w:tr w:rsidR="003D75F7" w14:paraId="54F49D1C" w14:textId="77777777" w:rsidTr="00F72DEF">
        <w:tc>
          <w:tcPr>
            <w:tcW w:w="0" w:type="auto"/>
          </w:tcPr>
          <w:p w14:paraId="2B3815C6" w14:textId="77777777" w:rsidR="003D75F7" w:rsidRDefault="003D75F7" w:rsidP="00F72DEF">
            <w:pPr>
              <w:pStyle w:val="Compact"/>
            </w:pPr>
            <w:r>
              <w:t>George Soros controls media organizations to influence public narrative</w:t>
            </w:r>
          </w:p>
        </w:tc>
        <w:tc>
          <w:tcPr>
            <w:tcW w:w="0" w:type="auto"/>
          </w:tcPr>
          <w:p w14:paraId="21A82246" w14:textId="77777777" w:rsidR="003D75F7" w:rsidRDefault="003D75F7" w:rsidP="00F72DEF">
            <w:pPr>
              <w:pStyle w:val="Compact"/>
            </w:pPr>
            <w:r>
              <w:t>Unsupported</w:t>
            </w:r>
          </w:p>
        </w:tc>
        <w:tc>
          <w:tcPr>
            <w:tcW w:w="0" w:type="auto"/>
          </w:tcPr>
          <w:p w14:paraId="4A37ACFF" w14:textId="77777777" w:rsidR="003D75F7" w:rsidRDefault="003D75F7" w:rsidP="00F72DEF">
            <w:pPr>
              <w:pStyle w:val="Compact"/>
            </w:pPr>
            <w:r>
              <w:t>11</w:t>
            </w:r>
          </w:p>
        </w:tc>
      </w:tr>
      <w:tr w:rsidR="003D75F7" w14:paraId="5C3AD837" w14:textId="77777777" w:rsidTr="00F72DEF">
        <w:tc>
          <w:tcPr>
            <w:tcW w:w="0" w:type="auto"/>
          </w:tcPr>
          <w:p w14:paraId="473C1948" w14:textId="77777777" w:rsidR="003D75F7" w:rsidRDefault="003D75F7" w:rsidP="00F72DEF">
            <w:pPr>
              <w:pStyle w:val="Compact"/>
            </w:pPr>
            <w:r>
              <w:t>George Soros manipulates election systems for partisan ends</w:t>
            </w:r>
          </w:p>
        </w:tc>
        <w:tc>
          <w:tcPr>
            <w:tcW w:w="0" w:type="auto"/>
          </w:tcPr>
          <w:p w14:paraId="67A2BE63" w14:textId="77777777" w:rsidR="003D75F7" w:rsidRDefault="003D75F7" w:rsidP="00F72DEF">
            <w:pPr>
              <w:pStyle w:val="Compact"/>
            </w:pPr>
            <w:r>
              <w:t>Unsupported</w:t>
            </w:r>
          </w:p>
        </w:tc>
        <w:tc>
          <w:tcPr>
            <w:tcW w:w="0" w:type="auto"/>
          </w:tcPr>
          <w:p w14:paraId="696ED6FF" w14:textId="77777777" w:rsidR="003D75F7" w:rsidRDefault="003D75F7" w:rsidP="00F72DEF">
            <w:pPr>
              <w:pStyle w:val="Compact"/>
            </w:pPr>
            <w:r>
              <w:t>15</w:t>
            </w:r>
          </w:p>
        </w:tc>
      </w:tr>
      <w:tr w:rsidR="003D75F7" w14:paraId="6F575444" w14:textId="77777777" w:rsidTr="00F72DEF">
        <w:tc>
          <w:tcPr>
            <w:tcW w:w="0" w:type="auto"/>
          </w:tcPr>
          <w:p w14:paraId="58859F2E" w14:textId="77777777" w:rsidR="003D75F7" w:rsidRDefault="003D75F7" w:rsidP="00F72DEF">
            <w:pPr>
              <w:pStyle w:val="Compact"/>
            </w:pPr>
            <w:r>
              <w:t>George Soros orchestrated the 1997 Asian financial crisis</w:t>
            </w:r>
          </w:p>
        </w:tc>
        <w:tc>
          <w:tcPr>
            <w:tcW w:w="0" w:type="auto"/>
          </w:tcPr>
          <w:p w14:paraId="19388274" w14:textId="77777777" w:rsidR="003D75F7" w:rsidRDefault="003D75F7" w:rsidP="00F72DEF">
            <w:pPr>
              <w:pStyle w:val="Compact"/>
            </w:pPr>
            <w:r>
              <w:t>Unsupported</w:t>
            </w:r>
          </w:p>
        </w:tc>
        <w:tc>
          <w:tcPr>
            <w:tcW w:w="0" w:type="auto"/>
          </w:tcPr>
          <w:p w14:paraId="27F14E58" w14:textId="77777777" w:rsidR="003D75F7" w:rsidRDefault="003D75F7" w:rsidP="00F72DEF">
            <w:pPr>
              <w:pStyle w:val="Compact"/>
            </w:pPr>
            <w:r>
              <w:t>2</w:t>
            </w:r>
          </w:p>
        </w:tc>
      </w:tr>
      <w:tr w:rsidR="003D75F7" w14:paraId="7AD44104" w14:textId="77777777" w:rsidTr="00F72DEF">
        <w:tc>
          <w:tcPr>
            <w:tcW w:w="0" w:type="auto"/>
          </w:tcPr>
          <w:p w14:paraId="0448ADCB" w14:textId="77777777" w:rsidR="003D75F7" w:rsidRDefault="003D75F7" w:rsidP="00F72DEF">
            <w:pPr>
              <w:pStyle w:val="Compact"/>
            </w:pPr>
            <w:r>
              <w:t>George Soros plans to bring millions of migrants to Europe</w:t>
            </w:r>
          </w:p>
        </w:tc>
        <w:tc>
          <w:tcPr>
            <w:tcW w:w="0" w:type="auto"/>
          </w:tcPr>
          <w:p w14:paraId="733FE63C" w14:textId="77777777" w:rsidR="003D75F7" w:rsidRDefault="003D75F7" w:rsidP="00F72DEF">
            <w:pPr>
              <w:pStyle w:val="Compact"/>
            </w:pPr>
            <w:r>
              <w:t>Unsupported</w:t>
            </w:r>
          </w:p>
        </w:tc>
        <w:tc>
          <w:tcPr>
            <w:tcW w:w="0" w:type="auto"/>
          </w:tcPr>
          <w:p w14:paraId="7570936A" w14:textId="77777777" w:rsidR="003D75F7" w:rsidRDefault="003D75F7" w:rsidP="00F72DEF">
            <w:pPr>
              <w:pStyle w:val="Compact"/>
            </w:pPr>
            <w:r>
              <w:t>6</w:t>
            </w:r>
          </w:p>
        </w:tc>
      </w:tr>
      <w:tr w:rsidR="003D75F7" w14:paraId="63BDD992" w14:textId="77777777" w:rsidTr="00F72DEF">
        <w:tc>
          <w:tcPr>
            <w:tcW w:w="0" w:type="auto"/>
          </w:tcPr>
          <w:p w14:paraId="3BCF2BDE" w14:textId="77777777" w:rsidR="003D75F7" w:rsidRDefault="003D75F7" w:rsidP="00F72DEF">
            <w:pPr>
              <w:pStyle w:val="Compact"/>
            </w:pPr>
            <w:r>
              <w:t>George Soros swore to destroy the United States</w:t>
            </w:r>
          </w:p>
        </w:tc>
        <w:tc>
          <w:tcPr>
            <w:tcW w:w="0" w:type="auto"/>
          </w:tcPr>
          <w:p w14:paraId="15D2AF67" w14:textId="77777777" w:rsidR="003D75F7" w:rsidRDefault="003D75F7" w:rsidP="00F72DEF">
            <w:pPr>
              <w:pStyle w:val="Compact"/>
            </w:pPr>
            <w:r>
              <w:t>Unsupported</w:t>
            </w:r>
          </w:p>
        </w:tc>
        <w:tc>
          <w:tcPr>
            <w:tcW w:w="0" w:type="auto"/>
          </w:tcPr>
          <w:p w14:paraId="4E9FCE65" w14:textId="77777777" w:rsidR="003D75F7" w:rsidRDefault="003D75F7" w:rsidP="00F72DEF">
            <w:pPr>
              <w:pStyle w:val="Compact"/>
            </w:pPr>
            <w:r>
              <w:t>4</w:t>
            </w:r>
          </w:p>
        </w:tc>
      </w:tr>
      <w:tr w:rsidR="003D75F7" w14:paraId="3210FC6A" w14:textId="77777777" w:rsidTr="00F72DEF">
        <w:tc>
          <w:tcPr>
            <w:tcW w:w="0" w:type="auto"/>
          </w:tcPr>
          <w:p w14:paraId="0550B0ED" w14:textId="77777777" w:rsidR="003D75F7" w:rsidRDefault="003D75F7" w:rsidP="00F72DEF">
            <w:pPr>
              <w:pStyle w:val="Compact"/>
            </w:pPr>
            <w:r>
              <w:t>George Soros was a Nazi collaborator during WWII</w:t>
            </w:r>
          </w:p>
        </w:tc>
        <w:tc>
          <w:tcPr>
            <w:tcW w:w="0" w:type="auto"/>
          </w:tcPr>
          <w:p w14:paraId="03A02362" w14:textId="77777777" w:rsidR="003D75F7" w:rsidRDefault="003D75F7" w:rsidP="00F72DEF">
            <w:pPr>
              <w:pStyle w:val="Compact"/>
            </w:pPr>
            <w:r>
              <w:t>Unsupported</w:t>
            </w:r>
          </w:p>
        </w:tc>
        <w:tc>
          <w:tcPr>
            <w:tcW w:w="0" w:type="auto"/>
          </w:tcPr>
          <w:p w14:paraId="317A0B51" w14:textId="77777777" w:rsidR="003D75F7" w:rsidRDefault="003D75F7" w:rsidP="00F72DEF">
            <w:pPr>
              <w:pStyle w:val="Compact"/>
            </w:pPr>
            <w:r>
              <w:t>4</w:t>
            </w:r>
          </w:p>
        </w:tc>
      </w:tr>
      <w:tr w:rsidR="003D75F7" w14:paraId="6D734CF3" w14:textId="77777777" w:rsidTr="00F72DEF">
        <w:tc>
          <w:tcPr>
            <w:tcW w:w="0" w:type="auto"/>
          </w:tcPr>
          <w:p w14:paraId="50B04E1E" w14:textId="77777777" w:rsidR="003D75F7" w:rsidRDefault="003D75F7" w:rsidP="00F72DEF">
            <w:pPr>
              <w:pStyle w:val="Compact"/>
            </w:pPr>
            <w:r>
              <w:t>Hungary’s “Stop Soros” law stifles civil society and dissent</w:t>
            </w:r>
          </w:p>
        </w:tc>
        <w:tc>
          <w:tcPr>
            <w:tcW w:w="0" w:type="auto"/>
          </w:tcPr>
          <w:p w14:paraId="16B1A60C" w14:textId="77777777" w:rsidR="003D75F7" w:rsidRDefault="003D75F7" w:rsidP="00F72DEF">
            <w:pPr>
              <w:pStyle w:val="Compact"/>
            </w:pPr>
            <w:r>
              <w:t>Well Supported</w:t>
            </w:r>
          </w:p>
        </w:tc>
        <w:tc>
          <w:tcPr>
            <w:tcW w:w="0" w:type="auto"/>
          </w:tcPr>
          <w:p w14:paraId="383BE956" w14:textId="77777777" w:rsidR="003D75F7" w:rsidRDefault="003D75F7" w:rsidP="00F72DEF">
            <w:pPr>
              <w:pStyle w:val="Compact"/>
            </w:pPr>
            <w:r>
              <w:t>6</w:t>
            </w:r>
          </w:p>
        </w:tc>
      </w:tr>
      <w:tr w:rsidR="003D75F7" w14:paraId="5FF376A8" w14:textId="77777777" w:rsidTr="00F72DEF">
        <w:tc>
          <w:tcPr>
            <w:tcW w:w="0" w:type="auto"/>
          </w:tcPr>
          <w:p w14:paraId="7B5BF5C4" w14:textId="77777777" w:rsidR="003D75F7" w:rsidRDefault="003D75F7" w:rsidP="00F72DEF">
            <w:pPr>
              <w:pStyle w:val="Compact"/>
            </w:pPr>
            <w:r>
              <w:t>Open Society Foundations became one of the world’s largest philanthropies</w:t>
            </w:r>
          </w:p>
        </w:tc>
        <w:tc>
          <w:tcPr>
            <w:tcW w:w="0" w:type="auto"/>
          </w:tcPr>
          <w:p w14:paraId="11F06B33" w14:textId="77777777" w:rsidR="003D75F7" w:rsidRDefault="003D75F7" w:rsidP="00F72DEF">
            <w:pPr>
              <w:pStyle w:val="Compact"/>
            </w:pPr>
            <w:r>
              <w:t>Well Supported</w:t>
            </w:r>
          </w:p>
        </w:tc>
        <w:tc>
          <w:tcPr>
            <w:tcW w:w="0" w:type="auto"/>
          </w:tcPr>
          <w:p w14:paraId="4F4D34E8" w14:textId="77777777" w:rsidR="003D75F7" w:rsidRDefault="003D75F7" w:rsidP="00F72DEF">
            <w:pPr>
              <w:pStyle w:val="Compact"/>
            </w:pPr>
            <w:r>
              <w:t>9</w:t>
            </w:r>
          </w:p>
        </w:tc>
      </w:tr>
      <w:tr w:rsidR="003D75F7" w14:paraId="34BB4B8D" w14:textId="77777777" w:rsidTr="00F72DEF">
        <w:tc>
          <w:tcPr>
            <w:tcW w:w="0" w:type="auto"/>
          </w:tcPr>
          <w:p w14:paraId="1A1BE4B9" w14:textId="77777777" w:rsidR="003D75F7" w:rsidRDefault="003D75F7" w:rsidP="00F72DEF">
            <w:pPr>
              <w:pStyle w:val="Compact"/>
            </w:pPr>
            <w:r>
              <w:t>Open Society Foundations receives or directs USAID funds</w:t>
            </w:r>
          </w:p>
        </w:tc>
        <w:tc>
          <w:tcPr>
            <w:tcW w:w="0" w:type="auto"/>
          </w:tcPr>
          <w:p w14:paraId="3B2250F1" w14:textId="77777777" w:rsidR="003D75F7" w:rsidRDefault="003D75F7" w:rsidP="00F72DEF">
            <w:pPr>
              <w:pStyle w:val="Compact"/>
            </w:pPr>
            <w:r>
              <w:t>Unsupported</w:t>
            </w:r>
          </w:p>
        </w:tc>
        <w:tc>
          <w:tcPr>
            <w:tcW w:w="0" w:type="auto"/>
          </w:tcPr>
          <w:p w14:paraId="2E880F2F" w14:textId="77777777" w:rsidR="003D75F7" w:rsidRDefault="003D75F7" w:rsidP="00F72DEF">
            <w:pPr>
              <w:pStyle w:val="Compact"/>
            </w:pPr>
            <w:r>
              <w:t>15</w:t>
            </w:r>
          </w:p>
        </w:tc>
      </w:tr>
      <w:tr w:rsidR="003D75F7" w14:paraId="2A3B6ADB" w14:textId="77777777" w:rsidTr="00F72DEF">
        <w:tc>
          <w:tcPr>
            <w:tcW w:w="0" w:type="auto"/>
          </w:tcPr>
          <w:p w14:paraId="104E3306" w14:textId="77777777" w:rsidR="003D75F7" w:rsidRDefault="003D75F7" w:rsidP="00F72DEF">
            <w:pPr>
              <w:pStyle w:val="Compact"/>
            </w:pPr>
            <w:r>
              <w:t>Open Society Foundations undermine national sovereignty abroad</w:t>
            </w:r>
          </w:p>
        </w:tc>
        <w:tc>
          <w:tcPr>
            <w:tcW w:w="0" w:type="auto"/>
          </w:tcPr>
          <w:p w14:paraId="230815A5" w14:textId="77777777" w:rsidR="003D75F7" w:rsidRDefault="003D75F7" w:rsidP="00F72DEF">
            <w:pPr>
              <w:pStyle w:val="Compact"/>
            </w:pPr>
            <w:r>
              <w:t>Unsupported</w:t>
            </w:r>
          </w:p>
        </w:tc>
        <w:tc>
          <w:tcPr>
            <w:tcW w:w="0" w:type="auto"/>
          </w:tcPr>
          <w:p w14:paraId="083311B8" w14:textId="77777777" w:rsidR="003D75F7" w:rsidRDefault="003D75F7" w:rsidP="00F72DEF">
            <w:pPr>
              <w:pStyle w:val="Compact"/>
            </w:pPr>
            <w:r>
              <w:t>5</w:t>
            </w:r>
          </w:p>
        </w:tc>
      </w:tr>
      <w:tr w:rsidR="003D75F7" w14:paraId="5C8461F2" w14:textId="77777777" w:rsidTr="00F72DEF">
        <w:tc>
          <w:tcPr>
            <w:tcW w:w="0" w:type="auto"/>
          </w:tcPr>
          <w:p w14:paraId="447F1113" w14:textId="77777777" w:rsidR="003D75F7" w:rsidRDefault="003D75F7" w:rsidP="00F72DEF">
            <w:pPr>
              <w:pStyle w:val="Compact"/>
            </w:pPr>
            <w:r>
              <w:t>Progressive prosecutors backed by Soros fueled crime waves</w:t>
            </w:r>
          </w:p>
        </w:tc>
        <w:tc>
          <w:tcPr>
            <w:tcW w:w="0" w:type="auto"/>
          </w:tcPr>
          <w:p w14:paraId="59BEE49C" w14:textId="77777777" w:rsidR="003D75F7" w:rsidRDefault="003D75F7" w:rsidP="00F72DEF">
            <w:pPr>
              <w:pStyle w:val="Compact"/>
            </w:pPr>
            <w:r>
              <w:t>Contested</w:t>
            </w:r>
          </w:p>
        </w:tc>
        <w:tc>
          <w:tcPr>
            <w:tcW w:w="0" w:type="auto"/>
          </w:tcPr>
          <w:p w14:paraId="0B55254B" w14:textId="77777777" w:rsidR="003D75F7" w:rsidRDefault="003D75F7" w:rsidP="00F72DEF">
            <w:pPr>
              <w:pStyle w:val="Compact"/>
            </w:pPr>
            <w:r>
              <w:t>13</w:t>
            </w:r>
          </w:p>
        </w:tc>
      </w:tr>
      <w:tr w:rsidR="003D75F7" w14:paraId="6B3C0BD6" w14:textId="77777777" w:rsidTr="00F72DEF">
        <w:tc>
          <w:tcPr>
            <w:tcW w:w="0" w:type="auto"/>
          </w:tcPr>
          <w:p w14:paraId="5DAE677D" w14:textId="77777777" w:rsidR="003D75F7" w:rsidRDefault="003D75F7" w:rsidP="00F72DEF">
            <w:pPr>
              <w:pStyle w:val="Compact"/>
            </w:pPr>
            <w:r>
              <w:t>Record $1.6 billion donation to conservative political network</w:t>
            </w:r>
          </w:p>
        </w:tc>
        <w:tc>
          <w:tcPr>
            <w:tcW w:w="0" w:type="auto"/>
          </w:tcPr>
          <w:p w14:paraId="06C519CE" w14:textId="77777777" w:rsidR="003D75F7" w:rsidRDefault="003D75F7" w:rsidP="00F72DEF">
            <w:pPr>
              <w:pStyle w:val="Compact"/>
            </w:pPr>
            <w:r>
              <w:t>Well Supported</w:t>
            </w:r>
          </w:p>
        </w:tc>
        <w:tc>
          <w:tcPr>
            <w:tcW w:w="0" w:type="auto"/>
          </w:tcPr>
          <w:p w14:paraId="527B9CD2" w14:textId="77777777" w:rsidR="003D75F7" w:rsidRDefault="003D75F7" w:rsidP="00F72DEF">
            <w:pPr>
              <w:pStyle w:val="Compact"/>
            </w:pPr>
            <w:r>
              <w:t>10</w:t>
            </w:r>
          </w:p>
        </w:tc>
      </w:tr>
      <w:tr w:rsidR="003D75F7" w14:paraId="67714CED" w14:textId="77777777" w:rsidTr="00F72DEF">
        <w:tc>
          <w:tcPr>
            <w:tcW w:w="0" w:type="auto"/>
          </w:tcPr>
          <w:p w14:paraId="799F11FE" w14:textId="77777777" w:rsidR="003D75F7" w:rsidRDefault="003D75F7" w:rsidP="00F72DEF">
            <w:pPr>
              <w:pStyle w:val="Compact"/>
            </w:pPr>
          </w:p>
        </w:tc>
        <w:tc>
          <w:tcPr>
            <w:tcW w:w="0" w:type="auto"/>
          </w:tcPr>
          <w:p w14:paraId="668223D9" w14:textId="77777777" w:rsidR="003D75F7" w:rsidRDefault="003D75F7" w:rsidP="00F72DEF">
            <w:pPr>
              <w:pStyle w:val="Compact"/>
            </w:pPr>
          </w:p>
        </w:tc>
        <w:tc>
          <w:tcPr>
            <w:tcW w:w="0" w:type="auto"/>
          </w:tcPr>
          <w:p w14:paraId="29A62F4C" w14:textId="77777777" w:rsidR="003D75F7" w:rsidRDefault="003D75F7" w:rsidP="00F72DEF">
            <w:pPr>
              <w:pStyle w:val="Compact"/>
            </w:pPr>
          </w:p>
        </w:tc>
      </w:tr>
    </w:tbl>
    <w:bookmarkEnd w:id="79"/>
    <w:p w14:paraId="00A10388" w14:textId="77777777" w:rsidR="003D75F7" w:rsidRDefault="003D75F7" w:rsidP="003D75F7">
      <w:r>
        <w:pict w14:anchorId="33541108">
          <v:rect id="_x0000_i1055" style="width:0;height:1.5pt" o:hralign="center" o:hrstd="t" o:hr="t"/>
        </w:pict>
      </w:r>
      <w:bookmarkStart w:id="80" w:name="citations"/>
      <w:bookmarkEnd w:id="80"/>
    </w:p>
    <w:p w14:paraId="303E4780" w14:textId="77777777" w:rsidR="00342852" w:rsidRDefault="00342852" w:rsidP="00406E3B"/>
    <w:p w14:paraId="06C295E2" w14:textId="07C7A9A3" w:rsidR="00342852" w:rsidRDefault="00342852" w:rsidP="00406E3B"/>
    <w:sectPr w:rsidR="00342852" w:rsidSect="00894C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6" style="width:0;height:1.5pt" o:hralign="center" o:bullet="t" o:hrstd="t" o:hr="t"/>
    </w:pict>
  </w:numPicBullet>
  <w:abstractNum w:abstractNumId="0" w15:restartNumberingAfterBreak="0">
    <w:nsid w:val="0000A990"/>
    <w:multiLevelType w:val="multilevel"/>
    <w:tmpl w:val="0E02D98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BA0256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201"/>
    <w:multiLevelType w:val="multilevel"/>
    <w:tmpl w:val="168EBD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991104288">
    <w:abstractNumId w:val="1"/>
  </w:num>
  <w:num w:numId="2" w16cid:durableId="284530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86797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8954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E3B"/>
    <w:rsid w:val="00342852"/>
    <w:rsid w:val="00345367"/>
    <w:rsid w:val="003D75F7"/>
    <w:rsid w:val="00406E3B"/>
    <w:rsid w:val="00497410"/>
    <w:rsid w:val="005846BB"/>
    <w:rsid w:val="006C73CB"/>
    <w:rsid w:val="007607FD"/>
    <w:rsid w:val="00894C0E"/>
    <w:rsid w:val="00DC33FE"/>
    <w:rsid w:val="00E4099A"/>
    <w:rsid w:val="00E96844"/>
    <w:rsid w:val="00ED2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C0FF"/>
  <w15:chartTrackingRefBased/>
  <w15:docId w15:val="{ACAF3D9C-2AC6-4FA0-8D4D-DB0AA3E6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E3B"/>
    <w:pPr>
      <w:spacing w:after="200" w:line="240" w:lineRule="auto"/>
    </w:pPr>
    <w:rPr>
      <w:kern w:val="0"/>
      <w:lang w:val="en"/>
      <w14:ligatures w14:val="none"/>
    </w:rPr>
  </w:style>
  <w:style w:type="paragraph" w:styleId="Heading1">
    <w:name w:val="heading 1"/>
    <w:basedOn w:val="Normal"/>
    <w:next w:val="Normal"/>
    <w:link w:val="Heading1Char"/>
    <w:uiPriority w:val="9"/>
    <w:qFormat/>
    <w:rsid w:val="00406E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6E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6E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6E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6E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6E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E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E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E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E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6E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E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E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E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E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E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E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E3B"/>
    <w:rPr>
      <w:rFonts w:eastAsiaTheme="majorEastAsia" w:cstheme="majorBidi"/>
      <w:color w:val="272727" w:themeColor="text1" w:themeTint="D8"/>
    </w:rPr>
  </w:style>
  <w:style w:type="paragraph" w:styleId="Title">
    <w:name w:val="Title"/>
    <w:basedOn w:val="Normal"/>
    <w:next w:val="Normal"/>
    <w:link w:val="TitleChar"/>
    <w:uiPriority w:val="10"/>
    <w:qFormat/>
    <w:rsid w:val="00406E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E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E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E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E3B"/>
    <w:pPr>
      <w:spacing w:before="160"/>
      <w:jc w:val="center"/>
    </w:pPr>
    <w:rPr>
      <w:i/>
      <w:iCs/>
      <w:color w:val="404040" w:themeColor="text1" w:themeTint="BF"/>
    </w:rPr>
  </w:style>
  <w:style w:type="character" w:customStyle="1" w:styleId="QuoteChar">
    <w:name w:val="Quote Char"/>
    <w:basedOn w:val="DefaultParagraphFont"/>
    <w:link w:val="Quote"/>
    <w:uiPriority w:val="29"/>
    <w:rsid w:val="00406E3B"/>
    <w:rPr>
      <w:i/>
      <w:iCs/>
      <w:color w:val="404040" w:themeColor="text1" w:themeTint="BF"/>
    </w:rPr>
  </w:style>
  <w:style w:type="paragraph" w:styleId="ListParagraph">
    <w:name w:val="List Paragraph"/>
    <w:basedOn w:val="Normal"/>
    <w:uiPriority w:val="34"/>
    <w:qFormat/>
    <w:rsid w:val="00406E3B"/>
    <w:pPr>
      <w:ind w:left="720"/>
      <w:contextualSpacing/>
    </w:pPr>
  </w:style>
  <w:style w:type="character" w:styleId="IntenseEmphasis">
    <w:name w:val="Intense Emphasis"/>
    <w:basedOn w:val="DefaultParagraphFont"/>
    <w:uiPriority w:val="21"/>
    <w:qFormat/>
    <w:rsid w:val="00406E3B"/>
    <w:rPr>
      <w:i/>
      <w:iCs/>
      <w:color w:val="0F4761" w:themeColor="accent1" w:themeShade="BF"/>
    </w:rPr>
  </w:style>
  <w:style w:type="paragraph" w:styleId="IntenseQuote">
    <w:name w:val="Intense Quote"/>
    <w:basedOn w:val="Normal"/>
    <w:next w:val="Normal"/>
    <w:link w:val="IntenseQuoteChar"/>
    <w:uiPriority w:val="30"/>
    <w:qFormat/>
    <w:rsid w:val="00406E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6E3B"/>
    <w:rPr>
      <w:i/>
      <w:iCs/>
      <w:color w:val="0F4761" w:themeColor="accent1" w:themeShade="BF"/>
    </w:rPr>
  </w:style>
  <w:style w:type="character" w:styleId="IntenseReference">
    <w:name w:val="Intense Reference"/>
    <w:basedOn w:val="DefaultParagraphFont"/>
    <w:uiPriority w:val="32"/>
    <w:qFormat/>
    <w:rsid w:val="00406E3B"/>
    <w:rPr>
      <w:b/>
      <w:bCs/>
      <w:smallCaps/>
      <w:color w:val="0F4761" w:themeColor="accent1" w:themeShade="BF"/>
      <w:spacing w:val="5"/>
    </w:rPr>
  </w:style>
  <w:style w:type="paragraph" w:styleId="BodyText">
    <w:name w:val="Body Text"/>
    <w:basedOn w:val="Normal"/>
    <w:link w:val="BodyTextChar"/>
    <w:qFormat/>
    <w:rsid w:val="00406E3B"/>
    <w:pPr>
      <w:spacing w:before="180" w:after="180"/>
    </w:pPr>
  </w:style>
  <w:style w:type="character" w:customStyle="1" w:styleId="BodyTextChar">
    <w:name w:val="Body Text Char"/>
    <w:basedOn w:val="DefaultParagraphFont"/>
    <w:link w:val="BodyText"/>
    <w:rsid w:val="00406E3B"/>
    <w:rPr>
      <w:kern w:val="0"/>
      <w:lang w:val="en"/>
      <w14:ligatures w14:val="none"/>
    </w:rPr>
  </w:style>
  <w:style w:type="paragraph" w:customStyle="1" w:styleId="FirstParagraph">
    <w:name w:val="First Paragraph"/>
    <w:basedOn w:val="BodyText"/>
    <w:next w:val="BodyText"/>
    <w:qFormat/>
    <w:rsid w:val="00406E3B"/>
  </w:style>
  <w:style w:type="character" w:styleId="Hyperlink">
    <w:name w:val="Hyperlink"/>
    <w:basedOn w:val="DefaultParagraphFont"/>
    <w:rsid w:val="00406E3B"/>
    <w:rPr>
      <w:color w:val="156082" w:themeColor="accent1"/>
    </w:rPr>
  </w:style>
  <w:style w:type="paragraph" w:customStyle="1" w:styleId="Compact">
    <w:name w:val="Compact"/>
    <w:basedOn w:val="BodyText"/>
    <w:qFormat/>
    <w:rsid w:val="00406E3B"/>
    <w:pPr>
      <w:spacing w:before="36" w:after="36"/>
    </w:pPr>
  </w:style>
  <w:style w:type="paragraph" w:customStyle="1" w:styleId="Author">
    <w:name w:val="Author"/>
    <w:next w:val="BodyText"/>
    <w:qFormat/>
    <w:rsid w:val="00406E3B"/>
    <w:pPr>
      <w:keepNext/>
      <w:keepLines/>
      <w:spacing w:after="200" w:line="240" w:lineRule="auto"/>
      <w:jc w:val="center"/>
    </w:pPr>
    <w:rPr>
      <w:kern w:val="0"/>
      <w:lang w:val="en"/>
      <w14:ligatures w14:val="none"/>
    </w:rPr>
  </w:style>
  <w:style w:type="paragraph" w:styleId="Date">
    <w:name w:val="Date"/>
    <w:next w:val="BodyText"/>
    <w:link w:val="DateChar"/>
    <w:qFormat/>
    <w:rsid w:val="00406E3B"/>
    <w:pPr>
      <w:keepNext/>
      <w:keepLines/>
      <w:spacing w:after="200" w:line="240" w:lineRule="auto"/>
      <w:jc w:val="center"/>
    </w:pPr>
    <w:rPr>
      <w:kern w:val="0"/>
      <w:lang w:val="en"/>
      <w14:ligatures w14:val="none"/>
    </w:rPr>
  </w:style>
  <w:style w:type="character" w:customStyle="1" w:styleId="DateChar">
    <w:name w:val="Date Char"/>
    <w:basedOn w:val="DefaultParagraphFont"/>
    <w:link w:val="Date"/>
    <w:rsid w:val="00406E3B"/>
    <w:rPr>
      <w:kern w:val="0"/>
      <w:lang w:val="en"/>
      <w14:ligatures w14:val="none"/>
    </w:rPr>
  </w:style>
  <w:style w:type="paragraph" w:customStyle="1" w:styleId="AbstractTitle">
    <w:name w:val="Abstract Title"/>
    <w:basedOn w:val="Normal"/>
    <w:next w:val="Abstract"/>
    <w:qFormat/>
    <w:rsid w:val="00406E3B"/>
    <w:pPr>
      <w:keepNext/>
      <w:keepLines/>
      <w:spacing w:before="300" w:after="0"/>
      <w:jc w:val="center"/>
    </w:pPr>
    <w:rPr>
      <w:b/>
      <w:sz w:val="20"/>
      <w:szCs w:val="20"/>
    </w:rPr>
  </w:style>
  <w:style w:type="paragraph" w:customStyle="1" w:styleId="Abstract">
    <w:name w:val="Abstract"/>
    <w:basedOn w:val="Normal"/>
    <w:next w:val="BodyText"/>
    <w:qFormat/>
    <w:rsid w:val="00406E3B"/>
    <w:pPr>
      <w:keepNext/>
      <w:keepLines/>
      <w:spacing w:before="100" w:after="300"/>
    </w:pPr>
    <w:rPr>
      <w:sz w:val="20"/>
      <w:szCs w:val="20"/>
    </w:rPr>
  </w:style>
  <w:style w:type="paragraph" w:styleId="Bibliography">
    <w:name w:val="Bibliography"/>
    <w:basedOn w:val="Normal"/>
    <w:qFormat/>
    <w:rsid w:val="00406E3B"/>
  </w:style>
  <w:style w:type="paragraph" w:styleId="BlockText">
    <w:name w:val="Block Text"/>
    <w:basedOn w:val="BodyText"/>
    <w:next w:val="BodyText"/>
    <w:uiPriority w:val="9"/>
    <w:unhideWhenUsed/>
    <w:qFormat/>
    <w:rsid w:val="00406E3B"/>
    <w:pPr>
      <w:spacing w:before="100" w:after="100"/>
      <w:ind w:left="480" w:right="480"/>
    </w:pPr>
  </w:style>
  <w:style w:type="paragraph" w:styleId="FootnoteText">
    <w:name w:val="footnote text"/>
    <w:basedOn w:val="Normal"/>
    <w:link w:val="FootnoteTextChar"/>
    <w:uiPriority w:val="9"/>
    <w:unhideWhenUsed/>
    <w:qFormat/>
    <w:rsid w:val="00406E3B"/>
  </w:style>
  <w:style w:type="character" w:customStyle="1" w:styleId="FootnoteTextChar">
    <w:name w:val="Footnote Text Char"/>
    <w:basedOn w:val="DefaultParagraphFont"/>
    <w:link w:val="FootnoteText"/>
    <w:uiPriority w:val="9"/>
    <w:rsid w:val="00406E3B"/>
    <w:rPr>
      <w:kern w:val="0"/>
      <w:lang w:val="en"/>
      <w14:ligatures w14:val="none"/>
    </w:rPr>
  </w:style>
  <w:style w:type="paragraph" w:customStyle="1" w:styleId="FootnoteBlockText">
    <w:name w:val="Footnote Block Text"/>
    <w:basedOn w:val="FootnoteText"/>
    <w:next w:val="FootnoteText"/>
    <w:uiPriority w:val="9"/>
    <w:unhideWhenUsed/>
    <w:qFormat/>
    <w:rsid w:val="00406E3B"/>
    <w:pPr>
      <w:spacing w:before="100" w:after="100"/>
      <w:ind w:left="480" w:right="480"/>
    </w:pPr>
  </w:style>
  <w:style w:type="table" w:customStyle="1" w:styleId="Table">
    <w:name w:val="Table"/>
    <w:semiHidden/>
    <w:unhideWhenUsed/>
    <w:qFormat/>
    <w:rsid w:val="00406E3B"/>
    <w:pPr>
      <w:spacing w:after="200" w:line="240" w:lineRule="auto"/>
    </w:pPr>
    <w:rPr>
      <w:kern w:val="0"/>
      <w:sz w:val="20"/>
      <w:szCs w:val="20"/>
      <w:lang w:val="en"/>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406E3B"/>
    <w:pPr>
      <w:keepNext/>
      <w:keepLines/>
      <w:spacing w:after="0"/>
    </w:pPr>
    <w:rPr>
      <w:b/>
    </w:rPr>
  </w:style>
  <w:style w:type="paragraph" w:customStyle="1" w:styleId="Definition">
    <w:name w:val="Definition"/>
    <w:basedOn w:val="Normal"/>
    <w:rsid w:val="00406E3B"/>
  </w:style>
  <w:style w:type="paragraph" w:styleId="Caption">
    <w:name w:val="caption"/>
    <w:basedOn w:val="Normal"/>
    <w:link w:val="CaptionChar"/>
    <w:rsid w:val="00406E3B"/>
    <w:pPr>
      <w:spacing w:after="120"/>
    </w:pPr>
    <w:rPr>
      <w:i/>
    </w:rPr>
  </w:style>
  <w:style w:type="paragraph" w:customStyle="1" w:styleId="TableCaption">
    <w:name w:val="Table Caption"/>
    <w:basedOn w:val="Caption"/>
    <w:rsid w:val="00406E3B"/>
    <w:pPr>
      <w:keepNext/>
    </w:pPr>
  </w:style>
  <w:style w:type="paragraph" w:customStyle="1" w:styleId="ImageCaption">
    <w:name w:val="Image Caption"/>
    <w:basedOn w:val="Caption"/>
    <w:rsid w:val="00406E3B"/>
  </w:style>
  <w:style w:type="paragraph" w:customStyle="1" w:styleId="Figure">
    <w:name w:val="Figure"/>
    <w:basedOn w:val="Normal"/>
    <w:rsid w:val="00406E3B"/>
  </w:style>
  <w:style w:type="paragraph" w:customStyle="1" w:styleId="CaptionedFigure">
    <w:name w:val="Captioned Figure"/>
    <w:basedOn w:val="Figure"/>
    <w:rsid w:val="00406E3B"/>
    <w:pPr>
      <w:keepNext/>
    </w:pPr>
  </w:style>
  <w:style w:type="character" w:customStyle="1" w:styleId="CaptionChar">
    <w:name w:val="Caption Char"/>
    <w:basedOn w:val="DefaultParagraphFont"/>
    <w:link w:val="Caption"/>
    <w:rsid w:val="00406E3B"/>
    <w:rPr>
      <w:i/>
      <w:kern w:val="0"/>
      <w:lang w:val="en"/>
      <w14:ligatures w14:val="none"/>
    </w:rPr>
  </w:style>
  <w:style w:type="character" w:customStyle="1" w:styleId="VerbatimChar">
    <w:name w:val="Verbatim Char"/>
    <w:basedOn w:val="CaptionChar"/>
    <w:link w:val="SourceCode"/>
    <w:rsid w:val="00406E3B"/>
    <w:rPr>
      <w:rFonts w:ascii="Consolas" w:hAnsi="Consolas"/>
      <w:i/>
      <w:kern w:val="0"/>
      <w:sz w:val="22"/>
      <w:lang w:val="en"/>
      <w14:ligatures w14:val="none"/>
    </w:rPr>
  </w:style>
  <w:style w:type="character" w:customStyle="1" w:styleId="SectionNumber">
    <w:name w:val="Section Number"/>
    <w:basedOn w:val="CaptionChar"/>
    <w:rsid w:val="00406E3B"/>
    <w:rPr>
      <w:i/>
      <w:kern w:val="0"/>
      <w:lang w:val="en"/>
      <w14:ligatures w14:val="none"/>
    </w:rPr>
  </w:style>
  <w:style w:type="character" w:styleId="FootnoteReference">
    <w:name w:val="footnote reference"/>
    <w:basedOn w:val="CaptionChar"/>
    <w:rsid w:val="00406E3B"/>
    <w:rPr>
      <w:i/>
      <w:kern w:val="0"/>
      <w:vertAlign w:val="superscript"/>
      <w:lang w:val="en"/>
      <w14:ligatures w14:val="none"/>
    </w:rPr>
  </w:style>
  <w:style w:type="paragraph" w:styleId="TOCHeading">
    <w:name w:val="TOC Heading"/>
    <w:basedOn w:val="Heading1"/>
    <w:next w:val="BodyText"/>
    <w:uiPriority w:val="39"/>
    <w:unhideWhenUsed/>
    <w:qFormat/>
    <w:rsid w:val="00406E3B"/>
    <w:pPr>
      <w:spacing w:before="240" w:line="259" w:lineRule="auto"/>
      <w:outlineLvl w:val="9"/>
    </w:pPr>
  </w:style>
  <w:style w:type="paragraph" w:customStyle="1" w:styleId="SourceCode">
    <w:name w:val="Source Code"/>
    <w:basedOn w:val="Normal"/>
    <w:link w:val="VerbatimChar"/>
    <w:rsid w:val="00406E3B"/>
    <w:pPr>
      <w:wordWrap w:val="0"/>
    </w:pPr>
    <w:rPr>
      <w:rFonts w:ascii="Consolas" w:hAnsi="Consolas"/>
      <w:i/>
      <w:sz w:val="22"/>
    </w:rPr>
  </w:style>
  <w:style w:type="character" w:customStyle="1" w:styleId="KeywordTok">
    <w:name w:val="KeywordTok"/>
    <w:basedOn w:val="VerbatimChar"/>
    <w:rsid w:val="00406E3B"/>
    <w:rPr>
      <w:rFonts w:ascii="Consolas" w:hAnsi="Consolas"/>
      <w:b/>
      <w:i/>
      <w:color w:val="007020"/>
      <w:kern w:val="0"/>
      <w:sz w:val="22"/>
      <w:lang w:val="en"/>
      <w14:ligatures w14:val="none"/>
    </w:rPr>
  </w:style>
  <w:style w:type="character" w:customStyle="1" w:styleId="DataTypeTok">
    <w:name w:val="DataTypeTok"/>
    <w:basedOn w:val="VerbatimChar"/>
    <w:rsid w:val="00406E3B"/>
    <w:rPr>
      <w:rFonts w:ascii="Consolas" w:hAnsi="Consolas"/>
      <w:i/>
      <w:color w:val="902000"/>
      <w:kern w:val="0"/>
      <w:sz w:val="22"/>
      <w:lang w:val="en"/>
      <w14:ligatures w14:val="none"/>
    </w:rPr>
  </w:style>
  <w:style w:type="character" w:customStyle="1" w:styleId="DecValTok">
    <w:name w:val="DecValTok"/>
    <w:basedOn w:val="VerbatimChar"/>
    <w:rsid w:val="00406E3B"/>
    <w:rPr>
      <w:rFonts w:ascii="Consolas" w:hAnsi="Consolas"/>
      <w:i/>
      <w:color w:val="40A070"/>
      <w:kern w:val="0"/>
      <w:sz w:val="22"/>
      <w:lang w:val="en"/>
      <w14:ligatures w14:val="none"/>
    </w:rPr>
  </w:style>
  <w:style w:type="character" w:customStyle="1" w:styleId="BaseNTok">
    <w:name w:val="BaseNTok"/>
    <w:basedOn w:val="VerbatimChar"/>
    <w:rsid w:val="00406E3B"/>
    <w:rPr>
      <w:rFonts w:ascii="Consolas" w:hAnsi="Consolas"/>
      <w:i/>
      <w:color w:val="40A070"/>
      <w:kern w:val="0"/>
      <w:sz w:val="22"/>
      <w:lang w:val="en"/>
      <w14:ligatures w14:val="none"/>
    </w:rPr>
  </w:style>
  <w:style w:type="character" w:customStyle="1" w:styleId="FloatTok">
    <w:name w:val="FloatTok"/>
    <w:basedOn w:val="VerbatimChar"/>
    <w:rsid w:val="00406E3B"/>
    <w:rPr>
      <w:rFonts w:ascii="Consolas" w:hAnsi="Consolas"/>
      <w:i/>
      <w:color w:val="40A070"/>
      <w:kern w:val="0"/>
      <w:sz w:val="22"/>
      <w:lang w:val="en"/>
      <w14:ligatures w14:val="none"/>
    </w:rPr>
  </w:style>
  <w:style w:type="character" w:customStyle="1" w:styleId="ConstantTok">
    <w:name w:val="ConstantTok"/>
    <w:basedOn w:val="VerbatimChar"/>
    <w:rsid w:val="00406E3B"/>
    <w:rPr>
      <w:rFonts w:ascii="Consolas" w:hAnsi="Consolas"/>
      <w:i/>
      <w:color w:val="880000"/>
      <w:kern w:val="0"/>
      <w:sz w:val="22"/>
      <w:lang w:val="en"/>
      <w14:ligatures w14:val="none"/>
    </w:rPr>
  </w:style>
  <w:style w:type="character" w:customStyle="1" w:styleId="CharTok">
    <w:name w:val="CharTok"/>
    <w:basedOn w:val="VerbatimChar"/>
    <w:rsid w:val="00406E3B"/>
    <w:rPr>
      <w:rFonts w:ascii="Consolas" w:hAnsi="Consolas"/>
      <w:i/>
      <w:color w:val="4070A0"/>
      <w:kern w:val="0"/>
      <w:sz w:val="22"/>
      <w:lang w:val="en"/>
      <w14:ligatures w14:val="none"/>
    </w:rPr>
  </w:style>
  <w:style w:type="character" w:customStyle="1" w:styleId="SpecialCharTok">
    <w:name w:val="SpecialCharTok"/>
    <w:basedOn w:val="VerbatimChar"/>
    <w:rsid w:val="00406E3B"/>
    <w:rPr>
      <w:rFonts w:ascii="Consolas" w:hAnsi="Consolas"/>
      <w:i/>
      <w:color w:val="4070A0"/>
      <w:kern w:val="0"/>
      <w:sz w:val="22"/>
      <w:lang w:val="en"/>
      <w14:ligatures w14:val="none"/>
    </w:rPr>
  </w:style>
  <w:style w:type="character" w:customStyle="1" w:styleId="StringTok">
    <w:name w:val="StringTok"/>
    <w:basedOn w:val="VerbatimChar"/>
    <w:rsid w:val="00406E3B"/>
    <w:rPr>
      <w:rFonts w:ascii="Consolas" w:hAnsi="Consolas"/>
      <w:i/>
      <w:color w:val="4070A0"/>
      <w:kern w:val="0"/>
      <w:sz w:val="22"/>
      <w:lang w:val="en"/>
      <w14:ligatures w14:val="none"/>
    </w:rPr>
  </w:style>
  <w:style w:type="character" w:customStyle="1" w:styleId="VerbatimStringTok">
    <w:name w:val="VerbatimStringTok"/>
    <w:basedOn w:val="VerbatimChar"/>
    <w:rsid w:val="00406E3B"/>
    <w:rPr>
      <w:rFonts w:ascii="Consolas" w:hAnsi="Consolas"/>
      <w:i/>
      <w:color w:val="4070A0"/>
      <w:kern w:val="0"/>
      <w:sz w:val="22"/>
      <w:lang w:val="en"/>
      <w14:ligatures w14:val="none"/>
    </w:rPr>
  </w:style>
  <w:style w:type="character" w:customStyle="1" w:styleId="SpecialStringTok">
    <w:name w:val="SpecialStringTok"/>
    <w:basedOn w:val="VerbatimChar"/>
    <w:rsid w:val="00406E3B"/>
    <w:rPr>
      <w:rFonts w:ascii="Consolas" w:hAnsi="Consolas"/>
      <w:i/>
      <w:color w:val="BB6688"/>
      <w:kern w:val="0"/>
      <w:sz w:val="22"/>
      <w:lang w:val="en"/>
      <w14:ligatures w14:val="none"/>
    </w:rPr>
  </w:style>
  <w:style w:type="character" w:customStyle="1" w:styleId="ImportTok">
    <w:name w:val="ImportTok"/>
    <w:basedOn w:val="VerbatimChar"/>
    <w:rsid w:val="00406E3B"/>
    <w:rPr>
      <w:rFonts w:ascii="Consolas" w:hAnsi="Consolas"/>
      <w:b/>
      <w:i/>
      <w:color w:val="008000"/>
      <w:kern w:val="0"/>
      <w:sz w:val="22"/>
      <w:lang w:val="en"/>
      <w14:ligatures w14:val="none"/>
    </w:rPr>
  </w:style>
  <w:style w:type="character" w:customStyle="1" w:styleId="CommentTok">
    <w:name w:val="CommentTok"/>
    <w:basedOn w:val="VerbatimChar"/>
    <w:rsid w:val="00406E3B"/>
    <w:rPr>
      <w:rFonts w:ascii="Consolas" w:hAnsi="Consolas"/>
      <w:i w:val="0"/>
      <w:color w:val="60A0B0"/>
      <w:kern w:val="0"/>
      <w:sz w:val="22"/>
      <w:lang w:val="en"/>
      <w14:ligatures w14:val="none"/>
    </w:rPr>
  </w:style>
  <w:style w:type="character" w:customStyle="1" w:styleId="DocumentationTok">
    <w:name w:val="DocumentationTok"/>
    <w:basedOn w:val="VerbatimChar"/>
    <w:rsid w:val="00406E3B"/>
    <w:rPr>
      <w:rFonts w:ascii="Consolas" w:hAnsi="Consolas"/>
      <w:i w:val="0"/>
      <w:color w:val="BA2121"/>
      <w:kern w:val="0"/>
      <w:sz w:val="22"/>
      <w:lang w:val="en"/>
      <w14:ligatures w14:val="none"/>
    </w:rPr>
  </w:style>
  <w:style w:type="character" w:customStyle="1" w:styleId="AnnotationTok">
    <w:name w:val="AnnotationTok"/>
    <w:basedOn w:val="VerbatimChar"/>
    <w:rsid w:val="00406E3B"/>
    <w:rPr>
      <w:rFonts w:ascii="Consolas" w:hAnsi="Consolas"/>
      <w:b/>
      <w:i w:val="0"/>
      <w:color w:val="60A0B0"/>
      <w:kern w:val="0"/>
      <w:sz w:val="22"/>
      <w:lang w:val="en"/>
      <w14:ligatures w14:val="none"/>
    </w:rPr>
  </w:style>
  <w:style w:type="character" w:customStyle="1" w:styleId="CommentVarTok">
    <w:name w:val="CommentVarTok"/>
    <w:basedOn w:val="VerbatimChar"/>
    <w:rsid w:val="00406E3B"/>
    <w:rPr>
      <w:rFonts w:ascii="Consolas" w:hAnsi="Consolas"/>
      <w:b/>
      <w:i w:val="0"/>
      <w:color w:val="60A0B0"/>
      <w:kern w:val="0"/>
      <w:sz w:val="22"/>
      <w:lang w:val="en"/>
      <w14:ligatures w14:val="none"/>
    </w:rPr>
  </w:style>
  <w:style w:type="character" w:customStyle="1" w:styleId="OtherTok">
    <w:name w:val="OtherTok"/>
    <w:basedOn w:val="VerbatimChar"/>
    <w:rsid w:val="00406E3B"/>
    <w:rPr>
      <w:rFonts w:ascii="Consolas" w:hAnsi="Consolas"/>
      <w:i/>
      <w:color w:val="007020"/>
      <w:kern w:val="0"/>
      <w:sz w:val="22"/>
      <w:lang w:val="en"/>
      <w14:ligatures w14:val="none"/>
    </w:rPr>
  </w:style>
  <w:style w:type="character" w:customStyle="1" w:styleId="FunctionTok">
    <w:name w:val="FunctionTok"/>
    <w:basedOn w:val="VerbatimChar"/>
    <w:rsid w:val="00406E3B"/>
    <w:rPr>
      <w:rFonts w:ascii="Consolas" w:hAnsi="Consolas"/>
      <w:i/>
      <w:color w:val="06287E"/>
      <w:kern w:val="0"/>
      <w:sz w:val="22"/>
      <w:lang w:val="en"/>
      <w14:ligatures w14:val="none"/>
    </w:rPr>
  </w:style>
  <w:style w:type="character" w:customStyle="1" w:styleId="VariableTok">
    <w:name w:val="VariableTok"/>
    <w:basedOn w:val="VerbatimChar"/>
    <w:rsid w:val="00406E3B"/>
    <w:rPr>
      <w:rFonts w:ascii="Consolas" w:hAnsi="Consolas"/>
      <w:i/>
      <w:color w:val="19177C"/>
      <w:kern w:val="0"/>
      <w:sz w:val="22"/>
      <w:lang w:val="en"/>
      <w14:ligatures w14:val="none"/>
    </w:rPr>
  </w:style>
  <w:style w:type="character" w:customStyle="1" w:styleId="ControlFlowTok">
    <w:name w:val="ControlFlowTok"/>
    <w:basedOn w:val="VerbatimChar"/>
    <w:rsid w:val="00406E3B"/>
    <w:rPr>
      <w:rFonts w:ascii="Consolas" w:hAnsi="Consolas"/>
      <w:b/>
      <w:i/>
      <w:color w:val="007020"/>
      <w:kern w:val="0"/>
      <w:sz w:val="22"/>
      <w:lang w:val="en"/>
      <w14:ligatures w14:val="none"/>
    </w:rPr>
  </w:style>
  <w:style w:type="character" w:customStyle="1" w:styleId="OperatorTok">
    <w:name w:val="OperatorTok"/>
    <w:basedOn w:val="VerbatimChar"/>
    <w:rsid w:val="00406E3B"/>
    <w:rPr>
      <w:rFonts w:ascii="Consolas" w:hAnsi="Consolas"/>
      <w:i/>
      <w:color w:val="666666"/>
      <w:kern w:val="0"/>
      <w:sz w:val="22"/>
      <w:lang w:val="en"/>
      <w14:ligatures w14:val="none"/>
    </w:rPr>
  </w:style>
  <w:style w:type="character" w:customStyle="1" w:styleId="BuiltInTok">
    <w:name w:val="BuiltInTok"/>
    <w:basedOn w:val="VerbatimChar"/>
    <w:rsid w:val="00406E3B"/>
    <w:rPr>
      <w:rFonts w:ascii="Consolas" w:hAnsi="Consolas"/>
      <w:i/>
      <w:color w:val="008000"/>
      <w:kern w:val="0"/>
      <w:sz w:val="22"/>
      <w:lang w:val="en"/>
      <w14:ligatures w14:val="none"/>
    </w:rPr>
  </w:style>
  <w:style w:type="character" w:customStyle="1" w:styleId="ExtensionTok">
    <w:name w:val="ExtensionTok"/>
    <w:basedOn w:val="VerbatimChar"/>
    <w:rsid w:val="00406E3B"/>
    <w:rPr>
      <w:rFonts w:ascii="Consolas" w:hAnsi="Consolas"/>
      <w:i/>
      <w:kern w:val="0"/>
      <w:sz w:val="22"/>
      <w:lang w:val="en"/>
      <w14:ligatures w14:val="none"/>
    </w:rPr>
  </w:style>
  <w:style w:type="character" w:customStyle="1" w:styleId="PreprocessorTok">
    <w:name w:val="PreprocessorTok"/>
    <w:basedOn w:val="VerbatimChar"/>
    <w:rsid w:val="00406E3B"/>
    <w:rPr>
      <w:rFonts w:ascii="Consolas" w:hAnsi="Consolas"/>
      <w:i/>
      <w:color w:val="BC7A00"/>
      <w:kern w:val="0"/>
      <w:sz w:val="22"/>
      <w:lang w:val="en"/>
      <w14:ligatures w14:val="none"/>
    </w:rPr>
  </w:style>
  <w:style w:type="character" w:customStyle="1" w:styleId="AttributeTok">
    <w:name w:val="AttributeTok"/>
    <w:basedOn w:val="VerbatimChar"/>
    <w:rsid w:val="00406E3B"/>
    <w:rPr>
      <w:rFonts w:ascii="Consolas" w:hAnsi="Consolas"/>
      <w:i/>
      <w:color w:val="7D9029"/>
      <w:kern w:val="0"/>
      <w:sz w:val="22"/>
      <w:lang w:val="en"/>
      <w14:ligatures w14:val="none"/>
    </w:rPr>
  </w:style>
  <w:style w:type="character" w:customStyle="1" w:styleId="RegionMarkerTok">
    <w:name w:val="RegionMarkerTok"/>
    <w:basedOn w:val="VerbatimChar"/>
    <w:rsid w:val="00406E3B"/>
    <w:rPr>
      <w:rFonts w:ascii="Consolas" w:hAnsi="Consolas"/>
      <w:i/>
      <w:kern w:val="0"/>
      <w:sz w:val="22"/>
      <w:lang w:val="en"/>
      <w14:ligatures w14:val="none"/>
    </w:rPr>
  </w:style>
  <w:style w:type="character" w:customStyle="1" w:styleId="InformationTok">
    <w:name w:val="InformationTok"/>
    <w:basedOn w:val="VerbatimChar"/>
    <w:rsid w:val="00406E3B"/>
    <w:rPr>
      <w:rFonts w:ascii="Consolas" w:hAnsi="Consolas"/>
      <w:b/>
      <w:i w:val="0"/>
      <w:color w:val="60A0B0"/>
      <w:kern w:val="0"/>
      <w:sz w:val="22"/>
      <w:lang w:val="en"/>
      <w14:ligatures w14:val="none"/>
    </w:rPr>
  </w:style>
  <w:style w:type="character" w:customStyle="1" w:styleId="WarningTok">
    <w:name w:val="WarningTok"/>
    <w:basedOn w:val="VerbatimChar"/>
    <w:rsid w:val="00406E3B"/>
    <w:rPr>
      <w:rFonts w:ascii="Consolas" w:hAnsi="Consolas"/>
      <w:b/>
      <w:i w:val="0"/>
      <w:color w:val="60A0B0"/>
      <w:kern w:val="0"/>
      <w:sz w:val="22"/>
      <w:lang w:val="en"/>
      <w14:ligatures w14:val="none"/>
    </w:rPr>
  </w:style>
  <w:style w:type="character" w:customStyle="1" w:styleId="AlertTok">
    <w:name w:val="AlertTok"/>
    <w:basedOn w:val="VerbatimChar"/>
    <w:rsid w:val="00406E3B"/>
    <w:rPr>
      <w:rFonts w:ascii="Consolas" w:hAnsi="Consolas"/>
      <w:b/>
      <w:i/>
      <w:color w:val="FF0000"/>
      <w:kern w:val="0"/>
      <w:sz w:val="22"/>
      <w:lang w:val="en"/>
      <w14:ligatures w14:val="none"/>
    </w:rPr>
  </w:style>
  <w:style w:type="character" w:customStyle="1" w:styleId="ErrorTok">
    <w:name w:val="ErrorTok"/>
    <w:basedOn w:val="VerbatimChar"/>
    <w:rsid w:val="00406E3B"/>
    <w:rPr>
      <w:rFonts w:ascii="Consolas" w:hAnsi="Consolas"/>
      <w:b/>
      <w:i/>
      <w:color w:val="FF0000"/>
      <w:kern w:val="0"/>
      <w:sz w:val="22"/>
      <w:lang w:val="en"/>
      <w14:ligatures w14:val="none"/>
    </w:rPr>
  </w:style>
  <w:style w:type="character" w:customStyle="1" w:styleId="NormalTok">
    <w:name w:val="NormalTok"/>
    <w:basedOn w:val="VerbatimChar"/>
    <w:rsid w:val="00406E3B"/>
    <w:rPr>
      <w:rFonts w:ascii="Consolas" w:hAnsi="Consolas"/>
      <w:i/>
      <w:kern w:val="0"/>
      <w:sz w:val="22"/>
      <w:lang w:val="en"/>
      <w14:ligatures w14:val="none"/>
    </w:rPr>
  </w:style>
  <w:style w:type="paragraph" w:styleId="NoSpacing">
    <w:name w:val="No Spacing"/>
    <w:link w:val="NoSpacingChar"/>
    <w:uiPriority w:val="1"/>
    <w:qFormat/>
    <w:rsid w:val="00894C0E"/>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94C0E"/>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opensocietyfoundations.org/uploads/bab739ea-0197-4a4c-a1a2-a8ee026f4014/factsheet-osf-europe-20180621.pdf" TargetMode="External"/><Relationship Id="rId671" Type="http://schemas.openxmlformats.org/officeDocument/2006/relationships/hyperlink" Target="file://file-JmrRdnQaLgjfQvsQ6YfEvX" TargetMode="External"/><Relationship Id="rId21" Type="http://schemas.openxmlformats.org/officeDocument/2006/relationships/hyperlink" Target="https://www.influencewatch.org/non-profit/foundation-to-promote-open-society/" TargetMode="External"/><Relationship Id="rId324" Type="http://schemas.openxmlformats.org/officeDocument/2006/relationships/hyperlink" Target="https://www.cima.ned.org/donor-profiles/open-society-foundations/" TargetMode="External"/><Relationship Id="rId531" Type="http://schemas.openxmlformats.org/officeDocument/2006/relationships/hyperlink" Target="https://chicago.suntimes.com/politics/2020/8/10/21362344/foxx-states-attorney-dishonest-blame-games-looting-lightfoot-brown-obrien-violence" TargetMode="External"/><Relationship Id="rId629" Type="http://schemas.openxmlformats.org/officeDocument/2006/relationships/hyperlink" Target="https://www.opensocietyfoundations.org/newsroom/how-the-open-society-foundations-support-election-integrity" TargetMode="External"/><Relationship Id="rId170" Type="http://schemas.openxmlformats.org/officeDocument/2006/relationships/hyperlink" Target="https://www.opensocietyfoundations.org/grants/past" TargetMode="External"/><Relationship Id="rId268" Type="http://schemas.openxmlformats.org/officeDocument/2006/relationships/hyperlink" Target="https://www.tabletmag.com/sections/news/articles/for-profit-dc-firm-staging-americas-grassroots-movements-arabella-advisors" TargetMode="External"/><Relationship Id="rId475" Type="http://schemas.openxmlformats.org/officeDocument/2006/relationships/hyperlink" Target="https://bailproject.org/data/does-bail-reform-lead-to-an-increase-in-gun-violence/" TargetMode="External"/><Relationship Id="rId682" Type="http://schemas.openxmlformats.org/officeDocument/2006/relationships/hyperlink" Target="file://file-JmrRdnQaLgjfQvsQ6YfEvX" TargetMode="External"/><Relationship Id="rId32" Type="http://schemas.openxmlformats.org/officeDocument/2006/relationships/hyperlink" Target="https://en.wikipedia.org/wiki/Open_Society_Initiative_for_West_Africa" TargetMode="External"/><Relationship Id="rId128" Type="http://schemas.openxmlformats.org/officeDocument/2006/relationships/hyperlink" Target="https://www.opensocietyfoundations.org/how-we-work/how-we-fund" TargetMode="External"/><Relationship Id="rId335" Type="http://schemas.openxmlformats.org/officeDocument/2006/relationships/hyperlink" Target="https://www.cima.ned.org/donor-profiles/open-society-foundations/" TargetMode="External"/><Relationship Id="rId542" Type="http://schemas.openxmlformats.org/officeDocument/2006/relationships/hyperlink" Target="https://www.phila.gov/2021-02-09-city-awarded-grant-by-macarthur-foundation/" TargetMode="External"/><Relationship Id="rId181" Type="http://schemas.openxmlformats.org/officeDocument/2006/relationships/hyperlink" Target="https://www.theguardian.com/business/2017/oct/18/george-soros-gives-18-billion-dollars-open-society-foundation" TargetMode="External"/><Relationship Id="rId402" Type="http://schemas.openxmlformats.org/officeDocument/2006/relationships/hyperlink" Target="https://www.reuters.com/article/world/soros-foundation-attacks-stifling-orban-law-as-hungary-exit-looms-idUSKBN1HR0LV/" TargetMode="External"/><Relationship Id="rId279" Type="http://schemas.openxmlformats.org/officeDocument/2006/relationships/hyperlink" Target="https://www.philanthropy.com/article/why-tides-and-black-lives-matter-are-fighting-over-33-million" TargetMode="External"/><Relationship Id="rId486" Type="http://schemas.openxmlformats.org/officeDocument/2006/relationships/hyperlink" Target="https://bailproject.org/learn/five-questions-about-texas-bail-reform/" TargetMode="External"/><Relationship Id="rId693" Type="http://schemas.openxmlformats.org/officeDocument/2006/relationships/hyperlink" Target="file://file-JmrRdnQaLgjfQvsQ6YfEvX" TargetMode="External"/><Relationship Id="rId707" Type="http://schemas.openxmlformats.org/officeDocument/2006/relationships/hyperlink" Target="file://file-JmrRdnQaLgjfQvsQ6YfEvX" TargetMode="External"/><Relationship Id="rId43" Type="http://schemas.openxmlformats.org/officeDocument/2006/relationships/hyperlink" Target="https://www.influencewatch.org/non-profit/open-society-foundations/" TargetMode="External"/><Relationship Id="rId139" Type="http://schemas.openxmlformats.org/officeDocument/2006/relationships/hyperlink" Target="https://www.opensocietyfoundations.org/how-we-work/how-we-fund" TargetMode="External"/><Relationship Id="rId346" Type="http://schemas.openxmlformats.org/officeDocument/2006/relationships/hyperlink" Target="https://www.foxnews.com/politics/billionaire-soros-pays-for-additional-reporters-for-npr-partner-initiative" TargetMode="External"/><Relationship Id="rId553" Type="http://schemas.openxmlformats.org/officeDocument/2006/relationships/hyperlink" Target="https://www.phila.gov/2021-02-09-city-awarded-grant-by-macarthur-foundation/" TargetMode="External"/><Relationship Id="rId192" Type="http://schemas.openxmlformats.org/officeDocument/2006/relationships/hyperlink" Target="https://www.devex.com/news/a-look-into-open-society-foundations-grantmaking-106871" TargetMode="External"/><Relationship Id="rId206" Type="http://schemas.openxmlformats.org/officeDocument/2006/relationships/hyperlink" Target="https://www.devex.com/news/a-look-into-open-society-foundations-grantmaking-106871" TargetMode="External"/><Relationship Id="rId413" Type="http://schemas.openxmlformats.org/officeDocument/2006/relationships/hyperlink" Target="https://www.foxnews.com/politics/billionaire-soros-pays-for-additional-reporters-for-npr-partner-initiative" TargetMode="External"/><Relationship Id="rId497" Type="http://schemas.openxmlformats.org/officeDocument/2006/relationships/hyperlink" Target="https://www.innovatingjustice.org/wp-content/uploads/2021/02/Handout_Bail_Reform_Crime_02032021.pdf" TargetMode="External"/><Relationship Id="rId620" Type="http://schemas.openxmlformats.org/officeDocument/2006/relationships/hyperlink" Target="https://www.nationalaffairs.com/publications/detail/does-high-voter-turnout-help-one-party" TargetMode="External"/><Relationship Id="rId357" Type="http://schemas.openxmlformats.org/officeDocument/2006/relationships/hyperlink" Target="https://www.occrp.org/en/about-us/who-supports-our-work" TargetMode="External"/><Relationship Id="rId54" Type="http://schemas.openxmlformats.org/officeDocument/2006/relationships/hyperlink" Target="https://www.influencewatch.org/non-profit/foundation-to-promote-open-society/" TargetMode="External"/><Relationship Id="rId217" Type="http://schemas.openxmlformats.org/officeDocument/2006/relationships/hyperlink" Target="https://en.wikipedia.org/wiki/Open_Society_Foundations" TargetMode="External"/><Relationship Id="rId564" Type="http://schemas.openxmlformats.org/officeDocument/2006/relationships/hyperlink" Target="https://whyy.org/articles/philadelphia-homicides-2024-low-krasner/" TargetMode="External"/><Relationship Id="rId424" Type="http://schemas.openxmlformats.org/officeDocument/2006/relationships/hyperlink" Target="https://gijn.org/stories/how-defend-news-integrity-during-global-funding-crisis/" TargetMode="External"/><Relationship Id="rId631" Type="http://schemas.openxmlformats.org/officeDocument/2006/relationships/hyperlink" Target="https://www.opensocietyfoundations.org/newsroom/how-the-open-society-foundations-support-election-integrity" TargetMode="External"/><Relationship Id="rId270" Type="http://schemas.openxmlformats.org/officeDocument/2006/relationships/hyperlink" Target="https://www.exposedbycmd.org/2024/11/20/donorstrust-injected-more-than-150-million-in-untraceable-cash-into-right-wing-groups-in-2023/" TargetMode="External"/><Relationship Id="rId65" Type="http://schemas.openxmlformats.org/officeDocument/2006/relationships/hyperlink" Target="https://en.wikipedia.org/wiki/Open_Society_Initiative_for_West_Africa" TargetMode="External"/><Relationship Id="rId130" Type="http://schemas.openxmlformats.org/officeDocument/2006/relationships/hyperlink" Target="https://www.influencewatch.org/non-profit/open-society-foundations/" TargetMode="External"/><Relationship Id="rId368" Type="http://schemas.openxmlformats.org/officeDocument/2006/relationships/hyperlink" Target="https://www.opensocietyfoundations.org/voices/topics/media-freedom" TargetMode="External"/><Relationship Id="rId575" Type="http://schemas.openxmlformats.org/officeDocument/2006/relationships/hyperlink" Target="https://www.opensocietyfoundations.org/newsroom/open-society-and-free-and-fair-elections-in-the-united-states" TargetMode="External"/><Relationship Id="rId228" Type="http://schemas.openxmlformats.org/officeDocument/2006/relationships/hyperlink" Target="https://www.devex.com/news/a-look-into-open-society-foundations-grantmaking-106871" TargetMode="External"/><Relationship Id="rId435" Type="http://schemas.openxmlformats.org/officeDocument/2006/relationships/hyperlink" Target="https://pressgazette.co.uk/the-wire/newspaper-corrections-media-mistakes-errors-legal/open-democracy-wins-complaint-against-express-over-george-soros-claim/" TargetMode="External"/><Relationship Id="rId642" Type="http://schemas.openxmlformats.org/officeDocument/2006/relationships/hyperlink" Target="file://file-JmrRdnQaLgjfQvsQ6YfEvX" TargetMode="External"/><Relationship Id="rId281" Type="http://schemas.openxmlformats.org/officeDocument/2006/relationships/hyperlink" Target="https://www.tabletmag.com/sections/news/articles/for-profit-dc-firm-staging-americas-grassroots-movements-arabella-advisors" TargetMode="External"/><Relationship Id="rId502" Type="http://schemas.openxmlformats.org/officeDocument/2006/relationships/hyperlink" Target="https://www.republicanleader.senate.gov/newsroom/research/soros-prosecutors-have-overseen-massive-crime-waves-in-their-communities" TargetMode="External"/><Relationship Id="rId76" Type="http://schemas.openxmlformats.org/officeDocument/2006/relationships/hyperlink" Target="https://www.opensocietyfoundations.org/who-we-are/board-of-directors" TargetMode="External"/><Relationship Id="rId141" Type="http://schemas.openxmlformats.org/officeDocument/2006/relationships/hyperlink" Target="https://www.opensocietyfoundations.org/how-we-work/how-we-fund" TargetMode="External"/><Relationship Id="rId379" Type="http://schemas.openxmlformats.org/officeDocument/2006/relationships/hyperlink" Target="https://www.occrp.org/en/frequently-asked-questions-on-occrps-funding-and-editorial-policies" TargetMode="External"/><Relationship Id="rId586" Type="http://schemas.openxmlformats.org/officeDocument/2006/relationships/hyperlink" Target="https://www.opensocietyfoundations.org/voices/war-voters" TargetMode="External"/><Relationship Id="rId7" Type="http://schemas.openxmlformats.org/officeDocument/2006/relationships/hyperlink" Target="https://www.opensocietyfoundations.org/who-we-are" TargetMode="External"/><Relationship Id="rId239" Type="http://schemas.openxmlformats.org/officeDocument/2006/relationships/hyperlink" Target="https://www.influencewatch.org/non-profit/open-society-foundations/" TargetMode="External"/><Relationship Id="rId446" Type="http://schemas.openxmlformats.org/officeDocument/2006/relationships/hyperlink" Target="https://www.malaysiakini.com/news/361820" TargetMode="External"/><Relationship Id="rId653" Type="http://schemas.openxmlformats.org/officeDocument/2006/relationships/hyperlink" Target="file://file-JmrRdnQaLgjfQvsQ6YfEvX" TargetMode="External"/><Relationship Id="rId292" Type="http://schemas.openxmlformats.org/officeDocument/2006/relationships/hyperlink" Target="https://www.tabletmag.com/sections/news/articles/for-profit-dc-firm-staging-americas-grassroots-movements-arabella-advisors" TargetMode="External"/><Relationship Id="rId306" Type="http://schemas.openxmlformats.org/officeDocument/2006/relationships/hyperlink" Target="https://en.wikipedia.org/wiki/Open_Society_Foundations" TargetMode="External"/><Relationship Id="rId87" Type="http://schemas.openxmlformats.org/officeDocument/2006/relationships/hyperlink" Target="https://en.wikipedia.org/wiki/Open_Society_Foundations" TargetMode="External"/><Relationship Id="rId513" Type="http://schemas.openxmlformats.org/officeDocument/2006/relationships/hyperlink" Target="https://www.policedefense.org/sorosmap/" TargetMode="External"/><Relationship Id="rId597" Type="http://schemas.openxmlformats.org/officeDocument/2006/relationships/hyperlink" Target="https://www.texastribune.org/2023/03/09/texas-voting-eric/" TargetMode="External"/><Relationship Id="rId152" Type="http://schemas.openxmlformats.org/officeDocument/2006/relationships/hyperlink" Target="https://www.influencewatch.org/non-profit/open-society-foundations/" TargetMode="External"/><Relationship Id="rId457" Type="http://schemas.openxmlformats.org/officeDocument/2006/relationships/hyperlink" Target="https://www.asc-usi.com/keeping-an-ear-to-the-ground/" TargetMode="External"/><Relationship Id="rId664" Type="http://schemas.openxmlformats.org/officeDocument/2006/relationships/hyperlink" Target="file://file-JmrRdnQaLgjfQvsQ6YfEvX" TargetMode="External"/><Relationship Id="rId14" Type="http://schemas.openxmlformats.org/officeDocument/2006/relationships/hyperlink" Target="https://www.influencewatch.org/non-profit/foundation-to-promote-open-society/" TargetMode="External"/><Relationship Id="rId317" Type="http://schemas.openxmlformats.org/officeDocument/2006/relationships/hyperlink" Target="https://www.cima.ned.org/donor-profiles/open-society-foundations/" TargetMode="External"/><Relationship Id="rId524" Type="http://schemas.openxmlformats.org/officeDocument/2006/relationships/hyperlink" Target="https://whyy.org/articles/philadelphia-homicides-2024-low-krasner/" TargetMode="External"/><Relationship Id="rId98" Type="http://schemas.openxmlformats.org/officeDocument/2006/relationships/hyperlink" Target="https://www.influencewatch.org/non-profit/open-society-foundations/" TargetMode="External"/><Relationship Id="rId163" Type="http://schemas.openxmlformats.org/officeDocument/2006/relationships/hyperlink" Target="https://www.opensocietyfoundations.org/grants/past" TargetMode="External"/><Relationship Id="rId370" Type="http://schemas.openxmlformats.org/officeDocument/2006/relationships/hyperlink" Target="https://pressgazette.co.uk/the-wire/newspaper-corrections-media-mistakes-errors-legal/open-democracy-wins-complaint-against-express-over-george-soros-claim/" TargetMode="External"/><Relationship Id="rId230" Type="http://schemas.openxmlformats.org/officeDocument/2006/relationships/hyperlink" Target="https://www.devex.com/news/a-look-into-open-society-foundations-grantmaking-106871" TargetMode="External"/><Relationship Id="rId468" Type="http://schemas.openxmlformats.org/officeDocument/2006/relationships/hyperlink" Target="https://www.inquirer.com/crime/philadelphia-jail-population-reduction-historic-low-20250410.html" TargetMode="External"/><Relationship Id="rId675" Type="http://schemas.openxmlformats.org/officeDocument/2006/relationships/hyperlink" Target="file://file-JmrRdnQaLgjfQvsQ6YfEvX" TargetMode="External"/><Relationship Id="rId25" Type="http://schemas.openxmlformats.org/officeDocument/2006/relationships/hyperlink" Target="https://en.wikipedia.org/wiki/Open_Society_Initiative_for_West_Africa" TargetMode="External"/><Relationship Id="rId328" Type="http://schemas.openxmlformats.org/officeDocument/2006/relationships/hyperlink" Target="https://www.soroseconomicdevelopmentfund.org/how-we-work/independent-media" TargetMode="External"/><Relationship Id="rId535" Type="http://schemas.openxmlformats.org/officeDocument/2006/relationships/hyperlink" Target="https://whyy.org/articles/philadelphia-homicides-2024-low-krasner/" TargetMode="External"/><Relationship Id="rId174" Type="http://schemas.openxmlformats.org/officeDocument/2006/relationships/hyperlink" Target="https://www.influencewatch.org/non-profit/open-society-foundations/" TargetMode="External"/><Relationship Id="rId381" Type="http://schemas.openxmlformats.org/officeDocument/2006/relationships/hyperlink" Target="https://www.occrp.org/en/frequently-asked-questions-on-occrps-funding-and-editorial-policies" TargetMode="External"/><Relationship Id="rId602" Type="http://schemas.openxmlformats.org/officeDocument/2006/relationships/hyperlink" Target="https://www.opensocietyfoundations.org/newsroom/how-the-open-society-foundations-support-election-integrity" TargetMode="External"/><Relationship Id="rId241" Type="http://schemas.openxmlformats.org/officeDocument/2006/relationships/hyperlink" Target="https://www.influencewatch.org/non-profit/open-society-foundations/" TargetMode="External"/><Relationship Id="rId479" Type="http://schemas.openxmlformats.org/officeDocument/2006/relationships/hyperlink" Target="https://bailproject.org/data/does-bail-reform-lead-to-an-increase-in-gun-violence/" TargetMode="External"/><Relationship Id="rId686" Type="http://schemas.openxmlformats.org/officeDocument/2006/relationships/hyperlink" Target="https://www.opensocietyfoundations.org/who-we-are/our-history" TargetMode="External"/><Relationship Id="rId36" Type="http://schemas.openxmlformats.org/officeDocument/2006/relationships/hyperlink" Target="https://www.opensocietyfoundations.org/uploads/bab739ea-0197-4a4c-a1a2-a8ee026f4014/factsheet-osf-europe-20180621.pdf" TargetMode="External"/><Relationship Id="rId339" Type="http://schemas.openxmlformats.org/officeDocument/2006/relationships/hyperlink" Target="https://www.cima.ned.org/donor-profiles/open-society-foundations/" TargetMode="External"/><Relationship Id="rId546" Type="http://schemas.openxmlformats.org/officeDocument/2006/relationships/hyperlink" Target="https://www.prisonpolicy.org/scans/philadelphiacontroller/cashbail.pdf" TargetMode="External"/><Relationship Id="rId101" Type="http://schemas.openxmlformats.org/officeDocument/2006/relationships/hyperlink" Target="https://www.opensocietyfoundations.org/grants/faq" TargetMode="External"/><Relationship Id="rId185" Type="http://schemas.openxmlformats.org/officeDocument/2006/relationships/hyperlink" Target="https://www.propublica.org/article/dark-money-leonard-leo-barre-seid" TargetMode="External"/><Relationship Id="rId406" Type="http://schemas.openxmlformats.org/officeDocument/2006/relationships/hyperlink" Target="https://www.reuters.com/article/world/soros-foundation-attacks-stifling-orban-law-as-hungary-exit-looms-idUSKBN1HR0LV/" TargetMode="External"/><Relationship Id="rId392" Type="http://schemas.openxmlformats.org/officeDocument/2006/relationships/hyperlink" Target="https://www.malaysiakini.com/news/361820" TargetMode="External"/><Relationship Id="rId613" Type="http://schemas.openxmlformats.org/officeDocument/2006/relationships/hyperlink" Target="https://www.opensocietyfoundations.org/newsroom/open-society-and-free-and-fair-elections-in-the-united-states" TargetMode="External"/><Relationship Id="rId697" Type="http://schemas.openxmlformats.org/officeDocument/2006/relationships/hyperlink" Target="file://file-JmrRdnQaLgjfQvsQ6YfEvX" TargetMode="External"/><Relationship Id="rId252" Type="http://schemas.openxmlformats.org/officeDocument/2006/relationships/hyperlink" Target="https://www.tabletmag.com/sections/news/articles/for-profit-dc-firm-staging-americas-grassroots-movements-arabella-advisors" TargetMode="External"/><Relationship Id="rId47" Type="http://schemas.openxmlformats.org/officeDocument/2006/relationships/hyperlink" Target="https://www.influencewatch.org/non-profit/open-society-foundations/" TargetMode="External"/><Relationship Id="rId112" Type="http://schemas.openxmlformats.org/officeDocument/2006/relationships/hyperlink" Target="https://www.investigativeeconomics.org/p/mapping-the-soros-network" TargetMode="External"/><Relationship Id="rId557" Type="http://schemas.openxmlformats.org/officeDocument/2006/relationships/hyperlink" Target="https://www.phila.gov/2021-02-09-city-awarded-grant-by-macarthur-foundation/" TargetMode="External"/><Relationship Id="rId196" Type="http://schemas.openxmlformats.org/officeDocument/2006/relationships/hyperlink" Target="https://www.devex.com/news/a-look-into-open-society-foundations-grantmaking-106871" TargetMode="External"/><Relationship Id="rId417" Type="http://schemas.openxmlformats.org/officeDocument/2006/relationships/hyperlink" Target="https://ohiosenate.gov/news/on-the-record/tracing-the-fake-news-money-trail" TargetMode="External"/><Relationship Id="rId624" Type="http://schemas.openxmlformats.org/officeDocument/2006/relationships/hyperlink" Target="https://www.nationalaffairs.com/publications/detail/does-high-voter-turnout-help-one-party" TargetMode="External"/><Relationship Id="rId263" Type="http://schemas.openxmlformats.org/officeDocument/2006/relationships/hyperlink" Target="https://www.philanthropy.com/article/why-tides-and-black-lives-matter-are-fighting-over-33-million" TargetMode="External"/><Relationship Id="rId470" Type="http://schemas.openxmlformats.org/officeDocument/2006/relationships/hyperlink" Target="https://whyy.org/articles/philadelphia-homicides-2024-low-krasner/" TargetMode="External"/><Relationship Id="rId58" Type="http://schemas.openxmlformats.org/officeDocument/2006/relationships/hyperlink" Target="https://www.opensocietyfoundations.org/uploads/bab739ea-0197-4a4c-a1a2-a8ee026f4014/factsheet-osf-europe-20180621.pdf" TargetMode="External"/><Relationship Id="rId123" Type="http://schemas.openxmlformats.org/officeDocument/2006/relationships/hyperlink" Target="https://www.opensocietyfoundations.org/newsroom/open-society-foundations-close-international-operations-budapest" TargetMode="External"/><Relationship Id="rId330" Type="http://schemas.openxmlformats.org/officeDocument/2006/relationships/hyperlink" Target="https://www.soroseconomicdevelopmentfund.org/how-we-work/independent-media" TargetMode="External"/><Relationship Id="rId568" Type="http://schemas.openxmlformats.org/officeDocument/2006/relationships/hyperlink" Target="https://www.inquirer.com/crime/philadelphia-jail-population-reduction-historic-low-20250410.html" TargetMode="External"/><Relationship Id="rId428" Type="http://schemas.openxmlformats.org/officeDocument/2006/relationships/hyperlink" Target="https://www.occrp.org/en/frequently-asked-questions-on-occrps-funding-and-editorial-policies" TargetMode="External"/><Relationship Id="rId635" Type="http://schemas.openxmlformats.org/officeDocument/2006/relationships/hyperlink" Target="https://www.opensocietyfoundations.org/newsroom/how-the-open-society-foundations-support-election-integrity" TargetMode="External"/><Relationship Id="rId274" Type="http://schemas.openxmlformats.org/officeDocument/2006/relationships/hyperlink" Target="https://www.philanthropy.com/article/why-tides-and-black-lives-matter-are-fighting-over-33-million" TargetMode="External"/><Relationship Id="rId481" Type="http://schemas.openxmlformats.org/officeDocument/2006/relationships/hyperlink" Target="https://bailproject.org/learn/five-questions-about-texas-bail-reform/" TargetMode="External"/><Relationship Id="rId702" Type="http://schemas.openxmlformats.org/officeDocument/2006/relationships/hyperlink" Target="file://file-JmrRdnQaLgjfQvsQ6YfEvX" TargetMode="External"/><Relationship Id="rId69" Type="http://schemas.openxmlformats.org/officeDocument/2006/relationships/hyperlink" Target="https://en.wikipedia.org/wiki/Open_Society_Initiative_for_Southern_Africa" TargetMode="External"/><Relationship Id="rId134" Type="http://schemas.openxmlformats.org/officeDocument/2006/relationships/hyperlink" Target="https://www.opensocietyfoundations.org/grants/past" TargetMode="External"/><Relationship Id="rId579" Type="http://schemas.openxmlformats.org/officeDocument/2006/relationships/hyperlink" Target="https://www.opensocietyfoundations.org/newsroom/how-the-open-society-foundations-support-election-integrity" TargetMode="External"/><Relationship Id="rId341" Type="http://schemas.openxmlformats.org/officeDocument/2006/relationships/hyperlink" Target="https://www.cima.ned.org/donor-profiles/open-society-foundations/" TargetMode="External"/><Relationship Id="rId439" Type="http://schemas.openxmlformats.org/officeDocument/2006/relationships/hyperlink" Target="https://pressgazette.co.uk/the-wire/newspaper-corrections-media-mistakes-errors-legal/open-democracy-wins-complaint-against-express-over-george-soros-claim/" TargetMode="External"/><Relationship Id="rId646" Type="http://schemas.openxmlformats.org/officeDocument/2006/relationships/hyperlink" Target="file://file-JmrRdnQaLgjfQvsQ6YfEvX" TargetMode="External"/><Relationship Id="rId201" Type="http://schemas.openxmlformats.org/officeDocument/2006/relationships/hyperlink" Target="https://www.devex.com/news/a-look-into-open-society-foundations-grantmaking-106871" TargetMode="External"/><Relationship Id="rId285" Type="http://schemas.openxmlformats.org/officeDocument/2006/relationships/hyperlink" Target="https://www.irs.gov/charities-non-profits/private-foundations/political-campaign-intervention-private-foundations" TargetMode="External"/><Relationship Id="rId506" Type="http://schemas.openxmlformats.org/officeDocument/2006/relationships/hyperlink" Target="https://www.washingtonpost.com/technology/2024/11/26/elon-musk-george-soros-pac-republican-elections/" TargetMode="External"/><Relationship Id="rId492" Type="http://schemas.openxmlformats.org/officeDocument/2006/relationships/hyperlink" Target="https://www.phila.gov/2021-02-09-city-awarded-grant-by-macarthur-foundation/" TargetMode="External"/><Relationship Id="rId713" Type="http://schemas.openxmlformats.org/officeDocument/2006/relationships/hyperlink" Target="file://file-JmrRdnQaLgjfQvsQ6YfEvX" TargetMode="External"/><Relationship Id="rId145" Type="http://schemas.openxmlformats.org/officeDocument/2006/relationships/hyperlink" Target="https://www.influencewatch.org/non-profit/open-society-foundations/" TargetMode="External"/><Relationship Id="rId352" Type="http://schemas.openxmlformats.org/officeDocument/2006/relationships/hyperlink" Target="https://www.opensocietyfoundations.org/voices/investigative-journalism-collaboration-produced-panama-papers" TargetMode="External"/><Relationship Id="rId212" Type="http://schemas.openxmlformats.org/officeDocument/2006/relationships/hyperlink" Target="https://www.oecd.org/en/publications/development-co-operation-profiles_04b376d7-en/open-society-foundations_19516b58-en.html" TargetMode="External"/><Relationship Id="rId657" Type="http://schemas.openxmlformats.org/officeDocument/2006/relationships/hyperlink" Target="file://file-JmrRdnQaLgjfQvsQ6YfEvX" TargetMode="External"/><Relationship Id="rId296" Type="http://schemas.openxmlformats.org/officeDocument/2006/relationships/hyperlink" Target="https://www.tabletmag.com/sections/news/articles/for-profit-dc-firm-staging-americas-grassroots-movements-arabella-advisors" TargetMode="External"/><Relationship Id="rId517" Type="http://schemas.openxmlformats.org/officeDocument/2006/relationships/hyperlink" Target="https://chicago.suntimes.com/politics/2020/8/10/21362344/foxx-states-attorney-dishonest-blame-games-looting-lightfoot-brown-obrien-violence" TargetMode="External"/><Relationship Id="rId60" Type="http://schemas.openxmlformats.org/officeDocument/2006/relationships/hyperlink" Target="https://en.wikipedia.org/wiki/Open_Society_Foundations" TargetMode="External"/><Relationship Id="rId156" Type="http://schemas.openxmlformats.org/officeDocument/2006/relationships/hyperlink" Target="https://www.influencewatch.org/non-profit/open-society-foundations/" TargetMode="External"/><Relationship Id="rId363" Type="http://schemas.openxmlformats.org/officeDocument/2006/relationships/hyperlink" Target="https://www.cima.ned.org/donor-profiles/open-society-foundations/" TargetMode="External"/><Relationship Id="rId570" Type="http://schemas.openxmlformats.org/officeDocument/2006/relationships/hyperlink" Target="https://www.phila.gov/2021-02-09-city-awarded-grant-by-macarthur-foundation/" TargetMode="External"/><Relationship Id="rId223" Type="http://schemas.openxmlformats.org/officeDocument/2006/relationships/hyperlink" Target="https://www.devex.com/news/a-look-into-open-society-foundations-grantmaking-106871" TargetMode="External"/><Relationship Id="rId430" Type="http://schemas.openxmlformats.org/officeDocument/2006/relationships/hyperlink" Target="https://gijn.org/stories/how-defend-news-integrity-during-global-funding-crisis/" TargetMode="External"/><Relationship Id="rId668" Type="http://schemas.openxmlformats.org/officeDocument/2006/relationships/hyperlink" Target="file://file-JmrRdnQaLgjfQvsQ6YfEvX" TargetMode="External"/><Relationship Id="rId18" Type="http://schemas.openxmlformats.org/officeDocument/2006/relationships/hyperlink" Target="https://www.influencewatch.org/non-profit/foundation-to-promote-open-society/" TargetMode="External"/><Relationship Id="rId528" Type="http://schemas.openxmlformats.org/officeDocument/2006/relationships/hyperlink" Target="https://datacollaborativeforjustice.org/work/bail-reform/does-new-yorks-bail-reform-law-impact-recidivism-a-quasi-experimental-test-in-the-states-suburban-and-upstate-regions/" TargetMode="External"/><Relationship Id="rId167" Type="http://schemas.openxmlformats.org/officeDocument/2006/relationships/hyperlink" Target="https://www.opensocietyfoundations.org/grants/past" TargetMode="External"/><Relationship Id="rId374" Type="http://schemas.openxmlformats.org/officeDocument/2006/relationships/hyperlink" Target="https://pressgazette.co.uk/the-wire/newspaper-corrections-media-mistakes-errors-legal/open-democracy-wins-complaint-against-express-over-george-soros-claim/" TargetMode="External"/><Relationship Id="rId581" Type="http://schemas.openxmlformats.org/officeDocument/2006/relationships/hyperlink" Target="https://www.opensocietyfoundations.org/voices/bolstering-women-and-youth-linchpins-of-democracy" TargetMode="External"/><Relationship Id="rId71" Type="http://schemas.openxmlformats.org/officeDocument/2006/relationships/hyperlink" Target="https://www.opensocietyfoundations.org/uploads/bab739ea-0197-4a4c-a1a2-a8ee026f4014/factsheet-osf-europe-20180621.pdf" TargetMode="External"/><Relationship Id="rId234" Type="http://schemas.openxmlformats.org/officeDocument/2006/relationships/hyperlink" Target="https://www.devex.com/news/a-look-into-open-society-foundations-grantmaking-106871" TargetMode="External"/><Relationship Id="rId679" Type="http://schemas.openxmlformats.org/officeDocument/2006/relationships/hyperlink" Target="file://file-JmrRdnQaLgjfQvsQ6YfEvX" TargetMode="External"/><Relationship Id="rId2" Type="http://schemas.openxmlformats.org/officeDocument/2006/relationships/styles" Target="styles.xml"/><Relationship Id="rId29" Type="http://schemas.openxmlformats.org/officeDocument/2006/relationships/hyperlink" Target="https://en.wikipedia.org/wiki/Open_Society_Initiative_for_West_Africa" TargetMode="External"/><Relationship Id="rId276" Type="http://schemas.openxmlformats.org/officeDocument/2006/relationships/hyperlink" Target="https://www.philanthropy.com/article/why-tides-and-black-lives-matter-are-fighting-over-33-million" TargetMode="External"/><Relationship Id="rId441" Type="http://schemas.openxmlformats.org/officeDocument/2006/relationships/hyperlink" Target="https://www.cima.ned.org/wp-content/uploads/2015/02/CIMA-Advancing-Independent-Journalism-While-Building-a-Modern-News-Business-The-Case-of-Malaysiakini.pdf" TargetMode="External"/><Relationship Id="rId483" Type="http://schemas.openxmlformats.org/officeDocument/2006/relationships/hyperlink" Target="https://bailproject.org/learn/five-questions-about-texas-bail-reform/" TargetMode="External"/><Relationship Id="rId539" Type="http://schemas.openxmlformats.org/officeDocument/2006/relationships/hyperlink" Target="https://www.opensocietyfoundations.org/voices/ending-mass-incarceration" TargetMode="External"/><Relationship Id="rId690" Type="http://schemas.openxmlformats.org/officeDocument/2006/relationships/hyperlink" Target="file://file-JmrRdnQaLgjfQvsQ6YfEvX" TargetMode="External"/><Relationship Id="rId704" Type="http://schemas.openxmlformats.org/officeDocument/2006/relationships/hyperlink" Target="file://file-JmrRdnQaLgjfQvsQ6YfEvX" TargetMode="External"/><Relationship Id="rId40" Type="http://schemas.openxmlformats.org/officeDocument/2006/relationships/hyperlink" Target="https://www.opensocietyfoundations.org/who-we-are/offices-foundations" TargetMode="External"/><Relationship Id="rId136" Type="http://schemas.openxmlformats.org/officeDocument/2006/relationships/hyperlink" Target="https://www.opensocietyfoundations.org/grants/past" TargetMode="External"/><Relationship Id="rId178" Type="http://schemas.openxmlformats.org/officeDocument/2006/relationships/hyperlink" Target="https://www.opensocietyfoundations.org/newsroom/open-society-foundations-praise-new-transparency-pact" TargetMode="External"/><Relationship Id="rId301" Type="http://schemas.openxmlformats.org/officeDocument/2006/relationships/hyperlink" Target="https://www.budget.senate.gov/download/walter-testimony-" TargetMode="External"/><Relationship Id="rId343" Type="http://schemas.openxmlformats.org/officeDocument/2006/relationships/hyperlink" Target="https://www.cima.ned.org/donor-profiles/open-society-foundations/" TargetMode="External"/><Relationship Id="rId550" Type="http://schemas.openxmlformats.org/officeDocument/2006/relationships/hyperlink" Target="https://www.inquirer.com/crime/philadelphia-jail-population-reduction-historic-low-20250410.html" TargetMode="External"/><Relationship Id="rId82" Type="http://schemas.openxmlformats.org/officeDocument/2006/relationships/hyperlink" Target="https://en.wikipedia.org/wiki/Open_Society_Foundations" TargetMode="External"/><Relationship Id="rId203" Type="http://schemas.openxmlformats.org/officeDocument/2006/relationships/hyperlink" Target="https://www.devex.com/news/a-look-into-open-society-foundations-grantmaking-106871" TargetMode="External"/><Relationship Id="rId385" Type="http://schemas.openxmlformats.org/officeDocument/2006/relationships/hyperlink" Target="https://time.com/5943393/bellingcat-eliot-higgins-interview/" TargetMode="External"/><Relationship Id="rId592" Type="http://schemas.openxmlformats.org/officeDocument/2006/relationships/hyperlink" Target="https://www.opensocietyfoundations.org/newsroom/open-society-and-free-and-fair-elections-in-the-united-states" TargetMode="External"/><Relationship Id="rId606" Type="http://schemas.openxmlformats.org/officeDocument/2006/relationships/hyperlink" Target="https://afj.org/wp-content/uploads/2018/06/Investing_in_Change.pdf" TargetMode="External"/><Relationship Id="rId648" Type="http://schemas.openxmlformats.org/officeDocument/2006/relationships/hyperlink" Target="file://file-JmrRdnQaLgjfQvsQ6YfEvX" TargetMode="External"/><Relationship Id="rId245" Type="http://schemas.openxmlformats.org/officeDocument/2006/relationships/hyperlink" Target="https://www.propublica.org/article/dark-money-leonard-leo-barre-seid" TargetMode="External"/><Relationship Id="rId287" Type="http://schemas.openxmlformats.org/officeDocument/2006/relationships/hyperlink" Target="https://www.irs.gov/charities-non-profits/private-foundations/political-campaign-intervention-private-foundations" TargetMode="External"/><Relationship Id="rId410" Type="http://schemas.openxmlformats.org/officeDocument/2006/relationships/hyperlink" Target="https://www.mediamatters.org/fox-nation/because-media-matters-donation-beck-says-he-now-enemy-no-1-george-soros-1-million-bounty" TargetMode="External"/><Relationship Id="rId452" Type="http://schemas.openxmlformats.org/officeDocument/2006/relationships/hyperlink" Target="https://www.republicanleader.senate.gov/newsroom/research/soros-prosecutors-have-overseen-massive-crime-waves-in-their-communities" TargetMode="External"/><Relationship Id="rId494" Type="http://schemas.openxmlformats.org/officeDocument/2006/relationships/hyperlink" Target="https://bailproject.org/data/does-bail-reform-lead-to-an-increase-in-gun-violence/" TargetMode="External"/><Relationship Id="rId508" Type="http://schemas.openxmlformats.org/officeDocument/2006/relationships/hyperlink" Target="https://www.wrtv.com/news/local-news/crime/mom-wants-the-bail-project-reined-in-after-her-son-was-gunned-down-in-indianapolis" TargetMode="External"/><Relationship Id="rId715" Type="http://schemas.openxmlformats.org/officeDocument/2006/relationships/fontTable" Target="fontTable.xml"/><Relationship Id="rId105" Type="http://schemas.openxmlformats.org/officeDocument/2006/relationships/hyperlink" Target="https://www.influencewatch.org/non-profit/open-society-foundations/" TargetMode="External"/><Relationship Id="rId147" Type="http://schemas.openxmlformats.org/officeDocument/2006/relationships/hyperlink" Target="https://www.opensocietyfoundations.org/how-we-work/how-we-fund" TargetMode="External"/><Relationship Id="rId312" Type="http://schemas.openxmlformats.org/officeDocument/2006/relationships/hyperlink" Target="https://www.foxnews.com/politics/billionaire-soros-pays-for-additional-reporters-for-npr-partner-initiative" TargetMode="External"/><Relationship Id="rId354" Type="http://schemas.openxmlformats.org/officeDocument/2006/relationships/hyperlink" Target="https://www.opensocietyfoundations.org/voices/investigative-journalism-collaboration-produced-panama-papers" TargetMode="External"/><Relationship Id="rId51" Type="http://schemas.openxmlformats.org/officeDocument/2006/relationships/hyperlink" Target="https://www.opensocietyfoundations.org/who-we-are/board-of-directors" TargetMode="External"/><Relationship Id="rId93" Type="http://schemas.openxmlformats.org/officeDocument/2006/relationships/hyperlink" Target="https://www.influencewatch.org/non-profit/open-society-foundations/" TargetMode="External"/><Relationship Id="rId189" Type="http://schemas.openxmlformats.org/officeDocument/2006/relationships/hyperlink" Target="https://www.theguardian.com/world/2010/sep/07/george-soros-100-million-human-rights-watch" TargetMode="External"/><Relationship Id="rId396" Type="http://schemas.openxmlformats.org/officeDocument/2006/relationships/hyperlink" Target="https://about.malaysiakini.com/accountability/" TargetMode="External"/><Relationship Id="rId561" Type="http://schemas.openxmlformats.org/officeDocument/2006/relationships/hyperlink" Target="https://controller.phila.gov/philadelphia-reports/data-release-gun-violence-trends/" TargetMode="External"/><Relationship Id="rId617" Type="http://schemas.openxmlformats.org/officeDocument/2006/relationships/hyperlink" Target="https://www.nationalaffairs.com/publications/detail/does-high-voter-turnout-help-one-party" TargetMode="External"/><Relationship Id="rId659" Type="http://schemas.openxmlformats.org/officeDocument/2006/relationships/hyperlink" Target="file://file-JmrRdnQaLgjfQvsQ6YfEvX" TargetMode="External"/><Relationship Id="rId214" Type="http://schemas.openxmlformats.org/officeDocument/2006/relationships/hyperlink" Target="https://www.oecd.org/en/publications/development-co-operation-profiles_04b376d7-en/open-society-foundations_19516b58-en.html" TargetMode="External"/><Relationship Id="rId256" Type="http://schemas.openxmlformats.org/officeDocument/2006/relationships/hyperlink" Target="https://www.tabletmag.com/sections/news/articles/for-profit-dc-firm-staging-americas-grassroots-movements-arabella-advisors" TargetMode="External"/><Relationship Id="rId298" Type="http://schemas.openxmlformats.org/officeDocument/2006/relationships/hyperlink" Target="https://www.tabletmag.com/sections/news/articles/for-profit-dc-firm-staging-americas-grassroots-movements-arabella-advisors" TargetMode="External"/><Relationship Id="rId421" Type="http://schemas.openxmlformats.org/officeDocument/2006/relationships/hyperlink" Target="https://www.occrp.org/en/frequently-asked-questions-on-occrps-funding-and-editorial-policies" TargetMode="External"/><Relationship Id="rId463" Type="http://schemas.openxmlformats.org/officeDocument/2006/relationships/hyperlink" Target="https://www.philanthropy.com/article/soros-and-feeney-funds-backed-calif-measure-on-drug-charges/" TargetMode="External"/><Relationship Id="rId519" Type="http://schemas.openxmlformats.org/officeDocument/2006/relationships/hyperlink" Target="https://bailproject.org/data/does-bail-reform-lead-to-an-increase-in-gun-violence/" TargetMode="External"/><Relationship Id="rId670" Type="http://schemas.openxmlformats.org/officeDocument/2006/relationships/hyperlink" Target="file://file-JmrRdnQaLgjfQvsQ6YfEvX" TargetMode="External"/><Relationship Id="rId116" Type="http://schemas.openxmlformats.org/officeDocument/2006/relationships/hyperlink" Target="https://www.opensocietyfoundations.org/who-we-are/offices-foundations" TargetMode="External"/><Relationship Id="rId158" Type="http://schemas.openxmlformats.org/officeDocument/2006/relationships/hyperlink" Target="https://www.influencewatch.org/non-profit/open-society-foundations/" TargetMode="External"/><Relationship Id="rId323" Type="http://schemas.openxmlformats.org/officeDocument/2006/relationships/hyperlink" Target="https://www.cima.ned.org/donor-profiles/open-society-foundations/" TargetMode="External"/><Relationship Id="rId530" Type="http://schemas.openxmlformats.org/officeDocument/2006/relationships/hyperlink" Target="https://bailproject.org/data/does-bail-reform-lead-to-an-increase-in-gun-violence/" TargetMode="External"/><Relationship Id="rId20" Type="http://schemas.openxmlformats.org/officeDocument/2006/relationships/hyperlink" Target="https://www.influencewatch.org/non-profit/open-society-foundations/" TargetMode="External"/><Relationship Id="rId62" Type="http://schemas.openxmlformats.org/officeDocument/2006/relationships/hyperlink" Target="https://www.opensocietyfoundations.org/uploads/bab739ea-0197-4a4c-a1a2-a8ee026f4014/factsheet-osf-europe-20180621.pdf" TargetMode="External"/><Relationship Id="rId365" Type="http://schemas.openxmlformats.org/officeDocument/2006/relationships/hyperlink" Target="https://www.occrp.org/en/organizations/open-society-foundations/page/1" TargetMode="External"/><Relationship Id="rId572" Type="http://schemas.openxmlformats.org/officeDocument/2006/relationships/hyperlink" Target="https://www.phila.gov/2021-02-09-city-awarded-grant-by-macarthur-foundation/" TargetMode="External"/><Relationship Id="rId628" Type="http://schemas.openxmlformats.org/officeDocument/2006/relationships/hyperlink" Target="https://www.opensocietyfoundations.org/voices/bolstering-women-and-youth-linchpins-of-democracy" TargetMode="External"/><Relationship Id="rId225" Type="http://schemas.openxmlformats.org/officeDocument/2006/relationships/hyperlink" Target="https://www.devex.com/news/a-look-into-open-society-foundations-grantmaking-106871" TargetMode="External"/><Relationship Id="rId267" Type="http://schemas.openxmlformats.org/officeDocument/2006/relationships/hyperlink" Target="https://www.philanthropy.com/article/why-tides-and-black-lives-matter-are-fighting-over-33-million" TargetMode="External"/><Relationship Id="rId432" Type="http://schemas.openxmlformats.org/officeDocument/2006/relationships/hyperlink" Target="https://www.occrp.org/en/frequently-asked-questions-on-occrps-funding-and-editorial-policies" TargetMode="External"/><Relationship Id="rId474" Type="http://schemas.openxmlformats.org/officeDocument/2006/relationships/hyperlink" Target="https://drexel.edu/news/archive/2024/May/New-Jersey-Cash-Bail-Reform-Reduced-Incarceration" TargetMode="External"/><Relationship Id="rId127" Type="http://schemas.openxmlformats.org/officeDocument/2006/relationships/hyperlink" Target="https://www.opensocietyfoundations.org/how-we-work/how-we-fund" TargetMode="External"/><Relationship Id="rId681" Type="http://schemas.openxmlformats.org/officeDocument/2006/relationships/hyperlink" Target="file://file-JmrRdnQaLgjfQvsQ6YfEvX" TargetMode="External"/><Relationship Id="rId31" Type="http://schemas.openxmlformats.org/officeDocument/2006/relationships/hyperlink" Target="https://en.wikipedia.org/wiki/Open_Society_Initiative_for_West_Africa" TargetMode="External"/><Relationship Id="rId73" Type="http://schemas.openxmlformats.org/officeDocument/2006/relationships/hyperlink" Target="https://www.opensocietyfoundations.org/how-we-work/how-we-fund" TargetMode="External"/><Relationship Id="rId169" Type="http://schemas.openxmlformats.org/officeDocument/2006/relationships/hyperlink" Target="https://www.opensocietyfoundations.org/grants/past" TargetMode="External"/><Relationship Id="rId334" Type="http://schemas.openxmlformats.org/officeDocument/2006/relationships/hyperlink" Target="https://www.soroseconomicdevelopmentfund.org/how-we-work/independent-media" TargetMode="External"/><Relationship Id="rId376" Type="http://schemas.openxmlformats.org/officeDocument/2006/relationships/hyperlink" Target="https://www.occrp.org/en/frequently-asked-questions-on-occrps-funding-and-editorial-policies" TargetMode="External"/><Relationship Id="rId541" Type="http://schemas.openxmlformats.org/officeDocument/2006/relationships/hyperlink" Target="https://www.inquirer.com/crime/philadelphia-jail-population-reduction-historic-low-20250410.html" TargetMode="External"/><Relationship Id="rId583" Type="http://schemas.openxmlformats.org/officeDocument/2006/relationships/hyperlink" Target="https://www.opensocietyfoundations.org/voices/bolstering-women-and-youth-linchpins-of-democracy" TargetMode="External"/><Relationship Id="rId639" Type="http://schemas.openxmlformats.org/officeDocument/2006/relationships/hyperlink" Target="file://file-JmrRdnQaLgjfQvsQ6YfEvX" TargetMode="External"/><Relationship Id="rId4" Type="http://schemas.openxmlformats.org/officeDocument/2006/relationships/webSettings" Target="webSettings.xml"/><Relationship Id="rId180" Type="http://schemas.openxmlformats.org/officeDocument/2006/relationships/hyperlink" Target="https://www.opensocietyfoundations.org/newsroom/false-claims-regarding-open-society-george-soros-and-usaid" TargetMode="External"/><Relationship Id="rId236" Type="http://schemas.openxmlformats.org/officeDocument/2006/relationships/hyperlink" Target="https://www.devex.com/news/a-look-into-open-society-foundations-grantmaking-106871" TargetMode="External"/><Relationship Id="rId278" Type="http://schemas.openxmlformats.org/officeDocument/2006/relationships/hyperlink" Target="https://www.philanthropy.com/article/why-tides-and-black-lives-matter-are-fighting-over-33-million" TargetMode="External"/><Relationship Id="rId401" Type="http://schemas.openxmlformats.org/officeDocument/2006/relationships/hyperlink" Target="https://gijn.org/stories/how-defend-news-integrity-during-global-funding-crisis/" TargetMode="External"/><Relationship Id="rId443" Type="http://schemas.openxmlformats.org/officeDocument/2006/relationships/hyperlink" Target="https://www.malaysiakini.com/news/361820" TargetMode="External"/><Relationship Id="rId650" Type="http://schemas.openxmlformats.org/officeDocument/2006/relationships/hyperlink" Target="file://file-JmrRdnQaLgjfQvsQ6YfEvX" TargetMode="External"/><Relationship Id="rId303" Type="http://schemas.openxmlformats.org/officeDocument/2006/relationships/hyperlink" Target="https://en.wikipedia.org/wiki/Open_Society_Foundations" TargetMode="External"/><Relationship Id="rId485" Type="http://schemas.openxmlformats.org/officeDocument/2006/relationships/hyperlink" Target="https://bailproject.org/learn/five-questions-about-texas-bail-reform/" TargetMode="External"/><Relationship Id="rId692" Type="http://schemas.openxmlformats.org/officeDocument/2006/relationships/hyperlink" Target="file://file-JmrRdnQaLgjfQvsQ6YfEvX" TargetMode="External"/><Relationship Id="rId706" Type="http://schemas.openxmlformats.org/officeDocument/2006/relationships/hyperlink" Target="file://file-JmrRdnQaLgjfQvsQ6YfEvX" TargetMode="External"/><Relationship Id="rId42" Type="http://schemas.openxmlformats.org/officeDocument/2006/relationships/hyperlink" Target="https://www.opensocietyfoundations.org/who-we-are/offices-foundations" TargetMode="External"/><Relationship Id="rId84" Type="http://schemas.openxmlformats.org/officeDocument/2006/relationships/hyperlink" Target="https://en.wikipedia.org/wiki/Open_Society_Initiative_for_West_Africa" TargetMode="External"/><Relationship Id="rId138" Type="http://schemas.openxmlformats.org/officeDocument/2006/relationships/hyperlink" Target="https://www.opensocietyfoundations.org/how-we-work/how-we-fund" TargetMode="External"/><Relationship Id="rId345" Type="http://schemas.openxmlformats.org/officeDocument/2006/relationships/hyperlink" Target="https://www.foxnews.com/politics/billionaire-soros-pays-for-additional-reporters-for-npr-partner-initiative" TargetMode="External"/><Relationship Id="rId387" Type="http://schemas.openxmlformats.org/officeDocument/2006/relationships/hyperlink" Target="https://time.com/5943393/bellingcat-eliot-higgins-interview/" TargetMode="External"/><Relationship Id="rId510" Type="http://schemas.openxmlformats.org/officeDocument/2006/relationships/hyperlink" Target="https://www.wrtv.com/news/local-news/crime/mom-wants-the-bail-project-reined-in-after-her-son-was-gunned-down-in-indianapolis" TargetMode="External"/><Relationship Id="rId552" Type="http://schemas.openxmlformats.org/officeDocument/2006/relationships/hyperlink" Target="https://www.inquirer.com/crime/philadelphia-jail-population-reduction-historic-low-20250410.html" TargetMode="External"/><Relationship Id="rId594" Type="http://schemas.openxmlformats.org/officeDocument/2006/relationships/hyperlink" Target="https://www.texastribune.org/2023/03/09/texas-voting-eric/" TargetMode="External"/><Relationship Id="rId608" Type="http://schemas.openxmlformats.org/officeDocument/2006/relationships/hyperlink" Target="https://www.opensocietyfoundations.org/newsroom/open-society-and-free-and-fair-elections-in-the-united-states" TargetMode="External"/><Relationship Id="rId191" Type="http://schemas.openxmlformats.org/officeDocument/2006/relationships/hyperlink" Target="https://www.devex.com/news/a-look-into-open-society-foundations-grantmaking-106871" TargetMode="External"/><Relationship Id="rId205" Type="http://schemas.openxmlformats.org/officeDocument/2006/relationships/hyperlink" Target="https://en.wikipedia.org/wiki/Open_Society_Foundations" TargetMode="External"/><Relationship Id="rId247" Type="http://schemas.openxmlformats.org/officeDocument/2006/relationships/hyperlink" Target="https://en.wikipedia.org/wiki/Open_Society_Foundations" TargetMode="External"/><Relationship Id="rId412" Type="http://schemas.openxmlformats.org/officeDocument/2006/relationships/hyperlink" Target="https://www.foxnews.com/politics/billionaire-soros-pays-for-additional-reporters-for-npr-partner-initiative" TargetMode="External"/><Relationship Id="rId107" Type="http://schemas.openxmlformats.org/officeDocument/2006/relationships/hyperlink" Target="https://www.influencewatch.org/non-profit/open-society-foundations/" TargetMode="External"/><Relationship Id="rId289" Type="http://schemas.openxmlformats.org/officeDocument/2006/relationships/hyperlink" Target="https://www.opensecrets.org/dark-money/basics" TargetMode="External"/><Relationship Id="rId454" Type="http://schemas.openxmlformats.org/officeDocument/2006/relationships/hyperlink" Target="https://www.republicanleader.senate.gov/newsroom/research/soros-prosecutors-have-overseen-massive-crime-waves-in-their-communities" TargetMode="External"/><Relationship Id="rId496" Type="http://schemas.openxmlformats.org/officeDocument/2006/relationships/hyperlink" Target="https://www.innovatingjustice.org/wp-content/uploads/2021/02/Handout_Bail_Reform_Crime_02032021.pdf" TargetMode="External"/><Relationship Id="rId661" Type="http://schemas.openxmlformats.org/officeDocument/2006/relationships/hyperlink" Target="file://file-JmrRdnQaLgjfQvsQ6YfEvX" TargetMode="External"/><Relationship Id="rId11" Type="http://schemas.openxmlformats.org/officeDocument/2006/relationships/hyperlink" Target="https://en.wikipedia.org/wiki/Open_Society_Foundations" TargetMode="External"/><Relationship Id="rId53" Type="http://schemas.openxmlformats.org/officeDocument/2006/relationships/hyperlink" Target="https://www.influencewatch.org/non-profit/foundation-to-promote-open-society/" TargetMode="External"/><Relationship Id="rId149" Type="http://schemas.openxmlformats.org/officeDocument/2006/relationships/hyperlink" Target="https://www.opensocietyfoundations.org/" TargetMode="External"/><Relationship Id="rId314" Type="http://schemas.openxmlformats.org/officeDocument/2006/relationships/hyperlink" Target="https://www.cima.ned.org/donor-profiles/open-society-foundations/" TargetMode="External"/><Relationship Id="rId356" Type="http://schemas.openxmlformats.org/officeDocument/2006/relationships/hyperlink" Target="https://www.opensocietyfoundations.org/voices/investigative-journalism-collaboration-produced-panama-papers" TargetMode="External"/><Relationship Id="rId398" Type="http://schemas.openxmlformats.org/officeDocument/2006/relationships/hyperlink" Target="https://www.wuwm.com/ethics" TargetMode="External"/><Relationship Id="rId521" Type="http://schemas.openxmlformats.org/officeDocument/2006/relationships/hyperlink" Target="https://bailproject.org/learn/five-questions-about-texas-bail-reform/" TargetMode="External"/><Relationship Id="rId563" Type="http://schemas.openxmlformats.org/officeDocument/2006/relationships/hyperlink" Target="https://whyy.org/articles/philadelphia-homicides-2024-low-krasner/" TargetMode="External"/><Relationship Id="rId619" Type="http://schemas.openxmlformats.org/officeDocument/2006/relationships/hyperlink" Target="https://www.nationalaffairs.com/publications/detail/does-high-voter-turnout-help-one-party" TargetMode="External"/><Relationship Id="rId95" Type="http://schemas.openxmlformats.org/officeDocument/2006/relationships/hyperlink" Target="https://www.influencewatch.org/non-profit/open-society-foundations/" TargetMode="External"/><Relationship Id="rId160" Type="http://schemas.openxmlformats.org/officeDocument/2006/relationships/hyperlink" Target="https://www.opensocietyfoundations.org/newsroom/open-society-foundations-close-international-operations-budapest" TargetMode="External"/><Relationship Id="rId216" Type="http://schemas.openxmlformats.org/officeDocument/2006/relationships/hyperlink" Target="https://www.oecd.org/en/publications/development-co-operation-profiles_04b376d7-en/open-society-foundations_19516b58-en.html" TargetMode="External"/><Relationship Id="rId423" Type="http://schemas.openxmlformats.org/officeDocument/2006/relationships/hyperlink" Target="https://gijn.org/stories/how-defend-news-integrity-during-global-funding-crisis/" TargetMode="External"/><Relationship Id="rId258" Type="http://schemas.openxmlformats.org/officeDocument/2006/relationships/hyperlink" Target="https://www.tabletmag.com/sections/news/articles/for-profit-dc-firm-staging-americas-grassroots-movements-arabella-advisors" TargetMode="External"/><Relationship Id="rId465" Type="http://schemas.openxmlformats.org/officeDocument/2006/relationships/hyperlink" Target="https://www.philanthropy.com/article/soros-and-feeney-funds-backed-calif-measure-on-drug-charges/" TargetMode="External"/><Relationship Id="rId630" Type="http://schemas.openxmlformats.org/officeDocument/2006/relationships/hyperlink" Target="https://www.opensocietyfoundations.org/newsroom/how-the-open-society-foundations-support-election-integrity" TargetMode="External"/><Relationship Id="rId672" Type="http://schemas.openxmlformats.org/officeDocument/2006/relationships/hyperlink" Target="file://file-JmrRdnQaLgjfQvsQ6YfEvX" TargetMode="External"/><Relationship Id="rId22" Type="http://schemas.openxmlformats.org/officeDocument/2006/relationships/hyperlink" Target="https://www.influencewatch.org/non-profit/open-society-foundations/" TargetMode="External"/><Relationship Id="rId64" Type="http://schemas.openxmlformats.org/officeDocument/2006/relationships/hyperlink" Target="https://www.influencewatch.org/non-profit/open-society-foundations/" TargetMode="External"/><Relationship Id="rId118" Type="http://schemas.openxmlformats.org/officeDocument/2006/relationships/hyperlink" Target="https://en.wikipedia.org/wiki/Open_Society_Foundations" TargetMode="External"/><Relationship Id="rId325" Type="http://schemas.openxmlformats.org/officeDocument/2006/relationships/hyperlink" Target="https://www.cima.ned.org/donor-profiles/open-society-foundations/" TargetMode="External"/><Relationship Id="rId367" Type="http://schemas.openxmlformats.org/officeDocument/2006/relationships/hyperlink" Target="https://www.opensocietyfoundations.org/voices/topics/media-freedom" TargetMode="External"/><Relationship Id="rId532" Type="http://schemas.openxmlformats.org/officeDocument/2006/relationships/hyperlink" Target="https://chicago.suntimes.com/politics/2020/8/10/21362344/foxx-states-attorney-dishonest-blame-games-looting-lightfoot-brown-obrien-violence" TargetMode="External"/><Relationship Id="rId574" Type="http://schemas.openxmlformats.org/officeDocument/2006/relationships/hyperlink" Target="https://www.opensocietyfoundations.org/newsroom/open-society-and-free-and-fair-elections-in-the-united-states" TargetMode="External"/><Relationship Id="rId171" Type="http://schemas.openxmlformats.org/officeDocument/2006/relationships/hyperlink" Target="https://www.opensocietyfoundations.org/newsroom/false-claims-regarding-open-society-george-soros-and-usaid" TargetMode="External"/><Relationship Id="rId227" Type="http://schemas.openxmlformats.org/officeDocument/2006/relationships/hyperlink" Target="https://www.devex.com/news/a-look-into-open-society-foundations-grantmaking-106871" TargetMode="External"/><Relationship Id="rId269" Type="http://schemas.openxmlformats.org/officeDocument/2006/relationships/hyperlink" Target="https://www.tabletmag.com/sections/news/articles/for-profit-dc-firm-staging-americas-grassroots-movements-arabella-advisors" TargetMode="External"/><Relationship Id="rId434" Type="http://schemas.openxmlformats.org/officeDocument/2006/relationships/hyperlink" Target="https://gijn.org/stories/how-defend-news-integrity-during-global-funding-crisis/" TargetMode="External"/><Relationship Id="rId476" Type="http://schemas.openxmlformats.org/officeDocument/2006/relationships/hyperlink" Target="https://drexel.edu/news/archive/2024/May/New-Jersey-Cash-Bail-Reform-Reduced-Incarceration" TargetMode="External"/><Relationship Id="rId641" Type="http://schemas.openxmlformats.org/officeDocument/2006/relationships/hyperlink" Target="file://file-JmrRdnQaLgjfQvsQ6YfEvX" TargetMode="External"/><Relationship Id="rId683" Type="http://schemas.openxmlformats.org/officeDocument/2006/relationships/hyperlink" Target="file://file-JmrRdnQaLgjfQvsQ6YfEvX" TargetMode="External"/><Relationship Id="rId33" Type="http://schemas.openxmlformats.org/officeDocument/2006/relationships/hyperlink" Target="https://en.wikipedia.org/wiki/Open_Society_Initiative_for_Southern_Africa" TargetMode="External"/><Relationship Id="rId129" Type="http://schemas.openxmlformats.org/officeDocument/2006/relationships/hyperlink" Target="https://www.opensocietyfoundations.org/how-we-work/how-we-fund" TargetMode="External"/><Relationship Id="rId280" Type="http://schemas.openxmlformats.org/officeDocument/2006/relationships/hyperlink" Target="https://www.philanthropy.com/article/why-tides-and-black-lives-matter-are-fighting-over-33-million" TargetMode="External"/><Relationship Id="rId336" Type="http://schemas.openxmlformats.org/officeDocument/2006/relationships/hyperlink" Target="https://www.cima.ned.org/donor-profiles/open-society-foundations/" TargetMode="External"/><Relationship Id="rId501" Type="http://schemas.openxmlformats.org/officeDocument/2006/relationships/hyperlink" Target="https://chicago.suntimes.com/politics/2020/8/10/21362344/foxx-states-attorney-dishonest-blame-games-looting-lightfoot-brown-obrien-violence" TargetMode="External"/><Relationship Id="rId543" Type="http://schemas.openxmlformats.org/officeDocument/2006/relationships/hyperlink" Target="https://www.inquirer.com/crime/philadelphia-jail-population-reduction-historic-low-20250410.html" TargetMode="External"/><Relationship Id="rId75" Type="http://schemas.openxmlformats.org/officeDocument/2006/relationships/hyperlink" Target="https://www.opensocietyfoundations.org/who-we-are/board-of-directors" TargetMode="External"/><Relationship Id="rId140" Type="http://schemas.openxmlformats.org/officeDocument/2006/relationships/hyperlink" Target="https://www.opensocietyfoundations.org/how-we-work/how-we-fund" TargetMode="External"/><Relationship Id="rId182" Type="http://schemas.openxmlformats.org/officeDocument/2006/relationships/hyperlink" Target="https://www.theguardian.com/business/2017/oct/18/george-soros-gives-18-billion-dollars-open-society-foundation" TargetMode="External"/><Relationship Id="rId378" Type="http://schemas.openxmlformats.org/officeDocument/2006/relationships/hyperlink" Target="https://www.occrp.org/en/frequently-asked-questions-on-occrps-funding-and-editorial-policies" TargetMode="External"/><Relationship Id="rId403" Type="http://schemas.openxmlformats.org/officeDocument/2006/relationships/hyperlink" Target="https://www.reuters.com/article/world/soros-foundation-attacks-stifling-orban-law-as-hungary-exit-looms-idUSKBN1HR0LV/" TargetMode="External"/><Relationship Id="rId585" Type="http://schemas.openxmlformats.org/officeDocument/2006/relationships/hyperlink" Target="https://www.opensocietyfoundations.org/newsroom/open-society-and-free-and-fair-elections-in-the-united-states" TargetMode="External"/><Relationship Id="rId6" Type="http://schemas.openxmlformats.org/officeDocument/2006/relationships/hyperlink" Target="https://en.wikipedia.org/wiki/Open_Society_Foundations" TargetMode="External"/><Relationship Id="rId238" Type="http://schemas.openxmlformats.org/officeDocument/2006/relationships/hyperlink" Target="https://www.devex.com/news/a-look-into-open-society-foundations-grantmaking-106871" TargetMode="External"/><Relationship Id="rId445" Type="http://schemas.openxmlformats.org/officeDocument/2006/relationships/hyperlink" Target="https://www.malaysiakini.com/news/361820" TargetMode="External"/><Relationship Id="rId487" Type="http://schemas.openxmlformats.org/officeDocument/2006/relationships/hyperlink" Target="https://bailproject.org/learn/five-questions-about-texas-bail-reform/" TargetMode="External"/><Relationship Id="rId610" Type="http://schemas.openxmlformats.org/officeDocument/2006/relationships/hyperlink" Target="https://www.opensocietyfoundations.org/newsroom/open-society-and-free-and-fair-elections-in-the-united-states" TargetMode="External"/><Relationship Id="rId652" Type="http://schemas.openxmlformats.org/officeDocument/2006/relationships/hyperlink" Target="file://file-JmrRdnQaLgjfQvsQ6YfEvX" TargetMode="External"/><Relationship Id="rId694" Type="http://schemas.openxmlformats.org/officeDocument/2006/relationships/hyperlink" Target="file://file-JmrRdnQaLgjfQvsQ6YfEvX" TargetMode="External"/><Relationship Id="rId708" Type="http://schemas.openxmlformats.org/officeDocument/2006/relationships/hyperlink" Target="file://file-JmrRdnQaLgjfQvsQ6YfEvX" TargetMode="External"/><Relationship Id="rId291" Type="http://schemas.openxmlformats.org/officeDocument/2006/relationships/hyperlink" Target="https://en.wikipedia.org/wiki/Sixteen_Thirty_Fund" TargetMode="External"/><Relationship Id="rId305" Type="http://schemas.openxmlformats.org/officeDocument/2006/relationships/hyperlink" Target="https://en.wikipedia.org/wiki/Open_Society_Foundations" TargetMode="External"/><Relationship Id="rId347" Type="http://schemas.openxmlformats.org/officeDocument/2006/relationships/hyperlink" Target="https://philanthropynewsdigest.org/news/media-matters-receives-1-million-from-george-soros" TargetMode="External"/><Relationship Id="rId512" Type="http://schemas.openxmlformats.org/officeDocument/2006/relationships/hyperlink" Target="https://www.hungarianconservative.com/articles/politics/george-soros-rogue-prosecutors-usa-crimes-justice-public-safety/" TargetMode="External"/><Relationship Id="rId44" Type="http://schemas.openxmlformats.org/officeDocument/2006/relationships/hyperlink" Target="https://en.wikipedia.org/wiki/Open_Society_Foundations" TargetMode="External"/><Relationship Id="rId86" Type="http://schemas.openxmlformats.org/officeDocument/2006/relationships/hyperlink" Target="https://www.influencewatch.org/non-profit/open-society-foundations/" TargetMode="External"/><Relationship Id="rId151" Type="http://schemas.openxmlformats.org/officeDocument/2006/relationships/hyperlink" Target="https://www.influencewatch.org/non-profit/open-society-foundations/" TargetMode="External"/><Relationship Id="rId389" Type="http://schemas.openxmlformats.org/officeDocument/2006/relationships/hyperlink" Target="https://pressgazette.co.uk/the-wire/newspaper-corrections-media-mistakes-errors-legal/open-democracy-wins-complaint-against-express-over-george-soros-claim/" TargetMode="External"/><Relationship Id="rId554" Type="http://schemas.openxmlformats.org/officeDocument/2006/relationships/hyperlink" Target="https://www.phila.gov/2021-02-09-city-awarded-grant-by-macarthur-foundation/" TargetMode="External"/><Relationship Id="rId596" Type="http://schemas.openxmlformats.org/officeDocument/2006/relationships/hyperlink" Target="https://www.texastribune.org/2023/03/09/texas-voting-eric/" TargetMode="External"/><Relationship Id="rId193" Type="http://schemas.openxmlformats.org/officeDocument/2006/relationships/hyperlink" Target="https://www.devex.com/news/a-look-into-open-society-foundations-grantmaking-106871" TargetMode="External"/><Relationship Id="rId207" Type="http://schemas.openxmlformats.org/officeDocument/2006/relationships/hyperlink" Target="https://www.devex.com/news/a-look-into-open-society-foundations-grantmaking-106871" TargetMode="External"/><Relationship Id="rId249" Type="http://schemas.openxmlformats.org/officeDocument/2006/relationships/hyperlink" Target="https://www.theguardian.com/world/2010/sep/07/george-soros-100-million-human-rights-watch" TargetMode="External"/><Relationship Id="rId414" Type="http://schemas.openxmlformats.org/officeDocument/2006/relationships/hyperlink" Target="https://www.foxnews.com/politics/billionaire-soros-pays-for-additional-reporters-for-npr-partner-initiative" TargetMode="External"/><Relationship Id="rId456" Type="http://schemas.openxmlformats.org/officeDocument/2006/relationships/hyperlink" Target="https://www.washingtonpost.com/technology/2024/11/26/elon-musk-george-soros-pac-republican-elections/" TargetMode="External"/><Relationship Id="rId498" Type="http://schemas.openxmlformats.org/officeDocument/2006/relationships/hyperlink" Target="https://www.innovatingjustice.org/wp-content/uploads/2021/02/Handout_Bail_Reform_Crime_02032021.pdf" TargetMode="External"/><Relationship Id="rId621" Type="http://schemas.openxmlformats.org/officeDocument/2006/relationships/hyperlink" Target="https://www.nationalaffairs.com/publications/detail/does-high-voter-turnout-help-one-party" TargetMode="External"/><Relationship Id="rId663" Type="http://schemas.openxmlformats.org/officeDocument/2006/relationships/hyperlink" Target="file://file-JmrRdnQaLgjfQvsQ6YfEvX" TargetMode="External"/><Relationship Id="rId13" Type="http://schemas.openxmlformats.org/officeDocument/2006/relationships/hyperlink" Target="https://www.influencewatch.org/non-profit/foundation-to-promote-open-society/" TargetMode="External"/><Relationship Id="rId109" Type="http://schemas.openxmlformats.org/officeDocument/2006/relationships/hyperlink" Target="https://www.opensocietyfoundations.org/newsroom/false-claims-regarding-open-society-george-soros-and-usaid" TargetMode="External"/><Relationship Id="rId260" Type="http://schemas.openxmlformats.org/officeDocument/2006/relationships/hyperlink" Target="https://www.tabletmag.com/sections/news/articles/for-profit-dc-firm-staging-americas-grassroots-movements-arabella-advisors" TargetMode="External"/><Relationship Id="rId316" Type="http://schemas.openxmlformats.org/officeDocument/2006/relationships/hyperlink" Target="https://www.cima.ned.org/donor-profiles/open-society-foundations/" TargetMode="External"/><Relationship Id="rId523" Type="http://schemas.openxmlformats.org/officeDocument/2006/relationships/hyperlink" Target="https://whyy.org/articles/philadelphia-homicides-2024-low-krasner/" TargetMode="External"/><Relationship Id="rId55" Type="http://schemas.openxmlformats.org/officeDocument/2006/relationships/hyperlink" Target="https://www.influencewatch.org/non-profit/open-society-foundations/" TargetMode="External"/><Relationship Id="rId97" Type="http://schemas.openxmlformats.org/officeDocument/2006/relationships/hyperlink" Target="https://www.influencewatch.org/non-profit/open-society-foundations/" TargetMode="External"/><Relationship Id="rId120" Type="http://schemas.openxmlformats.org/officeDocument/2006/relationships/hyperlink" Target="https://www.influencewatch.org/non-profit/open-society-foundations/" TargetMode="External"/><Relationship Id="rId358" Type="http://schemas.openxmlformats.org/officeDocument/2006/relationships/hyperlink" Target="https://www.occrp.org/en/about-us/who-supports-our-work" TargetMode="External"/><Relationship Id="rId565" Type="http://schemas.openxmlformats.org/officeDocument/2006/relationships/hyperlink" Target="https://www.inquirer.com/crime/philadelphia-jail-population-reduction-historic-low-20250410.html" TargetMode="External"/><Relationship Id="rId162" Type="http://schemas.openxmlformats.org/officeDocument/2006/relationships/hyperlink" Target="https://www.influencewatch.org/non-profit/open-society-foundations/" TargetMode="External"/><Relationship Id="rId218" Type="http://schemas.openxmlformats.org/officeDocument/2006/relationships/hyperlink" Target="https://en.wikipedia.org/wiki/Open_Society_Foundations" TargetMode="External"/><Relationship Id="rId425" Type="http://schemas.openxmlformats.org/officeDocument/2006/relationships/hyperlink" Target="https://gijn.org/stories/how-defend-news-integrity-during-global-funding-crisis/" TargetMode="External"/><Relationship Id="rId467" Type="http://schemas.openxmlformats.org/officeDocument/2006/relationships/hyperlink" Target="https://www.republicanleader.senate.gov/newsroom/research/soros-prosecutors-have-overseen-massive-crime-waves-in-their-communities" TargetMode="External"/><Relationship Id="rId632" Type="http://schemas.openxmlformats.org/officeDocument/2006/relationships/hyperlink" Target="https://www.opensocietyfoundations.org/newsroom/how-the-open-society-foundations-support-election-integrity" TargetMode="External"/><Relationship Id="rId271" Type="http://schemas.openxmlformats.org/officeDocument/2006/relationships/hyperlink" Target="https://www.exposedbycmd.org/2024/11/20/donorstrust-injected-more-than-150-million-in-untraceable-cash-into-right-wing-groups-in-2023/" TargetMode="External"/><Relationship Id="rId674" Type="http://schemas.openxmlformats.org/officeDocument/2006/relationships/hyperlink" Target="file://file-JmrRdnQaLgjfQvsQ6YfEvX" TargetMode="External"/><Relationship Id="rId24" Type="http://schemas.openxmlformats.org/officeDocument/2006/relationships/hyperlink" Target="https://www.influencewatch.org/non-profit/open-society-foundations/" TargetMode="External"/><Relationship Id="rId66" Type="http://schemas.openxmlformats.org/officeDocument/2006/relationships/hyperlink" Target="https://en.wikipedia.org/wiki/Open_Society_Initiative_for_West_Africa" TargetMode="External"/><Relationship Id="rId131" Type="http://schemas.openxmlformats.org/officeDocument/2006/relationships/hyperlink" Target="https://www.influencewatch.org/non-profit/open-society-foundations/" TargetMode="External"/><Relationship Id="rId327" Type="http://schemas.openxmlformats.org/officeDocument/2006/relationships/hyperlink" Target="https://www.soroseconomicdevelopmentfund.org/how-we-work/independent-media" TargetMode="External"/><Relationship Id="rId369" Type="http://schemas.openxmlformats.org/officeDocument/2006/relationships/hyperlink" Target="https://www.opensocietyfoundations.org/voices/topics/media-freedom" TargetMode="External"/><Relationship Id="rId534" Type="http://schemas.openxmlformats.org/officeDocument/2006/relationships/hyperlink" Target="https://whyy.org/articles/philadelphia-homicides-2024-low-krasner/" TargetMode="External"/><Relationship Id="rId576" Type="http://schemas.openxmlformats.org/officeDocument/2006/relationships/hyperlink" Target="https://www.nonprofitvote.org/wp-content/uploads/2022/12/Engaging-New-Voters-report.pdf" TargetMode="External"/><Relationship Id="rId173" Type="http://schemas.openxmlformats.org/officeDocument/2006/relationships/hyperlink" Target="https://www.opensocietyfoundations.org/" TargetMode="External"/><Relationship Id="rId229" Type="http://schemas.openxmlformats.org/officeDocument/2006/relationships/hyperlink" Target="https://www.devex.com/news/a-look-into-open-society-foundations-grantmaking-106871" TargetMode="External"/><Relationship Id="rId380" Type="http://schemas.openxmlformats.org/officeDocument/2006/relationships/hyperlink" Target="https://www.occrp.org/en/frequently-asked-questions-on-occrps-funding-and-editorial-policies" TargetMode="External"/><Relationship Id="rId436" Type="http://schemas.openxmlformats.org/officeDocument/2006/relationships/hyperlink" Target="https://pressgazette.co.uk/the-wire/newspaper-corrections-media-mistakes-errors-legal/open-democracy-wins-complaint-against-express-over-george-soros-claim/" TargetMode="External"/><Relationship Id="rId601" Type="http://schemas.openxmlformats.org/officeDocument/2006/relationships/hyperlink" Target="https://www.opensocietyfoundations.org/newsroom/how-the-open-society-foundations-support-election-integrity" TargetMode="External"/><Relationship Id="rId643" Type="http://schemas.openxmlformats.org/officeDocument/2006/relationships/hyperlink" Target="file://file-JmrRdnQaLgjfQvsQ6YfEvX" TargetMode="External"/><Relationship Id="rId240" Type="http://schemas.openxmlformats.org/officeDocument/2006/relationships/hyperlink" Target="https://www.influencewatch.org/non-profit/open-society-foundations/" TargetMode="External"/><Relationship Id="rId478" Type="http://schemas.openxmlformats.org/officeDocument/2006/relationships/hyperlink" Target="https://drexel.edu/news/archive/2024/May/New-Jersey-Cash-Bail-Reform-Reduced-Incarceration" TargetMode="External"/><Relationship Id="rId685" Type="http://schemas.openxmlformats.org/officeDocument/2006/relationships/hyperlink" Target="file://file-JmrRdnQaLgjfQvsQ6YfEvX" TargetMode="External"/><Relationship Id="rId35" Type="http://schemas.openxmlformats.org/officeDocument/2006/relationships/hyperlink" Target="https://www.opensocietyfoundations.org/uploads/bab739ea-0197-4a4c-a1a2-a8ee026f4014/factsheet-osf-europe-20180621.pdf" TargetMode="External"/><Relationship Id="rId77" Type="http://schemas.openxmlformats.org/officeDocument/2006/relationships/hyperlink" Target="https://www.opensocietyfoundations.org/who-we-are" TargetMode="External"/><Relationship Id="rId100" Type="http://schemas.openxmlformats.org/officeDocument/2006/relationships/hyperlink" Target="https://www.opensocietyfoundations.org/grants/faq" TargetMode="External"/><Relationship Id="rId282" Type="http://schemas.openxmlformats.org/officeDocument/2006/relationships/hyperlink" Target="https://www.tabletmag.com/sections/news/articles/for-profit-dc-firm-staging-americas-grassroots-movements-arabella-advisors" TargetMode="External"/><Relationship Id="rId338" Type="http://schemas.openxmlformats.org/officeDocument/2006/relationships/hyperlink" Target="https://www.cima.ned.org/donor-profiles/open-society-foundations/" TargetMode="External"/><Relationship Id="rId503" Type="http://schemas.openxmlformats.org/officeDocument/2006/relationships/hyperlink" Target="https://www.republicanleader.senate.gov/newsroom/research/soros-prosecutors-have-overseen-massive-crime-waves-in-their-communities" TargetMode="External"/><Relationship Id="rId545" Type="http://schemas.openxmlformats.org/officeDocument/2006/relationships/hyperlink" Target="https://www.phila.gov/2021-02-09-city-awarded-grant-by-macarthur-foundation/" TargetMode="External"/><Relationship Id="rId587" Type="http://schemas.openxmlformats.org/officeDocument/2006/relationships/hyperlink" Target="https://www.opensocietyfoundations.org/newsroom/how-the-open-society-foundations-support-election-integrity" TargetMode="External"/><Relationship Id="rId710" Type="http://schemas.openxmlformats.org/officeDocument/2006/relationships/hyperlink" Target="file://file-JmrRdnQaLgjfQvsQ6YfEvX" TargetMode="External"/><Relationship Id="rId8" Type="http://schemas.openxmlformats.org/officeDocument/2006/relationships/hyperlink" Target="https://en.wikipedia.org/wiki/Open_Society_Foundations" TargetMode="External"/><Relationship Id="rId142" Type="http://schemas.openxmlformats.org/officeDocument/2006/relationships/hyperlink" Target="https://www.influencewatch.org/non-profit/open-society-foundations/" TargetMode="External"/><Relationship Id="rId184" Type="http://schemas.openxmlformats.org/officeDocument/2006/relationships/hyperlink" Target="https://www.propublica.org/article/dark-money-leonard-leo-barre-seid" TargetMode="External"/><Relationship Id="rId391" Type="http://schemas.openxmlformats.org/officeDocument/2006/relationships/hyperlink" Target="https://pressgazette.co.uk/the-wire/newspaper-corrections-media-mistakes-errors-legal/open-democracy-wins-complaint-against-express-over-george-soros-claim/" TargetMode="External"/><Relationship Id="rId405" Type="http://schemas.openxmlformats.org/officeDocument/2006/relationships/hyperlink" Target="https://www.reuters.com/article/world/soros-foundation-attacks-stifling-orban-law-as-hungary-exit-looms-idUSKBN1HR0LV/" TargetMode="External"/><Relationship Id="rId447" Type="http://schemas.openxmlformats.org/officeDocument/2006/relationships/hyperlink" Target="https://gijn.org/stories/how-defend-news-integrity-during-global-funding-crisis/" TargetMode="External"/><Relationship Id="rId612" Type="http://schemas.openxmlformats.org/officeDocument/2006/relationships/hyperlink" Target="https://www.opensocietyfoundations.org/newsroom/open-society-and-free-and-fair-elections-in-the-united-states" TargetMode="External"/><Relationship Id="rId251" Type="http://schemas.openxmlformats.org/officeDocument/2006/relationships/hyperlink" Target="https://www.tabletmag.com/sections/news/articles/for-profit-dc-firm-staging-americas-grassroots-movements-arabella-advisors" TargetMode="External"/><Relationship Id="rId489" Type="http://schemas.openxmlformats.org/officeDocument/2006/relationships/hyperlink" Target="https://www.innovatingjustice.org/wp-content/uploads/2021/02/Handout_Bail_Reform_Crime_02032021.pdf" TargetMode="External"/><Relationship Id="rId654" Type="http://schemas.openxmlformats.org/officeDocument/2006/relationships/hyperlink" Target="file://file-JmrRdnQaLgjfQvsQ6YfEvX" TargetMode="External"/><Relationship Id="rId696" Type="http://schemas.openxmlformats.org/officeDocument/2006/relationships/hyperlink" Target="file://file-JmrRdnQaLgjfQvsQ6YfEvX" TargetMode="External"/><Relationship Id="rId46" Type="http://schemas.openxmlformats.org/officeDocument/2006/relationships/hyperlink" Target="https://www.investigativeeconomics.org/p/mapping-the-soros-network" TargetMode="External"/><Relationship Id="rId293" Type="http://schemas.openxmlformats.org/officeDocument/2006/relationships/hyperlink" Target="https://www.tabletmag.com/sections/news/articles/for-profit-dc-firm-staging-americas-grassroots-movements-arabella-advisors" TargetMode="External"/><Relationship Id="rId307" Type="http://schemas.openxmlformats.org/officeDocument/2006/relationships/hyperlink" Target="https://www.influencewatch.org/non-profit/open-society-foundations/" TargetMode="External"/><Relationship Id="rId349" Type="http://schemas.openxmlformats.org/officeDocument/2006/relationships/hyperlink" Target="https://philanthropynewsdigest.org/news/media-matters-receives-1-million-from-george-soros" TargetMode="External"/><Relationship Id="rId514" Type="http://schemas.openxmlformats.org/officeDocument/2006/relationships/hyperlink" Target="https://www.republicanleader.senate.gov/newsroom/research/soros-prosecutors-have-overseen-massive-crime-waves-in-their-communities" TargetMode="External"/><Relationship Id="rId556" Type="http://schemas.openxmlformats.org/officeDocument/2006/relationships/hyperlink" Target="https://www.phila.gov/2021-02-09-city-awarded-grant-by-macarthur-foundation/" TargetMode="External"/><Relationship Id="rId88" Type="http://schemas.openxmlformats.org/officeDocument/2006/relationships/hyperlink" Target="https://en.wikipedia.org/wiki/Open_Society_Foundations" TargetMode="External"/><Relationship Id="rId111" Type="http://schemas.openxmlformats.org/officeDocument/2006/relationships/hyperlink" Target="https://www.investigativeeconomics.org/p/mapping-the-soros-network" TargetMode="External"/><Relationship Id="rId153" Type="http://schemas.openxmlformats.org/officeDocument/2006/relationships/hyperlink" Target="https://www.influencewatch.org/non-profit/open-society-foundations/" TargetMode="External"/><Relationship Id="rId195" Type="http://schemas.openxmlformats.org/officeDocument/2006/relationships/hyperlink" Target="https://www.devex.com/news/a-look-into-open-society-foundations-grantmaking-106871" TargetMode="External"/><Relationship Id="rId209" Type="http://schemas.openxmlformats.org/officeDocument/2006/relationships/hyperlink" Target="https://www.devex.com/news/a-look-into-open-society-foundations-grantmaking-106871" TargetMode="External"/><Relationship Id="rId360" Type="http://schemas.openxmlformats.org/officeDocument/2006/relationships/hyperlink" Target="https://www.opensocietyfoundations.org/voices/investigative-journalism-collaboration-produced-panama-papers" TargetMode="External"/><Relationship Id="rId416" Type="http://schemas.openxmlformats.org/officeDocument/2006/relationships/hyperlink" Target="https://ohiosenate.gov/news/on-the-record/tracing-the-fake-news-money-trail" TargetMode="External"/><Relationship Id="rId598" Type="http://schemas.openxmlformats.org/officeDocument/2006/relationships/hyperlink" Target="https://www.texastribune.org/2023/03/09/texas-voting-eric/" TargetMode="External"/><Relationship Id="rId220" Type="http://schemas.openxmlformats.org/officeDocument/2006/relationships/hyperlink" Target="https://www.oecd.org/en/publications/development-co-operation-profiles_04b376d7-en/open-society-foundations_19516b58-en.html" TargetMode="External"/><Relationship Id="rId458" Type="http://schemas.openxmlformats.org/officeDocument/2006/relationships/hyperlink" Target="https://www.phila.gov/2021-02-09-city-awarded-grant-by-macarthur-foundation/" TargetMode="External"/><Relationship Id="rId623" Type="http://schemas.openxmlformats.org/officeDocument/2006/relationships/hyperlink" Target="https://www.nationalaffairs.com/publications/detail/does-high-voter-turnout-help-one-party" TargetMode="External"/><Relationship Id="rId665" Type="http://schemas.openxmlformats.org/officeDocument/2006/relationships/hyperlink" Target="file://file-JmrRdnQaLgjfQvsQ6YfEvX" TargetMode="External"/><Relationship Id="rId15" Type="http://schemas.openxmlformats.org/officeDocument/2006/relationships/hyperlink" Target="https://www.influencewatch.org/non-profit/foundation-to-promote-open-society/" TargetMode="External"/><Relationship Id="rId57" Type="http://schemas.openxmlformats.org/officeDocument/2006/relationships/hyperlink" Target="https://www.opensocietyfoundations.org/who-we-are/offices-foundations" TargetMode="External"/><Relationship Id="rId262" Type="http://schemas.openxmlformats.org/officeDocument/2006/relationships/hyperlink" Target="https://www.influencewatch.org/non-profit/open-society-foundations/" TargetMode="External"/><Relationship Id="rId318" Type="http://schemas.openxmlformats.org/officeDocument/2006/relationships/hyperlink" Target="https://www.cima.ned.org/donor-profiles/open-society-foundations/" TargetMode="External"/><Relationship Id="rId525" Type="http://schemas.openxmlformats.org/officeDocument/2006/relationships/hyperlink" Target="https://www.inquirer.com/crime/philadelphia-jail-population-reduction-historic-low-20250410.html" TargetMode="External"/><Relationship Id="rId567" Type="http://schemas.openxmlformats.org/officeDocument/2006/relationships/hyperlink" Target="https://www.inquirer.com/crime/philadelphia-jail-population-reduction-historic-low-20250410.html" TargetMode="External"/><Relationship Id="rId99" Type="http://schemas.openxmlformats.org/officeDocument/2006/relationships/hyperlink" Target="https://www.influencewatch.org/non-profit/open-society-foundations/" TargetMode="External"/><Relationship Id="rId122" Type="http://schemas.openxmlformats.org/officeDocument/2006/relationships/hyperlink" Target="https://www.opensocietyfoundations.org/newsroom/open-society-foundations-close-international-operations-budapest" TargetMode="External"/><Relationship Id="rId164" Type="http://schemas.openxmlformats.org/officeDocument/2006/relationships/hyperlink" Target="https://www.opensocietyfoundations.org/grants/past" TargetMode="External"/><Relationship Id="rId371" Type="http://schemas.openxmlformats.org/officeDocument/2006/relationships/hyperlink" Target="https://pressgazette.co.uk/the-wire/newspaper-corrections-media-mistakes-errors-legal/open-democracy-wins-complaint-against-express-over-george-soros-claim/" TargetMode="External"/><Relationship Id="rId427" Type="http://schemas.openxmlformats.org/officeDocument/2006/relationships/hyperlink" Target="https://www.occrp.org/en/frequently-asked-questions-on-occrps-funding-and-editorial-policies" TargetMode="External"/><Relationship Id="rId469" Type="http://schemas.openxmlformats.org/officeDocument/2006/relationships/hyperlink" Target="https://www.republicanleader.senate.gov/newsroom/research/soros-prosecutors-have-overseen-massive-crime-waves-in-their-communities" TargetMode="External"/><Relationship Id="rId634" Type="http://schemas.openxmlformats.org/officeDocument/2006/relationships/hyperlink" Target="https://www.opensocietyfoundations.org/newsroom/how-the-open-society-foundations-support-election-integrity" TargetMode="External"/><Relationship Id="rId676" Type="http://schemas.openxmlformats.org/officeDocument/2006/relationships/hyperlink" Target="file://file-JmrRdnQaLgjfQvsQ6YfEvX" TargetMode="External"/><Relationship Id="rId26" Type="http://schemas.openxmlformats.org/officeDocument/2006/relationships/hyperlink" Target="https://en.wikipedia.org/wiki/Open_Society_Initiative_for_West_Africa" TargetMode="External"/><Relationship Id="rId231" Type="http://schemas.openxmlformats.org/officeDocument/2006/relationships/hyperlink" Target="https://www.devex.com/news/a-look-into-open-society-foundations-grantmaking-106871" TargetMode="External"/><Relationship Id="rId273" Type="http://schemas.openxmlformats.org/officeDocument/2006/relationships/hyperlink" Target="https://www.philanthropy.com/article/why-tides-and-black-lives-matter-are-fighting-over-33-million" TargetMode="External"/><Relationship Id="rId329" Type="http://schemas.openxmlformats.org/officeDocument/2006/relationships/hyperlink" Target="https://www.soroseconomicdevelopmentfund.org/how-we-work/independent-media" TargetMode="External"/><Relationship Id="rId480" Type="http://schemas.openxmlformats.org/officeDocument/2006/relationships/hyperlink" Target="https://drexel.edu/news/archive/2024/May/New-Jersey-Cash-Bail-Reform-Reduced-Incarceration" TargetMode="External"/><Relationship Id="rId536" Type="http://schemas.openxmlformats.org/officeDocument/2006/relationships/hyperlink" Target="https://safetyandjusticechallenge.org/blog/weve-reduced-jail-populations-but-there-is-still-work-to-do/" TargetMode="External"/><Relationship Id="rId701" Type="http://schemas.openxmlformats.org/officeDocument/2006/relationships/hyperlink" Target="file://file-JmrRdnQaLgjfQvsQ6YfEvX" TargetMode="External"/><Relationship Id="rId68" Type="http://schemas.openxmlformats.org/officeDocument/2006/relationships/hyperlink" Target="https://en.wikipedia.org/wiki/Open_Society_Initiative_for_West_Africa" TargetMode="External"/><Relationship Id="rId133" Type="http://schemas.openxmlformats.org/officeDocument/2006/relationships/hyperlink" Target="https://www.opensocietyfoundations.org/how-we-work/how-we-fund" TargetMode="External"/><Relationship Id="rId175" Type="http://schemas.openxmlformats.org/officeDocument/2006/relationships/hyperlink" Target="https://en.wikipedia.org/wiki/Open_Society_Foundations" TargetMode="External"/><Relationship Id="rId340" Type="http://schemas.openxmlformats.org/officeDocument/2006/relationships/hyperlink" Target="https://www.cima.ned.org/donor-profiles/open-society-foundations/" TargetMode="External"/><Relationship Id="rId578" Type="http://schemas.openxmlformats.org/officeDocument/2006/relationships/hyperlink" Target="https://www.opensocietyfoundations.org/newsroom/open-society-and-free-and-fair-elections-in-the-united-states" TargetMode="External"/><Relationship Id="rId200" Type="http://schemas.openxmlformats.org/officeDocument/2006/relationships/hyperlink" Target="https://www.oecd.org/en/publications/development-co-operation-profiles_04b376d7-en/open-society-foundations_19516b58-en.html" TargetMode="External"/><Relationship Id="rId382" Type="http://schemas.openxmlformats.org/officeDocument/2006/relationships/hyperlink" Target="https://www.occrp.org/en/frequently-asked-questions-on-occrps-funding-and-editorial-policies" TargetMode="External"/><Relationship Id="rId438" Type="http://schemas.openxmlformats.org/officeDocument/2006/relationships/hyperlink" Target="https://pressgazette.co.uk/the-wire/newspaper-corrections-media-mistakes-errors-legal/open-democracy-wins-complaint-against-express-over-george-soros-claim/" TargetMode="External"/><Relationship Id="rId603" Type="http://schemas.openxmlformats.org/officeDocument/2006/relationships/hyperlink" Target="https://www.opensocietyfoundations.org/newsroom/open-society-and-free-and-fair-elections-in-the-united-states" TargetMode="External"/><Relationship Id="rId645" Type="http://schemas.openxmlformats.org/officeDocument/2006/relationships/hyperlink" Target="file://file-JmrRdnQaLgjfQvsQ6YfEvX" TargetMode="External"/><Relationship Id="rId687" Type="http://schemas.openxmlformats.org/officeDocument/2006/relationships/hyperlink" Target="file://file-JmrRdnQaLgjfQvsQ6YfEvX" TargetMode="External"/><Relationship Id="rId242" Type="http://schemas.openxmlformats.org/officeDocument/2006/relationships/hyperlink" Target="https://www.influencewatch.org/non-profit/open-society-foundations/" TargetMode="External"/><Relationship Id="rId284" Type="http://schemas.openxmlformats.org/officeDocument/2006/relationships/hyperlink" Target="https://www.tabletmag.com/sections/news/articles/for-profit-dc-firm-staging-americas-grassroots-movements-arabella-advisors" TargetMode="External"/><Relationship Id="rId491" Type="http://schemas.openxmlformats.org/officeDocument/2006/relationships/hyperlink" Target="https://www.phila.gov/2021-02-09-city-awarded-grant-by-macarthur-foundation/" TargetMode="External"/><Relationship Id="rId505" Type="http://schemas.openxmlformats.org/officeDocument/2006/relationships/hyperlink" Target="https://www.republicanleader.senate.gov/newsroom/research/soros-prosecutors-have-overseen-massive-crime-waves-in-their-communities" TargetMode="External"/><Relationship Id="rId712" Type="http://schemas.openxmlformats.org/officeDocument/2006/relationships/hyperlink" Target="file://file-JmrRdnQaLgjfQvsQ6YfEvX" TargetMode="External"/><Relationship Id="rId37" Type="http://schemas.openxmlformats.org/officeDocument/2006/relationships/hyperlink" Target="https://www.opensocietyfoundations.org/uploads/bab739ea-0197-4a4c-a1a2-a8ee026f4014/factsheet-osf-europe-20180621.pdf" TargetMode="External"/><Relationship Id="rId79" Type="http://schemas.openxmlformats.org/officeDocument/2006/relationships/hyperlink" Target="https://www.opensocietyfoundations.org/who-we-are/board-of-directors" TargetMode="External"/><Relationship Id="rId102" Type="http://schemas.openxmlformats.org/officeDocument/2006/relationships/hyperlink" Target="https://www.opensocietyfoundations.org/who-we-are/offices-foundations" TargetMode="External"/><Relationship Id="rId144" Type="http://schemas.openxmlformats.org/officeDocument/2006/relationships/hyperlink" Target="https://www.opensocietyfoundations.org/who-we-are" TargetMode="External"/><Relationship Id="rId547" Type="http://schemas.openxmlformats.org/officeDocument/2006/relationships/hyperlink" Target="https://www.republicanleader.senate.gov/newsroom/research/soros-prosecutors-have-overseen-massive-crime-waves-in-their-communities" TargetMode="External"/><Relationship Id="rId589" Type="http://schemas.openxmlformats.org/officeDocument/2006/relationships/hyperlink" Target="https://www.opensocietyfoundations.org/newsroom/open-society-and-free-and-fair-elections-in-the-united-states" TargetMode="External"/><Relationship Id="rId90" Type="http://schemas.openxmlformats.org/officeDocument/2006/relationships/hyperlink" Target="https://www.opensocietyfoundations.org/how-we-work/how-we-fund" TargetMode="External"/><Relationship Id="rId186" Type="http://schemas.openxmlformats.org/officeDocument/2006/relationships/hyperlink" Target="https://www.opensocietyfoundations.org/who-we-are/financials" TargetMode="External"/><Relationship Id="rId351" Type="http://schemas.openxmlformats.org/officeDocument/2006/relationships/hyperlink" Target="https://www.opensocietyfoundations.org/voices/investigative-journalism-collaboration-produced-panama-papers" TargetMode="External"/><Relationship Id="rId393" Type="http://schemas.openxmlformats.org/officeDocument/2006/relationships/hyperlink" Target="https://www.malaysiakini.com/news/361820" TargetMode="External"/><Relationship Id="rId407" Type="http://schemas.openxmlformats.org/officeDocument/2006/relationships/hyperlink" Target="https://rsf.org/en/country/hungary" TargetMode="External"/><Relationship Id="rId449" Type="http://schemas.openxmlformats.org/officeDocument/2006/relationships/hyperlink" Target="https://gijn.org/stories/how-defend-news-integrity-during-global-funding-crisis/" TargetMode="External"/><Relationship Id="rId614" Type="http://schemas.openxmlformats.org/officeDocument/2006/relationships/hyperlink" Target="https://www.texastribune.org/2023/03/09/texas-voting-eric/" TargetMode="External"/><Relationship Id="rId656" Type="http://schemas.openxmlformats.org/officeDocument/2006/relationships/hyperlink" Target="file://file-JmrRdnQaLgjfQvsQ6YfEvX" TargetMode="External"/><Relationship Id="rId211" Type="http://schemas.openxmlformats.org/officeDocument/2006/relationships/hyperlink" Target="https://www.gc.cuny.edu/sites/default/files/2021-05/Sustaining-Civil-Society-Lessons-from-5-Pooled-Funds-FINAL-10-20-19_1.pdf" TargetMode="External"/><Relationship Id="rId253" Type="http://schemas.openxmlformats.org/officeDocument/2006/relationships/hyperlink" Target="https://www.philanthropy.com/article/why-tides-and-black-lives-matter-are-fighting-over-33-million" TargetMode="External"/><Relationship Id="rId295" Type="http://schemas.openxmlformats.org/officeDocument/2006/relationships/hyperlink" Target="https://www.tabletmag.com/sections/news/articles/for-profit-dc-firm-staging-americas-grassroots-movements-arabella-advisors" TargetMode="External"/><Relationship Id="rId309" Type="http://schemas.openxmlformats.org/officeDocument/2006/relationships/hyperlink" Target="https://www.cima.ned.org/donor-profiles/open-society-foundations/" TargetMode="External"/><Relationship Id="rId460" Type="http://schemas.openxmlformats.org/officeDocument/2006/relationships/hyperlink" Target="https://www.aclu.org/press-releases/aclu-awarded-50-million-open-society-foundations-end-mass-incarceration" TargetMode="External"/><Relationship Id="rId516" Type="http://schemas.openxmlformats.org/officeDocument/2006/relationships/hyperlink" Target="https://www.republicanleader.senate.gov/newsroom/research/soros-prosecutors-have-overseen-massive-crime-waves-in-their-communities" TargetMode="External"/><Relationship Id="rId698" Type="http://schemas.openxmlformats.org/officeDocument/2006/relationships/hyperlink" Target="file://file-JmrRdnQaLgjfQvsQ6YfEvX" TargetMode="External"/><Relationship Id="rId48" Type="http://schemas.openxmlformats.org/officeDocument/2006/relationships/hyperlink" Target="https://www.opensocietyfoundations.org/who-we-are" TargetMode="External"/><Relationship Id="rId113" Type="http://schemas.openxmlformats.org/officeDocument/2006/relationships/hyperlink" Target="https://www.opensocietyfoundations.org/who-we-are/offices-foundations" TargetMode="External"/><Relationship Id="rId320" Type="http://schemas.openxmlformats.org/officeDocument/2006/relationships/hyperlink" Target="https://www.cima.ned.org/donor-profiles/open-society-foundations/" TargetMode="External"/><Relationship Id="rId558" Type="http://schemas.openxmlformats.org/officeDocument/2006/relationships/hyperlink" Target="https://www.inquirer.com/crime/philadelphia-jail-population-reduction-historic-low-20250410.html" TargetMode="External"/><Relationship Id="rId155" Type="http://schemas.openxmlformats.org/officeDocument/2006/relationships/hyperlink" Target="https://www.influencewatch.org/non-profit/open-society-foundations/" TargetMode="External"/><Relationship Id="rId197" Type="http://schemas.openxmlformats.org/officeDocument/2006/relationships/hyperlink" Target="https://www.oecd.org/en/publications/development-co-operation-profiles_04b376d7-en/open-society-foundations_19516b58-en.html" TargetMode="External"/><Relationship Id="rId362" Type="http://schemas.openxmlformats.org/officeDocument/2006/relationships/hyperlink" Target="https://www.hrw.org/report/2024/02/13/i-cant-do-my-job-journalist/systematic-undermining-media-freedom-hungary" TargetMode="External"/><Relationship Id="rId418" Type="http://schemas.openxmlformats.org/officeDocument/2006/relationships/hyperlink" Target="https://ohiosenate.gov/news/on-the-record/tracing-the-fake-news-money-trail" TargetMode="External"/><Relationship Id="rId625" Type="http://schemas.openxmlformats.org/officeDocument/2006/relationships/hyperlink" Target="https://www.opensocietyfoundations.org/voices/bolstering-women-and-youth-linchpins-of-democracy" TargetMode="External"/><Relationship Id="rId222" Type="http://schemas.openxmlformats.org/officeDocument/2006/relationships/hyperlink" Target="https://www.devex.com/news/a-look-into-open-society-foundations-grantmaking-106871" TargetMode="External"/><Relationship Id="rId264" Type="http://schemas.openxmlformats.org/officeDocument/2006/relationships/hyperlink" Target="https://www.philanthropy.com/article/why-tides-and-black-lives-matter-are-fighting-over-33-million" TargetMode="External"/><Relationship Id="rId471" Type="http://schemas.openxmlformats.org/officeDocument/2006/relationships/hyperlink" Target="https://www.phila.gov/2021-02-09-city-awarded-grant-by-macarthur-foundation/" TargetMode="External"/><Relationship Id="rId667" Type="http://schemas.openxmlformats.org/officeDocument/2006/relationships/hyperlink" Target="file://file-JmrRdnQaLgjfQvsQ6YfEvX" TargetMode="External"/><Relationship Id="rId17" Type="http://schemas.openxmlformats.org/officeDocument/2006/relationships/hyperlink" Target="https://www.influencewatch.org/non-profit/foundation-to-promote-open-society/" TargetMode="External"/><Relationship Id="rId59" Type="http://schemas.openxmlformats.org/officeDocument/2006/relationships/hyperlink" Target="https://www.opensocietyfoundations.org/who-we-are/offices-foundations" TargetMode="External"/><Relationship Id="rId124" Type="http://schemas.openxmlformats.org/officeDocument/2006/relationships/hyperlink" Target="https://www.opensocietyfoundations.org/newsroom/open-society-foundations-close-international-operations-budapest" TargetMode="External"/><Relationship Id="rId527" Type="http://schemas.openxmlformats.org/officeDocument/2006/relationships/hyperlink" Target="https://datacollaborativeforjustice.org/work/bail-reform/does-new-yorks-bail-reform-law-impact-recidivism-a-quasi-experimental-test-in-the-states-suburban-and-upstate-regions/" TargetMode="External"/><Relationship Id="rId569" Type="http://schemas.openxmlformats.org/officeDocument/2006/relationships/hyperlink" Target="https://www.inquirer.com/crime/philadelphia-jail-population-reduction-historic-low-20250410.html" TargetMode="External"/><Relationship Id="rId70" Type="http://schemas.openxmlformats.org/officeDocument/2006/relationships/hyperlink" Target="https://www.opensocietyfoundations.org/what-we-do/regions/africa" TargetMode="External"/><Relationship Id="rId166" Type="http://schemas.openxmlformats.org/officeDocument/2006/relationships/hyperlink" Target="https://www.opensocietyfoundations.org/grants/past" TargetMode="External"/><Relationship Id="rId331" Type="http://schemas.openxmlformats.org/officeDocument/2006/relationships/hyperlink" Target="https://www.soroseconomicdevelopmentfund.org/how-we-work/independent-media" TargetMode="External"/><Relationship Id="rId373" Type="http://schemas.openxmlformats.org/officeDocument/2006/relationships/image" Target="media/image1.png"/><Relationship Id="rId429" Type="http://schemas.openxmlformats.org/officeDocument/2006/relationships/hyperlink" Target="https://www.occrp.org/en/frequently-asked-questions-on-occrps-funding-and-editorial-policies" TargetMode="External"/><Relationship Id="rId580" Type="http://schemas.openxmlformats.org/officeDocument/2006/relationships/hyperlink" Target="https://www.opensocietyfoundations.org/newsroom/open-society-and-free-and-fair-elections-in-the-united-states" TargetMode="External"/><Relationship Id="rId636" Type="http://schemas.openxmlformats.org/officeDocument/2006/relationships/hyperlink" Target="file://file-JmrRdnQaLgjfQvsQ6YfEvX" TargetMode="External"/><Relationship Id="rId1" Type="http://schemas.openxmlformats.org/officeDocument/2006/relationships/numbering" Target="numbering.xml"/><Relationship Id="rId233" Type="http://schemas.openxmlformats.org/officeDocument/2006/relationships/hyperlink" Target="https://www.devex.com/news/a-look-into-open-society-foundations-grantmaking-106871" TargetMode="External"/><Relationship Id="rId440" Type="http://schemas.openxmlformats.org/officeDocument/2006/relationships/hyperlink" Target="https://pressgazette.co.uk/the-wire/newspaper-corrections-media-mistakes-errors-legal/open-democracy-wins-complaint-against-express-over-george-soros-claim/" TargetMode="External"/><Relationship Id="rId678" Type="http://schemas.openxmlformats.org/officeDocument/2006/relationships/hyperlink" Target="file://file-JmrRdnQaLgjfQvsQ6YfEvX" TargetMode="External"/><Relationship Id="rId28" Type="http://schemas.openxmlformats.org/officeDocument/2006/relationships/hyperlink" Target="https://en.wikipedia.org/wiki/Open_Society_Initiative_for_West_Africa" TargetMode="External"/><Relationship Id="rId275" Type="http://schemas.openxmlformats.org/officeDocument/2006/relationships/hyperlink" Target="https://www.philanthropy.com/article/why-tides-and-black-lives-matter-are-fighting-over-33-million" TargetMode="External"/><Relationship Id="rId300" Type="http://schemas.openxmlformats.org/officeDocument/2006/relationships/hyperlink" Target="https://www.budget.senate.gov/download/walter-testimony-" TargetMode="External"/><Relationship Id="rId482" Type="http://schemas.openxmlformats.org/officeDocument/2006/relationships/hyperlink" Target="https://bailproject.org/learn/five-questions-about-texas-bail-reform/" TargetMode="External"/><Relationship Id="rId538" Type="http://schemas.openxmlformats.org/officeDocument/2006/relationships/hyperlink" Target="https://www.opensocietyfoundations.org/voices/ending-mass-incarceration" TargetMode="External"/><Relationship Id="rId703" Type="http://schemas.openxmlformats.org/officeDocument/2006/relationships/hyperlink" Target="file://file-JmrRdnQaLgjfQvsQ6YfEvX" TargetMode="External"/><Relationship Id="rId81" Type="http://schemas.openxmlformats.org/officeDocument/2006/relationships/hyperlink" Target="https://en.wikipedia.org/wiki/Open_Society_Foundations" TargetMode="External"/><Relationship Id="rId135" Type="http://schemas.openxmlformats.org/officeDocument/2006/relationships/hyperlink" Target="https://www.opensocietyfoundations.org/grants/past" TargetMode="External"/><Relationship Id="rId177" Type="http://schemas.openxmlformats.org/officeDocument/2006/relationships/hyperlink" Target="https://www.opensocietyfoundations.org/newsroom/open-society-foundations-praise-new-transparency-pact" TargetMode="External"/><Relationship Id="rId342" Type="http://schemas.openxmlformats.org/officeDocument/2006/relationships/hyperlink" Target="https://www.cima.ned.org/donor-profiles/open-society-foundations/" TargetMode="External"/><Relationship Id="rId384" Type="http://schemas.openxmlformats.org/officeDocument/2006/relationships/hyperlink" Target="https://time.com/5943393/bellingcat-eliot-higgins-interview/" TargetMode="External"/><Relationship Id="rId591" Type="http://schemas.openxmlformats.org/officeDocument/2006/relationships/hyperlink" Target="https://www.opensocietyfoundations.org/newsroom/open-society-and-free-and-fair-elections-in-the-united-states" TargetMode="External"/><Relationship Id="rId605" Type="http://schemas.openxmlformats.org/officeDocument/2006/relationships/hyperlink" Target="https://afj.org/wp-content/uploads/2018/06/Investing_in_Change.pdf" TargetMode="External"/><Relationship Id="rId202" Type="http://schemas.openxmlformats.org/officeDocument/2006/relationships/hyperlink" Target="https://www.devex.com/news/a-look-into-open-society-foundations-grantmaking-106871" TargetMode="External"/><Relationship Id="rId244" Type="http://schemas.openxmlformats.org/officeDocument/2006/relationships/hyperlink" Target="https://www.exposedbycmd.org/2024/11/20/donorstrust-injected-more-than-150-million-in-untraceable-cash-into-right-wing-groups-in-2023/" TargetMode="External"/><Relationship Id="rId647" Type="http://schemas.openxmlformats.org/officeDocument/2006/relationships/hyperlink" Target="file://file-JmrRdnQaLgjfQvsQ6YfEvX" TargetMode="External"/><Relationship Id="rId689" Type="http://schemas.openxmlformats.org/officeDocument/2006/relationships/hyperlink" Target="file://file-JmrRdnQaLgjfQvsQ6YfEvX" TargetMode="External"/><Relationship Id="rId39" Type="http://schemas.openxmlformats.org/officeDocument/2006/relationships/hyperlink" Target="https://www.opensocietyfoundations.org/grants/faq" TargetMode="External"/><Relationship Id="rId286" Type="http://schemas.openxmlformats.org/officeDocument/2006/relationships/hyperlink" Target="https://www.irs.gov/charities-non-profits/private-foundations/political-campaign-intervention-private-foundations" TargetMode="External"/><Relationship Id="rId451" Type="http://schemas.openxmlformats.org/officeDocument/2006/relationships/hyperlink" Target="https://www.washingtonpost.com/technology/2024/11/26/elon-musk-george-soros-pac-republican-elections/" TargetMode="External"/><Relationship Id="rId493" Type="http://schemas.openxmlformats.org/officeDocument/2006/relationships/hyperlink" Target="https://bailproject.org/data/does-bail-reform-lead-to-an-increase-in-gun-violence/" TargetMode="External"/><Relationship Id="rId507" Type="http://schemas.openxmlformats.org/officeDocument/2006/relationships/hyperlink" Target="https://www.wrtv.com/news/local-news/crime/mom-wants-the-bail-project-reined-in-after-her-son-was-gunned-down-in-indianapolis" TargetMode="External"/><Relationship Id="rId549" Type="http://schemas.openxmlformats.org/officeDocument/2006/relationships/hyperlink" Target="https://www.inquirer.com/crime/philadelphia-jail-population-reduction-historic-low-20250410.html" TargetMode="External"/><Relationship Id="rId714" Type="http://schemas.openxmlformats.org/officeDocument/2006/relationships/hyperlink" Target="file://file-JmrRdnQaLgjfQvsQ6YfEvX" TargetMode="External"/><Relationship Id="rId50" Type="http://schemas.openxmlformats.org/officeDocument/2006/relationships/hyperlink" Target="https://en.wikipedia.org/wiki/Open_Society_Foundations" TargetMode="External"/><Relationship Id="rId104" Type="http://schemas.openxmlformats.org/officeDocument/2006/relationships/hyperlink" Target="https://www.guidestar.org/profile/52-2028955" TargetMode="External"/><Relationship Id="rId146" Type="http://schemas.openxmlformats.org/officeDocument/2006/relationships/hyperlink" Target="https://www.influencewatch.org/non-profit/open-society-foundations/" TargetMode="External"/><Relationship Id="rId188" Type="http://schemas.openxmlformats.org/officeDocument/2006/relationships/hyperlink" Target="https://www.opensocietyfoundations.org/who-we-are/financials" TargetMode="External"/><Relationship Id="rId311" Type="http://schemas.openxmlformats.org/officeDocument/2006/relationships/hyperlink" Target="https://www.foxnews.com/politics/billionaire-soros-pays-for-additional-reporters-for-npr-partner-initiative" TargetMode="External"/><Relationship Id="rId353" Type="http://schemas.openxmlformats.org/officeDocument/2006/relationships/hyperlink" Target="https://www.opensocietyfoundations.org/voices/investigative-journalism-collaboration-produced-panama-papers" TargetMode="External"/><Relationship Id="rId395" Type="http://schemas.openxmlformats.org/officeDocument/2006/relationships/hyperlink" Target="https://www.malaysiakini.com/news/361820" TargetMode="External"/><Relationship Id="rId409" Type="http://schemas.openxmlformats.org/officeDocument/2006/relationships/hyperlink" Target="https://www.gmfus.org/news/eu-should-not-turn-blind-eye-hungarys-media-capture" TargetMode="External"/><Relationship Id="rId560" Type="http://schemas.openxmlformats.org/officeDocument/2006/relationships/hyperlink" Target="https://whyy.org/articles/philadelphia-homicides-2022-gun-violence/" TargetMode="External"/><Relationship Id="rId92" Type="http://schemas.openxmlformats.org/officeDocument/2006/relationships/hyperlink" Target="https://www.opensocietyfoundations.org/who-we-are/board-of-directors" TargetMode="External"/><Relationship Id="rId213" Type="http://schemas.openxmlformats.org/officeDocument/2006/relationships/hyperlink" Target="https://www.oecd.org/en/publications/development-co-operation-profiles_04b376d7-en/open-society-foundations_19516b58-en.html" TargetMode="External"/><Relationship Id="rId420" Type="http://schemas.openxmlformats.org/officeDocument/2006/relationships/hyperlink" Target="https://www.occrp.org/en/frequently-asked-questions-on-occrps-funding-and-editorial-policies" TargetMode="External"/><Relationship Id="rId616" Type="http://schemas.openxmlformats.org/officeDocument/2006/relationships/hyperlink" Target="https://www.opensocietyfoundations.org/newsroom/open-society-and-free-and-fair-elections-in-the-united-states" TargetMode="External"/><Relationship Id="rId658" Type="http://schemas.openxmlformats.org/officeDocument/2006/relationships/hyperlink" Target="file://file-JmrRdnQaLgjfQvsQ6YfEvX" TargetMode="External"/><Relationship Id="rId255" Type="http://schemas.openxmlformats.org/officeDocument/2006/relationships/hyperlink" Target="https://www.tabletmag.com/sections/news/articles/for-profit-dc-firm-staging-americas-grassroots-movements-arabella-advisors" TargetMode="External"/><Relationship Id="rId297" Type="http://schemas.openxmlformats.org/officeDocument/2006/relationships/hyperlink" Target="https://www.tabletmag.com/sections/news/articles/for-profit-dc-firm-staging-americas-grassroots-movements-arabella-advisors" TargetMode="External"/><Relationship Id="rId462" Type="http://schemas.openxmlformats.org/officeDocument/2006/relationships/hyperlink" Target="https://www.philanthropy.com/article/soros-and-feeney-funds-backed-calif-measure-on-drug-charges/" TargetMode="External"/><Relationship Id="rId518" Type="http://schemas.openxmlformats.org/officeDocument/2006/relationships/hyperlink" Target="https://chicago.suntimes.com/politics/2020/8/10/21362344/foxx-states-attorney-dishonest-blame-games-looting-lightfoot-brown-obrien-violence" TargetMode="External"/><Relationship Id="rId115" Type="http://schemas.openxmlformats.org/officeDocument/2006/relationships/hyperlink" Target="https://www.opensocietyfoundations.org/who-we-are/offices-foundations" TargetMode="External"/><Relationship Id="rId157" Type="http://schemas.openxmlformats.org/officeDocument/2006/relationships/hyperlink" Target="https://www.influencewatch.org/non-profit/open-society-foundations/" TargetMode="External"/><Relationship Id="rId322" Type="http://schemas.openxmlformats.org/officeDocument/2006/relationships/hyperlink" Target="https://www.cima.ned.org/donor-profiles/open-society-foundations/" TargetMode="External"/><Relationship Id="rId364" Type="http://schemas.openxmlformats.org/officeDocument/2006/relationships/hyperlink" Target="https://www.occrp.org/en/organizations/open-society-foundations/page/1" TargetMode="External"/><Relationship Id="rId61" Type="http://schemas.openxmlformats.org/officeDocument/2006/relationships/hyperlink" Target="https://www.opensocietyfoundations.org/uploads/bab739ea-0197-4a4c-a1a2-a8ee026f4014/factsheet-osf-europe-20180621.pdf" TargetMode="External"/><Relationship Id="rId199" Type="http://schemas.openxmlformats.org/officeDocument/2006/relationships/hyperlink" Target="https://www.oecd.org/en/publications/development-co-operation-profiles_04b376d7-en/open-society-foundations_19516b58-en.html" TargetMode="External"/><Relationship Id="rId571" Type="http://schemas.openxmlformats.org/officeDocument/2006/relationships/hyperlink" Target="https://www.phila.gov/2021-02-09-city-awarded-grant-by-macarthur-foundation/" TargetMode="External"/><Relationship Id="rId627" Type="http://schemas.openxmlformats.org/officeDocument/2006/relationships/hyperlink" Target="https://www.opensocietyfoundations.org/voices/bolstering-women-and-youth-linchpins-of-democracy" TargetMode="External"/><Relationship Id="rId669" Type="http://schemas.openxmlformats.org/officeDocument/2006/relationships/hyperlink" Target="file://file-JmrRdnQaLgjfQvsQ6YfEvX" TargetMode="External"/><Relationship Id="rId19" Type="http://schemas.openxmlformats.org/officeDocument/2006/relationships/hyperlink" Target="https://www.influencewatch.org/non-profit/open-society-foundations/" TargetMode="External"/><Relationship Id="rId224" Type="http://schemas.openxmlformats.org/officeDocument/2006/relationships/hyperlink" Target="https://www.devex.com/news/a-look-into-open-society-foundations-grantmaking-106871" TargetMode="External"/><Relationship Id="rId266" Type="http://schemas.openxmlformats.org/officeDocument/2006/relationships/hyperlink" Target="https://www.philanthropy.com/article/why-tides-and-black-lives-matter-are-fighting-over-33-million" TargetMode="External"/><Relationship Id="rId431" Type="http://schemas.openxmlformats.org/officeDocument/2006/relationships/hyperlink" Target="https://gijn.org/stories/how-defend-news-integrity-during-global-funding-crisis/" TargetMode="External"/><Relationship Id="rId473" Type="http://schemas.openxmlformats.org/officeDocument/2006/relationships/hyperlink" Target="https://drexel.edu/news/archive/2024/May/New-Jersey-Cash-Bail-Reform-Reduced-Incarceration" TargetMode="External"/><Relationship Id="rId529" Type="http://schemas.openxmlformats.org/officeDocument/2006/relationships/hyperlink" Target="https://bailproject.org/data/does-bail-reform-lead-to-an-increase-in-gun-violence/" TargetMode="External"/><Relationship Id="rId680" Type="http://schemas.openxmlformats.org/officeDocument/2006/relationships/hyperlink" Target="file://file-JmrRdnQaLgjfQvsQ6YfEvX" TargetMode="External"/><Relationship Id="rId30" Type="http://schemas.openxmlformats.org/officeDocument/2006/relationships/hyperlink" Target="https://www.opensocietyfoundations.org/what-we-do/regions/africa" TargetMode="External"/><Relationship Id="rId126" Type="http://schemas.openxmlformats.org/officeDocument/2006/relationships/hyperlink" Target="https://www.opensocietyfoundations.org/who-we-are/offices-foundations" TargetMode="External"/><Relationship Id="rId168" Type="http://schemas.openxmlformats.org/officeDocument/2006/relationships/hyperlink" Target="https://www.opensocietyfoundations.org/grants/past" TargetMode="External"/><Relationship Id="rId333" Type="http://schemas.openxmlformats.org/officeDocument/2006/relationships/hyperlink" Target="https://www.soroseconomicdevelopmentfund.org/how-we-work/independent-media" TargetMode="External"/><Relationship Id="rId540" Type="http://schemas.openxmlformats.org/officeDocument/2006/relationships/hyperlink" Target="https://www.inquirer.com/crime/philadelphia-jail-population-reduction-historic-low-20250410.html" TargetMode="External"/><Relationship Id="rId72" Type="http://schemas.openxmlformats.org/officeDocument/2006/relationships/hyperlink" Target="https://www.investigativeeconomics.org/p/mapping-the-soros-network" TargetMode="External"/><Relationship Id="rId375" Type="http://schemas.openxmlformats.org/officeDocument/2006/relationships/hyperlink" Target="https://www.occrp.org/en/frequently-asked-questions-on-occrps-funding-and-editorial-policies" TargetMode="External"/><Relationship Id="rId582" Type="http://schemas.openxmlformats.org/officeDocument/2006/relationships/hyperlink" Target="https://www.opensocietyfoundations.org/voices/bolstering-women-and-youth-linchpins-of-democracy" TargetMode="External"/><Relationship Id="rId638" Type="http://schemas.openxmlformats.org/officeDocument/2006/relationships/hyperlink" Target="file://file-JmrRdnQaLgjfQvsQ6YfEvX" TargetMode="External"/><Relationship Id="rId3" Type="http://schemas.openxmlformats.org/officeDocument/2006/relationships/settings" Target="settings.xml"/><Relationship Id="rId235" Type="http://schemas.openxmlformats.org/officeDocument/2006/relationships/hyperlink" Target="https://www.devex.com/news/a-look-into-open-society-foundations-grantmaking-106871" TargetMode="External"/><Relationship Id="rId277" Type="http://schemas.openxmlformats.org/officeDocument/2006/relationships/hyperlink" Target="https://www.philanthropy.com/article/why-tides-and-black-lives-matter-are-fighting-over-33-million" TargetMode="External"/><Relationship Id="rId400" Type="http://schemas.openxmlformats.org/officeDocument/2006/relationships/hyperlink" Target="https://gijn.org/stories/how-defend-news-integrity-during-global-funding-crisis/" TargetMode="External"/><Relationship Id="rId442" Type="http://schemas.openxmlformats.org/officeDocument/2006/relationships/hyperlink" Target="https://about.malaysiakini.com/accountability/" TargetMode="External"/><Relationship Id="rId484" Type="http://schemas.openxmlformats.org/officeDocument/2006/relationships/hyperlink" Target="https://bailproject.org/learn/five-questions-about-texas-bail-reform/" TargetMode="External"/><Relationship Id="rId705" Type="http://schemas.openxmlformats.org/officeDocument/2006/relationships/hyperlink" Target="file://file-JmrRdnQaLgjfQvsQ6YfEvX" TargetMode="External"/><Relationship Id="rId137" Type="http://schemas.openxmlformats.org/officeDocument/2006/relationships/hyperlink" Target="https://www.opensocietyfoundations.org/grants/past" TargetMode="External"/><Relationship Id="rId302" Type="http://schemas.openxmlformats.org/officeDocument/2006/relationships/hyperlink" Target="https://en.wikipedia.org/wiki/Open_Society_Foundations" TargetMode="External"/><Relationship Id="rId344" Type="http://schemas.openxmlformats.org/officeDocument/2006/relationships/hyperlink" Target="https://www.foxnews.com/politics/billionaire-soros-pays-for-additional-reporters-for-npr-partner-initiative" TargetMode="External"/><Relationship Id="rId691" Type="http://schemas.openxmlformats.org/officeDocument/2006/relationships/hyperlink" Target="file://file-JmrRdnQaLgjfQvsQ6YfEvX" TargetMode="External"/><Relationship Id="rId41" Type="http://schemas.openxmlformats.org/officeDocument/2006/relationships/hyperlink" Target="https://www.opensocietyfoundations.org/who-we-are/offices-foundations" TargetMode="External"/><Relationship Id="rId83" Type="http://schemas.openxmlformats.org/officeDocument/2006/relationships/hyperlink" Target="https://en.wikipedia.org/wiki/Open_Society_Foundations" TargetMode="External"/><Relationship Id="rId179" Type="http://schemas.openxmlformats.org/officeDocument/2006/relationships/hyperlink" Target="https://www.opensocietyfoundations.org/newsroom/false-claims-regarding-open-society-george-soros-and-usaid" TargetMode="External"/><Relationship Id="rId386" Type="http://schemas.openxmlformats.org/officeDocument/2006/relationships/hyperlink" Target="https://time.com/5943393/bellingcat-eliot-higgins-interview/" TargetMode="External"/><Relationship Id="rId551" Type="http://schemas.openxmlformats.org/officeDocument/2006/relationships/hyperlink" Target="https://www.inquirer.com/crime/philadelphia-jail-population-reduction-historic-low-20250410.html" TargetMode="External"/><Relationship Id="rId593" Type="http://schemas.openxmlformats.org/officeDocument/2006/relationships/hyperlink" Target="https://www.opensocietyfoundations.org/newsroom/open-society-and-free-and-fair-elections-in-the-united-states" TargetMode="External"/><Relationship Id="rId607" Type="http://schemas.openxmlformats.org/officeDocument/2006/relationships/hyperlink" Target="https://www.opensocietyfoundations.org/newsroom/open-society-and-free-and-fair-elections-in-the-united-states" TargetMode="External"/><Relationship Id="rId649" Type="http://schemas.openxmlformats.org/officeDocument/2006/relationships/hyperlink" Target="file://file-JmrRdnQaLgjfQvsQ6YfEvX" TargetMode="External"/><Relationship Id="rId190" Type="http://schemas.openxmlformats.org/officeDocument/2006/relationships/hyperlink" Target="https://www.tabletmag.com/sections/news/articles/for-profit-dc-firm-staging-americas-grassroots-movements-arabella-advisors" TargetMode="External"/><Relationship Id="rId204" Type="http://schemas.openxmlformats.org/officeDocument/2006/relationships/hyperlink" Target="https://en.wikipedia.org/wiki/Open_Society_Foundations" TargetMode="External"/><Relationship Id="rId246" Type="http://schemas.openxmlformats.org/officeDocument/2006/relationships/hyperlink" Target="https://www.propublica.org/article/dark-money-leonard-leo-barre-seid" TargetMode="External"/><Relationship Id="rId288" Type="http://schemas.openxmlformats.org/officeDocument/2006/relationships/hyperlink" Target="https://www.irs.gov/charities-non-profits/private-foundations/political-campaign-intervention-private-foundations" TargetMode="External"/><Relationship Id="rId411" Type="http://schemas.openxmlformats.org/officeDocument/2006/relationships/hyperlink" Target="https://philanthropynewsdigest.org/news/media-matters-receives-1-million-from-george-soros" TargetMode="External"/><Relationship Id="rId453" Type="http://schemas.openxmlformats.org/officeDocument/2006/relationships/hyperlink" Target="https://www.republicanleader.senate.gov/newsroom/research/soros-prosecutors-have-overseen-massive-crime-waves-in-their-communities" TargetMode="External"/><Relationship Id="rId509" Type="http://schemas.openxmlformats.org/officeDocument/2006/relationships/hyperlink" Target="https://www.wrtv.com/news/local-news/crime/mom-wants-the-bail-project-reined-in-after-her-son-was-gunned-down-in-indianapolis" TargetMode="External"/><Relationship Id="rId660" Type="http://schemas.openxmlformats.org/officeDocument/2006/relationships/hyperlink" Target="file://file-JmrRdnQaLgjfQvsQ6YfEvX" TargetMode="External"/><Relationship Id="rId106" Type="http://schemas.openxmlformats.org/officeDocument/2006/relationships/hyperlink" Target="https://www.influencewatch.org/non-profit/open-society-foundations/" TargetMode="External"/><Relationship Id="rId313" Type="http://schemas.openxmlformats.org/officeDocument/2006/relationships/hyperlink" Target="https://www.opensocietyfoundations.org/voices/topics/media-freedom" TargetMode="External"/><Relationship Id="rId495" Type="http://schemas.openxmlformats.org/officeDocument/2006/relationships/hyperlink" Target="https://www.innovatingjustice.org/wp-content/uploads/2021/02/Handout_Bail_Reform_Crime_02032021.pdf" TargetMode="External"/><Relationship Id="rId716" Type="http://schemas.openxmlformats.org/officeDocument/2006/relationships/theme" Target="theme/theme1.xml"/><Relationship Id="rId10" Type="http://schemas.openxmlformats.org/officeDocument/2006/relationships/hyperlink" Target="https://www.influencewatch.org/non-profit/open-society-foundations/" TargetMode="External"/><Relationship Id="rId52" Type="http://schemas.openxmlformats.org/officeDocument/2006/relationships/hyperlink" Target="https://www.influencewatch.org/non-profit/foundation-to-promote-open-society/" TargetMode="External"/><Relationship Id="rId94" Type="http://schemas.openxmlformats.org/officeDocument/2006/relationships/hyperlink" Target="https://www.influencewatch.org/non-profit/open-society-foundations/" TargetMode="External"/><Relationship Id="rId148" Type="http://schemas.openxmlformats.org/officeDocument/2006/relationships/hyperlink" Target="https://www.opensocietyfoundations.org/" TargetMode="External"/><Relationship Id="rId355" Type="http://schemas.openxmlformats.org/officeDocument/2006/relationships/hyperlink" Target="https://www.opensocietyfoundations.org/voices/investigative-journalism-collaboration-produced-panama-papers" TargetMode="External"/><Relationship Id="rId397" Type="http://schemas.openxmlformats.org/officeDocument/2006/relationships/hyperlink" Target="https://www.malaysiakini.com/news/361820" TargetMode="External"/><Relationship Id="rId520" Type="http://schemas.openxmlformats.org/officeDocument/2006/relationships/hyperlink" Target="https://bailproject.org/learn/five-questions-about-texas-bail-reform/" TargetMode="External"/><Relationship Id="rId562" Type="http://schemas.openxmlformats.org/officeDocument/2006/relationships/hyperlink" Target="https://whyy.org/articles/philadelphia-homicides-2024-low-krasner/" TargetMode="External"/><Relationship Id="rId618" Type="http://schemas.openxmlformats.org/officeDocument/2006/relationships/hyperlink" Target="https://www.nationalaffairs.com/publications/detail/does-high-voter-turnout-help-one-party" TargetMode="External"/><Relationship Id="rId215" Type="http://schemas.openxmlformats.org/officeDocument/2006/relationships/hyperlink" Target="https://www.oecd.org/en/publications/development-co-operation-profiles_04b376d7-en/open-society-foundations_19516b58-en.html" TargetMode="External"/><Relationship Id="rId257" Type="http://schemas.openxmlformats.org/officeDocument/2006/relationships/hyperlink" Target="https://www.tabletmag.com/sections/news/articles/for-profit-dc-firm-staging-americas-grassroots-movements-arabella-advisors" TargetMode="External"/><Relationship Id="rId422" Type="http://schemas.openxmlformats.org/officeDocument/2006/relationships/hyperlink" Target="https://gijn.org/stories/how-defend-news-integrity-during-global-funding-crisis/" TargetMode="External"/><Relationship Id="rId464" Type="http://schemas.openxmlformats.org/officeDocument/2006/relationships/hyperlink" Target="https://www.philanthropy.com/article/soros-and-feeney-funds-backed-calif-measure-on-drug-charges/" TargetMode="External"/><Relationship Id="rId299" Type="http://schemas.openxmlformats.org/officeDocument/2006/relationships/hyperlink" Target="https://www.tabletmag.com/sections/news/articles/for-profit-dc-firm-staging-americas-grassroots-movements-arabella-advisors" TargetMode="External"/><Relationship Id="rId63" Type="http://schemas.openxmlformats.org/officeDocument/2006/relationships/hyperlink" Target="https://www.opensocietyfoundations.org/uploads/bab739ea-0197-4a4c-a1a2-a8ee026f4014/factsheet-osf-europe-20180621.pdf" TargetMode="External"/><Relationship Id="rId159" Type="http://schemas.openxmlformats.org/officeDocument/2006/relationships/hyperlink" Target="https://www.influencewatch.org/non-profit/open-society-foundations/" TargetMode="External"/><Relationship Id="rId366" Type="http://schemas.openxmlformats.org/officeDocument/2006/relationships/hyperlink" Target="https://www.opensocietyfoundations.org/voices/topics/media-freedom" TargetMode="External"/><Relationship Id="rId573" Type="http://schemas.openxmlformats.org/officeDocument/2006/relationships/hyperlink" Target="https://www.phila.gov/2021-02-09-city-awarded-grant-by-macarthur-foundation/" TargetMode="External"/><Relationship Id="rId226" Type="http://schemas.openxmlformats.org/officeDocument/2006/relationships/hyperlink" Target="https://www.devex.com/news/a-look-into-open-society-foundations-grantmaking-106871" TargetMode="External"/><Relationship Id="rId433" Type="http://schemas.openxmlformats.org/officeDocument/2006/relationships/hyperlink" Target="https://gijn.org/stories/how-defend-news-integrity-during-global-funding-crisis/" TargetMode="External"/><Relationship Id="rId640" Type="http://schemas.openxmlformats.org/officeDocument/2006/relationships/hyperlink" Target="file://file-JmrRdnQaLgjfQvsQ6YfEvX" TargetMode="External"/><Relationship Id="rId74" Type="http://schemas.openxmlformats.org/officeDocument/2006/relationships/hyperlink" Target="https://en.wikipedia.org/wiki/Open_Society_Foundations" TargetMode="External"/><Relationship Id="rId377" Type="http://schemas.openxmlformats.org/officeDocument/2006/relationships/hyperlink" Target="https://www.occrp.org/en/frequently-asked-questions-on-occrps-funding-and-editorial-policies" TargetMode="External"/><Relationship Id="rId500" Type="http://schemas.openxmlformats.org/officeDocument/2006/relationships/hyperlink" Target="https://chicago.suntimes.com/politics/2020/8/10/21362344/foxx-states-attorney-dishonest-blame-games-looting-lightfoot-brown-obrien-violence" TargetMode="External"/><Relationship Id="rId584" Type="http://schemas.openxmlformats.org/officeDocument/2006/relationships/hyperlink" Target="https://www.opensocietyfoundations.org/voices/bolstering-women-and-youth-linchpins-of-democracy" TargetMode="External"/><Relationship Id="rId5" Type="http://schemas.openxmlformats.org/officeDocument/2006/relationships/hyperlink" Target="https://laist.com/editorial-ethics-guidelines-standards-of-practice" TargetMode="External"/><Relationship Id="rId237" Type="http://schemas.openxmlformats.org/officeDocument/2006/relationships/hyperlink" Target="https://www.devex.com/news/a-look-into-open-society-foundations-grantmaking-106871" TargetMode="External"/><Relationship Id="rId444" Type="http://schemas.openxmlformats.org/officeDocument/2006/relationships/hyperlink" Target="https://www.malaysiakini.com/news/361820" TargetMode="External"/><Relationship Id="rId651" Type="http://schemas.openxmlformats.org/officeDocument/2006/relationships/hyperlink" Target="file://file-JmrRdnQaLgjfQvsQ6YfEvX" TargetMode="External"/><Relationship Id="rId290" Type="http://schemas.openxmlformats.org/officeDocument/2006/relationships/hyperlink" Target="https://en.wikipedia.org/wiki/Sixteen_Thirty_Fund" TargetMode="External"/><Relationship Id="rId304" Type="http://schemas.openxmlformats.org/officeDocument/2006/relationships/hyperlink" Target="https://en.wikipedia.org/wiki/Open_Society_Foundations" TargetMode="External"/><Relationship Id="rId388" Type="http://schemas.openxmlformats.org/officeDocument/2006/relationships/hyperlink" Target="https://pressgazette.co.uk/the-wire/newspaper-corrections-media-mistakes-errors-legal/open-democracy-wins-complaint-against-express-over-george-soros-claim/" TargetMode="External"/><Relationship Id="rId511" Type="http://schemas.openxmlformats.org/officeDocument/2006/relationships/hyperlink" Target="https://www.wrtv.com/news/local-news/crime/mom-wants-the-bail-project-reined-in-after-her-son-was-gunned-down-in-indianapolis" TargetMode="External"/><Relationship Id="rId609" Type="http://schemas.openxmlformats.org/officeDocument/2006/relationships/hyperlink" Target="https://www.opensocietyfoundations.org/newsroom/open-society-and-free-and-fair-elections-in-the-united-states" TargetMode="External"/><Relationship Id="rId85" Type="http://schemas.openxmlformats.org/officeDocument/2006/relationships/hyperlink" Target="https://www.opensocietyfoundations.org/who-we-are/board-of-directors" TargetMode="External"/><Relationship Id="rId150" Type="http://schemas.openxmlformats.org/officeDocument/2006/relationships/hyperlink" Target="https://www.influencewatch.org/non-profit/open-society-foundations/" TargetMode="External"/><Relationship Id="rId595" Type="http://schemas.openxmlformats.org/officeDocument/2006/relationships/hyperlink" Target="https://www.texastribune.org/2023/03/09/texas-voting-eric/" TargetMode="External"/><Relationship Id="rId248" Type="http://schemas.openxmlformats.org/officeDocument/2006/relationships/hyperlink" Target="https://en.wikipedia.org/wiki/Open_Society_Foundations" TargetMode="External"/><Relationship Id="rId455" Type="http://schemas.openxmlformats.org/officeDocument/2006/relationships/hyperlink" Target="https://www.washingtonpost.com/technology/2024/11/26/elon-musk-george-soros-pac-republican-elections/" TargetMode="External"/><Relationship Id="rId662" Type="http://schemas.openxmlformats.org/officeDocument/2006/relationships/hyperlink" Target="file://file-JmrRdnQaLgjfQvsQ6YfEvX" TargetMode="External"/><Relationship Id="rId12" Type="http://schemas.openxmlformats.org/officeDocument/2006/relationships/hyperlink" Target="https://en.wikipedia.org/wiki/Open_Society_Foundations" TargetMode="External"/><Relationship Id="rId108" Type="http://schemas.openxmlformats.org/officeDocument/2006/relationships/hyperlink" Target="https://en.wikipedia.org/wiki/Open_Society_Initiative_for_West_Africa" TargetMode="External"/><Relationship Id="rId315" Type="http://schemas.openxmlformats.org/officeDocument/2006/relationships/hyperlink" Target="https://www.cima.ned.org/donor-profiles/open-society-foundations/" TargetMode="External"/><Relationship Id="rId522" Type="http://schemas.openxmlformats.org/officeDocument/2006/relationships/hyperlink" Target="https://bailproject.org/learn/five-questions-about-texas-bail-reform/" TargetMode="External"/><Relationship Id="rId96" Type="http://schemas.openxmlformats.org/officeDocument/2006/relationships/hyperlink" Target="https://www.influencewatch.org/non-profit/open-society-foundations/" TargetMode="External"/><Relationship Id="rId161" Type="http://schemas.openxmlformats.org/officeDocument/2006/relationships/hyperlink" Target="https://www.opensocietyfoundations.org/newsroom/open-society-foundations-close-international-operations-budapest" TargetMode="External"/><Relationship Id="rId399" Type="http://schemas.openxmlformats.org/officeDocument/2006/relationships/hyperlink" Target="https://www.wuwm.com/ethics" TargetMode="External"/><Relationship Id="rId259" Type="http://schemas.openxmlformats.org/officeDocument/2006/relationships/hyperlink" Target="https://www.tabletmag.com/sections/news/articles/for-profit-dc-firm-staging-americas-grassroots-movements-arabella-advisors" TargetMode="External"/><Relationship Id="rId466" Type="http://schemas.openxmlformats.org/officeDocument/2006/relationships/hyperlink" Target="https://www.inquirer.com/crime/philadelphia-jail-population-reduction-historic-low-20250410.html" TargetMode="External"/><Relationship Id="rId673" Type="http://schemas.openxmlformats.org/officeDocument/2006/relationships/hyperlink" Target="file://file-JmrRdnQaLgjfQvsQ6YfEvX" TargetMode="External"/><Relationship Id="rId23" Type="http://schemas.openxmlformats.org/officeDocument/2006/relationships/hyperlink" Target="https://www.influencewatch.org/non-profit/open-society-foundations/" TargetMode="External"/><Relationship Id="rId119" Type="http://schemas.openxmlformats.org/officeDocument/2006/relationships/hyperlink" Target="https://www.opensocietyfoundations.org/who-we-are/offices-foundations" TargetMode="External"/><Relationship Id="rId326" Type="http://schemas.openxmlformats.org/officeDocument/2006/relationships/hyperlink" Target="https://www.cima.ned.org/donor-profiles/open-society-foundations/" TargetMode="External"/><Relationship Id="rId533" Type="http://schemas.openxmlformats.org/officeDocument/2006/relationships/hyperlink" Target="https://www.innovatingjustice.org/wp-content/uploads/2021/02/Handout_Bail_Reform_Crime_02032021.pdf" TargetMode="External"/><Relationship Id="rId172" Type="http://schemas.openxmlformats.org/officeDocument/2006/relationships/hyperlink" Target="https://www.opensocietyfoundations.org/" TargetMode="External"/><Relationship Id="rId477" Type="http://schemas.openxmlformats.org/officeDocument/2006/relationships/hyperlink" Target="https://drexel.edu/news/archive/2024/May/New-Jersey-Cash-Bail-Reform-Reduced-Incarceration" TargetMode="External"/><Relationship Id="rId600" Type="http://schemas.openxmlformats.org/officeDocument/2006/relationships/hyperlink" Target="https://www.opengovpartnership.org/open-gov-guide/open-government-foundations-open-election-data/" TargetMode="External"/><Relationship Id="rId684" Type="http://schemas.openxmlformats.org/officeDocument/2006/relationships/hyperlink" Target="file://file-JmrRdnQaLgjfQvsQ6YfEvX" TargetMode="External"/><Relationship Id="rId337" Type="http://schemas.openxmlformats.org/officeDocument/2006/relationships/hyperlink" Target="https://www.cima.ned.org/donor-profiles/open-society-foundations/" TargetMode="External"/><Relationship Id="rId34" Type="http://schemas.openxmlformats.org/officeDocument/2006/relationships/hyperlink" Target="https://www.opensocietyfoundations.org/newsroom/open-society-foundations-close-international-operations-budapest" TargetMode="External"/><Relationship Id="rId544" Type="http://schemas.openxmlformats.org/officeDocument/2006/relationships/hyperlink" Target="https://www.phila.gov/2021-02-09-city-awarded-grant-by-macarthur-foundation/" TargetMode="External"/><Relationship Id="rId183" Type="http://schemas.openxmlformats.org/officeDocument/2006/relationships/hyperlink" Target="https://en.wikipedia.org/wiki/Open_Society_Foundations" TargetMode="External"/><Relationship Id="rId390" Type="http://schemas.openxmlformats.org/officeDocument/2006/relationships/hyperlink" Target="https://pressgazette.co.uk/the-wire/newspaper-corrections-media-mistakes-errors-legal/open-democracy-wins-complaint-against-express-over-george-soros-claim/" TargetMode="External"/><Relationship Id="rId404" Type="http://schemas.openxmlformats.org/officeDocument/2006/relationships/hyperlink" Target="https://www.reuters.com/article/world/soros-foundation-attacks-stifling-orban-law-as-hungary-exit-looms-idUSKBN1HR0LV/" TargetMode="External"/><Relationship Id="rId611" Type="http://schemas.openxmlformats.org/officeDocument/2006/relationships/hyperlink" Target="https://www.opensocietyfoundations.org/newsroom/open-society-and-free-and-fair-elections-in-the-united-states" TargetMode="External"/><Relationship Id="rId250" Type="http://schemas.openxmlformats.org/officeDocument/2006/relationships/hyperlink" Target="https://www.theguardian.com/world/2010/sep/07/george-soros-100-million-human-rights-watch" TargetMode="External"/><Relationship Id="rId488" Type="http://schemas.openxmlformats.org/officeDocument/2006/relationships/hyperlink" Target="https://www.innovatingjustice.org/wp-content/uploads/2021/02/Handout_Bail_Reform_Crime_02032021.pdf" TargetMode="External"/><Relationship Id="rId695" Type="http://schemas.openxmlformats.org/officeDocument/2006/relationships/hyperlink" Target="file://file-JmrRdnQaLgjfQvsQ6YfEvX" TargetMode="External"/><Relationship Id="rId709" Type="http://schemas.openxmlformats.org/officeDocument/2006/relationships/hyperlink" Target="file://file-JmrRdnQaLgjfQvsQ6YfEvX" TargetMode="External"/><Relationship Id="rId45" Type="http://schemas.openxmlformats.org/officeDocument/2006/relationships/hyperlink" Target="https://www.investigativeeconomics.org/p/mapping-the-soros-network" TargetMode="External"/><Relationship Id="rId110" Type="http://schemas.openxmlformats.org/officeDocument/2006/relationships/hyperlink" Target="https://www.opensocietyfoundations.org/newsroom/false-claims-regarding-open-society-george-soros-and-usaid" TargetMode="External"/><Relationship Id="rId348" Type="http://schemas.openxmlformats.org/officeDocument/2006/relationships/hyperlink" Target="https://philanthropynewsdigest.org/news/media-matters-receives-1-million-from-george-soros" TargetMode="External"/><Relationship Id="rId555" Type="http://schemas.openxmlformats.org/officeDocument/2006/relationships/hyperlink" Target="https://www.phila.gov/2021-02-09-city-awarded-grant-by-macarthur-foundation/" TargetMode="External"/><Relationship Id="rId194" Type="http://schemas.openxmlformats.org/officeDocument/2006/relationships/hyperlink" Target="https://www.devex.com/news/a-look-into-open-society-foundations-grantmaking-106871" TargetMode="External"/><Relationship Id="rId208" Type="http://schemas.openxmlformats.org/officeDocument/2006/relationships/hyperlink" Target="https://www.devex.com/news/a-look-into-open-society-foundations-grantmaking-106871" TargetMode="External"/><Relationship Id="rId415" Type="http://schemas.openxmlformats.org/officeDocument/2006/relationships/hyperlink" Target="https://www.foxnews.com/politics/billionaire-soros-pays-for-additional-reporters-for-npr-partner-initiative" TargetMode="External"/><Relationship Id="rId622" Type="http://schemas.openxmlformats.org/officeDocument/2006/relationships/hyperlink" Target="https://www.nationalaffairs.com/publications/detail/does-high-voter-turnout-help-one-party" TargetMode="External"/><Relationship Id="rId261" Type="http://schemas.openxmlformats.org/officeDocument/2006/relationships/hyperlink" Target="https://www.tabletmag.com/sections/news/articles/for-profit-dc-firm-staging-americas-grassroots-movements-arabella-advisors" TargetMode="External"/><Relationship Id="rId499" Type="http://schemas.openxmlformats.org/officeDocument/2006/relationships/hyperlink" Target="https://www.republicanleader.senate.gov/newsroom/research/soros-prosecutors-have-overseen-massive-crime-waves-in-their-communities" TargetMode="External"/><Relationship Id="rId56" Type="http://schemas.openxmlformats.org/officeDocument/2006/relationships/hyperlink" Target="https://www.influencewatch.org/non-profit/open-society-foundations/" TargetMode="External"/><Relationship Id="rId359" Type="http://schemas.openxmlformats.org/officeDocument/2006/relationships/hyperlink" Target="https://www.opensocietyfoundations.org/voices/investigative-journalism-collaboration-produced-panama-papers" TargetMode="External"/><Relationship Id="rId566" Type="http://schemas.openxmlformats.org/officeDocument/2006/relationships/hyperlink" Target="https://www.inquirer.com/crime/philadelphia-jail-population-reduction-historic-low-20250410.html" TargetMode="External"/><Relationship Id="rId121" Type="http://schemas.openxmlformats.org/officeDocument/2006/relationships/hyperlink" Target="https://www.opensocietyfoundations.org/newsroom/open-society-foundations-close-international-operations-budapest" TargetMode="External"/><Relationship Id="rId219" Type="http://schemas.openxmlformats.org/officeDocument/2006/relationships/hyperlink" Target="https://en.wikipedia.org/wiki/Open_Society_Foundations" TargetMode="External"/><Relationship Id="rId426" Type="http://schemas.openxmlformats.org/officeDocument/2006/relationships/hyperlink" Target="https://www.occrp.org/en/frequently-asked-questions-on-occrps-funding-and-editorial-policies" TargetMode="External"/><Relationship Id="rId633" Type="http://schemas.openxmlformats.org/officeDocument/2006/relationships/hyperlink" Target="https://www.opensocietyfoundations.org/newsroom/how-the-open-society-foundations-support-election-integrity" TargetMode="External"/><Relationship Id="rId67" Type="http://schemas.openxmlformats.org/officeDocument/2006/relationships/hyperlink" Target="https://en.wikipedia.org/wiki/Open_Society_Initiative_for_West_Africa" TargetMode="External"/><Relationship Id="rId272" Type="http://schemas.openxmlformats.org/officeDocument/2006/relationships/hyperlink" Target="https://www.tabletmag.com/sections/news/articles/for-profit-dc-firm-staging-americas-grassroots-movements-arabella-advisors" TargetMode="External"/><Relationship Id="rId577" Type="http://schemas.openxmlformats.org/officeDocument/2006/relationships/hyperlink" Target="https://www.nonprofitvote.org/wp-content/uploads/2022/12/Engaging-New-Voters-report.pdf" TargetMode="External"/><Relationship Id="rId700" Type="http://schemas.openxmlformats.org/officeDocument/2006/relationships/hyperlink" Target="file://file-JmrRdnQaLgjfQvsQ6YfEvX" TargetMode="External"/><Relationship Id="rId132" Type="http://schemas.openxmlformats.org/officeDocument/2006/relationships/hyperlink" Target="https://www.opensocietyfoundations.org/how-we-work/how-we-fund" TargetMode="External"/><Relationship Id="rId437" Type="http://schemas.openxmlformats.org/officeDocument/2006/relationships/hyperlink" Target="https://pressgazette.co.uk/the-wire/newspaper-corrections-media-mistakes-errors-legal/open-democracy-wins-complaint-against-express-over-george-soros-claim/" TargetMode="External"/><Relationship Id="rId644" Type="http://schemas.openxmlformats.org/officeDocument/2006/relationships/hyperlink" Target="file://file-JmrRdnQaLgjfQvsQ6YfEvX" TargetMode="External"/><Relationship Id="rId283" Type="http://schemas.openxmlformats.org/officeDocument/2006/relationships/hyperlink" Target="https://www.tabletmag.com/sections/news/articles/for-profit-dc-firm-staging-americas-grassroots-movements-arabella-advisors" TargetMode="External"/><Relationship Id="rId490" Type="http://schemas.openxmlformats.org/officeDocument/2006/relationships/hyperlink" Target="https://safetyandjusticechallenge.org/blog/weve-reduced-jail-populations-but-there-is-still-work-to-do/" TargetMode="External"/><Relationship Id="rId504" Type="http://schemas.openxmlformats.org/officeDocument/2006/relationships/hyperlink" Target="https://www.republicanleader.senate.gov/newsroom/research/soros-prosecutors-have-overseen-massive-crime-waves-in-their-communities" TargetMode="External"/><Relationship Id="rId711" Type="http://schemas.openxmlformats.org/officeDocument/2006/relationships/hyperlink" Target="file://file-JmrRdnQaLgjfQvsQ6YfEvX" TargetMode="External"/><Relationship Id="rId78" Type="http://schemas.openxmlformats.org/officeDocument/2006/relationships/hyperlink" Target="https://www.opensocietyfoundations.org/who-we-are" TargetMode="External"/><Relationship Id="rId143" Type="http://schemas.openxmlformats.org/officeDocument/2006/relationships/hyperlink" Target="https://www.opensocietyfoundations.org/who-we-are" TargetMode="External"/><Relationship Id="rId350" Type="http://schemas.openxmlformats.org/officeDocument/2006/relationships/hyperlink" Target="https://philanthropynewsdigest.org/news/media-matters-receives-1-million-from-george-soros" TargetMode="External"/><Relationship Id="rId588" Type="http://schemas.openxmlformats.org/officeDocument/2006/relationships/hyperlink" Target="https://www.opensocietyfoundations.org/newsroom/how-the-open-society-foundations-support-election-integrity" TargetMode="External"/><Relationship Id="rId9" Type="http://schemas.openxmlformats.org/officeDocument/2006/relationships/hyperlink" Target="https://www.influencewatch.org/non-profit/open-society-foundations/" TargetMode="External"/><Relationship Id="rId210" Type="http://schemas.openxmlformats.org/officeDocument/2006/relationships/hyperlink" Target="https://www.gc.cuny.edu/sites/default/files/2021-05/Sustaining-Civil-Society-Lessons-from-5-Pooled-Funds-FINAL-10-20-19_1.pdf" TargetMode="External"/><Relationship Id="rId448" Type="http://schemas.openxmlformats.org/officeDocument/2006/relationships/hyperlink" Target="https://gijn.org/stories/how-defend-news-integrity-during-global-funding-crisis/" TargetMode="External"/><Relationship Id="rId655" Type="http://schemas.openxmlformats.org/officeDocument/2006/relationships/hyperlink" Target="file://file-JmrRdnQaLgjfQvsQ6YfEvX" TargetMode="External"/><Relationship Id="rId294" Type="http://schemas.openxmlformats.org/officeDocument/2006/relationships/hyperlink" Target="https://www.tabletmag.com/sections/news/articles/for-profit-dc-firm-staging-americas-grassroots-movements-arabella-advisors" TargetMode="External"/><Relationship Id="rId308" Type="http://schemas.openxmlformats.org/officeDocument/2006/relationships/hyperlink" Target="https://www.propublica.org/article/dark-money-leonard-leo-barre-seid" TargetMode="External"/><Relationship Id="rId515" Type="http://schemas.openxmlformats.org/officeDocument/2006/relationships/hyperlink" Target="https://www.republicanleader.senate.gov/newsroom/research/soros-prosecutors-have-overseen-massive-crime-waves-in-their-communities" TargetMode="External"/><Relationship Id="rId89" Type="http://schemas.openxmlformats.org/officeDocument/2006/relationships/hyperlink" Target="https://en.wikipedia.org/wiki/Open_Society_Foundations" TargetMode="External"/><Relationship Id="rId154" Type="http://schemas.openxmlformats.org/officeDocument/2006/relationships/hyperlink" Target="https://www.influencewatch.org/non-profit/open-society-foundations/" TargetMode="External"/><Relationship Id="rId361" Type="http://schemas.openxmlformats.org/officeDocument/2006/relationships/hyperlink" Target="https://rsf.org/en/country/hungary" TargetMode="External"/><Relationship Id="rId599" Type="http://schemas.openxmlformats.org/officeDocument/2006/relationships/hyperlink" Target="https://www.opengovpartnership.org/open-gov-guide/open-government-foundations-open-election-data/" TargetMode="External"/><Relationship Id="rId459" Type="http://schemas.openxmlformats.org/officeDocument/2006/relationships/hyperlink" Target="https://www.phila.gov/2021-02-09-city-awarded-grant-by-macarthur-foundation/" TargetMode="External"/><Relationship Id="rId666" Type="http://schemas.openxmlformats.org/officeDocument/2006/relationships/hyperlink" Target="file://file-JmrRdnQaLgjfQvsQ6YfEvX" TargetMode="External"/><Relationship Id="rId16" Type="http://schemas.openxmlformats.org/officeDocument/2006/relationships/hyperlink" Target="https://www.influencewatch.org/non-profit/foundation-to-promote-open-society/" TargetMode="External"/><Relationship Id="rId221" Type="http://schemas.openxmlformats.org/officeDocument/2006/relationships/hyperlink" Target="https://www.oecd.org/en/publications/development-co-operation-profiles_04b376d7-en/open-society-foundations_19516b58-en.html" TargetMode="External"/><Relationship Id="rId319" Type="http://schemas.openxmlformats.org/officeDocument/2006/relationships/hyperlink" Target="https://www.cima.ned.org/donor-profiles/open-society-foundations/" TargetMode="External"/><Relationship Id="rId526" Type="http://schemas.openxmlformats.org/officeDocument/2006/relationships/hyperlink" Target="https://www.inquirer.com/crime/philadelphia-jail-population-reduction-historic-low-20250410.html" TargetMode="External"/><Relationship Id="rId165" Type="http://schemas.openxmlformats.org/officeDocument/2006/relationships/hyperlink" Target="https://www.opensocietyfoundations.org/grants/past" TargetMode="External"/><Relationship Id="rId372" Type="http://schemas.openxmlformats.org/officeDocument/2006/relationships/hyperlink" Target="https://ohiosenate.gov/news/on-the-record/tracing-the-fake-news-money-trail" TargetMode="External"/><Relationship Id="rId677" Type="http://schemas.openxmlformats.org/officeDocument/2006/relationships/hyperlink" Target="file://file-JmrRdnQaLgjfQvsQ6YfEvX" TargetMode="External"/><Relationship Id="rId232" Type="http://schemas.openxmlformats.org/officeDocument/2006/relationships/hyperlink" Target="https://www.devex.com/news/a-look-into-open-society-foundations-grantmaking-106871" TargetMode="External"/><Relationship Id="rId27" Type="http://schemas.openxmlformats.org/officeDocument/2006/relationships/hyperlink" Target="https://en.wikipedia.org/wiki/Open_Society_Foundations" TargetMode="External"/><Relationship Id="rId537" Type="http://schemas.openxmlformats.org/officeDocument/2006/relationships/hyperlink" Target="https://safetyandjusticechallenge.org/blog/weve-reduced-jail-populations-but-there-is-still-work-to-do/" TargetMode="External"/><Relationship Id="rId80" Type="http://schemas.openxmlformats.org/officeDocument/2006/relationships/hyperlink" Target="https://www.opensocietyfoundations.org/who-we-are/board-of-directors" TargetMode="External"/><Relationship Id="rId176" Type="http://schemas.openxmlformats.org/officeDocument/2006/relationships/hyperlink" Target="https://en.wikipedia.org/wiki/Open_Society_Foundations" TargetMode="External"/><Relationship Id="rId383" Type="http://schemas.openxmlformats.org/officeDocument/2006/relationships/hyperlink" Target="https://www.occrp.org/en/frequently-asked-questions-on-occrps-funding-and-editorial-policies" TargetMode="External"/><Relationship Id="rId590" Type="http://schemas.openxmlformats.org/officeDocument/2006/relationships/hyperlink" Target="https://www.opensocietyfoundations.org/newsroom/how-the-open-society-foundations-support-election-integrity" TargetMode="External"/><Relationship Id="rId604" Type="http://schemas.openxmlformats.org/officeDocument/2006/relationships/hyperlink" Target="https://www.opensocietyfoundations.org/newsroom/open-society-and-free-and-fair-elections-in-the-united-states" TargetMode="External"/><Relationship Id="rId243" Type="http://schemas.openxmlformats.org/officeDocument/2006/relationships/hyperlink" Target="https://www.exposedbycmd.org/2024/11/20/donorstrust-injected-more-than-150-million-in-untraceable-cash-into-right-wing-groups-in-2023/" TargetMode="External"/><Relationship Id="rId450" Type="http://schemas.openxmlformats.org/officeDocument/2006/relationships/hyperlink" Target="https://gijn.org/stories/how-defend-news-integrity-during-global-funding-crisis/" TargetMode="External"/><Relationship Id="rId688" Type="http://schemas.openxmlformats.org/officeDocument/2006/relationships/hyperlink" Target="file://file-JmrRdnQaLgjfQvsQ6YfEvX" TargetMode="External"/><Relationship Id="rId38" Type="http://schemas.openxmlformats.org/officeDocument/2006/relationships/hyperlink" Target="https://www.opensocietyfoundations.org/grants/faq" TargetMode="External"/><Relationship Id="rId103" Type="http://schemas.openxmlformats.org/officeDocument/2006/relationships/hyperlink" Target="https://www.guidestar.org/profile/52-2028955" TargetMode="External"/><Relationship Id="rId310" Type="http://schemas.openxmlformats.org/officeDocument/2006/relationships/hyperlink" Target="https://www.cima.ned.org/donor-profiles/open-society-foundations/" TargetMode="External"/><Relationship Id="rId548" Type="http://schemas.openxmlformats.org/officeDocument/2006/relationships/hyperlink" Target="https://www.republicanleader.senate.gov/newsroom/research/soros-prosecutors-have-overseen-massive-crime-waves-in-their-communities" TargetMode="External"/><Relationship Id="rId91" Type="http://schemas.openxmlformats.org/officeDocument/2006/relationships/hyperlink" Target="https://www.opensocietyfoundations.org/how-we-work/how-we-fund" TargetMode="External"/><Relationship Id="rId187" Type="http://schemas.openxmlformats.org/officeDocument/2006/relationships/hyperlink" Target="https://www.opensocietyfoundations.org/who-we-are/financials" TargetMode="External"/><Relationship Id="rId394" Type="http://schemas.openxmlformats.org/officeDocument/2006/relationships/hyperlink" Target="https://www.malaysiakini.com/news/361820" TargetMode="External"/><Relationship Id="rId408" Type="http://schemas.openxmlformats.org/officeDocument/2006/relationships/hyperlink" Target="https://www.ap.org/news-highlights/spotlights/2024/how-hungarys-orban-uses-control-of-the-media-to-escape-scrutiny-and-keep-the-public-in-the-dark/" TargetMode="External"/><Relationship Id="rId615" Type="http://schemas.openxmlformats.org/officeDocument/2006/relationships/hyperlink" Target="https://www.heritage.org/election-integrity/report/maintaining-accurate-voter-registration-rolls-the-need-rehabilitate-the" TargetMode="External"/><Relationship Id="rId254" Type="http://schemas.openxmlformats.org/officeDocument/2006/relationships/hyperlink" Target="https://www.tabletmag.com/sections/news/articles/for-profit-dc-firm-staging-americas-grassroots-movements-arabella-advisors" TargetMode="External"/><Relationship Id="rId699" Type="http://schemas.openxmlformats.org/officeDocument/2006/relationships/hyperlink" Target="file://file-JmrRdnQaLgjfQvsQ6YfEvX" TargetMode="External"/><Relationship Id="rId49" Type="http://schemas.openxmlformats.org/officeDocument/2006/relationships/hyperlink" Target="https://www.opensocietyfoundations.org/grants/faq" TargetMode="External"/><Relationship Id="rId114" Type="http://schemas.openxmlformats.org/officeDocument/2006/relationships/hyperlink" Target="https://www.opensocietyfoundations.org/who-we-are/offices-foundations" TargetMode="External"/><Relationship Id="rId461" Type="http://schemas.openxmlformats.org/officeDocument/2006/relationships/hyperlink" Target="https://www.aclu.org/press-releases/aclu-awarded-50-million-open-society-foundations-end-mass-incarceration" TargetMode="External"/><Relationship Id="rId559" Type="http://schemas.openxmlformats.org/officeDocument/2006/relationships/hyperlink" Target="https://www.inquirer.com/crime/philadelphia-jail-population-reduction-historic-low-20250410.html" TargetMode="External"/><Relationship Id="rId198" Type="http://schemas.openxmlformats.org/officeDocument/2006/relationships/hyperlink" Target="https://www.oecd.org/en/publications/development-co-operation-profiles_04b376d7-en/open-society-foundations_19516b58-en.html" TargetMode="External"/><Relationship Id="rId321" Type="http://schemas.openxmlformats.org/officeDocument/2006/relationships/hyperlink" Target="https://www.cima.ned.org/donor-profiles/open-society-foundations/" TargetMode="External"/><Relationship Id="rId419" Type="http://schemas.openxmlformats.org/officeDocument/2006/relationships/hyperlink" Target="https://ohiosenate.gov/news/on-the-record/tracing-the-fake-news-money-trail" TargetMode="External"/><Relationship Id="rId626" Type="http://schemas.openxmlformats.org/officeDocument/2006/relationships/hyperlink" Target="https://www.opensocietyfoundations.org/voices/bolstering-women-and-youth-linchpins-of-democracy" TargetMode="External"/><Relationship Id="rId265" Type="http://schemas.openxmlformats.org/officeDocument/2006/relationships/hyperlink" Target="https://www.philanthropy.com/article/why-tides-and-black-lives-matter-are-fighting-over-33-million" TargetMode="External"/><Relationship Id="rId472" Type="http://schemas.openxmlformats.org/officeDocument/2006/relationships/hyperlink" Target="https://whyy.org/articles/philadelphia-homicides-2024-low-krasner/" TargetMode="External"/><Relationship Id="rId125" Type="http://schemas.openxmlformats.org/officeDocument/2006/relationships/hyperlink" Target="https://www.opensocietyfoundations.org/newsroom/open-society-foundations-close-international-operations-budapest" TargetMode="External"/><Relationship Id="rId332" Type="http://schemas.openxmlformats.org/officeDocument/2006/relationships/hyperlink" Target="https://www.soroseconomicdevelopmentfund.org/how-we-work/independent-media" TargetMode="External"/><Relationship Id="rId637" Type="http://schemas.openxmlformats.org/officeDocument/2006/relationships/hyperlink" Target="file://file-JmrRdnQaLgjfQvsQ6YfEv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971</TotalTime>
  <Pages>249</Pages>
  <Words>138306</Words>
  <Characters>788347</Characters>
  <Application>Microsoft Office Word</Application>
  <DocSecurity>0</DocSecurity>
  <Lines>6569</Lines>
  <Paragraphs>1849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Hull</dc:creator>
  <cp:keywords/>
  <dc:description/>
  <cp:lastModifiedBy>Jacob Hull</cp:lastModifiedBy>
  <cp:revision>3</cp:revision>
  <dcterms:created xsi:type="dcterms:W3CDTF">2025-08-14T18:09:00Z</dcterms:created>
  <dcterms:modified xsi:type="dcterms:W3CDTF">2025-08-18T11:02:00Z</dcterms:modified>
</cp:coreProperties>
</file>