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30C67" w14:textId="77777777" w:rsidR="00DB24E2" w:rsidRPr="00CE5166" w:rsidRDefault="00000000" w:rsidP="002E1782">
      <w:pPr>
        <w:pStyle w:val="Title"/>
        <w:rPr>
          <w:rFonts w:ascii="Arial" w:hAnsi="Arial" w:cs="Arial"/>
        </w:rPr>
      </w:pPr>
      <w:bookmarkStart w:id="0" w:name="the-profitability-paradox"/>
      <w:r w:rsidRPr="00CE5166">
        <w:rPr>
          <w:rFonts w:ascii="Arial" w:hAnsi="Arial" w:cs="Arial"/>
        </w:rPr>
        <w:t>The Profitability Paradox</w:t>
      </w:r>
      <w:bookmarkEnd w:id="0"/>
    </w:p>
    <w:p w14:paraId="7D630C68" w14:textId="77777777" w:rsidR="00DB24E2" w:rsidRPr="00CE5166" w:rsidRDefault="00000000" w:rsidP="00041ACD">
      <w:pPr>
        <w:pStyle w:val="Title"/>
        <w:rPr>
          <w:rFonts w:ascii="Arial" w:hAnsi="Arial" w:cs="Arial"/>
        </w:rPr>
      </w:pPr>
      <w:bookmarkStart w:id="1" w:name="X793257c6c0c7573682eb6e830441c015fa3051a"/>
      <w:r w:rsidRPr="00CE5166">
        <w:rPr>
          <w:rFonts w:ascii="Arial" w:hAnsi="Arial" w:cs="Arial"/>
        </w:rPr>
        <w:t>How Managed Security Service Providers Can Transform 8% Margins into Sustainable Competitive Advantage</w:t>
      </w:r>
      <w:bookmarkEnd w:id="1"/>
    </w:p>
    <w:p w14:paraId="7D630C69" w14:textId="77777777" w:rsidR="00DB24E2" w:rsidRPr="00CE5166" w:rsidRDefault="00000000" w:rsidP="002E1782">
      <w:pPr>
        <w:pStyle w:val="Subtitle"/>
        <w:rPr>
          <w:rFonts w:ascii="Arial" w:hAnsi="Arial" w:cs="Arial"/>
        </w:rPr>
      </w:pPr>
      <w:bookmarkStart w:id="2" w:name="X15816e556363cab07c223bff1c66f8c05f68f8b"/>
      <w:r w:rsidRPr="00CE5166">
        <w:rPr>
          <w:rFonts w:ascii="Arial" w:hAnsi="Arial" w:cs="Arial"/>
        </w:rPr>
        <w:t>A Comprehensive Analysis of the MSSP Industry Crisis and the Path to Operational Excellence</w:t>
      </w:r>
      <w:bookmarkEnd w:id="2"/>
    </w:p>
    <w:p w14:paraId="2784A690" w14:textId="3F6765AD" w:rsidR="00041ACD" w:rsidRPr="00CE5166" w:rsidRDefault="005013D3" w:rsidP="00041ACD">
      <w:pPr>
        <w:pStyle w:val="Author"/>
        <w:rPr>
          <w:rFonts w:ascii="Arial" w:hAnsi="Arial" w:cs="Arial"/>
        </w:rPr>
      </w:pPr>
      <w:r w:rsidRPr="00CE5166">
        <w:rPr>
          <w:rFonts w:ascii="Arial" w:hAnsi="Arial" w:cs="Arial"/>
        </w:rPr>
        <w:t>Nearshore Cyber</w:t>
      </w:r>
    </w:p>
    <w:p w14:paraId="31101BBE" w14:textId="5AC66217" w:rsidR="005013D3" w:rsidRPr="00CE5166" w:rsidRDefault="005013D3" w:rsidP="005013D3">
      <w:pPr>
        <w:pStyle w:val="Author"/>
        <w:rPr>
          <w:rFonts w:ascii="Arial" w:hAnsi="Arial" w:cs="Arial"/>
        </w:rPr>
      </w:pPr>
      <w:r w:rsidRPr="00CE5166">
        <w:rPr>
          <w:rFonts w:ascii="Arial" w:hAnsi="Arial" w:cs="Arial"/>
        </w:rPr>
        <w:t>August 2025</w:t>
      </w:r>
    </w:p>
    <w:p w14:paraId="7D630C6A" w14:textId="474743E6" w:rsidR="00041ACD" w:rsidRPr="00CE5166" w:rsidRDefault="00041ACD">
      <w:pPr>
        <w:rPr>
          <w:rFonts w:ascii="Arial" w:hAnsi="Arial" w:cs="Arial"/>
        </w:rPr>
      </w:pPr>
      <w:r w:rsidRPr="00CE5166">
        <w:rPr>
          <w:rFonts w:ascii="Arial" w:hAnsi="Arial" w:cs="Arial"/>
        </w:rPr>
        <w:br w:type="page"/>
      </w:r>
    </w:p>
    <w:p w14:paraId="14049A29" w14:textId="77777777" w:rsidR="00DB24E2" w:rsidRPr="00CE5166" w:rsidRDefault="00DB24E2">
      <w:pPr>
        <w:rPr>
          <w:rFonts w:ascii="Arial" w:hAnsi="Arial" w:cs="Arial"/>
        </w:rPr>
      </w:pPr>
    </w:p>
    <w:p w14:paraId="7D630C6B" w14:textId="22048E18" w:rsidR="00DB24E2" w:rsidRPr="00CE5166" w:rsidRDefault="00000000">
      <w:pPr>
        <w:pStyle w:val="FirstParagraph"/>
        <w:rPr>
          <w:rFonts w:ascii="Arial" w:hAnsi="Arial" w:cs="Arial"/>
        </w:rPr>
      </w:pPr>
      <w:r w:rsidRPr="00CE5166">
        <w:rPr>
          <w:rFonts w:ascii="Arial" w:hAnsi="Arial" w:cs="Arial"/>
          <w:b/>
        </w:rPr>
        <w:t>Industry Research Report</w:t>
      </w:r>
      <w:r w:rsidR="008B3466">
        <w:rPr>
          <w:rFonts w:ascii="Arial" w:hAnsi="Arial" w:cs="Arial"/>
          <w:b/>
        </w:rPr>
        <w:t xml:space="preserve"> by Nearshore Cyber</w:t>
      </w:r>
      <w:r w:rsidRPr="00CE5166">
        <w:rPr>
          <w:rFonts w:ascii="Arial" w:hAnsi="Arial" w:cs="Arial"/>
        </w:rPr>
        <w:br/>
      </w:r>
      <w:r w:rsidRPr="00CE5166">
        <w:rPr>
          <w:rFonts w:ascii="Arial" w:hAnsi="Arial" w:cs="Arial"/>
          <w:b/>
        </w:rPr>
        <w:t>2025 Edition</w:t>
      </w:r>
    </w:p>
    <w:p w14:paraId="7D630C6C" w14:textId="77777777" w:rsidR="00DB24E2" w:rsidRPr="00CE5166" w:rsidRDefault="00000000">
      <w:pPr>
        <w:rPr>
          <w:rFonts w:ascii="Arial" w:hAnsi="Arial" w:cs="Arial"/>
        </w:rPr>
      </w:pPr>
      <w:r w:rsidRPr="00CE5166">
        <w:rPr>
          <w:rFonts w:ascii="Arial" w:hAnsi="Arial" w:cs="Arial"/>
        </w:rPr>
        <w:pict w14:anchorId="7D630E80">
          <v:rect id="_x0000_i1026" style="width:0;height:1.5pt" o:hralign="center" o:hrstd="t" o:hr="t"/>
        </w:pict>
      </w:r>
    </w:p>
    <w:sdt>
      <w:sdtPr>
        <w:id w:val="1709604439"/>
        <w:docPartObj>
          <w:docPartGallery w:val="Table of Contents"/>
          <w:docPartUnique/>
        </w:docPartObj>
      </w:sdtPr>
      <w:sdtEndPr>
        <w:rPr>
          <w:rFonts w:asciiTheme="minorHAnsi" w:eastAsiaTheme="minorHAnsi" w:hAnsiTheme="minorHAnsi" w:cstheme="minorBidi"/>
          <w:b/>
          <w:bCs/>
          <w:noProof/>
          <w:color w:val="auto"/>
          <w:sz w:val="24"/>
          <w:szCs w:val="24"/>
        </w:rPr>
      </w:sdtEndPr>
      <w:sdtContent>
        <w:p w14:paraId="71E4B121" w14:textId="222977DD" w:rsidR="00216250" w:rsidRDefault="00216250">
          <w:pPr>
            <w:pStyle w:val="TOCHeading"/>
          </w:pPr>
          <w:r>
            <w:t>Contents</w:t>
          </w:r>
        </w:p>
        <w:p w14:paraId="005566D2" w14:textId="6E839F7C" w:rsidR="005610D4" w:rsidRDefault="00216250">
          <w:pPr>
            <w:pStyle w:val="TOC1"/>
            <w:tabs>
              <w:tab w:val="right" w:leader="dot" w:pos="9350"/>
            </w:tabs>
            <w:rPr>
              <w:rFonts w:eastAsiaTheme="minorEastAsia"/>
              <w:noProof/>
              <w:kern w:val="2"/>
              <w14:ligatures w14:val="standardContextual"/>
            </w:rPr>
          </w:pPr>
          <w:r>
            <w:fldChar w:fldCharType="begin"/>
          </w:r>
          <w:r>
            <w:instrText xml:space="preserve"> TOC \o "1-3" \h \z \u </w:instrText>
          </w:r>
          <w:r>
            <w:fldChar w:fldCharType="separate"/>
          </w:r>
          <w:hyperlink w:anchor="_Toc206954652" w:history="1">
            <w:r w:rsidR="005610D4" w:rsidRPr="00887986">
              <w:rPr>
                <w:rStyle w:val="Hyperlink"/>
                <w:rFonts w:ascii="Arial" w:hAnsi="Arial" w:cs="Arial"/>
                <w:noProof/>
              </w:rPr>
              <w:t>Executive Summary: The MSSP Profitability Paradox</w:t>
            </w:r>
            <w:r w:rsidR="005610D4">
              <w:rPr>
                <w:noProof/>
                <w:webHidden/>
              </w:rPr>
              <w:tab/>
            </w:r>
            <w:r w:rsidR="005610D4">
              <w:rPr>
                <w:noProof/>
                <w:webHidden/>
              </w:rPr>
              <w:fldChar w:fldCharType="begin"/>
            </w:r>
            <w:r w:rsidR="005610D4">
              <w:rPr>
                <w:noProof/>
                <w:webHidden/>
              </w:rPr>
              <w:instrText xml:space="preserve"> PAGEREF _Toc206954652 \h </w:instrText>
            </w:r>
            <w:r w:rsidR="005610D4">
              <w:rPr>
                <w:noProof/>
                <w:webHidden/>
              </w:rPr>
            </w:r>
            <w:r w:rsidR="005610D4">
              <w:rPr>
                <w:noProof/>
                <w:webHidden/>
              </w:rPr>
              <w:fldChar w:fldCharType="separate"/>
            </w:r>
            <w:r w:rsidR="005610D4">
              <w:rPr>
                <w:noProof/>
                <w:webHidden/>
              </w:rPr>
              <w:t>7</w:t>
            </w:r>
            <w:r w:rsidR="005610D4">
              <w:rPr>
                <w:noProof/>
                <w:webHidden/>
              </w:rPr>
              <w:fldChar w:fldCharType="end"/>
            </w:r>
          </w:hyperlink>
        </w:p>
        <w:p w14:paraId="6756386A" w14:textId="384302C1" w:rsidR="005610D4" w:rsidRDefault="005610D4">
          <w:pPr>
            <w:pStyle w:val="TOC2"/>
            <w:tabs>
              <w:tab w:val="right" w:leader="dot" w:pos="9350"/>
            </w:tabs>
            <w:rPr>
              <w:rFonts w:eastAsiaTheme="minorEastAsia"/>
              <w:noProof/>
              <w:kern w:val="2"/>
              <w14:ligatures w14:val="standardContextual"/>
            </w:rPr>
          </w:pPr>
          <w:hyperlink w:anchor="_Toc206954653" w:history="1">
            <w:r w:rsidRPr="00887986">
              <w:rPr>
                <w:rStyle w:val="Hyperlink"/>
                <w:rFonts w:ascii="Arial" w:hAnsi="Arial" w:cs="Arial"/>
                <w:noProof/>
              </w:rPr>
              <w:t>The Paradox Defined</w:t>
            </w:r>
            <w:r>
              <w:rPr>
                <w:noProof/>
                <w:webHidden/>
              </w:rPr>
              <w:tab/>
            </w:r>
            <w:r>
              <w:rPr>
                <w:noProof/>
                <w:webHidden/>
              </w:rPr>
              <w:fldChar w:fldCharType="begin"/>
            </w:r>
            <w:r>
              <w:rPr>
                <w:noProof/>
                <w:webHidden/>
              </w:rPr>
              <w:instrText xml:space="preserve"> PAGEREF _Toc206954653 \h </w:instrText>
            </w:r>
            <w:r>
              <w:rPr>
                <w:noProof/>
                <w:webHidden/>
              </w:rPr>
            </w:r>
            <w:r>
              <w:rPr>
                <w:noProof/>
                <w:webHidden/>
              </w:rPr>
              <w:fldChar w:fldCharType="separate"/>
            </w:r>
            <w:r>
              <w:rPr>
                <w:noProof/>
                <w:webHidden/>
              </w:rPr>
              <w:t>7</w:t>
            </w:r>
            <w:r>
              <w:rPr>
                <w:noProof/>
                <w:webHidden/>
              </w:rPr>
              <w:fldChar w:fldCharType="end"/>
            </w:r>
          </w:hyperlink>
        </w:p>
        <w:p w14:paraId="71BF2834" w14:textId="4E3FB5FF" w:rsidR="005610D4" w:rsidRDefault="005610D4">
          <w:pPr>
            <w:pStyle w:val="TOC2"/>
            <w:tabs>
              <w:tab w:val="right" w:leader="dot" w:pos="9350"/>
            </w:tabs>
            <w:rPr>
              <w:rFonts w:eastAsiaTheme="minorEastAsia"/>
              <w:noProof/>
              <w:kern w:val="2"/>
              <w14:ligatures w14:val="standardContextual"/>
            </w:rPr>
          </w:pPr>
          <w:hyperlink w:anchor="_Toc206954654" w:history="1">
            <w:r w:rsidRPr="00887986">
              <w:rPr>
                <w:rStyle w:val="Hyperlink"/>
                <w:rFonts w:ascii="Arial" w:hAnsi="Arial" w:cs="Arial"/>
                <w:noProof/>
              </w:rPr>
              <w:t>Root Causes: Why Growth Doesn’t Equal Profit</w:t>
            </w:r>
            <w:r>
              <w:rPr>
                <w:noProof/>
                <w:webHidden/>
              </w:rPr>
              <w:tab/>
            </w:r>
            <w:r>
              <w:rPr>
                <w:noProof/>
                <w:webHidden/>
              </w:rPr>
              <w:fldChar w:fldCharType="begin"/>
            </w:r>
            <w:r>
              <w:rPr>
                <w:noProof/>
                <w:webHidden/>
              </w:rPr>
              <w:instrText xml:space="preserve"> PAGEREF _Toc206954654 \h </w:instrText>
            </w:r>
            <w:r>
              <w:rPr>
                <w:noProof/>
                <w:webHidden/>
              </w:rPr>
            </w:r>
            <w:r>
              <w:rPr>
                <w:noProof/>
                <w:webHidden/>
              </w:rPr>
              <w:fldChar w:fldCharType="separate"/>
            </w:r>
            <w:r>
              <w:rPr>
                <w:noProof/>
                <w:webHidden/>
              </w:rPr>
              <w:t>7</w:t>
            </w:r>
            <w:r>
              <w:rPr>
                <w:noProof/>
                <w:webHidden/>
              </w:rPr>
              <w:fldChar w:fldCharType="end"/>
            </w:r>
          </w:hyperlink>
        </w:p>
        <w:p w14:paraId="4D76381E" w14:textId="13D1D115" w:rsidR="005610D4" w:rsidRDefault="005610D4">
          <w:pPr>
            <w:pStyle w:val="TOC2"/>
            <w:tabs>
              <w:tab w:val="right" w:leader="dot" w:pos="9350"/>
            </w:tabs>
            <w:rPr>
              <w:rFonts w:eastAsiaTheme="minorEastAsia"/>
              <w:noProof/>
              <w:kern w:val="2"/>
              <w14:ligatures w14:val="standardContextual"/>
            </w:rPr>
          </w:pPr>
          <w:hyperlink w:anchor="_Toc206954655" w:history="1">
            <w:r w:rsidRPr="00887986">
              <w:rPr>
                <w:rStyle w:val="Hyperlink"/>
                <w:rFonts w:ascii="Arial" w:hAnsi="Arial" w:cs="Arial"/>
                <w:noProof/>
              </w:rPr>
              <w:t>The Transformation Path: From 8% to 18% Margins</w:t>
            </w:r>
            <w:r>
              <w:rPr>
                <w:noProof/>
                <w:webHidden/>
              </w:rPr>
              <w:tab/>
            </w:r>
            <w:r>
              <w:rPr>
                <w:noProof/>
                <w:webHidden/>
              </w:rPr>
              <w:fldChar w:fldCharType="begin"/>
            </w:r>
            <w:r>
              <w:rPr>
                <w:noProof/>
                <w:webHidden/>
              </w:rPr>
              <w:instrText xml:space="preserve"> PAGEREF _Toc206954655 \h </w:instrText>
            </w:r>
            <w:r>
              <w:rPr>
                <w:noProof/>
                <w:webHidden/>
              </w:rPr>
            </w:r>
            <w:r>
              <w:rPr>
                <w:noProof/>
                <w:webHidden/>
              </w:rPr>
              <w:fldChar w:fldCharType="separate"/>
            </w:r>
            <w:r>
              <w:rPr>
                <w:noProof/>
                <w:webHidden/>
              </w:rPr>
              <w:t>7</w:t>
            </w:r>
            <w:r>
              <w:rPr>
                <w:noProof/>
                <w:webHidden/>
              </w:rPr>
              <w:fldChar w:fldCharType="end"/>
            </w:r>
          </w:hyperlink>
        </w:p>
        <w:p w14:paraId="4B53C006" w14:textId="322F332B" w:rsidR="005610D4" w:rsidRDefault="005610D4">
          <w:pPr>
            <w:pStyle w:val="TOC2"/>
            <w:tabs>
              <w:tab w:val="right" w:leader="dot" w:pos="9350"/>
            </w:tabs>
            <w:rPr>
              <w:rFonts w:eastAsiaTheme="minorEastAsia"/>
              <w:noProof/>
              <w:kern w:val="2"/>
              <w14:ligatures w14:val="standardContextual"/>
            </w:rPr>
          </w:pPr>
          <w:hyperlink w:anchor="_Toc206954656" w:history="1">
            <w:r w:rsidRPr="00887986">
              <w:rPr>
                <w:rStyle w:val="Hyperlink"/>
                <w:rFonts w:ascii="Arial" w:hAnsi="Arial" w:cs="Arial"/>
                <w:noProof/>
              </w:rPr>
              <w:t>The Three-Year Transformation Roadmap</w:t>
            </w:r>
            <w:r>
              <w:rPr>
                <w:noProof/>
                <w:webHidden/>
              </w:rPr>
              <w:tab/>
            </w:r>
            <w:r>
              <w:rPr>
                <w:noProof/>
                <w:webHidden/>
              </w:rPr>
              <w:fldChar w:fldCharType="begin"/>
            </w:r>
            <w:r>
              <w:rPr>
                <w:noProof/>
                <w:webHidden/>
              </w:rPr>
              <w:instrText xml:space="preserve"> PAGEREF _Toc206954656 \h </w:instrText>
            </w:r>
            <w:r>
              <w:rPr>
                <w:noProof/>
                <w:webHidden/>
              </w:rPr>
            </w:r>
            <w:r>
              <w:rPr>
                <w:noProof/>
                <w:webHidden/>
              </w:rPr>
              <w:fldChar w:fldCharType="separate"/>
            </w:r>
            <w:r>
              <w:rPr>
                <w:noProof/>
                <w:webHidden/>
              </w:rPr>
              <w:t>8</w:t>
            </w:r>
            <w:r>
              <w:rPr>
                <w:noProof/>
                <w:webHidden/>
              </w:rPr>
              <w:fldChar w:fldCharType="end"/>
            </w:r>
          </w:hyperlink>
        </w:p>
        <w:p w14:paraId="66FA79F3" w14:textId="19CDD7FE" w:rsidR="005610D4" w:rsidRDefault="005610D4">
          <w:pPr>
            <w:pStyle w:val="TOC2"/>
            <w:tabs>
              <w:tab w:val="right" w:leader="dot" w:pos="9350"/>
            </w:tabs>
            <w:rPr>
              <w:rFonts w:eastAsiaTheme="minorEastAsia"/>
              <w:noProof/>
              <w:kern w:val="2"/>
              <w14:ligatures w14:val="standardContextual"/>
            </w:rPr>
          </w:pPr>
          <w:hyperlink w:anchor="_Toc206954657" w:history="1">
            <w:r w:rsidRPr="00887986">
              <w:rPr>
                <w:rStyle w:val="Hyperlink"/>
                <w:rFonts w:ascii="Arial" w:hAnsi="Arial" w:cs="Arial"/>
                <w:noProof/>
              </w:rPr>
              <w:t>Critical Success Metrics</w:t>
            </w:r>
            <w:r>
              <w:rPr>
                <w:noProof/>
                <w:webHidden/>
              </w:rPr>
              <w:tab/>
            </w:r>
            <w:r>
              <w:rPr>
                <w:noProof/>
                <w:webHidden/>
              </w:rPr>
              <w:fldChar w:fldCharType="begin"/>
            </w:r>
            <w:r>
              <w:rPr>
                <w:noProof/>
                <w:webHidden/>
              </w:rPr>
              <w:instrText xml:space="preserve"> PAGEREF _Toc206954657 \h </w:instrText>
            </w:r>
            <w:r>
              <w:rPr>
                <w:noProof/>
                <w:webHidden/>
              </w:rPr>
            </w:r>
            <w:r>
              <w:rPr>
                <w:noProof/>
                <w:webHidden/>
              </w:rPr>
              <w:fldChar w:fldCharType="separate"/>
            </w:r>
            <w:r>
              <w:rPr>
                <w:noProof/>
                <w:webHidden/>
              </w:rPr>
              <w:t>8</w:t>
            </w:r>
            <w:r>
              <w:rPr>
                <w:noProof/>
                <w:webHidden/>
              </w:rPr>
              <w:fldChar w:fldCharType="end"/>
            </w:r>
          </w:hyperlink>
        </w:p>
        <w:p w14:paraId="32253BF7" w14:textId="29D0F2D2" w:rsidR="005610D4" w:rsidRDefault="005610D4">
          <w:pPr>
            <w:pStyle w:val="TOC2"/>
            <w:tabs>
              <w:tab w:val="right" w:leader="dot" w:pos="9350"/>
            </w:tabs>
            <w:rPr>
              <w:rFonts w:eastAsiaTheme="minorEastAsia"/>
              <w:noProof/>
              <w:kern w:val="2"/>
              <w14:ligatures w14:val="standardContextual"/>
            </w:rPr>
          </w:pPr>
          <w:hyperlink w:anchor="_Toc206954658" w:history="1">
            <w:r w:rsidRPr="00887986">
              <w:rPr>
                <w:rStyle w:val="Hyperlink"/>
                <w:rFonts w:ascii="Arial" w:hAnsi="Arial" w:cs="Arial"/>
                <w:noProof/>
              </w:rPr>
              <w:t>The Consolidation Countdown</w:t>
            </w:r>
            <w:r>
              <w:rPr>
                <w:noProof/>
                <w:webHidden/>
              </w:rPr>
              <w:tab/>
            </w:r>
            <w:r>
              <w:rPr>
                <w:noProof/>
                <w:webHidden/>
              </w:rPr>
              <w:fldChar w:fldCharType="begin"/>
            </w:r>
            <w:r>
              <w:rPr>
                <w:noProof/>
                <w:webHidden/>
              </w:rPr>
              <w:instrText xml:space="preserve"> PAGEREF _Toc206954658 \h </w:instrText>
            </w:r>
            <w:r>
              <w:rPr>
                <w:noProof/>
                <w:webHidden/>
              </w:rPr>
            </w:r>
            <w:r>
              <w:rPr>
                <w:noProof/>
                <w:webHidden/>
              </w:rPr>
              <w:fldChar w:fldCharType="separate"/>
            </w:r>
            <w:r>
              <w:rPr>
                <w:noProof/>
                <w:webHidden/>
              </w:rPr>
              <w:t>8</w:t>
            </w:r>
            <w:r>
              <w:rPr>
                <w:noProof/>
                <w:webHidden/>
              </w:rPr>
              <w:fldChar w:fldCharType="end"/>
            </w:r>
          </w:hyperlink>
        </w:p>
        <w:p w14:paraId="597A40A8" w14:textId="2F5845FA" w:rsidR="005610D4" w:rsidRDefault="005610D4">
          <w:pPr>
            <w:pStyle w:val="TOC2"/>
            <w:tabs>
              <w:tab w:val="right" w:leader="dot" w:pos="9350"/>
            </w:tabs>
            <w:rPr>
              <w:rFonts w:eastAsiaTheme="minorEastAsia"/>
              <w:noProof/>
              <w:kern w:val="2"/>
              <w14:ligatures w14:val="standardContextual"/>
            </w:rPr>
          </w:pPr>
          <w:hyperlink w:anchor="_Toc206954659" w:history="1">
            <w:r w:rsidRPr="00887986">
              <w:rPr>
                <w:rStyle w:val="Hyperlink"/>
                <w:rFonts w:ascii="Arial" w:hAnsi="Arial" w:cs="Arial"/>
                <w:noProof/>
              </w:rPr>
              <w:t>Strategic Imperatives by Segment</w:t>
            </w:r>
            <w:r>
              <w:rPr>
                <w:noProof/>
                <w:webHidden/>
              </w:rPr>
              <w:tab/>
            </w:r>
            <w:r>
              <w:rPr>
                <w:noProof/>
                <w:webHidden/>
              </w:rPr>
              <w:fldChar w:fldCharType="begin"/>
            </w:r>
            <w:r>
              <w:rPr>
                <w:noProof/>
                <w:webHidden/>
              </w:rPr>
              <w:instrText xml:space="preserve"> PAGEREF _Toc206954659 \h </w:instrText>
            </w:r>
            <w:r>
              <w:rPr>
                <w:noProof/>
                <w:webHidden/>
              </w:rPr>
            </w:r>
            <w:r>
              <w:rPr>
                <w:noProof/>
                <w:webHidden/>
              </w:rPr>
              <w:fldChar w:fldCharType="separate"/>
            </w:r>
            <w:r>
              <w:rPr>
                <w:noProof/>
                <w:webHidden/>
              </w:rPr>
              <w:t>8</w:t>
            </w:r>
            <w:r>
              <w:rPr>
                <w:noProof/>
                <w:webHidden/>
              </w:rPr>
              <w:fldChar w:fldCharType="end"/>
            </w:r>
          </w:hyperlink>
        </w:p>
        <w:p w14:paraId="420F4346" w14:textId="47279B15" w:rsidR="005610D4" w:rsidRDefault="005610D4">
          <w:pPr>
            <w:pStyle w:val="TOC2"/>
            <w:tabs>
              <w:tab w:val="right" w:leader="dot" w:pos="9350"/>
            </w:tabs>
            <w:rPr>
              <w:rFonts w:eastAsiaTheme="minorEastAsia"/>
              <w:noProof/>
              <w:kern w:val="2"/>
              <w14:ligatures w14:val="standardContextual"/>
            </w:rPr>
          </w:pPr>
          <w:hyperlink w:anchor="_Toc206954660" w:history="1">
            <w:r w:rsidRPr="00887986">
              <w:rPr>
                <w:rStyle w:val="Hyperlink"/>
                <w:rFonts w:ascii="Arial" w:hAnsi="Arial" w:cs="Arial"/>
                <w:noProof/>
              </w:rPr>
              <w:t>The ROI of Transformation</w:t>
            </w:r>
            <w:r>
              <w:rPr>
                <w:noProof/>
                <w:webHidden/>
              </w:rPr>
              <w:tab/>
            </w:r>
            <w:r>
              <w:rPr>
                <w:noProof/>
                <w:webHidden/>
              </w:rPr>
              <w:fldChar w:fldCharType="begin"/>
            </w:r>
            <w:r>
              <w:rPr>
                <w:noProof/>
                <w:webHidden/>
              </w:rPr>
              <w:instrText xml:space="preserve"> PAGEREF _Toc206954660 \h </w:instrText>
            </w:r>
            <w:r>
              <w:rPr>
                <w:noProof/>
                <w:webHidden/>
              </w:rPr>
            </w:r>
            <w:r>
              <w:rPr>
                <w:noProof/>
                <w:webHidden/>
              </w:rPr>
              <w:fldChar w:fldCharType="separate"/>
            </w:r>
            <w:r>
              <w:rPr>
                <w:noProof/>
                <w:webHidden/>
              </w:rPr>
              <w:t>9</w:t>
            </w:r>
            <w:r>
              <w:rPr>
                <w:noProof/>
                <w:webHidden/>
              </w:rPr>
              <w:fldChar w:fldCharType="end"/>
            </w:r>
          </w:hyperlink>
        </w:p>
        <w:p w14:paraId="5E94B0E4" w14:textId="116416DA" w:rsidR="005610D4" w:rsidRDefault="005610D4">
          <w:pPr>
            <w:pStyle w:val="TOC2"/>
            <w:tabs>
              <w:tab w:val="right" w:leader="dot" w:pos="9350"/>
            </w:tabs>
            <w:rPr>
              <w:rFonts w:eastAsiaTheme="minorEastAsia"/>
              <w:noProof/>
              <w:kern w:val="2"/>
              <w14:ligatures w14:val="standardContextual"/>
            </w:rPr>
          </w:pPr>
          <w:hyperlink w:anchor="_Toc206954661" w:history="1">
            <w:r w:rsidRPr="00887986">
              <w:rPr>
                <w:rStyle w:val="Hyperlink"/>
                <w:rFonts w:ascii="Arial" w:hAnsi="Arial" w:cs="Arial"/>
                <w:noProof/>
              </w:rPr>
              <w:t>The Bottom Line</w:t>
            </w:r>
            <w:r>
              <w:rPr>
                <w:noProof/>
                <w:webHidden/>
              </w:rPr>
              <w:tab/>
            </w:r>
            <w:r>
              <w:rPr>
                <w:noProof/>
                <w:webHidden/>
              </w:rPr>
              <w:fldChar w:fldCharType="begin"/>
            </w:r>
            <w:r>
              <w:rPr>
                <w:noProof/>
                <w:webHidden/>
              </w:rPr>
              <w:instrText xml:space="preserve"> PAGEREF _Toc206954661 \h </w:instrText>
            </w:r>
            <w:r>
              <w:rPr>
                <w:noProof/>
                <w:webHidden/>
              </w:rPr>
            </w:r>
            <w:r>
              <w:rPr>
                <w:noProof/>
                <w:webHidden/>
              </w:rPr>
              <w:fldChar w:fldCharType="separate"/>
            </w:r>
            <w:r>
              <w:rPr>
                <w:noProof/>
                <w:webHidden/>
              </w:rPr>
              <w:t>9</w:t>
            </w:r>
            <w:r>
              <w:rPr>
                <w:noProof/>
                <w:webHidden/>
              </w:rPr>
              <w:fldChar w:fldCharType="end"/>
            </w:r>
          </w:hyperlink>
        </w:p>
        <w:p w14:paraId="0952FA37" w14:textId="304B9769" w:rsidR="005610D4" w:rsidRDefault="005610D4">
          <w:pPr>
            <w:pStyle w:val="TOC1"/>
            <w:tabs>
              <w:tab w:val="right" w:leader="dot" w:pos="9350"/>
            </w:tabs>
            <w:rPr>
              <w:rFonts w:eastAsiaTheme="minorEastAsia"/>
              <w:noProof/>
              <w:kern w:val="2"/>
              <w14:ligatures w14:val="standardContextual"/>
            </w:rPr>
          </w:pPr>
          <w:hyperlink w:anchor="_Toc206954662" w:history="1">
            <w:r w:rsidRPr="00887986">
              <w:rPr>
                <w:rStyle w:val="Hyperlink"/>
                <w:rFonts w:ascii="Arial" w:hAnsi="Arial" w:cs="Arial"/>
                <w:noProof/>
              </w:rPr>
              <w:t>Chapter 1: Market Opportunity Versus Margin Reality</w:t>
            </w:r>
            <w:r>
              <w:rPr>
                <w:noProof/>
                <w:webHidden/>
              </w:rPr>
              <w:tab/>
            </w:r>
            <w:r>
              <w:rPr>
                <w:noProof/>
                <w:webHidden/>
              </w:rPr>
              <w:fldChar w:fldCharType="begin"/>
            </w:r>
            <w:r>
              <w:rPr>
                <w:noProof/>
                <w:webHidden/>
              </w:rPr>
              <w:instrText xml:space="preserve"> PAGEREF _Toc206954662 \h </w:instrText>
            </w:r>
            <w:r>
              <w:rPr>
                <w:noProof/>
                <w:webHidden/>
              </w:rPr>
            </w:r>
            <w:r>
              <w:rPr>
                <w:noProof/>
                <w:webHidden/>
              </w:rPr>
              <w:fldChar w:fldCharType="separate"/>
            </w:r>
            <w:r>
              <w:rPr>
                <w:noProof/>
                <w:webHidden/>
              </w:rPr>
              <w:t>10</w:t>
            </w:r>
            <w:r>
              <w:rPr>
                <w:noProof/>
                <w:webHidden/>
              </w:rPr>
              <w:fldChar w:fldCharType="end"/>
            </w:r>
          </w:hyperlink>
        </w:p>
        <w:p w14:paraId="4F55CC39" w14:textId="147ED11F" w:rsidR="005610D4" w:rsidRDefault="005610D4">
          <w:pPr>
            <w:pStyle w:val="TOC2"/>
            <w:tabs>
              <w:tab w:val="right" w:leader="dot" w:pos="9350"/>
            </w:tabs>
            <w:rPr>
              <w:rFonts w:eastAsiaTheme="minorEastAsia"/>
              <w:noProof/>
              <w:kern w:val="2"/>
              <w14:ligatures w14:val="standardContextual"/>
            </w:rPr>
          </w:pPr>
          <w:hyperlink w:anchor="_Toc206954663" w:history="1">
            <w:r w:rsidRPr="00887986">
              <w:rPr>
                <w:rStyle w:val="Hyperlink"/>
                <w:rFonts w:ascii="Arial" w:hAnsi="Arial" w:cs="Arial"/>
                <w:noProof/>
              </w:rPr>
              <w:t>The Great Decoupling</w:t>
            </w:r>
            <w:r>
              <w:rPr>
                <w:noProof/>
                <w:webHidden/>
              </w:rPr>
              <w:tab/>
            </w:r>
            <w:r>
              <w:rPr>
                <w:noProof/>
                <w:webHidden/>
              </w:rPr>
              <w:fldChar w:fldCharType="begin"/>
            </w:r>
            <w:r>
              <w:rPr>
                <w:noProof/>
                <w:webHidden/>
              </w:rPr>
              <w:instrText xml:space="preserve"> PAGEREF _Toc206954663 \h </w:instrText>
            </w:r>
            <w:r>
              <w:rPr>
                <w:noProof/>
                <w:webHidden/>
              </w:rPr>
            </w:r>
            <w:r>
              <w:rPr>
                <w:noProof/>
                <w:webHidden/>
              </w:rPr>
              <w:fldChar w:fldCharType="separate"/>
            </w:r>
            <w:r>
              <w:rPr>
                <w:noProof/>
                <w:webHidden/>
              </w:rPr>
              <w:t>10</w:t>
            </w:r>
            <w:r>
              <w:rPr>
                <w:noProof/>
                <w:webHidden/>
              </w:rPr>
              <w:fldChar w:fldCharType="end"/>
            </w:r>
          </w:hyperlink>
        </w:p>
        <w:p w14:paraId="2988820C" w14:textId="29A77DDF" w:rsidR="005610D4" w:rsidRDefault="005610D4">
          <w:pPr>
            <w:pStyle w:val="TOC2"/>
            <w:tabs>
              <w:tab w:val="right" w:leader="dot" w:pos="9350"/>
            </w:tabs>
            <w:rPr>
              <w:rFonts w:eastAsiaTheme="minorEastAsia"/>
              <w:noProof/>
              <w:kern w:val="2"/>
              <w14:ligatures w14:val="standardContextual"/>
            </w:rPr>
          </w:pPr>
          <w:hyperlink w:anchor="_Toc206954664" w:history="1">
            <w:r w:rsidRPr="00887986">
              <w:rPr>
                <w:rStyle w:val="Hyperlink"/>
                <w:rFonts w:ascii="Arial" w:hAnsi="Arial" w:cs="Arial"/>
                <w:noProof/>
              </w:rPr>
              <w:t>The Talent Tax</w:t>
            </w:r>
            <w:r>
              <w:rPr>
                <w:noProof/>
                <w:webHidden/>
              </w:rPr>
              <w:tab/>
            </w:r>
            <w:r>
              <w:rPr>
                <w:noProof/>
                <w:webHidden/>
              </w:rPr>
              <w:fldChar w:fldCharType="begin"/>
            </w:r>
            <w:r>
              <w:rPr>
                <w:noProof/>
                <w:webHidden/>
              </w:rPr>
              <w:instrText xml:space="preserve"> PAGEREF _Toc206954664 \h </w:instrText>
            </w:r>
            <w:r>
              <w:rPr>
                <w:noProof/>
                <w:webHidden/>
              </w:rPr>
            </w:r>
            <w:r>
              <w:rPr>
                <w:noProof/>
                <w:webHidden/>
              </w:rPr>
              <w:fldChar w:fldCharType="separate"/>
            </w:r>
            <w:r>
              <w:rPr>
                <w:noProof/>
                <w:webHidden/>
              </w:rPr>
              <w:t>11</w:t>
            </w:r>
            <w:r>
              <w:rPr>
                <w:noProof/>
                <w:webHidden/>
              </w:rPr>
              <w:fldChar w:fldCharType="end"/>
            </w:r>
          </w:hyperlink>
        </w:p>
        <w:p w14:paraId="74F1C9F1" w14:textId="729192E8" w:rsidR="005610D4" w:rsidRDefault="005610D4">
          <w:pPr>
            <w:pStyle w:val="TOC2"/>
            <w:tabs>
              <w:tab w:val="right" w:leader="dot" w:pos="9350"/>
            </w:tabs>
            <w:rPr>
              <w:rFonts w:eastAsiaTheme="minorEastAsia"/>
              <w:noProof/>
              <w:kern w:val="2"/>
              <w14:ligatures w14:val="standardContextual"/>
            </w:rPr>
          </w:pPr>
          <w:hyperlink w:anchor="_Toc206954665" w:history="1">
            <w:r w:rsidRPr="00887986">
              <w:rPr>
                <w:rStyle w:val="Hyperlink"/>
                <w:rFonts w:ascii="Arial" w:hAnsi="Arial" w:cs="Arial"/>
                <w:noProof/>
              </w:rPr>
              <w:t>The Commoditization Trap</w:t>
            </w:r>
            <w:r>
              <w:rPr>
                <w:noProof/>
                <w:webHidden/>
              </w:rPr>
              <w:tab/>
            </w:r>
            <w:r>
              <w:rPr>
                <w:noProof/>
                <w:webHidden/>
              </w:rPr>
              <w:fldChar w:fldCharType="begin"/>
            </w:r>
            <w:r>
              <w:rPr>
                <w:noProof/>
                <w:webHidden/>
              </w:rPr>
              <w:instrText xml:space="preserve"> PAGEREF _Toc206954665 \h </w:instrText>
            </w:r>
            <w:r>
              <w:rPr>
                <w:noProof/>
                <w:webHidden/>
              </w:rPr>
            </w:r>
            <w:r>
              <w:rPr>
                <w:noProof/>
                <w:webHidden/>
              </w:rPr>
              <w:fldChar w:fldCharType="separate"/>
            </w:r>
            <w:r>
              <w:rPr>
                <w:noProof/>
                <w:webHidden/>
              </w:rPr>
              <w:t>11</w:t>
            </w:r>
            <w:r>
              <w:rPr>
                <w:noProof/>
                <w:webHidden/>
              </w:rPr>
              <w:fldChar w:fldCharType="end"/>
            </w:r>
          </w:hyperlink>
        </w:p>
        <w:p w14:paraId="7ADD1C9B" w14:textId="6BE1113A" w:rsidR="005610D4" w:rsidRDefault="005610D4">
          <w:pPr>
            <w:pStyle w:val="TOC2"/>
            <w:tabs>
              <w:tab w:val="right" w:leader="dot" w:pos="9350"/>
            </w:tabs>
            <w:rPr>
              <w:rFonts w:eastAsiaTheme="minorEastAsia"/>
              <w:noProof/>
              <w:kern w:val="2"/>
              <w14:ligatures w14:val="standardContextual"/>
            </w:rPr>
          </w:pPr>
          <w:hyperlink w:anchor="_Toc206954666" w:history="1">
            <w:r w:rsidRPr="00887986">
              <w:rPr>
                <w:rStyle w:val="Hyperlink"/>
                <w:rFonts w:ascii="Arial" w:hAnsi="Arial" w:cs="Arial"/>
                <w:noProof/>
              </w:rPr>
              <w:t>The Consolidation Countdown</w:t>
            </w:r>
            <w:r>
              <w:rPr>
                <w:noProof/>
                <w:webHidden/>
              </w:rPr>
              <w:tab/>
            </w:r>
            <w:r>
              <w:rPr>
                <w:noProof/>
                <w:webHidden/>
              </w:rPr>
              <w:fldChar w:fldCharType="begin"/>
            </w:r>
            <w:r>
              <w:rPr>
                <w:noProof/>
                <w:webHidden/>
              </w:rPr>
              <w:instrText xml:space="preserve"> PAGEREF _Toc206954666 \h </w:instrText>
            </w:r>
            <w:r>
              <w:rPr>
                <w:noProof/>
                <w:webHidden/>
              </w:rPr>
            </w:r>
            <w:r>
              <w:rPr>
                <w:noProof/>
                <w:webHidden/>
              </w:rPr>
              <w:fldChar w:fldCharType="separate"/>
            </w:r>
            <w:r>
              <w:rPr>
                <w:noProof/>
                <w:webHidden/>
              </w:rPr>
              <w:t>12</w:t>
            </w:r>
            <w:r>
              <w:rPr>
                <w:noProof/>
                <w:webHidden/>
              </w:rPr>
              <w:fldChar w:fldCharType="end"/>
            </w:r>
          </w:hyperlink>
        </w:p>
        <w:p w14:paraId="0F9F6278" w14:textId="31940DE0" w:rsidR="005610D4" w:rsidRDefault="005610D4">
          <w:pPr>
            <w:pStyle w:val="TOC2"/>
            <w:tabs>
              <w:tab w:val="right" w:leader="dot" w:pos="9350"/>
            </w:tabs>
            <w:rPr>
              <w:rFonts w:eastAsiaTheme="minorEastAsia"/>
              <w:noProof/>
              <w:kern w:val="2"/>
              <w14:ligatures w14:val="standardContextual"/>
            </w:rPr>
          </w:pPr>
          <w:hyperlink w:anchor="_Toc206954667" w:history="1">
            <w:r w:rsidRPr="00887986">
              <w:rPr>
                <w:rStyle w:val="Hyperlink"/>
                <w:rFonts w:ascii="Arial" w:hAnsi="Arial" w:cs="Arial"/>
                <w:noProof/>
              </w:rPr>
              <w:t>The View from 30,000 Feet</w:t>
            </w:r>
            <w:r>
              <w:rPr>
                <w:noProof/>
                <w:webHidden/>
              </w:rPr>
              <w:tab/>
            </w:r>
            <w:r>
              <w:rPr>
                <w:noProof/>
                <w:webHidden/>
              </w:rPr>
              <w:fldChar w:fldCharType="begin"/>
            </w:r>
            <w:r>
              <w:rPr>
                <w:noProof/>
                <w:webHidden/>
              </w:rPr>
              <w:instrText xml:space="preserve"> PAGEREF _Toc206954667 \h </w:instrText>
            </w:r>
            <w:r>
              <w:rPr>
                <w:noProof/>
                <w:webHidden/>
              </w:rPr>
            </w:r>
            <w:r>
              <w:rPr>
                <w:noProof/>
                <w:webHidden/>
              </w:rPr>
              <w:fldChar w:fldCharType="separate"/>
            </w:r>
            <w:r>
              <w:rPr>
                <w:noProof/>
                <w:webHidden/>
              </w:rPr>
              <w:t>13</w:t>
            </w:r>
            <w:r>
              <w:rPr>
                <w:noProof/>
                <w:webHidden/>
              </w:rPr>
              <w:fldChar w:fldCharType="end"/>
            </w:r>
          </w:hyperlink>
        </w:p>
        <w:p w14:paraId="70914851" w14:textId="4D82B9F4" w:rsidR="005610D4" w:rsidRDefault="005610D4">
          <w:pPr>
            <w:pStyle w:val="TOC1"/>
            <w:tabs>
              <w:tab w:val="right" w:leader="dot" w:pos="9350"/>
            </w:tabs>
            <w:rPr>
              <w:rFonts w:eastAsiaTheme="minorEastAsia"/>
              <w:noProof/>
              <w:kern w:val="2"/>
              <w14:ligatures w14:val="standardContextual"/>
            </w:rPr>
          </w:pPr>
          <w:hyperlink w:anchor="_Toc206954668" w:history="1">
            <w:r w:rsidRPr="00887986">
              <w:rPr>
                <w:rStyle w:val="Hyperlink"/>
                <w:rFonts w:ascii="Arial" w:hAnsi="Arial" w:cs="Arial"/>
                <w:noProof/>
              </w:rPr>
              <w:t>Chapter 2: The Economics of Managed Security</w:t>
            </w:r>
            <w:r>
              <w:rPr>
                <w:noProof/>
                <w:webHidden/>
              </w:rPr>
              <w:tab/>
            </w:r>
            <w:r>
              <w:rPr>
                <w:noProof/>
                <w:webHidden/>
              </w:rPr>
              <w:fldChar w:fldCharType="begin"/>
            </w:r>
            <w:r>
              <w:rPr>
                <w:noProof/>
                <w:webHidden/>
              </w:rPr>
              <w:instrText xml:space="preserve"> PAGEREF _Toc206954668 \h </w:instrText>
            </w:r>
            <w:r>
              <w:rPr>
                <w:noProof/>
                <w:webHidden/>
              </w:rPr>
            </w:r>
            <w:r>
              <w:rPr>
                <w:noProof/>
                <w:webHidden/>
              </w:rPr>
              <w:fldChar w:fldCharType="separate"/>
            </w:r>
            <w:r>
              <w:rPr>
                <w:noProof/>
                <w:webHidden/>
              </w:rPr>
              <w:t>14</w:t>
            </w:r>
            <w:r>
              <w:rPr>
                <w:noProof/>
                <w:webHidden/>
              </w:rPr>
              <w:fldChar w:fldCharType="end"/>
            </w:r>
          </w:hyperlink>
        </w:p>
        <w:p w14:paraId="10904A82" w14:textId="36A267E2" w:rsidR="005610D4" w:rsidRDefault="005610D4">
          <w:pPr>
            <w:pStyle w:val="TOC2"/>
            <w:tabs>
              <w:tab w:val="right" w:leader="dot" w:pos="9350"/>
            </w:tabs>
            <w:rPr>
              <w:rFonts w:eastAsiaTheme="minorEastAsia"/>
              <w:noProof/>
              <w:kern w:val="2"/>
              <w14:ligatures w14:val="standardContextual"/>
            </w:rPr>
          </w:pPr>
          <w:hyperlink w:anchor="_Toc206954669" w:history="1">
            <w:r w:rsidRPr="00887986">
              <w:rPr>
                <w:rStyle w:val="Hyperlink"/>
                <w:rFonts w:ascii="Arial" w:hAnsi="Arial" w:cs="Arial"/>
                <w:noProof/>
              </w:rPr>
              <w:t>The Mathematics of Misery</w:t>
            </w:r>
            <w:r>
              <w:rPr>
                <w:noProof/>
                <w:webHidden/>
              </w:rPr>
              <w:tab/>
            </w:r>
            <w:r>
              <w:rPr>
                <w:noProof/>
                <w:webHidden/>
              </w:rPr>
              <w:fldChar w:fldCharType="begin"/>
            </w:r>
            <w:r>
              <w:rPr>
                <w:noProof/>
                <w:webHidden/>
              </w:rPr>
              <w:instrText xml:space="preserve"> PAGEREF _Toc206954669 \h </w:instrText>
            </w:r>
            <w:r>
              <w:rPr>
                <w:noProof/>
                <w:webHidden/>
              </w:rPr>
            </w:r>
            <w:r>
              <w:rPr>
                <w:noProof/>
                <w:webHidden/>
              </w:rPr>
              <w:fldChar w:fldCharType="separate"/>
            </w:r>
            <w:r>
              <w:rPr>
                <w:noProof/>
                <w:webHidden/>
              </w:rPr>
              <w:t>14</w:t>
            </w:r>
            <w:r>
              <w:rPr>
                <w:noProof/>
                <w:webHidden/>
              </w:rPr>
              <w:fldChar w:fldCharType="end"/>
            </w:r>
          </w:hyperlink>
        </w:p>
        <w:p w14:paraId="0A87131B" w14:textId="0D6E79E9" w:rsidR="005610D4" w:rsidRDefault="005610D4">
          <w:pPr>
            <w:pStyle w:val="TOC2"/>
            <w:tabs>
              <w:tab w:val="right" w:leader="dot" w:pos="9350"/>
            </w:tabs>
            <w:rPr>
              <w:rFonts w:eastAsiaTheme="minorEastAsia"/>
              <w:noProof/>
              <w:kern w:val="2"/>
              <w14:ligatures w14:val="standardContextual"/>
            </w:rPr>
          </w:pPr>
          <w:hyperlink w:anchor="_Toc206954670" w:history="1">
            <w:r w:rsidRPr="00887986">
              <w:rPr>
                <w:rStyle w:val="Hyperlink"/>
                <w:rFonts w:ascii="Arial" w:hAnsi="Arial" w:cs="Arial"/>
                <w:noProof/>
              </w:rPr>
              <w:t>The Commodity Pricing Death Spiral</w:t>
            </w:r>
            <w:r>
              <w:rPr>
                <w:noProof/>
                <w:webHidden/>
              </w:rPr>
              <w:tab/>
            </w:r>
            <w:r>
              <w:rPr>
                <w:noProof/>
                <w:webHidden/>
              </w:rPr>
              <w:fldChar w:fldCharType="begin"/>
            </w:r>
            <w:r>
              <w:rPr>
                <w:noProof/>
                <w:webHidden/>
              </w:rPr>
              <w:instrText xml:space="preserve"> PAGEREF _Toc206954670 \h </w:instrText>
            </w:r>
            <w:r>
              <w:rPr>
                <w:noProof/>
                <w:webHidden/>
              </w:rPr>
            </w:r>
            <w:r>
              <w:rPr>
                <w:noProof/>
                <w:webHidden/>
              </w:rPr>
              <w:fldChar w:fldCharType="separate"/>
            </w:r>
            <w:r>
              <w:rPr>
                <w:noProof/>
                <w:webHidden/>
              </w:rPr>
              <w:t>15</w:t>
            </w:r>
            <w:r>
              <w:rPr>
                <w:noProof/>
                <w:webHidden/>
              </w:rPr>
              <w:fldChar w:fldCharType="end"/>
            </w:r>
          </w:hyperlink>
        </w:p>
        <w:p w14:paraId="7AF496EC" w14:textId="6E00C826" w:rsidR="005610D4" w:rsidRDefault="005610D4">
          <w:pPr>
            <w:pStyle w:val="TOC2"/>
            <w:tabs>
              <w:tab w:val="right" w:leader="dot" w:pos="9350"/>
            </w:tabs>
            <w:rPr>
              <w:rFonts w:eastAsiaTheme="minorEastAsia"/>
              <w:noProof/>
              <w:kern w:val="2"/>
              <w14:ligatures w14:val="standardContextual"/>
            </w:rPr>
          </w:pPr>
          <w:hyperlink w:anchor="_Toc206954671" w:history="1">
            <w:r w:rsidRPr="00887986">
              <w:rPr>
                <w:rStyle w:val="Hyperlink"/>
                <w:rFonts w:ascii="Arial" w:hAnsi="Arial" w:cs="Arial"/>
                <w:noProof/>
              </w:rPr>
              <w:t>The LTV/CAC Catastrophe</w:t>
            </w:r>
            <w:r>
              <w:rPr>
                <w:noProof/>
                <w:webHidden/>
              </w:rPr>
              <w:tab/>
            </w:r>
            <w:r>
              <w:rPr>
                <w:noProof/>
                <w:webHidden/>
              </w:rPr>
              <w:fldChar w:fldCharType="begin"/>
            </w:r>
            <w:r>
              <w:rPr>
                <w:noProof/>
                <w:webHidden/>
              </w:rPr>
              <w:instrText xml:space="preserve"> PAGEREF _Toc206954671 \h </w:instrText>
            </w:r>
            <w:r>
              <w:rPr>
                <w:noProof/>
                <w:webHidden/>
              </w:rPr>
            </w:r>
            <w:r>
              <w:rPr>
                <w:noProof/>
                <w:webHidden/>
              </w:rPr>
              <w:fldChar w:fldCharType="separate"/>
            </w:r>
            <w:r>
              <w:rPr>
                <w:noProof/>
                <w:webHidden/>
              </w:rPr>
              <w:t>15</w:t>
            </w:r>
            <w:r>
              <w:rPr>
                <w:noProof/>
                <w:webHidden/>
              </w:rPr>
              <w:fldChar w:fldCharType="end"/>
            </w:r>
          </w:hyperlink>
        </w:p>
        <w:p w14:paraId="144ECAB5" w14:textId="5E839356" w:rsidR="005610D4" w:rsidRDefault="005610D4">
          <w:pPr>
            <w:pStyle w:val="TOC2"/>
            <w:tabs>
              <w:tab w:val="right" w:leader="dot" w:pos="9350"/>
            </w:tabs>
            <w:rPr>
              <w:rFonts w:eastAsiaTheme="minorEastAsia"/>
              <w:noProof/>
              <w:kern w:val="2"/>
              <w14:ligatures w14:val="standardContextual"/>
            </w:rPr>
          </w:pPr>
          <w:hyperlink w:anchor="_Toc206954672" w:history="1">
            <w:r w:rsidRPr="00887986">
              <w:rPr>
                <w:rStyle w:val="Hyperlink"/>
                <w:rFonts w:ascii="Arial" w:hAnsi="Arial" w:cs="Arial"/>
                <w:noProof/>
              </w:rPr>
              <w:t>The Platform Paradox</w:t>
            </w:r>
            <w:r>
              <w:rPr>
                <w:noProof/>
                <w:webHidden/>
              </w:rPr>
              <w:tab/>
            </w:r>
            <w:r>
              <w:rPr>
                <w:noProof/>
                <w:webHidden/>
              </w:rPr>
              <w:fldChar w:fldCharType="begin"/>
            </w:r>
            <w:r>
              <w:rPr>
                <w:noProof/>
                <w:webHidden/>
              </w:rPr>
              <w:instrText xml:space="preserve"> PAGEREF _Toc206954672 \h </w:instrText>
            </w:r>
            <w:r>
              <w:rPr>
                <w:noProof/>
                <w:webHidden/>
              </w:rPr>
            </w:r>
            <w:r>
              <w:rPr>
                <w:noProof/>
                <w:webHidden/>
              </w:rPr>
              <w:fldChar w:fldCharType="separate"/>
            </w:r>
            <w:r>
              <w:rPr>
                <w:noProof/>
                <w:webHidden/>
              </w:rPr>
              <w:t>16</w:t>
            </w:r>
            <w:r>
              <w:rPr>
                <w:noProof/>
                <w:webHidden/>
              </w:rPr>
              <w:fldChar w:fldCharType="end"/>
            </w:r>
          </w:hyperlink>
        </w:p>
        <w:p w14:paraId="2DC335AE" w14:textId="4CBA1AE0" w:rsidR="005610D4" w:rsidRDefault="005610D4">
          <w:pPr>
            <w:pStyle w:val="TOC2"/>
            <w:tabs>
              <w:tab w:val="right" w:leader="dot" w:pos="9350"/>
            </w:tabs>
            <w:rPr>
              <w:rFonts w:eastAsiaTheme="minorEastAsia"/>
              <w:noProof/>
              <w:kern w:val="2"/>
              <w14:ligatures w14:val="standardContextual"/>
            </w:rPr>
          </w:pPr>
          <w:hyperlink w:anchor="_Toc206954673" w:history="1">
            <w:r w:rsidRPr="00887986">
              <w:rPr>
                <w:rStyle w:val="Hyperlink"/>
                <w:rFonts w:ascii="Arial" w:hAnsi="Arial" w:cs="Arial"/>
                <w:noProof/>
              </w:rPr>
              <w:t>The Automation Mirage</w:t>
            </w:r>
            <w:r>
              <w:rPr>
                <w:noProof/>
                <w:webHidden/>
              </w:rPr>
              <w:tab/>
            </w:r>
            <w:r>
              <w:rPr>
                <w:noProof/>
                <w:webHidden/>
              </w:rPr>
              <w:fldChar w:fldCharType="begin"/>
            </w:r>
            <w:r>
              <w:rPr>
                <w:noProof/>
                <w:webHidden/>
              </w:rPr>
              <w:instrText xml:space="preserve"> PAGEREF _Toc206954673 \h </w:instrText>
            </w:r>
            <w:r>
              <w:rPr>
                <w:noProof/>
                <w:webHidden/>
              </w:rPr>
            </w:r>
            <w:r>
              <w:rPr>
                <w:noProof/>
                <w:webHidden/>
              </w:rPr>
              <w:fldChar w:fldCharType="separate"/>
            </w:r>
            <w:r>
              <w:rPr>
                <w:noProof/>
                <w:webHidden/>
              </w:rPr>
              <w:t>16</w:t>
            </w:r>
            <w:r>
              <w:rPr>
                <w:noProof/>
                <w:webHidden/>
              </w:rPr>
              <w:fldChar w:fldCharType="end"/>
            </w:r>
          </w:hyperlink>
        </w:p>
        <w:p w14:paraId="34EF2955" w14:textId="6A2401A1" w:rsidR="005610D4" w:rsidRDefault="005610D4">
          <w:pPr>
            <w:pStyle w:val="TOC2"/>
            <w:tabs>
              <w:tab w:val="right" w:leader="dot" w:pos="9350"/>
            </w:tabs>
            <w:rPr>
              <w:rFonts w:eastAsiaTheme="minorEastAsia"/>
              <w:noProof/>
              <w:kern w:val="2"/>
              <w14:ligatures w14:val="standardContextual"/>
            </w:rPr>
          </w:pPr>
          <w:hyperlink w:anchor="_Toc206954674" w:history="1">
            <w:r w:rsidRPr="00887986">
              <w:rPr>
                <w:rStyle w:val="Hyperlink"/>
                <w:rFonts w:ascii="Arial" w:hAnsi="Arial" w:cs="Arial"/>
                <w:noProof/>
              </w:rPr>
              <w:t>The Path Through Purgatory</w:t>
            </w:r>
            <w:r>
              <w:rPr>
                <w:noProof/>
                <w:webHidden/>
              </w:rPr>
              <w:tab/>
            </w:r>
            <w:r>
              <w:rPr>
                <w:noProof/>
                <w:webHidden/>
              </w:rPr>
              <w:fldChar w:fldCharType="begin"/>
            </w:r>
            <w:r>
              <w:rPr>
                <w:noProof/>
                <w:webHidden/>
              </w:rPr>
              <w:instrText xml:space="preserve"> PAGEREF _Toc206954674 \h </w:instrText>
            </w:r>
            <w:r>
              <w:rPr>
                <w:noProof/>
                <w:webHidden/>
              </w:rPr>
            </w:r>
            <w:r>
              <w:rPr>
                <w:noProof/>
                <w:webHidden/>
              </w:rPr>
              <w:fldChar w:fldCharType="separate"/>
            </w:r>
            <w:r>
              <w:rPr>
                <w:noProof/>
                <w:webHidden/>
              </w:rPr>
              <w:t>17</w:t>
            </w:r>
            <w:r>
              <w:rPr>
                <w:noProof/>
                <w:webHidden/>
              </w:rPr>
              <w:fldChar w:fldCharType="end"/>
            </w:r>
          </w:hyperlink>
        </w:p>
        <w:p w14:paraId="5611628A" w14:textId="23A249C5" w:rsidR="005610D4" w:rsidRDefault="005610D4">
          <w:pPr>
            <w:pStyle w:val="TOC2"/>
            <w:tabs>
              <w:tab w:val="right" w:leader="dot" w:pos="9350"/>
            </w:tabs>
            <w:rPr>
              <w:rFonts w:eastAsiaTheme="minorEastAsia"/>
              <w:noProof/>
              <w:kern w:val="2"/>
              <w14:ligatures w14:val="standardContextual"/>
            </w:rPr>
          </w:pPr>
          <w:hyperlink w:anchor="_Toc206954675" w:history="1">
            <w:r w:rsidRPr="00887986">
              <w:rPr>
                <w:rStyle w:val="Hyperlink"/>
                <w:rFonts w:ascii="Arial" w:hAnsi="Arial" w:cs="Arial"/>
                <w:noProof/>
              </w:rPr>
              <w:t>The Reckoning Approaches</w:t>
            </w:r>
            <w:r>
              <w:rPr>
                <w:noProof/>
                <w:webHidden/>
              </w:rPr>
              <w:tab/>
            </w:r>
            <w:r>
              <w:rPr>
                <w:noProof/>
                <w:webHidden/>
              </w:rPr>
              <w:fldChar w:fldCharType="begin"/>
            </w:r>
            <w:r>
              <w:rPr>
                <w:noProof/>
                <w:webHidden/>
              </w:rPr>
              <w:instrText xml:space="preserve"> PAGEREF _Toc206954675 \h </w:instrText>
            </w:r>
            <w:r>
              <w:rPr>
                <w:noProof/>
                <w:webHidden/>
              </w:rPr>
            </w:r>
            <w:r>
              <w:rPr>
                <w:noProof/>
                <w:webHidden/>
              </w:rPr>
              <w:fldChar w:fldCharType="separate"/>
            </w:r>
            <w:r>
              <w:rPr>
                <w:noProof/>
                <w:webHidden/>
              </w:rPr>
              <w:t>17</w:t>
            </w:r>
            <w:r>
              <w:rPr>
                <w:noProof/>
                <w:webHidden/>
              </w:rPr>
              <w:fldChar w:fldCharType="end"/>
            </w:r>
          </w:hyperlink>
        </w:p>
        <w:p w14:paraId="73FE3EF7" w14:textId="00DAC147" w:rsidR="005610D4" w:rsidRDefault="005610D4">
          <w:pPr>
            <w:pStyle w:val="TOC1"/>
            <w:tabs>
              <w:tab w:val="right" w:leader="dot" w:pos="9350"/>
            </w:tabs>
            <w:rPr>
              <w:rFonts w:eastAsiaTheme="minorEastAsia"/>
              <w:noProof/>
              <w:kern w:val="2"/>
              <w14:ligatures w14:val="standardContextual"/>
            </w:rPr>
          </w:pPr>
          <w:hyperlink w:anchor="_Toc206954676" w:history="1">
            <w:r w:rsidRPr="00887986">
              <w:rPr>
                <w:rStyle w:val="Hyperlink"/>
                <w:rFonts w:ascii="Arial" w:hAnsi="Arial" w:cs="Arial"/>
                <w:noProof/>
              </w:rPr>
              <w:t>Chapter 3: Operational Inefficiencies at Scale</w:t>
            </w:r>
            <w:r>
              <w:rPr>
                <w:noProof/>
                <w:webHidden/>
              </w:rPr>
              <w:tab/>
            </w:r>
            <w:r>
              <w:rPr>
                <w:noProof/>
                <w:webHidden/>
              </w:rPr>
              <w:fldChar w:fldCharType="begin"/>
            </w:r>
            <w:r>
              <w:rPr>
                <w:noProof/>
                <w:webHidden/>
              </w:rPr>
              <w:instrText xml:space="preserve"> PAGEREF _Toc206954676 \h </w:instrText>
            </w:r>
            <w:r>
              <w:rPr>
                <w:noProof/>
                <w:webHidden/>
              </w:rPr>
            </w:r>
            <w:r>
              <w:rPr>
                <w:noProof/>
                <w:webHidden/>
              </w:rPr>
              <w:fldChar w:fldCharType="separate"/>
            </w:r>
            <w:r>
              <w:rPr>
                <w:noProof/>
                <w:webHidden/>
              </w:rPr>
              <w:t>19</w:t>
            </w:r>
            <w:r>
              <w:rPr>
                <w:noProof/>
                <w:webHidden/>
              </w:rPr>
              <w:fldChar w:fldCharType="end"/>
            </w:r>
          </w:hyperlink>
        </w:p>
        <w:p w14:paraId="7BC28D14" w14:textId="12A684AB" w:rsidR="005610D4" w:rsidRDefault="005610D4">
          <w:pPr>
            <w:pStyle w:val="TOC2"/>
            <w:tabs>
              <w:tab w:val="right" w:leader="dot" w:pos="9350"/>
            </w:tabs>
            <w:rPr>
              <w:rFonts w:eastAsiaTheme="minorEastAsia"/>
              <w:noProof/>
              <w:kern w:val="2"/>
              <w14:ligatures w14:val="standardContextual"/>
            </w:rPr>
          </w:pPr>
          <w:hyperlink w:anchor="_Toc206954677" w:history="1">
            <w:r w:rsidRPr="00887986">
              <w:rPr>
                <w:rStyle w:val="Hyperlink"/>
                <w:rFonts w:ascii="Arial" w:hAnsi="Arial" w:cs="Arial"/>
                <w:noProof/>
              </w:rPr>
              <w:t>The False Positive Factory</w:t>
            </w:r>
            <w:r>
              <w:rPr>
                <w:noProof/>
                <w:webHidden/>
              </w:rPr>
              <w:tab/>
            </w:r>
            <w:r>
              <w:rPr>
                <w:noProof/>
                <w:webHidden/>
              </w:rPr>
              <w:fldChar w:fldCharType="begin"/>
            </w:r>
            <w:r>
              <w:rPr>
                <w:noProof/>
                <w:webHidden/>
              </w:rPr>
              <w:instrText xml:space="preserve"> PAGEREF _Toc206954677 \h </w:instrText>
            </w:r>
            <w:r>
              <w:rPr>
                <w:noProof/>
                <w:webHidden/>
              </w:rPr>
            </w:r>
            <w:r>
              <w:rPr>
                <w:noProof/>
                <w:webHidden/>
              </w:rPr>
              <w:fldChar w:fldCharType="separate"/>
            </w:r>
            <w:r>
              <w:rPr>
                <w:noProof/>
                <w:webHidden/>
              </w:rPr>
              <w:t>19</w:t>
            </w:r>
            <w:r>
              <w:rPr>
                <w:noProof/>
                <w:webHidden/>
              </w:rPr>
              <w:fldChar w:fldCharType="end"/>
            </w:r>
          </w:hyperlink>
        </w:p>
        <w:p w14:paraId="71AB2223" w14:textId="397F3FA6" w:rsidR="005610D4" w:rsidRDefault="005610D4">
          <w:pPr>
            <w:pStyle w:val="TOC2"/>
            <w:tabs>
              <w:tab w:val="right" w:leader="dot" w:pos="9350"/>
            </w:tabs>
            <w:rPr>
              <w:rFonts w:eastAsiaTheme="minorEastAsia"/>
              <w:noProof/>
              <w:kern w:val="2"/>
              <w14:ligatures w14:val="standardContextual"/>
            </w:rPr>
          </w:pPr>
          <w:hyperlink w:anchor="_Toc206954678" w:history="1">
            <w:r w:rsidRPr="00887986">
              <w:rPr>
                <w:rStyle w:val="Hyperlink"/>
                <w:rFonts w:ascii="Arial" w:hAnsi="Arial" w:cs="Arial"/>
                <w:noProof/>
              </w:rPr>
              <w:t>The Vendor Proliferation Plague</w:t>
            </w:r>
            <w:r>
              <w:rPr>
                <w:noProof/>
                <w:webHidden/>
              </w:rPr>
              <w:tab/>
            </w:r>
            <w:r>
              <w:rPr>
                <w:noProof/>
                <w:webHidden/>
              </w:rPr>
              <w:fldChar w:fldCharType="begin"/>
            </w:r>
            <w:r>
              <w:rPr>
                <w:noProof/>
                <w:webHidden/>
              </w:rPr>
              <w:instrText xml:space="preserve"> PAGEREF _Toc206954678 \h </w:instrText>
            </w:r>
            <w:r>
              <w:rPr>
                <w:noProof/>
                <w:webHidden/>
              </w:rPr>
            </w:r>
            <w:r>
              <w:rPr>
                <w:noProof/>
                <w:webHidden/>
              </w:rPr>
              <w:fldChar w:fldCharType="separate"/>
            </w:r>
            <w:r>
              <w:rPr>
                <w:noProof/>
                <w:webHidden/>
              </w:rPr>
              <w:t>20</w:t>
            </w:r>
            <w:r>
              <w:rPr>
                <w:noProof/>
                <w:webHidden/>
              </w:rPr>
              <w:fldChar w:fldCharType="end"/>
            </w:r>
          </w:hyperlink>
        </w:p>
        <w:p w14:paraId="4D498BE1" w14:textId="29D6DA38" w:rsidR="005610D4" w:rsidRDefault="005610D4">
          <w:pPr>
            <w:pStyle w:val="TOC2"/>
            <w:tabs>
              <w:tab w:val="right" w:leader="dot" w:pos="9350"/>
            </w:tabs>
            <w:rPr>
              <w:rFonts w:eastAsiaTheme="minorEastAsia"/>
              <w:noProof/>
              <w:kern w:val="2"/>
              <w14:ligatures w14:val="standardContextual"/>
            </w:rPr>
          </w:pPr>
          <w:hyperlink w:anchor="_Toc206954679" w:history="1">
            <w:r w:rsidRPr="00887986">
              <w:rPr>
                <w:rStyle w:val="Hyperlink"/>
                <w:rFonts w:ascii="Arial" w:hAnsi="Arial" w:cs="Arial"/>
                <w:noProof/>
              </w:rPr>
              <w:t>The Five-Team Paradox</w:t>
            </w:r>
            <w:r>
              <w:rPr>
                <w:noProof/>
                <w:webHidden/>
              </w:rPr>
              <w:tab/>
            </w:r>
            <w:r>
              <w:rPr>
                <w:noProof/>
                <w:webHidden/>
              </w:rPr>
              <w:fldChar w:fldCharType="begin"/>
            </w:r>
            <w:r>
              <w:rPr>
                <w:noProof/>
                <w:webHidden/>
              </w:rPr>
              <w:instrText xml:space="preserve"> PAGEREF _Toc206954679 \h </w:instrText>
            </w:r>
            <w:r>
              <w:rPr>
                <w:noProof/>
                <w:webHidden/>
              </w:rPr>
            </w:r>
            <w:r>
              <w:rPr>
                <w:noProof/>
                <w:webHidden/>
              </w:rPr>
              <w:fldChar w:fldCharType="separate"/>
            </w:r>
            <w:r>
              <w:rPr>
                <w:noProof/>
                <w:webHidden/>
              </w:rPr>
              <w:t>20</w:t>
            </w:r>
            <w:r>
              <w:rPr>
                <w:noProof/>
                <w:webHidden/>
              </w:rPr>
              <w:fldChar w:fldCharType="end"/>
            </w:r>
          </w:hyperlink>
        </w:p>
        <w:p w14:paraId="198817A0" w14:textId="327E07FA" w:rsidR="005610D4" w:rsidRDefault="005610D4">
          <w:pPr>
            <w:pStyle w:val="TOC2"/>
            <w:tabs>
              <w:tab w:val="right" w:leader="dot" w:pos="9350"/>
            </w:tabs>
            <w:rPr>
              <w:rFonts w:eastAsiaTheme="minorEastAsia"/>
              <w:noProof/>
              <w:kern w:val="2"/>
              <w14:ligatures w14:val="standardContextual"/>
            </w:rPr>
          </w:pPr>
          <w:hyperlink w:anchor="_Toc206954680" w:history="1">
            <w:r w:rsidRPr="00887986">
              <w:rPr>
                <w:rStyle w:val="Hyperlink"/>
                <w:rFonts w:ascii="Arial" w:hAnsi="Arial" w:cs="Arial"/>
                <w:noProof/>
              </w:rPr>
              <w:t>The Alert Fatigue Epidemic</w:t>
            </w:r>
            <w:r>
              <w:rPr>
                <w:noProof/>
                <w:webHidden/>
              </w:rPr>
              <w:tab/>
            </w:r>
            <w:r>
              <w:rPr>
                <w:noProof/>
                <w:webHidden/>
              </w:rPr>
              <w:fldChar w:fldCharType="begin"/>
            </w:r>
            <w:r>
              <w:rPr>
                <w:noProof/>
                <w:webHidden/>
              </w:rPr>
              <w:instrText xml:space="preserve"> PAGEREF _Toc206954680 \h </w:instrText>
            </w:r>
            <w:r>
              <w:rPr>
                <w:noProof/>
                <w:webHidden/>
              </w:rPr>
            </w:r>
            <w:r>
              <w:rPr>
                <w:noProof/>
                <w:webHidden/>
              </w:rPr>
              <w:fldChar w:fldCharType="separate"/>
            </w:r>
            <w:r>
              <w:rPr>
                <w:noProof/>
                <w:webHidden/>
              </w:rPr>
              <w:t>21</w:t>
            </w:r>
            <w:r>
              <w:rPr>
                <w:noProof/>
                <w:webHidden/>
              </w:rPr>
              <w:fldChar w:fldCharType="end"/>
            </w:r>
          </w:hyperlink>
        </w:p>
        <w:p w14:paraId="14FF0349" w14:textId="5E7FA7A6" w:rsidR="005610D4" w:rsidRDefault="005610D4">
          <w:pPr>
            <w:pStyle w:val="TOC2"/>
            <w:tabs>
              <w:tab w:val="right" w:leader="dot" w:pos="9350"/>
            </w:tabs>
            <w:rPr>
              <w:rFonts w:eastAsiaTheme="minorEastAsia"/>
              <w:noProof/>
              <w:kern w:val="2"/>
              <w14:ligatures w14:val="standardContextual"/>
            </w:rPr>
          </w:pPr>
          <w:hyperlink w:anchor="_Toc206954681" w:history="1">
            <w:r w:rsidRPr="00887986">
              <w:rPr>
                <w:rStyle w:val="Hyperlink"/>
                <w:rFonts w:ascii="Arial" w:hAnsi="Arial" w:cs="Arial"/>
                <w:noProof/>
              </w:rPr>
              <w:t>The Integration Impossibility</w:t>
            </w:r>
            <w:r>
              <w:rPr>
                <w:noProof/>
                <w:webHidden/>
              </w:rPr>
              <w:tab/>
            </w:r>
            <w:r>
              <w:rPr>
                <w:noProof/>
                <w:webHidden/>
              </w:rPr>
              <w:fldChar w:fldCharType="begin"/>
            </w:r>
            <w:r>
              <w:rPr>
                <w:noProof/>
                <w:webHidden/>
              </w:rPr>
              <w:instrText xml:space="preserve"> PAGEREF _Toc206954681 \h </w:instrText>
            </w:r>
            <w:r>
              <w:rPr>
                <w:noProof/>
                <w:webHidden/>
              </w:rPr>
            </w:r>
            <w:r>
              <w:rPr>
                <w:noProof/>
                <w:webHidden/>
              </w:rPr>
              <w:fldChar w:fldCharType="separate"/>
            </w:r>
            <w:r>
              <w:rPr>
                <w:noProof/>
                <w:webHidden/>
              </w:rPr>
              <w:t>22</w:t>
            </w:r>
            <w:r>
              <w:rPr>
                <w:noProof/>
                <w:webHidden/>
              </w:rPr>
              <w:fldChar w:fldCharType="end"/>
            </w:r>
          </w:hyperlink>
        </w:p>
        <w:p w14:paraId="162DB6CD" w14:textId="1ECAA15E" w:rsidR="005610D4" w:rsidRDefault="005610D4">
          <w:pPr>
            <w:pStyle w:val="TOC2"/>
            <w:tabs>
              <w:tab w:val="right" w:leader="dot" w:pos="9350"/>
            </w:tabs>
            <w:rPr>
              <w:rFonts w:eastAsiaTheme="minorEastAsia"/>
              <w:noProof/>
              <w:kern w:val="2"/>
              <w14:ligatures w14:val="standardContextual"/>
            </w:rPr>
          </w:pPr>
          <w:hyperlink w:anchor="_Toc206954682" w:history="1">
            <w:r w:rsidRPr="00887986">
              <w:rPr>
                <w:rStyle w:val="Hyperlink"/>
                <w:rFonts w:ascii="Arial" w:hAnsi="Arial" w:cs="Arial"/>
                <w:noProof/>
              </w:rPr>
              <w:t>The Standardization Struggle</w:t>
            </w:r>
            <w:r>
              <w:rPr>
                <w:noProof/>
                <w:webHidden/>
              </w:rPr>
              <w:tab/>
            </w:r>
            <w:r>
              <w:rPr>
                <w:noProof/>
                <w:webHidden/>
              </w:rPr>
              <w:fldChar w:fldCharType="begin"/>
            </w:r>
            <w:r>
              <w:rPr>
                <w:noProof/>
                <w:webHidden/>
              </w:rPr>
              <w:instrText xml:space="preserve"> PAGEREF _Toc206954682 \h </w:instrText>
            </w:r>
            <w:r>
              <w:rPr>
                <w:noProof/>
                <w:webHidden/>
              </w:rPr>
            </w:r>
            <w:r>
              <w:rPr>
                <w:noProof/>
                <w:webHidden/>
              </w:rPr>
              <w:fldChar w:fldCharType="separate"/>
            </w:r>
            <w:r>
              <w:rPr>
                <w:noProof/>
                <w:webHidden/>
              </w:rPr>
              <w:t>22</w:t>
            </w:r>
            <w:r>
              <w:rPr>
                <w:noProof/>
                <w:webHidden/>
              </w:rPr>
              <w:fldChar w:fldCharType="end"/>
            </w:r>
          </w:hyperlink>
        </w:p>
        <w:p w14:paraId="72CAA18C" w14:textId="5762837B" w:rsidR="005610D4" w:rsidRDefault="005610D4">
          <w:pPr>
            <w:pStyle w:val="TOC2"/>
            <w:tabs>
              <w:tab w:val="right" w:leader="dot" w:pos="9350"/>
            </w:tabs>
            <w:rPr>
              <w:rFonts w:eastAsiaTheme="minorEastAsia"/>
              <w:noProof/>
              <w:kern w:val="2"/>
              <w14:ligatures w14:val="standardContextual"/>
            </w:rPr>
          </w:pPr>
          <w:hyperlink w:anchor="_Toc206954683" w:history="1">
            <w:r w:rsidRPr="00887986">
              <w:rPr>
                <w:rStyle w:val="Hyperlink"/>
                <w:rFonts w:ascii="Arial" w:hAnsi="Arial" w:cs="Arial"/>
                <w:noProof/>
              </w:rPr>
              <w:t>The Path to Operational Excellence</w:t>
            </w:r>
            <w:r>
              <w:rPr>
                <w:noProof/>
                <w:webHidden/>
              </w:rPr>
              <w:tab/>
            </w:r>
            <w:r>
              <w:rPr>
                <w:noProof/>
                <w:webHidden/>
              </w:rPr>
              <w:fldChar w:fldCharType="begin"/>
            </w:r>
            <w:r>
              <w:rPr>
                <w:noProof/>
                <w:webHidden/>
              </w:rPr>
              <w:instrText xml:space="preserve"> PAGEREF _Toc206954683 \h </w:instrText>
            </w:r>
            <w:r>
              <w:rPr>
                <w:noProof/>
                <w:webHidden/>
              </w:rPr>
            </w:r>
            <w:r>
              <w:rPr>
                <w:noProof/>
                <w:webHidden/>
              </w:rPr>
              <w:fldChar w:fldCharType="separate"/>
            </w:r>
            <w:r>
              <w:rPr>
                <w:noProof/>
                <w:webHidden/>
              </w:rPr>
              <w:t>23</w:t>
            </w:r>
            <w:r>
              <w:rPr>
                <w:noProof/>
                <w:webHidden/>
              </w:rPr>
              <w:fldChar w:fldCharType="end"/>
            </w:r>
          </w:hyperlink>
        </w:p>
        <w:p w14:paraId="62A47836" w14:textId="2D8031E3" w:rsidR="005610D4" w:rsidRDefault="005610D4">
          <w:pPr>
            <w:pStyle w:val="TOC1"/>
            <w:tabs>
              <w:tab w:val="right" w:leader="dot" w:pos="9350"/>
            </w:tabs>
            <w:rPr>
              <w:rFonts w:eastAsiaTheme="minorEastAsia"/>
              <w:noProof/>
              <w:kern w:val="2"/>
              <w14:ligatures w14:val="standardContextual"/>
            </w:rPr>
          </w:pPr>
          <w:hyperlink w:anchor="_Toc206954684" w:history="1">
            <w:r w:rsidRPr="00887986">
              <w:rPr>
                <w:rStyle w:val="Hyperlink"/>
                <w:rFonts w:ascii="Arial" w:hAnsi="Arial" w:cs="Arial"/>
                <w:noProof/>
              </w:rPr>
              <w:t>Chapter 4: The Talent War’s Hidden Costs</w:t>
            </w:r>
            <w:r>
              <w:rPr>
                <w:noProof/>
                <w:webHidden/>
              </w:rPr>
              <w:tab/>
            </w:r>
            <w:r>
              <w:rPr>
                <w:noProof/>
                <w:webHidden/>
              </w:rPr>
              <w:fldChar w:fldCharType="begin"/>
            </w:r>
            <w:r>
              <w:rPr>
                <w:noProof/>
                <w:webHidden/>
              </w:rPr>
              <w:instrText xml:space="preserve"> PAGEREF _Toc206954684 \h </w:instrText>
            </w:r>
            <w:r>
              <w:rPr>
                <w:noProof/>
                <w:webHidden/>
              </w:rPr>
            </w:r>
            <w:r>
              <w:rPr>
                <w:noProof/>
                <w:webHidden/>
              </w:rPr>
              <w:fldChar w:fldCharType="separate"/>
            </w:r>
            <w:r>
              <w:rPr>
                <w:noProof/>
                <w:webHidden/>
              </w:rPr>
              <w:t>24</w:t>
            </w:r>
            <w:r>
              <w:rPr>
                <w:noProof/>
                <w:webHidden/>
              </w:rPr>
              <w:fldChar w:fldCharType="end"/>
            </w:r>
          </w:hyperlink>
        </w:p>
        <w:p w14:paraId="5AA48F4D" w14:textId="5D599BD5" w:rsidR="005610D4" w:rsidRDefault="005610D4">
          <w:pPr>
            <w:pStyle w:val="TOC2"/>
            <w:tabs>
              <w:tab w:val="right" w:leader="dot" w:pos="9350"/>
            </w:tabs>
            <w:rPr>
              <w:rFonts w:eastAsiaTheme="minorEastAsia"/>
              <w:noProof/>
              <w:kern w:val="2"/>
              <w14:ligatures w14:val="standardContextual"/>
            </w:rPr>
          </w:pPr>
          <w:hyperlink w:anchor="_Toc206954685" w:history="1">
            <w:r w:rsidRPr="00887986">
              <w:rPr>
                <w:rStyle w:val="Hyperlink"/>
                <w:rFonts w:ascii="Arial" w:hAnsi="Arial" w:cs="Arial"/>
                <w:noProof/>
              </w:rPr>
              <w:t>The $133,000 Question</w:t>
            </w:r>
            <w:r>
              <w:rPr>
                <w:noProof/>
                <w:webHidden/>
              </w:rPr>
              <w:tab/>
            </w:r>
            <w:r>
              <w:rPr>
                <w:noProof/>
                <w:webHidden/>
              </w:rPr>
              <w:fldChar w:fldCharType="begin"/>
            </w:r>
            <w:r>
              <w:rPr>
                <w:noProof/>
                <w:webHidden/>
              </w:rPr>
              <w:instrText xml:space="preserve"> PAGEREF _Toc206954685 \h </w:instrText>
            </w:r>
            <w:r>
              <w:rPr>
                <w:noProof/>
                <w:webHidden/>
              </w:rPr>
            </w:r>
            <w:r>
              <w:rPr>
                <w:noProof/>
                <w:webHidden/>
              </w:rPr>
              <w:fldChar w:fldCharType="separate"/>
            </w:r>
            <w:r>
              <w:rPr>
                <w:noProof/>
                <w:webHidden/>
              </w:rPr>
              <w:t>24</w:t>
            </w:r>
            <w:r>
              <w:rPr>
                <w:noProof/>
                <w:webHidden/>
              </w:rPr>
              <w:fldChar w:fldCharType="end"/>
            </w:r>
          </w:hyperlink>
        </w:p>
        <w:p w14:paraId="761A5516" w14:textId="3B5A0C3C" w:rsidR="005610D4" w:rsidRDefault="005610D4">
          <w:pPr>
            <w:pStyle w:val="TOC2"/>
            <w:tabs>
              <w:tab w:val="right" w:leader="dot" w:pos="9350"/>
            </w:tabs>
            <w:rPr>
              <w:rFonts w:eastAsiaTheme="minorEastAsia"/>
              <w:noProof/>
              <w:kern w:val="2"/>
              <w14:ligatures w14:val="standardContextual"/>
            </w:rPr>
          </w:pPr>
          <w:hyperlink w:anchor="_Toc206954686" w:history="1">
            <w:r w:rsidRPr="00887986">
              <w:rPr>
                <w:rStyle w:val="Hyperlink"/>
                <w:rFonts w:ascii="Arial" w:hAnsi="Arial" w:cs="Arial"/>
                <w:noProof/>
              </w:rPr>
              <w:t>The Training Treadmill</w:t>
            </w:r>
            <w:r>
              <w:rPr>
                <w:noProof/>
                <w:webHidden/>
              </w:rPr>
              <w:tab/>
            </w:r>
            <w:r>
              <w:rPr>
                <w:noProof/>
                <w:webHidden/>
              </w:rPr>
              <w:fldChar w:fldCharType="begin"/>
            </w:r>
            <w:r>
              <w:rPr>
                <w:noProof/>
                <w:webHidden/>
              </w:rPr>
              <w:instrText xml:space="preserve"> PAGEREF _Toc206954686 \h </w:instrText>
            </w:r>
            <w:r>
              <w:rPr>
                <w:noProof/>
                <w:webHidden/>
              </w:rPr>
            </w:r>
            <w:r>
              <w:rPr>
                <w:noProof/>
                <w:webHidden/>
              </w:rPr>
              <w:fldChar w:fldCharType="separate"/>
            </w:r>
            <w:r>
              <w:rPr>
                <w:noProof/>
                <w:webHidden/>
              </w:rPr>
              <w:t>25</w:t>
            </w:r>
            <w:r>
              <w:rPr>
                <w:noProof/>
                <w:webHidden/>
              </w:rPr>
              <w:fldChar w:fldCharType="end"/>
            </w:r>
          </w:hyperlink>
        </w:p>
        <w:p w14:paraId="6B3F1E35" w14:textId="38544879" w:rsidR="005610D4" w:rsidRDefault="005610D4">
          <w:pPr>
            <w:pStyle w:val="TOC2"/>
            <w:tabs>
              <w:tab w:val="right" w:leader="dot" w:pos="9350"/>
            </w:tabs>
            <w:rPr>
              <w:rFonts w:eastAsiaTheme="minorEastAsia"/>
              <w:noProof/>
              <w:kern w:val="2"/>
              <w14:ligatures w14:val="standardContextual"/>
            </w:rPr>
          </w:pPr>
          <w:hyperlink w:anchor="_Toc206954687" w:history="1">
            <w:r w:rsidRPr="00887986">
              <w:rPr>
                <w:rStyle w:val="Hyperlink"/>
                <w:rFonts w:ascii="Arial" w:hAnsi="Arial" w:cs="Arial"/>
                <w:noProof/>
              </w:rPr>
              <w:t>The Fortune 500 Problem</w:t>
            </w:r>
            <w:r>
              <w:rPr>
                <w:noProof/>
                <w:webHidden/>
              </w:rPr>
              <w:tab/>
            </w:r>
            <w:r>
              <w:rPr>
                <w:noProof/>
                <w:webHidden/>
              </w:rPr>
              <w:fldChar w:fldCharType="begin"/>
            </w:r>
            <w:r>
              <w:rPr>
                <w:noProof/>
                <w:webHidden/>
              </w:rPr>
              <w:instrText xml:space="preserve"> PAGEREF _Toc206954687 \h </w:instrText>
            </w:r>
            <w:r>
              <w:rPr>
                <w:noProof/>
                <w:webHidden/>
              </w:rPr>
            </w:r>
            <w:r>
              <w:rPr>
                <w:noProof/>
                <w:webHidden/>
              </w:rPr>
              <w:fldChar w:fldCharType="separate"/>
            </w:r>
            <w:r>
              <w:rPr>
                <w:noProof/>
                <w:webHidden/>
              </w:rPr>
              <w:t>25</w:t>
            </w:r>
            <w:r>
              <w:rPr>
                <w:noProof/>
                <w:webHidden/>
              </w:rPr>
              <w:fldChar w:fldCharType="end"/>
            </w:r>
          </w:hyperlink>
        </w:p>
        <w:p w14:paraId="6F76C2C6" w14:textId="3ACC51BB" w:rsidR="005610D4" w:rsidRDefault="005610D4">
          <w:pPr>
            <w:pStyle w:val="TOC2"/>
            <w:tabs>
              <w:tab w:val="right" w:leader="dot" w:pos="9350"/>
            </w:tabs>
            <w:rPr>
              <w:rFonts w:eastAsiaTheme="minorEastAsia"/>
              <w:noProof/>
              <w:kern w:val="2"/>
              <w14:ligatures w14:val="standardContextual"/>
            </w:rPr>
          </w:pPr>
          <w:hyperlink w:anchor="_Toc206954688" w:history="1">
            <w:r w:rsidRPr="00887986">
              <w:rPr>
                <w:rStyle w:val="Hyperlink"/>
                <w:rFonts w:ascii="Arial" w:hAnsi="Arial" w:cs="Arial"/>
                <w:noProof/>
              </w:rPr>
              <w:t>The Burnout Machine</w:t>
            </w:r>
            <w:r>
              <w:rPr>
                <w:noProof/>
                <w:webHidden/>
              </w:rPr>
              <w:tab/>
            </w:r>
            <w:r>
              <w:rPr>
                <w:noProof/>
                <w:webHidden/>
              </w:rPr>
              <w:fldChar w:fldCharType="begin"/>
            </w:r>
            <w:r>
              <w:rPr>
                <w:noProof/>
                <w:webHidden/>
              </w:rPr>
              <w:instrText xml:space="preserve"> PAGEREF _Toc206954688 \h </w:instrText>
            </w:r>
            <w:r>
              <w:rPr>
                <w:noProof/>
                <w:webHidden/>
              </w:rPr>
            </w:r>
            <w:r>
              <w:rPr>
                <w:noProof/>
                <w:webHidden/>
              </w:rPr>
              <w:fldChar w:fldCharType="separate"/>
            </w:r>
            <w:r>
              <w:rPr>
                <w:noProof/>
                <w:webHidden/>
              </w:rPr>
              <w:t>26</w:t>
            </w:r>
            <w:r>
              <w:rPr>
                <w:noProof/>
                <w:webHidden/>
              </w:rPr>
              <w:fldChar w:fldCharType="end"/>
            </w:r>
          </w:hyperlink>
        </w:p>
        <w:p w14:paraId="3A1B18F2" w14:textId="78483CC6" w:rsidR="005610D4" w:rsidRDefault="005610D4">
          <w:pPr>
            <w:pStyle w:val="TOC2"/>
            <w:tabs>
              <w:tab w:val="right" w:leader="dot" w:pos="9350"/>
            </w:tabs>
            <w:rPr>
              <w:rFonts w:eastAsiaTheme="minorEastAsia"/>
              <w:noProof/>
              <w:kern w:val="2"/>
              <w14:ligatures w14:val="standardContextual"/>
            </w:rPr>
          </w:pPr>
          <w:hyperlink w:anchor="_Toc206954689" w:history="1">
            <w:r w:rsidRPr="00887986">
              <w:rPr>
                <w:rStyle w:val="Hyperlink"/>
                <w:rFonts w:ascii="Arial" w:hAnsi="Arial" w:cs="Arial"/>
                <w:noProof/>
              </w:rPr>
              <w:t>The Offshore Illusion</w:t>
            </w:r>
            <w:r>
              <w:rPr>
                <w:noProof/>
                <w:webHidden/>
              </w:rPr>
              <w:tab/>
            </w:r>
            <w:r>
              <w:rPr>
                <w:noProof/>
                <w:webHidden/>
              </w:rPr>
              <w:fldChar w:fldCharType="begin"/>
            </w:r>
            <w:r>
              <w:rPr>
                <w:noProof/>
                <w:webHidden/>
              </w:rPr>
              <w:instrText xml:space="preserve"> PAGEREF _Toc206954689 \h </w:instrText>
            </w:r>
            <w:r>
              <w:rPr>
                <w:noProof/>
                <w:webHidden/>
              </w:rPr>
            </w:r>
            <w:r>
              <w:rPr>
                <w:noProof/>
                <w:webHidden/>
              </w:rPr>
              <w:fldChar w:fldCharType="separate"/>
            </w:r>
            <w:r>
              <w:rPr>
                <w:noProof/>
                <w:webHidden/>
              </w:rPr>
              <w:t>26</w:t>
            </w:r>
            <w:r>
              <w:rPr>
                <w:noProof/>
                <w:webHidden/>
              </w:rPr>
              <w:fldChar w:fldCharType="end"/>
            </w:r>
          </w:hyperlink>
        </w:p>
        <w:p w14:paraId="3C98CEDC" w14:textId="594E3463" w:rsidR="005610D4" w:rsidRDefault="005610D4">
          <w:pPr>
            <w:pStyle w:val="TOC2"/>
            <w:tabs>
              <w:tab w:val="right" w:leader="dot" w:pos="9350"/>
            </w:tabs>
            <w:rPr>
              <w:rFonts w:eastAsiaTheme="minorEastAsia"/>
              <w:noProof/>
              <w:kern w:val="2"/>
              <w14:ligatures w14:val="standardContextual"/>
            </w:rPr>
          </w:pPr>
          <w:hyperlink w:anchor="_Toc206954690" w:history="1">
            <w:r w:rsidRPr="00887986">
              <w:rPr>
                <w:rStyle w:val="Hyperlink"/>
                <w:rFonts w:ascii="Arial" w:hAnsi="Arial" w:cs="Arial"/>
                <w:noProof/>
              </w:rPr>
              <w:t>The Automation Arbitrage</w:t>
            </w:r>
            <w:r>
              <w:rPr>
                <w:noProof/>
                <w:webHidden/>
              </w:rPr>
              <w:tab/>
            </w:r>
            <w:r>
              <w:rPr>
                <w:noProof/>
                <w:webHidden/>
              </w:rPr>
              <w:fldChar w:fldCharType="begin"/>
            </w:r>
            <w:r>
              <w:rPr>
                <w:noProof/>
                <w:webHidden/>
              </w:rPr>
              <w:instrText xml:space="preserve"> PAGEREF _Toc206954690 \h </w:instrText>
            </w:r>
            <w:r>
              <w:rPr>
                <w:noProof/>
                <w:webHidden/>
              </w:rPr>
            </w:r>
            <w:r>
              <w:rPr>
                <w:noProof/>
                <w:webHidden/>
              </w:rPr>
              <w:fldChar w:fldCharType="separate"/>
            </w:r>
            <w:r>
              <w:rPr>
                <w:noProof/>
                <w:webHidden/>
              </w:rPr>
              <w:t>27</w:t>
            </w:r>
            <w:r>
              <w:rPr>
                <w:noProof/>
                <w:webHidden/>
              </w:rPr>
              <w:fldChar w:fldCharType="end"/>
            </w:r>
          </w:hyperlink>
        </w:p>
        <w:p w14:paraId="4D44AAAF" w14:textId="3B7FC3A6" w:rsidR="005610D4" w:rsidRDefault="005610D4">
          <w:pPr>
            <w:pStyle w:val="TOC2"/>
            <w:tabs>
              <w:tab w:val="right" w:leader="dot" w:pos="9350"/>
            </w:tabs>
            <w:rPr>
              <w:rFonts w:eastAsiaTheme="minorEastAsia"/>
              <w:noProof/>
              <w:kern w:val="2"/>
              <w14:ligatures w14:val="standardContextual"/>
            </w:rPr>
          </w:pPr>
          <w:hyperlink w:anchor="_Toc206954691" w:history="1">
            <w:r w:rsidRPr="00887986">
              <w:rPr>
                <w:rStyle w:val="Hyperlink"/>
                <w:rFonts w:ascii="Arial" w:hAnsi="Arial" w:cs="Arial"/>
                <w:noProof/>
              </w:rPr>
              <w:t>The Virtuous Circle Survivors</w:t>
            </w:r>
            <w:r>
              <w:rPr>
                <w:noProof/>
                <w:webHidden/>
              </w:rPr>
              <w:tab/>
            </w:r>
            <w:r>
              <w:rPr>
                <w:noProof/>
                <w:webHidden/>
              </w:rPr>
              <w:fldChar w:fldCharType="begin"/>
            </w:r>
            <w:r>
              <w:rPr>
                <w:noProof/>
                <w:webHidden/>
              </w:rPr>
              <w:instrText xml:space="preserve"> PAGEREF _Toc206954691 \h </w:instrText>
            </w:r>
            <w:r>
              <w:rPr>
                <w:noProof/>
                <w:webHidden/>
              </w:rPr>
            </w:r>
            <w:r>
              <w:rPr>
                <w:noProof/>
                <w:webHidden/>
              </w:rPr>
              <w:fldChar w:fldCharType="separate"/>
            </w:r>
            <w:r>
              <w:rPr>
                <w:noProof/>
                <w:webHidden/>
              </w:rPr>
              <w:t>27</w:t>
            </w:r>
            <w:r>
              <w:rPr>
                <w:noProof/>
                <w:webHidden/>
              </w:rPr>
              <w:fldChar w:fldCharType="end"/>
            </w:r>
          </w:hyperlink>
        </w:p>
        <w:p w14:paraId="5E54D077" w14:textId="1828AFF0" w:rsidR="005610D4" w:rsidRDefault="005610D4">
          <w:pPr>
            <w:pStyle w:val="TOC1"/>
            <w:tabs>
              <w:tab w:val="right" w:leader="dot" w:pos="9350"/>
            </w:tabs>
            <w:rPr>
              <w:rFonts w:eastAsiaTheme="minorEastAsia"/>
              <w:noProof/>
              <w:kern w:val="2"/>
              <w14:ligatures w14:val="standardContextual"/>
            </w:rPr>
          </w:pPr>
          <w:hyperlink w:anchor="_Toc206954692" w:history="1">
            <w:r w:rsidRPr="00887986">
              <w:rPr>
                <w:rStyle w:val="Hyperlink"/>
                <w:rFonts w:ascii="Arial" w:hAnsi="Arial" w:cs="Arial"/>
                <w:noProof/>
              </w:rPr>
              <w:t>Chapter 5: Strategic Misalignments</w:t>
            </w:r>
            <w:r>
              <w:rPr>
                <w:noProof/>
                <w:webHidden/>
              </w:rPr>
              <w:tab/>
            </w:r>
            <w:r>
              <w:rPr>
                <w:noProof/>
                <w:webHidden/>
              </w:rPr>
              <w:fldChar w:fldCharType="begin"/>
            </w:r>
            <w:r>
              <w:rPr>
                <w:noProof/>
                <w:webHidden/>
              </w:rPr>
              <w:instrText xml:space="preserve"> PAGEREF _Toc206954692 \h </w:instrText>
            </w:r>
            <w:r>
              <w:rPr>
                <w:noProof/>
                <w:webHidden/>
              </w:rPr>
            </w:r>
            <w:r>
              <w:rPr>
                <w:noProof/>
                <w:webHidden/>
              </w:rPr>
              <w:fldChar w:fldCharType="separate"/>
            </w:r>
            <w:r>
              <w:rPr>
                <w:noProof/>
                <w:webHidden/>
              </w:rPr>
              <w:t>29</w:t>
            </w:r>
            <w:r>
              <w:rPr>
                <w:noProof/>
                <w:webHidden/>
              </w:rPr>
              <w:fldChar w:fldCharType="end"/>
            </w:r>
          </w:hyperlink>
        </w:p>
        <w:p w14:paraId="76CE5DB6" w14:textId="462EE033" w:rsidR="005610D4" w:rsidRDefault="005610D4">
          <w:pPr>
            <w:pStyle w:val="TOC2"/>
            <w:tabs>
              <w:tab w:val="right" w:leader="dot" w:pos="9350"/>
            </w:tabs>
            <w:rPr>
              <w:rFonts w:eastAsiaTheme="minorEastAsia"/>
              <w:noProof/>
              <w:kern w:val="2"/>
              <w14:ligatures w14:val="standardContextual"/>
            </w:rPr>
          </w:pPr>
          <w:hyperlink w:anchor="_Toc206954693" w:history="1">
            <w:r w:rsidRPr="00887986">
              <w:rPr>
                <w:rStyle w:val="Hyperlink"/>
                <w:rFonts w:ascii="Arial" w:hAnsi="Arial" w:cs="Arial"/>
                <w:noProof/>
              </w:rPr>
              <w:t>The Customization Trap</w:t>
            </w:r>
            <w:r>
              <w:rPr>
                <w:noProof/>
                <w:webHidden/>
              </w:rPr>
              <w:tab/>
            </w:r>
            <w:r>
              <w:rPr>
                <w:noProof/>
                <w:webHidden/>
              </w:rPr>
              <w:fldChar w:fldCharType="begin"/>
            </w:r>
            <w:r>
              <w:rPr>
                <w:noProof/>
                <w:webHidden/>
              </w:rPr>
              <w:instrText xml:space="preserve"> PAGEREF _Toc206954693 \h </w:instrText>
            </w:r>
            <w:r>
              <w:rPr>
                <w:noProof/>
                <w:webHidden/>
              </w:rPr>
            </w:r>
            <w:r>
              <w:rPr>
                <w:noProof/>
                <w:webHidden/>
              </w:rPr>
              <w:fldChar w:fldCharType="separate"/>
            </w:r>
            <w:r>
              <w:rPr>
                <w:noProof/>
                <w:webHidden/>
              </w:rPr>
              <w:t>29</w:t>
            </w:r>
            <w:r>
              <w:rPr>
                <w:noProof/>
                <w:webHidden/>
              </w:rPr>
              <w:fldChar w:fldCharType="end"/>
            </w:r>
          </w:hyperlink>
        </w:p>
        <w:p w14:paraId="65EE1251" w14:textId="51159D57" w:rsidR="005610D4" w:rsidRDefault="005610D4">
          <w:pPr>
            <w:pStyle w:val="TOC2"/>
            <w:tabs>
              <w:tab w:val="right" w:leader="dot" w:pos="9350"/>
            </w:tabs>
            <w:rPr>
              <w:rFonts w:eastAsiaTheme="minorEastAsia"/>
              <w:noProof/>
              <w:kern w:val="2"/>
              <w14:ligatures w14:val="standardContextual"/>
            </w:rPr>
          </w:pPr>
          <w:hyperlink w:anchor="_Toc206954694" w:history="1">
            <w:r w:rsidRPr="00887986">
              <w:rPr>
                <w:rStyle w:val="Hyperlink"/>
                <w:rFonts w:ascii="Arial" w:hAnsi="Arial" w:cs="Arial"/>
                <w:noProof/>
              </w:rPr>
              <w:t>Geographic Complexity Multipliers</w:t>
            </w:r>
            <w:r>
              <w:rPr>
                <w:noProof/>
                <w:webHidden/>
              </w:rPr>
              <w:tab/>
            </w:r>
            <w:r>
              <w:rPr>
                <w:noProof/>
                <w:webHidden/>
              </w:rPr>
              <w:fldChar w:fldCharType="begin"/>
            </w:r>
            <w:r>
              <w:rPr>
                <w:noProof/>
                <w:webHidden/>
              </w:rPr>
              <w:instrText xml:space="preserve"> PAGEREF _Toc206954694 \h </w:instrText>
            </w:r>
            <w:r>
              <w:rPr>
                <w:noProof/>
                <w:webHidden/>
              </w:rPr>
            </w:r>
            <w:r>
              <w:rPr>
                <w:noProof/>
                <w:webHidden/>
              </w:rPr>
              <w:fldChar w:fldCharType="separate"/>
            </w:r>
            <w:r>
              <w:rPr>
                <w:noProof/>
                <w:webHidden/>
              </w:rPr>
              <w:t>30</w:t>
            </w:r>
            <w:r>
              <w:rPr>
                <w:noProof/>
                <w:webHidden/>
              </w:rPr>
              <w:fldChar w:fldCharType="end"/>
            </w:r>
          </w:hyperlink>
        </w:p>
        <w:p w14:paraId="7941895C" w14:textId="0C666B1C" w:rsidR="005610D4" w:rsidRDefault="005610D4">
          <w:pPr>
            <w:pStyle w:val="TOC2"/>
            <w:tabs>
              <w:tab w:val="right" w:leader="dot" w:pos="9350"/>
            </w:tabs>
            <w:rPr>
              <w:rFonts w:eastAsiaTheme="minorEastAsia"/>
              <w:noProof/>
              <w:kern w:val="2"/>
              <w14:ligatures w14:val="standardContextual"/>
            </w:rPr>
          </w:pPr>
          <w:hyperlink w:anchor="_Toc206954695" w:history="1">
            <w:r w:rsidRPr="00887986">
              <w:rPr>
                <w:rStyle w:val="Hyperlink"/>
                <w:rFonts w:ascii="Arial" w:hAnsi="Arial" w:cs="Arial"/>
                <w:noProof/>
              </w:rPr>
              <w:t>The Compliance Overhead Catastrophe</w:t>
            </w:r>
            <w:r>
              <w:rPr>
                <w:noProof/>
                <w:webHidden/>
              </w:rPr>
              <w:tab/>
            </w:r>
            <w:r>
              <w:rPr>
                <w:noProof/>
                <w:webHidden/>
              </w:rPr>
              <w:fldChar w:fldCharType="begin"/>
            </w:r>
            <w:r>
              <w:rPr>
                <w:noProof/>
                <w:webHidden/>
              </w:rPr>
              <w:instrText xml:space="preserve"> PAGEREF _Toc206954695 \h </w:instrText>
            </w:r>
            <w:r>
              <w:rPr>
                <w:noProof/>
                <w:webHidden/>
              </w:rPr>
            </w:r>
            <w:r>
              <w:rPr>
                <w:noProof/>
                <w:webHidden/>
              </w:rPr>
              <w:fldChar w:fldCharType="separate"/>
            </w:r>
            <w:r>
              <w:rPr>
                <w:noProof/>
                <w:webHidden/>
              </w:rPr>
              <w:t>30</w:t>
            </w:r>
            <w:r>
              <w:rPr>
                <w:noProof/>
                <w:webHidden/>
              </w:rPr>
              <w:fldChar w:fldCharType="end"/>
            </w:r>
          </w:hyperlink>
        </w:p>
        <w:p w14:paraId="623F89C1" w14:textId="1EAA7D42" w:rsidR="005610D4" w:rsidRDefault="005610D4">
          <w:pPr>
            <w:pStyle w:val="TOC2"/>
            <w:tabs>
              <w:tab w:val="right" w:leader="dot" w:pos="9350"/>
            </w:tabs>
            <w:rPr>
              <w:rFonts w:eastAsiaTheme="minorEastAsia"/>
              <w:noProof/>
              <w:kern w:val="2"/>
              <w14:ligatures w14:val="standardContextual"/>
            </w:rPr>
          </w:pPr>
          <w:hyperlink w:anchor="_Toc206954696" w:history="1">
            <w:r w:rsidRPr="00887986">
              <w:rPr>
                <w:rStyle w:val="Hyperlink"/>
                <w:rFonts w:ascii="Arial" w:hAnsi="Arial" w:cs="Arial"/>
                <w:noProof/>
              </w:rPr>
              <w:t>Vendor Partnership Parasitism</w:t>
            </w:r>
            <w:r>
              <w:rPr>
                <w:noProof/>
                <w:webHidden/>
              </w:rPr>
              <w:tab/>
            </w:r>
            <w:r>
              <w:rPr>
                <w:noProof/>
                <w:webHidden/>
              </w:rPr>
              <w:fldChar w:fldCharType="begin"/>
            </w:r>
            <w:r>
              <w:rPr>
                <w:noProof/>
                <w:webHidden/>
              </w:rPr>
              <w:instrText xml:space="preserve"> PAGEREF _Toc206954696 \h </w:instrText>
            </w:r>
            <w:r>
              <w:rPr>
                <w:noProof/>
                <w:webHidden/>
              </w:rPr>
            </w:r>
            <w:r>
              <w:rPr>
                <w:noProof/>
                <w:webHidden/>
              </w:rPr>
              <w:fldChar w:fldCharType="separate"/>
            </w:r>
            <w:r>
              <w:rPr>
                <w:noProof/>
                <w:webHidden/>
              </w:rPr>
              <w:t>31</w:t>
            </w:r>
            <w:r>
              <w:rPr>
                <w:noProof/>
                <w:webHidden/>
              </w:rPr>
              <w:fldChar w:fldCharType="end"/>
            </w:r>
          </w:hyperlink>
        </w:p>
        <w:p w14:paraId="3A948A5B" w14:textId="03BF5E59" w:rsidR="005610D4" w:rsidRDefault="005610D4">
          <w:pPr>
            <w:pStyle w:val="TOC2"/>
            <w:tabs>
              <w:tab w:val="right" w:leader="dot" w:pos="9350"/>
            </w:tabs>
            <w:rPr>
              <w:rFonts w:eastAsiaTheme="minorEastAsia"/>
              <w:noProof/>
              <w:kern w:val="2"/>
              <w14:ligatures w14:val="standardContextual"/>
            </w:rPr>
          </w:pPr>
          <w:hyperlink w:anchor="_Toc206954697" w:history="1">
            <w:r w:rsidRPr="00887986">
              <w:rPr>
                <w:rStyle w:val="Hyperlink"/>
                <w:rFonts w:ascii="Arial" w:hAnsi="Arial" w:cs="Arial"/>
                <w:noProof/>
              </w:rPr>
              <w:t>The Channel Conflict Conundrum</w:t>
            </w:r>
            <w:r>
              <w:rPr>
                <w:noProof/>
                <w:webHidden/>
              </w:rPr>
              <w:tab/>
            </w:r>
            <w:r>
              <w:rPr>
                <w:noProof/>
                <w:webHidden/>
              </w:rPr>
              <w:fldChar w:fldCharType="begin"/>
            </w:r>
            <w:r>
              <w:rPr>
                <w:noProof/>
                <w:webHidden/>
              </w:rPr>
              <w:instrText xml:space="preserve"> PAGEREF _Toc206954697 \h </w:instrText>
            </w:r>
            <w:r>
              <w:rPr>
                <w:noProof/>
                <w:webHidden/>
              </w:rPr>
            </w:r>
            <w:r>
              <w:rPr>
                <w:noProof/>
                <w:webHidden/>
              </w:rPr>
              <w:fldChar w:fldCharType="separate"/>
            </w:r>
            <w:r>
              <w:rPr>
                <w:noProof/>
                <w:webHidden/>
              </w:rPr>
              <w:t>32</w:t>
            </w:r>
            <w:r>
              <w:rPr>
                <w:noProof/>
                <w:webHidden/>
              </w:rPr>
              <w:fldChar w:fldCharType="end"/>
            </w:r>
          </w:hyperlink>
        </w:p>
        <w:p w14:paraId="6F8C8558" w14:textId="2D83DF87" w:rsidR="005610D4" w:rsidRDefault="005610D4">
          <w:pPr>
            <w:pStyle w:val="TOC2"/>
            <w:tabs>
              <w:tab w:val="right" w:leader="dot" w:pos="9350"/>
            </w:tabs>
            <w:rPr>
              <w:rFonts w:eastAsiaTheme="minorEastAsia"/>
              <w:noProof/>
              <w:kern w:val="2"/>
              <w14:ligatures w14:val="standardContextual"/>
            </w:rPr>
          </w:pPr>
          <w:hyperlink w:anchor="_Toc206954698" w:history="1">
            <w:r w:rsidRPr="00887986">
              <w:rPr>
                <w:rStyle w:val="Hyperlink"/>
                <w:rFonts w:ascii="Arial" w:hAnsi="Arial" w:cs="Arial"/>
                <w:noProof/>
              </w:rPr>
              <w:t>The Path Through Strategic Clarity</w:t>
            </w:r>
            <w:r>
              <w:rPr>
                <w:noProof/>
                <w:webHidden/>
              </w:rPr>
              <w:tab/>
            </w:r>
            <w:r>
              <w:rPr>
                <w:noProof/>
                <w:webHidden/>
              </w:rPr>
              <w:fldChar w:fldCharType="begin"/>
            </w:r>
            <w:r>
              <w:rPr>
                <w:noProof/>
                <w:webHidden/>
              </w:rPr>
              <w:instrText xml:space="preserve"> PAGEREF _Toc206954698 \h </w:instrText>
            </w:r>
            <w:r>
              <w:rPr>
                <w:noProof/>
                <w:webHidden/>
              </w:rPr>
            </w:r>
            <w:r>
              <w:rPr>
                <w:noProof/>
                <w:webHidden/>
              </w:rPr>
              <w:fldChar w:fldCharType="separate"/>
            </w:r>
            <w:r>
              <w:rPr>
                <w:noProof/>
                <w:webHidden/>
              </w:rPr>
              <w:t>32</w:t>
            </w:r>
            <w:r>
              <w:rPr>
                <w:noProof/>
                <w:webHidden/>
              </w:rPr>
              <w:fldChar w:fldCharType="end"/>
            </w:r>
          </w:hyperlink>
        </w:p>
        <w:p w14:paraId="7CE47B53" w14:textId="54DCF2DD" w:rsidR="005610D4" w:rsidRDefault="005610D4">
          <w:pPr>
            <w:pStyle w:val="TOC1"/>
            <w:tabs>
              <w:tab w:val="right" w:leader="dot" w:pos="9350"/>
            </w:tabs>
            <w:rPr>
              <w:rFonts w:eastAsiaTheme="minorEastAsia"/>
              <w:noProof/>
              <w:kern w:val="2"/>
              <w14:ligatures w14:val="standardContextual"/>
            </w:rPr>
          </w:pPr>
          <w:hyperlink w:anchor="_Toc206954699" w:history="1">
            <w:r w:rsidRPr="00887986">
              <w:rPr>
                <w:rStyle w:val="Hyperlink"/>
                <w:rFonts w:ascii="Arial" w:hAnsi="Arial" w:cs="Arial"/>
                <w:noProof/>
              </w:rPr>
              <w:t>Chapter 6: Automation-First Architecture</w:t>
            </w:r>
            <w:r>
              <w:rPr>
                <w:noProof/>
                <w:webHidden/>
              </w:rPr>
              <w:tab/>
            </w:r>
            <w:r>
              <w:rPr>
                <w:noProof/>
                <w:webHidden/>
              </w:rPr>
              <w:fldChar w:fldCharType="begin"/>
            </w:r>
            <w:r>
              <w:rPr>
                <w:noProof/>
                <w:webHidden/>
              </w:rPr>
              <w:instrText xml:space="preserve"> PAGEREF _Toc206954699 \h </w:instrText>
            </w:r>
            <w:r>
              <w:rPr>
                <w:noProof/>
                <w:webHidden/>
              </w:rPr>
            </w:r>
            <w:r>
              <w:rPr>
                <w:noProof/>
                <w:webHidden/>
              </w:rPr>
              <w:fldChar w:fldCharType="separate"/>
            </w:r>
            <w:r>
              <w:rPr>
                <w:noProof/>
                <w:webHidden/>
              </w:rPr>
              <w:t>34</w:t>
            </w:r>
            <w:r>
              <w:rPr>
                <w:noProof/>
                <w:webHidden/>
              </w:rPr>
              <w:fldChar w:fldCharType="end"/>
            </w:r>
          </w:hyperlink>
        </w:p>
        <w:p w14:paraId="645C10D1" w14:textId="1D622429" w:rsidR="005610D4" w:rsidRDefault="005610D4">
          <w:pPr>
            <w:pStyle w:val="TOC2"/>
            <w:tabs>
              <w:tab w:val="right" w:leader="dot" w:pos="9350"/>
            </w:tabs>
            <w:rPr>
              <w:rFonts w:eastAsiaTheme="minorEastAsia"/>
              <w:noProof/>
              <w:kern w:val="2"/>
              <w14:ligatures w14:val="standardContextual"/>
            </w:rPr>
          </w:pPr>
          <w:hyperlink w:anchor="_Toc206954700" w:history="1">
            <w:r w:rsidRPr="00887986">
              <w:rPr>
                <w:rStyle w:val="Hyperlink"/>
                <w:rFonts w:ascii="Arial" w:hAnsi="Arial" w:cs="Arial"/>
                <w:noProof/>
              </w:rPr>
              <w:t>The Automation Paradox</w:t>
            </w:r>
            <w:r>
              <w:rPr>
                <w:noProof/>
                <w:webHidden/>
              </w:rPr>
              <w:tab/>
            </w:r>
            <w:r>
              <w:rPr>
                <w:noProof/>
                <w:webHidden/>
              </w:rPr>
              <w:fldChar w:fldCharType="begin"/>
            </w:r>
            <w:r>
              <w:rPr>
                <w:noProof/>
                <w:webHidden/>
              </w:rPr>
              <w:instrText xml:space="preserve"> PAGEREF _Toc206954700 \h </w:instrText>
            </w:r>
            <w:r>
              <w:rPr>
                <w:noProof/>
                <w:webHidden/>
              </w:rPr>
            </w:r>
            <w:r>
              <w:rPr>
                <w:noProof/>
                <w:webHidden/>
              </w:rPr>
              <w:fldChar w:fldCharType="separate"/>
            </w:r>
            <w:r>
              <w:rPr>
                <w:noProof/>
                <w:webHidden/>
              </w:rPr>
              <w:t>34</w:t>
            </w:r>
            <w:r>
              <w:rPr>
                <w:noProof/>
                <w:webHidden/>
              </w:rPr>
              <w:fldChar w:fldCharType="end"/>
            </w:r>
          </w:hyperlink>
        </w:p>
        <w:p w14:paraId="3AFE10E5" w14:textId="202A043D" w:rsidR="005610D4" w:rsidRDefault="005610D4">
          <w:pPr>
            <w:pStyle w:val="TOC2"/>
            <w:tabs>
              <w:tab w:val="right" w:leader="dot" w:pos="9350"/>
            </w:tabs>
            <w:rPr>
              <w:rFonts w:eastAsiaTheme="minorEastAsia"/>
              <w:noProof/>
              <w:kern w:val="2"/>
              <w14:ligatures w14:val="standardContextual"/>
            </w:rPr>
          </w:pPr>
          <w:hyperlink w:anchor="_Toc206954701" w:history="1">
            <w:r w:rsidRPr="00887986">
              <w:rPr>
                <w:rStyle w:val="Hyperlink"/>
                <w:rFonts w:ascii="Arial" w:hAnsi="Arial" w:cs="Arial"/>
                <w:noProof/>
              </w:rPr>
              <w:t>From 66% to 5%: The False Positive Revolution</w:t>
            </w:r>
            <w:r>
              <w:rPr>
                <w:noProof/>
                <w:webHidden/>
              </w:rPr>
              <w:tab/>
            </w:r>
            <w:r>
              <w:rPr>
                <w:noProof/>
                <w:webHidden/>
              </w:rPr>
              <w:fldChar w:fldCharType="begin"/>
            </w:r>
            <w:r>
              <w:rPr>
                <w:noProof/>
                <w:webHidden/>
              </w:rPr>
              <w:instrText xml:space="preserve"> PAGEREF _Toc206954701 \h </w:instrText>
            </w:r>
            <w:r>
              <w:rPr>
                <w:noProof/>
                <w:webHidden/>
              </w:rPr>
            </w:r>
            <w:r>
              <w:rPr>
                <w:noProof/>
                <w:webHidden/>
              </w:rPr>
              <w:fldChar w:fldCharType="separate"/>
            </w:r>
            <w:r>
              <w:rPr>
                <w:noProof/>
                <w:webHidden/>
              </w:rPr>
              <w:t>34</w:t>
            </w:r>
            <w:r>
              <w:rPr>
                <w:noProof/>
                <w:webHidden/>
              </w:rPr>
              <w:fldChar w:fldCharType="end"/>
            </w:r>
          </w:hyperlink>
        </w:p>
        <w:p w14:paraId="3FDAFB68" w14:textId="72347AC8" w:rsidR="005610D4" w:rsidRDefault="005610D4">
          <w:pPr>
            <w:pStyle w:val="TOC2"/>
            <w:tabs>
              <w:tab w:val="right" w:leader="dot" w:pos="9350"/>
            </w:tabs>
            <w:rPr>
              <w:rFonts w:eastAsiaTheme="minorEastAsia"/>
              <w:noProof/>
              <w:kern w:val="2"/>
              <w14:ligatures w14:val="standardContextual"/>
            </w:rPr>
          </w:pPr>
          <w:hyperlink w:anchor="_Toc206954702" w:history="1">
            <w:r w:rsidRPr="00887986">
              <w:rPr>
                <w:rStyle w:val="Hyperlink"/>
                <w:rFonts w:ascii="Arial" w:hAnsi="Arial" w:cs="Arial"/>
                <w:noProof/>
              </w:rPr>
              <w:t>The End-to-End Transformation</w:t>
            </w:r>
            <w:r>
              <w:rPr>
                <w:noProof/>
                <w:webHidden/>
              </w:rPr>
              <w:tab/>
            </w:r>
            <w:r>
              <w:rPr>
                <w:noProof/>
                <w:webHidden/>
              </w:rPr>
              <w:fldChar w:fldCharType="begin"/>
            </w:r>
            <w:r>
              <w:rPr>
                <w:noProof/>
                <w:webHidden/>
              </w:rPr>
              <w:instrText xml:space="preserve"> PAGEREF _Toc206954702 \h </w:instrText>
            </w:r>
            <w:r>
              <w:rPr>
                <w:noProof/>
                <w:webHidden/>
              </w:rPr>
            </w:r>
            <w:r>
              <w:rPr>
                <w:noProof/>
                <w:webHidden/>
              </w:rPr>
              <w:fldChar w:fldCharType="separate"/>
            </w:r>
            <w:r>
              <w:rPr>
                <w:noProof/>
                <w:webHidden/>
              </w:rPr>
              <w:t>35</w:t>
            </w:r>
            <w:r>
              <w:rPr>
                <w:noProof/>
                <w:webHidden/>
              </w:rPr>
              <w:fldChar w:fldCharType="end"/>
            </w:r>
          </w:hyperlink>
        </w:p>
        <w:p w14:paraId="4EEB92EE" w14:textId="467B92BA" w:rsidR="005610D4" w:rsidRDefault="005610D4">
          <w:pPr>
            <w:pStyle w:val="TOC2"/>
            <w:tabs>
              <w:tab w:val="right" w:leader="dot" w:pos="9350"/>
            </w:tabs>
            <w:rPr>
              <w:rFonts w:eastAsiaTheme="minorEastAsia"/>
              <w:noProof/>
              <w:kern w:val="2"/>
              <w14:ligatures w14:val="standardContextual"/>
            </w:rPr>
          </w:pPr>
          <w:hyperlink w:anchor="_Toc206954703" w:history="1">
            <w:r w:rsidRPr="00887986">
              <w:rPr>
                <w:rStyle w:val="Hyperlink"/>
                <w:rFonts w:ascii="Arial" w:hAnsi="Arial" w:cs="Arial"/>
                <w:noProof/>
              </w:rPr>
              <w:t>The AI Layer Revolution</w:t>
            </w:r>
            <w:r>
              <w:rPr>
                <w:noProof/>
                <w:webHidden/>
              </w:rPr>
              <w:tab/>
            </w:r>
            <w:r>
              <w:rPr>
                <w:noProof/>
                <w:webHidden/>
              </w:rPr>
              <w:fldChar w:fldCharType="begin"/>
            </w:r>
            <w:r>
              <w:rPr>
                <w:noProof/>
                <w:webHidden/>
              </w:rPr>
              <w:instrText xml:space="preserve"> PAGEREF _Toc206954703 \h </w:instrText>
            </w:r>
            <w:r>
              <w:rPr>
                <w:noProof/>
                <w:webHidden/>
              </w:rPr>
            </w:r>
            <w:r>
              <w:rPr>
                <w:noProof/>
                <w:webHidden/>
              </w:rPr>
              <w:fldChar w:fldCharType="separate"/>
            </w:r>
            <w:r>
              <w:rPr>
                <w:noProof/>
                <w:webHidden/>
              </w:rPr>
              <w:t>36</w:t>
            </w:r>
            <w:r>
              <w:rPr>
                <w:noProof/>
                <w:webHidden/>
              </w:rPr>
              <w:fldChar w:fldCharType="end"/>
            </w:r>
          </w:hyperlink>
        </w:p>
        <w:p w14:paraId="3E709F9C" w14:textId="01F15E8E" w:rsidR="005610D4" w:rsidRDefault="005610D4">
          <w:pPr>
            <w:pStyle w:val="TOC2"/>
            <w:tabs>
              <w:tab w:val="right" w:leader="dot" w:pos="9350"/>
            </w:tabs>
            <w:rPr>
              <w:rFonts w:eastAsiaTheme="minorEastAsia"/>
              <w:noProof/>
              <w:kern w:val="2"/>
              <w14:ligatures w14:val="standardContextual"/>
            </w:rPr>
          </w:pPr>
          <w:hyperlink w:anchor="_Toc206954704" w:history="1">
            <w:r w:rsidRPr="00887986">
              <w:rPr>
                <w:rStyle w:val="Hyperlink"/>
                <w:rFonts w:ascii="Arial" w:hAnsi="Arial" w:cs="Arial"/>
                <w:noProof/>
              </w:rPr>
              <w:t>The Platform Imperative</w:t>
            </w:r>
            <w:r>
              <w:rPr>
                <w:noProof/>
                <w:webHidden/>
              </w:rPr>
              <w:tab/>
            </w:r>
            <w:r>
              <w:rPr>
                <w:noProof/>
                <w:webHidden/>
              </w:rPr>
              <w:fldChar w:fldCharType="begin"/>
            </w:r>
            <w:r>
              <w:rPr>
                <w:noProof/>
                <w:webHidden/>
              </w:rPr>
              <w:instrText xml:space="preserve"> PAGEREF _Toc206954704 \h </w:instrText>
            </w:r>
            <w:r>
              <w:rPr>
                <w:noProof/>
                <w:webHidden/>
              </w:rPr>
            </w:r>
            <w:r>
              <w:rPr>
                <w:noProof/>
                <w:webHidden/>
              </w:rPr>
              <w:fldChar w:fldCharType="separate"/>
            </w:r>
            <w:r>
              <w:rPr>
                <w:noProof/>
                <w:webHidden/>
              </w:rPr>
              <w:t>36</w:t>
            </w:r>
            <w:r>
              <w:rPr>
                <w:noProof/>
                <w:webHidden/>
              </w:rPr>
              <w:fldChar w:fldCharType="end"/>
            </w:r>
          </w:hyperlink>
        </w:p>
        <w:p w14:paraId="01A7F3C6" w14:textId="5EABBC4D" w:rsidR="005610D4" w:rsidRDefault="005610D4">
          <w:pPr>
            <w:pStyle w:val="TOC2"/>
            <w:tabs>
              <w:tab w:val="right" w:leader="dot" w:pos="9350"/>
            </w:tabs>
            <w:rPr>
              <w:rFonts w:eastAsiaTheme="minorEastAsia"/>
              <w:noProof/>
              <w:kern w:val="2"/>
              <w14:ligatures w14:val="standardContextual"/>
            </w:rPr>
          </w:pPr>
          <w:hyperlink w:anchor="_Toc206954705" w:history="1">
            <w:r w:rsidRPr="00887986">
              <w:rPr>
                <w:rStyle w:val="Hyperlink"/>
                <w:rFonts w:ascii="Arial" w:hAnsi="Arial" w:cs="Arial"/>
                <w:noProof/>
              </w:rPr>
              <w:t>The Human-Machine Partnership</w:t>
            </w:r>
            <w:r>
              <w:rPr>
                <w:noProof/>
                <w:webHidden/>
              </w:rPr>
              <w:tab/>
            </w:r>
            <w:r>
              <w:rPr>
                <w:noProof/>
                <w:webHidden/>
              </w:rPr>
              <w:fldChar w:fldCharType="begin"/>
            </w:r>
            <w:r>
              <w:rPr>
                <w:noProof/>
                <w:webHidden/>
              </w:rPr>
              <w:instrText xml:space="preserve"> PAGEREF _Toc206954705 \h </w:instrText>
            </w:r>
            <w:r>
              <w:rPr>
                <w:noProof/>
                <w:webHidden/>
              </w:rPr>
            </w:r>
            <w:r>
              <w:rPr>
                <w:noProof/>
                <w:webHidden/>
              </w:rPr>
              <w:fldChar w:fldCharType="separate"/>
            </w:r>
            <w:r>
              <w:rPr>
                <w:noProof/>
                <w:webHidden/>
              </w:rPr>
              <w:t>37</w:t>
            </w:r>
            <w:r>
              <w:rPr>
                <w:noProof/>
                <w:webHidden/>
              </w:rPr>
              <w:fldChar w:fldCharType="end"/>
            </w:r>
          </w:hyperlink>
        </w:p>
        <w:p w14:paraId="233FAD13" w14:textId="773C6F20" w:rsidR="005610D4" w:rsidRDefault="005610D4">
          <w:pPr>
            <w:pStyle w:val="TOC2"/>
            <w:tabs>
              <w:tab w:val="right" w:leader="dot" w:pos="9350"/>
            </w:tabs>
            <w:rPr>
              <w:rFonts w:eastAsiaTheme="minorEastAsia"/>
              <w:noProof/>
              <w:kern w:val="2"/>
              <w14:ligatures w14:val="standardContextual"/>
            </w:rPr>
          </w:pPr>
          <w:hyperlink w:anchor="_Toc206954706" w:history="1">
            <w:r w:rsidRPr="00887986">
              <w:rPr>
                <w:rStyle w:val="Hyperlink"/>
                <w:rFonts w:ascii="Arial" w:hAnsi="Arial" w:cs="Arial"/>
                <w:noProof/>
              </w:rPr>
              <w:t>The Implementation Reality</w:t>
            </w:r>
            <w:r>
              <w:rPr>
                <w:noProof/>
                <w:webHidden/>
              </w:rPr>
              <w:tab/>
            </w:r>
            <w:r>
              <w:rPr>
                <w:noProof/>
                <w:webHidden/>
              </w:rPr>
              <w:fldChar w:fldCharType="begin"/>
            </w:r>
            <w:r>
              <w:rPr>
                <w:noProof/>
                <w:webHidden/>
              </w:rPr>
              <w:instrText xml:space="preserve"> PAGEREF _Toc206954706 \h </w:instrText>
            </w:r>
            <w:r>
              <w:rPr>
                <w:noProof/>
                <w:webHidden/>
              </w:rPr>
            </w:r>
            <w:r>
              <w:rPr>
                <w:noProof/>
                <w:webHidden/>
              </w:rPr>
              <w:fldChar w:fldCharType="separate"/>
            </w:r>
            <w:r>
              <w:rPr>
                <w:noProof/>
                <w:webHidden/>
              </w:rPr>
              <w:t>37</w:t>
            </w:r>
            <w:r>
              <w:rPr>
                <w:noProof/>
                <w:webHidden/>
              </w:rPr>
              <w:fldChar w:fldCharType="end"/>
            </w:r>
          </w:hyperlink>
        </w:p>
        <w:p w14:paraId="5CDF89F1" w14:textId="1F401E64" w:rsidR="005610D4" w:rsidRDefault="005610D4">
          <w:pPr>
            <w:pStyle w:val="TOC1"/>
            <w:tabs>
              <w:tab w:val="right" w:leader="dot" w:pos="9350"/>
            </w:tabs>
            <w:rPr>
              <w:rFonts w:eastAsiaTheme="minorEastAsia"/>
              <w:noProof/>
              <w:kern w:val="2"/>
              <w14:ligatures w14:val="standardContextual"/>
            </w:rPr>
          </w:pPr>
          <w:hyperlink w:anchor="_Toc206954707" w:history="1">
            <w:r w:rsidRPr="00887986">
              <w:rPr>
                <w:rStyle w:val="Hyperlink"/>
                <w:rFonts w:ascii="Arial" w:hAnsi="Arial" w:cs="Arial"/>
                <w:noProof/>
              </w:rPr>
              <w:t>Chapter 7: Business Model Innovation</w:t>
            </w:r>
            <w:r>
              <w:rPr>
                <w:noProof/>
                <w:webHidden/>
              </w:rPr>
              <w:tab/>
            </w:r>
            <w:r>
              <w:rPr>
                <w:noProof/>
                <w:webHidden/>
              </w:rPr>
              <w:fldChar w:fldCharType="begin"/>
            </w:r>
            <w:r>
              <w:rPr>
                <w:noProof/>
                <w:webHidden/>
              </w:rPr>
              <w:instrText xml:space="preserve"> PAGEREF _Toc206954707 \h </w:instrText>
            </w:r>
            <w:r>
              <w:rPr>
                <w:noProof/>
                <w:webHidden/>
              </w:rPr>
            </w:r>
            <w:r>
              <w:rPr>
                <w:noProof/>
                <w:webHidden/>
              </w:rPr>
              <w:fldChar w:fldCharType="separate"/>
            </w:r>
            <w:r>
              <w:rPr>
                <w:noProof/>
                <w:webHidden/>
              </w:rPr>
              <w:t>39</w:t>
            </w:r>
            <w:r>
              <w:rPr>
                <w:noProof/>
                <w:webHidden/>
              </w:rPr>
              <w:fldChar w:fldCharType="end"/>
            </w:r>
          </w:hyperlink>
        </w:p>
        <w:p w14:paraId="06BBD84E" w14:textId="52446AE9" w:rsidR="005610D4" w:rsidRDefault="005610D4">
          <w:pPr>
            <w:pStyle w:val="TOC2"/>
            <w:tabs>
              <w:tab w:val="right" w:leader="dot" w:pos="9350"/>
            </w:tabs>
            <w:rPr>
              <w:rFonts w:eastAsiaTheme="minorEastAsia"/>
              <w:noProof/>
              <w:kern w:val="2"/>
              <w14:ligatures w14:val="standardContextual"/>
            </w:rPr>
          </w:pPr>
          <w:hyperlink w:anchor="_Toc206954708" w:history="1">
            <w:r w:rsidRPr="00887986">
              <w:rPr>
                <w:rStyle w:val="Hyperlink"/>
                <w:rFonts w:ascii="Arial" w:hAnsi="Arial" w:cs="Arial"/>
                <w:noProof/>
              </w:rPr>
              <w:t>The Outcome Revolution</w:t>
            </w:r>
            <w:r>
              <w:rPr>
                <w:noProof/>
                <w:webHidden/>
              </w:rPr>
              <w:tab/>
            </w:r>
            <w:r>
              <w:rPr>
                <w:noProof/>
                <w:webHidden/>
              </w:rPr>
              <w:fldChar w:fldCharType="begin"/>
            </w:r>
            <w:r>
              <w:rPr>
                <w:noProof/>
                <w:webHidden/>
              </w:rPr>
              <w:instrText xml:space="preserve"> PAGEREF _Toc206954708 \h </w:instrText>
            </w:r>
            <w:r>
              <w:rPr>
                <w:noProof/>
                <w:webHidden/>
              </w:rPr>
            </w:r>
            <w:r>
              <w:rPr>
                <w:noProof/>
                <w:webHidden/>
              </w:rPr>
              <w:fldChar w:fldCharType="separate"/>
            </w:r>
            <w:r>
              <w:rPr>
                <w:noProof/>
                <w:webHidden/>
              </w:rPr>
              <w:t>39</w:t>
            </w:r>
            <w:r>
              <w:rPr>
                <w:noProof/>
                <w:webHidden/>
              </w:rPr>
              <w:fldChar w:fldCharType="end"/>
            </w:r>
          </w:hyperlink>
        </w:p>
        <w:p w14:paraId="6F65D9C9" w14:textId="457BF2D6" w:rsidR="005610D4" w:rsidRDefault="005610D4">
          <w:pPr>
            <w:pStyle w:val="TOC2"/>
            <w:tabs>
              <w:tab w:val="right" w:leader="dot" w:pos="9350"/>
            </w:tabs>
            <w:rPr>
              <w:rFonts w:eastAsiaTheme="minorEastAsia"/>
              <w:noProof/>
              <w:kern w:val="2"/>
              <w14:ligatures w14:val="standardContextual"/>
            </w:rPr>
          </w:pPr>
          <w:hyperlink w:anchor="_Toc206954709" w:history="1">
            <w:r w:rsidRPr="00887986">
              <w:rPr>
                <w:rStyle w:val="Hyperlink"/>
                <w:rFonts w:ascii="Arial" w:hAnsi="Arial" w:cs="Arial"/>
                <w:noProof/>
              </w:rPr>
              <w:t>The Tiering Transformation</w:t>
            </w:r>
            <w:r>
              <w:rPr>
                <w:noProof/>
                <w:webHidden/>
              </w:rPr>
              <w:tab/>
            </w:r>
            <w:r>
              <w:rPr>
                <w:noProof/>
                <w:webHidden/>
              </w:rPr>
              <w:fldChar w:fldCharType="begin"/>
            </w:r>
            <w:r>
              <w:rPr>
                <w:noProof/>
                <w:webHidden/>
              </w:rPr>
              <w:instrText xml:space="preserve"> PAGEREF _Toc206954709 \h </w:instrText>
            </w:r>
            <w:r>
              <w:rPr>
                <w:noProof/>
                <w:webHidden/>
              </w:rPr>
            </w:r>
            <w:r>
              <w:rPr>
                <w:noProof/>
                <w:webHidden/>
              </w:rPr>
              <w:fldChar w:fldCharType="separate"/>
            </w:r>
            <w:r>
              <w:rPr>
                <w:noProof/>
                <w:webHidden/>
              </w:rPr>
              <w:t>40</w:t>
            </w:r>
            <w:r>
              <w:rPr>
                <w:noProof/>
                <w:webHidden/>
              </w:rPr>
              <w:fldChar w:fldCharType="end"/>
            </w:r>
          </w:hyperlink>
        </w:p>
        <w:p w14:paraId="3160EFBA" w14:textId="426B9126" w:rsidR="005610D4" w:rsidRDefault="005610D4">
          <w:pPr>
            <w:pStyle w:val="TOC2"/>
            <w:tabs>
              <w:tab w:val="right" w:leader="dot" w:pos="9350"/>
            </w:tabs>
            <w:rPr>
              <w:rFonts w:eastAsiaTheme="minorEastAsia"/>
              <w:noProof/>
              <w:kern w:val="2"/>
              <w14:ligatures w14:val="standardContextual"/>
            </w:rPr>
          </w:pPr>
          <w:hyperlink w:anchor="_Toc206954710" w:history="1">
            <w:r w:rsidRPr="00887986">
              <w:rPr>
                <w:rStyle w:val="Hyperlink"/>
                <w:rFonts w:ascii="Arial" w:hAnsi="Arial" w:cs="Arial"/>
                <w:noProof/>
              </w:rPr>
              <w:t>Industry Specialization Premiums</w:t>
            </w:r>
            <w:r>
              <w:rPr>
                <w:noProof/>
                <w:webHidden/>
              </w:rPr>
              <w:tab/>
            </w:r>
            <w:r>
              <w:rPr>
                <w:noProof/>
                <w:webHidden/>
              </w:rPr>
              <w:fldChar w:fldCharType="begin"/>
            </w:r>
            <w:r>
              <w:rPr>
                <w:noProof/>
                <w:webHidden/>
              </w:rPr>
              <w:instrText xml:space="preserve"> PAGEREF _Toc206954710 \h </w:instrText>
            </w:r>
            <w:r>
              <w:rPr>
                <w:noProof/>
                <w:webHidden/>
              </w:rPr>
            </w:r>
            <w:r>
              <w:rPr>
                <w:noProof/>
                <w:webHidden/>
              </w:rPr>
              <w:fldChar w:fldCharType="separate"/>
            </w:r>
            <w:r>
              <w:rPr>
                <w:noProof/>
                <w:webHidden/>
              </w:rPr>
              <w:t>40</w:t>
            </w:r>
            <w:r>
              <w:rPr>
                <w:noProof/>
                <w:webHidden/>
              </w:rPr>
              <w:fldChar w:fldCharType="end"/>
            </w:r>
          </w:hyperlink>
        </w:p>
        <w:p w14:paraId="6ED98836" w14:textId="6E9EBF49" w:rsidR="005610D4" w:rsidRDefault="005610D4">
          <w:pPr>
            <w:pStyle w:val="TOC2"/>
            <w:tabs>
              <w:tab w:val="right" w:leader="dot" w:pos="9350"/>
            </w:tabs>
            <w:rPr>
              <w:rFonts w:eastAsiaTheme="minorEastAsia"/>
              <w:noProof/>
              <w:kern w:val="2"/>
              <w14:ligatures w14:val="standardContextual"/>
            </w:rPr>
          </w:pPr>
          <w:hyperlink w:anchor="_Toc206954711" w:history="1">
            <w:r w:rsidRPr="00887986">
              <w:rPr>
                <w:rStyle w:val="Hyperlink"/>
                <w:rFonts w:ascii="Arial" w:hAnsi="Arial" w:cs="Arial"/>
                <w:noProof/>
              </w:rPr>
              <w:t>The Co-Managed Revolution</w:t>
            </w:r>
            <w:r>
              <w:rPr>
                <w:noProof/>
                <w:webHidden/>
              </w:rPr>
              <w:tab/>
            </w:r>
            <w:r>
              <w:rPr>
                <w:noProof/>
                <w:webHidden/>
              </w:rPr>
              <w:fldChar w:fldCharType="begin"/>
            </w:r>
            <w:r>
              <w:rPr>
                <w:noProof/>
                <w:webHidden/>
              </w:rPr>
              <w:instrText xml:space="preserve"> PAGEREF _Toc206954711 \h </w:instrText>
            </w:r>
            <w:r>
              <w:rPr>
                <w:noProof/>
                <w:webHidden/>
              </w:rPr>
            </w:r>
            <w:r>
              <w:rPr>
                <w:noProof/>
                <w:webHidden/>
              </w:rPr>
              <w:fldChar w:fldCharType="separate"/>
            </w:r>
            <w:r>
              <w:rPr>
                <w:noProof/>
                <w:webHidden/>
              </w:rPr>
              <w:t>41</w:t>
            </w:r>
            <w:r>
              <w:rPr>
                <w:noProof/>
                <w:webHidden/>
              </w:rPr>
              <w:fldChar w:fldCharType="end"/>
            </w:r>
          </w:hyperlink>
        </w:p>
        <w:p w14:paraId="2A4B710F" w14:textId="0EFF3382" w:rsidR="005610D4" w:rsidRDefault="005610D4">
          <w:pPr>
            <w:pStyle w:val="TOC2"/>
            <w:tabs>
              <w:tab w:val="right" w:leader="dot" w:pos="9350"/>
            </w:tabs>
            <w:rPr>
              <w:rFonts w:eastAsiaTheme="minorEastAsia"/>
              <w:noProof/>
              <w:kern w:val="2"/>
              <w14:ligatures w14:val="standardContextual"/>
            </w:rPr>
          </w:pPr>
          <w:hyperlink w:anchor="_Toc206954712" w:history="1">
            <w:r w:rsidRPr="00887986">
              <w:rPr>
                <w:rStyle w:val="Hyperlink"/>
                <w:rFonts w:ascii="Arial" w:hAnsi="Arial" w:cs="Arial"/>
                <w:noProof/>
              </w:rPr>
              <w:t>Subscription Economics Mastery</w:t>
            </w:r>
            <w:r>
              <w:rPr>
                <w:noProof/>
                <w:webHidden/>
              </w:rPr>
              <w:tab/>
            </w:r>
            <w:r>
              <w:rPr>
                <w:noProof/>
                <w:webHidden/>
              </w:rPr>
              <w:fldChar w:fldCharType="begin"/>
            </w:r>
            <w:r>
              <w:rPr>
                <w:noProof/>
                <w:webHidden/>
              </w:rPr>
              <w:instrText xml:space="preserve"> PAGEREF _Toc206954712 \h </w:instrText>
            </w:r>
            <w:r>
              <w:rPr>
                <w:noProof/>
                <w:webHidden/>
              </w:rPr>
            </w:r>
            <w:r>
              <w:rPr>
                <w:noProof/>
                <w:webHidden/>
              </w:rPr>
              <w:fldChar w:fldCharType="separate"/>
            </w:r>
            <w:r>
              <w:rPr>
                <w:noProof/>
                <w:webHidden/>
              </w:rPr>
              <w:t>41</w:t>
            </w:r>
            <w:r>
              <w:rPr>
                <w:noProof/>
                <w:webHidden/>
              </w:rPr>
              <w:fldChar w:fldCharType="end"/>
            </w:r>
          </w:hyperlink>
        </w:p>
        <w:p w14:paraId="2B3D2697" w14:textId="7B560DAB" w:rsidR="005610D4" w:rsidRDefault="005610D4">
          <w:pPr>
            <w:pStyle w:val="TOC2"/>
            <w:tabs>
              <w:tab w:val="right" w:leader="dot" w:pos="9350"/>
            </w:tabs>
            <w:rPr>
              <w:rFonts w:eastAsiaTheme="minorEastAsia"/>
              <w:noProof/>
              <w:kern w:val="2"/>
              <w14:ligatures w14:val="standardContextual"/>
            </w:rPr>
          </w:pPr>
          <w:hyperlink w:anchor="_Toc206954713" w:history="1">
            <w:r w:rsidRPr="00887986">
              <w:rPr>
                <w:rStyle w:val="Hyperlink"/>
                <w:rFonts w:ascii="Arial" w:hAnsi="Arial" w:cs="Arial"/>
                <w:noProof/>
              </w:rPr>
              <w:t>Value Stacking Strategies</w:t>
            </w:r>
            <w:r>
              <w:rPr>
                <w:noProof/>
                <w:webHidden/>
              </w:rPr>
              <w:tab/>
            </w:r>
            <w:r>
              <w:rPr>
                <w:noProof/>
                <w:webHidden/>
              </w:rPr>
              <w:fldChar w:fldCharType="begin"/>
            </w:r>
            <w:r>
              <w:rPr>
                <w:noProof/>
                <w:webHidden/>
              </w:rPr>
              <w:instrText xml:space="preserve"> PAGEREF _Toc206954713 \h </w:instrText>
            </w:r>
            <w:r>
              <w:rPr>
                <w:noProof/>
                <w:webHidden/>
              </w:rPr>
            </w:r>
            <w:r>
              <w:rPr>
                <w:noProof/>
                <w:webHidden/>
              </w:rPr>
              <w:fldChar w:fldCharType="separate"/>
            </w:r>
            <w:r>
              <w:rPr>
                <w:noProof/>
                <w:webHidden/>
              </w:rPr>
              <w:t>42</w:t>
            </w:r>
            <w:r>
              <w:rPr>
                <w:noProof/>
                <w:webHidden/>
              </w:rPr>
              <w:fldChar w:fldCharType="end"/>
            </w:r>
          </w:hyperlink>
        </w:p>
        <w:p w14:paraId="63FE3609" w14:textId="4394E7B6" w:rsidR="005610D4" w:rsidRDefault="005610D4">
          <w:pPr>
            <w:pStyle w:val="TOC2"/>
            <w:tabs>
              <w:tab w:val="right" w:leader="dot" w:pos="9350"/>
            </w:tabs>
            <w:rPr>
              <w:rFonts w:eastAsiaTheme="minorEastAsia"/>
              <w:noProof/>
              <w:kern w:val="2"/>
              <w14:ligatures w14:val="standardContextual"/>
            </w:rPr>
          </w:pPr>
          <w:hyperlink w:anchor="_Toc206954714" w:history="1">
            <w:r w:rsidRPr="00887986">
              <w:rPr>
                <w:rStyle w:val="Hyperlink"/>
                <w:rFonts w:ascii="Arial" w:hAnsi="Arial" w:cs="Arial"/>
                <w:noProof/>
              </w:rPr>
              <w:t>The Platform Monetization Play</w:t>
            </w:r>
            <w:r>
              <w:rPr>
                <w:noProof/>
                <w:webHidden/>
              </w:rPr>
              <w:tab/>
            </w:r>
            <w:r>
              <w:rPr>
                <w:noProof/>
                <w:webHidden/>
              </w:rPr>
              <w:fldChar w:fldCharType="begin"/>
            </w:r>
            <w:r>
              <w:rPr>
                <w:noProof/>
                <w:webHidden/>
              </w:rPr>
              <w:instrText xml:space="preserve"> PAGEREF _Toc206954714 \h </w:instrText>
            </w:r>
            <w:r>
              <w:rPr>
                <w:noProof/>
                <w:webHidden/>
              </w:rPr>
            </w:r>
            <w:r>
              <w:rPr>
                <w:noProof/>
                <w:webHidden/>
              </w:rPr>
              <w:fldChar w:fldCharType="separate"/>
            </w:r>
            <w:r>
              <w:rPr>
                <w:noProof/>
                <w:webHidden/>
              </w:rPr>
              <w:t>43</w:t>
            </w:r>
            <w:r>
              <w:rPr>
                <w:noProof/>
                <w:webHidden/>
              </w:rPr>
              <w:fldChar w:fldCharType="end"/>
            </w:r>
          </w:hyperlink>
        </w:p>
        <w:p w14:paraId="2A6BE68A" w14:textId="459981C1" w:rsidR="005610D4" w:rsidRDefault="005610D4">
          <w:pPr>
            <w:pStyle w:val="TOC2"/>
            <w:tabs>
              <w:tab w:val="right" w:leader="dot" w:pos="9350"/>
            </w:tabs>
            <w:rPr>
              <w:rFonts w:eastAsiaTheme="minorEastAsia"/>
              <w:noProof/>
              <w:kern w:val="2"/>
              <w14:ligatures w14:val="standardContextual"/>
            </w:rPr>
          </w:pPr>
          <w:hyperlink w:anchor="_Toc206954715" w:history="1">
            <w:r w:rsidRPr="00887986">
              <w:rPr>
                <w:rStyle w:val="Hyperlink"/>
                <w:rFonts w:ascii="Arial" w:hAnsi="Arial" w:cs="Arial"/>
                <w:noProof/>
              </w:rPr>
              <w:t>The Pricing Psychology Revolution</w:t>
            </w:r>
            <w:r>
              <w:rPr>
                <w:noProof/>
                <w:webHidden/>
              </w:rPr>
              <w:tab/>
            </w:r>
            <w:r>
              <w:rPr>
                <w:noProof/>
                <w:webHidden/>
              </w:rPr>
              <w:fldChar w:fldCharType="begin"/>
            </w:r>
            <w:r>
              <w:rPr>
                <w:noProof/>
                <w:webHidden/>
              </w:rPr>
              <w:instrText xml:space="preserve"> PAGEREF _Toc206954715 \h </w:instrText>
            </w:r>
            <w:r>
              <w:rPr>
                <w:noProof/>
                <w:webHidden/>
              </w:rPr>
            </w:r>
            <w:r>
              <w:rPr>
                <w:noProof/>
                <w:webHidden/>
              </w:rPr>
              <w:fldChar w:fldCharType="separate"/>
            </w:r>
            <w:r>
              <w:rPr>
                <w:noProof/>
                <w:webHidden/>
              </w:rPr>
              <w:t>43</w:t>
            </w:r>
            <w:r>
              <w:rPr>
                <w:noProof/>
                <w:webHidden/>
              </w:rPr>
              <w:fldChar w:fldCharType="end"/>
            </w:r>
          </w:hyperlink>
        </w:p>
        <w:p w14:paraId="08780BDC" w14:textId="62EF7860" w:rsidR="005610D4" w:rsidRDefault="005610D4">
          <w:pPr>
            <w:pStyle w:val="TOC1"/>
            <w:tabs>
              <w:tab w:val="right" w:leader="dot" w:pos="9350"/>
            </w:tabs>
            <w:rPr>
              <w:rFonts w:eastAsiaTheme="minorEastAsia"/>
              <w:noProof/>
              <w:kern w:val="2"/>
              <w14:ligatures w14:val="standardContextual"/>
            </w:rPr>
          </w:pPr>
          <w:hyperlink w:anchor="_Toc206954716" w:history="1">
            <w:r w:rsidRPr="00887986">
              <w:rPr>
                <w:rStyle w:val="Hyperlink"/>
                <w:rFonts w:ascii="Arial" w:hAnsi="Arial" w:cs="Arial"/>
                <w:noProof/>
              </w:rPr>
              <w:t>Chapter 8: Operational Excellence Frameworks</w:t>
            </w:r>
            <w:r>
              <w:rPr>
                <w:noProof/>
                <w:webHidden/>
              </w:rPr>
              <w:tab/>
            </w:r>
            <w:r>
              <w:rPr>
                <w:noProof/>
                <w:webHidden/>
              </w:rPr>
              <w:fldChar w:fldCharType="begin"/>
            </w:r>
            <w:r>
              <w:rPr>
                <w:noProof/>
                <w:webHidden/>
              </w:rPr>
              <w:instrText xml:space="preserve"> PAGEREF _Toc206954716 \h </w:instrText>
            </w:r>
            <w:r>
              <w:rPr>
                <w:noProof/>
                <w:webHidden/>
              </w:rPr>
            </w:r>
            <w:r>
              <w:rPr>
                <w:noProof/>
                <w:webHidden/>
              </w:rPr>
              <w:fldChar w:fldCharType="separate"/>
            </w:r>
            <w:r>
              <w:rPr>
                <w:noProof/>
                <w:webHidden/>
              </w:rPr>
              <w:t>45</w:t>
            </w:r>
            <w:r>
              <w:rPr>
                <w:noProof/>
                <w:webHidden/>
              </w:rPr>
              <w:fldChar w:fldCharType="end"/>
            </w:r>
          </w:hyperlink>
        </w:p>
        <w:p w14:paraId="006BB498" w14:textId="024A0E5F" w:rsidR="005610D4" w:rsidRDefault="005610D4">
          <w:pPr>
            <w:pStyle w:val="TOC2"/>
            <w:tabs>
              <w:tab w:val="right" w:leader="dot" w:pos="9350"/>
            </w:tabs>
            <w:rPr>
              <w:rFonts w:eastAsiaTheme="minorEastAsia"/>
              <w:noProof/>
              <w:kern w:val="2"/>
              <w14:ligatures w14:val="standardContextual"/>
            </w:rPr>
          </w:pPr>
          <w:hyperlink w:anchor="_Toc206954717" w:history="1">
            <w:r w:rsidRPr="00887986">
              <w:rPr>
                <w:rStyle w:val="Hyperlink"/>
                <w:rFonts w:ascii="Arial" w:hAnsi="Arial" w:cs="Arial"/>
                <w:noProof/>
              </w:rPr>
              <w:t>The Squad Revolution</w:t>
            </w:r>
            <w:r>
              <w:rPr>
                <w:noProof/>
                <w:webHidden/>
              </w:rPr>
              <w:tab/>
            </w:r>
            <w:r>
              <w:rPr>
                <w:noProof/>
                <w:webHidden/>
              </w:rPr>
              <w:fldChar w:fldCharType="begin"/>
            </w:r>
            <w:r>
              <w:rPr>
                <w:noProof/>
                <w:webHidden/>
              </w:rPr>
              <w:instrText xml:space="preserve"> PAGEREF _Toc206954717 \h </w:instrText>
            </w:r>
            <w:r>
              <w:rPr>
                <w:noProof/>
                <w:webHidden/>
              </w:rPr>
            </w:r>
            <w:r>
              <w:rPr>
                <w:noProof/>
                <w:webHidden/>
              </w:rPr>
              <w:fldChar w:fldCharType="separate"/>
            </w:r>
            <w:r>
              <w:rPr>
                <w:noProof/>
                <w:webHidden/>
              </w:rPr>
              <w:t>45</w:t>
            </w:r>
            <w:r>
              <w:rPr>
                <w:noProof/>
                <w:webHidden/>
              </w:rPr>
              <w:fldChar w:fldCharType="end"/>
            </w:r>
          </w:hyperlink>
        </w:p>
        <w:p w14:paraId="3EFBCB23" w14:textId="5B5E4A33" w:rsidR="005610D4" w:rsidRDefault="005610D4">
          <w:pPr>
            <w:pStyle w:val="TOC2"/>
            <w:tabs>
              <w:tab w:val="right" w:leader="dot" w:pos="9350"/>
            </w:tabs>
            <w:rPr>
              <w:rFonts w:eastAsiaTheme="minorEastAsia"/>
              <w:noProof/>
              <w:kern w:val="2"/>
              <w14:ligatures w14:val="standardContextual"/>
            </w:rPr>
          </w:pPr>
          <w:hyperlink w:anchor="_Toc206954718" w:history="1">
            <w:r w:rsidRPr="00887986">
              <w:rPr>
                <w:rStyle w:val="Hyperlink"/>
                <w:rFonts w:ascii="Arial" w:hAnsi="Arial" w:cs="Arial"/>
                <w:noProof/>
              </w:rPr>
              <w:t>Platform Consolidation Mathematics</w:t>
            </w:r>
            <w:r>
              <w:rPr>
                <w:noProof/>
                <w:webHidden/>
              </w:rPr>
              <w:tab/>
            </w:r>
            <w:r>
              <w:rPr>
                <w:noProof/>
                <w:webHidden/>
              </w:rPr>
              <w:fldChar w:fldCharType="begin"/>
            </w:r>
            <w:r>
              <w:rPr>
                <w:noProof/>
                <w:webHidden/>
              </w:rPr>
              <w:instrText xml:space="preserve"> PAGEREF _Toc206954718 \h </w:instrText>
            </w:r>
            <w:r>
              <w:rPr>
                <w:noProof/>
                <w:webHidden/>
              </w:rPr>
            </w:r>
            <w:r>
              <w:rPr>
                <w:noProof/>
                <w:webHidden/>
              </w:rPr>
              <w:fldChar w:fldCharType="separate"/>
            </w:r>
            <w:r>
              <w:rPr>
                <w:noProof/>
                <w:webHidden/>
              </w:rPr>
              <w:t>46</w:t>
            </w:r>
            <w:r>
              <w:rPr>
                <w:noProof/>
                <w:webHidden/>
              </w:rPr>
              <w:fldChar w:fldCharType="end"/>
            </w:r>
          </w:hyperlink>
        </w:p>
        <w:p w14:paraId="5CACE617" w14:textId="0CFEBB69" w:rsidR="005610D4" w:rsidRDefault="005610D4">
          <w:pPr>
            <w:pStyle w:val="TOC2"/>
            <w:tabs>
              <w:tab w:val="right" w:leader="dot" w:pos="9350"/>
            </w:tabs>
            <w:rPr>
              <w:rFonts w:eastAsiaTheme="minorEastAsia"/>
              <w:noProof/>
              <w:kern w:val="2"/>
              <w14:ligatures w14:val="standardContextual"/>
            </w:rPr>
          </w:pPr>
          <w:hyperlink w:anchor="_Toc206954719" w:history="1">
            <w:r w:rsidRPr="00887986">
              <w:rPr>
                <w:rStyle w:val="Hyperlink"/>
                <w:rFonts w:ascii="Arial" w:hAnsi="Arial" w:cs="Arial"/>
                <w:noProof/>
              </w:rPr>
              <w:t>The 45-Day Implementation Standard</w:t>
            </w:r>
            <w:r>
              <w:rPr>
                <w:noProof/>
                <w:webHidden/>
              </w:rPr>
              <w:tab/>
            </w:r>
            <w:r>
              <w:rPr>
                <w:noProof/>
                <w:webHidden/>
              </w:rPr>
              <w:fldChar w:fldCharType="begin"/>
            </w:r>
            <w:r>
              <w:rPr>
                <w:noProof/>
                <w:webHidden/>
              </w:rPr>
              <w:instrText xml:space="preserve"> PAGEREF _Toc206954719 \h </w:instrText>
            </w:r>
            <w:r>
              <w:rPr>
                <w:noProof/>
                <w:webHidden/>
              </w:rPr>
            </w:r>
            <w:r>
              <w:rPr>
                <w:noProof/>
                <w:webHidden/>
              </w:rPr>
              <w:fldChar w:fldCharType="separate"/>
            </w:r>
            <w:r>
              <w:rPr>
                <w:noProof/>
                <w:webHidden/>
              </w:rPr>
              <w:t>46</w:t>
            </w:r>
            <w:r>
              <w:rPr>
                <w:noProof/>
                <w:webHidden/>
              </w:rPr>
              <w:fldChar w:fldCharType="end"/>
            </w:r>
          </w:hyperlink>
        </w:p>
        <w:p w14:paraId="7003E6A1" w14:textId="7425A0E6" w:rsidR="005610D4" w:rsidRDefault="005610D4">
          <w:pPr>
            <w:pStyle w:val="TOC2"/>
            <w:tabs>
              <w:tab w:val="right" w:leader="dot" w:pos="9350"/>
            </w:tabs>
            <w:rPr>
              <w:rFonts w:eastAsiaTheme="minorEastAsia"/>
              <w:noProof/>
              <w:kern w:val="2"/>
              <w14:ligatures w14:val="standardContextual"/>
            </w:rPr>
          </w:pPr>
          <w:hyperlink w:anchor="_Toc206954720" w:history="1">
            <w:r w:rsidRPr="00887986">
              <w:rPr>
                <w:rStyle w:val="Hyperlink"/>
                <w:rFonts w:ascii="Arial" w:hAnsi="Arial" w:cs="Arial"/>
                <w:noProof/>
              </w:rPr>
              <w:t>Retention Economics Mastery</w:t>
            </w:r>
            <w:r>
              <w:rPr>
                <w:noProof/>
                <w:webHidden/>
              </w:rPr>
              <w:tab/>
            </w:r>
            <w:r>
              <w:rPr>
                <w:noProof/>
                <w:webHidden/>
              </w:rPr>
              <w:fldChar w:fldCharType="begin"/>
            </w:r>
            <w:r>
              <w:rPr>
                <w:noProof/>
                <w:webHidden/>
              </w:rPr>
              <w:instrText xml:space="preserve"> PAGEREF _Toc206954720 \h </w:instrText>
            </w:r>
            <w:r>
              <w:rPr>
                <w:noProof/>
                <w:webHidden/>
              </w:rPr>
            </w:r>
            <w:r>
              <w:rPr>
                <w:noProof/>
                <w:webHidden/>
              </w:rPr>
              <w:fldChar w:fldCharType="separate"/>
            </w:r>
            <w:r>
              <w:rPr>
                <w:noProof/>
                <w:webHidden/>
              </w:rPr>
              <w:t>47</w:t>
            </w:r>
            <w:r>
              <w:rPr>
                <w:noProof/>
                <w:webHidden/>
              </w:rPr>
              <w:fldChar w:fldCharType="end"/>
            </w:r>
          </w:hyperlink>
        </w:p>
        <w:p w14:paraId="60B3AC5E" w14:textId="5EB44B1F" w:rsidR="005610D4" w:rsidRDefault="005610D4">
          <w:pPr>
            <w:pStyle w:val="TOC2"/>
            <w:tabs>
              <w:tab w:val="right" w:leader="dot" w:pos="9350"/>
            </w:tabs>
            <w:rPr>
              <w:rFonts w:eastAsiaTheme="minorEastAsia"/>
              <w:noProof/>
              <w:kern w:val="2"/>
              <w14:ligatures w14:val="standardContextual"/>
            </w:rPr>
          </w:pPr>
          <w:hyperlink w:anchor="_Toc206954721" w:history="1">
            <w:r w:rsidRPr="00887986">
              <w:rPr>
                <w:rStyle w:val="Hyperlink"/>
                <w:rFonts w:ascii="Arial" w:hAnsi="Arial" w:cs="Arial"/>
                <w:noProof/>
              </w:rPr>
              <w:t>The Operational Cadence</w:t>
            </w:r>
            <w:r>
              <w:rPr>
                <w:noProof/>
                <w:webHidden/>
              </w:rPr>
              <w:tab/>
            </w:r>
            <w:r>
              <w:rPr>
                <w:noProof/>
                <w:webHidden/>
              </w:rPr>
              <w:fldChar w:fldCharType="begin"/>
            </w:r>
            <w:r>
              <w:rPr>
                <w:noProof/>
                <w:webHidden/>
              </w:rPr>
              <w:instrText xml:space="preserve"> PAGEREF _Toc206954721 \h </w:instrText>
            </w:r>
            <w:r>
              <w:rPr>
                <w:noProof/>
                <w:webHidden/>
              </w:rPr>
            </w:r>
            <w:r>
              <w:rPr>
                <w:noProof/>
                <w:webHidden/>
              </w:rPr>
              <w:fldChar w:fldCharType="separate"/>
            </w:r>
            <w:r>
              <w:rPr>
                <w:noProof/>
                <w:webHidden/>
              </w:rPr>
              <w:t>48</w:t>
            </w:r>
            <w:r>
              <w:rPr>
                <w:noProof/>
                <w:webHidden/>
              </w:rPr>
              <w:fldChar w:fldCharType="end"/>
            </w:r>
          </w:hyperlink>
        </w:p>
        <w:p w14:paraId="67E871FB" w14:textId="7581599F" w:rsidR="005610D4" w:rsidRDefault="005610D4">
          <w:pPr>
            <w:pStyle w:val="TOC2"/>
            <w:tabs>
              <w:tab w:val="right" w:leader="dot" w:pos="9350"/>
            </w:tabs>
            <w:rPr>
              <w:rFonts w:eastAsiaTheme="minorEastAsia"/>
              <w:noProof/>
              <w:kern w:val="2"/>
              <w14:ligatures w14:val="standardContextual"/>
            </w:rPr>
          </w:pPr>
          <w:hyperlink w:anchor="_Toc206954722" w:history="1">
            <w:r w:rsidRPr="00887986">
              <w:rPr>
                <w:rStyle w:val="Hyperlink"/>
                <w:rFonts w:ascii="Arial" w:hAnsi="Arial" w:cs="Arial"/>
                <w:noProof/>
              </w:rPr>
              <w:t>The Measurement Revolution</w:t>
            </w:r>
            <w:r>
              <w:rPr>
                <w:noProof/>
                <w:webHidden/>
              </w:rPr>
              <w:tab/>
            </w:r>
            <w:r>
              <w:rPr>
                <w:noProof/>
                <w:webHidden/>
              </w:rPr>
              <w:fldChar w:fldCharType="begin"/>
            </w:r>
            <w:r>
              <w:rPr>
                <w:noProof/>
                <w:webHidden/>
              </w:rPr>
              <w:instrText xml:space="preserve"> PAGEREF _Toc206954722 \h </w:instrText>
            </w:r>
            <w:r>
              <w:rPr>
                <w:noProof/>
                <w:webHidden/>
              </w:rPr>
            </w:r>
            <w:r>
              <w:rPr>
                <w:noProof/>
                <w:webHidden/>
              </w:rPr>
              <w:fldChar w:fldCharType="separate"/>
            </w:r>
            <w:r>
              <w:rPr>
                <w:noProof/>
                <w:webHidden/>
              </w:rPr>
              <w:t>48</w:t>
            </w:r>
            <w:r>
              <w:rPr>
                <w:noProof/>
                <w:webHidden/>
              </w:rPr>
              <w:fldChar w:fldCharType="end"/>
            </w:r>
          </w:hyperlink>
        </w:p>
        <w:p w14:paraId="5B69903C" w14:textId="17A9B796" w:rsidR="005610D4" w:rsidRDefault="005610D4">
          <w:pPr>
            <w:pStyle w:val="TOC2"/>
            <w:tabs>
              <w:tab w:val="right" w:leader="dot" w:pos="9350"/>
            </w:tabs>
            <w:rPr>
              <w:rFonts w:eastAsiaTheme="minorEastAsia"/>
              <w:noProof/>
              <w:kern w:val="2"/>
              <w14:ligatures w14:val="standardContextual"/>
            </w:rPr>
          </w:pPr>
          <w:hyperlink w:anchor="_Toc206954723" w:history="1">
            <w:r w:rsidRPr="00887986">
              <w:rPr>
                <w:rStyle w:val="Hyperlink"/>
                <w:rFonts w:ascii="Arial" w:hAnsi="Arial" w:cs="Arial"/>
                <w:noProof/>
              </w:rPr>
              <w:t>The Continuous Improvement Engine</w:t>
            </w:r>
            <w:r>
              <w:rPr>
                <w:noProof/>
                <w:webHidden/>
              </w:rPr>
              <w:tab/>
            </w:r>
            <w:r>
              <w:rPr>
                <w:noProof/>
                <w:webHidden/>
              </w:rPr>
              <w:fldChar w:fldCharType="begin"/>
            </w:r>
            <w:r>
              <w:rPr>
                <w:noProof/>
                <w:webHidden/>
              </w:rPr>
              <w:instrText xml:space="preserve"> PAGEREF _Toc206954723 \h </w:instrText>
            </w:r>
            <w:r>
              <w:rPr>
                <w:noProof/>
                <w:webHidden/>
              </w:rPr>
            </w:r>
            <w:r>
              <w:rPr>
                <w:noProof/>
                <w:webHidden/>
              </w:rPr>
              <w:fldChar w:fldCharType="separate"/>
            </w:r>
            <w:r>
              <w:rPr>
                <w:noProof/>
                <w:webHidden/>
              </w:rPr>
              <w:t>49</w:t>
            </w:r>
            <w:r>
              <w:rPr>
                <w:noProof/>
                <w:webHidden/>
              </w:rPr>
              <w:fldChar w:fldCharType="end"/>
            </w:r>
          </w:hyperlink>
        </w:p>
        <w:p w14:paraId="7BCF36C5" w14:textId="19E8F96C" w:rsidR="005610D4" w:rsidRDefault="005610D4">
          <w:pPr>
            <w:pStyle w:val="TOC1"/>
            <w:tabs>
              <w:tab w:val="right" w:leader="dot" w:pos="9350"/>
            </w:tabs>
            <w:rPr>
              <w:rFonts w:eastAsiaTheme="minorEastAsia"/>
              <w:noProof/>
              <w:kern w:val="2"/>
              <w14:ligatures w14:val="standardContextual"/>
            </w:rPr>
          </w:pPr>
          <w:hyperlink w:anchor="_Toc206954724" w:history="1">
            <w:r w:rsidRPr="00887986">
              <w:rPr>
                <w:rStyle w:val="Hyperlink"/>
                <w:rFonts w:ascii="Arial" w:hAnsi="Arial" w:cs="Arial"/>
                <w:noProof/>
              </w:rPr>
              <w:t>Chapter 9: KPIs That Predict Profitability</w:t>
            </w:r>
            <w:r>
              <w:rPr>
                <w:noProof/>
                <w:webHidden/>
              </w:rPr>
              <w:tab/>
            </w:r>
            <w:r>
              <w:rPr>
                <w:noProof/>
                <w:webHidden/>
              </w:rPr>
              <w:fldChar w:fldCharType="begin"/>
            </w:r>
            <w:r>
              <w:rPr>
                <w:noProof/>
                <w:webHidden/>
              </w:rPr>
              <w:instrText xml:space="preserve"> PAGEREF _Toc206954724 \h </w:instrText>
            </w:r>
            <w:r>
              <w:rPr>
                <w:noProof/>
                <w:webHidden/>
              </w:rPr>
            </w:r>
            <w:r>
              <w:rPr>
                <w:noProof/>
                <w:webHidden/>
              </w:rPr>
              <w:fldChar w:fldCharType="separate"/>
            </w:r>
            <w:r>
              <w:rPr>
                <w:noProof/>
                <w:webHidden/>
              </w:rPr>
              <w:t>50</w:t>
            </w:r>
            <w:r>
              <w:rPr>
                <w:noProof/>
                <w:webHidden/>
              </w:rPr>
              <w:fldChar w:fldCharType="end"/>
            </w:r>
          </w:hyperlink>
        </w:p>
        <w:p w14:paraId="57750FC3" w14:textId="5F3758AA" w:rsidR="005610D4" w:rsidRDefault="005610D4">
          <w:pPr>
            <w:pStyle w:val="TOC2"/>
            <w:tabs>
              <w:tab w:val="right" w:leader="dot" w:pos="9350"/>
            </w:tabs>
            <w:rPr>
              <w:rFonts w:eastAsiaTheme="minorEastAsia"/>
              <w:noProof/>
              <w:kern w:val="2"/>
              <w14:ligatures w14:val="standardContextual"/>
            </w:rPr>
          </w:pPr>
          <w:hyperlink w:anchor="_Toc206954725" w:history="1">
            <w:r w:rsidRPr="00887986">
              <w:rPr>
                <w:rStyle w:val="Hyperlink"/>
                <w:rFonts w:ascii="Arial" w:hAnsi="Arial" w:cs="Arial"/>
                <w:noProof/>
              </w:rPr>
              <w:t>Financial Metrics: The Unforgiving Truth</w:t>
            </w:r>
            <w:r>
              <w:rPr>
                <w:noProof/>
                <w:webHidden/>
              </w:rPr>
              <w:tab/>
            </w:r>
            <w:r>
              <w:rPr>
                <w:noProof/>
                <w:webHidden/>
              </w:rPr>
              <w:fldChar w:fldCharType="begin"/>
            </w:r>
            <w:r>
              <w:rPr>
                <w:noProof/>
                <w:webHidden/>
              </w:rPr>
              <w:instrText xml:space="preserve"> PAGEREF _Toc206954725 \h </w:instrText>
            </w:r>
            <w:r>
              <w:rPr>
                <w:noProof/>
                <w:webHidden/>
              </w:rPr>
            </w:r>
            <w:r>
              <w:rPr>
                <w:noProof/>
                <w:webHidden/>
              </w:rPr>
              <w:fldChar w:fldCharType="separate"/>
            </w:r>
            <w:r>
              <w:rPr>
                <w:noProof/>
                <w:webHidden/>
              </w:rPr>
              <w:t>50</w:t>
            </w:r>
            <w:r>
              <w:rPr>
                <w:noProof/>
                <w:webHidden/>
              </w:rPr>
              <w:fldChar w:fldCharType="end"/>
            </w:r>
          </w:hyperlink>
        </w:p>
        <w:p w14:paraId="40EA90C5" w14:textId="70776B1C" w:rsidR="005610D4" w:rsidRDefault="005610D4">
          <w:pPr>
            <w:pStyle w:val="TOC2"/>
            <w:tabs>
              <w:tab w:val="right" w:leader="dot" w:pos="9350"/>
            </w:tabs>
            <w:rPr>
              <w:rFonts w:eastAsiaTheme="minorEastAsia"/>
              <w:noProof/>
              <w:kern w:val="2"/>
              <w14:ligatures w14:val="standardContextual"/>
            </w:rPr>
          </w:pPr>
          <w:hyperlink w:anchor="_Toc206954726" w:history="1">
            <w:r w:rsidRPr="00887986">
              <w:rPr>
                <w:rStyle w:val="Hyperlink"/>
                <w:rFonts w:ascii="Arial" w:hAnsi="Arial" w:cs="Arial"/>
                <w:noProof/>
              </w:rPr>
              <w:t>Operational Metrics: The Daily Reality</w:t>
            </w:r>
            <w:r>
              <w:rPr>
                <w:noProof/>
                <w:webHidden/>
              </w:rPr>
              <w:tab/>
            </w:r>
            <w:r>
              <w:rPr>
                <w:noProof/>
                <w:webHidden/>
              </w:rPr>
              <w:fldChar w:fldCharType="begin"/>
            </w:r>
            <w:r>
              <w:rPr>
                <w:noProof/>
                <w:webHidden/>
              </w:rPr>
              <w:instrText xml:space="preserve"> PAGEREF _Toc206954726 \h </w:instrText>
            </w:r>
            <w:r>
              <w:rPr>
                <w:noProof/>
                <w:webHidden/>
              </w:rPr>
            </w:r>
            <w:r>
              <w:rPr>
                <w:noProof/>
                <w:webHidden/>
              </w:rPr>
              <w:fldChar w:fldCharType="separate"/>
            </w:r>
            <w:r>
              <w:rPr>
                <w:noProof/>
                <w:webHidden/>
              </w:rPr>
              <w:t>51</w:t>
            </w:r>
            <w:r>
              <w:rPr>
                <w:noProof/>
                <w:webHidden/>
              </w:rPr>
              <w:fldChar w:fldCharType="end"/>
            </w:r>
          </w:hyperlink>
        </w:p>
        <w:p w14:paraId="01C0A2BF" w14:textId="4B0C9BAC" w:rsidR="005610D4" w:rsidRDefault="005610D4">
          <w:pPr>
            <w:pStyle w:val="TOC2"/>
            <w:tabs>
              <w:tab w:val="right" w:leader="dot" w:pos="9350"/>
            </w:tabs>
            <w:rPr>
              <w:rFonts w:eastAsiaTheme="minorEastAsia"/>
              <w:noProof/>
              <w:kern w:val="2"/>
              <w14:ligatures w14:val="standardContextual"/>
            </w:rPr>
          </w:pPr>
          <w:hyperlink w:anchor="_Toc206954727" w:history="1">
            <w:r w:rsidRPr="00887986">
              <w:rPr>
                <w:rStyle w:val="Hyperlink"/>
                <w:rFonts w:ascii="Arial" w:hAnsi="Arial" w:cs="Arial"/>
                <w:noProof/>
              </w:rPr>
              <w:t>Customer Metrics: The Relationship Barometer</w:t>
            </w:r>
            <w:r>
              <w:rPr>
                <w:noProof/>
                <w:webHidden/>
              </w:rPr>
              <w:tab/>
            </w:r>
            <w:r>
              <w:rPr>
                <w:noProof/>
                <w:webHidden/>
              </w:rPr>
              <w:fldChar w:fldCharType="begin"/>
            </w:r>
            <w:r>
              <w:rPr>
                <w:noProof/>
                <w:webHidden/>
              </w:rPr>
              <w:instrText xml:space="preserve"> PAGEREF _Toc206954727 \h </w:instrText>
            </w:r>
            <w:r>
              <w:rPr>
                <w:noProof/>
                <w:webHidden/>
              </w:rPr>
            </w:r>
            <w:r>
              <w:rPr>
                <w:noProof/>
                <w:webHidden/>
              </w:rPr>
              <w:fldChar w:fldCharType="separate"/>
            </w:r>
            <w:r>
              <w:rPr>
                <w:noProof/>
                <w:webHidden/>
              </w:rPr>
              <w:t>52</w:t>
            </w:r>
            <w:r>
              <w:rPr>
                <w:noProof/>
                <w:webHidden/>
              </w:rPr>
              <w:fldChar w:fldCharType="end"/>
            </w:r>
          </w:hyperlink>
        </w:p>
        <w:p w14:paraId="5630304F" w14:textId="158665B2" w:rsidR="005610D4" w:rsidRDefault="005610D4">
          <w:pPr>
            <w:pStyle w:val="TOC2"/>
            <w:tabs>
              <w:tab w:val="right" w:leader="dot" w:pos="9350"/>
            </w:tabs>
            <w:rPr>
              <w:rFonts w:eastAsiaTheme="minorEastAsia"/>
              <w:noProof/>
              <w:kern w:val="2"/>
              <w14:ligatures w14:val="standardContextual"/>
            </w:rPr>
          </w:pPr>
          <w:hyperlink w:anchor="_Toc206954728" w:history="1">
            <w:r w:rsidRPr="00887986">
              <w:rPr>
                <w:rStyle w:val="Hyperlink"/>
                <w:rFonts w:ascii="Arial" w:hAnsi="Arial" w:cs="Arial"/>
                <w:noProof/>
              </w:rPr>
              <w:t>Leading Indicators: The Early Warning System</w:t>
            </w:r>
            <w:r>
              <w:rPr>
                <w:noProof/>
                <w:webHidden/>
              </w:rPr>
              <w:tab/>
            </w:r>
            <w:r>
              <w:rPr>
                <w:noProof/>
                <w:webHidden/>
              </w:rPr>
              <w:fldChar w:fldCharType="begin"/>
            </w:r>
            <w:r>
              <w:rPr>
                <w:noProof/>
                <w:webHidden/>
              </w:rPr>
              <w:instrText xml:space="preserve"> PAGEREF _Toc206954728 \h </w:instrText>
            </w:r>
            <w:r>
              <w:rPr>
                <w:noProof/>
                <w:webHidden/>
              </w:rPr>
            </w:r>
            <w:r>
              <w:rPr>
                <w:noProof/>
                <w:webHidden/>
              </w:rPr>
              <w:fldChar w:fldCharType="separate"/>
            </w:r>
            <w:r>
              <w:rPr>
                <w:noProof/>
                <w:webHidden/>
              </w:rPr>
              <w:t>52</w:t>
            </w:r>
            <w:r>
              <w:rPr>
                <w:noProof/>
                <w:webHidden/>
              </w:rPr>
              <w:fldChar w:fldCharType="end"/>
            </w:r>
          </w:hyperlink>
        </w:p>
        <w:p w14:paraId="11BA2603" w14:textId="4D2067F2" w:rsidR="005610D4" w:rsidRDefault="005610D4">
          <w:pPr>
            <w:pStyle w:val="TOC2"/>
            <w:tabs>
              <w:tab w:val="right" w:leader="dot" w:pos="9350"/>
            </w:tabs>
            <w:rPr>
              <w:rFonts w:eastAsiaTheme="minorEastAsia"/>
              <w:noProof/>
              <w:kern w:val="2"/>
              <w14:ligatures w14:val="standardContextual"/>
            </w:rPr>
          </w:pPr>
          <w:hyperlink w:anchor="_Toc206954729" w:history="1">
            <w:r w:rsidRPr="00887986">
              <w:rPr>
                <w:rStyle w:val="Hyperlink"/>
                <w:rFonts w:ascii="Arial" w:hAnsi="Arial" w:cs="Arial"/>
                <w:noProof/>
              </w:rPr>
              <w:t>The Integration Challenge</w:t>
            </w:r>
            <w:r>
              <w:rPr>
                <w:noProof/>
                <w:webHidden/>
              </w:rPr>
              <w:tab/>
            </w:r>
            <w:r>
              <w:rPr>
                <w:noProof/>
                <w:webHidden/>
              </w:rPr>
              <w:fldChar w:fldCharType="begin"/>
            </w:r>
            <w:r>
              <w:rPr>
                <w:noProof/>
                <w:webHidden/>
              </w:rPr>
              <w:instrText xml:space="preserve"> PAGEREF _Toc206954729 \h </w:instrText>
            </w:r>
            <w:r>
              <w:rPr>
                <w:noProof/>
                <w:webHidden/>
              </w:rPr>
            </w:r>
            <w:r>
              <w:rPr>
                <w:noProof/>
                <w:webHidden/>
              </w:rPr>
              <w:fldChar w:fldCharType="separate"/>
            </w:r>
            <w:r>
              <w:rPr>
                <w:noProof/>
                <w:webHidden/>
              </w:rPr>
              <w:t>53</w:t>
            </w:r>
            <w:r>
              <w:rPr>
                <w:noProof/>
                <w:webHidden/>
              </w:rPr>
              <w:fldChar w:fldCharType="end"/>
            </w:r>
          </w:hyperlink>
        </w:p>
        <w:p w14:paraId="2D510D5E" w14:textId="192D0CE7" w:rsidR="005610D4" w:rsidRDefault="005610D4">
          <w:pPr>
            <w:pStyle w:val="TOC2"/>
            <w:tabs>
              <w:tab w:val="right" w:leader="dot" w:pos="9350"/>
            </w:tabs>
            <w:rPr>
              <w:rFonts w:eastAsiaTheme="minorEastAsia"/>
              <w:noProof/>
              <w:kern w:val="2"/>
              <w14:ligatures w14:val="standardContextual"/>
            </w:rPr>
          </w:pPr>
          <w:hyperlink w:anchor="_Toc206954730" w:history="1">
            <w:r w:rsidRPr="00887986">
              <w:rPr>
                <w:rStyle w:val="Hyperlink"/>
                <w:rFonts w:ascii="Arial" w:hAnsi="Arial" w:cs="Arial"/>
                <w:noProof/>
              </w:rPr>
              <w:t>The Action Imperative</w:t>
            </w:r>
            <w:r>
              <w:rPr>
                <w:noProof/>
                <w:webHidden/>
              </w:rPr>
              <w:tab/>
            </w:r>
            <w:r>
              <w:rPr>
                <w:noProof/>
                <w:webHidden/>
              </w:rPr>
              <w:fldChar w:fldCharType="begin"/>
            </w:r>
            <w:r>
              <w:rPr>
                <w:noProof/>
                <w:webHidden/>
              </w:rPr>
              <w:instrText xml:space="preserve"> PAGEREF _Toc206954730 \h </w:instrText>
            </w:r>
            <w:r>
              <w:rPr>
                <w:noProof/>
                <w:webHidden/>
              </w:rPr>
            </w:r>
            <w:r>
              <w:rPr>
                <w:noProof/>
                <w:webHidden/>
              </w:rPr>
              <w:fldChar w:fldCharType="separate"/>
            </w:r>
            <w:r>
              <w:rPr>
                <w:noProof/>
                <w:webHidden/>
              </w:rPr>
              <w:t>53</w:t>
            </w:r>
            <w:r>
              <w:rPr>
                <w:noProof/>
                <w:webHidden/>
              </w:rPr>
              <w:fldChar w:fldCharType="end"/>
            </w:r>
          </w:hyperlink>
        </w:p>
        <w:p w14:paraId="197AA58B" w14:textId="7AF75416" w:rsidR="005610D4" w:rsidRDefault="005610D4">
          <w:pPr>
            <w:pStyle w:val="TOC1"/>
            <w:tabs>
              <w:tab w:val="right" w:leader="dot" w:pos="9350"/>
            </w:tabs>
            <w:rPr>
              <w:rFonts w:eastAsiaTheme="minorEastAsia"/>
              <w:noProof/>
              <w:kern w:val="2"/>
              <w14:ligatures w14:val="standardContextual"/>
            </w:rPr>
          </w:pPr>
          <w:hyperlink w:anchor="_Toc206954731" w:history="1">
            <w:r w:rsidRPr="00887986">
              <w:rPr>
                <w:rStyle w:val="Hyperlink"/>
                <w:rFonts w:ascii="Arial" w:hAnsi="Arial" w:cs="Arial"/>
                <w:noProof/>
              </w:rPr>
              <w:t>Chapter 10: Implementation Roadmap</w:t>
            </w:r>
            <w:r>
              <w:rPr>
                <w:noProof/>
                <w:webHidden/>
              </w:rPr>
              <w:tab/>
            </w:r>
            <w:r>
              <w:rPr>
                <w:noProof/>
                <w:webHidden/>
              </w:rPr>
              <w:fldChar w:fldCharType="begin"/>
            </w:r>
            <w:r>
              <w:rPr>
                <w:noProof/>
                <w:webHidden/>
              </w:rPr>
              <w:instrText xml:space="preserve"> PAGEREF _Toc206954731 \h </w:instrText>
            </w:r>
            <w:r>
              <w:rPr>
                <w:noProof/>
                <w:webHidden/>
              </w:rPr>
            </w:r>
            <w:r>
              <w:rPr>
                <w:noProof/>
                <w:webHidden/>
              </w:rPr>
              <w:fldChar w:fldCharType="separate"/>
            </w:r>
            <w:r>
              <w:rPr>
                <w:noProof/>
                <w:webHidden/>
              </w:rPr>
              <w:t>55</w:t>
            </w:r>
            <w:r>
              <w:rPr>
                <w:noProof/>
                <w:webHidden/>
              </w:rPr>
              <w:fldChar w:fldCharType="end"/>
            </w:r>
          </w:hyperlink>
        </w:p>
        <w:p w14:paraId="112D8989" w14:textId="2A0FFBD9" w:rsidR="005610D4" w:rsidRDefault="005610D4">
          <w:pPr>
            <w:pStyle w:val="TOC2"/>
            <w:tabs>
              <w:tab w:val="right" w:leader="dot" w:pos="9350"/>
            </w:tabs>
            <w:rPr>
              <w:rFonts w:eastAsiaTheme="minorEastAsia"/>
              <w:noProof/>
              <w:kern w:val="2"/>
              <w14:ligatures w14:val="standardContextual"/>
            </w:rPr>
          </w:pPr>
          <w:hyperlink w:anchor="_Toc206954732" w:history="1">
            <w:r w:rsidRPr="00887986">
              <w:rPr>
                <w:rStyle w:val="Hyperlink"/>
                <w:rFonts w:ascii="Arial" w:hAnsi="Arial" w:cs="Arial"/>
                <w:noProof/>
              </w:rPr>
              <w:t>Year One: Foundation Building</w:t>
            </w:r>
            <w:r>
              <w:rPr>
                <w:noProof/>
                <w:webHidden/>
              </w:rPr>
              <w:tab/>
            </w:r>
            <w:r>
              <w:rPr>
                <w:noProof/>
                <w:webHidden/>
              </w:rPr>
              <w:fldChar w:fldCharType="begin"/>
            </w:r>
            <w:r>
              <w:rPr>
                <w:noProof/>
                <w:webHidden/>
              </w:rPr>
              <w:instrText xml:space="preserve"> PAGEREF _Toc206954732 \h </w:instrText>
            </w:r>
            <w:r>
              <w:rPr>
                <w:noProof/>
                <w:webHidden/>
              </w:rPr>
            </w:r>
            <w:r>
              <w:rPr>
                <w:noProof/>
                <w:webHidden/>
              </w:rPr>
              <w:fldChar w:fldCharType="separate"/>
            </w:r>
            <w:r>
              <w:rPr>
                <w:noProof/>
                <w:webHidden/>
              </w:rPr>
              <w:t>55</w:t>
            </w:r>
            <w:r>
              <w:rPr>
                <w:noProof/>
                <w:webHidden/>
              </w:rPr>
              <w:fldChar w:fldCharType="end"/>
            </w:r>
          </w:hyperlink>
        </w:p>
        <w:p w14:paraId="1B01FD8D" w14:textId="4AD8FA8A" w:rsidR="005610D4" w:rsidRDefault="005610D4">
          <w:pPr>
            <w:pStyle w:val="TOC2"/>
            <w:tabs>
              <w:tab w:val="right" w:leader="dot" w:pos="9350"/>
            </w:tabs>
            <w:rPr>
              <w:rFonts w:eastAsiaTheme="minorEastAsia"/>
              <w:noProof/>
              <w:kern w:val="2"/>
              <w14:ligatures w14:val="standardContextual"/>
            </w:rPr>
          </w:pPr>
          <w:hyperlink w:anchor="_Toc206954733" w:history="1">
            <w:r w:rsidRPr="00887986">
              <w:rPr>
                <w:rStyle w:val="Hyperlink"/>
                <w:rFonts w:ascii="Arial" w:hAnsi="Arial" w:cs="Arial"/>
                <w:noProof/>
              </w:rPr>
              <w:t>Year Two: Operational Optimization</w:t>
            </w:r>
            <w:r>
              <w:rPr>
                <w:noProof/>
                <w:webHidden/>
              </w:rPr>
              <w:tab/>
            </w:r>
            <w:r>
              <w:rPr>
                <w:noProof/>
                <w:webHidden/>
              </w:rPr>
              <w:fldChar w:fldCharType="begin"/>
            </w:r>
            <w:r>
              <w:rPr>
                <w:noProof/>
                <w:webHidden/>
              </w:rPr>
              <w:instrText xml:space="preserve"> PAGEREF _Toc206954733 \h </w:instrText>
            </w:r>
            <w:r>
              <w:rPr>
                <w:noProof/>
                <w:webHidden/>
              </w:rPr>
            </w:r>
            <w:r>
              <w:rPr>
                <w:noProof/>
                <w:webHidden/>
              </w:rPr>
              <w:fldChar w:fldCharType="separate"/>
            </w:r>
            <w:r>
              <w:rPr>
                <w:noProof/>
                <w:webHidden/>
              </w:rPr>
              <w:t>56</w:t>
            </w:r>
            <w:r>
              <w:rPr>
                <w:noProof/>
                <w:webHidden/>
              </w:rPr>
              <w:fldChar w:fldCharType="end"/>
            </w:r>
          </w:hyperlink>
        </w:p>
        <w:p w14:paraId="3668C737" w14:textId="6D6F1F12" w:rsidR="005610D4" w:rsidRDefault="005610D4">
          <w:pPr>
            <w:pStyle w:val="TOC2"/>
            <w:tabs>
              <w:tab w:val="right" w:leader="dot" w:pos="9350"/>
            </w:tabs>
            <w:rPr>
              <w:rFonts w:eastAsiaTheme="minorEastAsia"/>
              <w:noProof/>
              <w:kern w:val="2"/>
              <w14:ligatures w14:val="standardContextual"/>
            </w:rPr>
          </w:pPr>
          <w:hyperlink w:anchor="_Toc206954734" w:history="1">
            <w:r w:rsidRPr="00887986">
              <w:rPr>
                <w:rStyle w:val="Hyperlink"/>
                <w:rFonts w:ascii="Arial" w:hAnsi="Arial" w:cs="Arial"/>
                <w:noProof/>
              </w:rPr>
              <w:t>Year Three: Strategic Differentiation</w:t>
            </w:r>
            <w:r>
              <w:rPr>
                <w:noProof/>
                <w:webHidden/>
              </w:rPr>
              <w:tab/>
            </w:r>
            <w:r>
              <w:rPr>
                <w:noProof/>
                <w:webHidden/>
              </w:rPr>
              <w:fldChar w:fldCharType="begin"/>
            </w:r>
            <w:r>
              <w:rPr>
                <w:noProof/>
                <w:webHidden/>
              </w:rPr>
              <w:instrText xml:space="preserve"> PAGEREF _Toc206954734 \h </w:instrText>
            </w:r>
            <w:r>
              <w:rPr>
                <w:noProof/>
                <w:webHidden/>
              </w:rPr>
            </w:r>
            <w:r>
              <w:rPr>
                <w:noProof/>
                <w:webHidden/>
              </w:rPr>
              <w:fldChar w:fldCharType="separate"/>
            </w:r>
            <w:r>
              <w:rPr>
                <w:noProof/>
                <w:webHidden/>
              </w:rPr>
              <w:t>57</w:t>
            </w:r>
            <w:r>
              <w:rPr>
                <w:noProof/>
                <w:webHidden/>
              </w:rPr>
              <w:fldChar w:fldCharType="end"/>
            </w:r>
          </w:hyperlink>
        </w:p>
        <w:p w14:paraId="6CAF5D46" w14:textId="5B76D6CA" w:rsidR="005610D4" w:rsidRDefault="005610D4">
          <w:pPr>
            <w:pStyle w:val="TOC2"/>
            <w:tabs>
              <w:tab w:val="right" w:leader="dot" w:pos="9350"/>
            </w:tabs>
            <w:rPr>
              <w:rFonts w:eastAsiaTheme="minorEastAsia"/>
              <w:noProof/>
              <w:kern w:val="2"/>
              <w14:ligatures w14:val="standardContextual"/>
            </w:rPr>
          </w:pPr>
          <w:hyperlink w:anchor="_Toc206954735" w:history="1">
            <w:r w:rsidRPr="00887986">
              <w:rPr>
                <w:rStyle w:val="Hyperlink"/>
                <w:rFonts w:ascii="Arial" w:hAnsi="Arial" w:cs="Arial"/>
                <w:noProof/>
              </w:rPr>
              <w:t>Common Pitfalls and Failure Patterns</w:t>
            </w:r>
            <w:r>
              <w:rPr>
                <w:noProof/>
                <w:webHidden/>
              </w:rPr>
              <w:tab/>
            </w:r>
            <w:r>
              <w:rPr>
                <w:noProof/>
                <w:webHidden/>
              </w:rPr>
              <w:fldChar w:fldCharType="begin"/>
            </w:r>
            <w:r>
              <w:rPr>
                <w:noProof/>
                <w:webHidden/>
              </w:rPr>
              <w:instrText xml:space="preserve"> PAGEREF _Toc206954735 \h </w:instrText>
            </w:r>
            <w:r>
              <w:rPr>
                <w:noProof/>
                <w:webHidden/>
              </w:rPr>
            </w:r>
            <w:r>
              <w:rPr>
                <w:noProof/>
                <w:webHidden/>
              </w:rPr>
              <w:fldChar w:fldCharType="separate"/>
            </w:r>
            <w:r>
              <w:rPr>
                <w:noProof/>
                <w:webHidden/>
              </w:rPr>
              <w:t>58</w:t>
            </w:r>
            <w:r>
              <w:rPr>
                <w:noProof/>
                <w:webHidden/>
              </w:rPr>
              <w:fldChar w:fldCharType="end"/>
            </w:r>
          </w:hyperlink>
        </w:p>
        <w:p w14:paraId="1E9A2D89" w14:textId="1ABED62D" w:rsidR="005610D4" w:rsidRDefault="005610D4">
          <w:pPr>
            <w:pStyle w:val="TOC2"/>
            <w:tabs>
              <w:tab w:val="right" w:leader="dot" w:pos="9350"/>
            </w:tabs>
            <w:rPr>
              <w:rFonts w:eastAsiaTheme="minorEastAsia"/>
              <w:noProof/>
              <w:kern w:val="2"/>
              <w14:ligatures w14:val="standardContextual"/>
            </w:rPr>
          </w:pPr>
          <w:hyperlink w:anchor="_Toc206954736" w:history="1">
            <w:r w:rsidRPr="00887986">
              <w:rPr>
                <w:rStyle w:val="Hyperlink"/>
                <w:rFonts w:ascii="Arial" w:hAnsi="Arial" w:cs="Arial"/>
                <w:noProof/>
              </w:rPr>
              <w:t>The Transformation Timeline</w:t>
            </w:r>
            <w:r>
              <w:rPr>
                <w:noProof/>
                <w:webHidden/>
              </w:rPr>
              <w:tab/>
            </w:r>
            <w:r>
              <w:rPr>
                <w:noProof/>
                <w:webHidden/>
              </w:rPr>
              <w:fldChar w:fldCharType="begin"/>
            </w:r>
            <w:r>
              <w:rPr>
                <w:noProof/>
                <w:webHidden/>
              </w:rPr>
              <w:instrText xml:space="preserve"> PAGEREF _Toc206954736 \h </w:instrText>
            </w:r>
            <w:r>
              <w:rPr>
                <w:noProof/>
                <w:webHidden/>
              </w:rPr>
            </w:r>
            <w:r>
              <w:rPr>
                <w:noProof/>
                <w:webHidden/>
              </w:rPr>
              <w:fldChar w:fldCharType="separate"/>
            </w:r>
            <w:r>
              <w:rPr>
                <w:noProof/>
                <w:webHidden/>
              </w:rPr>
              <w:t>58</w:t>
            </w:r>
            <w:r>
              <w:rPr>
                <w:noProof/>
                <w:webHidden/>
              </w:rPr>
              <w:fldChar w:fldCharType="end"/>
            </w:r>
          </w:hyperlink>
        </w:p>
        <w:p w14:paraId="1BD191DA" w14:textId="66544F98" w:rsidR="005610D4" w:rsidRDefault="005610D4">
          <w:pPr>
            <w:pStyle w:val="TOC1"/>
            <w:tabs>
              <w:tab w:val="right" w:leader="dot" w:pos="9350"/>
            </w:tabs>
            <w:rPr>
              <w:rFonts w:eastAsiaTheme="minorEastAsia"/>
              <w:noProof/>
              <w:kern w:val="2"/>
              <w14:ligatures w14:val="standardContextual"/>
            </w:rPr>
          </w:pPr>
          <w:hyperlink w:anchor="_Toc206954737" w:history="1">
            <w:r w:rsidRPr="00887986">
              <w:rPr>
                <w:rStyle w:val="Hyperlink"/>
                <w:rFonts w:ascii="Arial" w:hAnsi="Arial" w:cs="Arial"/>
                <w:noProof/>
              </w:rPr>
              <w:t>Chapter 11: Emerging Models and Opportunities</w:t>
            </w:r>
            <w:r>
              <w:rPr>
                <w:noProof/>
                <w:webHidden/>
              </w:rPr>
              <w:tab/>
            </w:r>
            <w:r>
              <w:rPr>
                <w:noProof/>
                <w:webHidden/>
              </w:rPr>
              <w:fldChar w:fldCharType="begin"/>
            </w:r>
            <w:r>
              <w:rPr>
                <w:noProof/>
                <w:webHidden/>
              </w:rPr>
              <w:instrText xml:space="preserve"> PAGEREF _Toc206954737 \h </w:instrText>
            </w:r>
            <w:r>
              <w:rPr>
                <w:noProof/>
                <w:webHidden/>
              </w:rPr>
            </w:r>
            <w:r>
              <w:rPr>
                <w:noProof/>
                <w:webHidden/>
              </w:rPr>
              <w:fldChar w:fldCharType="separate"/>
            </w:r>
            <w:r>
              <w:rPr>
                <w:noProof/>
                <w:webHidden/>
              </w:rPr>
              <w:t>60</w:t>
            </w:r>
            <w:r>
              <w:rPr>
                <w:noProof/>
                <w:webHidden/>
              </w:rPr>
              <w:fldChar w:fldCharType="end"/>
            </w:r>
          </w:hyperlink>
        </w:p>
        <w:p w14:paraId="51D50AB2" w14:textId="488853D4" w:rsidR="005610D4" w:rsidRDefault="005610D4">
          <w:pPr>
            <w:pStyle w:val="TOC2"/>
            <w:tabs>
              <w:tab w:val="right" w:leader="dot" w:pos="9350"/>
            </w:tabs>
            <w:rPr>
              <w:rFonts w:eastAsiaTheme="minorEastAsia"/>
              <w:noProof/>
              <w:kern w:val="2"/>
              <w14:ligatures w14:val="standardContextual"/>
            </w:rPr>
          </w:pPr>
          <w:hyperlink w:anchor="_Toc206954738" w:history="1">
            <w:r w:rsidRPr="00887986">
              <w:rPr>
                <w:rStyle w:val="Hyperlink"/>
                <w:rFonts w:ascii="Arial" w:hAnsi="Arial" w:cs="Arial"/>
                <w:noProof/>
              </w:rPr>
              <w:t>The MDR Revolution</w:t>
            </w:r>
            <w:r>
              <w:rPr>
                <w:noProof/>
                <w:webHidden/>
              </w:rPr>
              <w:tab/>
            </w:r>
            <w:r>
              <w:rPr>
                <w:noProof/>
                <w:webHidden/>
              </w:rPr>
              <w:fldChar w:fldCharType="begin"/>
            </w:r>
            <w:r>
              <w:rPr>
                <w:noProof/>
                <w:webHidden/>
              </w:rPr>
              <w:instrText xml:space="preserve"> PAGEREF _Toc206954738 \h </w:instrText>
            </w:r>
            <w:r>
              <w:rPr>
                <w:noProof/>
                <w:webHidden/>
              </w:rPr>
            </w:r>
            <w:r>
              <w:rPr>
                <w:noProof/>
                <w:webHidden/>
              </w:rPr>
              <w:fldChar w:fldCharType="separate"/>
            </w:r>
            <w:r>
              <w:rPr>
                <w:noProof/>
                <w:webHidden/>
              </w:rPr>
              <w:t>60</w:t>
            </w:r>
            <w:r>
              <w:rPr>
                <w:noProof/>
                <w:webHidden/>
              </w:rPr>
              <w:fldChar w:fldCharType="end"/>
            </w:r>
          </w:hyperlink>
        </w:p>
        <w:p w14:paraId="750838D6" w14:textId="1EA8B9EC" w:rsidR="005610D4" w:rsidRDefault="005610D4">
          <w:pPr>
            <w:pStyle w:val="TOC2"/>
            <w:tabs>
              <w:tab w:val="right" w:leader="dot" w:pos="9350"/>
            </w:tabs>
            <w:rPr>
              <w:rFonts w:eastAsiaTheme="minorEastAsia"/>
              <w:noProof/>
              <w:kern w:val="2"/>
              <w14:ligatures w14:val="standardContextual"/>
            </w:rPr>
          </w:pPr>
          <w:hyperlink w:anchor="_Toc206954739" w:history="1">
            <w:r w:rsidRPr="00887986">
              <w:rPr>
                <w:rStyle w:val="Hyperlink"/>
                <w:rFonts w:ascii="Arial" w:hAnsi="Arial" w:cs="Arial"/>
                <w:noProof/>
              </w:rPr>
              <w:t>XDR: The Platform Convergence</w:t>
            </w:r>
            <w:r>
              <w:rPr>
                <w:noProof/>
                <w:webHidden/>
              </w:rPr>
              <w:tab/>
            </w:r>
            <w:r>
              <w:rPr>
                <w:noProof/>
                <w:webHidden/>
              </w:rPr>
              <w:fldChar w:fldCharType="begin"/>
            </w:r>
            <w:r>
              <w:rPr>
                <w:noProof/>
                <w:webHidden/>
              </w:rPr>
              <w:instrText xml:space="preserve"> PAGEREF _Toc206954739 \h </w:instrText>
            </w:r>
            <w:r>
              <w:rPr>
                <w:noProof/>
                <w:webHidden/>
              </w:rPr>
            </w:r>
            <w:r>
              <w:rPr>
                <w:noProof/>
                <w:webHidden/>
              </w:rPr>
              <w:fldChar w:fldCharType="separate"/>
            </w:r>
            <w:r>
              <w:rPr>
                <w:noProof/>
                <w:webHidden/>
              </w:rPr>
              <w:t>61</w:t>
            </w:r>
            <w:r>
              <w:rPr>
                <w:noProof/>
                <w:webHidden/>
              </w:rPr>
              <w:fldChar w:fldCharType="end"/>
            </w:r>
          </w:hyperlink>
        </w:p>
        <w:p w14:paraId="57795257" w14:textId="4C3B67F5" w:rsidR="005610D4" w:rsidRDefault="005610D4">
          <w:pPr>
            <w:pStyle w:val="TOC2"/>
            <w:tabs>
              <w:tab w:val="right" w:leader="dot" w:pos="9350"/>
            </w:tabs>
            <w:rPr>
              <w:rFonts w:eastAsiaTheme="minorEastAsia"/>
              <w:noProof/>
              <w:kern w:val="2"/>
              <w14:ligatures w14:val="standardContextual"/>
            </w:rPr>
          </w:pPr>
          <w:hyperlink w:anchor="_Toc206954740" w:history="1">
            <w:r w:rsidRPr="00887986">
              <w:rPr>
                <w:rStyle w:val="Hyperlink"/>
                <w:rFonts w:ascii="Arial" w:hAnsi="Arial" w:cs="Arial"/>
                <w:noProof/>
              </w:rPr>
              <w:t>AI-Native Operations</w:t>
            </w:r>
            <w:r>
              <w:rPr>
                <w:noProof/>
                <w:webHidden/>
              </w:rPr>
              <w:tab/>
            </w:r>
            <w:r>
              <w:rPr>
                <w:noProof/>
                <w:webHidden/>
              </w:rPr>
              <w:fldChar w:fldCharType="begin"/>
            </w:r>
            <w:r>
              <w:rPr>
                <w:noProof/>
                <w:webHidden/>
              </w:rPr>
              <w:instrText xml:space="preserve"> PAGEREF _Toc206954740 \h </w:instrText>
            </w:r>
            <w:r>
              <w:rPr>
                <w:noProof/>
                <w:webHidden/>
              </w:rPr>
            </w:r>
            <w:r>
              <w:rPr>
                <w:noProof/>
                <w:webHidden/>
              </w:rPr>
              <w:fldChar w:fldCharType="separate"/>
            </w:r>
            <w:r>
              <w:rPr>
                <w:noProof/>
                <w:webHidden/>
              </w:rPr>
              <w:t>61</w:t>
            </w:r>
            <w:r>
              <w:rPr>
                <w:noProof/>
                <w:webHidden/>
              </w:rPr>
              <w:fldChar w:fldCharType="end"/>
            </w:r>
          </w:hyperlink>
        </w:p>
        <w:p w14:paraId="6458C352" w14:textId="645A74DE" w:rsidR="005610D4" w:rsidRDefault="005610D4">
          <w:pPr>
            <w:pStyle w:val="TOC2"/>
            <w:tabs>
              <w:tab w:val="right" w:leader="dot" w:pos="9350"/>
            </w:tabs>
            <w:rPr>
              <w:rFonts w:eastAsiaTheme="minorEastAsia"/>
              <w:noProof/>
              <w:kern w:val="2"/>
              <w14:ligatures w14:val="standardContextual"/>
            </w:rPr>
          </w:pPr>
          <w:hyperlink w:anchor="_Toc206954741" w:history="1">
            <w:r w:rsidRPr="00887986">
              <w:rPr>
                <w:rStyle w:val="Hyperlink"/>
                <w:rFonts w:ascii="Arial" w:hAnsi="Arial" w:cs="Arial"/>
                <w:noProof/>
              </w:rPr>
              <w:t>Cloud Security Specialization</w:t>
            </w:r>
            <w:r>
              <w:rPr>
                <w:noProof/>
                <w:webHidden/>
              </w:rPr>
              <w:tab/>
            </w:r>
            <w:r>
              <w:rPr>
                <w:noProof/>
                <w:webHidden/>
              </w:rPr>
              <w:fldChar w:fldCharType="begin"/>
            </w:r>
            <w:r>
              <w:rPr>
                <w:noProof/>
                <w:webHidden/>
              </w:rPr>
              <w:instrText xml:space="preserve"> PAGEREF _Toc206954741 \h </w:instrText>
            </w:r>
            <w:r>
              <w:rPr>
                <w:noProof/>
                <w:webHidden/>
              </w:rPr>
            </w:r>
            <w:r>
              <w:rPr>
                <w:noProof/>
                <w:webHidden/>
              </w:rPr>
              <w:fldChar w:fldCharType="separate"/>
            </w:r>
            <w:r>
              <w:rPr>
                <w:noProof/>
                <w:webHidden/>
              </w:rPr>
              <w:t>62</w:t>
            </w:r>
            <w:r>
              <w:rPr>
                <w:noProof/>
                <w:webHidden/>
              </w:rPr>
              <w:fldChar w:fldCharType="end"/>
            </w:r>
          </w:hyperlink>
        </w:p>
        <w:p w14:paraId="3C4A1A53" w14:textId="723144C0" w:rsidR="005610D4" w:rsidRDefault="005610D4">
          <w:pPr>
            <w:pStyle w:val="TOC2"/>
            <w:tabs>
              <w:tab w:val="right" w:leader="dot" w:pos="9350"/>
            </w:tabs>
            <w:rPr>
              <w:rFonts w:eastAsiaTheme="minorEastAsia"/>
              <w:noProof/>
              <w:kern w:val="2"/>
              <w14:ligatures w14:val="standardContextual"/>
            </w:rPr>
          </w:pPr>
          <w:hyperlink w:anchor="_Toc206954742" w:history="1">
            <w:r w:rsidRPr="00887986">
              <w:rPr>
                <w:rStyle w:val="Hyperlink"/>
                <w:rFonts w:ascii="Arial" w:hAnsi="Arial" w:cs="Arial"/>
                <w:noProof/>
              </w:rPr>
              <w:t>The Risk Underwriting Future</w:t>
            </w:r>
            <w:r>
              <w:rPr>
                <w:noProof/>
                <w:webHidden/>
              </w:rPr>
              <w:tab/>
            </w:r>
            <w:r>
              <w:rPr>
                <w:noProof/>
                <w:webHidden/>
              </w:rPr>
              <w:fldChar w:fldCharType="begin"/>
            </w:r>
            <w:r>
              <w:rPr>
                <w:noProof/>
                <w:webHidden/>
              </w:rPr>
              <w:instrText xml:space="preserve"> PAGEREF _Toc206954742 \h </w:instrText>
            </w:r>
            <w:r>
              <w:rPr>
                <w:noProof/>
                <w:webHidden/>
              </w:rPr>
            </w:r>
            <w:r>
              <w:rPr>
                <w:noProof/>
                <w:webHidden/>
              </w:rPr>
              <w:fldChar w:fldCharType="separate"/>
            </w:r>
            <w:r>
              <w:rPr>
                <w:noProof/>
                <w:webHidden/>
              </w:rPr>
              <w:t>63</w:t>
            </w:r>
            <w:r>
              <w:rPr>
                <w:noProof/>
                <w:webHidden/>
              </w:rPr>
              <w:fldChar w:fldCharType="end"/>
            </w:r>
          </w:hyperlink>
        </w:p>
        <w:p w14:paraId="01E0AD76" w14:textId="70CED3C3" w:rsidR="005610D4" w:rsidRDefault="005610D4">
          <w:pPr>
            <w:pStyle w:val="TOC2"/>
            <w:tabs>
              <w:tab w:val="right" w:leader="dot" w:pos="9350"/>
            </w:tabs>
            <w:rPr>
              <w:rFonts w:eastAsiaTheme="minorEastAsia"/>
              <w:noProof/>
              <w:kern w:val="2"/>
              <w14:ligatures w14:val="standardContextual"/>
            </w:rPr>
          </w:pPr>
          <w:hyperlink w:anchor="_Toc206954743" w:history="1">
            <w:r w:rsidRPr="00887986">
              <w:rPr>
                <w:rStyle w:val="Hyperlink"/>
                <w:rFonts w:ascii="Arial" w:hAnsi="Arial" w:cs="Arial"/>
                <w:noProof/>
              </w:rPr>
              <w:t>The Transformation Imperative</w:t>
            </w:r>
            <w:r>
              <w:rPr>
                <w:noProof/>
                <w:webHidden/>
              </w:rPr>
              <w:tab/>
            </w:r>
            <w:r>
              <w:rPr>
                <w:noProof/>
                <w:webHidden/>
              </w:rPr>
              <w:fldChar w:fldCharType="begin"/>
            </w:r>
            <w:r>
              <w:rPr>
                <w:noProof/>
                <w:webHidden/>
              </w:rPr>
              <w:instrText xml:space="preserve"> PAGEREF _Toc206954743 \h </w:instrText>
            </w:r>
            <w:r>
              <w:rPr>
                <w:noProof/>
                <w:webHidden/>
              </w:rPr>
            </w:r>
            <w:r>
              <w:rPr>
                <w:noProof/>
                <w:webHidden/>
              </w:rPr>
              <w:fldChar w:fldCharType="separate"/>
            </w:r>
            <w:r>
              <w:rPr>
                <w:noProof/>
                <w:webHidden/>
              </w:rPr>
              <w:t>63</w:t>
            </w:r>
            <w:r>
              <w:rPr>
                <w:noProof/>
                <w:webHidden/>
              </w:rPr>
              <w:fldChar w:fldCharType="end"/>
            </w:r>
          </w:hyperlink>
        </w:p>
        <w:p w14:paraId="236B2A09" w14:textId="6FF46D15" w:rsidR="005610D4" w:rsidRDefault="005610D4">
          <w:pPr>
            <w:pStyle w:val="TOC1"/>
            <w:tabs>
              <w:tab w:val="right" w:leader="dot" w:pos="9350"/>
            </w:tabs>
            <w:rPr>
              <w:rFonts w:eastAsiaTheme="minorEastAsia"/>
              <w:noProof/>
              <w:kern w:val="2"/>
              <w14:ligatures w14:val="standardContextual"/>
            </w:rPr>
          </w:pPr>
          <w:hyperlink w:anchor="_Toc206954744" w:history="1">
            <w:r w:rsidRPr="00887986">
              <w:rPr>
                <w:rStyle w:val="Hyperlink"/>
                <w:rFonts w:ascii="Arial" w:hAnsi="Arial" w:cs="Arial"/>
                <w:noProof/>
              </w:rPr>
              <w:t>Chapter 12: Strategic Recommendations</w:t>
            </w:r>
            <w:r>
              <w:rPr>
                <w:noProof/>
                <w:webHidden/>
              </w:rPr>
              <w:tab/>
            </w:r>
            <w:r>
              <w:rPr>
                <w:noProof/>
                <w:webHidden/>
              </w:rPr>
              <w:fldChar w:fldCharType="begin"/>
            </w:r>
            <w:r>
              <w:rPr>
                <w:noProof/>
                <w:webHidden/>
              </w:rPr>
              <w:instrText xml:space="preserve"> PAGEREF _Toc206954744 \h </w:instrText>
            </w:r>
            <w:r>
              <w:rPr>
                <w:noProof/>
                <w:webHidden/>
              </w:rPr>
            </w:r>
            <w:r>
              <w:rPr>
                <w:noProof/>
                <w:webHidden/>
              </w:rPr>
              <w:fldChar w:fldCharType="separate"/>
            </w:r>
            <w:r>
              <w:rPr>
                <w:noProof/>
                <w:webHidden/>
              </w:rPr>
              <w:t>65</w:t>
            </w:r>
            <w:r>
              <w:rPr>
                <w:noProof/>
                <w:webHidden/>
              </w:rPr>
              <w:fldChar w:fldCharType="end"/>
            </w:r>
          </w:hyperlink>
        </w:p>
        <w:p w14:paraId="61386E84" w14:textId="00AC0894" w:rsidR="005610D4" w:rsidRDefault="005610D4">
          <w:pPr>
            <w:pStyle w:val="TOC2"/>
            <w:tabs>
              <w:tab w:val="right" w:leader="dot" w:pos="9350"/>
            </w:tabs>
            <w:rPr>
              <w:rFonts w:eastAsiaTheme="minorEastAsia"/>
              <w:noProof/>
              <w:kern w:val="2"/>
              <w14:ligatures w14:val="standardContextual"/>
            </w:rPr>
          </w:pPr>
          <w:hyperlink w:anchor="_Toc206954745" w:history="1">
            <w:r w:rsidRPr="00887986">
              <w:rPr>
                <w:rStyle w:val="Hyperlink"/>
                <w:rFonts w:ascii="Arial" w:hAnsi="Arial" w:cs="Arial"/>
                <w:noProof/>
              </w:rPr>
              <w:t>For New MSSPs: Starting Right</w:t>
            </w:r>
            <w:r>
              <w:rPr>
                <w:noProof/>
                <w:webHidden/>
              </w:rPr>
              <w:tab/>
            </w:r>
            <w:r>
              <w:rPr>
                <w:noProof/>
                <w:webHidden/>
              </w:rPr>
              <w:fldChar w:fldCharType="begin"/>
            </w:r>
            <w:r>
              <w:rPr>
                <w:noProof/>
                <w:webHidden/>
              </w:rPr>
              <w:instrText xml:space="preserve"> PAGEREF _Toc206954745 \h </w:instrText>
            </w:r>
            <w:r>
              <w:rPr>
                <w:noProof/>
                <w:webHidden/>
              </w:rPr>
            </w:r>
            <w:r>
              <w:rPr>
                <w:noProof/>
                <w:webHidden/>
              </w:rPr>
              <w:fldChar w:fldCharType="separate"/>
            </w:r>
            <w:r>
              <w:rPr>
                <w:noProof/>
                <w:webHidden/>
              </w:rPr>
              <w:t>65</w:t>
            </w:r>
            <w:r>
              <w:rPr>
                <w:noProof/>
                <w:webHidden/>
              </w:rPr>
              <w:fldChar w:fldCharType="end"/>
            </w:r>
          </w:hyperlink>
        </w:p>
        <w:p w14:paraId="4CF4A73A" w14:textId="2769A6F2" w:rsidR="005610D4" w:rsidRDefault="005610D4">
          <w:pPr>
            <w:pStyle w:val="TOC2"/>
            <w:tabs>
              <w:tab w:val="right" w:leader="dot" w:pos="9350"/>
            </w:tabs>
            <w:rPr>
              <w:rFonts w:eastAsiaTheme="minorEastAsia"/>
              <w:noProof/>
              <w:kern w:val="2"/>
              <w14:ligatures w14:val="standardContextual"/>
            </w:rPr>
          </w:pPr>
          <w:hyperlink w:anchor="_Toc206954746" w:history="1">
            <w:r w:rsidRPr="00887986">
              <w:rPr>
                <w:rStyle w:val="Hyperlink"/>
                <w:rFonts w:ascii="Arial" w:hAnsi="Arial" w:cs="Arial"/>
                <w:noProof/>
              </w:rPr>
              <w:t>For Struggling MSSPs: Transformation Priorities</w:t>
            </w:r>
            <w:r>
              <w:rPr>
                <w:noProof/>
                <w:webHidden/>
              </w:rPr>
              <w:tab/>
            </w:r>
            <w:r>
              <w:rPr>
                <w:noProof/>
                <w:webHidden/>
              </w:rPr>
              <w:fldChar w:fldCharType="begin"/>
            </w:r>
            <w:r>
              <w:rPr>
                <w:noProof/>
                <w:webHidden/>
              </w:rPr>
              <w:instrText xml:space="preserve"> PAGEREF _Toc206954746 \h </w:instrText>
            </w:r>
            <w:r>
              <w:rPr>
                <w:noProof/>
                <w:webHidden/>
              </w:rPr>
            </w:r>
            <w:r>
              <w:rPr>
                <w:noProof/>
                <w:webHidden/>
              </w:rPr>
              <w:fldChar w:fldCharType="separate"/>
            </w:r>
            <w:r>
              <w:rPr>
                <w:noProof/>
                <w:webHidden/>
              </w:rPr>
              <w:t>66</w:t>
            </w:r>
            <w:r>
              <w:rPr>
                <w:noProof/>
                <w:webHidden/>
              </w:rPr>
              <w:fldChar w:fldCharType="end"/>
            </w:r>
          </w:hyperlink>
        </w:p>
        <w:p w14:paraId="60C03DC6" w14:textId="0ED3FF30" w:rsidR="005610D4" w:rsidRDefault="005610D4">
          <w:pPr>
            <w:pStyle w:val="TOC2"/>
            <w:tabs>
              <w:tab w:val="right" w:leader="dot" w:pos="9350"/>
            </w:tabs>
            <w:rPr>
              <w:rFonts w:eastAsiaTheme="minorEastAsia"/>
              <w:noProof/>
              <w:kern w:val="2"/>
              <w14:ligatures w14:val="standardContextual"/>
            </w:rPr>
          </w:pPr>
          <w:hyperlink w:anchor="_Toc206954747" w:history="1">
            <w:r w:rsidRPr="00887986">
              <w:rPr>
                <w:rStyle w:val="Hyperlink"/>
                <w:rFonts w:ascii="Arial" w:hAnsi="Arial" w:cs="Arial"/>
                <w:noProof/>
              </w:rPr>
              <w:t>For Successful MSSPs: Maintaining Advantage</w:t>
            </w:r>
            <w:r>
              <w:rPr>
                <w:noProof/>
                <w:webHidden/>
              </w:rPr>
              <w:tab/>
            </w:r>
            <w:r>
              <w:rPr>
                <w:noProof/>
                <w:webHidden/>
              </w:rPr>
              <w:fldChar w:fldCharType="begin"/>
            </w:r>
            <w:r>
              <w:rPr>
                <w:noProof/>
                <w:webHidden/>
              </w:rPr>
              <w:instrText xml:space="preserve"> PAGEREF _Toc206954747 \h </w:instrText>
            </w:r>
            <w:r>
              <w:rPr>
                <w:noProof/>
                <w:webHidden/>
              </w:rPr>
            </w:r>
            <w:r>
              <w:rPr>
                <w:noProof/>
                <w:webHidden/>
              </w:rPr>
              <w:fldChar w:fldCharType="separate"/>
            </w:r>
            <w:r>
              <w:rPr>
                <w:noProof/>
                <w:webHidden/>
              </w:rPr>
              <w:t>67</w:t>
            </w:r>
            <w:r>
              <w:rPr>
                <w:noProof/>
                <w:webHidden/>
              </w:rPr>
              <w:fldChar w:fldCharType="end"/>
            </w:r>
          </w:hyperlink>
        </w:p>
        <w:p w14:paraId="4A0ECFBD" w14:textId="5133C86F" w:rsidR="005610D4" w:rsidRDefault="005610D4">
          <w:pPr>
            <w:pStyle w:val="TOC2"/>
            <w:tabs>
              <w:tab w:val="right" w:leader="dot" w:pos="9350"/>
            </w:tabs>
            <w:rPr>
              <w:rFonts w:eastAsiaTheme="minorEastAsia"/>
              <w:noProof/>
              <w:kern w:val="2"/>
              <w14:ligatures w14:val="standardContextual"/>
            </w:rPr>
          </w:pPr>
          <w:hyperlink w:anchor="_Toc206954748" w:history="1">
            <w:r w:rsidRPr="00887986">
              <w:rPr>
                <w:rStyle w:val="Hyperlink"/>
                <w:rFonts w:ascii="Arial" w:hAnsi="Arial" w:cs="Arial"/>
                <w:noProof/>
              </w:rPr>
              <w:t>For the Industry: Collective Challenges</w:t>
            </w:r>
            <w:r>
              <w:rPr>
                <w:noProof/>
                <w:webHidden/>
              </w:rPr>
              <w:tab/>
            </w:r>
            <w:r>
              <w:rPr>
                <w:noProof/>
                <w:webHidden/>
              </w:rPr>
              <w:fldChar w:fldCharType="begin"/>
            </w:r>
            <w:r>
              <w:rPr>
                <w:noProof/>
                <w:webHidden/>
              </w:rPr>
              <w:instrText xml:space="preserve"> PAGEREF _Toc206954748 \h </w:instrText>
            </w:r>
            <w:r>
              <w:rPr>
                <w:noProof/>
                <w:webHidden/>
              </w:rPr>
            </w:r>
            <w:r>
              <w:rPr>
                <w:noProof/>
                <w:webHidden/>
              </w:rPr>
              <w:fldChar w:fldCharType="separate"/>
            </w:r>
            <w:r>
              <w:rPr>
                <w:noProof/>
                <w:webHidden/>
              </w:rPr>
              <w:t>68</w:t>
            </w:r>
            <w:r>
              <w:rPr>
                <w:noProof/>
                <w:webHidden/>
              </w:rPr>
              <w:fldChar w:fldCharType="end"/>
            </w:r>
          </w:hyperlink>
        </w:p>
        <w:p w14:paraId="35445456" w14:textId="09D1AD50" w:rsidR="005610D4" w:rsidRDefault="005610D4">
          <w:pPr>
            <w:pStyle w:val="TOC2"/>
            <w:tabs>
              <w:tab w:val="right" w:leader="dot" w:pos="9350"/>
            </w:tabs>
            <w:rPr>
              <w:rFonts w:eastAsiaTheme="minorEastAsia"/>
              <w:noProof/>
              <w:kern w:val="2"/>
              <w14:ligatures w14:val="standardContextual"/>
            </w:rPr>
          </w:pPr>
          <w:hyperlink w:anchor="_Toc206954749" w:history="1">
            <w:r w:rsidRPr="00887986">
              <w:rPr>
                <w:rStyle w:val="Hyperlink"/>
                <w:rFonts w:ascii="Arial" w:hAnsi="Arial" w:cs="Arial"/>
                <w:noProof/>
              </w:rPr>
              <w:t>The Path Forward</w:t>
            </w:r>
            <w:r>
              <w:rPr>
                <w:noProof/>
                <w:webHidden/>
              </w:rPr>
              <w:tab/>
            </w:r>
            <w:r>
              <w:rPr>
                <w:noProof/>
                <w:webHidden/>
              </w:rPr>
              <w:fldChar w:fldCharType="begin"/>
            </w:r>
            <w:r>
              <w:rPr>
                <w:noProof/>
                <w:webHidden/>
              </w:rPr>
              <w:instrText xml:space="preserve"> PAGEREF _Toc206954749 \h </w:instrText>
            </w:r>
            <w:r>
              <w:rPr>
                <w:noProof/>
                <w:webHidden/>
              </w:rPr>
            </w:r>
            <w:r>
              <w:rPr>
                <w:noProof/>
                <w:webHidden/>
              </w:rPr>
              <w:fldChar w:fldCharType="separate"/>
            </w:r>
            <w:r>
              <w:rPr>
                <w:noProof/>
                <w:webHidden/>
              </w:rPr>
              <w:t>68</w:t>
            </w:r>
            <w:r>
              <w:rPr>
                <w:noProof/>
                <w:webHidden/>
              </w:rPr>
              <w:fldChar w:fldCharType="end"/>
            </w:r>
          </w:hyperlink>
        </w:p>
        <w:p w14:paraId="19643672" w14:textId="32768619" w:rsidR="005610D4" w:rsidRDefault="005610D4">
          <w:pPr>
            <w:pStyle w:val="TOC1"/>
            <w:tabs>
              <w:tab w:val="right" w:leader="dot" w:pos="9350"/>
            </w:tabs>
            <w:rPr>
              <w:rFonts w:eastAsiaTheme="minorEastAsia"/>
              <w:noProof/>
              <w:kern w:val="2"/>
              <w14:ligatures w14:val="standardContextual"/>
            </w:rPr>
          </w:pPr>
          <w:hyperlink w:anchor="_Toc206954750" w:history="1">
            <w:r w:rsidRPr="00887986">
              <w:rPr>
                <w:rStyle w:val="Hyperlink"/>
                <w:rFonts w:ascii="Arial" w:hAnsi="Arial" w:cs="Arial"/>
                <w:noProof/>
              </w:rPr>
              <w:t>Conclusion: From Paradox to Profit</w:t>
            </w:r>
            <w:r>
              <w:rPr>
                <w:noProof/>
                <w:webHidden/>
              </w:rPr>
              <w:tab/>
            </w:r>
            <w:r>
              <w:rPr>
                <w:noProof/>
                <w:webHidden/>
              </w:rPr>
              <w:fldChar w:fldCharType="begin"/>
            </w:r>
            <w:r>
              <w:rPr>
                <w:noProof/>
                <w:webHidden/>
              </w:rPr>
              <w:instrText xml:space="preserve"> PAGEREF _Toc206954750 \h </w:instrText>
            </w:r>
            <w:r>
              <w:rPr>
                <w:noProof/>
                <w:webHidden/>
              </w:rPr>
            </w:r>
            <w:r>
              <w:rPr>
                <w:noProof/>
                <w:webHidden/>
              </w:rPr>
              <w:fldChar w:fldCharType="separate"/>
            </w:r>
            <w:r>
              <w:rPr>
                <w:noProof/>
                <w:webHidden/>
              </w:rPr>
              <w:t>70</w:t>
            </w:r>
            <w:r>
              <w:rPr>
                <w:noProof/>
                <w:webHidden/>
              </w:rPr>
              <w:fldChar w:fldCharType="end"/>
            </w:r>
          </w:hyperlink>
        </w:p>
        <w:p w14:paraId="348966AB" w14:textId="01209946" w:rsidR="005610D4" w:rsidRDefault="005610D4">
          <w:pPr>
            <w:pStyle w:val="TOC2"/>
            <w:tabs>
              <w:tab w:val="right" w:leader="dot" w:pos="9350"/>
            </w:tabs>
            <w:rPr>
              <w:rFonts w:eastAsiaTheme="minorEastAsia"/>
              <w:noProof/>
              <w:kern w:val="2"/>
              <w14:ligatures w14:val="standardContextual"/>
            </w:rPr>
          </w:pPr>
          <w:hyperlink w:anchor="_Toc206954751" w:history="1">
            <w:r w:rsidRPr="00887986">
              <w:rPr>
                <w:rStyle w:val="Hyperlink"/>
                <w:rFonts w:ascii="Arial" w:hAnsi="Arial" w:cs="Arial"/>
                <w:noProof/>
              </w:rPr>
              <w:t>The Root of Dysfunction</w:t>
            </w:r>
            <w:r>
              <w:rPr>
                <w:noProof/>
                <w:webHidden/>
              </w:rPr>
              <w:tab/>
            </w:r>
            <w:r>
              <w:rPr>
                <w:noProof/>
                <w:webHidden/>
              </w:rPr>
              <w:fldChar w:fldCharType="begin"/>
            </w:r>
            <w:r>
              <w:rPr>
                <w:noProof/>
                <w:webHidden/>
              </w:rPr>
              <w:instrText xml:space="preserve"> PAGEREF _Toc206954751 \h </w:instrText>
            </w:r>
            <w:r>
              <w:rPr>
                <w:noProof/>
                <w:webHidden/>
              </w:rPr>
            </w:r>
            <w:r>
              <w:rPr>
                <w:noProof/>
                <w:webHidden/>
              </w:rPr>
              <w:fldChar w:fldCharType="separate"/>
            </w:r>
            <w:r>
              <w:rPr>
                <w:noProof/>
                <w:webHidden/>
              </w:rPr>
              <w:t>70</w:t>
            </w:r>
            <w:r>
              <w:rPr>
                <w:noProof/>
                <w:webHidden/>
              </w:rPr>
              <w:fldChar w:fldCharType="end"/>
            </w:r>
          </w:hyperlink>
        </w:p>
        <w:p w14:paraId="16346AE4" w14:textId="7BB404B2" w:rsidR="005610D4" w:rsidRDefault="005610D4">
          <w:pPr>
            <w:pStyle w:val="TOC2"/>
            <w:tabs>
              <w:tab w:val="right" w:leader="dot" w:pos="9350"/>
            </w:tabs>
            <w:rPr>
              <w:rFonts w:eastAsiaTheme="minorEastAsia"/>
              <w:noProof/>
              <w:kern w:val="2"/>
              <w14:ligatures w14:val="standardContextual"/>
            </w:rPr>
          </w:pPr>
          <w:hyperlink w:anchor="_Toc206954752" w:history="1">
            <w:r w:rsidRPr="00887986">
              <w:rPr>
                <w:rStyle w:val="Hyperlink"/>
                <w:rFonts w:ascii="Arial" w:hAnsi="Arial" w:cs="Arial"/>
                <w:noProof/>
              </w:rPr>
              <w:t>The Transformation Imperative</w:t>
            </w:r>
            <w:r>
              <w:rPr>
                <w:noProof/>
                <w:webHidden/>
              </w:rPr>
              <w:tab/>
            </w:r>
            <w:r>
              <w:rPr>
                <w:noProof/>
                <w:webHidden/>
              </w:rPr>
              <w:fldChar w:fldCharType="begin"/>
            </w:r>
            <w:r>
              <w:rPr>
                <w:noProof/>
                <w:webHidden/>
              </w:rPr>
              <w:instrText xml:space="preserve"> PAGEREF _Toc206954752 \h </w:instrText>
            </w:r>
            <w:r>
              <w:rPr>
                <w:noProof/>
                <w:webHidden/>
              </w:rPr>
            </w:r>
            <w:r>
              <w:rPr>
                <w:noProof/>
                <w:webHidden/>
              </w:rPr>
              <w:fldChar w:fldCharType="separate"/>
            </w:r>
            <w:r>
              <w:rPr>
                <w:noProof/>
                <w:webHidden/>
              </w:rPr>
              <w:t>70</w:t>
            </w:r>
            <w:r>
              <w:rPr>
                <w:noProof/>
                <w:webHidden/>
              </w:rPr>
              <w:fldChar w:fldCharType="end"/>
            </w:r>
          </w:hyperlink>
        </w:p>
        <w:p w14:paraId="73F56C37" w14:textId="5F6216B5" w:rsidR="005610D4" w:rsidRDefault="005610D4">
          <w:pPr>
            <w:pStyle w:val="TOC2"/>
            <w:tabs>
              <w:tab w:val="right" w:leader="dot" w:pos="9350"/>
            </w:tabs>
            <w:rPr>
              <w:rFonts w:eastAsiaTheme="minorEastAsia"/>
              <w:noProof/>
              <w:kern w:val="2"/>
              <w14:ligatures w14:val="standardContextual"/>
            </w:rPr>
          </w:pPr>
          <w:hyperlink w:anchor="_Toc206954753" w:history="1">
            <w:r w:rsidRPr="00887986">
              <w:rPr>
                <w:rStyle w:val="Hyperlink"/>
                <w:rFonts w:ascii="Arial" w:hAnsi="Arial" w:cs="Arial"/>
                <w:noProof/>
              </w:rPr>
              <w:t>The Consolidation Catalyst</w:t>
            </w:r>
            <w:r>
              <w:rPr>
                <w:noProof/>
                <w:webHidden/>
              </w:rPr>
              <w:tab/>
            </w:r>
            <w:r>
              <w:rPr>
                <w:noProof/>
                <w:webHidden/>
              </w:rPr>
              <w:fldChar w:fldCharType="begin"/>
            </w:r>
            <w:r>
              <w:rPr>
                <w:noProof/>
                <w:webHidden/>
              </w:rPr>
              <w:instrText xml:space="preserve"> PAGEREF _Toc206954753 \h </w:instrText>
            </w:r>
            <w:r>
              <w:rPr>
                <w:noProof/>
                <w:webHidden/>
              </w:rPr>
            </w:r>
            <w:r>
              <w:rPr>
                <w:noProof/>
                <w:webHidden/>
              </w:rPr>
              <w:fldChar w:fldCharType="separate"/>
            </w:r>
            <w:r>
              <w:rPr>
                <w:noProof/>
                <w:webHidden/>
              </w:rPr>
              <w:t>71</w:t>
            </w:r>
            <w:r>
              <w:rPr>
                <w:noProof/>
                <w:webHidden/>
              </w:rPr>
              <w:fldChar w:fldCharType="end"/>
            </w:r>
          </w:hyperlink>
        </w:p>
        <w:p w14:paraId="29456D72" w14:textId="21A95F54" w:rsidR="005610D4" w:rsidRDefault="005610D4">
          <w:pPr>
            <w:pStyle w:val="TOC2"/>
            <w:tabs>
              <w:tab w:val="right" w:leader="dot" w:pos="9350"/>
            </w:tabs>
            <w:rPr>
              <w:rFonts w:eastAsiaTheme="minorEastAsia"/>
              <w:noProof/>
              <w:kern w:val="2"/>
              <w14:ligatures w14:val="standardContextual"/>
            </w:rPr>
          </w:pPr>
          <w:hyperlink w:anchor="_Toc206954754" w:history="1">
            <w:r w:rsidRPr="00887986">
              <w:rPr>
                <w:rStyle w:val="Hyperlink"/>
                <w:rFonts w:ascii="Arial" w:hAnsi="Arial" w:cs="Arial"/>
                <w:noProof/>
              </w:rPr>
              <w:t>The Success Patterns</w:t>
            </w:r>
            <w:r>
              <w:rPr>
                <w:noProof/>
                <w:webHidden/>
              </w:rPr>
              <w:tab/>
            </w:r>
            <w:r>
              <w:rPr>
                <w:noProof/>
                <w:webHidden/>
              </w:rPr>
              <w:fldChar w:fldCharType="begin"/>
            </w:r>
            <w:r>
              <w:rPr>
                <w:noProof/>
                <w:webHidden/>
              </w:rPr>
              <w:instrText xml:space="preserve"> PAGEREF _Toc206954754 \h </w:instrText>
            </w:r>
            <w:r>
              <w:rPr>
                <w:noProof/>
                <w:webHidden/>
              </w:rPr>
            </w:r>
            <w:r>
              <w:rPr>
                <w:noProof/>
                <w:webHidden/>
              </w:rPr>
              <w:fldChar w:fldCharType="separate"/>
            </w:r>
            <w:r>
              <w:rPr>
                <w:noProof/>
                <w:webHidden/>
              </w:rPr>
              <w:t>71</w:t>
            </w:r>
            <w:r>
              <w:rPr>
                <w:noProof/>
                <w:webHidden/>
              </w:rPr>
              <w:fldChar w:fldCharType="end"/>
            </w:r>
          </w:hyperlink>
        </w:p>
        <w:p w14:paraId="678484CE" w14:textId="138FA1D0" w:rsidR="005610D4" w:rsidRDefault="005610D4">
          <w:pPr>
            <w:pStyle w:val="TOC2"/>
            <w:tabs>
              <w:tab w:val="right" w:leader="dot" w:pos="9350"/>
            </w:tabs>
            <w:rPr>
              <w:rFonts w:eastAsiaTheme="minorEastAsia"/>
              <w:noProof/>
              <w:kern w:val="2"/>
              <w14:ligatures w14:val="standardContextual"/>
            </w:rPr>
          </w:pPr>
          <w:hyperlink w:anchor="_Toc206954755" w:history="1">
            <w:r w:rsidRPr="00887986">
              <w:rPr>
                <w:rStyle w:val="Hyperlink"/>
                <w:rFonts w:ascii="Arial" w:hAnsi="Arial" w:cs="Arial"/>
                <w:noProof/>
              </w:rPr>
              <w:t>The Future Landscape</w:t>
            </w:r>
            <w:r>
              <w:rPr>
                <w:noProof/>
                <w:webHidden/>
              </w:rPr>
              <w:tab/>
            </w:r>
            <w:r>
              <w:rPr>
                <w:noProof/>
                <w:webHidden/>
              </w:rPr>
              <w:fldChar w:fldCharType="begin"/>
            </w:r>
            <w:r>
              <w:rPr>
                <w:noProof/>
                <w:webHidden/>
              </w:rPr>
              <w:instrText xml:space="preserve"> PAGEREF _Toc206954755 \h </w:instrText>
            </w:r>
            <w:r>
              <w:rPr>
                <w:noProof/>
                <w:webHidden/>
              </w:rPr>
            </w:r>
            <w:r>
              <w:rPr>
                <w:noProof/>
                <w:webHidden/>
              </w:rPr>
              <w:fldChar w:fldCharType="separate"/>
            </w:r>
            <w:r>
              <w:rPr>
                <w:noProof/>
                <w:webHidden/>
              </w:rPr>
              <w:t>72</w:t>
            </w:r>
            <w:r>
              <w:rPr>
                <w:noProof/>
                <w:webHidden/>
              </w:rPr>
              <w:fldChar w:fldCharType="end"/>
            </w:r>
          </w:hyperlink>
        </w:p>
        <w:p w14:paraId="61E7BD3B" w14:textId="01F43AB9" w:rsidR="005610D4" w:rsidRDefault="005610D4">
          <w:pPr>
            <w:pStyle w:val="TOC2"/>
            <w:tabs>
              <w:tab w:val="right" w:leader="dot" w:pos="9350"/>
            </w:tabs>
            <w:rPr>
              <w:rFonts w:eastAsiaTheme="minorEastAsia"/>
              <w:noProof/>
              <w:kern w:val="2"/>
              <w14:ligatures w14:val="standardContextual"/>
            </w:rPr>
          </w:pPr>
          <w:hyperlink w:anchor="_Toc206954756" w:history="1">
            <w:r w:rsidRPr="00887986">
              <w:rPr>
                <w:rStyle w:val="Hyperlink"/>
                <w:rFonts w:ascii="Arial" w:hAnsi="Arial" w:cs="Arial"/>
                <w:noProof/>
              </w:rPr>
              <w:t>The Call to Action</w:t>
            </w:r>
            <w:r>
              <w:rPr>
                <w:noProof/>
                <w:webHidden/>
              </w:rPr>
              <w:tab/>
            </w:r>
            <w:r>
              <w:rPr>
                <w:noProof/>
                <w:webHidden/>
              </w:rPr>
              <w:fldChar w:fldCharType="begin"/>
            </w:r>
            <w:r>
              <w:rPr>
                <w:noProof/>
                <w:webHidden/>
              </w:rPr>
              <w:instrText xml:space="preserve"> PAGEREF _Toc206954756 \h </w:instrText>
            </w:r>
            <w:r>
              <w:rPr>
                <w:noProof/>
                <w:webHidden/>
              </w:rPr>
            </w:r>
            <w:r>
              <w:rPr>
                <w:noProof/>
                <w:webHidden/>
              </w:rPr>
              <w:fldChar w:fldCharType="separate"/>
            </w:r>
            <w:r>
              <w:rPr>
                <w:noProof/>
                <w:webHidden/>
              </w:rPr>
              <w:t>72</w:t>
            </w:r>
            <w:r>
              <w:rPr>
                <w:noProof/>
                <w:webHidden/>
              </w:rPr>
              <w:fldChar w:fldCharType="end"/>
            </w:r>
          </w:hyperlink>
        </w:p>
        <w:p w14:paraId="11682E39" w14:textId="12537DF1" w:rsidR="00CE5166" w:rsidRPr="00787DBA" w:rsidRDefault="00216250" w:rsidP="00787DBA">
          <w:r>
            <w:rPr>
              <w:b/>
              <w:bCs/>
              <w:noProof/>
            </w:rPr>
            <w:fldChar w:fldCharType="end"/>
          </w:r>
        </w:p>
      </w:sdtContent>
    </w:sdt>
    <w:p w14:paraId="7D630C7C" w14:textId="77777777" w:rsidR="00DB24E2" w:rsidRPr="00CE5166" w:rsidRDefault="00000000">
      <w:pPr>
        <w:rPr>
          <w:rFonts w:ascii="Arial" w:hAnsi="Arial" w:cs="Arial"/>
        </w:rPr>
      </w:pPr>
      <w:r w:rsidRPr="00CE5166">
        <w:rPr>
          <w:rFonts w:ascii="Arial" w:hAnsi="Arial" w:cs="Arial"/>
        </w:rPr>
        <w:pict w14:anchorId="7D630E81">
          <v:rect id="_x0000_i1027" style="width:0;height:1.5pt" o:hralign="center" o:hrstd="t" o:hr="t"/>
        </w:pict>
      </w:r>
    </w:p>
    <w:p w14:paraId="7D630C7D" w14:textId="77777777" w:rsidR="00DB24E2" w:rsidRPr="00CE5166" w:rsidRDefault="00000000">
      <w:pPr>
        <w:pStyle w:val="Heading1"/>
        <w:rPr>
          <w:rFonts w:ascii="Arial" w:hAnsi="Arial" w:cs="Arial"/>
        </w:rPr>
      </w:pPr>
      <w:bookmarkStart w:id="3" w:name="X4c928e5c6ab608da2b25642bc7c19a4cedcc013"/>
      <w:bookmarkStart w:id="4" w:name="_Toc206954652"/>
      <w:r w:rsidRPr="00CE5166">
        <w:rPr>
          <w:rFonts w:ascii="Arial" w:hAnsi="Arial" w:cs="Arial"/>
        </w:rPr>
        <w:t>Executive Summary: The MSSP Profitability Paradox</w:t>
      </w:r>
      <w:bookmarkEnd w:id="3"/>
      <w:bookmarkEnd w:id="4"/>
    </w:p>
    <w:p w14:paraId="7D630C7E" w14:textId="77777777" w:rsidR="00DB24E2" w:rsidRPr="00CE5166" w:rsidRDefault="00000000">
      <w:pPr>
        <w:pStyle w:val="Heading2"/>
        <w:rPr>
          <w:rFonts w:ascii="Arial" w:hAnsi="Arial" w:cs="Arial"/>
        </w:rPr>
      </w:pPr>
      <w:bookmarkStart w:id="5" w:name="the-paradox-defined"/>
      <w:bookmarkStart w:id="6" w:name="_Toc206954653"/>
      <w:r w:rsidRPr="00CE5166">
        <w:rPr>
          <w:rFonts w:ascii="Arial" w:hAnsi="Arial" w:cs="Arial"/>
        </w:rPr>
        <w:t>The Paradox Defined</w:t>
      </w:r>
      <w:bookmarkEnd w:id="5"/>
      <w:bookmarkEnd w:id="6"/>
    </w:p>
    <w:p w14:paraId="7D630C7F" w14:textId="77777777" w:rsidR="00DB24E2" w:rsidRPr="00CE5166" w:rsidRDefault="00000000">
      <w:pPr>
        <w:pStyle w:val="FirstParagraph"/>
        <w:rPr>
          <w:rFonts w:ascii="Arial" w:hAnsi="Arial" w:cs="Arial"/>
        </w:rPr>
      </w:pPr>
      <w:r w:rsidRPr="00CE5166">
        <w:rPr>
          <w:rFonts w:ascii="Arial" w:hAnsi="Arial" w:cs="Arial"/>
        </w:rPr>
        <w:t>The managed security services industry faces an economic impossibility: explosive market growth with collapsing profitability. Despite cybersecurity services racing toward $87.5 billion by 2030 at 15.4% annual growth, the average MSSP achieves net margins of just 8%—with 25% operating at breakeven or losses. Secureworks, a publicly traded industry leader, exemplifies this dysfunction with 1.7% EBITDA margins on $82 million quarterly revenue. The industry has discovered that essential services in desperate demand somehow yield profits thinner than grocery stores.</w:t>
      </w:r>
    </w:p>
    <w:p w14:paraId="7D630C80" w14:textId="77777777" w:rsidR="00DB24E2" w:rsidRPr="00CE5166" w:rsidRDefault="00000000">
      <w:pPr>
        <w:pStyle w:val="Heading2"/>
        <w:rPr>
          <w:rFonts w:ascii="Arial" w:hAnsi="Arial" w:cs="Arial"/>
        </w:rPr>
      </w:pPr>
      <w:bookmarkStart w:id="7" w:name="X5da57068e669a464627c0e44fb1c4fa46e3756c"/>
      <w:bookmarkStart w:id="8" w:name="_Toc206954654"/>
      <w:r w:rsidRPr="00CE5166">
        <w:rPr>
          <w:rFonts w:ascii="Arial" w:hAnsi="Arial" w:cs="Arial"/>
        </w:rPr>
        <w:t>Root Causes: Why Growth Doesn’t Equal Profit</w:t>
      </w:r>
      <w:bookmarkEnd w:id="7"/>
      <w:bookmarkEnd w:id="8"/>
    </w:p>
    <w:p w14:paraId="7D630C81" w14:textId="77777777" w:rsidR="00DB24E2" w:rsidRPr="00CE5166" w:rsidRDefault="00000000">
      <w:pPr>
        <w:pStyle w:val="FirstParagraph"/>
        <w:rPr>
          <w:rFonts w:ascii="Arial" w:hAnsi="Arial" w:cs="Arial"/>
        </w:rPr>
      </w:pPr>
      <w:r w:rsidRPr="00CE5166">
        <w:rPr>
          <w:rFonts w:ascii="Arial" w:hAnsi="Arial" w:cs="Arial"/>
          <w:b/>
        </w:rPr>
        <w:t>Linear Economics in an Exponential World</w:t>
      </w:r>
      <w:r w:rsidRPr="00CE5166">
        <w:rPr>
          <w:rFonts w:ascii="Arial" w:hAnsi="Arial" w:cs="Arial"/>
        </w:rPr>
        <w:t xml:space="preserve"> - Security threats grow 30% annually while human capacity scales linearly - Each new client requires proportional analyst additions at $88,000-$133,000 per year - 24/7 operations require 5 teams, not 3, multiplying labor costs - Customer acquisition costs average $45,000 with 18-month breakeven</w:t>
      </w:r>
    </w:p>
    <w:p w14:paraId="7D630C82" w14:textId="77777777" w:rsidR="00DB24E2" w:rsidRPr="00CE5166" w:rsidRDefault="00000000">
      <w:pPr>
        <w:pStyle w:val="BodyText"/>
        <w:rPr>
          <w:rFonts w:ascii="Arial" w:hAnsi="Arial" w:cs="Arial"/>
        </w:rPr>
      </w:pPr>
      <w:r w:rsidRPr="00CE5166">
        <w:rPr>
          <w:rFonts w:ascii="Arial" w:hAnsi="Arial" w:cs="Arial"/>
          <w:b/>
        </w:rPr>
        <w:t>Operational Dysfunction at Scale</w:t>
      </w:r>
      <w:r w:rsidRPr="00CE5166">
        <w:rPr>
          <w:rFonts w:ascii="Arial" w:hAnsi="Arial" w:cs="Arial"/>
        </w:rPr>
        <w:t xml:space="preserve"> - 90% of SOCs are overwhelmed by alert volumes with 66% false positive rates - Analysts waste 40% of time investigating phantom threats - Average MSSP manages 20+ security vendors, creating 190 potential integration points - 70% of analysts quit within three years, creating perpetual training costs</w:t>
      </w:r>
    </w:p>
    <w:p w14:paraId="7D630C83" w14:textId="77777777" w:rsidR="00DB24E2" w:rsidRPr="00CE5166" w:rsidRDefault="00000000">
      <w:pPr>
        <w:pStyle w:val="BodyText"/>
        <w:rPr>
          <w:rFonts w:ascii="Arial" w:hAnsi="Arial" w:cs="Arial"/>
        </w:rPr>
      </w:pPr>
      <w:r w:rsidRPr="00CE5166">
        <w:rPr>
          <w:rFonts w:ascii="Arial" w:hAnsi="Arial" w:cs="Arial"/>
          <w:b/>
        </w:rPr>
        <w:t>Strategic Misalignments</w:t>
      </w:r>
      <w:r w:rsidRPr="00CE5166">
        <w:rPr>
          <w:rFonts w:ascii="Arial" w:hAnsi="Arial" w:cs="Arial"/>
        </w:rPr>
        <w:t xml:space="preserve"> - Commodity pricing (per-device/per-GB) for premium services worth 30x the cost - Customization demands that destroy standardization benefits - Geographic expansion multiplying complexity without multiplying margins - Vendor partnerships that extract more value than they create</w:t>
      </w:r>
    </w:p>
    <w:p w14:paraId="7D630C84" w14:textId="77777777" w:rsidR="00DB24E2" w:rsidRPr="00CE5166" w:rsidRDefault="00000000">
      <w:pPr>
        <w:pStyle w:val="Heading2"/>
        <w:rPr>
          <w:rFonts w:ascii="Arial" w:hAnsi="Arial" w:cs="Arial"/>
        </w:rPr>
      </w:pPr>
      <w:bookmarkStart w:id="9" w:name="Xdef12de7c74c9d18fbc7d2065a9f7a1a9e63f2e"/>
      <w:bookmarkStart w:id="10" w:name="_Toc206954655"/>
      <w:r w:rsidRPr="00CE5166">
        <w:rPr>
          <w:rFonts w:ascii="Arial" w:hAnsi="Arial" w:cs="Arial"/>
        </w:rPr>
        <w:t>The Transformation Path: From 8% to 18% Margins</w:t>
      </w:r>
      <w:bookmarkEnd w:id="9"/>
      <w:bookmarkEnd w:id="10"/>
    </w:p>
    <w:p w14:paraId="7D630C85" w14:textId="77777777" w:rsidR="00DB24E2" w:rsidRPr="00CE5166" w:rsidRDefault="00000000">
      <w:pPr>
        <w:pStyle w:val="FirstParagraph"/>
        <w:rPr>
          <w:rFonts w:ascii="Arial" w:hAnsi="Arial" w:cs="Arial"/>
        </w:rPr>
      </w:pPr>
      <w:r w:rsidRPr="00CE5166">
        <w:rPr>
          <w:rFonts w:ascii="Arial" w:hAnsi="Arial" w:cs="Arial"/>
        </w:rPr>
        <w:t>Leading MSSPs achieve 18% margins—2.25x the industry average—through three fundamental transformations:</w:t>
      </w:r>
    </w:p>
    <w:p w14:paraId="7D630C86" w14:textId="77777777" w:rsidR="00DB24E2" w:rsidRPr="00CE5166" w:rsidRDefault="00000000">
      <w:pPr>
        <w:pStyle w:val="BodyText"/>
        <w:rPr>
          <w:rFonts w:ascii="Arial" w:hAnsi="Arial" w:cs="Arial"/>
        </w:rPr>
      </w:pPr>
      <w:r w:rsidRPr="00CE5166">
        <w:rPr>
          <w:rFonts w:ascii="Arial" w:hAnsi="Arial" w:cs="Arial"/>
          <w:b/>
        </w:rPr>
        <w:t>1. Automation-First Architecture (70-80% Workload Reduction)</w:t>
      </w:r>
      <w:r w:rsidRPr="00CE5166">
        <w:rPr>
          <w:rFonts w:ascii="Arial" w:hAnsi="Arial" w:cs="Arial"/>
        </w:rPr>
        <w:t xml:space="preserve"> - Reduce false positives from 66% to 5% through AI-powered contextual analysis - Automate 80% of incident response for common scenarios - Consolidate from 20+ vendors to 5 core platforms - Investment required: $2-3 million over 18 months - ROI: 40% operational cost reduction within 24 months</w:t>
      </w:r>
    </w:p>
    <w:p w14:paraId="7D630C87" w14:textId="77777777" w:rsidR="00DB24E2" w:rsidRPr="00CE5166" w:rsidRDefault="00000000">
      <w:pPr>
        <w:pStyle w:val="BodyText"/>
        <w:rPr>
          <w:rFonts w:ascii="Arial" w:hAnsi="Arial" w:cs="Arial"/>
        </w:rPr>
      </w:pPr>
      <w:r w:rsidRPr="00CE5166">
        <w:rPr>
          <w:rFonts w:ascii="Arial" w:hAnsi="Arial" w:cs="Arial"/>
          <w:b/>
        </w:rPr>
        <w:t>2. Business Model Innovation (2-3x Price Premiums)</w:t>
      </w:r>
      <w:r w:rsidRPr="00CE5166">
        <w:rPr>
          <w:rFonts w:ascii="Arial" w:hAnsi="Arial" w:cs="Arial"/>
        </w:rPr>
        <w:t xml:space="preserve"> - Shift from per-device to outcome-based pricing - Implement tiered services where bronze (automated) has higher margins than platinum - Specialize in verticals commanding 30-50% premiums - Build platform capabilities creating 20-30% software margins</w:t>
      </w:r>
    </w:p>
    <w:p w14:paraId="7D630C88" w14:textId="77777777" w:rsidR="00DB24E2" w:rsidRPr="00CE5166" w:rsidRDefault="00000000">
      <w:pPr>
        <w:pStyle w:val="BodyText"/>
        <w:rPr>
          <w:rFonts w:ascii="Arial" w:hAnsi="Arial" w:cs="Arial"/>
        </w:rPr>
      </w:pPr>
      <w:r w:rsidRPr="00CE5166">
        <w:rPr>
          <w:rFonts w:ascii="Arial" w:hAnsi="Arial" w:cs="Arial"/>
          <w:b/>
        </w:rPr>
        <w:t>3. Operational Excellence (30% Cost Reduction)</w:t>
      </w:r>
      <w:r w:rsidRPr="00CE5166">
        <w:rPr>
          <w:rFonts w:ascii="Arial" w:hAnsi="Arial" w:cs="Arial"/>
        </w:rPr>
        <w:t xml:space="preserve"> - Implement squad-based delivery improving retention and reducing context-switching - Achieve 45-day implementations versus industry-standard 120 days - Drive customer retention from 85% to 95%, doubling lifetime value - Maintain LTV/CAC ratios above 3:1 minimum</w:t>
      </w:r>
    </w:p>
    <w:p w14:paraId="7D630C89" w14:textId="77777777" w:rsidR="00DB24E2" w:rsidRPr="00CE5166" w:rsidRDefault="00000000">
      <w:pPr>
        <w:pStyle w:val="Heading2"/>
        <w:rPr>
          <w:rFonts w:ascii="Arial" w:hAnsi="Arial" w:cs="Arial"/>
        </w:rPr>
      </w:pPr>
      <w:bookmarkStart w:id="11" w:name="the-three-year-transformation-roadmap"/>
      <w:bookmarkStart w:id="12" w:name="_Toc206954656"/>
      <w:r w:rsidRPr="00CE5166">
        <w:rPr>
          <w:rFonts w:ascii="Arial" w:hAnsi="Arial" w:cs="Arial"/>
        </w:rPr>
        <w:t>The Three-Year Transformation Roadmap</w:t>
      </w:r>
      <w:bookmarkEnd w:id="11"/>
      <w:bookmarkEnd w:id="12"/>
    </w:p>
    <w:p w14:paraId="7D630C8A" w14:textId="77777777" w:rsidR="00DB24E2" w:rsidRPr="00CE5166" w:rsidRDefault="00000000">
      <w:pPr>
        <w:pStyle w:val="FirstParagraph"/>
        <w:rPr>
          <w:rFonts w:ascii="Arial" w:hAnsi="Arial" w:cs="Arial"/>
        </w:rPr>
      </w:pPr>
      <w:r w:rsidRPr="00CE5166">
        <w:rPr>
          <w:rFonts w:ascii="Arial" w:hAnsi="Arial" w:cs="Arial"/>
          <w:b/>
        </w:rPr>
        <w:t>Year One: Foundation (Months 1-12)</w:t>
      </w:r>
      <w:r w:rsidRPr="00CE5166">
        <w:rPr>
          <w:rFonts w:ascii="Arial" w:hAnsi="Arial" w:cs="Arial"/>
        </w:rPr>
        <w:t xml:space="preserve"> - Platform consolidation: Reduce to 5 vendors maximum - Automation infrastructure: Deploy SOAR and AI capabilities - Financial restructuring: Fire unprofitable customers (bottom 20%) - Investment: $2-3 million - Expected outcome: 5% margin improvement</w:t>
      </w:r>
    </w:p>
    <w:p w14:paraId="7D630C8B" w14:textId="77777777" w:rsidR="00DB24E2" w:rsidRPr="00CE5166" w:rsidRDefault="00000000">
      <w:pPr>
        <w:pStyle w:val="BodyText"/>
        <w:rPr>
          <w:rFonts w:ascii="Arial" w:hAnsi="Arial" w:cs="Arial"/>
        </w:rPr>
      </w:pPr>
      <w:r w:rsidRPr="00CE5166">
        <w:rPr>
          <w:rFonts w:ascii="Arial" w:hAnsi="Arial" w:cs="Arial"/>
          <w:b/>
        </w:rPr>
        <w:t>Year Two: Optimization (Months 13-24)</w:t>
      </w:r>
      <w:r w:rsidRPr="00CE5166">
        <w:rPr>
          <w:rFonts w:ascii="Arial" w:hAnsi="Arial" w:cs="Arial"/>
        </w:rPr>
        <w:t xml:space="preserve"> - Service standardization: 3-5 tiers with no customization - Talent transformation: Retrain analysts as automation engineers - Customer success programs: Reduce churn below 10% - Investment: $1-2 million - Expected outcome: Additional 5% margin improvement</w:t>
      </w:r>
    </w:p>
    <w:p w14:paraId="7D630C8C" w14:textId="77777777" w:rsidR="00DB24E2" w:rsidRPr="00CE5166" w:rsidRDefault="00000000">
      <w:pPr>
        <w:pStyle w:val="BodyText"/>
        <w:rPr>
          <w:rFonts w:ascii="Arial" w:hAnsi="Arial" w:cs="Arial"/>
        </w:rPr>
      </w:pPr>
      <w:r w:rsidRPr="00CE5166">
        <w:rPr>
          <w:rFonts w:ascii="Arial" w:hAnsi="Arial" w:cs="Arial"/>
          <w:b/>
        </w:rPr>
        <w:t>Year Three: Differentiation (Months 25-36)</w:t>
      </w:r>
      <w:r w:rsidRPr="00CE5166">
        <w:rPr>
          <w:rFonts w:ascii="Arial" w:hAnsi="Arial" w:cs="Arial"/>
        </w:rPr>
        <w:t xml:space="preserve"> - Value-based pricing: Migrate from activity to outcomes - Market specialization: Dominate chosen verticals - Platform monetization: License to smaller MSSPs - Investment: $1 million - Expected outcome: Achieve 15-20% sustainable EBITDA</w:t>
      </w:r>
    </w:p>
    <w:p w14:paraId="7D630C8D" w14:textId="77777777" w:rsidR="00DB24E2" w:rsidRPr="00CE5166" w:rsidRDefault="00000000">
      <w:pPr>
        <w:pStyle w:val="Heading2"/>
        <w:rPr>
          <w:rFonts w:ascii="Arial" w:hAnsi="Arial" w:cs="Arial"/>
        </w:rPr>
      </w:pPr>
      <w:bookmarkStart w:id="13" w:name="critical-success-metrics"/>
      <w:bookmarkStart w:id="14" w:name="_Toc206954657"/>
      <w:r w:rsidRPr="00CE5166">
        <w:rPr>
          <w:rFonts w:ascii="Arial" w:hAnsi="Arial" w:cs="Arial"/>
        </w:rPr>
        <w:t>Critical Success Metrics</w:t>
      </w:r>
      <w:bookmarkEnd w:id="13"/>
      <w:bookmarkEnd w:id="14"/>
    </w:p>
    <w:p w14:paraId="7D630C8E" w14:textId="77777777" w:rsidR="00DB24E2" w:rsidRPr="00CE5166" w:rsidRDefault="00000000">
      <w:pPr>
        <w:pStyle w:val="FirstParagraph"/>
        <w:rPr>
          <w:rFonts w:ascii="Arial" w:hAnsi="Arial" w:cs="Arial"/>
        </w:rPr>
      </w:pPr>
      <w:r w:rsidRPr="00CE5166">
        <w:rPr>
          <w:rFonts w:ascii="Arial" w:hAnsi="Arial" w:cs="Arial"/>
          <w:b/>
        </w:rPr>
        <w:t>Financial Health</w:t>
      </w:r>
      <w:r w:rsidRPr="00CE5166">
        <w:rPr>
          <w:rFonts w:ascii="Arial" w:hAnsi="Arial" w:cs="Arial"/>
        </w:rPr>
        <w:t xml:space="preserve"> - EBITDA margin: Target 15-20% (minimum 15% for sustainability) - LTV/CAC ratio: Maintain above 3:1 (below indicates unsustainable growth) - Revenue per employee: $200,000+ (below $125,000 signals dysfunction)</w:t>
      </w:r>
    </w:p>
    <w:p w14:paraId="7D630C8F" w14:textId="77777777" w:rsidR="00DB24E2" w:rsidRPr="00CE5166" w:rsidRDefault="00000000">
      <w:pPr>
        <w:pStyle w:val="BodyText"/>
        <w:rPr>
          <w:rFonts w:ascii="Arial" w:hAnsi="Arial" w:cs="Arial"/>
        </w:rPr>
      </w:pPr>
      <w:r w:rsidRPr="00CE5166">
        <w:rPr>
          <w:rFonts w:ascii="Arial" w:hAnsi="Arial" w:cs="Arial"/>
          <w:b/>
        </w:rPr>
        <w:t>Operational Excellence</w:t>
      </w:r>
      <w:r w:rsidRPr="00CE5166">
        <w:rPr>
          <w:rFonts w:ascii="Arial" w:hAnsi="Arial" w:cs="Arial"/>
        </w:rPr>
        <w:t xml:space="preserve"> - Automation percentage: 80%+ of alerts handled without human intervention - False positive rate: Below 20% (versus 66% industry average) - Utilization rate: 75-80% of analyst time on revenue-generating activities</w:t>
      </w:r>
    </w:p>
    <w:p w14:paraId="7D630C90" w14:textId="77777777" w:rsidR="00DB24E2" w:rsidRPr="00CE5166" w:rsidRDefault="00000000">
      <w:pPr>
        <w:pStyle w:val="BodyText"/>
        <w:rPr>
          <w:rFonts w:ascii="Arial" w:hAnsi="Arial" w:cs="Arial"/>
        </w:rPr>
      </w:pPr>
      <w:r w:rsidRPr="00CE5166">
        <w:rPr>
          <w:rFonts w:ascii="Arial" w:hAnsi="Arial" w:cs="Arial"/>
          <w:b/>
        </w:rPr>
        <w:t>Customer Success</w:t>
      </w:r>
      <w:r w:rsidRPr="00CE5166">
        <w:rPr>
          <w:rFonts w:ascii="Arial" w:hAnsi="Arial" w:cs="Arial"/>
        </w:rPr>
        <w:t xml:space="preserve"> - Net revenue retention: 110% (existing customers growing 10% annually after churn) - Customer retention: 95%+ (versus 85% industry average) - Net Promoter Score: 50+ (versus 32 industry average)</w:t>
      </w:r>
    </w:p>
    <w:p w14:paraId="7D630C91" w14:textId="77777777" w:rsidR="00DB24E2" w:rsidRPr="00CE5166" w:rsidRDefault="00000000">
      <w:pPr>
        <w:pStyle w:val="Heading2"/>
        <w:rPr>
          <w:rFonts w:ascii="Arial" w:hAnsi="Arial" w:cs="Arial"/>
        </w:rPr>
      </w:pPr>
      <w:bookmarkStart w:id="15" w:name="the-consolidation-countdown"/>
      <w:bookmarkStart w:id="16" w:name="_Toc206954658"/>
      <w:r w:rsidRPr="00CE5166">
        <w:rPr>
          <w:rFonts w:ascii="Arial" w:hAnsi="Arial" w:cs="Arial"/>
        </w:rPr>
        <w:t>The Consolidation Countdown</w:t>
      </w:r>
      <w:bookmarkEnd w:id="15"/>
      <w:bookmarkEnd w:id="16"/>
    </w:p>
    <w:p w14:paraId="7D630C92" w14:textId="77777777" w:rsidR="00DB24E2" w:rsidRPr="00CE5166" w:rsidRDefault="00000000">
      <w:pPr>
        <w:pStyle w:val="FirstParagraph"/>
        <w:rPr>
          <w:rFonts w:ascii="Arial" w:hAnsi="Arial" w:cs="Arial"/>
        </w:rPr>
      </w:pPr>
      <w:r w:rsidRPr="00CE5166">
        <w:rPr>
          <w:rFonts w:ascii="Arial" w:hAnsi="Arial" w:cs="Arial"/>
        </w:rPr>
        <w:t>Market dynamics guarantee massive consolidation: - 40% of MSSPs will disappear through merger or closure by 2028 - Platform players will acquire tool aggregators for customer bases - 5-10 major players will control 60% of the market - Specialists will thrive in niches majors can’t serve</w:t>
      </w:r>
    </w:p>
    <w:p w14:paraId="7D630C93" w14:textId="77777777" w:rsidR="00DB24E2" w:rsidRPr="00CE5166" w:rsidRDefault="00000000">
      <w:pPr>
        <w:pStyle w:val="BodyText"/>
        <w:rPr>
          <w:rFonts w:ascii="Arial" w:hAnsi="Arial" w:cs="Arial"/>
        </w:rPr>
      </w:pPr>
      <w:r w:rsidRPr="00CE5166">
        <w:rPr>
          <w:rFonts w:ascii="Arial" w:hAnsi="Arial" w:cs="Arial"/>
        </w:rPr>
        <w:t>Companies must choose: transform proactively or be consolidated reactively.</w:t>
      </w:r>
    </w:p>
    <w:p w14:paraId="7D630C94" w14:textId="77777777" w:rsidR="00DB24E2" w:rsidRPr="00CE5166" w:rsidRDefault="00000000">
      <w:pPr>
        <w:pStyle w:val="Heading2"/>
        <w:rPr>
          <w:rFonts w:ascii="Arial" w:hAnsi="Arial" w:cs="Arial"/>
        </w:rPr>
      </w:pPr>
      <w:bookmarkStart w:id="17" w:name="strategic-imperatives-by-segment"/>
      <w:bookmarkStart w:id="18" w:name="_Toc206954659"/>
      <w:r w:rsidRPr="00CE5166">
        <w:rPr>
          <w:rFonts w:ascii="Arial" w:hAnsi="Arial" w:cs="Arial"/>
        </w:rPr>
        <w:t>Strategic Imperatives by Segment</w:t>
      </w:r>
      <w:bookmarkEnd w:id="17"/>
      <w:bookmarkEnd w:id="18"/>
    </w:p>
    <w:p w14:paraId="7D630C95" w14:textId="77777777" w:rsidR="00DB24E2" w:rsidRPr="00CE5166" w:rsidRDefault="00000000">
      <w:pPr>
        <w:pStyle w:val="FirstParagraph"/>
        <w:rPr>
          <w:rFonts w:ascii="Arial" w:hAnsi="Arial" w:cs="Arial"/>
        </w:rPr>
      </w:pPr>
      <w:r w:rsidRPr="00CE5166">
        <w:rPr>
          <w:rFonts w:ascii="Arial" w:hAnsi="Arial" w:cs="Arial"/>
          <w:b/>
        </w:rPr>
        <w:t>New Entrants</w:t>
      </w:r>
      <w:r w:rsidRPr="00CE5166">
        <w:rPr>
          <w:rFonts w:ascii="Arial" w:hAnsi="Arial" w:cs="Arial"/>
        </w:rPr>
        <w:t>: Build platform-first, automate from inception, focus on specific verticals, implement value pricing immediately</w:t>
      </w:r>
    </w:p>
    <w:p w14:paraId="7D630C96" w14:textId="77777777" w:rsidR="00DB24E2" w:rsidRPr="00CE5166" w:rsidRDefault="00000000">
      <w:pPr>
        <w:pStyle w:val="BodyText"/>
        <w:rPr>
          <w:rFonts w:ascii="Arial" w:hAnsi="Arial" w:cs="Arial"/>
        </w:rPr>
      </w:pPr>
      <w:r w:rsidRPr="00CE5166">
        <w:rPr>
          <w:rFonts w:ascii="Arial" w:hAnsi="Arial" w:cs="Arial"/>
          <w:b/>
        </w:rPr>
        <w:t>Struggling MSSPs</w:t>
      </w:r>
      <w:r w:rsidRPr="00CE5166">
        <w:rPr>
          <w:rFonts w:ascii="Arial" w:hAnsi="Arial" w:cs="Arial"/>
        </w:rPr>
        <w:t xml:space="preserve"> (Below 10% margins): Fire unprofitable customers within 90 days, consolidate platforms immediately, abandon customization entirely, consider strategic alternatives if transformation seems impossible</w:t>
      </w:r>
    </w:p>
    <w:p w14:paraId="7D630C97" w14:textId="77777777" w:rsidR="00DB24E2" w:rsidRPr="00CE5166" w:rsidRDefault="00000000">
      <w:pPr>
        <w:pStyle w:val="BodyText"/>
        <w:rPr>
          <w:rFonts w:ascii="Arial" w:hAnsi="Arial" w:cs="Arial"/>
        </w:rPr>
      </w:pPr>
      <w:r w:rsidRPr="00CE5166">
        <w:rPr>
          <w:rFonts w:ascii="Arial" w:hAnsi="Arial" w:cs="Arial"/>
          <w:b/>
        </w:rPr>
        <w:t>Market Leaders</w:t>
      </w:r>
      <w:r w:rsidRPr="00CE5166">
        <w:rPr>
          <w:rFonts w:ascii="Arial" w:hAnsi="Arial" w:cs="Arial"/>
        </w:rPr>
        <w:t xml:space="preserve"> (Above 15% margins): Disrupt yourself before others do, expand through capability acquisition not revenue purchase, build platform moats, maintain innovation velocity</w:t>
      </w:r>
    </w:p>
    <w:p w14:paraId="7D630C98" w14:textId="77777777" w:rsidR="00DB24E2" w:rsidRPr="00CE5166" w:rsidRDefault="00000000">
      <w:pPr>
        <w:pStyle w:val="BodyText"/>
        <w:rPr>
          <w:rFonts w:ascii="Arial" w:hAnsi="Arial" w:cs="Arial"/>
        </w:rPr>
      </w:pPr>
      <w:r w:rsidRPr="00CE5166">
        <w:rPr>
          <w:rFonts w:ascii="Arial" w:hAnsi="Arial" w:cs="Arial"/>
          <w:b/>
        </w:rPr>
        <w:t>Industry Collectively</w:t>
      </w:r>
      <w:r w:rsidRPr="00CE5166">
        <w:rPr>
          <w:rFonts w:ascii="Arial" w:hAnsi="Arial" w:cs="Arial"/>
        </w:rPr>
        <w:t>: Standardize metrics and reporting, address talent crisis through apprenticeships, create shared threat intelligence, establish AI ethics guidelines</w:t>
      </w:r>
    </w:p>
    <w:p w14:paraId="7D630C99" w14:textId="77777777" w:rsidR="00DB24E2" w:rsidRPr="00CE5166" w:rsidRDefault="00000000">
      <w:pPr>
        <w:pStyle w:val="Heading2"/>
        <w:rPr>
          <w:rFonts w:ascii="Arial" w:hAnsi="Arial" w:cs="Arial"/>
        </w:rPr>
      </w:pPr>
      <w:bookmarkStart w:id="19" w:name="the-roi-of-transformation"/>
      <w:bookmarkStart w:id="20" w:name="_Toc206954660"/>
      <w:r w:rsidRPr="00CE5166">
        <w:rPr>
          <w:rFonts w:ascii="Arial" w:hAnsi="Arial" w:cs="Arial"/>
        </w:rPr>
        <w:t>The ROI of Transformation</w:t>
      </w:r>
      <w:bookmarkEnd w:id="19"/>
      <w:bookmarkEnd w:id="20"/>
    </w:p>
    <w:p w14:paraId="7D630C9A" w14:textId="77777777" w:rsidR="00DB24E2" w:rsidRPr="00CE5166" w:rsidRDefault="00000000">
      <w:pPr>
        <w:pStyle w:val="FirstParagraph"/>
        <w:rPr>
          <w:rFonts w:ascii="Arial" w:hAnsi="Arial" w:cs="Arial"/>
        </w:rPr>
      </w:pPr>
      <w:r w:rsidRPr="00CE5166">
        <w:rPr>
          <w:rFonts w:ascii="Arial" w:hAnsi="Arial" w:cs="Arial"/>
          <w:b/>
        </w:rPr>
        <w:t>Investment Required</w:t>
      </w:r>
      <w:r w:rsidRPr="00CE5166">
        <w:rPr>
          <w:rFonts w:ascii="Arial" w:hAnsi="Arial" w:cs="Arial"/>
        </w:rPr>
        <w:t>: $4-6 million over 36 months for mid-sized MSSP</w:t>
      </w:r>
    </w:p>
    <w:p w14:paraId="7D630C9B" w14:textId="77777777" w:rsidR="00DB24E2" w:rsidRPr="00CE5166" w:rsidRDefault="00000000">
      <w:pPr>
        <w:pStyle w:val="BodyText"/>
        <w:rPr>
          <w:rFonts w:ascii="Arial" w:hAnsi="Arial" w:cs="Arial"/>
        </w:rPr>
      </w:pPr>
      <w:r w:rsidRPr="00CE5166">
        <w:rPr>
          <w:rFonts w:ascii="Arial" w:hAnsi="Arial" w:cs="Arial"/>
          <w:b/>
        </w:rPr>
        <w:t>Returns Generated</w:t>
      </w:r>
      <w:r w:rsidRPr="00CE5166">
        <w:rPr>
          <w:rFonts w:ascii="Arial" w:hAnsi="Arial" w:cs="Arial"/>
        </w:rPr>
        <w:t>: - Margin improvement: From 8% to 18% EBITDA - Revenue per employee: From $150,000 to $200,000 - Customer lifetime value: 2x through improved retention - Valuation multiple: From 1-2x revenue to 4-6x revenue</w:t>
      </w:r>
    </w:p>
    <w:p w14:paraId="7D630C9C" w14:textId="77777777" w:rsidR="00DB24E2" w:rsidRPr="00CE5166" w:rsidRDefault="00000000">
      <w:pPr>
        <w:pStyle w:val="BodyText"/>
        <w:rPr>
          <w:rFonts w:ascii="Arial" w:hAnsi="Arial" w:cs="Arial"/>
        </w:rPr>
      </w:pPr>
      <w:r w:rsidRPr="00CE5166">
        <w:rPr>
          <w:rFonts w:ascii="Arial" w:hAnsi="Arial" w:cs="Arial"/>
          <w:b/>
        </w:rPr>
        <w:t>Payback Period</w:t>
      </w:r>
      <w:r w:rsidRPr="00CE5166">
        <w:rPr>
          <w:rFonts w:ascii="Arial" w:hAnsi="Arial" w:cs="Arial"/>
        </w:rPr>
        <w:t>: 18-24 months to positive ROI, 36 months to full transformation</w:t>
      </w:r>
    </w:p>
    <w:p w14:paraId="7D630C9D" w14:textId="77777777" w:rsidR="00DB24E2" w:rsidRPr="00CE5166" w:rsidRDefault="00000000">
      <w:pPr>
        <w:pStyle w:val="Heading2"/>
        <w:rPr>
          <w:rFonts w:ascii="Arial" w:hAnsi="Arial" w:cs="Arial"/>
        </w:rPr>
      </w:pPr>
      <w:bookmarkStart w:id="21" w:name="the-bottom-line"/>
      <w:bookmarkStart w:id="22" w:name="_Toc206954661"/>
      <w:r w:rsidRPr="00CE5166">
        <w:rPr>
          <w:rFonts w:ascii="Arial" w:hAnsi="Arial" w:cs="Arial"/>
        </w:rPr>
        <w:t>The Bottom Line</w:t>
      </w:r>
      <w:bookmarkEnd w:id="21"/>
      <w:bookmarkEnd w:id="22"/>
    </w:p>
    <w:p w14:paraId="7D630C9E" w14:textId="77777777" w:rsidR="00DB24E2" w:rsidRPr="00CE5166" w:rsidRDefault="00000000">
      <w:pPr>
        <w:pStyle w:val="FirstParagraph"/>
        <w:rPr>
          <w:rFonts w:ascii="Arial" w:hAnsi="Arial" w:cs="Arial"/>
        </w:rPr>
      </w:pPr>
      <w:r w:rsidRPr="00CE5166">
        <w:rPr>
          <w:rFonts w:ascii="Arial" w:hAnsi="Arial" w:cs="Arial"/>
        </w:rPr>
        <w:t>The MSSP profitability paradox isn’t immutable—it’s solvable through systematic transformation. Leaders like Arctic Wolf, Deepwatch, and ReliaQuest prove sustainable margins are achievable. The blueprint exists: standardized services delivered through automated platforms by specialized teams charging value-based prices to qualified customers in focused markets.</w:t>
      </w:r>
    </w:p>
    <w:p w14:paraId="7D630C9F" w14:textId="77777777" w:rsidR="00DB24E2" w:rsidRPr="00CE5166" w:rsidRDefault="00000000">
      <w:pPr>
        <w:pStyle w:val="BodyText"/>
        <w:rPr>
          <w:rFonts w:ascii="Arial" w:hAnsi="Arial" w:cs="Arial"/>
        </w:rPr>
      </w:pPr>
      <w:r w:rsidRPr="00CE5166">
        <w:rPr>
          <w:rFonts w:ascii="Arial" w:hAnsi="Arial" w:cs="Arial"/>
        </w:rPr>
        <w:t>The window for transformation remains open but won’t indefinitely. Network effects, talent consolidation, and customer lock-in will eventually separate winners from casualties. MSSPs that act decisively in the next 18 months position themselves among the 60% that survive and the 20% that thrive. Those that don’t will join Secureworks in explaining to confused stakeholders why essential services in desperate demand somehow generate margins thinner than air.</w:t>
      </w:r>
    </w:p>
    <w:p w14:paraId="7D630CA0" w14:textId="77777777" w:rsidR="00DB24E2" w:rsidRPr="00CE5166" w:rsidRDefault="00000000">
      <w:pPr>
        <w:pStyle w:val="BodyText"/>
        <w:rPr>
          <w:rFonts w:ascii="Arial" w:hAnsi="Arial" w:cs="Arial"/>
        </w:rPr>
      </w:pPr>
      <w:r w:rsidRPr="00CE5166">
        <w:rPr>
          <w:rFonts w:ascii="Arial" w:hAnsi="Arial" w:cs="Arial"/>
        </w:rPr>
        <w:t>The choice is binary: transform or perish. There is no comfortable middle ground.</w:t>
      </w:r>
    </w:p>
    <w:p w14:paraId="7D630CA1" w14:textId="77777777" w:rsidR="00DB24E2" w:rsidRPr="00CE5166" w:rsidRDefault="00000000">
      <w:pPr>
        <w:rPr>
          <w:rFonts w:ascii="Arial" w:hAnsi="Arial" w:cs="Arial"/>
        </w:rPr>
      </w:pPr>
      <w:r w:rsidRPr="00CE5166">
        <w:rPr>
          <w:rFonts w:ascii="Arial" w:hAnsi="Arial" w:cs="Arial"/>
        </w:rPr>
        <w:pict w14:anchorId="7D630E82">
          <v:rect id="_x0000_i1028" style="width:0;height:1.5pt" o:hralign="center" o:hrstd="t" o:hr="t"/>
        </w:pict>
      </w:r>
    </w:p>
    <w:p w14:paraId="7D630CA2" w14:textId="77777777" w:rsidR="00DB24E2" w:rsidRPr="00CE5166" w:rsidRDefault="00000000">
      <w:pPr>
        <w:pStyle w:val="Heading1"/>
        <w:rPr>
          <w:rFonts w:ascii="Arial" w:hAnsi="Arial" w:cs="Arial"/>
        </w:rPr>
      </w:pPr>
      <w:bookmarkStart w:id="23" w:name="Xfaf7af92f6e5fc815694ce9775d95a368fb1c71"/>
      <w:bookmarkStart w:id="24" w:name="_Toc206954662"/>
      <w:r w:rsidRPr="00CE5166">
        <w:rPr>
          <w:rFonts w:ascii="Arial" w:hAnsi="Arial" w:cs="Arial"/>
        </w:rPr>
        <w:t>Chapter 1: Market Opportunity Versus Margin Reality</w:t>
      </w:r>
      <w:bookmarkEnd w:id="23"/>
      <w:bookmarkEnd w:id="24"/>
    </w:p>
    <w:p w14:paraId="7D630CA3" w14:textId="77777777" w:rsidR="00DB24E2" w:rsidRPr="00CE5166" w:rsidRDefault="00000000">
      <w:pPr>
        <w:pStyle w:val="FirstParagraph"/>
        <w:rPr>
          <w:rFonts w:ascii="Arial" w:hAnsi="Arial" w:cs="Arial"/>
        </w:rPr>
      </w:pPr>
      <w:r w:rsidRPr="00CE5166">
        <w:rPr>
          <w:rFonts w:ascii="Arial" w:hAnsi="Arial" w:cs="Arial"/>
        </w:rPr>
        <w:t>In the gleaming towers of Atlanta, the executives of Secureworks gathered in November 2024 to report their third-quarter earnings. Here was a company that should have been printing money. The managed security services market was exploding at 15.4% annually, racing toward $87.5 billion by 2030 (https://www.grandviewresearch.com/industry-analysis/managed-security-services-market). Cyberattacks had become as predictable as quarterly earnings calls, with 94% of small businesses suffering breaches in 2024 alone (https://www.cyvent.com/post/cybersecurity-msp-market-stats). Demand for Secureworks’ services had never been higher. Yet CEO Wendy Thomas delivered numbers that would make a discount retailer wince: revenues of $82 million, down 12% year-over-year, with EBITDA margins of precisely 1.7% (https://www.prnewswire.com/news-releases/secureworks-announces-third-quarter-fiscal-2025-results-302322235.html).</w:t>
      </w:r>
    </w:p>
    <w:p w14:paraId="7D630CA4" w14:textId="77777777" w:rsidR="00DB24E2" w:rsidRPr="00CE5166" w:rsidRDefault="00000000">
      <w:pPr>
        <w:pStyle w:val="BodyText"/>
        <w:rPr>
          <w:rFonts w:ascii="Arial" w:hAnsi="Arial" w:cs="Arial"/>
        </w:rPr>
      </w:pPr>
      <w:r w:rsidRPr="00CE5166">
        <w:rPr>
          <w:rFonts w:ascii="Arial" w:hAnsi="Arial" w:cs="Arial"/>
        </w:rPr>
        <w:t>The gathered analysts, accustomed to the technology sector’s generous margins, struggled to comprehend what they were hearing. How could a company selling essential services in a sellers’ market—where terrified executives sign contracts after every headline breach—manage profits thinner than a gas station’s? The answer illuminates a paradox that threatens to topple an entire industry: managed security service providers, or MSSPs, have discovered that explosive growth and sustainable profits are, quite possibly, mutually exclusive.</w:t>
      </w:r>
    </w:p>
    <w:p w14:paraId="7D630CA5" w14:textId="77777777" w:rsidR="00DB24E2" w:rsidRPr="00CE5166" w:rsidRDefault="00000000">
      <w:pPr>
        <w:pStyle w:val="Heading2"/>
        <w:rPr>
          <w:rFonts w:ascii="Arial" w:hAnsi="Arial" w:cs="Arial"/>
        </w:rPr>
      </w:pPr>
      <w:bookmarkStart w:id="25" w:name="the-great-decoupling"/>
      <w:bookmarkStart w:id="26" w:name="_Toc206954663"/>
      <w:r w:rsidRPr="00CE5166">
        <w:rPr>
          <w:rFonts w:ascii="Arial" w:hAnsi="Arial" w:cs="Arial"/>
        </w:rPr>
        <w:t>The Great Decoupling</w:t>
      </w:r>
      <w:bookmarkEnd w:id="25"/>
      <w:bookmarkEnd w:id="26"/>
    </w:p>
    <w:p w14:paraId="7D630CA6" w14:textId="77777777" w:rsidR="00DB24E2" w:rsidRPr="00CE5166" w:rsidRDefault="00000000">
      <w:pPr>
        <w:pStyle w:val="FirstParagraph"/>
        <w:rPr>
          <w:rFonts w:ascii="Arial" w:hAnsi="Arial" w:cs="Arial"/>
        </w:rPr>
      </w:pPr>
      <w:r w:rsidRPr="00CE5166">
        <w:rPr>
          <w:rFonts w:ascii="Arial" w:hAnsi="Arial" w:cs="Arial"/>
        </w:rPr>
        <w:t>The MSSP industry presents a curious case study in market failure. By every traditional measure, it should be wildly profitable. The total addressable market grows at rates that would make a Silicon Valley venture capitalist salivate. The services are mission-critical—no board of directors sleeps soundly without cybersecurity coverage. Customer switching costs are astronomical; changing security providers requires months of dangerous transition. And yet, the average MSSP limps along with net margins of 8%, while a full quarter of providers operate at breakeven or losses (https://www.msp360.com/resources/blog/msp-profit-margins/).</w:t>
      </w:r>
    </w:p>
    <w:p w14:paraId="7D630CA7" w14:textId="77777777" w:rsidR="00DB24E2" w:rsidRPr="00CE5166" w:rsidRDefault="00000000">
      <w:pPr>
        <w:pStyle w:val="BodyText"/>
        <w:rPr>
          <w:rFonts w:ascii="Arial" w:hAnsi="Arial" w:cs="Arial"/>
        </w:rPr>
      </w:pPr>
      <w:r w:rsidRPr="00CE5166">
        <w:rPr>
          <w:rFonts w:ascii="Arial" w:hAnsi="Arial" w:cs="Arial"/>
        </w:rPr>
        <w:t>This is not how capitalism is supposed to work. In functioning markets, essential services with high barriers to entry command premium prices. Consider the parallels: investment banks, despite periodic vilification, maintain margins north of 20%. Enterprise software companies, selling arguably less critical products, routinely achieve 30% EBITDA margins. Even traditional outsourcing firms—the MSSPs’ ancient cousins in the body-shopping business—manage respectable teens. Yet MSSPs, guardians of the digital realm, scramble for scraps.</w:t>
      </w:r>
    </w:p>
    <w:p w14:paraId="7D630CA8" w14:textId="77777777" w:rsidR="00DB24E2" w:rsidRPr="00CE5166" w:rsidRDefault="00000000">
      <w:pPr>
        <w:pStyle w:val="BodyText"/>
        <w:rPr>
          <w:rFonts w:ascii="Arial" w:hAnsi="Arial" w:cs="Arial"/>
        </w:rPr>
      </w:pPr>
      <w:r w:rsidRPr="00CE5166">
        <w:rPr>
          <w:rFonts w:ascii="Arial" w:hAnsi="Arial" w:cs="Arial"/>
        </w:rPr>
        <w:t>The numbers tell a story of structural dysfunction. Arctic Wolf, the industry’s fastest-growing player according to Gartner, expanded revenue by 54% in 2023 (https://arcticwolf.com/resources/press-releases/arctic-wolf-fastest-growing-vendor-by-revenue-in-2023-according-to-gartner-market-share-security-services-worldwide-2023-research/). Impressive, until one discovers they achieved this by burning through capital at rates that would alarm even Uber’s early investors. The company’s path to profitability remains as mysterious as the hackers they combat. Meanwhile, public MSSPs trade at valuations that suggest investors have noticed something amiss. Secureworks’ market capitalization hovers around $600 million—less than 2x annual revenue, a multiple that suggests terminal illness rather than growth potential.</w:t>
      </w:r>
    </w:p>
    <w:p w14:paraId="7D630CA9" w14:textId="77777777" w:rsidR="00DB24E2" w:rsidRPr="00CE5166" w:rsidRDefault="00000000">
      <w:pPr>
        <w:pStyle w:val="Heading2"/>
        <w:rPr>
          <w:rFonts w:ascii="Arial" w:hAnsi="Arial" w:cs="Arial"/>
        </w:rPr>
      </w:pPr>
      <w:bookmarkStart w:id="27" w:name="the-talent-tax"/>
      <w:bookmarkStart w:id="28" w:name="_Toc206954664"/>
      <w:r w:rsidRPr="00CE5166">
        <w:rPr>
          <w:rFonts w:ascii="Arial" w:hAnsi="Arial" w:cs="Arial"/>
        </w:rPr>
        <w:t>The Talent Tax</w:t>
      </w:r>
      <w:bookmarkEnd w:id="27"/>
      <w:bookmarkEnd w:id="28"/>
    </w:p>
    <w:p w14:paraId="7D630CAA" w14:textId="77777777" w:rsidR="00DB24E2" w:rsidRPr="00CE5166" w:rsidRDefault="00000000">
      <w:pPr>
        <w:pStyle w:val="FirstParagraph"/>
        <w:rPr>
          <w:rFonts w:ascii="Arial" w:hAnsi="Arial" w:cs="Arial"/>
        </w:rPr>
      </w:pPr>
      <w:r w:rsidRPr="00CE5166">
        <w:rPr>
          <w:rFonts w:ascii="Arial" w:hAnsi="Arial" w:cs="Arial"/>
        </w:rPr>
        <w:t>At the heart of this paradox lies a brutal economic reality: security operations resist automation with the stubbornness of a medieval guild. While software companies discovered the joys of near-zero marginal costs—where the millionth customer costs essentially nothing to serve—MSSPs remain trapped in a pre-industrial economic model. Each new client demands fresh human eyes staring at screens, parsing alerts, investigating anomalies. The mathematics are remorseless: a 24/7 security operations center requires not three shifts but five, accounting for weekends, holidays, and the inevitable human frailties of illness and vacation (https://www.netsurion.com/articles/true-cost-of-setting-up-and-operating-security-operations-center).</w:t>
      </w:r>
    </w:p>
    <w:p w14:paraId="7D630CAB" w14:textId="77777777" w:rsidR="00DB24E2" w:rsidRPr="00CE5166" w:rsidRDefault="00000000">
      <w:pPr>
        <w:pStyle w:val="BodyText"/>
        <w:rPr>
          <w:rFonts w:ascii="Arial" w:hAnsi="Arial" w:cs="Arial"/>
        </w:rPr>
      </w:pPr>
      <w:r w:rsidRPr="00CE5166">
        <w:rPr>
          <w:rFonts w:ascii="Arial" w:hAnsi="Arial" w:cs="Arial"/>
        </w:rPr>
        <w:t>The talent shortage compounds this linear scaling problem into something approaching economic impossibility. With 3.4 million unfilled cybersecurity positions globally (https://www.msspalert.com/perspective/recruiting-innovations-to-overcome-the-cybersecurity-skills-gap), MSSPs find themselves in a bidding war they cannot win. Security analysts command salaries ranging from $88,000 to $133,000 (https://expel.com/blog/how-much-does-it-cost-to-build-a-24x7-soc/), depending on experience—compensation that would be reasonable if these professionals stayed put. They don’t. The industry suffers 70% turnover within three years, creating a perpetual training tax that shows up nowhere on the balance sheet but everywhere in the margins (https://www.msspalert.com/news/cybersecurity-pros-are-well-paid-but-dissatisfied-study-finds).</w:t>
      </w:r>
    </w:p>
    <w:p w14:paraId="7D630CAC" w14:textId="77777777" w:rsidR="00DB24E2" w:rsidRPr="00CE5166" w:rsidRDefault="00000000">
      <w:pPr>
        <w:pStyle w:val="BodyText"/>
        <w:rPr>
          <w:rFonts w:ascii="Arial" w:hAnsi="Arial" w:cs="Arial"/>
        </w:rPr>
      </w:pPr>
      <w:r w:rsidRPr="00CE5166">
        <w:rPr>
          <w:rFonts w:ascii="Arial" w:hAnsi="Arial" w:cs="Arial"/>
        </w:rPr>
        <w:t>One might expect technology to ride to the rescue, as it has in so many other industries. Yet here, too, MSSPs face a unique curse. The security tools meant to enhance productivity instead multiply complexity. The average MSSP juggles relationships with more than twenty security vendors, each with its own console, alert format, and integration requirements. Rather than simplifying operations, this tower of digital babel creates what industry insiders call “swivel chair syndrome”—analysts spinning between screens like air traffic controllers at O’Hare during a thunderstorm.</w:t>
      </w:r>
    </w:p>
    <w:p w14:paraId="7D630CAD" w14:textId="77777777" w:rsidR="00DB24E2" w:rsidRPr="00CE5166" w:rsidRDefault="00000000">
      <w:pPr>
        <w:pStyle w:val="Heading2"/>
        <w:rPr>
          <w:rFonts w:ascii="Arial" w:hAnsi="Arial" w:cs="Arial"/>
        </w:rPr>
      </w:pPr>
      <w:bookmarkStart w:id="29" w:name="the-commoditization-trap"/>
      <w:bookmarkStart w:id="30" w:name="_Toc206954665"/>
      <w:r w:rsidRPr="00CE5166">
        <w:rPr>
          <w:rFonts w:ascii="Arial" w:hAnsi="Arial" w:cs="Arial"/>
        </w:rPr>
        <w:t>The Commoditization Trap</w:t>
      </w:r>
      <w:bookmarkEnd w:id="29"/>
      <w:bookmarkEnd w:id="30"/>
    </w:p>
    <w:p w14:paraId="7D630CAE" w14:textId="77777777" w:rsidR="00DB24E2" w:rsidRPr="00CE5166" w:rsidRDefault="00000000">
      <w:pPr>
        <w:pStyle w:val="FirstParagraph"/>
        <w:rPr>
          <w:rFonts w:ascii="Arial" w:hAnsi="Arial" w:cs="Arial"/>
        </w:rPr>
      </w:pPr>
      <w:r w:rsidRPr="00CE5166">
        <w:rPr>
          <w:rFonts w:ascii="Arial" w:hAnsi="Arial" w:cs="Arial"/>
        </w:rPr>
        <w:t>Perhaps most damaging to margins is the industry’s self-inflicted commoditization. MSSPs have trained customers to think in terms of devices protected and gigabytes monitored, metrics as crude as selling computing power by the pound. This race to the bottom in pricing has created a particularly vicious cycle: lower prices mean thinner margins, which prevent investment in differentiation, which reinforces commodity pricing. It’s a death spiral wrapped in a service level agreement.</w:t>
      </w:r>
    </w:p>
    <w:p w14:paraId="7D630CAF" w14:textId="77777777" w:rsidR="00DB24E2" w:rsidRPr="00CE5166" w:rsidRDefault="00000000">
      <w:pPr>
        <w:pStyle w:val="BodyText"/>
        <w:rPr>
          <w:rFonts w:ascii="Arial" w:hAnsi="Arial" w:cs="Arial"/>
        </w:rPr>
      </w:pPr>
      <w:r w:rsidRPr="00CE5166">
        <w:rPr>
          <w:rFonts w:ascii="Arial" w:hAnsi="Arial" w:cs="Arial"/>
        </w:rPr>
        <w:t>The irony is palpable. These companies protect their clients from catastrophic losses that routinely reach millions of dollars, yet they price their services like utilities. The average MSSP charges $8,900 monthly per security client (https://www.evolvedmgmt.com/blog/using-msp-business-metrics)—roughly what a mid-sized company might spend on coffee and cafeteria services. This despite evidence that a single breach costs SMBs an average of $2.98 million, a figure that should theoretically support premium pricing for prevention.</w:t>
      </w:r>
    </w:p>
    <w:p w14:paraId="7D630CB0" w14:textId="77777777" w:rsidR="00DB24E2" w:rsidRPr="00CE5166" w:rsidRDefault="00000000">
      <w:pPr>
        <w:pStyle w:val="BodyText"/>
        <w:rPr>
          <w:rFonts w:ascii="Arial" w:hAnsi="Arial" w:cs="Arial"/>
        </w:rPr>
      </w:pPr>
      <w:r w:rsidRPr="00CE5166">
        <w:rPr>
          <w:rFonts w:ascii="Arial" w:hAnsi="Arial" w:cs="Arial"/>
        </w:rPr>
        <w:t>Some MSSPs have attempted escape through specialization. Managed detection and response (MDR), the industry’s premium tier, grows at 22.6% annually (https://www.channele2e.com/news/managed-security-2024-forecast-big-growth-ahead)—faster than the broader market and at higher margins. Yet even here, the economics remain challenging. MDR requires more sophisticated analysts, more expensive tools, and more intensive customer engagement. The gross margins improve to 42%, but after accounting for the full cost structure, net margins remain stubbornly pedestrian.</w:t>
      </w:r>
    </w:p>
    <w:p w14:paraId="7D630CB1" w14:textId="77777777" w:rsidR="00DB24E2" w:rsidRPr="00CE5166" w:rsidRDefault="00000000">
      <w:pPr>
        <w:pStyle w:val="Heading2"/>
        <w:rPr>
          <w:rFonts w:ascii="Arial" w:hAnsi="Arial" w:cs="Arial"/>
        </w:rPr>
      </w:pPr>
      <w:bookmarkStart w:id="31" w:name="the-consolidation-countdown-1"/>
      <w:bookmarkStart w:id="32" w:name="_Toc206954666"/>
      <w:r w:rsidRPr="00CE5166">
        <w:rPr>
          <w:rFonts w:ascii="Arial" w:hAnsi="Arial" w:cs="Arial"/>
        </w:rPr>
        <w:t>The Consolidation Countdown</w:t>
      </w:r>
      <w:bookmarkEnd w:id="31"/>
      <w:bookmarkEnd w:id="32"/>
    </w:p>
    <w:p w14:paraId="7D630CB2" w14:textId="77777777" w:rsidR="00DB24E2" w:rsidRPr="00CE5166" w:rsidRDefault="00000000">
      <w:pPr>
        <w:pStyle w:val="FirstParagraph"/>
        <w:rPr>
          <w:rFonts w:ascii="Arial" w:hAnsi="Arial" w:cs="Arial"/>
        </w:rPr>
      </w:pPr>
      <w:r w:rsidRPr="00CE5166">
        <w:rPr>
          <w:rFonts w:ascii="Arial" w:hAnsi="Arial" w:cs="Arial"/>
        </w:rPr>
        <w:t>This economic dysfunction cannot persist indefinitely. Markets, like nature, abhor inefficiency. Already, the tremors of coming consolidation shake the industry. CyVent’s research predicts 40% of current MSSPs will disappear through merger or closure by 2028 (https://www.cyvent.com/post/cybersecurity-msp-market-stats). This is not speculation but mathematics. Companies operating at 2% margins cannot survive the first economic headwind, the first major customer loss, or the first serious competitive threat.</w:t>
      </w:r>
    </w:p>
    <w:p w14:paraId="7D630CB3" w14:textId="77777777" w:rsidR="00DB24E2" w:rsidRPr="00CE5166" w:rsidRDefault="00000000">
      <w:pPr>
        <w:pStyle w:val="BodyText"/>
        <w:rPr>
          <w:rFonts w:ascii="Arial" w:hAnsi="Arial" w:cs="Arial"/>
        </w:rPr>
      </w:pPr>
      <w:r w:rsidRPr="00CE5166">
        <w:rPr>
          <w:rFonts w:ascii="Arial" w:hAnsi="Arial" w:cs="Arial"/>
        </w:rPr>
        <w:t>The survivors will be those who solve the fundamental equation: how to deliver exponentially improving security with linearly scaling costs. Some pin hopes on artificial intelligence, that universal solvent for all business problems. The D3 Security survey suggests reason for optimism, with 67% of MSSPs reporting revenue increases from automation (https://www.msspalert.com/news/d3-security-survey-ties-automation-to-mssp-growth-analyst-wellbeing). Yet automation alone cannot solve structural dysfunction. As the Chinese discovered during the Great Leap Forward, technology without economic reform merely accelerates existing failures.</w:t>
      </w:r>
    </w:p>
    <w:p w14:paraId="7D630CB4" w14:textId="77777777" w:rsidR="00DB24E2" w:rsidRPr="00CE5166" w:rsidRDefault="00000000">
      <w:pPr>
        <w:pStyle w:val="BodyText"/>
        <w:rPr>
          <w:rFonts w:ascii="Arial" w:hAnsi="Arial" w:cs="Arial"/>
        </w:rPr>
      </w:pPr>
      <w:r w:rsidRPr="00CE5166">
        <w:rPr>
          <w:rFonts w:ascii="Arial" w:hAnsi="Arial" w:cs="Arial"/>
        </w:rPr>
        <w:t>The Service Leadership Index offers a more nuanced path forward. Their research shows top-quartile MSSPs achieve 18% net margins—2.5 times the industry average (https://www.service-leadership.com/solution-providers/service-leadership-index-reports/). These leaders don’t just automate; they fundamentally reimagine service delivery. They refuse commodity pricing, walking away from customers who view security as a cost center rather than a profit protector. They consolidate technology stacks, reducing vendor relationships from twenty-plus to a manageable five. Most critically, they achieve customer retention rates above 90%, recognizing that keeping clients costs far less than finding new ones.</w:t>
      </w:r>
    </w:p>
    <w:p w14:paraId="7D630CB5" w14:textId="77777777" w:rsidR="00DB24E2" w:rsidRPr="00CE5166" w:rsidRDefault="00000000">
      <w:pPr>
        <w:pStyle w:val="Heading2"/>
        <w:rPr>
          <w:rFonts w:ascii="Arial" w:hAnsi="Arial" w:cs="Arial"/>
        </w:rPr>
      </w:pPr>
      <w:bookmarkStart w:id="33" w:name="the-view-from-30000-feet"/>
      <w:bookmarkStart w:id="34" w:name="_Toc206954667"/>
      <w:r w:rsidRPr="00CE5166">
        <w:rPr>
          <w:rFonts w:ascii="Arial" w:hAnsi="Arial" w:cs="Arial"/>
        </w:rPr>
        <w:t>The View from 30,000 Feet</w:t>
      </w:r>
      <w:bookmarkEnd w:id="33"/>
      <w:bookmarkEnd w:id="34"/>
    </w:p>
    <w:p w14:paraId="7D630CB6" w14:textId="77777777" w:rsidR="00DB24E2" w:rsidRPr="00CE5166" w:rsidRDefault="00000000">
      <w:pPr>
        <w:pStyle w:val="FirstParagraph"/>
        <w:rPr>
          <w:rFonts w:ascii="Arial" w:hAnsi="Arial" w:cs="Arial"/>
        </w:rPr>
      </w:pPr>
      <w:r w:rsidRPr="00CE5166">
        <w:rPr>
          <w:rFonts w:ascii="Arial" w:hAnsi="Arial" w:cs="Arial"/>
        </w:rPr>
        <w:t>Standing back from the quarterly earnings calls and analyst reports, one sees an industry at an inflection point. The managed security services market will undoubtedly reach its projected $87.5 billion by 2030. The question is whether today’s MSSPs will be around to collect those revenues. History suggests many won’t. Industries facing similar structural challenges—think of long-distance telephone carriers or traditional web hosting—experienced brutal consolidation that left few survivors.</w:t>
      </w:r>
    </w:p>
    <w:p w14:paraId="7D630CB7" w14:textId="77777777" w:rsidR="00DB24E2" w:rsidRPr="00CE5166" w:rsidRDefault="00000000">
      <w:pPr>
        <w:pStyle w:val="BodyText"/>
        <w:rPr>
          <w:rFonts w:ascii="Arial" w:hAnsi="Arial" w:cs="Arial"/>
        </w:rPr>
      </w:pPr>
      <w:r w:rsidRPr="00CE5166">
        <w:rPr>
          <w:rFonts w:ascii="Arial" w:hAnsi="Arial" w:cs="Arial"/>
        </w:rPr>
        <w:t>The paradox of the MSSP industry—explosive growth coupled with marginal profits—represents more than a business school case study. It illuminates a broader challenge in the digital economy: how to price and deliver human expertise in an age that demands software economics. The companies that solve this riddle will not just survive but thrive, potentially creating the next generation of technology giants. Those that don’t will join Secureworks in explaining to puzzled analysts why selling essential services in a desperate market somehow yields profits thinner than air.</w:t>
      </w:r>
    </w:p>
    <w:p w14:paraId="7D630CB8" w14:textId="77777777" w:rsidR="00DB24E2" w:rsidRPr="00CE5166" w:rsidRDefault="00000000">
      <w:pPr>
        <w:pStyle w:val="BodyText"/>
        <w:rPr>
          <w:rFonts w:ascii="Arial" w:hAnsi="Arial" w:cs="Arial"/>
        </w:rPr>
      </w:pPr>
      <w:r w:rsidRPr="00CE5166">
        <w:rPr>
          <w:rFonts w:ascii="Arial" w:hAnsi="Arial" w:cs="Arial"/>
        </w:rPr>
        <w:t>The next chapter examines the economic mechanics underlying this paradox—why linear costs in an exponential threat landscape create an equation that doesn’t balance, and why traditional consulting models fail when applied to continuous security operations. Understanding these fundamentals is essential for any MSSP hoping to escape the margin trap that has ensnared an entire industry.</w:t>
      </w:r>
    </w:p>
    <w:p w14:paraId="7D630CB9" w14:textId="77777777" w:rsidR="00DB24E2" w:rsidRPr="00CE5166" w:rsidRDefault="00000000">
      <w:pPr>
        <w:rPr>
          <w:rFonts w:ascii="Arial" w:hAnsi="Arial" w:cs="Arial"/>
        </w:rPr>
      </w:pPr>
      <w:r w:rsidRPr="00CE5166">
        <w:rPr>
          <w:rFonts w:ascii="Arial" w:hAnsi="Arial" w:cs="Arial"/>
        </w:rPr>
        <w:pict w14:anchorId="7D630E83">
          <v:rect id="_x0000_i1029" style="width:0;height:1.5pt" o:hralign="center" o:hrstd="t" o:hr="t"/>
        </w:pict>
      </w:r>
    </w:p>
    <w:p w14:paraId="7D630CBA" w14:textId="77777777" w:rsidR="00DB24E2" w:rsidRPr="00CE5166" w:rsidRDefault="00000000">
      <w:pPr>
        <w:pStyle w:val="Heading1"/>
        <w:rPr>
          <w:rFonts w:ascii="Arial" w:hAnsi="Arial" w:cs="Arial"/>
        </w:rPr>
      </w:pPr>
      <w:bookmarkStart w:id="35" w:name="Xa29fc8b9d6ee90167ca1cb0206160e707437166"/>
      <w:bookmarkStart w:id="36" w:name="_Toc206954668"/>
      <w:r w:rsidRPr="00CE5166">
        <w:rPr>
          <w:rFonts w:ascii="Arial" w:hAnsi="Arial" w:cs="Arial"/>
        </w:rPr>
        <w:t>Chapter 2: The Economics of Managed Security</w:t>
      </w:r>
      <w:bookmarkEnd w:id="35"/>
      <w:bookmarkEnd w:id="36"/>
    </w:p>
    <w:p w14:paraId="7D630CBB" w14:textId="77777777" w:rsidR="00DB24E2" w:rsidRPr="00CE5166" w:rsidRDefault="00000000">
      <w:pPr>
        <w:pStyle w:val="FirstParagraph"/>
        <w:rPr>
          <w:rFonts w:ascii="Arial" w:hAnsi="Arial" w:cs="Arial"/>
        </w:rPr>
      </w:pPr>
      <w:r w:rsidRPr="00CE5166">
        <w:rPr>
          <w:rFonts w:ascii="Arial" w:hAnsi="Arial" w:cs="Arial"/>
        </w:rPr>
        <w:t>In 1965, Gordon Moore observed that the number of transistors on a microchip doubled every two years while the cost halved. This elegant principle transformed the technology industry, creating a virtuous cycle where better became cheaper and cheaper became universal. Managed security service providers, one might assume, would surf this same exponential wave. They would be wrong. In the MSSP universe, Moore’s Law collides head-on with what might be called Baumol’s Revenge—the iron law that human-intensive services resist productivity improvements with remarkable persistence.</w:t>
      </w:r>
    </w:p>
    <w:p w14:paraId="7D630CBC" w14:textId="77777777" w:rsidR="00DB24E2" w:rsidRPr="00CE5166" w:rsidRDefault="00000000">
      <w:pPr>
        <w:pStyle w:val="BodyText"/>
        <w:rPr>
          <w:rFonts w:ascii="Arial" w:hAnsi="Arial" w:cs="Arial"/>
        </w:rPr>
      </w:pPr>
      <w:r w:rsidRPr="00CE5166">
        <w:rPr>
          <w:rFonts w:ascii="Arial" w:hAnsi="Arial" w:cs="Arial"/>
        </w:rPr>
        <w:t>William Baumol, the late economist, identified this curse in 1966 while pondering why a string quartet required the same four musicians to play Beethoven as it had in 1826. No amount of technology could reduce the headcount without destroying the product itself. MSSPs face a similar bind. While computing power doubles and redoubles, the human analyst staring at screens, investigating alerts, and making judgment calls remains stubbornly unoptimized. Worse, the threats they combat multiply exponentially—a cruel inversion where the disease spreads faster than the cure can be administered.</w:t>
      </w:r>
    </w:p>
    <w:p w14:paraId="7D630CBD" w14:textId="77777777" w:rsidR="00DB24E2" w:rsidRPr="00CE5166" w:rsidRDefault="00000000">
      <w:pPr>
        <w:pStyle w:val="Heading2"/>
        <w:rPr>
          <w:rFonts w:ascii="Arial" w:hAnsi="Arial" w:cs="Arial"/>
        </w:rPr>
      </w:pPr>
      <w:bookmarkStart w:id="37" w:name="the-mathematics-of-misery"/>
      <w:bookmarkStart w:id="38" w:name="_Toc206954669"/>
      <w:r w:rsidRPr="00CE5166">
        <w:rPr>
          <w:rFonts w:ascii="Arial" w:hAnsi="Arial" w:cs="Arial"/>
        </w:rPr>
        <w:t>The Mathematics of Misery</w:t>
      </w:r>
      <w:bookmarkEnd w:id="37"/>
      <w:bookmarkEnd w:id="38"/>
    </w:p>
    <w:p w14:paraId="7D630CBE" w14:textId="77777777" w:rsidR="00DB24E2" w:rsidRPr="00CE5166" w:rsidRDefault="00000000">
      <w:pPr>
        <w:pStyle w:val="FirstParagraph"/>
        <w:rPr>
          <w:rFonts w:ascii="Arial" w:hAnsi="Arial" w:cs="Arial"/>
        </w:rPr>
      </w:pPr>
      <w:r w:rsidRPr="00CE5166">
        <w:rPr>
          <w:rFonts w:ascii="Arial" w:hAnsi="Arial" w:cs="Arial"/>
        </w:rPr>
        <w:t>Consider the basic unit economics of a typical MSSP operation. To monitor a mid-sized enterprise client 24/7 requires, at minimum, 1.5 full-time security analysts when accounting for coverage redundancy. With average analyst compensation at $110,000 including benefits (https://expel.com/blog/how-much-does-it-cost-to-build-a-24x7-soc/), plus technology costs of roughly $2,000 per analyst per month, the monthly cost to serve approaches $15,000. The average client pays $8,900 monthly (https://www.evolvedmgmt.com/blog/using-msp-business-metrics). Already, the mathematics wobble dangerously.</w:t>
      </w:r>
    </w:p>
    <w:p w14:paraId="7D630CBF" w14:textId="77777777" w:rsidR="00DB24E2" w:rsidRPr="00CE5166" w:rsidRDefault="00000000">
      <w:pPr>
        <w:pStyle w:val="BodyText"/>
        <w:rPr>
          <w:rFonts w:ascii="Arial" w:hAnsi="Arial" w:cs="Arial"/>
        </w:rPr>
      </w:pPr>
      <w:r w:rsidRPr="00CE5166">
        <w:rPr>
          <w:rFonts w:ascii="Arial" w:hAnsi="Arial" w:cs="Arial"/>
        </w:rPr>
        <w:t>But this calculation assumes perfect efficiency—that analysts work at maximum capacity, that no management overhead exists, that training costs nothing. Reality paints a grimmer picture. The six-month onboarding period for new analysts represents a pure cost sink (https://www.netsuite.com/portal/resource/articles/business-strategy/MSP-metrics.shtml). The 70% three-year turnover rate means perpetual recruitment and training expenses (https://www.msspalert.com/news/cybersecurity-pros-are-well-paid-but-dissatisfied-study-finds). Add facilities, insurance, sales costs, and administrative overhead, and the true cost to serve often exceeds revenue before considering any profit margin.</w:t>
      </w:r>
    </w:p>
    <w:p w14:paraId="7D630CC0" w14:textId="77777777" w:rsidR="00DB24E2" w:rsidRPr="00CE5166" w:rsidRDefault="00000000">
      <w:pPr>
        <w:pStyle w:val="BodyText"/>
        <w:rPr>
          <w:rFonts w:ascii="Arial" w:hAnsi="Arial" w:cs="Arial"/>
        </w:rPr>
      </w:pPr>
      <w:r w:rsidRPr="00CE5166">
        <w:rPr>
          <w:rFonts w:ascii="Arial" w:hAnsi="Arial" w:cs="Arial"/>
        </w:rPr>
        <w:t>The exponential threat growth compounds this problem into something approaching economic impossibility. Cybersecurity incidents increase at approximately 30% annually, while the complexity of attacks doubles every 18 months. Each client endpoint generates 20% more security events year-over-year as digital transformation adds attack surface faster than security teams can map it. An MSSP that perfectly balanced costs and revenues in 2023 would find itself underwater by 2025 simply through the inexorable mathematics of exponential growth meeting linear scaling.</w:t>
      </w:r>
    </w:p>
    <w:p w14:paraId="7D630CC1" w14:textId="77777777" w:rsidR="00DB24E2" w:rsidRPr="00CE5166" w:rsidRDefault="00000000">
      <w:pPr>
        <w:pStyle w:val="BodyText"/>
        <w:rPr>
          <w:rFonts w:ascii="Arial" w:hAnsi="Arial" w:cs="Arial"/>
        </w:rPr>
      </w:pPr>
      <w:r w:rsidRPr="00CE5166">
        <w:rPr>
          <w:rFonts w:ascii="Arial" w:hAnsi="Arial" w:cs="Arial"/>
        </w:rPr>
        <w:t>Some MSSPs attempt escape through offshore labor arbitrage, establishing security operations centers in India or the Philippines where analyst salaries drop to $15,000-25,000 annually. Yet even this dramatic cost reduction fails to solve the fundamental equation. Offshore operations require redundant management, suffer higher turnover, and often struggle with the cultural and linguistic nuances essential to security operations. One MSSP executive, speaking on condition of anonymity, described his Manila operation as “saving 70% on salaries to deliver 50% of the capability—a bargain that isn’t.”</w:t>
      </w:r>
    </w:p>
    <w:p w14:paraId="7D630CC2" w14:textId="77777777" w:rsidR="00DB24E2" w:rsidRPr="00CE5166" w:rsidRDefault="00000000">
      <w:pPr>
        <w:pStyle w:val="Heading2"/>
        <w:rPr>
          <w:rFonts w:ascii="Arial" w:hAnsi="Arial" w:cs="Arial"/>
        </w:rPr>
      </w:pPr>
      <w:bookmarkStart w:id="39" w:name="the-commodity-pricing-death-spiral"/>
      <w:bookmarkStart w:id="40" w:name="_Toc206954670"/>
      <w:r w:rsidRPr="00CE5166">
        <w:rPr>
          <w:rFonts w:ascii="Arial" w:hAnsi="Arial" w:cs="Arial"/>
        </w:rPr>
        <w:t>The Commodity Pricing Death Spiral</w:t>
      </w:r>
      <w:bookmarkEnd w:id="39"/>
      <w:bookmarkEnd w:id="40"/>
    </w:p>
    <w:p w14:paraId="7D630CC3" w14:textId="77777777" w:rsidR="00DB24E2" w:rsidRPr="00CE5166" w:rsidRDefault="00000000">
      <w:pPr>
        <w:pStyle w:val="FirstParagraph"/>
        <w:rPr>
          <w:rFonts w:ascii="Arial" w:hAnsi="Arial" w:cs="Arial"/>
        </w:rPr>
      </w:pPr>
      <w:r w:rsidRPr="00CE5166">
        <w:rPr>
          <w:rFonts w:ascii="Arial" w:hAnsi="Arial" w:cs="Arial"/>
        </w:rPr>
        <w:t>The industry’s pricing model accelerates its economic dysfunction. MSSPs typically charge per device monitored, per gigabyte of log data ingested, or per user protected—metrics that bear no relationship to value delivered or effort required. This would be equivalent to surgeons charging by the pound of patient or lawyers billing by the weight of contracts. The absurdity becomes apparent, yet the practice persists.</w:t>
      </w:r>
    </w:p>
    <w:p w14:paraId="7D630CC4" w14:textId="77777777" w:rsidR="00DB24E2" w:rsidRPr="00CE5166" w:rsidRDefault="00000000">
      <w:pPr>
        <w:pStyle w:val="BodyText"/>
        <w:rPr>
          <w:rFonts w:ascii="Arial" w:hAnsi="Arial" w:cs="Arial"/>
        </w:rPr>
      </w:pPr>
      <w:r w:rsidRPr="00CE5166">
        <w:rPr>
          <w:rFonts w:ascii="Arial" w:hAnsi="Arial" w:cs="Arial"/>
        </w:rPr>
        <w:t>This commodity pricing creates a particularly vicious feedback loop. Low prices prevent investment in differentiation. Lack of differentiation reinforces commodity status. Commodity status drives prices lower still. The spiral continues until margins vanish entirely. The Channel Insider reports that MSSPs lose an average of 10% on their first-year client relationships, hoping to achieve profitability through mythical “economies of scale” that never materialize (https://www.channelinsider.com/business-management/how-to-boost-msp-and-mssp-margins/).</w:t>
      </w:r>
    </w:p>
    <w:p w14:paraId="7D630CC5" w14:textId="77777777" w:rsidR="00DB24E2" w:rsidRPr="00CE5166" w:rsidRDefault="00000000">
      <w:pPr>
        <w:pStyle w:val="BodyText"/>
        <w:rPr>
          <w:rFonts w:ascii="Arial" w:hAnsi="Arial" w:cs="Arial"/>
        </w:rPr>
      </w:pPr>
      <w:r w:rsidRPr="00CE5166">
        <w:rPr>
          <w:rFonts w:ascii="Arial" w:hAnsi="Arial" w:cs="Arial"/>
        </w:rPr>
        <w:t>The false economy becomes clearer when examining customer acquisition costs. The average MSSP spends $45,000 to acquire a new enterprise client, requiring 5.1 months to break even assuming everything goes perfectly (https://www.klipfolio.com/resources/kpi-examples/saas/customer-lifetime-value-to-customer-acquisition-cost). But security services suffer from what economists call “experience goods”—customers cannot judge quality until after purchase. This information asymmetry means MSSPs compete primarily on price, the one metric customers can evaluate pre-purchase. The result? A race to the bottom that benefits no one, least of all the racing participants.</w:t>
      </w:r>
    </w:p>
    <w:p w14:paraId="7D630CC6" w14:textId="77777777" w:rsidR="00DB24E2" w:rsidRPr="00CE5166" w:rsidRDefault="00000000">
      <w:pPr>
        <w:pStyle w:val="Heading2"/>
        <w:rPr>
          <w:rFonts w:ascii="Arial" w:hAnsi="Arial" w:cs="Arial"/>
        </w:rPr>
      </w:pPr>
      <w:bookmarkStart w:id="41" w:name="the-ltvcac-catastrophe"/>
      <w:bookmarkStart w:id="42" w:name="_Toc206954671"/>
      <w:r w:rsidRPr="00CE5166">
        <w:rPr>
          <w:rFonts w:ascii="Arial" w:hAnsi="Arial" w:cs="Arial"/>
        </w:rPr>
        <w:t>The LTV/CAC Catastrophe</w:t>
      </w:r>
      <w:bookmarkEnd w:id="41"/>
      <w:bookmarkEnd w:id="42"/>
    </w:p>
    <w:p w14:paraId="7D630CC7" w14:textId="77777777" w:rsidR="00DB24E2" w:rsidRPr="00CE5166" w:rsidRDefault="00000000">
      <w:pPr>
        <w:pStyle w:val="FirstParagraph"/>
        <w:rPr>
          <w:rFonts w:ascii="Arial" w:hAnsi="Arial" w:cs="Arial"/>
        </w:rPr>
      </w:pPr>
      <w:r w:rsidRPr="00CE5166">
        <w:rPr>
          <w:rFonts w:ascii="Arial" w:hAnsi="Arial" w:cs="Arial"/>
        </w:rPr>
        <w:t>In the venture capital catechism, the ratio of customer lifetime value to customer acquisition cost serves as a holy metric. Sustainable businesses maintain LTV/CAC ratios above 3:1. Exceptional businesses achieve 5:1 or higher. MSSPs, with their combination of high acquisition costs, modest revenues, and significant churn, often struggle to reach 2:1 (https://www.wallstreetprep.com/knowledge/ltv-cac-ratio/).</w:t>
      </w:r>
    </w:p>
    <w:p w14:paraId="7D630CC8" w14:textId="77777777" w:rsidR="00DB24E2" w:rsidRPr="00CE5166" w:rsidRDefault="00000000">
      <w:pPr>
        <w:pStyle w:val="BodyText"/>
        <w:rPr>
          <w:rFonts w:ascii="Arial" w:hAnsi="Arial" w:cs="Arial"/>
        </w:rPr>
      </w:pPr>
      <w:r w:rsidRPr="00CE5166">
        <w:rPr>
          <w:rFonts w:ascii="Arial" w:hAnsi="Arial" w:cs="Arial"/>
        </w:rPr>
        <w:t>The arithmetic is sobering. With average customer acquisition costs of $45,000 and monthly revenues of $8,900, an MSSP needs clients to remain for at least 18 months just to achieve a 2:1 ratio—assuming zero cost to serve, which we’ve established is fantasy. Factor in actual service delivery costs, and the required retention period stretches to three years or more. Yet industry customer churn rates average 12-15% annually, meaning the typical client relationship lasts barely long enough to recover acquisition costs, let alone generate meaningful profit.</w:t>
      </w:r>
    </w:p>
    <w:p w14:paraId="7D630CC9" w14:textId="77777777" w:rsidR="00DB24E2" w:rsidRPr="00CE5166" w:rsidRDefault="00000000">
      <w:pPr>
        <w:pStyle w:val="BodyText"/>
        <w:rPr>
          <w:rFonts w:ascii="Arial" w:hAnsi="Arial" w:cs="Arial"/>
        </w:rPr>
      </w:pPr>
      <w:r w:rsidRPr="00CE5166">
        <w:rPr>
          <w:rFonts w:ascii="Arial" w:hAnsi="Arial" w:cs="Arial"/>
        </w:rPr>
        <w:t>This mathematical impossibility explains why 25% of MSSPs operate at breakeven or losses despite robust market demand (https://www.evolvedmgmt.com/blog/using-msp-business-metrics). They’re essentially buying revenue—spending more to acquire and serve customers than those customers will ever pay back. It’s a business model that would make a dot-com era entrepreneur blush, yet it persists because MSSPs keep believing that scale will solve everything. It won’t.</w:t>
      </w:r>
    </w:p>
    <w:p w14:paraId="7D630CCA" w14:textId="77777777" w:rsidR="00DB24E2" w:rsidRPr="00CE5166" w:rsidRDefault="00000000">
      <w:pPr>
        <w:pStyle w:val="Heading2"/>
        <w:rPr>
          <w:rFonts w:ascii="Arial" w:hAnsi="Arial" w:cs="Arial"/>
        </w:rPr>
      </w:pPr>
      <w:bookmarkStart w:id="43" w:name="the-platform-paradox"/>
      <w:bookmarkStart w:id="44" w:name="_Toc206954672"/>
      <w:r w:rsidRPr="00CE5166">
        <w:rPr>
          <w:rFonts w:ascii="Arial" w:hAnsi="Arial" w:cs="Arial"/>
        </w:rPr>
        <w:t>The Platform Paradox</w:t>
      </w:r>
      <w:bookmarkEnd w:id="43"/>
      <w:bookmarkEnd w:id="44"/>
    </w:p>
    <w:p w14:paraId="7D630CCB" w14:textId="77777777" w:rsidR="00DB24E2" w:rsidRPr="00CE5166" w:rsidRDefault="00000000">
      <w:pPr>
        <w:pStyle w:val="FirstParagraph"/>
        <w:rPr>
          <w:rFonts w:ascii="Arial" w:hAnsi="Arial" w:cs="Arial"/>
        </w:rPr>
      </w:pPr>
      <w:r w:rsidRPr="00CE5166">
        <w:rPr>
          <w:rFonts w:ascii="Arial" w:hAnsi="Arial" w:cs="Arial"/>
        </w:rPr>
        <w:t>Perhaps nothing illustrates the MSSP economic dysfunction more starkly than the platform margin mystery. Security software platforms—the tools MSSPs use to deliver services—operate at gross margins of 75% or higher. Palo Alto Networks, CrowdStrike, and their ilk print money with software economics. Yet when MSSPs layer services atop these platforms, the combined gross margins collapse to 40% or less, ultimately yielding single-digit net margins (https://www.prnewswire.com/news-releases/secureworks-announces-third-quarter-fiscal-2025-results-302322235.html).</w:t>
      </w:r>
    </w:p>
    <w:p w14:paraId="7D630CCC" w14:textId="77777777" w:rsidR="00DB24E2" w:rsidRPr="00CE5166" w:rsidRDefault="00000000">
      <w:pPr>
        <w:pStyle w:val="BodyText"/>
        <w:rPr>
          <w:rFonts w:ascii="Arial" w:hAnsi="Arial" w:cs="Arial"/>
        </w:rPr>
      </w:pPr>
      <w:r w:rsidRPr="00CE5166">
        <w:rPr>
          <w:rFonts w:ascii="Arial" w:hAnsi="Arial" w:cs="Arial"/>
        </w:rPr>
        <w:t>This isn’t margin stacking; it’s margin destruction. The platforms extract their pounds of flesh through licensing fees that scale with usage, forcing MSSPs to pay more as they grow. Meanwhile, MSSPs must add their own costs—analysts, processes, customer support—without being able to charge proportionally more than the platform alone would cost. They’re essentially paying retail prices for wholesale operations, a business model that violates every principle of successful distribution.</w:t>
      </w:r>
    </w:p>
    <w:p w14:paraId="7D630CCD" w14:textId="77777777" w:rsidR="00DB24E2" w:rsidRPr="00CE5166" w:rsidRDefault="00000000">
      <w:pPr>
        <w:pStyle w:val="BodyText"/>
        <w:rPr>
          <w:rFonts w:ascii="Arial" w:hAnsi="Arial" w:cs="Arial"/>
        </w:rPr>
      </w:pPr>
      <w:r w:rsidRPr="00CE5166">
        <w:rPr>
          <w:rFonts w:ascii="Arial" w:hAnsi="Arial" w:cs="Arial"/>
        </w:rPr>
        <w:t>The vendor ecosystem compounds this problem through what might be called “partnership parasitism.” Security vendors court MSSPs with promises of generous margins and exclusive territories, then gradually squeeze those margins through incremental price increases, additional certification requirements, and forced technology upgrades. One MSSP reported managing relationships with 27 different security vendors, each demanding specialized training, dedicated personnel, and minimum commit levels. The administrative overhead alone consumed 15% of gross margins before delivering a single unit of customer value.</w:t>
      </w:r>
    </w:p>
    <w:p w14:paraId="7D630CCE" w14:textId="77777777" w:rsidR="00DB24E2" w:rsidRPr="00CE5166" w:rsidRDefault="00000000">
      <w:pPr>
        <w:pStyle w:val="Heading2"/>
        <w:rPr>
          <w:rFonts w:ascii="Arial" w:hAnsi="Arial" w:cs="Arial"/>
        </w:rPr>
      </w:pPr>
      <w:bookmarkStart w:id="45" w:name="the-automation-mirage"/>
      <w:bookmarkStart w:id="46" w:name="_Toc206954673"/>
      <w:r w:rsidRPr="00CE5166">
        <w:rPr>
          <w:rFonts w:ascii="Arial" w:hAnsi="Arial" w:cs="Arial"/>
        </w:rPr>
        <w:t>The Automation Mirage</w:t>
      </w:r>
      <w:bookmarkEnd w:id="45"/>
      <w:bookmarkEnd w:id="46"/>
    </w:p>
    <w:p w14:paraId="7D630CCF" w14:textId="77777777" w:rsidR="00DB24E2" w:rsidRPr="00CE5166" w:rsidRDefault="00000000">
      <w:pPr>
        <w:pStyle w:val="FirstParagraph"/>
        <w:rPr>
          <w:rFonts w:ascii="Arial" w:hAnsi="Arial" w:cs="Arial"/>
        </w:rPr>
      </w:pPr>
      <w:r w:rsidRPr="00CE5166">
        <w:rPr>
          <w:rFonts w:ascii="Arial" w:hAnsi="Arial" w:cs="Arial"/>
        </w:rPr>
        <w:t>Industry prophets proclaim automation as salvation, and the numbers initially support their evangelism. MSSPs implementing comprehensive automation report 70-80% reductions in analyst workload (https://www.msspalert.com/news/d3-security-survey-ties-automation-to-mssp-growth-analyst-wellbeing). The D3 Security survey found 67% of MSSPs seeing revenue increases from automation initiatives. Case closed? Hardly.</w:t>
      </w:r>
    </w:p>
    <w:p w14:paraId="7D630CD0" w14:textId="77777777" w:rsidR="00DB24E2" w:rsidRPr="00CE5166" w:rsidRDefault="00000000">
      <w:pPr>
        <w:pStyle w:val="BodyText"/>
        <w:rPr>
          <w:rFonts w:ascii="Arial" w:hAnsi="Arial" w:cs="Arial"/>
        </w:rPr>
      </w:pPr>
      <w:r w:rsidRPr="00CE5166">
        <w:rPr>
          <w:rFonts w:ascii="Arial" w:hAnsi="Arial" w:cs="Arial"/>
        </w:rPr>
        <w:t>The automation dividend proves illusory for a simple reason: competition. As all MSSPs automate similar functions, the efficiency gains become table stakes rather than differentiators. Customers expect lower prices to reflect lower costs, ensuring that automation benefits flow to buyers rather than sellers. It’s the airline industry all over again—massive technological improvement yielding commodity pricing and perpetual bankruptcy threats.</w:t>
      </w:r>
    </w:p>
    <w:p w14:paraId="7D630CD1" w14:textId="77777777" w:rsidR="00DB24E2" w:rsidRPr="00CE5166" w:rsidRDefault="00000000">
      <w:pPr>
        <w:pStyle w:val="BodyText"/>
        <w:rPr>
          <w:rFonts w:ascii="Arial" w:hAnsi="Arial" w:cs="Arial"/>
        </w:rPr>
      </w:pPr>
      <w:r w:rsidRPr="00CE5166">
        <w:rPr>
          <w:rFonts w:ascii="Arial" w:hAnsi="Arial" w:cs="Arial"/>
        </w:rPr>
        <w:t>Moreover, automation costs money upfront while savings materialize slowly. The average SOAR (Security Orchestration, Automation, and Response) platform implementation costs $250,000 in year one, plus $100,000 annually thereafter. Training analysts to use these tools effectively takes months. Integration with existing systems requires expensive professional services. By the time automation delivers its promised returns, competitive pressure has eroded pricing power by an equivalent amount.</w:t>
      </w:r>
    </w:p>
    <w:p w14:paraId="7D630CD2" w14:textId="77777777" w:rsidR="00DB24E2" w:rsidRPr="00CE5166" w:rsidRDefault="00000000">
      <w:pPr>
        <w:pStyle w:val="Heading2"/>
        <w:rPr>
          <w:rFonts w:ascii="Arial" w:hAnsi="Arial" w:cs="Arial"/>
        </w:rPr>
      </w:pPr>
      <w:bookmarkStart w:id="47" w:name="the-path-through-purgatory"/>
      <w:bookmarkStart w:id="48" w:name="_Toc206954674"/>
      <w:r w:rsidRPr="00CE5166">
        <w:rPr>
          <w:rFonts w:ascii="Arial" w:hAnsi="Arial" w:cs="Arial"/>
        </w:rPr>
        <w:t>The Path Through Purgatory</w:t>
      </w:r>
      <w:bookmarkEnd w:id="47"/>
      <w:bookmarkEnd w:id="48"/>
    </w:p>
    <w:p w14:paraId="7D630CD3" w14:textId="77777777" w:rsidR="00DB24E2" w:rsidRPr="00CE5166" w:rsidRDefault="00000000">
      <w:pPr>
        <w:pStyle w:val="FirstParagraph"/>
        <w:rPr>
          <w:rFonts w:ascii="Arial" w:hAnsi="Arial" w:cs="Arial"/>
        </w:rPr>
      </w:pPr>
      <w:r w:rsidRPr="00CE5166">
        <w:rPr>
          <w:rFonts w:ascii="Arial" w:hAnsi="Arial" w:cs="Arial"/>
        </w:rPr>
        <w:t>Not all MSSPs suffer equally. The Service Leadership Index identifies a top quartile achieving 18% net margins—hardly Silicon Valley standards but respectable for human-intensive services (https://www.service-leadership.com/solution-providers/service-leadership-index-reports/). These exceptional performers share common characteristics that illuminate a path through the economic purgatory.</w:t>
      </w:r>
    </w:p>
    <w:p w14:paraId="7D630CD4" w14:textId="77777777" w:rsidR="00DB24E2" w:rsidRPr="00CE5166" w:rsidRDefault="00000000">
      <w:pPr>
        <w:pStyle w:val="BodyText"/>
        <w:rPr>
          <w:rFonts w:ascii="Arial" w:hAnsi="Arial" w:cs="Arial"/>
        </w:rPr>
      </w:pPr>
      <w:r w:rsidRPr="00CE5166">
        <w:rPr>
          <w:rFonts w:ascii="Arial" w:hAnsi="Arial" w:cs="Arial"/>
        </w:rPr>
        <w:t>First, they refuse to compete on price. When prospects demand commodity pricing, these MSSPs politely decline. They’d rather be small and profitable than large and dying. This discipline requires remarkable fortitude when competitors seem to win every deal, but the mathematics ultimately vindicate patience. Better to serve 100 clients profitably than 1,000 at a loss.</w:t>
      </w:r>
    </w:p>
    <w:p w14:paraId="7D630CD5" w14:textId="77777777" w:rsidR="00DB24E2" w:rsidRPr="00CE5166" w:rsidRDefault="00000000">
      <w:pPr>
        <w:pStyle w:val="BodyText"/>
        <w:rPr>
          <w:rFonts w:ascii="Arial" w:hAnsi="Arial" w:cs="Arial"/>
        </w:rPr>
      </w:pPr>
      <w:r w:rsidRPr="00CE5166">
        <w:rPr>
          <w:rFonts w:ascii="Arial" w:hAnsi="Arial" w:cs="Arial"/>
        </w:rPr>
        <w:t>Second, they achieve genuine economies of scale through standardization. Rather than customizing services for every client whim, they offer a take-it-or-leave-it service catalog. This standardization enables true automation benefits—when every client receives identical service, automation investments amortize across the entire base rather than fragmenting into client-specific workflows.</w:t>
      </w:r>
    </w:p>
    <w:p w14:paraId="7D630CD6" w14:textId="77777777" w:rsidR="00DB24E2" w:rsidRPr="00CE5166" w:rsidRDefault="00000000">
      <w:pPr>
        <w:pStyle w:val="BodyText"/>
        <w:rPr>
          <w:rFonts w:ascii="Arial" w:hAnsi="Arial" w:cs="Arial"/>
        </w:rPr>
      </w:pPr>
      <w:r w:rsidRPr="00CE5166">
        <w:rPr>
          <w:rFonts w:ascii="Arial" w:hAnsi="Arial" w:cs="Arial"/>
        </w:rPr>
        <w:t>Third, they maintain LTV/CAC ratios above 3:1 through ruthless customer selection (https://www.klipfolio.com/resources/kpi-examples/saas/customer-lifetime-value-to-customer-acquisition-cost). They pursue clients with complex, stable environments who value security outcomes over security theater. These clients pay more, stay longer, and require less hand-holding—the trifecta of sustainable unit economics.</w:t>
      </w:r>
    </w:p>
    <w:p w14:paraId="7D630CD7" w14:textId="77777777" w:rsidR="00DB24E2" w:rsidRPr="00CE5166" w:rsidRDefault="00000000">
      <w:pPr>
        <w:pStyle w:val="BodyText"/>
        <w:rPr>
          <w:rFonts w:ascii="Arial" w:hAnsi="Arial" w:cs="Arial"/>
        </w:rPr>
      </w:pPr>
      <w:r w:rsidRPr="00CE5166">
        <w:rPr>
          <w:rFonts w:ascii="Arial" w:hAnsi="Arial" w:cs="Arial"/>
        </w:rPr>
        <w:t>Finally, and perhaps most critically, they price based on value rather than cost. Instead of per-device or per-gigabyte pricing, they charge for business outcomes—reduced risk, compliance achievement, breach prevention. This pricing model aligns MSSP incentives with customer success while escaping the commodity trap that ensnares their peers.</w:t>
      </w:r>
    </w:p>
    <w:p w14:paraId="7D630CD8" w14:textId="77777777" w:rsidR="00DB24E2" w:rsidRPr="00CE5166" w:rsidRDefault="00000000">
      <w:pPr>
        <w:pStyle w:val="Heading2"/>
        <w:rPr>
          <w:rFonts w:ascii="Arial" w:hAnsi="Arial" w:cs="Arial"/>
        </w:rPr>
      </w:pPr>
      <w:bookmarkStart w:id="49" w:name="the-reckoning-approaches"/>
      <w:bookmarkStart w:id="50" w:name="_Toc206954675"/>
      <w:r w:rsidRPr="00CE5166">
        <w:rPr>
          <w:rFonts w:ascii="Arial" w:hAnsi="Arial" w:cs="Arial"/>
        </w:rPr>
        <w:t>The Reckoning Approaches</w:t>
      </w:r>
      <w:bookmarkEnd w:id="49"/>
      <w:bookmarkEnd w:id="50"/>
    </w:p>
    <w:p w14:paraId="7D630CD9" w14:textId="77777777" w:rsidR="00DB24E2" w:rsidRPr="00CE5166" w:rsidRDefault="00000000">
      <w:pPr>
        <w:pStyle w:val="FirstParagraph"/>
        <w:rPr>
          <w:rFonts w:ascii="Arial" w:hAnsi="Arial" w:cs="Arial"/>
        </w:rPr>
      </w:pPr>
      <w:r w:rsidRPr="00CE5166">
        <w:rPr>
          <w:rFonts w:ascii="Arial" w:hAnsi="Arial" w:cs="Arial"/>
        </w:rPr>
        <w:t>The MSSP industry stands at an economic crossroads. The current model—linear costs meeting exponential threats while charging commodity prices—violates fundamental business physics. Something must give. Either prices must rise dramatically, costs must fall precipitously, or the industry must consolidate into a handful of scale players who achieve economics through sheer volume.</w:t>
      </w:r>
    </w:p>
    <w:p w14:paraId="7D630CDA" w14:textId="77777777" w:rsidR="00DB24E2" w:rsidRPr="00CE5166" w:rsidRDefault="00000000">
      <w:pPr>
        <w:pStyle w:val="BodyText"/>
        <w:rPr>
          <w:rFonts w:ascii="Arial" w:hAnsi="Arial" w:cs="Arial"/>
        </w:rPr>
      </w:pPr>
      <w:r w:rsidRPr="00CE5166">
        <w:rPr>
          <w:rFonts w:ascii="Arial" w:hAnsi="Arial" w:cs="Arial"/>
        </w:rPr>
        <w:t>History suggests consolidation wins. Industries facing similar economic challenges—airlines, telecommunications, web hosting—all experienced brutal consolidation phases that left three to five major players controlling 80% of the market. The MSSP industry, with its 40% consolidation prediction by 2028 (https://www.cyvent.com/post/cybersecurity-msp-market-stats), appears headed down this well-worn path.</w:t>
      </w:r>
    </w:p>
    <w:p w14:paraId="7D630CDB" w14:textId="77777777" w:rsidR="00DB24E2" w:rsidRPr="00CE5166" w:rsidRDefault="00000000">
      <w:pPr>
        <w:pStyle w:val="BodyText"/>
        <w:rPr>
          <w:rFonts w:ascii="Arial" w:hAnsi="Arial" w:cs="Arial"/>
        </w:rPr>
      </w:pPr>
      <w:r w:rsidRPr="00CE5166">
        <w:rPr>
          <w:rFonts w:ascii="Arial" w:hAnsi="Arial" w:cs="Arial"/>
        </w:rPr>
        <w:t>The survivors will be those who solve the fundamental economic equation—delivering exponentially improving security with sustainable unit economics. This requires more than automation or offshoring or wishful thinking about economies of scale. It demands fundamental business model innovation, the kind that transforms industries rather than simply optimizing them.</w:t>
      </w:r>
    </w:p>
    <w:p w14:paraId="7D630CDC" w14:textId="77777777" w:rsidR="00DB24E2" w:rsidRPr="00CE5166" w:rsidRDefault="00000000">
      <w:pPr>
        <w:pStyle w:val="BodyText"/>
        <w:rPr>
          <w:rFonts w:ascii="Arial" w:hAnsi="Arial" w:cs="Arial"/>
        </w:rPr>
      </w:pPr>
      <w:r w:rsidRPr="00CE5166">
        <w:rPr>
          <w:rFonts w:ascii="Arial" w:hAnsi="Arial" w:cs="Arial"/>
        </w:rPr>
        <w:t>The next chapter examines the operational inefficiencies that compound these economic challenges—how 90% of security operations centers drown in false positives while real threats slip through, why managing dozens of security vendors creates complexity that destroys margins, and what happens when 24/7 operations meet human limitations. Understanding these operational realities is essential for any MSSP hoping to achieve the efficiency gains necessary for survival in an economically challenged industry.</w:t>
      </w:r>
    </w:p>
    <w:p w14:paraId="7D630CDD" w14:textId="77777777" w:rsidR="00DB24E2" w:rsidRPr="00CE5166" w:rsidRDefault="00000000">
      <w:pPr>
        <w:rPr>
          <w:rFonts w:ascii="Arial" w:hAnsi="Arial" w:cs="Arial"/>
        </w:rPr>
      </w:pPr>
      <w:r w:rsidRPr="00CE5166">
        <w:rPr>
          <w:rFonts w:ascii="Arial" w:hAnsi="Arial" w:cs="Arial"/>
        </w:rPr>
        <w:pict w14:anchorId="7D630E84">
          <v:rect id="_x0000_i1030" style="width:0;height:1.5pt" o:hralign="center" o:hrstd="t" o:hr="t"/>
        </w:pict>
      </w:r>
    </w:p>
    <w:p w14:paraId="7D630CDE" w14:textId="77777777" w:rsidR="00DB24E2" w:rsidRPr="00CE5166" w:rsidRDefault="00000000">
      <w:pPr>
        <w:pStyle w:val="Heading1"/>
        <w:rPr>
          <w:rFonts w:ascii="Arial" w:hAnsi="Arial" w:cs="Arial"/>
        </w:rPr>
      </w:pPr>
      <w:bookmarkStart w:id="51" w:name="X2c8d65218f9e47589d0d7e2cb396b5c9d18f924"/>
      <w:bookmarkStart w:id="52" w:name="_Toc206954676"/>
      <w:r w:rsidRPr="00CE5166">
        <w:rPr>
          <w:rFonts w:ascii="Arial" w:hAnsi="Arial" w:cs="Arial"/>
        </w:rPr>
        <w:t>Chapter 3: Operational Inefficiencies at Scale</w:t>
      </w:r>
      <w:bookmarkEnd w:id="51"/>
      <w:bookmarkEnd w:id="52"/>
    </w:p>
    <w:p w14:paraId="7D630CDF" w14:textId="77777777" w:rsidR="00DB24E2" w:rsidRPr="00CE5166" w:rsidRDefault="00000000">
      <w:pPr>
        <w:pStyle w:val="FirstParagraph"/>
        <w:rPr>
          <w:rFonts w:ascii="Arial" w:hAnsi="Arial" w:cs="Arial"/>
        </w:rPr>
      </w:pPr>
      <w:r w:rsidRPr="00CE5166">
        <w:rPr>
          <w:rFonts w:ascii="Arial" w:hAnsi="Arial" w:cs="Arial"/>
        </w:rPr>
        <w:t>The security operations center at a major Dallas MSSP resembles nothing so much as a casino floor at three in the morning—rows of bleary-eyed figures hunched over glowing screens, sustained by caffeine and the grim determination of those who know the house always wins. Except here, the house is entropy itself. Every eight seconds, another alert flashes across the monitors. Every minute, sixty more join the queue. By the end of an average shift, each analyst has processed over 3,000 alerts, of which precisely 47 will prove legitimate. The other 2,953 represent pure waste—digital noise that consumes time, dulls reflexes, and occasionally masks the one alert that matters.</w:t>
      </w:r>
    </w:p>
    <w:p w14:paraId="7D630CE0" w14:textId="77777777" w:rsidR="00DB24E2" w:rsidRPr="00CE5166" w:rsidRDefault="00000000">
      <w:pPr>
        <w:pStyle w:val="BodyText"/>
        <w:rPr>
          <w:rFonts w:ascii="Arial" w:hAnsi="Arial" w:cs="Arial"/>
        </w:rPr>
      </w:pPr>
      <w:r w:rsidRPr="00CE5166">
        <w:rPr>
          <w:rFonts w:ascii="Arial" w:hAnsi="Arial" w:cs="Arial"/>
        </w:rPr>
        <w:t>This is the reality of modern security operations: drowning in data while thirsting for insight. The Palo Alto Networks study reveals that 90% of security operations centers are “overwhelmed” by alert volumes (https://www.paloaltonetworks.com/blog/2020/01/cortex-soc-metrics/). This isn’t hyperbole but mathematical fact. When false positive rates reach 66%—the industry average—and each investigation requires 20-30 minutes, the arithmetic becomes inexorable. Analysts simply cannot process alerts faster than systems generate them. The backlog grows, response times stretch, and eventually, something important slips through.</w:t>
      </w:r>
    </w:p>
    <w:p w14:paraId="7D630CE1" w14:textId="77777777" w:rsidR="00DB24E2" w:rsidRPr="00CE5166" w:rsidRDefault="00000000">
      <w:pPr>
        <w:pStyle w:val="Heading2"/>
        <w:rPr>
          <w:rFonts w:ascii="Arial" w:hAnsi="Arial" w:cs="Arial"/>
        </w:rPr>
      </w:pPr>
      <w:bookmarkStart w:id="53" w:name="the-false-positive-factory"/>
      <w:bookmarkStart w:id="54" w:name="_Toc206954677"/>
      <w:r w:rsidRPr="00CE5166">
        <w:rPr>
          <w:rFonts w:ascii="Arial" w:hAnsi="Arial" w:cs="Arial"/>
        </w:rPr>
        <w:t>The False Positive Factory</w:t>
      </w:r>
      <w:bookmarkEnd w:id="53"/>
      <w:bookmarkEnd w:id="54"/>
    </w:p>
    <w:p w14:paraId="7D630CE2" w14:textId="77777777" w:rsidR="00DB24E2" w:rsidRPr="00CE5166" w:rsidRDefault="00000000">
      <w:pPr>
        <w:pStyle w:val="FirstParagraph"/>
        <w:rPr>
          <w:rFonts w:ascii="Arial" w:hAnsi="Arial" w:cs="Arial"/>
        </w:rPr>
      </w:pPr>
      <w:r w:rsidRPr="00CE5166">
        <w:rPr>
          <w:rFonts w:ascii="Arial" w:hAnsi="Arial" w:cs="Arial"/>
        </w:rPr>
        <w:t>The security industry has achieved a perverse miracle: creating systems so sensitive they detect everything and therefore nothing. Modern security information and event management (SIEM) platforms can identify a suspicious login from Uzbekistan at 3:47 AM, flag an unusual data transfer pattern, and correlate these with seventeen other indicators of compromise. Impressive, until one discovers the login was a traveling sales executive, the data transfer was a routine backup, and the seventeen indicators were variations of the same benign event.</w:t>
      </w:r>
    </w:p>
    <w:p w14:paraId="7D630CE3" w14:textId="77777777" w:rsidR="00DB24E2" w:rsidRPr="00CE5166" w:rsidRDefault="00000000">
      <w:pPr>
        <w:pStyle w:val="BodyText"/>
        <w:rPr>
          <w:rFonts w:ascii="Arial" w:hAnsi="Arial" w:cs="Arial"/>
        </w:rPr>
      </w:pPr>
      <w:r w:rsidRPr="00CE5166">
        <w:rPr>
          <w:rFonts w:ascii="Arial" w:hAnsi="Arial" w:cs="Arial"/>
        </w:rPr>
        <w:t>The false positive rate of 66% understates the problem’s magnitude. This figure only counts alerts that analysts investigate and dismiss. It ignores the millions of events filtered before reaching human eyes—the pre-screening that still allows two-thirds nonsense through. One MSSP reported their SIEM platform generated 14 million raw events daily across their client base. After automated filtering, 50,000 alerts remained for human review. Of these, perhaps 500 warranted action. That’s a signal-to-noise ratio that would bankrupt any other industry, yet MSSPs accept it as normal.</w:t>
      </w:r>
    </w:p>
    <w:p w14:paraId="7D630CE4" w14:textId="77777777" w:rsidR="00DB24E2" w:rsidRPr="00CE5166" w:rsidRDefault="00000000">
      <w:pPr>
        <w:pStyle w:val="BodyText"/>
        <w:rPr>
          <w:rFonts w:ascii="Arial" w:hAnsi="Arial" w:cs="Arial"/>
        </w:rPr>
      </w:pPr>
      <w:r w:rsidRPr="00CE5166">
        <w:rPr>
          <w:rFonts w:ascii="Arial" w:hAnsi="Arial" w:cs="Arial"/>
        </w:rPr>
        <w:t>The economic impact proves devastating. With analysts spending 40% of their time chasing phantoms (https://www.msspalert.com/native/how-to-address-cybersecurity-alert-fatigue-with-ai), the effective cost per legitimate threat investigation quintuples. An analyst paid $100,000 annually who spends nearly half their time on false positives represents a $40,000 misallocation of resources. Multiply across hundreds of analysts, and MSSPs essentially operate parallel ghost organizations that produce nothing but busy work.</w:t>
      </w:r>
    </w:p>
    <w:p w14:paraId="7D630CE5" w14:textId="77777777" w:rsidR="00DB24E2" w:rsidRPr="00CE5166" w:rsidRDefault="00000000">
      <w:pPr>
        <w:pStyle w:val="BodyText"/>
        <w:rPr>
          <w:rFonts w:ascii="Arial" w:hAnsi="Arial" w:cs="Arial"/>
        </w:rPr>
      </w:pPr>
      <w:r w:rsidRPr="00CE5166">
        <w:rPr>
          <w:rFonts w:ascii="Arial" w:hAnsi="Arial" w:cs="Arial"/>
        </w:rPr>
        <w:t>Worse, false positive fatigue creates a boy-who-cried-wolf syndrome. Analysts, numbed by thousands of meaningless alerts, begin missing genuine threats. The Target breach of 2013—where security systems detected the intrusion but analysts dismissed it as another false alarm—stands as a $162 million monument to this phenomenon. Every MSSP knows similar stories, usually whispered rather than publicized, of real attacks lost in the noise.</w:t>
      </w:r>
    </w:p>
    <w:p w14:paraId="7D630CE6" w14:textId="77777777" w:rsidR="00DB24E2" w:rsidRPr="00CE5166" w:rsidRDefault="00000000">
      <w:pPr>
        <w:pStyle w:val="Heading2"/>
        <w:rPr>
          <w:rFonts w:ascii="Arial" w:hAnsi="Arial" w:cs="Arial"/>
        </w:rPr>
      </w:pPr>
      <w:bookmarkStart w:id="55" w:name="the-vendor-proliferation-plague"/>
      <w:bookmarkStart w:id="56" w:name="_Toc206954678"/>
      <w:r w:rsidRPr="00CE5166">
        <w:rPr>
          <w:rFonts w:ascii="Arial" w:hAnsi="Arial" w:cs="Arial"/>
        </w:rPr>
        <w:t>The Vendor Proliferation Plague</w:t>
      </w:r>
      <w:bookmarkEnd w:id="55"/>
      <w:bookmarkEnd w:id="56"/>
    </w:p>
    <w:p w14:paraId="7D630CE7" w14:textId="77777777" w:rsidR="00DB24E2" w:rsidRPr="00CE5166" w:rsidRDefault="00000000">
      <w:pPr>
        <w:pStyle w:val="FirstParagraph"/>
        <w:rPr>
          <w:rFonts w:ascii="Arial" w:hAnsi="Arial" w:cs="Arial"/>
        </w:rPr>
      </w:pPr>
      <w:r w:rsidRPr="00CE5166">
        <w:rPr>
          <w:rFonts w:ascii="Arial" w:hAnsi="Arial" w:cs="Arial"/>
        </w:rPr>
        <w:t>If false positives represent operational cancer, vendor proliferation is organizational schizophrenia. The average MSSP maintains relationships with more than twenty security vendors (https://www.skedler.com/blog/scaling-observability-for-msp-what-works-what-fails/), each promising the one ring to rule them all. In practice, they create twenty rings that rule nothing but demand everything—integration, training, maintenance, and endless care and feeding.</w:t>
      </w:r>
    </w:p>
    <w:p w14:paraId="7D630CE8" w14:textId="77777777" w:rsidR="00DB24E2" w:rsidRPr="00CE5166" w:rsidRDefault="00000000">
      <w:pPr>
        <w:pStyle w:val="BodyText"/>
        <w:rPr>
          <w:rFonts w:ascii="Arial" w:hAnsi="Arial" w:cs="Arial"/>
        </w:rPr>
      </w:pPr>
      <w:r w:rsidRPr="00CE5166">
        <w:rPr>
          <w:rFonts w:ascii="Arial" w:hAnsi="Arial" w:cs="Arial"/>
        </w:rPr>
        <w:t>Consider the technology stack at a typical mid-sized MSSP: firewalls from Palo Alto Networks, endpoint detection from CrowdStrike, SIEM from Splunk, vulnerability scanning from Tenable, threat intelligence from Recorded Future, and so on through the security alphabet soup. Each platform requires specialized expertise. Each speaks its own dialect of security. Each generates its own alert format, requiring custom translation for correlation. The Tower of Babel had nothing on a modern security operations center.</w:t>
      </w:r>
    </w:p>
    <w:p w14:paraId="7D630CE9" w14:textId="77777777" w:rsidR="00DB24E2" w:rsidRPr="00CE5166" w:rsidRDefault="00000000">
      <w:pPr>
        <w:pStyle w:val="BodyText"/>
        <w:rPr>
          <w:rFonts w:ascii="Arial" w:hAnsi="Arial" w:cs="Arial"/>
        </w:rPr>
      </w:pPr>
      <w:r w:rsidRPr="00CE5166">
        <w:rPr>
          <w:rFonts w:ascii="Arial" w:hAnsi="Arial" w:cs="Arial"/>
        </w:rPr>
        <w:t>The integration tax proves particularly punishing. Connecting twenty platforms requires 190 potential integration points—a number that grows geometrically with each additional vendor. Even with modern APIs and integration platforms, each connection requires initial configuration, ongoing maintenance, and periodic troubleshooting when vendors update their systems without warning. One MSSP calculated they spent 23% of their engineering resources solely on maintaining integrations—effort that creates no customer value but prevents operational collapse.</w:t>
      </w:r>
    </w:p>
    <w:p w14:paraId="7D630CEA" w14:textId="77777777" w:rsidR="00DB24E2" w:rsidRPr="00CE5166" w:rsidRDefault="00000000">
      <w:pPr>
        <w:pStyle w:val="BodyText"/>
        <w:rPr>
          <w:rFonts w:ascii="Arial" w:hAnsi="Arial" w:cs="Arial"/>
        </w:rPr>
      </w:pPr>
      <w:r w:rsidRPr="00CE5166">
        <w:rPr>
          <w:rFonts w:ascii="Arial" w:hAnsi="Arial" w:cs="Arial"/>
        </w:rPr>
        <w:t>Training compounds the complexity. Each platform requires 40-80 hours of initial training plus ongoing certification. With twenty platforms and typical analyst turnover of 70% over three years, MSSPs face perpetual training overhead. The math is brutal: twenty platforms times sixty hours average training times thirty new analysts annually equals 36,000 training hours—equivalent to seventeen full-time positions producing nothing but baseline competence.</w:t>
      </w:r>
    </w:p>
    <w:p w14:paraId="7D630CEB" w14:textId="77777777" w:rsidR="00DB24E2" w:rsidRPr="00CE5166" w:rsidRDefault="00000000">
      <w:pPr>
        <w:pStyle w:val="Heading2"/>
        <w:rPr>
          <w:rFonts w:ascii="Arial" w:hAnsi="Arial" w:cs="Arial"/>
        </w:rPr>
      </w:pPr>
      <w:bookmarkStart w:id="57" w:name="the-five-team-paradox"/>
      <w:bookmarkStart w:id="58" w:name="_Toc206954679"/>
      <w:r w:rsidRPr="00CE5166">
        <w:rPr>
          <w:rFonts w:ascii="Arial" w:hAnsi="Arial" w:cs="Arial"/>
        </w:rPr>
        <w:t>The Five-Team Paradox</w:t>
      </w:r>
      <w:bookmarkEnd w:id="57"/>
      <w:bookmarkEnd w:id="58"/>
    </w:p>
    <w:p w14:paraId="7D630CEC" w14:textId="77777777" w:rsidR="00DB24E2" w:rsidRPr="00CE5166" w:rsidRDefault="00000000">
      <w:pPr>
        <w:pStyle w:val="FirstParagraph"/>
        <w:rPr>
          <w:rFonts w:ascii="Arial" w:hAnsi="Arial" w:cs="Arial"/>
        </w:rPr>
      </w:pPr>
      <w:r w:rsidRPr="00CE5166">
        <w:rPr>
          <w:rFonts w:ascii="Arial" w:hAnsi="Arial" w:cs="Arial"/>
        </w:rPr>
        <w:t>The promise of 24/7 security operations sounds straightforward: three shifts cover the day. Reality laughs at such simplicity. The actual requirement approaches five full teams once accounting for weekends, holidays, vacations, sick leave, and the inevitable human factors that disrupt neat scheduling mathematics.</w:t>
      </w:r>
    </w:p>
    <w:p w14:paraId="7D630CED" w14:textId="77777777" w:rsidR="00DB24E2" w:rsidRPr="00CE5166" w:rsidRDefault="00000000">
      <w:pPr>
        <w:pStyle w:val="BodyText"/>
        <w:rPr>
          <w:rFonts w:ascii="Arial" w:hAnsi="Arial" w:cs="Arial"/>
        </w:rPr>
      </w:pPr>
      <w:r w:rsidRPr="00CE5166">
        <w:rPr>
          <w:rFonts w:ascii="Arial" w:hAnsi="Arial" w:cs="Arial"/>
        </w:rPr>
        <w:t>The calculation begins innocently enough. Three eight-hour shifts require three teams. But weekends add 40% more coverage hours. Holidays, vacation, and sick leave consume another 15-20% of available hours. Training and administrative tasks claim 10% more. Suddenly, the three-team model needs 4.5 actual teams to maintain coverage. Round up for redundancy—because security operations cannot tolerate gaps—and five teams become the minimum viable structure (https://www.netsurion.com/articles/true-cost-of-setting-up-and-operating-security-operations-center).</w:t>
      </w:r>
    </w:p>
    <w:p w14:paraId="7D630CEE" w14:textId="77777777" w:rsidR="00DB24E2" w:rsidRPr="00CE5166" w:rsidRDefault="00000000">
      <w:pPr>
        <w:pStyle w:val="BodyText"/>
        <w:rPr>
          <w:rFonts w:ascii="Arial" w:hAnsi="Arial" w:cs="Arial"/>
        </w:rPr>
      </w:pPr>
      <w:r w:rsidRPr="00CE5166">
        <w:rPr>
          <w:rFonts w:ascii="Arial" w:hAnsi="Arial" w:cs="Arial"/>
        </w:rPr>
        <w:t>This five-team reality devastates unit economics. A single enterprise client requiring dedicated coverage needs not one analyst but five, transforming a marginally profitable relationship into a loss leader. MSSPs attempt to escape through shared coverage models, where analysts monitor multiple clients simultaneously. But this creates its own inefficiencies. Context switching between different client environments, technologies, and procedures reduces analyst effectiveness by 30-40%. The promised economies of scale evaporate in the friction of operational reality.</w:t>
      </w:r>
    </w:p>
    <w:p w14:paraId="7D630CEF" w14:textId="77777777" w:rsidR="00DB24E2" w:rsidRPr="00CE5166" w:rsidRDefault="00000000">
      <w:pPr>
        <w:pStyle w:val="BodyText"/>
        <w:rPr>
          <w:rFonts w:ascii="Arial" w:hAnsi="Arial" w:cs="Arial"/>
        </w:rPr>
      </w:pPr>
      <w:r w:rsidRPr="00CE5166">
        <w:rPr>
          <w:rFonts w:ascii="Arial" w:hAnsi="Arial" w:cs="Arial"/>
        </w:rPr>
        <w:t>Geographic distribution adds another layer of complexity. Global clients demand follow-the-sun coverage, requiring operations centers in multiple time zones. Each center needs its own management, facilities, and redundancy. A truly global MSSP might operate five centers across three continents, multiplying fixed costs before serving a single customer. The infrastructure requirements alone—secure facilities, redundant connectivity, backup power—can consume $5 million annually per center.</w:t>
      </w:r>
    </w:p>
    <w:p w14:paraId="7D630CF0" w14:textId="77777777" w:rsidR="00DB24E2" w:rsidRPr="00CE5166" w:rsidRDefault="00000000">
      <w:pPr>
        <w:pStyle w:val="Heading2"/>
        <w:rPr>
          <w:rFonts w:ascii="Arial" w:hAnsi="Arial" w:cs="Arial"/>
        </w:rPr>
      </w:pPr>
      <w:bookmarkStart w:id="59" w:name="the-alert-fatigue-epidemic"/>
      <w:bookmarkStart w:id="60" w:name="_Toc206954680"/>
      <w:r w:rsidRPr="00CE5166">
        <w:rPr>
          <w:rFonts w:ascii="Arial" w:hAnsi="Arial" w:cs="Arial"/>
        </w:rPr>
        <w:t>The Alert Fatigue Epidemic</w:t>
      </w:r>
      <w:bookmarkEnd w:id="59"/>
      <w:bookmarkEnd w:id="60"/>
    </w:p>
    <w:p w14:paraId="7D630CF1" w14:textId="77777777" w:rsidR="00DB24E2" w:rsidRPr="00CE5166" w:rsidRDefault="00000000">
      <w:pPr>
        <w:pStyle w:val="FirstParagraph"/>
        <w:rPr>
          <w:rFonts w:ascii="Arial" w:hAnsi="Arial" w:cs="Arial"/>
        </w:rPr>
      </w:pPr>
      <w:r w:rsidRPr="00CE5166">
        <w:rPr>
          <w:rFonts w:ascii="Arial" w:hAnsi="Arial" w:cs="Arial"/>
        </w:rPr>
        <w:t>Perhaps no phenomenon better captures MSSP operational dysfunction than alert fatigue—the gradual numbing of human response to constant, overwhelming stimuli. It’s Pavlov’s dogs in reverse: instead of salivating at every bell, analysts learn to ignore them all. The research is damning: 37% of cybersecurity professionals consider leaving the profession entirely, driven primarily by overwhelming alert volumes and the stress of potential failure (https://www.msspalert.com/news/cybersecurity-pros-are-well-paid-but-dissatisfied-study-finds).</w:t>
      </w:r>
    </w:p>
    <w:p w14:paraId="7D630CF2" w14:textId="77777777" w:rsidR="00DB24E2" w:rsidRPr="00CE5166" w:rsidRDefault="00000000">
      <w:pPr>
        <w:pStyle w:val="BodyText"/>
        <w:rPr>
          <w:rFonts w:ascii="Arial" w:hAnsi="Arial" w:cs="Arial"/>
        </w:rPr>
      </w:pPr>
      <w:r w:rsidRPr="00CE5166">
        <w:rPr>
          <w:rFonts w:ascii="Arial" w:hAnsi="Arial" w:cs="Arial"/>
        </w:rPr>
        <w:t>The physiological impact proves measurable. Studies show security analysts experience cortisol levels comparable to emergency room physicians, but without the variety that makes such stress tolerable. Every alert might be “the big one”—the breach that destroys careers and companies. Yet 66% prove false, creating a psychological whiplash between hyper-vigilance and disappointment. It’s no wonder 70% of analysts leave within three years, taking their expensively acquired expertise with them.</w:t>
      </w:r>
    </w:p>
    <w:p w14:paraId="7D630CF3" w14:textId="77777777" w:rsidR="00DB24E2" w:rsidRPr="00CE5166" w:rsidRDefault="00000000">
      <w:pPr>
        <w:pStyle w:val="BodyText"/>
        <w:rPr>
          <w:rFonts w:ascii="Arial" w:hAnsi="Arial" w:cs="Arial"/>
        </w:rPr>
      </w:pPr>
      <w:r w:rsidRPr="00CE5166">
        <w:rPr>
          <w:rFonts w:ascii="Arial" w:hAnsi="Arial" w:cs="Arial"/>
        </w:rPr>
        <w:t>MSSPs attempt various remedies—gamification, rotation schedules, mental health support—but these address symptoms rather than causes. The fundamental problem remains: humans aren’t designed to maintain constant vigilance against predominantly false threats. Evolution prepared us for occasional tiger attacks, not continuous alert bombardment. The security operations center violates basic human psychology, then wonders why humans fail.</w:t>
      </w:r>
    </w:p>
    <w:p w14:paraId="7D630CF4" w14:textId="77777777" w:rsidR="00DB24E2" w:rsidRPr="00CE5166" w:rsidRDefault="00000000">
      <w:pPr>
        <w:pStyle w:val="BodyText"/>
        <w:rPr>
          <w:rFonts w:ascii="Arial" w:hAnsi="Arial" w:cs="Arial"/>
        </w:rPr>
      </w:pPr>
      <w:r w:rsidRPr="00CE5166">
        <w:rPr>
          <w:rFonts w:ascii="Arial" w:hAnsi="Arial" w:cs="Arial"/>
        </w:rPr>
        <w:t>The operational impact extends beyond individual burnout. Experienced analysts develop intuition about which alerts matter—pattern recognition that no algorithm yet replicates. When these analysts leave, institutional knowledge evaporates. New analysts, trained on procedures rather than principles, lack the judgment to distinguish sophisticated attacks from sophisticated false positives. Quality degrades even as quantity maintains, creating a hollowing-out effect that metrics miss but customers eventually notice.</w:t>
      </w:r>
    </w:p>
    <w:p w14:paraId="7D630CF5" w14:textId="77777777" w:rsidR="00DB24E2" w:rsidRPr="00CE5166" w:rsidRDefault="00000000">
      <w:pPr>
        <w:pStyle w:val="Heading2"/>
        <w:rPr>
          <w:rFonts w:ascii="Arial" w:hAnsi="Arial" w:cs="Arial"/>
        </w:rPr>
      </w:pPr>
      <w:bookmarkStart w:id="61" w:name="the-integration-impossibility"/>
      <w:bookmarkStart w:id="62" w:name="_Toc206954681"/>
      <w:r w:rsidRPr="00CE5166">
        <w:rPr>
          <w:rFonts w:ascii="Arial" w:hAnsi="Arial" w:cs="Arial"/>
        </w:rPr>
        <w:t>The Integration Impossibility</w:t>
      </w:r>
      <w:bookmarkEnd w:id="61"/>
      <w:bookmarkEnd w:id="62"/>
    </w:p>
    <w:p w14:paraId="7D630CF6" w14:textId="77777777" w:rsidR="00DB24E2" w:rsidRPr="00CE5166" w:rsidRDefault="00000000">
      <w:pPr>
        <w:pStyle w:val="FirstParagraph"/>
        <w:rPr>
          <w:rFonts w:ascii="Arial" w:hAnsi="Arial" w:cs="Arial"/>
        </w:rPr>
      </w:pPr>
      <w:r w:rsidRPr="00CE5166">
        <w:rPr>
          <w:rFonts w:ascii="Arial" w:hAnsi="Arial" w:cs="Arial"/>
        </w:rPr>
        <w:t>Modern MSSPs resemble IT Frankenstein’s monsters—assembled from parts that were never meant to work together, animated by the desperate hope that integration platforms can create life from disparate components. The typical security stack includes twenty-plus vendors, each excellent in isolation but catastrophic in combination. It’s like building an orchestra from musicians who speak different languages, read different notation, and play in different keys.</w:t>
      </w:r>
    </w:p>
    <w:p w14:paraId="7D630CF7" w14:textId="77777777" w:rsidR="00DB24E2" w:rsidRPr="00CE5166" w:rsidRDefault="00000000">
      <w:pPr>
        <w:pStyle w:val="BodyText"/>
        <w:rPr>
          <w:rFonts w:ascii="Arial" w:hAnsi="Arial" w:cs="Arial"/>
        </w:rPr>
      </w:pPr>
      <w:r w:rsidRPr="00CE5166">
        <w:rPr>
          <w:rFonts w:ascii="Arial" w:hAnsi="Arial" w:cs="Arial"/>
        </w:rPr>
        <w:t>The Skedler report documents the painful reality: MSSPs managing multiple platforms experience 60% higher operational overhead than those with consolidated stacks (https://www.skedler.com/blog/scaling-observability-for-msp-what-works-what-fails/). This isn’t just the cost of additional licenses or training. It’s the compound inefficiency of analysts swiveling between screens, correlating alerts manually, and maintaining mental models of how different systems interact—or don’t.</w:t>
      </w:r>
    </w:p>
    <w:p w14:paraId="7D630CF8" w14:textId="77777777" w:rsidR="00DB24E2" w:rsidRPr="00CE5166" w:rsidRDefault="00000000">
      <w:pPr>
        <w:pStyle w:val="BodyText"/>
        <w:rPr>
          <w:rFonts w:ascii="Arial" w:hAnsi="Arial" w:cs="Arial"/>
        </w:rPr>
      </w:pPr>
      <w:r w:rsidRPr="00CE5166">
        <w:rPr>
          <w:rFonts w:ascii="Arial" w:hAnsi="Arial" w:cs="Arial"/>
        </w:rPr>
        <w:t>Consider a typical security investigation. An endpoint detection platform flags suspicious behavior. The analyst must then check the firewall logs (different vendor, different console), correlate with threat intelligence (third vendor, third console), verify against vulnerability scans (fourth vendor), and document in the ticketing system (fifth vendor). What should take minutes takes hours. What should be automated remains stubbornly manual. The promise of integration platforms that would unify this chaos remains perpetually “six months away.”</w:t>
      </w:r>
    </w:p>
    <w:p w14:paraId="7D630CF9" w14:textId="77777777" w:rsidR="00DB24E2" w:rsidRPr="00CE5166" w:rsidRDefault="00000000">
      <w:pPr>
        <w:pStyle w:val="Heading2"/>
        <w:rPr>
          <w:rFonts w:ascii="Arial" w:hAnsi="Arial" w:cs="Arial"/>
        </w:rPr>
      </w:pPr>
      <w:bookmarkStart w:id="63" w:name="the-standardization-struggle"/>
      <w:bookmarkStart w:id="64" w:name="_Toc206954682"/>
      <w:r w:rsidRPr="00CE5166">
        <w:rPr>
          <w:rFonts w:ascii="Arial" w:hAnsi="Arial" w:cs="Arial"/>
        </w:rPr>
        <w:t>The Standardization Struggle</w:t>
      </w:r>
      <w:bookmarkEnd w:id="63"/>
      <w:bookmarkEnd w:id="64"/>
    </w:p>
    <w:p w14:paraId="7D630CFA" w14:textId="77777777" w:rsidR="00DB24E2" w:rsidRPr="00CE5166" w:rsidRDefault="00000000">
      <w:pPr>
        <w:pStyle w:val="FirstParagraph"/>
        <w:rPr>
          <w:rFonts w:ascii="Arial" w:hAnsi="Arial" w:cs="Arial"/>
        </w:rPr>
      </w:pPr>
      <w:r w:rsidRPr="00CE5166">
        <w:rPr>
          <w:rFonts w:ascii="Arial" w:hAnsi="Arial" w:cs="Arial"/>
        </w:rPr>
        <w:t>The solution seems obvious: standardize on fewer platforms, create repeatable processes, achieve economies of scale. The Service Leadership Index confirms this intuition—top-performing MSSPs maintain five or fewer core vendor relationships (https://www.service-leadership.com/solution-providers/service-leadership-index-reports/). Yet the industry average remains twenty-plus. Why?</w:t>
      </w:r>
    </w:p>
    <w:p w14:paraId="7D630CFB" w14:textId="77777777" w:rsidR="00DB24E2" w:rsidRPr="00CE5166" w:rsidRDefault="00000000">
      <w:pPr>
        <w:pStyle w:val="BodyText"/>
        <w:rPr>
          <w:rFonts w:ascii="Arial" w:hAnsi="Arial" w:cs="Arial"/>
        </w:rPr>
      </w:pPr>
      <w:r w:rsidRPr="00CE5166">
        <w:rPr>
          <w:rFonts w:ascii="Arial" w:hAnsi="Arial" w:cs="Arial"/>
        </w:rPr>
        <w:t>Customer demands drive much of this proliferation. Enterprise clients arrive with existing security investments they refuse to abandon. “We’ve standardized on Cisco firewalls,” they declare, forcing MSSPs to either support yet another platform or lose the deal. The next client standardized on Fortinet. The third insists on Palo Alto Networks. Soon, the MSSP supports every firewall vendor in existence, each requiring specialized expertise and operational procedures.</w:t>
      </w:r>
    </w:p>
    <w:p w14:paraId="7D630CFC" w14:textId="77777777" w:rsidR="00DB24E2" w:rsidRPr="00CE5166" w:rsidRDefault="00000000">
      <w:pPr>
        <w:pStyle w:val="BodyText"/>
        <w:rPr>
          <w:rFonts w:ascii="Arial" w:hAnsi="Arial" w:cs="Arial"/>
        </w:rPr>
      </w:pPr>
      <w:r w:rsidRPr="00CE5166">
        <w:rPr>
          <w:rFonts w:ascii="Arial" w:hAnsi="Arial" w:cs="Arial"/>
        </w:rPr>
        <w:t>The vendors themselves resist standardization through lock-in strategies disguised as partnership benefits. Exclusive features available only to certified partners. Volume discounts that penalize platform reduction. Certification requirements that create switching costs. The security vendor ecosystem has perfected the art of customer capture, except the captured customers are MSSPs themselves, locked into relationships that destroy margins but seem impossible to escape.</w:t>
      </w:r>
    </w:p>
    <w:p w14:paraId="7D630CFD" w14:textId="77777777" w:rsidR="00DB24E2" w:rsidRPr="00CE5166" w:rsidRDefault="00000000">
      <w:pPr>
        <w:pStyle w:val="Heading2"/>
        <w:rPr>
          <w:rFonts w:ascii="Arial" w:hAnsi="Arial" w:cs="Arial"/>
        </w:rPr>
      </w:pPr>
      <w:bookmarkStart w:id="65" w:name="the-path-to-operational-excellence"/>
      <w:bookmarkStart w:id="66" w:name="_Toc206954683"/>
      <w:r w:rsidRPr="00CE5166">
        <w:rPr>
          <w:rFonts w:ascii="Arial" w:hAnsi="Arial" w:cs="Arial"/>
        </w:rPr>
        <w:t>The Path to Operational Excellence</w:t>
      </w:r>
      <w:bookmarkEnd w:id="65"/>
      <w:bookmarkEnd w:id="66"/>
    </w:p>
    <w:p w14:paraId="7D630CFE" w14:textId="77777777" w:rsidR="00DB24E2" w:rsidRPr="00CE5166" w:rsidRDefault="00000000">
      <w:pPr>
        <w:pStyle w:val="FirstParagraph"/>
        <w:rPr>
          <w:rFonts w:ascii="Arial" w:hAnsi="Arial" w:cs="Arial"/>
        </w:rPr>
      </w:pPr>
      <w:r w:rsidRPr="00CE5166">
        <w:rPr>
          <w:rFonts w:ascii="Arial" w:hAnsi="Arial" w:cs="Arial"/>
        </w:rPr>
        <w:t>Not all MSSPs drown in operational inefficiency. The top quartile achieve something approaching operational excellence through three fundamental strategies: radical consolidation, intelligent automation, and ruthless standardization.</w:t>
      </w:r>
    </w:p>
    <w:p w14:paraId="7D630CFF" w14:textId="77777777" w:rsidR="00DB24E2" w:rsidRPr="00CE5166" w:rsidRDefault="00000000">
      <w:pPr>
        <w:pStyle w:val="BodyText"/>
        <w:rPr>
          <w:rFonts w:ascii="Arial" w:hAnsi="Arial" w:cs="Arial"/>
        </w:rPr>
      </w:pPr>
      <w:r w:rsidRPr="00CE5166">
        <w:rPr>
          <w:rFonts w:ascii="Arial" w:hAnsi="Arial" w:cs="Arial"/>
        </w:rPr>
        <w:t>Radical consolidation means saying no—to vendors, to customers, to complexity. Arctic Wolf built their entire business on a single platform, refusing customer demands for vendor diversity (https://arcticwolf.com/resources/press-releases/arctic-wolf-fastest-growing-vendor-by-revenue-in-2023-according-to-gartner-market-share-security-services-worldwide-2023-research/). When clients insist on their preferred technologies, Arctic Wolf politely suggests they find another MSSP. This discipline enables genuine economies of scale—one platform to master, one set of procedures to optimize, one training program to perfect.</w:t>
      </w:r>
    </w:p>
    <w:p w14:paraId="7D630D00" w14:textId="77777777" w:rsidR="00DB24E2" w:rsidRPr="00CE5166" w:rsidRDefault="00000000">
      <w:pPr>
        <w:pStyle w:val="BodyText"/>
        <w:rPr>
          <w:rFonts w:ascii="Arial" w:hAnsi="Arial" w:cs="Arial"/>
        </w:rPr>
      </w:pPr>
      <w:r w:rsidRPr="00CE5166">
        <w:rPr>
          <w:rFonts w:ascii="Arial" w:hAnsi="Arial" w:cs="Arial"/>
        </w:rPr>
        <w:t>Intelligent automation goes beyond simple alert filtering to fundamental process redesign. Instead of automating existing inefficient processes, leading MSSPs reimagine operations around automation capabilities. They design workflows that assume 80% automation, treating human intervention as the exception rather than the rule. This isn’t replacing humans with machines but amplifying human capability through intelligent tools.</w:t>
      </w:r>
    </w:p>
    <w:p w14:paraId="7D630D01" w14:textId="77777777" w:rsidR="00DB24E2" w:rsidRPr="00CE5166" w:rsidRDefault="00000000">
      <w:pPr>
        <w:pStyle w:val="BodyText"/>
        <w:rPr>
          <w:rFonts w:ascii="Arial" w:hAnsi="Arial" w:cs="Arial"/>
        </w:rPr>
      </w:pPr>
      <w:r w:rsidRPr="00CE5166">
        <w:rPr>
          <w:rFonts w:ascii="Arial" w:hAnsi="Arial" w:cs="Arial"/>
        </w:rPr>
        <w:t>Ruthless standardization means offering a service catalog, not a service buffet. Top performers provide three to five service tiers—bronze, silver, gold—with no customization permitted. Clients who demand bespoke services receive polite referrals to competitors. This standardization enables true automation benefits, predictable costs, and measurable outcomes.</w:t>
      </w:r>
    </w:p>
    <w:p w14:paraId="7D630D02" w14:textId="77777777" w:rsidR="00DB24E2" w:rsidRPr="00CE5166" w:rsidRDefault="00000000">
      <w:pPr>
        <w:pStyle w:val="BodyText"/>
        <w:rPr>
          <w:rFonts w:ascii="Arial" w:hAnsi="Arial" w:cs="Arial"/>
        </w:rPr>
      </w:pPr>
      <w:r w:rsidRPr="00CE5166">
        <w:rPr>
          <w:rFonts w:ascii="Arial" w:hAnsi="Arial" w:cs="Arial"/>
        </w:rPr>
        <w:t>The mathematics of operational excellence prove compelling. MSSPs that reduce false positive rates from 66% to 20% through intelligent filtering effectively triple analyst productivity. Those that consolidate from twenty vendors to five reduce operational overhead by 40%. Combined with standardized service delivery, these improvements can transform 8% margins into 18%—the difference between dying slowly and thriving sustainably.</w:t>
      </w:r>
    </w:p>
    <w:p w14:paraId="7D630D03" w14:textId="77777777" w:rsidR="00DB24E2" w:rsidRPr="00CE5166" w:rsidRDefault="00000000">
      <w:pPr>
        <w:pStyle w:val="BodyText"/>
        <w:rPr>
          <w:rFonts w:ascii="Arial" w:hAnsi="Arial" w:cs="Arial"/>
        </w:rPr>
      </w:pPr>
      <w:r w:rsidRPr="00CE5166">
        <w:rPr>
          <w:rFonts w:ascii="Arial" w:hAnsi="Arial" w:cs="Arial"/>
        </w:rPr>
        <w:t>The next chapter examines the human dimension of the MSSP crisis—how the global shortage of 3.4 million security professionals creates a talent war that MSSPs cannot win through traditional means, why six-figure salaries fail to prevent 70% turnover, and what happens when an industry built on human expertise runs out of humans.</w:t>
      </w:r>
    </w:p>
    <w:p w14:paraId="7D630D04" w14:textId="77777777" w:rsidR="00DB24E2" w:rsidRPr="00CE5166" w:rsidRDefault="00000000">
      <w:pPr>
        <w:rPr>
          <w:rFonts w:ascii="Arial" w:hAnsi="Arial" w:cs="Arial"/>
        </w:rPr>
      </w:pPr>
      <w:r w:rsidRPr="00CE5166">
        <w:rPr>
          <w:rFonts w:ascii="Arial" w:hAnsi="Arial" w:cs="Arial"/>
        </w:rPr>
        <w:pict w14:anchorId="7D630E85">
          <v:rect id="_x0000_i1031" style="width:0;height:1.5pt" o:hralign="center" o:hrstd="t" o:hr="t"/>
        </w:pict>
      </w:r>
    </w:p>
    <w:p w14:paraId="7D630D05" w14:textId="77777777" w:rsidR="00DB24E2" w:rsidRPr="00CE5166" w:rsidRDefault="00000000">
      <w:pPr>
        <w:pStyle w:val="Heading1"/>
        <w:rPr>
          <w:rFonts w:ascii="Arial" w:hAnsi="Arial" w:cs="Arial"/>
        </w:rPr>
      </w:pPr>
      <w:bookmarkStart w:id="67" w:name="chapter-4-the-talent-wars-hidden-costs"/>
      <w:bookmarkStart w:id="68" w:name="_Toc206954684"/>
      <w:r w:rsidRPr="00CE5166">
        <w:rPr>
          <w:rFonts w:ascii="Arial" w:hAnsi="Arial" w:cs="Arial"/>
        </w:rPr>
        <w:t>Chapter 4: The Talent War’s Hidden Costs</w:t>
      </w:r>
      <w:bookmarkEnd w:id="67"/>
      <w:bookmarkEnd w:id="68"/>
    </w:p>
    <w:p w14:paraId="7D630D06" w14:textId="77777777" w:rsidR="00DB24E2" w:rsidRPr="00CE5166" w:rsidRDefault="00000000">
      <w:pPr>
        <w:pStyle w:val="FirstParagraph"/>
        <w:rPr>
          <w:rFonts w:ascii="Arial" w:hAnsi="Arial" w:cs="Arial"/>
        </w:rPr>
      </w:pPr>
      <w:r w:rsidRPr="00CE5166">
        <w:rPr>
          <w:rFonts w:ascii="Arial" w:hAnsi="Arial" w:cs="Arial"/>
        </w:rPr>
        <w:t>In the autumn of 2024, a mid-sized Boston MSSP posted a job opening for a senior security analyst. The requirements were modest: five years of experience, familiarity with common security tools, ability to work night shifts. The salary was competitive: $115,000 plus benefits. Six months later, the position remained unfilled. Not for lack of applicants—273 resumes arrived within the first week. But of these, only twelve met basic qualifications. Of those twelve, eight were already employed and merely fishing for better offers. Of the remaining four, three failed technical interviews. The last candidate accepted the offer, then reneged a week before starting, having received a $130,000 counter-offer from their current employer.</w:t>
      </w:r>
    </w:p>
    <w:p w14:paraId="7D630D07" w14:textId="77777777" w:rsidR="00DB24E2" w:rsidRPr="00CE5166" w:rsidRDefault="00000000">
      <w:pPr>
        <w:pStyle w:val="BodyText"/>
        <w:rPr>
          <w:rFonts w:ascii="Arial" w:hAnsi="Arial" w:cs="Arial"/>
        </w:rPr>
      </w:pPr>
      <w:r w:rsidRPr="00CE5166">
        <w:rPr>
          <w:rFonts w:ascii="Arial" w:hAnsi="Arial" w:cs="Arial"/>
        </w:rPr>
        <w:t>This vignette, repeated thousands of times across the industry, illustrates the MSSP talent crisis in miniature. It’s not merely that security professionals are scarce—though with 3.4 million unfilled positions globally, scarcity hardly captures the magnitude (https://www.msspalert.com/perspective/recruiting-innovations-to-overcome-the-cybersecurity-skills-gap). It’s that MSSPs occupy the worst possible position in the talent food chain: unable to match Fortune 500 compensation, lacking the cachet of cutting-edge startups, and offering work that combines maximum stress with minimum glory.</w:t>
      </w:r>
    </w:p>
    <w:p w14:paraId="7D630D08" w14:textId="77777777" w:rsidR="00DB24E2" w:rsidRPr="00CE5166" w:rsidRDefault="00000000">
      <w:pPr>
        <w:pStyle w:val="Heading2"/>
        <w:rPr>
          <w:rFonts w:ascii="Arial" w:hAnsi="Arial" w:cs="Arial"/>
        </w:rPr>
      </w:pPr>
      <w:bookmarkStart w:id="69" w:name="the-133000-question"/>
      <w:bookmarkStart w:id="70" w:name="_Toc206954685"/>
      <w:r w:rsidRPr="00CE5166">
        <w:rPr>
          <w:rFonts w:ascii="Arial" w:hAnsi="Arial" w:cs="Arial"/>
        </w:rPr>
        <w:t>The $133,000 Question</w:t>
      </w:r>
      <w:bookmarkEnd w:id="69"/>
      <w:bookmarkEnd w:id="70"/>
    </w:p>
    <w:p w14:paraId="7D630D09" w14:textId="77777777" w:rsidR="00DB24E2" w:rsidRPr="00CE5166" w:rsidRDefault="00000000">
      <w:pPr>
        <w:pStyle w:val="FirstParagraph"/>
        <w:rPr>
          <w:rFonts w:ascii="Arial" w:hAnsi="Arial" w:cs="Arial"/>
        </w:rPr>
      </w:pPr>
      <w:r w:rsidRPr="00CE5166">
        <w:rPr>
          <w:rFonts w:ascii="Arial" w:hAnsi="Arial" w:cs="Arial"/>
        </w:rPr>
        <w:t>The numbers tell a story of economic impossibility. Entry-level SOC analysts command $88,000 annually. Senior analysts demand $133,000. Security architects approach $150,000 (https://expel.com/blog/how-much-does-it-cost-to-build-a-24x7-soc/). These figures would be manageable if they represented total costs. They don’t. Add benefits (25-30% of base), training ($15,000 annually), tools and infrastructure ($24,000 per analyst per year), and the fully loaded cost of a senior analyst approaches $200,000.</w:t>
      </w:r>
    </w:p>
    <w:p w14:paraId="7D630D0A" w14:textId="77777777" w:rsidR="00DB24E2" w:rsidRPr="00CE5166" w:rsidRDefault="00000000">
      <w:pPr>
        <w:pStyle w:val="BodyText"/>
        <w:rPr>
          <w:rFonts w:ascii="Arial" w:hAnsi="Arial" w:cs="Arial"/>
        </w:rPr>
      </w:pPr>
      <w:r w:rsidRPr="00CE5166">
        <w:rPr>
          <w:rFonts w:ascii="Arial" w:hAnsi="Arial" w:cs="Arial"/>
        </w:rPr>
        <w:t>Now consider the revenue side. The average MSSP charges $8,900 monthly per client (https://www.evolvedmgmt.com/blog/using-msp-business-metrics). Assuming perfect efficiency—one analyst monitoring multiple clients without degradation—each analyst must cover at least three clients just to break even on their own costs. Add management overhead, sales expenses, and profit margin, and the requirement doubles. Yet operational reality limits effective coverage to 10-15 clients per analyst before quality suffers. The math works, barely, until you factor in the next problem: retention.</w:t>
      </w:r>
    </w:p>
    <w:p w14:paraId="7D630D0B" w14:textId="77777777" w:rsidR="00DB24E2" w:rsidRPr="00CE5166" w:rsidRDefault="00000000">
      <w:pPr>
        <w:pStyle w:val="BodyText"/>
        <w:rPr>
          <w:rFonts w:ascii="Arial" w:hAnsi="Arial" w:cs="Arial"/>
        </w:rPr>
      </w:pPr>
      <w:r w:rsidRPr="00CE5166">
        <w:rPr>
          <w:rFonts w:ascii="Arial" w:hAnsi="Arial" w:cs="Arial"/>
        </w:rPr>
        <w:t>The 70% three-year turnover rate represents more than a statistic—it’s a perpetual tax on profitability (https://www.msspalert.com/news/cybersecurity-pros-are-well-paid-but-dissatisfied-study-finds). When an analyst leaves after eighteen months, they take with them not just skills but institutional knowledge, client relationships, and team cohesion. Their replacement requires six months to reach full productivity (https://www.netsuite.com/portal/resource/articles/business-strategy/MSP-metrics.shtml), during which they consume resources while producing minimal value. The cycle repeats endlessly, creating what one MSSP CEO called “a leaking bucket we fill with hundred-dollar bills.”</w:t>
      </w:r>
    </w:p>
    <w:p w14:paraId="7D630D0C" w14:textId="77777777" w:rsidR="00DB24E2" w:rsidRPr="00CE5166" w:rsidRDefault="00000000">
      <w:pPr>
        <w:pStyle w:val="Heading2"/>
        <w:rPr>
          <w:rFonts w:ascii="Arial" w:hAnsi="Arial" w:cs="Arial"/>
        </w:rPr>
      </w:pPr>
      <w:bookmarkStart w:id="71" w:name="the-training-treadmill"/>
      <w:bookmarkStart w:id="72" w:name="_Toc206954686"/>
      <w:r w:rsidRPr="00CE5166">
        <w:rPr>
          <w:rFonts w:ascii="Arial" w:hAnsi="Arial" w:cs="Arial"/>
        </w:rPr>
        <w:t>The Training Treadmill</w:t>
      </w:r>
      <w:bookmarkEnd w:id="71"/>
      <w:bookmarkEnd w:id="72"/>
    </w:p>
    <w:p w14:paraId="7D630D0D" w14:textId="77777777" w:rsidR="00DB24E2" w:rsidRPr="00CE5166" w:rsidRDefault="00000000">
      <w:pPr>
        <w:pStyle w:val="FirstParagraph"/>
        <w:rPr>
          <w:rFonts w:ascii="Arial" w:hAnsi="Arial" w:cs="Arial"/>
        </w:rPr>
      </w:pPr>
      <w:r w:rsidRPr="00CE5166">
        <w:rPr>
          <w:rFonts w:ascii="Arial" w:hAnsi="Arial" w:cs="Arial"/>
        </w:rPr>
        <w:t>The six-month onboarding period deserves special scrutiny, representing as it does a $75,000 investment (half a year’s fully loaded cost) before any return. This isn’t leisurely orientation but intensive technical training across multiple platforms, procedures, and client environments. New analysts must master the SIEM platform, endpoint detection systems, firewall management, incident response procedures, client communication protocols, and regulatory compliance requirements. It’s like teaching someone to fly a commercial aircraft while the plane is in flight and passengers are complaining about the turbulence.</w:t>
      </w:r>
    </w:p>
    <w:p w14:paraId="7D630D0E" w14:textId="77777777" w:rsidR="00DB24E2" w:rsidRPr="00CE5166" w:rsidRDefault="00000000">
      <w:pPr>
        <w:pStyle w:val="BodyText"/>
        <w:rPr>
          <w:rFonts w:ascii="Arial" w:hAnsi="Arial" w:cs="Arial"/>
        </w:rPr>
      </w:pPr>
      <w:r w:rsidRPr="00CE5166">
        <w:rPr>
          <w:rFonts w:ascii="Arial" w:hAnsi="Arial" w:cs="Arial"/>
        </w:rPr>
        <w:t>The training challenge compounds with technological evolution. Security tools change constantly—new features, new threats, new integration requirements. What an analyst learned six months ago may be obsolete today. MSSPs report spending 10-15% of operational hours on training, not to advance capabilities but merely to maintain current competence. It’s running to stand still, except the treadmill costs $15,000 per analyst per year.</w:t>
      </w:r>
    </w:p>
    <w:p w14:paraId="7D630D0F" w14:textId="77777777" w:rsidR="00DB24E2" w:rsidRPr="00CE5166" w:rsidRDefault="00000000">
      <w:pPr>
        <w:pStyle w:val="BodyText"/>
        <w:rPr>
          <w:rFonts w:ascii="Arial" w:hAnsi="Arial" w:cs="Arial"/>
        </w:rPr>
      </w:pPr>
      <w:r w:rsidRPr="00CE5166">
        <w:rPr>
          <w:rFonts w:ascii="Arial" w:hAnsi="Arial" w:cs="Arial"/>
        </w:rPr>
        <w:t>Certification requirements add another layer of expense and complexity. Vendors demand certified professionals to maintain partnership status. Clients insist on certified staff as a checkbox for their own compliance requirements. Analysts themselves pursue certifications to maintain marketability. The result? MSSPs funding expensive certification programs that primarily benefit vendors (through certification fees) and competitors (by making analysts more marketable). One MSSP calculated they spent $2.3 million annually on certifications, of which $1.8 million walked out the door within eighteen months as certified analysts found better opportunities.</w:t>
      </w:r>
    </w:p>
    <w:p w14:paraId="7D630D10" w14:textId="77777777" w:rsidR="00DB24E2" w:rsidRPr="00CE5166" w:rsidRDefault="00000000">
      <w:pPr>
        <w:pStyle w:val="Heading2"/>
        <w:rPr>
          <w:rFonts w:ascii="Arial" w:hAnsi="Arial" w:cs="Arial"/>
        </w:rPr>
      </w:pPr>
      <w:bookmarkStart w:id="73" w:name="the-fortune-500-problem"/>
      <w:bookmarkStart w:id="74" w:name="_Toc206954687"/>
      <w:r w:rsidRPr="00CE5166">
        <w:rPr>
          <w:rFonts w:ascii="Arial" w:hAnsi="Arial" w:cs="Arial"/>
        </w:rPr>
        <w:t>The Fortune 500 Problem</w:t>
      </w:r>
      <w:bookmarkEnd w:id="73"/>
      <w:bookmarkEnd w:id="74"/>
    </w:p>
    <w:p w14:paraId="7D630D11" w14:textId="77777777" w:rsidR="00DB24E2" w:rsidRPr="00CE5166" w:rsidRDefault="00000000">
      <w:pPr>
        <w:pStyle w:val="FirstParagraph"/>
        <w:rPr>
          <w:rFonts w:ascii="Arial" w:hAnsi="Arial" w:cs="Arial"/>
        </w:rPr>
      </w:pPr>
      <w:r w:rsidRPr="00CE5166">
        <w:rPr>
          <w:rFonts w:ascii="Arial" w:hAnsi="Arial" w:cs="Arial"/>
        </w:rPr>
        <w:t>MSSPs compete for talent against organizations with fundamentally different economics. When JPMorgan Chase needs security analysts, they offer $150,000 base salaries, signing bonuses, restricted stock units, and the prestige of protecting a trillion-dollar institution. When Google needs security engineers, they provide $200,000 base salaries, stock options potentially worth millions, and the chance to work on cutting-edge problems with unlimited resources.</w:t>
      </w:r>
    </w:p>
    <w:p w14:paraId="7D630D12" w14:textId="77777777" w:rsidR="00DB24E2" w:rsidRPr="00CE5166" w:rsidRDefault="00000000">
      <w:pPr>
        <w:pStyle w:val="BodyText"/>
        <w:rPr>
          <w:rFonts w:ascii="Arial" w:hAnsi="Arial" w:cs="Arial"/>
        </w:rPr>
      </w:pPr>
      <w:r w:rsidRPr="00CE5166">
        <w:rPr>
          <w:rFonts w:ascii="Arial" w:hAnsi="Arial" w:cs="Arial"/>
        </w:rPr>
        <w:t>MSSPs counter with… the opportunity to work night shifts monitoring alerts for small businesses that resent paying for security at all. It’s bringing a knife to a gunfight, except the knife is plastic and the gun is a howitzer.</w:t>
      </w:r>
    </w:p>
    <w:p w14:paraId="7D630D13" w14:textId="77777777" w:rsidR="00DB24E2" w:rsidRPr="00CE5166" w:rsidRDefault="00000000">
      <w:pPr>
        <w:pStyle w:val="BodyText"/>
        <w:rPr>
          <w:rFonts w:ascii="Arial" w:hAnsi="Arial" w:cs="Arial"/>
        </w:rPr>
      </w:pPr>
      <w:r w:rsidRPr="00CE5166">
        <w:rPr>
          <w:rFonts w:ascii="Arial" w:hAnsi="Arial" w:cs="Arial"/>
        </w:rPr>
        <w:t>The compensation gap only begins the disadvantage. Enterprise security teams work reasonable hours on focused problems with adequate resources. MSSP analysts work rotating shifts on multiple clients with perpetual resource constraints. Enterprise teams prevent breaches at their own organizations. MSSP analysts juggle dozens of clients, any of whom might suffer a breach that somehow becomes the MSSP’s fault. The stress differential alone drives talent toward enterprise roles, even at equivalent compensation.</w:t>
      </w:r>
    </w:p>
    <w:p w14:paraId="7D630D14" w14:textId="77777777" w:rsidR="00DB24E2" w:rsidRPr="00CE5166" w:rsidRDefault="00000000">
      <w:pPr>
        <w:pStyle w:val="BodyText"/>
        <w:rPr>
          <w:rFonts w:ascii="Arial" w:hAnsi="Arial" w:cs="Arial"/>
        </w:rPr>
      </w:pPr>
      <w:r w:rsidRPr="00CE5166">
        <w:rPr>
          <w:rFonts w:ascii="Arial" w:hAnsi="Arial" w:cs="Arial"/>
        </w:rPr>
        <w:t>Geographic concentration worsens the talent crisis. Security professionals cluster in major metropolitan areas where both the cost of living and salary expectations are highest. An MSSP operating from Dallas or Phoenix might offer reasonable salaries by local standards, but they’re competing for remote talent against Bay Area companies offering double the compensation. The pandemic normalized remote work, transforming local talent markets into a global auction where MSSPs perpetually lose.</w:t>
      </w:r>
    </w:p>
    <w:p w14:paraId="7D630D15" w14:textId="77777777" w:rsidR="00DB24E2" w:rsidRPr="00CE5166" w:rsidRDefault="00000000">
      <w:pPr>
        <w:pStyle w:val="Heading2"/>
        <w:rPr>
          <w:rFonts w:ascii="Arial" w:hAnsi="Arial" w:cs="Arial"/>
        </w:rPr>
      </w:pPr>
      <w:bookmarkStart w:id="75" w:name="the-burnout-machine"/>
      <w:bookmarkStart w:id="76" w:name="_Toc206954688"/>
      <w:r w:rsidRPr="00CE5166">
        <w:rPr>
          <w:rFonts w:ascii="Arial" w:hAnsi="Arial" w:cs="Arial"/>
        </w:rPr>
        <w:t>The Burnout Machine</w:t>
      </w:r>
      <w:bookmarkEnd w:id="75"/>
      <w:bookmarkEnd w:id="76"/>
    </w:p>
    <w:p w14:paraId="7D630D16" w14:textId="77777777" w:rsidR="00DB24E2" w:rsidRPr="00CE5166" w:rsidRDefault="00000000">
      <w:pPr>
        <w:pStyle w:val="FirstParagraph"/>
        <w:rPr>
          <w:rFonts w:ascii="Arial" w:hAnsi="Arial" w:cs="Arial"/>
        </w:rPr>
      </w:pPr>
      <w:r w:rsidRPr="00CE5166">
        <w:rPr>
          <w:rFonts w:ascii="Arial" w:hAnsi="Arial" w:cs="Arial"/>
        </w:rPr>
        <w:t>The 37% of security professionals considering career changes aren’t just seeking better compensation—they’re fleeing an unsustainable profession (https://www.msspalert.com/news/cybersecurity-pros-are-well-paid-but-dissatisfied-study-finds). Security operations combines the worst aspects of multiple professions: the constant vigilance of air traffic control, the shift work of nursing, the blame culture of IT support, and the regulatory scrutiny of financial services. It’s a recipe for burnout that MSSPs have perfected into an art form.</w:t>
      </w:r>
    </w:p>
    <w:p w14:paraId="7D630D17" w14:textId="77777777" w:rsidR="00DB24E2" w:rsidRPr="00CE5166" w:rsidRDefault="00000000">
      <w:pPr>
        <w:pStyle w:val="BodyText"/>
        <w:rPr>
          <w:rFonts w:ascii="Arial" w:hAnsi="Arial" w:cs="Arial"/>
        </w:rPr>
      </w:pPr>
      <w:r w:rsidRPr="00CE5166">
        <w:rPr>
          <w:rFonts w:ascii="Arial" w:hAnsi="Arial" w:cs="Arial"/>
        </w:rPr>
        <w:t>The alert fatigue discussed in Chapter 3 creates psychological exhaustion that no amount of compensation can cure. Analysts describe a peculiar form of PTSD—not from experiencing trauma but from constantly anticipating it. Every alert might be the breach that destroys careers. Every overlooked indicator might be tomorrow’s headlines. The stress accumulates like metal fatigue, invisible until the sudden, catastrophic failure.</w:t>
      </w:r>
    </w:p>
    <w:p w14:paraId="7D630D18" w14:textId="77777777" w:rsidR="00DB24E2" w:rsidRPr="00CE5166" w:rsidRDefault="00000000">
      <w:pPr>
        <w:pStyle w:val="BodyText"/>
        <w:rPr>
          <w:rFonts w:ascii="Arial" w:hAnsi="Arial" w:cs="Arial"/>
        </w:rPr>
      </w:pPr>
      <w:r w:rsidRPr="00CE5166">
        <w:rPr>
          <w:rFonts w:ascii="Arial" w:hAnsi="Arial" w:cs="Arial"/>
        </w:rPr>
        <w:t>Night shifts accelerate the burnout timeline. Humans aren’t nocturnal creatures, despite MSSPs’ attempts to pretend otherwise. Studies show night shift workers suffer higher rates of cardiovascular disease, diabetes, depression, and cognitive decline. They also make more mistakes—critical in a profession where one mistake can cost millions. Yet 24/7 operations demand night coverage, creating a rotating cast of progressively exhausted analysts making progressively worse decisions.</w:t>
      </w:r>
    </w:p>
    <w:p w14:paraId="7D630D19" w14:textId="77777777" w:rsidR="00DB24E2" w:rsidRPr="00CE5166" w:rsidRDefault="00000000">
      <w:pPr>
        <w:pStyle w:val="BodyText"/>
        <w:rPr>
          <w:rFonts w:ascii="Arial" w:hAnsi="Arial" w:cs="Arial"/>
        </w:rPr>
      </w:pPr>
      <w:r w:rsidRPr="00CE5166">
        <w:rPr>
          <w:rFonts w:ascii="Arial" w:hAnsi="Arial" w:cs="Arial"/>
        </w:rPr>
        <w:t>The customer dynamic adds insult to injury. Security analysts protect organizations that view them as expensive insurance—necessary but resented. When nothing happens, clients question the expense. When breaches occur, they demand scapegoats. There’s no winning, only varying degrees of losing. One analyst described it as “being a firefighter in a town that thinks fires are myths and smoke detectors are scams.”</w:t>
      </w:r>
    </w:p>
    <w:p w14:paraId="7D630D1A" w14:textId="77777777" w:rsidR="00DB24E2" w:rsidRPr="00CE5166" w:rsidRDefault="00000000">
      <w:pPr>
        <w:pStyle w:val="Heading2"/>
        <w:rPr>
          <w:rFonts w:ascii="Arial" w:hAnsi="Arial" w:cs="Arial"/>
        </w:rPr>
      </w:pPr>
      <w:bookmarkStart w:id="77" w:name="the-offshore-illusion"/>
      <w:bookmarkStart w:id="78" w:name="_Toc206954689"/>
      <w:r w:rsidRPr="00CE5166">
        <w:rPr>
          <w:rFonts w:ascii="Arial" w:hAnsi="Arial" w:cs="Arial"/>
        </w:rPr>
        <w:t>The Offshore Illusion</w:t>
      </w:r>
      <w:bookmarkEnd w:id="77"/>
      <w:bookmarkEnd w:id="78"/>
    </w:p>
    <w:p w14:paraId="7D630D1B" w14:textId="77777777" w:rsidR="00DB24E2" w:rsidRPr="00CE5166" w:rsidRDefault="00000000">
      <w:pPr>
        <w:pStyle w:val="FirstParagraph"/>
        <w:rPr>
          <w:rFonts w:ascii="Arial" w:hAnsi="Arial" w:cs="Arial"/>
        </w:rPr>
      </w:pPr>
      <w:r w:rsidRPr="00CE5166">
        <w:rPr>
          <w:rFonts w:ascii="Arial" w:hAnsi="Arial" w:cs="Arial"/>
        </w:rPr>
        <w:t>Faced with unsustainable domestic labor costs, many MSSPs embrace offshoring as salvation. India, the Philippines, and Eastern Europe offer skilled analysts at 20-30% of US costs. The arbitrage seems irresistible—until implementation reveals the hidden costs that destroy the apparent savings.</w:t>
      </w:r>
    </w:p>
    <w:p w14:paraId="7D630D1C" w14:textId="77777777" w:rsidR="00DB24E2" w:rsidRPr="00CE5166" w:rsidRDefault="00000000">
      <w:pPr>
        <w:pStyle w:val="BodyText"/>
        <w:rPr>
          <w:rFonts w:ascii="Arial" w:hAnsi="Arial" w:cs="Arial"/>
        </w:rPr>
      </w:pPr>
      <w:r w:rsidRPr="00CE5166">
        <w:rPr>
          <w:rFonts w:ascii="Arial" w:hAnsi="Arial" w:cs="Arial"/>
        </w:rPr>
        <w:t>Time zone management proves more complex than simple follow-the-sun coverage. Offshore teams require domestic management, creating overlay costs that erode savings. Communication challenges multiply with cultural and linguistic differences. A Mumbai analyst might speak perfect English but miss the subtle cues that distinguish a genuine threat from a clumsy employee. These nuances matter in security, where context often determines criticality.</w:t>
      </w:r>
    </w:p>
    <w:p w14:paraId="7D630D1D" w14:textId="77777777" w:rsidR="00DB24E2" w:rsidRPr="00CE5166" w:rsidRDefault="00000000">
      <w:pPr>
        <w:pStyle w:val="BodyText"/>
        <w:rPr>
          <w:rFonts w:ascii="Arial" w:hAnsi="Arial" w:cs="Arial"/>
        </w:rPr>
      </w:pPr>
      <w:r w:rsidRPr="00CE5166">
        <w:rPr>
          <w:rFonts w:ascii="Arial" w:hAnsi="Arial" w:cs="Arial"/>
        </w:rPr>
        <w:t>Training offshore teams costs more and delivers less. The six-month onboarding period stretches to nine months or longer. Turnover rates, already problematic domestically, reach 100% annually in some offshore locations as analysts use MSSP experience as stepping stones to better opportunities. The perpetual training tax that burdens domestic operations becomes a training black hole offshore.</w:t>
      </w:r>
    </w:p>
    <w:p w14:paraId="7D630D1E" w14:textId="77777777" w:rsidR="00DB24E2" w:rsidRPr="00CE5166" w:rsidRDefault="00000000">
      <w:pPr>
        <w:pStyle w:val="BodyText"/>
        <w:rPr>
          <w:rFonts w:ascii="Arial" w:hAnsi="Arial" w:cs="Arial"/>
        </w:rPr>
      </w:pPr>
      <w:r w:rsidRPr="00CE5166">
        <w:rPr>
          <w:rFonts w:ascii="Arial" w:hAnsi="Arial" w:cs="Arial"/>
        </w:rPr>
        <w:t>Quality concerns, whether justified or not, affect customer perception. Enterprise clients paying premium prices expect premium service, which in their minds means domestic analysts with recognized certifications and cultural alignment. MSSPs attempting to maintain margins through offshore labor often find themselves in a death spiral—losing premium clients, forced to compete on price, requiring even more aggressive offshoring, losing more clients. It’s a strategy that works until it catastrophically doesn’t.</w:t>
      </w:r>
    </w:p>
    <w:p w14:paraId="7D630D1F" w14:textId="77777777" w:rsidR="00DB24E2" w:rsidRPr="00CE5166" w:rsidRDefault="00000000">
      <w:pPr>
        <w:pStyle w:val="Heading2"/>
        <w:rPr>
          <w:rFonts w:ascii="Arial" w:hAnsi="Arial" w:cs="Arial"/>
        </w:rPr>
      </w:pPr>
      <w:bookmarkStart w:id="79" w:name="the-automation-arbitrage"/>
      <w:bookmarkStart w:id="80" w:name="_Toc206954690"/>
      <w:r w:rsidRPr="00CE5166">
        <w:rPr>
          <w:rFonts w:ascii="Arial" w:hAnsi="Arial" w:cs="Arial"/>
        </w:rPr>
        <w:t>The Automation Arbitrage</w:t>
      </w:r>
      <w:bookmarkEnd w:id="79"/>
      <w:bookmarkEnd w:id="80"/>
    </w:p>
    <w:p w14:paraId="7D630D20" w14:textId="77777777" w:rsidR="00DB24E2" w:rsidRPr="00CE5166" w:rsidRDefault="00000000">
      <w:pPr>
        <w:pStyle w:val="FirstParagraph"/>
        <w:rPr>
          <w:rFonts w:ascii="Arial" w:hAnsi="Arial" w:cs="Arial"/>
        </w:rPr>
      </w:pPr>
      <w:r w:rsidRPr="00CE5166">
        <w:rPr>
          <w:rFonts w:ascii="Arial" w:hAnsi="Arial" w:cs="Arial"/>
        </w:rPr>
        <w:t>The talent crisis has produced an unexpected beneficiary: automation vendors promising to replace expensive humans with cheap algorithms. The pitch resonates—why pay $133,000 for an analyst when AI can handle routine tasks for a software license? MSSPs implementing comprehensive automation report 70-80% workload reduction (https://www.msspalert.com/news/d3-security-survey-ties-automation-to-mssp-growth-analyst-wellbeing), theoretically solving the talent equation through technology.</w:t>
      </w:r>
    </w:p>
    <w:p w14:paraId="7D630D21" w14:textId="77777777" w:rsidR="00DB24E2" w:rsidRPr="00CE5166" w:rsidRDefault="00000000">
      <w:pPr>
        <w:pStyle w:val="BodyText"/>
        <w:rPr>
          <w:rFonts w:ascii="Arial" w:hAnsi="Arial" w:cs="Arial"/>
        </w:rPr>
      </w:pPr>
      <w:r w:rsidRPr="00CE5166">
        <w:rPr>
          <w:rFonts w:ascii="Arial" w:hAnsi="Arial" w:cs="Arial"/>
        </w:rPr>
        <w:t>Reality proves more nuanced. Automation handles routine tasks well—parsing logs, correlating events, generating tickets. But security operations involve judgment calls that current AI cannot make. Is this unusual behavior malicious or merely unusual? Does this pattern indicate compromise or legitimate business activity? Should we wake the client at 3 AM or wait until morning? These decisions require context, experience, and occasionally, intuition that no algorithm yet replicates.</w:t>
      </w:r>
    </w:p>
    <w:p w14:paraId="7D630D22" w14:textId="77777777" w:rsidR="00DB24E2" w:rsidRPr="00CE5166" w:rsidRDefault="00000000">
      <w:pPr>
        <w:pStyle w:val="BodyText"/>
        <w:rPr>
          <w:rFonts w:ascii="Arial" w:hAnsi="Arial" w:cs="Arial"/>
        </w:rPr>
      </w:pPr>
      <w:r w:rsidRPr="00CE5166">
        <w:rPr>
          <w:rFonts w:ascii="Arial" w:hAnsi="Arial" w:cs="Arial"/>
        </w:rPr>
        <w:t>More fundamentally, automation shifts rather than eliminates talent requirements. Instead of many junior analysts doing routine work, MSSPs need fewer but more skilled professionals managing automated systems. These automation engineers command even higher salaries than traditional analysts—$150,000 to $200,000 for experienced professionals. The talent problem doesn’t disappear; it transforms into a different, potentially more acute challenge.</w:t>
      </w:r>
    </w:p>
    <w:p w14:paraId="7D630D23" w14:textId="77777777" w:rsidR="00DB24E2" w:rsidRPr="00CE5166" w:rsidRDefault="00000000">
      <w:pPr>
        <w:pStyle w:val="Heading2"/>
        <w:rPr>
          <w:rFonts w:ascii="Arial" w:hAnsi="Arial" w:cs="Arial"/>
        </w:rPr>
      </w:pPr>
      <w:bookmarkStart w:id="81" w:name="the-virtuous-circle-survivors"/>
      <w:bookmarkStart w:id="82" w:name="_Toc206954691"/>
      <w:r w:rsidRPr="00CE5166">
        <w:rPr>
          <w:rFonts w:ascii="Arial" w:hAnsi="Arial" w:cs="Arial"/>
        </w:rPr>
        <w:t>The Virtuous Circle Survivors</w:t>
      </w:r>
      <w:bookmarkEnd w:id="81"/>
      <w:bookmarkEnd w:id="82"/>
    </w:p>
    <w:p w14:paraId="7D630D24" w14:textId="77777777" w:rsidR="00DB24E2" w:rsidRPr="00CE5166" w:rsidRDefault="00000000">
      <w:pPr>
        <w:pStyle w:val="FirstParagraph"/>
        <w:rPr>
          <w:rFonts w:ascii="Arial" w:hAnsi="Arial" w:cs="Arial"/>
        </w:rPr>
      </w:pPr>
      <w:r w:rsidRPr="00CE5166">
        <w:rPr>
          <w:rFonts w:ascii="Arial" w:hAnsi="Arial" w:cs="Arial"/>
        </w:rPr>
        <w:t>Despite these challenges, some MSSPs crack the talent code through strategies that create virtuous rather than vicious cycles. They share common characteristics that illuminate a path through the talent wasteland.</w:t>
      </w:r>
    </w:p>
    <w:p w14:paraId="7D630D25" w14:textId="77777777" w:rsidR="00DB24E2" w:rsidRPr="00CE5166" w:rsidRDefault="00000000">
      <w:pPr>
        <w:pStyle w:val="BodyText"/>
        <w:rPr>
          <w:rFonts w:ascii="Arial" w:hAnsi="Arial" w:cs="Arial"/>
        </w:rPr>
      </w:pPr>
      <w:r w:rsidRPr="00CE5166">
        <w:rPr>
          <w:rFonts w:ascii="Arial" w:hAnsi="Arial" w:cs="Arial"/>
        </w:rPr>
        <w:t>First, they pay above market—not matching Fortune 500 compensation but offering enough to attract solid professionals. More importantly, they invest in quality of life. Predictable schedules, genuine work-life balance, and respect for human limitations. One successful MSSP eliminated night shifts entirely through creative staffing across time zones, accepting higher costs for dramatically lower turnover.</w:t>
      </w:r>
    </w:p>
    <w:p w14:paraId="7D630D26" w14:textId="77777777" w:rsidR="00DB24E2" w:rsidRPr="00CE5166" w:rsidRDefault="00000000">
      <w:pPr>
        <w:pStyle w:val="BodyText"/>
        <w:rPr>
          <w:rFonts w:ascii="Arial" w:hAnsi="Arial" w:cs="Arial"/>
        </w:rPr>
      </w:pPr>
      <w:r w:rsidRPr="00CE5166">
        <w:rPr>
          <w:rFonts w:ascii="Arial" w:hAnsi="Arial" w:cs="Arial"/>
        </w:rPr>
        <w:t>Second, they create career paths beyond endless alert monitoring. Analysts can advance to architecture, consulting, or management roles without leaving the company. This internal mobility reduces turnover while creating institutional knowledge that improves service quality. The investment in career development pays dividends through reduced recruitment costs and improved customer satisfaction.</w:t>
      </w:r>
    </w:p>
    <w:p w14:paraId="7D630D27" w14:textId="77777777" w:rsidR="00DB24E2" w:rsidRPr="00CE5166" w:rsidRDefault="00000000">
      <w:pPr>
        <w:pStyle w:val="BodyText"/>
        <w:rPr>
          <w:rFonts w:ascii="Arial" w:hAnsi="Arial" w:cs="Arial"/>
        </w:rPr>
      </w:pPr>
      <w:r w:rsidRPr="00CE5166">
        <w:rPr>
          <w:rFonts w:ascii="Arial" w:hAnsi="Arial" w:cs="Arial"/>
        </w:rPr>
        <w:t>Third, they embrace remote work fully, not grudgingly. This expands the talent pool beyond expensive metropolitan areas while offering flexibility that many professionals value more than marginal compensation increases. One MSSP reported reducing turnover by 40% simply by allowing complete schedule flexibility for high performers.</w:t>
      </w:r>
    </w:p>
    <w:p w14:paraId="7D630D28" w14:textId="77777777" w:rsidR="00DB24E2" w:rsidRPr="00CE5166" w:rsidRDefault="00000000">
      <w:pPr>
        <w:pStyle w:val="BodyText"/>
        <w:rPr>
          <w:rFonts w:ascii="Arial" w:hAnsi="Arial" w:cs="Arial"/>
        </w:rPr>
      </w:pPr>
      <w:r w:rsidRPr="00CE5166">
        <w:rPr>
          <w:rFonts w:ascii="Arial" w:hAnsi="Arial" w:cs="Arial"/>
        </w:rPr>
        <w:t>Finally, and perhaps most critically, they select clients who value security professionals. This means walking away from customers who view security as a compliance checkbox or cost center. Premium clients who understand security value create environments where analysts feel appreciated rather than tolerated. The psychological difference transforms retention rates and service quality.</w:t>
      </w:r>
    </w:p>
    <w:p w14:paraId="7D630D29" w14:textId="77777777" w:rsidR="00DB24E2" w:rsidRPr="00CE5166" w:rsidRDefault="00000000">
      <w:pPr>
        <w:pStyle w:val="BodyText"/>
        <w:rPr>
          <w:rFonts w:ascii="Arial" w:hAnsi="Arial" w:cs="Arial"/>
        </w:rPr>
      </w:pPr>
      <w:r w:rsidRPr="00CE5166">
        <w:rPr>
          <w:rFonts w:ascii="Arial" w:hAnsi="Arial" w:cs="Arial"/>
        </w:rPr>
        <w:t>The talent war won’t end soon. With cyber threats growing exponentially while the security workforce grows linearly, the supply-demand imbalance will persist for decades. MSSPs that survive will be those that stop fighting traditional talent battles and instead change the rules of engagement—through automation that amplifies rather than replaces humans, through business models that can afford premium talent, and through cultures that make security operations sustainable rather than sacrificial. The next chapter examines the strategic misalignments that compound these operational and talent challenges, creating a perfect storm of unprofitability.</w:t>
      </w:r>
    </w:p>
    <w:p w14:paraId="7D630D2A" w14:textId="77777777" w:rsidR="00DB24E2" w:rsidRPr="00CE5166" w:rsidRDefault="00000000">
      <w:pPr>
        <w:rPr>
          <w:rFonts w:ascii="Arial" w:hAnsi="Arial" w:cs="Arial"/>
        </w:rPr>
      </w:pPr>
      <w:r w:rsidRPr="00CE5166">
        <w:rPr>
          <w:rFonts w:ascii="Arial" w:hAnsi="Arial" w:cs="Arial"/>
        </w:rPr>
        <w:pict w14:anchorId="7D630E86">
          <v:rect id="_x0000_i1032" style="width:0;height:1.5pt" o:hralign="center" o:hrstd="t" o:hr="t"/>
        </w:pict>
      </w:r>
    </w:p>
    <w:p w14:paraId="7D630D2B" w14:textId="77777777" w:rsidR="00DB24E2" w:rsidRPr="00CE5166" w:rsidRDefault="00000000">
      <w:pPr>
        <w:pStyle w:val="Heading1"/>
        <w:rPr>
          <w:rFonts w:ascii="Arial" w:hAnsi="Arial" w:cs="Arial"/>
        </w:rPr>
      </w:pPr>
      <w:bookmarkStart w:id="83" w:name="chapter-5-strategic-misalignments"/>
      <w:bookmarkStart w:id="84" w:name="_Toc206954692"/>
      <w:r w:rsidRPr="00CE5166">
        <w:rPr>
          <w:rFonts w:ascii="Arial" w:hAnsi="Arial" w:cs="Arial"/>
        </w:rPr>
        <w:t>Chapter 5: Strategic Misalignments</w:t>
      </w:r>
      <w:bookmarkEnd w:id="83"/>
      <w:bookmarkEnd w:id="84"/>
    </w:p>
    <w:p w14:paraId="7D630D2C" w14:textId="77777777" w:rsidR="00DB24E2" w:rsidRPr="00CE5166" w:rsidRDefault="00000000">
      <w:pPr>
        <w:pStyle w:val="FirstParagraph"/>
        <w:rPr>
          <w:rFonts w:ascii="Arial" w:hAnsi="Arial" w:cs="Arial"/>
        </w:rPr>
      </w:pPr>
      <w:r w:rsidRPr="00CE5166">
        <w:rPr>
          <w:rFonts w:ascii="Arial" w:hAnsi="Arial" w:cs="Arial"/>
        </w:rPr>
        <w:t>The executives at SecureNet MSSP thought they had solved the growth equation. Their 2023 strategic plan read like a McKinsey fever dream: “We will achieve scale through standardization while delivering customized solutions that meet each client’s unique needs.” This paradoxical ambition—to be simultaneously McDonald’s and Michelin—captured in one sentence the strategic schizophrenia that afflicts the entire MSSP industry. By year’s end, SecureNet had achieved neither scale nor customization, instead creating a hybrid monster that combined the worst aspects of both models: the high costs of customization with the customer dissatisfaction of standardization.</w:t>
      </w:r>
    </w:p>
    <w:p w14:paraId="7D630D2D" w14:textId="77777777" w:rsidR="00DB24E2" w:rsidRPr="00CE5166" w:rsidRDefault="00000000">
      <w:pPr>
        <w:pStyle w:val="BodyText"/>
        <w:rPr>
          <w:rFonts w:ascii="Arial" w:hAnsi="Arial" w:cs="Arial"/>
        </w:rPr>
      </w:pPr>
      <w:r w:rsidRPr="00CE5166">
        <w:rPr>
          <w:rFonts w:ascii="Arial" w:hAnsi="Arial" w:cs="Arial"/>
        </w:rPr>
        <w:t>This strategic confusion isn’t unique to SecureNet. Across the industry, MSSPs attempt to reconcile fundamentally incompatible strategies, like medieval alchemists trying to turn lead into gold through wishful thinking and elaborate processes. They promise enterprise-grade security at small business prices, global coverage with local presence, compliance with every framework while maintaining simplicity. These strategic contradictions don’t just erode margins—they make sustainable business models mathematically impossible.</w:t>
      </w:r>
    </w:p>
    <w:p w14:paraId="7D630D2E" w14:textId="77777777" w:rsidR="00DB24E2" w:rsidRPr="00CE5166" w:rsidRDefault="00000000">
      <w:pPr>
        <w:pStyle w:val="Heading2"/>
        <w:rPr>
          <w:rFonts w:ascii="Arial" w:hAnsi="Arial" w:cs="Arial"/>
        </w:rPr>
      </w:pPr>
      <w:bookmarkStart w:id="85" w:name="the-customization-trap"/>
      <w:bookmarkStart w:id="86" w:name="_Toc206954693"/>
      <w:r w:rsidRPr="00CE5166">
        <w:rPr>
          <w:rFonts w:ascii="Arial" w:hAnsi="Arial" w:cs="Arial"/>
        </w:rPr>
        <w:t>The Customization Trap</w:t>
      </w:r>
      <w:bookmarkEnd w:id="85"/>
      <w:bookmarkEnd w:id="86"/>
    </w:p>
    <w:p w14:paraId="7D630D2F" w14:textId="77777777" w:rsidR="00DB24E2" w:rsidRPr="00CE5166" w:rsidRDefault="00000000">
      <w:pPr>
        <w:pStyle w:val="FirstParagraph"/>
        <w:rPr>
          <w:rFonts w:ascii="Arial" w:hAnsi="Arial" w:cs="Arial"/>
        </w:rPr>
      </w:pPr>
      <w:r w:rsidRPr="00CE5166">
        <w:rPr>
          <w:rFonts w:ascii="Arial" w:hAnsi="Arial" w:cs="Arial"/>
        </w:rPr>
        <w:t>Every MSSP begins with noble intentions of standardized service delivery. Three service tiers. Five standard reports. One ticketing system. Then the first enterprise client arrives with a seven-figure contract and a “few small requests.” Could the weekly report include these seventeen additional metrics? Would it be possible to integrate with their proprietary ticketing system? Oh, and they need alerts sent to fourteen different stakeholders based on a complex matrix of severity, system, and time of day.</w:t>
      </w:r>
    </w:p>
    <w:p w14:paraId="7D630D30" w14:textId="77777777" w:rsidR="00DB24E2" w:rsidRPr="00CE5166" w:rsidRDefault="00000000">
      <w:pPr>
        <w:pStyle w:val="BodyText"/>
        <w:rPr>
          <w:rFonts w:ascii="Arial" w:hAnsi="Arial" w:cs="Arial"/>
        </w:rPr>
      </w:pPr>
      <w:r w:rsidRPr="00CE5166">
        <w:rPr>
          <w:rFonts w:ascii="Arial" w:hAnsi="Arial" w:cs="Arial"/>
        </w:rPr>
        <w:t>The MSSP capitulates, naturally. Seven figures buys a lot of customization. But once the precedent is set, every client expects similar accommodation. The next customer wants different metrics, another ticketing system, a unique alerting matrix. Soon, the MSSP operates dozens of bespoke service variations, each requiring custom procedures, training, and maintenance. The promised economies of scale evaporate into the operational complexity of a consulting firm with the pricing model of a utility.</w:t>
      </w:r>
    </w:p>
    <w:p w14:paraId="7D630D31" w14:textId="77777777" w:rsidR="00DB24E2" w:rsidRPr="00CE5166" w:rsidRDefault="00000000">
      <w:pPr>
        <w:pStyle w:val="BodyText"/>
        <w:rPr>
          <w:rFonts w:ascii="Arial" w:hAnsi="Arial" w:cs="Arial"/>
        </w:rPr>
      </w:pPr>
      <w:r w:rsidRPr="00CE5166">
        <w:rPr>
          <w:rFonts w:ascii="Arial" w:hAnsi="Arial" w:cs="Arial"/>
        </w:rPr>
        <w:t>The numbers reveal the customization penalty. MSSPs that allow significant service customization report 35% higher operational costs than those maintaining strict standardization (https://www.mspinsights.com/doc/what-qualities-separate-the-top-of-msps-from-their-competition-0001). This isn’t just the direct cost of customization—the additional development, testing, and maintenance. It’s the compound inefficiency of analysts who must remember dozens of client-specific procedures, automation that can’t scale across unique implementations, and management overhead to coordinate this complexity.</w:t>
      </w:r>
    </w:p>
    <w:p w14:paraId="7D630D32" w14:textId="77777777" w:rsidR="00DB24E2" w:rsidRPr="00CE5166" w:rsidRDefault="00000000">
      <w:pPr>
        <w:pStyle w:val="BodyText"/>
        <w:rPr>
          <w:rFonts w:ascii="Arial" w:hAnsi="Arial" w:cs="Arial"/>
        </w:rPr>
      </w:pPr>
      <w:r w:rsidRPr="00CE5166">
        <w:rPr>
          <w:rFonts w:ascii="Arial" w:hAnsi="Arial" w:cs="Arial"/>
        </w:rPr>
        <w:t>Yet the market demands customization. Enterprise clients, accustomed to bespoke everything, view standardized security services as inferior, regardless of actual effectiveness. They want their logo on reports, their executives in escalation procedures, their compliance frameworks prioritized. MSSPs face an impossible choice: refuse customization and lose enterprise deals, or accept customization and lose profitability. Most choose a third option—pretend to customize while desperately trying to standardize behind the scenes, satisfying no one.</w:t>
      </w:r>
    </w:p>
    <w:p w14:paraId="7D630D33" w14:textId="77777777" w:rsidR="00DB24E2" w:rsidRPr="00CE5166" w:rsidRDefault="00000000">
      <w:pPr>
        <w:pStyle w:val="Heading2"/>
        <w:rPr>
          <w:rFonts w:ascii="Arial" w:hAnsi="Arial" w:cs="Arial"/>
        </w:rPr>
      </w:pPr>
      <w:bookmarkStart w:id="87" w:name="geographic-complexity-multipliers"/>
      <w:bookmarkStart w:id="88" w:name="_Toc206954694"/>
      <w:r w:rsidRPr="00CE5166">
        <w:rPr>
          <w:rFonts w:ascii="Arial" w:hAnsi="Arial" w:cs="Arial"/>
        </w:rPr>
        <w:t>Geographic Complexity Multipliers</w:t>
      </w:r>
      <w:bookmarkEnd w:id="87"/>
      <w:bookmarkEnd w:id="88"/>
    </w:p>
    <w:p w14:paraId="7D630D34" w14:textId="77777777" w:rsidR="00DB24E2" w:rsidRPr="00CE5166" w:rsidRDefault="00000000">
      <w:pPr>
        <w:pStyle w:val="FirstParagraph"/>
        <w:rPr>
          <w:rFonts w:ascii="Arial" w:hAnsi="Arial" w:cs="Arial"/>
        </w:rPr>
      </w:pPr>
      <w:r w:rsidRPr="00CE5166">
        <w:rPr>
          <w:rFonts w:ascii="Arial" w:hAnsi="Arial" w:cs="Arial"/>
        </w:rPr>
        <w:t>The promise of global security operations—follow-the-sun coverage protecting clients wherever they operate—sounds compelling in sales presentations. Implementation reveals a hydra of complexity, where solving one geographic challenge creates three new ones. Time zones are just the beginning of the nightmare.</w:t>
      </w:r>
    </w:p>
    <w:p w14:paraId="7D630D35" w14:textId="77777777" w:rsidR="00DB24E2" w:rsidRPr="00CE5166" w:rsidRDefault="00000000">
      <w:pPr>
        <w:pStyle w:val="BodyText"/>
        <w:rPr>
          <w:rFonts w:ascii="Arial" w:hAnsi="Arial" w:cs="Arial"/>
        </w:rPr>
      </w:pPr>
      <w:r w:rsidRPr="00CE5166">
        <w:rPr>
          <w:rFonts w:ascii="Arial" w:hAnsi="Arial" w:cs="Arial"/>
        </w:rPr>
        <w:t>Consider regulatory compliance across jurisdictions. A US-based MSSP serving European clients must navigate GDPR, with its 4% of global revenue penalties for violations. Add California’s CCPA, Singapore’s PDPA, and Brazil’s LGPD, and the compliance matrix becomes three-dimensional. Each framework demands different data handling procedures, breach notification timelines, and audit requirements. The overhead adds 15-20% to operational costs per framework (https://www.cyvent.com/post/cybersecurity-msp-market-stats), yet clients expect unified pricing regardless of their geographic complexity.</w:t>
      </w:r>
    </w:p>
    <w:p w14:paraId="7D630D36" w14:textId="77777777" w:rsidR="00DB24E2" w:rsidRPr="00CE5166" w:rsidRDefault="00000000">
      <w:pPr>
        <w:pStyle w:val="BodyText"/>
        <w:rPr>
          <w:rFonts w:ascii="Arial" w:hAnsi="Arial" w:cs="Arial"/>
        </w:rPr>
      </w:pPr>
      <w:r w:rsidRPr="00CE5166">
        <w:rPr>
          <w:rFonts w:ascii="Arial" w:hAnsi="Arial" w:cs="Arial"/>
        </w:rPr>
        <w:t>Language and cultural barriers compound beyond simple translation. A security alert that reads “unusual executive access pattern detected” might indicate a breach in New York but normal business in Tokyo, where executives routinely access systems outside traditional hours. These cultural nuances can’t be automated or proceduralized—they require local knowledge that global MSSPs struggle to maintain. One MSSP reported a 40% false positive rate increase when their Manila SOC began monitoring Japanese clients, not from technical incompetence but from cultural misalignment.</w:t>
      </w:r>
    </w:p>
    <w:p w14:paraId="7D630D37" w14:textId="77777777" w:rsidR="00DB24E2" w:rsidRPr="00CE5166" w:rsidRDefault="00000000">
      <w:pPr>
        <w:pStyle w:val="BodyText"/>
        <w:rPr>
          <w:rFonts w:ascii="Arial" w:hAnsi="Arial" w:cs="Arial"/>
        </w:rPr>
      </w:pPr>
      <w:r w:rsidRPr="00CE5166">
        <w:rPr>
          <w:rFonts w:ascii="Arial" w:hAnsi="Arial" w:cs="Arial"/>
        </w:rPr>
        <w:t>The infrastructure requirements multiply geometrically with geographic expansion. Each region needs data residency compliance, requiring local infrastructure that can’t benefit from centralized economies of scale. Network latency affects real-time monitoring effectiveness. Redundancy requirements mean duplicating expensive infrastructure across regions. An MSSP operating in five regions essentially runs five parallel operations with marginal integration benefits. The promised global leverage becomes global liability.</w:t>
      </w:r>
    </w:p>
    <w:p w14:paraId="7D630D38" w14:textId="77777777" w:rsidR="00DB24E2" w:rsidRPr="00CE5166" w:rsidRDefault="00000000">
      <w:pPr>
        <w:pStyle w:val="Heading2"/>
        <w:rPr>
          <w:rFonts w:ascii="Arial" w:hAnsi="Arial" w:cs="Arial"/>
        </w:rPr>
      </w:pPr>
      <w:bookmarkStart w:id="89" w:name="the-compliance-overhead-catastrophe"/>
      <w:bookmarkStart w:id="90" w:name="_Toc206954695"/>
      <w:r w:rsidRPr="00CE5166">
        <w:rPr>
          <w:rFonts w:ascii="Arial" w:hAnsi="Arial" w:cs="Arial"/>
        </w:rPr>
        <w:t>The Compliance Overhead Catastrophe</w:t>
      </w:r>
      <w:bookmarkEnd w:id="89"/>
      <w:bookmarkEnd w:id="90"/>
    </w:p>
    <w:p w14:paraId="7D630D39" w14:textId="77777777" w:rsidR="00DB24E2" w:rsidRPr="00CE5166" w:rsidRDefault="00000000">
      <w:pPr>
        <w:pStyle w:val="FirstParagraph"/>
        <w:rPr>
          <w:rFonts w:ascii="Arial" w:hAnsi="Arial" w:cs="Arial"/>
        </w:rPr>
      </w:pPr>
      <w:r w:rsidRPr="00CE5166">
        <w:rPr>
          <w:rFonts w:ascii="Arial" w:hAnsi="Arial" w:cs="Arial"/>
        </w:rPr>
        <w:t>Modern businesses don’t just need security—they need proof of security, documented in formats specific to their industry, geography, and corporate governance requirements. This compliance theater transforms MSSPs from security providers into documentation factories, where producing audit reports consumes more resources than preventing breaches.</w:t>
      </w:r>
    </w:p>
    <w:p w14:paraId="7D630D3A" w14:textId="77777777" w:rsidR="00DB24E2" w:rsidRPr="00CE5166" w:rsidRDefault="00000000">
      <w:pPr>
        <w:pStyle w:val="BodyText"/>
        <w:rPr>
          <w:rFonts w:ascii="Arial" w:hAnsi="Arial" w:cs="Arial"/>
        </w:rPr>
      </w:pPr>
      <w:r w:rsidRPr="00CE5166">
        <w:rPr>
          <w:rFonts w:ascii="Arial" w:hAnsi="Arial" w:cs="Arial"/>
        </w:rPr>
        <w:t>The proliferation of compliance frameworks reads like alphabet soup: SOC 2, ISO 27001, PCI DSS, HIPAA, FedRAMP, NIST, CIS, and dozens more. Each framework overlaps 60-70% with others yet requires unique documentation, evidence collection, and reporting formats. An MSSP serving healthcare, financial services, and government clients might need to maintain compliance with a dozen frameworks simultaneously. The overhead is staggering—20% of operational costs for heavily regulated industries (https://www.cyvent.com/post/cybersecurity-msp-market-stats).</w:t>
      </w:r>
    </w:p>
    <w:p w14:paraId="7D630D3B" w14:textId="77777777" w:rsidR="00DB24E2" w:rsidRPr="00CE5166" w:rsidRDefault="00000000">
      <w:pPr>
        <w:pStyle w:val="BodyText"/>
        <w:rPr>
          <w:rFonts w:ascii="Arial" w:hAnsi="Arial" w:cs="Arial"/>
        </w:rPr>
      </w:pPr>
      <w:r w:rsidRPr="00CE5166">
        <w:rPr>
          <w:rFonts w:ascii="Arial" w:hAnsi="Arial" w:cs="Arial"/>
        </w:rPr>
        <w:t>But the real cost isn’t in achieving compliance—it’s in proving it continuously. Auditors demand evidence that controls operated effectively every day, not just during audit season. This means log retention, change documentation, incident tracking, and process attestation that generates terabytes of compliance data for every gigabyte of security telemetry. MSSPs become data hoarders, storing vast archives of proof that they did their jobs, consuming resources that could otherwise improve security.</w:t>
      </w:r>
    </w:p>
    <w:p w14:paraId="7D630D3C" w14:textId="77777777" w:rsidR="00DB24E2" w:rsidRPr="00CE5166" w:rsidRDefault="00000000">
      <w:pPr>
        <w:pStyle w:val="BodyText"/>
        <w:rPr>
          <w:rFonts w:ascii="Arial" w:hAnsi="Arial" w:cs="Arial"/>
        </w:rPr>
      </w:pPr>
      <w:r w:rsidRPr="00CE5166">
        <w:rPr>
          <w:rFonts w:ascii="Arial" w:hAnsi="Arial" w:cs="Arial"/>
        </w:rPr>
        <w:t>The compliance burden falls disproportionately on MSSPs versus in-house security teams. When an enterprise’s internal security team undergoes an audit, they’re proving their own compliance. When an MSSP’s client undergoes an audit, the MSSP must prove compliance for their portion while also helping the client prove overall compliance. It’s double jeopardy—responsibility without authority, liability without control.</w:t>
      </w:r>
    </w:p>
    <w:p w14:paraId="7D630D3D" w14:textId="77777777" w:rsidR="00DB24E2" w:rsidRPr="00CE5166" w:rsidRDefault="00000000">
      <w:pPr>
        <w:pStyle w:val="Heading2"/>
        <w:rPr>
          <w:rFonts w:ascii="Arial" w:hAnsi="Arial" w:cs="Arial"/>
        </w:rPr>
      </w:pPr>
      <w:bookmarkStart w:id="91" w:name="vendor-partnership-parasitism"/>
      <w:bookmarkStart w:id="92" w:name="_Toc206954696"/>
      <w:r w:rsidRPr="00CE5166">
        <w:rPr>
          <w:rFonts w:ascii="Arial" w:hAnsi="Arial" w:cs="Arial"/>
        </w:rPr>
        <w:t>Vendor Partnership Parasitism</w:t>
      </w:r>
      <w:bookmarkEnd w:id="91"/>
      <w:bookmarkEnd w:id="92"/>
    </w:p>
    <w:p w14:paraId="7D630D3E" w14:textId="77777777" w:rsidR="00DB24E2" w:rsidRPr="00CE5166" w:rsidRDefault="00000000">
      <w:pPr>
        <w:pStyle w:val="FirstParagraph"/>
        <w:rPr>
          <w:rFonts w:ascii="Arial" w:hAnsi="Arial" w:cs="Arial"/>
        </w:rPr>
      </w:pPr>
      <w:r w:rsidRPr="00CE5166">
        <w:rPr>
          <w:rFonts w:ascii="Arial" w:hAnsi="Arial" w:cs="Arial"/>
        </w:rPr>
        <w:t>The relationship between MSSPs and security vendors resembles nothing so much as that between remora fish and sharks—if the remora gradually consumed the shark from within. Vendors court MSSPs with partnership programs promising generous margins, exclusive features, and marketing support. The reality proves far less symbiotic.</w:t>
      </w:r>
    </w:p>
    <w:p w14:paraId="7D630D3F" w14:textId="77777777" w:rsidR="00DB24E2" w:rsidRPr="00CE5166" w:rsidRDefault="00000000">
      <w:pPr>
        <w:pStyle w:val="BodyText"/>
        <w:rPr>
          <w:rFonts w:ascii="Arial" w:hAnsi="Arial" w:cs="Arial"/>
        </w:rPr>
      </w:pPr>
      <w:r w:rsidRPr="00CE5166">
        <w:rPr>
          <w:rFonts w:ascii="Arial" w:hAnsi="Arial" w:cs="Arial"/>
        </w:rPr>
        <w:t>Consider the typical vendor partnership economics. A security platform vendor offers MSSPs a 30% discount off list price—seemingly generous until you realize enterprise customers routinely negotiate similar discounts directly. The MSSP adds services atop the platform, but the vendor captures most of the value through licensing fees that scale with usage. As the MSSP grows, they pay more to the vendor while their own margins shrink. It’s sharecropping in the digital age.</w:t>
      </w:r>
    </w:p>
    <w:p w14:paraId="7D630D40" w14:textId="77777777" w:rsidR="00DB24E2" w:rsidRPr="00CE5166" w:rsidRDefault="00000000">
      <w:pPr>
        <w:pStyle w:val="BodyText"/>
        <w:rPr>
          <w:rFonts w:ascii="Arial" w:hAnsi="Arial" w:cs="Arial"/>
        </w:rPr>
      </w:pPr>
      <w:r w:rsidRPr="00CE5166">
        <w:rPr>
          <w:rFonts w:ascii="Arial" w:hAnsi="Arial" w:cs="Arial"/>
        </w:rPr>
        <w:t>Certification requirements create another form of vendor lock-in. Major security vendors demand certified professionals for different partnership tiers, with higher tiers requiring more certifications. These certifications cost $5,000-$10,000 per person, expire every 2-3 years, and become worthless if the MSSP switches vendors. One MSSP calculated they had $2.3 million in vendor certifications across their staff—human capital investment that evaporates if they change platforms.</w:t>
      </w:r>
    </w:p>
    <w:p w14:paraId="7D630D41" w14:textId="77777777" w:rsidR="00DB24E2" w:rsidRPr="00CE5166" w:rsidRDefault="00000000">
      <w:pPr>
        <w:pStyle w:val="BodyText"/>
        <w:rPr>
          <w:rFonts w:ascii="Arial" w:hAnsi="Arial" w:cs="Arial"/>
        </w:rPr>
      </w:pPr>
      <w:r w:rsidRPr="00CE5166">
        <w:rPr>
          <w:rFonts w:ascii="Arial" w:hAnsi="Arial" w:cs="Arial"/>
        </w:rPr>
        <w:t>The innovation tax proves particularly insidious. Vendors constantly release new features—AI-powered this, cloud-native that—which they position as revolutionary advances requiring immediate adoption. MSSPs must either upgrade (requiring retraining, re-integration, and re-certification) or appear obsolete to clients who’ve read the vendor’s marketing materials. The upgrade treadmill never stops, consuming 15-20% of engineering resources just to maintain currency with vendor roadmaps.</w:t>
      </w:r>
    </w:p>
    <w:p w14:paraId="7D630D42" w14:textId="77777777" w:rsidR="00DB24E2" w:rsidRPr="00CE5166" w:rsidRDefault="00000000">
      <w:pPr>
        <w:pStyle w:val="BodyText"/>
        <w:rPr>
          <w:rFonts w:ascii="Arial" w:hAnsi="Arial" w:cs="Arial"/>
        </w:rPr>
      </w:pPr>
      <w:r w:rsidRPr="00CE5166">
        <w:rPr>
          <w:rFonts w:ascii="Arial" w:hAnsi="Arial" w:cs="Arial"/>
        </w:rPr>
        <w:t>Marketing support, prominently featured in partnership pitches, typically amounts to logo placement on vendor websites visited primarily by competitors. Lead sharing programs generate “leads” that are either existing customers or tire-kickers who will never buy. The promised joint go-to-market initiatives materialize as webinars where MSSPs provide customer case studies that primarily benefit the vendor.</w:t>
      </w:r>
    </w:p>
    <w:p w14:paraId="7D630D43" w14:textId="77777777" w:rsidR="00DB24E2" w:rsidRPr="00CE5166" w:rsidRDefault="00000000">
      <w:pPr>
        <w:pStyle w:val="Heading2"/>
        <w:rPr>
          <w:rFonts w:ascii="Arial" w:hAnsi="Arial" w:cs="Arial"/>
        </w:rPr>
      </w:pPr>
      <w:bookmarkStart w:id="93" w:name="the-channel-conflict-conundrum"/>
      <w:bookmarkStart w:id="94" w:name="_Toc206954697"/>
      <w:r w:rsidRPr="00CE5166">
        <w:rPr>
          <w:rFonts w:ascii="Arial" w:hAnsi="Arial" w:cs="Arial"/>
        </w:rPr>
        <w:t>The Channel Conflict Conundrum</w:t>
      </w:r>
      <w:bookmarkEnd w:id="93"/>
      <w:bookmarkEnd w:id="94"/>
    </w:p>
    <w:p w14:paraId="7D630D44" w14:textId="77777777" w:rsidR="00DB24E2" w:rsidRPr="00CE5166" w:rsidRDefault="00000000">
      <w:pPr>
        <w:pStyle w:val="FirstParagraph"/>
        <w:rPr>
          <w:rFonts w:ascii="Arial" w:hAnsi="Arial" w:cs="Arial"/>
        </w:rPr>
      </w:pPr>
      <w:r w:rsidRPr="00CE5166">
        <w:rPr>
          <w:rFonts w:ascii="Arial" w:hAnsi="Arial" w:cs="Arial"/>
        </w:rPr>
        <w:t>Perhaps the ultimate strategic misalignment comes from MSSPs’ position in the value chain—simultaneously partners and competitors to everyone. They partner with security vendors while competing with those vendors’ professional services arms. They partner with systems integrators while competing for the same clients. They partner with enterprises’ internal security teams while potentially replacing them. It’s a strategic house of mirrors where today’s partner becomes tomorrow’s competitor based on deal dynamics invisible to the MSSP.</w:t>
      </w:r>
    </w:p>
    <w:p w14:paraId="7D630D45" w14:textId="77777777" w:rsidR="00DB24E2" w:rsidRPr="00CE5166" w:rsidRDefault="00000000">
      <w:pPr>
        <w:pStyle w:val="BodyText"/>
        <w:rPr>
          <w:rFonts w:ascii="Arial" w:hAnsi="Arial" w:cs="Arial"/>
        </w:rPr>
      </w:pPr>
      <w:r w:rsidRPr="00CE5166">
        <w:rPr>
          <w:rFonts w:ascii="Arial" w:hAnsi="Arial" w:cs="Arial"/>
        </w:rPr>
        <w:t>Vendors exemplify this conflict. They need MSSPs to reach small and medium businesses they can’t serve directly, but they covet the margins MSSPs earn on enterprise deals. The result is channel conflict that manifests in various ways: direct sales teams undercutting MSSP proposals, professional services arms competing for implementation projects, and “strategic accounts” suddenly becoming off-limits to partners. MSSPs invest in vendor relationships only to find themselves frozen out of their best opportunities.</w:t>
      </w:r>
    </w:p>
    <w:p w14:paraId="7D630D46" w14:textId="77777777" w:rsidR="00DB24E2" w:rsidRPr="00CE5166" w:rsidRDefault="00000000">
      <w:pPr>
        <w:pStyle w:val="BodyText"/>
        <w:rPr>
          <w:rFonts w:ascii="Arial" w:hAnsi="Arial" w:cs="Arial"/>
        </w:rPr>
      </w:pPr>
      <w:r w:rsidRPr="00CE5166">
        <w:rPr>
          <w:rFonts w:ascii="Arial" w:hAnsi="Arial" w:cs="Arial"/>
        </w:rPr>
        <w:t>The enterprise market creates its own conflicts. CISOs hiring MSSPs often view them as temporary solutions until they can build internal teams. They demand knowledge transfer, documentation, and process transparency that essentially trains their eventual replacement. MSSPs face a Hobson’s choice: refuse and lose the deal, or accept and train their replacement. Most choose a middle path—appearing to cooperate while maintaining enough operational opacity to remain indispensable. It’s a exhausting dance that satisfies no one.</w:t>
      </w:r>
    </w:p>
    <w:p w14:paraId="7D630D47" w14:textId="77777777" w:rsidR="00DB24E2" w:rsidRPr="00CE5166" w:rsidRDefault="00000000">
      <w:pPr>
        <w:pStyle w:val="Heading2"/>
        <w:rPr>
          <w:rFonts w:ascii="Arial" w:hAnsi="Arial" w:cs="Arial"/>
        </w:rPr>
      </w:pPr>
      <w:bookmarkStart w:id="95" w:name="the-path-through-strategic-clarity"/>
      <w:bookmarkStart w:id="96" w:name="_Toc206954698"/>
      <w:r w:rsidRPr="00CE5166">
        <w:rPr>
          <w:rFonts w:ascii="Arial" w:hAnsi="Arial" w:cs="Arial"/>
        </w:rPr>
        <w:t>The Path Through Strategic Clarity</w:t>
      </w:r>
      <w:bookmarkEnd w:id="95"/>
      <w:bookmarkEnd w:id="96"/>
    </w:p>
    <w:p w14:paraId="7D630D48" w14:textId="77777777" w:rsidR="00DB24E2" w:rsidRPr="00CE5166" w:rsidRDefault="00000000">
      <w:pPr>
        <w:pStyle w:val="FirstParagraph"/>
        <w:rPr>
          <w:rFonts w:ascii="Arial" w:hAnsi="Arial" w:cs="Arial"/>
        </w:rPr>
      </w:pPr>
      <w:r w:rsidRPr="00CE5166">
        <w:rPr>
          <w:rFonts w:ascii="Arial" w:hAnsi="Arial" w:cs="Arial"/>
        </w:rPr>
        <w:t>The most successful MSSPs escape these strategic misalignments through radical clarity about what they are and, more importantly, what they are not. They make hard choices that initially limit growth but ultimately enable profitability.</w:t>
      </w:r>
    </w:p>
    <w:p w14:paraId="7D630D49" w14:textId="77777777" w:rsidR="00DB24E2" w:rsidRPr="00CE5166" w:rsidRDefault="00000000">
      <w:pPr>
        <w:pStyle w:val="BodyText"/>
        <w:rPr>
          <w:rFonts w:ascii="Arial" w:hAnsi="Arial" w:cs="Arial"/>
        </w:rPr>
      </w:pPr>
      <w:r w:rsidRPr="00CE5166">
        <w:rPr>
          <w:rFonts w:ascii="Arial" w:hAnsi="Arial" w:cs="Arial"/>
        </w:rPr>
        <w:t>Arctic Wolf exemplifies this clarity. They refuse customization, full stop. Clients who demand bespoke services receive polite referrals to competitors. They operate their own platform, eliminating vendor conflicts and certification taxes. They focus on mid-market companies that value standardization over customization. These choices limit their addressable market but enable sustainable margins (https://arcticwolf.com/resources/press-releases/arctic-wolf-fastest-growing-vendor-by-revenue-in-2023-according-to-gartner-market-share-security-services-worldwide-2023-research/).</w:t>
      </w:r>
    </w:p>
    <w:p w14:paraId="7D630D4A" w14:textId="77777777" w:rsidR="00DB24E2" w:rsidRPr="00CE5166" w:rsidRDefault="00000000">
      <w:pPr>
        <w:pStyle w:val="BodyText"/>
        <w:rPr>
          <w:rFonts w:ascii="Arial" w:hAnsi="Arial" w:cs="Arial"/>
        </w:rPr>
      </w:pPr>
      <w:r w:rsidRPr="00CE5166">
        <w:rPr>
          <w:rFonts w:ascii="Arial" w:hAnsi="Arial" w:cs="Arial"/>
        </w:rPr>
        <w:t>Geographic focus provides another path to clarity. Instead of chasing global coverage, successful MSSPs dominate specific regions where they understand regulatory requirements, cultural nuances, and market dynamics. They resist the siren song of international expansion until they’ve achieved profitable scale in their core markets. This geographic discipline enables deeper expertise and operational efficiency that global competitors can’t match.</w:t>
      </w:r>
    </w:p>
    <w:p w14:paraId="7D630D4B" w14:textId="77777777" w:rsidR="00DB24E2" w:rsidRPr="00CE5166" w:rsidRDefault="00000000">
      <w:pPr>
        <w:pStyle w:val="BodyText"/>
        <w:rPr>
          <w:rFonts w:ascii="Arial" w:hAnsi="Arial" w:cs="Arial"/>
        </w:rPr>
      </w:pPr>
      <w:r w:rsidRPr="00CE5166">
        <w:rPr>
          <w:rFonts w:ascii="Arial" w:hAnsi="Arial" w:cs="Arial"/>
        </w:rPr>
        <w:t>The most radical strategic alignment comes from MSSPs that refuse the partnership parasitism entirely. They build their own platforms, develop their own tools, and control their own destiny. This requires significant capital investment and technical expertise, but it eliminates the vendor tax that consumes so much industry profit. It’s the difference between renting and owning—higher initial costs but better long-term economics.</w:t>
      </w:r>
    </w:p>
    <w:p w14:paraId="7D630D4C" w14:textId="77777777" w:rsidR="00DB24E2" w:rsidRPr="00CE5166" w:rsidRDefault="00000000">
      <w:pPr>
        <w:pStyle w:val="BodyText"/>
        <w:rPr>
          <w:rFonts w:ascii="Arial" w:hAnsi="Arial" w:cs="Arial"/>
        </w:rPr>
      </w:pPr>
      <w:r w:rsidRPr="00CE5166">
        <w:rPr>
          <w:rFonts w:ascii="Arial" w:hAnsi="Arial" w:cs="Arial"/>
        </w:rPr>
        <w:t>Strategic alignment ultimately requires saying no more often than yes. No to customization that destroys standardization. No to geographic expansion that multiplies complexity. No to compliance frameworks that don’t align with core capabilities. No to vendor partnerships that extract more value than they create. These refusals initially limit growth but ultimately enable something more valuable: sustainable profitability in an industry where most players achieve neither sustainability nor profitability.</w:t>
      </w:r>
    </w:p>
    <w:p w14:paraId="7D630D4D" w14:textId="77777777" w:rsidR="00DB24E2" w:rsidRPr="00CE5166" w:rsidRDefault="00000000">
      <w:pPr>
        <w:pStyle w:val="BodyText"/>
        <w:rPr>
          <w:rFonts w:ascii="Arial" w:hAnsi="Arial" w:cs="Arial"/>
        </w:rPr>
      </w:pPr>
      <w:r w:rsidRPr="00CE5166">
        <w:rPr>
          <w:rFonts w:ascii="Arial" w:hAnsi="Arial" w:cs="Arial"/>
        </w:rPr>
        <w:t>The next chapter examines how leading MSSPs transform these strategic choices into operational reality through automation-first architectures that fundamentally reimagine service delivery rather than simply optimizing existing processes.</w:t>
      </w:r>
    </w:p>
    <w:p w14:paraId="7D630D4E" w14:textId="77777777" w:rsidR="00DB24E2" w:rsidRPr="00CE5166" w:rsidRDefault="00000000">
      <w:pPr>
        <w:rPr>
          <w:rFonts w:ascii="Arial" w:hAnsi="Arial" w:cs="Arial"/>
        </w:rPr>
      </w:pPr>
      <w:r w:rsidRPr="00CE5166">
        <w:rPr>
          <w:rFonts w:ascii="Arial" w:hAnsi="Arial" w:cs="Arial"/>
        </w:rPr>
        <w:pict w14:anchorId="7D630E87">
          <v:rect id="_x0000_i1033" style="width:0;height:1.5pt" o:hralign="center" o:hrstd="t" o:hr="t"/>
        </w:pict>
      </w:r>
    </w:p>
    <w:p w14:paraId="7D630D4F" w14:textId="77777777" w:rsidR="00DB24E2" w:rsidRPr="00CE5166" w:rsidRDefault="00000000">
      <w:pPr>
        <w:pStyle w:val="Heading1"/>
        <w:rPr>
          <w:rFonts w:ascii="Arial" w:hAnsi="Arial" w:cs="Arial"/>
        </w:rPr>
      </w:pPr>
      <w:bookmarkStart w:id="97" w:name="chapter-6-automation-first-architecture"/>
      <w:bookmarkStart w:id="98" w:name="_Toc206954699"/>
      <w:r w:rsidRPr="00CE5166">
        <w:rPr>
          <w:rFonts w:ascii="Arial" w:hAnsi="Arial" w:cs="Arial"/>
        </w:rPr>
        <w:t>Chapter 6: Automation-First Architecture</w:t>
      </w:r>
      <w:bookmarkEnd w:id="97"/>
      <w:bookmarkEnd w:id="98"/>
    </w:p>
    <w:p w14:paraId="7D630D50" w14:textId="77777777" w:rsidR="00DB24E2" w:rsidRPr="00CE5166" w:rsidRDefault="00000000">
      <w:pPr>
        <w:pStyle w:val="FirstParagraph"/>
        <w:rPr>
          <w:rFonts w:ascii="Arial" w:hAnsi="Arial" w:cs="Arial"/>
        </w:rPr>
      </w:pPr>
      <w:r w:rsidRPr="00CE5166">
        <w:rPr>
          <w:rFonts w:ascii="Arial" w:hAnsi="Arial" w:cs="Arial"/>
        </w:rPr>
        <w:t>In 2019, the security operations center at a struggling Denver MSSP resembled a Victorian factory—rows of humans performing repetitive tasks that machines should handle, managers walking the floor to ensure constant activity, and a general atmosphere of industrial-era inefficiency dressed in modern clothing. By 2024, the same SOC had transformed into something unrecognizable: three analysts managing what previously required thirty, alert resolution times dropped from hours to seconds, and false positive rates plummeted from 66% to 5%. The difference? They stopped trying to automate human processes and started designing processes for automation.</w:t>
      </w:r>
    </w:p>
    <w:p w14:paraId="7D630D51" w14:textId="77777777" w:rsidR="00DB24E2" w:rsidRPr="00CE5166" w:rsidRDefault="00000000">
      <w:pPr>
        <w:pStyle w:val="BodyText"/>
        <w:rPr>
          <w:rFonts w:ascii="Arial" w:hAnsi="Arial" w:cs="Arial"/>
        </w:rPr>
      </w:pPr>
      <w:r w:rsidRPr="00CE5166">
        <w:rPr>
          <w:rFonts w:ascii="Arial" w:hAnsi="Arial" w:cs="Arial"/>
        </w:rPr>
        <w:t>This distinction—between automating existing workflows and reimagining workflows around automation—separates the MSSPs achieving 70-80% workload reduction from those claiming automation benefits but showing minimal margin improvement (https://www.msspalert.com/news/d3-security-survey-ties-automation-to-mssp-growth-analyst-wellbeing). It’s the difference between putting a motor on a horse carriage and inventing the automobile. Most MSSPs remain stuck in the carriage-with-motor phase, wondering why their automation investments yield such modest returns.</w:t>
      </w:r>
    </w:p>
    <w:p w14:paraId="7D630D52" w14:textId="77777777" w:rsidR="00DB24E2" w:rsidRPr="00CE5166" w:rsidRDefault="00000000">
      <w:pPr>
        <w:pStyle w:val="Heading2"/>
        <w:rPr>
          <w:rFonts w:ascii="Arial" w:hAnsi="Arial" w:cs="Arial"/>
        </w:rPr>
      </w:pPr>
      <w:bookmarkStart w:id="99" w:name="the-automation-paradox"/>
      <w:bookmarkStart w:id="100" w:name="_Toc206954700"/>
      <w:r w:rsidRPr="00CE5166">
        <w:rPr>
          <w:rFonts w:ascii="Arial" w:hAnsi="Arial" w:cs="Arial"/>
        </w:rPr>
        <w:t>The Automation Paradox</w:t>
      </w:r>
      <w:bookmarkEnd w:id="99"/>
      <w:bookmarkEnd w:id="100"/>
    </w:p>
    <w:p w14:paraId="7D630D53" w14:textId="77777777" w:rsidR="00DB24E2" w:rsidRPr="00CE5166" w:rsidRDefault="00000000">
      <w:pPr>
        <w:pStyle w:val="FirstParagraph"/>
        <w:rPr>
          <w:rFonts w:ascii="Arial" w:hAnsi="Arial" w:cs="Arial"/>
        </w:rPr>
      </w:pPr>
      <w:r w:rsidRPr="00CE5166">
        <w:rPr>
          <w:rFonts w:ascii="Arial" w:hAnsi="Arial" w:cs="Arial"/>
        </w:rPr>
        <w:t>The D3 Security survey delivers seemingly spectacular news: 67% of MSSPs report revenue increases from automation, while 64% see margin improvements (https://www.msspalert.com/news/d3-security-survey-ties-automation-to-mssp-growth-analyst-wellbeing). These numbers suggest an industry successfully automating its way to profitability. The reality proves more complex. When everyone automates the same functions, competitive advantage evaporates. Customers expect lower prices reflecting lower costs. The automation dividend flows to buyers, not sellers.</w:t>
      </w:r>
    </w:p>
    <w:p w14:paraId="7D630D54" w14:textId="77777777" w:rsidR="00DB24E2" w:rsidRPr="00CE5166" w:rsidRDefault="00000000">
      <w:pPr>
        <w:pStyle w:val="BodyText"/>
        <w:rPr>
          <w:rFonts w:ascii="Arial" w:hAnsi="Arial" w:cs="Arial"/>
        </w:rPr>
      </w:pPr>
      <w:r w:rsidRPr="00CE5166">
        <w:rPr>
          <w:rFonts w:ascii="Arial" w:hAnsi="Arial" w:cs="Arial"/>
        </w:rPr>
        <w:t>Consider what most MSSPs automate: log collection, alert correlation, ticket creation, basic enrichment. These are table stakes, not differentiators. It’s like airlines automating check-in kiosks—necessary for survival but hardly a source of competitive advantage. The real automation opportunity lies not in doing existing things faster but in doing fundamentally different things that weren’t possible with human-centric operations.</w:t>
      </w:r>
    </w:p>
    <w:p w14:paraId="7D630D55" w14:textId="77777777" w:rsidR="00DB24E2" w:rsidRPr="00CE5166" w:rsidRDefault="00000000">
      <w:pPr>
        <w:pStyle w:val="BodyText"/>
        <w:rPr>
          <w:rFonts w:ascii="Arial" w:hAnsi="Arial" w:cs="Arial"/>
        </w:rPr>
      </w:pPr>
      <w:r w:rsidRPr="00CE5166">
        <w:rPr>
          <w:rFonts w:ascii="Arial" w:hAnsi="Arial" w:cs="Arial"/>
        </w:rPr>
        <w:t>The automation-first leaders understand this distinction. They don’t ask “How can we automate this analyst task?” but rather “If we had unlimited automation, how would we design this process?” The answers diverge radically from traditional approaches. Instead of analysts investigating alerts that automation pre-filters, automation investigates everything while analysts handle only the irreducibly human decisions. Instead of automation assisting humans, humans assist automation.</w:t>
      </w:r>
    </w:p>
    <w:p w14:paraId="7D630D56" w14:textId="77777777" w:rsidR="00DB24E2" w:rsidRPr="00CE5166" w:rsidRDefault="00000000">
      <w:pPr>
        <w:pStyle w:val="Heading2"/>
        <w:rPr>
          <w:rFonts w:ascii="Arial" w:hAnsi="Arial" w:cs="Arial"/>
        </w:rPr>
      </w:pPr>
      <w:bookmarkStart w:id="101" w:name="X6b01ad7dd38297b2028f9e6ffdc088c533c7727"/>
      <w:bookmarkStart w:id="102" w:name="_Toc206954701"/>
      <w:r w:rsidRPr="00CE5166">
        <w:rPr>
          <w:rFonts w:ascii="Arial" w:hAnsi="Arial" w:cs="Arial"/>
        </w:rPr>
        <w:t>From 66% to 5%: The False Positive Revolution</w:t>
      </w:r>
      <w:bookmarkEnd w:id="101"/>
      <w:bookmarkEnd w:id="102"/>
    </w:p>
    <w:p w14:paraId="7D630D57" w14:textId="77777777" w:rsidR="00DB24E2" w:rsidRPr="00CE5166" w:rsidRDefault="00000000">
      <w:pPr>
        <w:pStyle w:val="FirstParagraph"/>
        <w:rPr>
          <w:rFonts w:ascii="Arial" w:hAnsi="Arial" w:cs="Arial"/>
        </w:rPr>
      </w:pPr>
      <w:r w:rsidRPr="00CE5166">
        <w:rPr>
          <w:rFonts w:ascii="Arial" w:hAnsi="Arial" w:cs="Arial"/>
        </w:rPr>
        <w:t>Nothing illustrates automation’s transformative potential better than false positive reduction. The industry average 66% false positive rate represents more than wasted effort—it’s a fundamental breakdown in security operations (https://www.paloaltonetworks.com/blog/2020/01/cortex-soc-metrics/). When two-thirds of alerts are noise, analysts develop alarm fatigue, real threats hide in the chaos, and the entire security operation degrades into expensive theater.</w:t>
      </w:r>
    </w:p>
    <w:p w14:paraId="7D630D58" w14:textId="77777777" w:rsidR="00DB24E2" w:rsidRPr="00CE5166" w:rsidRDefault="00000000">
      <w:pPr>
        <w:pStyle w:val="BodyText"/>
        <w:rPr>
          <w:rFonts w:ascii="Arial" w:hAnsi="Arial" w:cs="Arial"/>
        </w:rPr>
      </w:pPr>
      <w:r w:rsidRPr="00CE5166">
        <w:rPr>
          <w:rFonts w:ascii="Arial" w:hAnsi="Arial" w:cs="Arial"/>
        </w:rPr>
        <w:t>Traditional approaches to false positive reduction involve tuning—adjusting thresholds, creating exceptions, maintaining ever-growing whitelists. It’s a Sisyphean task that never ends because the underlying problem isn’t threshold settings but the primitive nature of signature-based detection. An unusual login from Romania triggers an alert regardless of whether the user is a traveling executive or an actual attacker. The system lacks context, nuance, and learning capability.</w:t>
      </w:r>
    </w:p>
    <w:p w14:paraId="7D630D59" w14:textId="77777777" w:rsidR="00DB24E2" w:rsidRPr="00CE5166" w:rsidRDefault="00000000">
      <w:pPr>
        <w:pStyle w:val="BodyText"/>
        <w:rPr>
          <w:rFonts w:ascii="Arial" w:hAnsi="Arial" w:cs="Arial"/>
        </w:rPr>
      </w:pPr>
      <w:r w:rsidRPr="00CE5166">
        <w:rPr>
          <w:rFonts w:ascii="Arial" w:hAnsi="Arial" w:cs="Arial"/>
        </w:rPr>
        <w:t>Automation-first architectures attack this problem differently. Instead of better tuning, they implement contextual analysis that would be impossible for humans to perform at scale. Is this Romanian login from a device previously associated with the user? Has the user’s calendar indicated travel? Are they accessing systems consistent with their role? Have similar patterns appeared across other accounts suggesting systematic reconnaissance? This contextual enrichment happens in milliseconds, transforming a suspicious event into a risk-scored decision.</w:t>
      </w:r>
    </w:p>
    <w:p w14:paraId="7D630D5A" w14:textId="77777777" w:rsidR="00DB24E2" w:rsidRPr="00CE5166" w:rsidRDefault="00000000">
      <w:pPr>
        <w:pStyle w:val="BodyText"/>
        <w:rPr>
          <w:rFonts w:ascii="Arial" w:hAnsi="Arial" w:cs="Arial"/>
        </w:rPr>
      </w:pPr>
      <w:r w:rsidRPr="00CE5166">
        <w:rPr>
          <w:rFonts w:ascii="Arial" w:hAnsi="Arial" w:cs="Arial"/>
        </w:rPr>
        <w:t>The leaders achieving 5% false positive rates don’t just filter better—they fundamentally reimagine detection. Arctic Wolf’s platform, for instance, baselines every customer environment, learning what “normal” looks like before declaring anything abnormal (https://arcticwolf.com/resources/press-releases/arctic-wolf-fastest-growing-vendor-by-revenue-in-2023-according-to-gartner-market-share-security-services-worldwide-2023-research/). This requires processing power and pattern recognition beyond human capability but trivial for properly designed automation. The result isn’t just fewer false positives but better detection of actual threats that signature-based systems miss.</w:t>
      </w:r>
    </w:p>
    <w:p w14:paraId="7D630D5B" w14:textId="77777777" w:rsidR="00DB24E2" w:rsidRPr="00CE5166" w:rsidRDefault="00000000">
      <w:pPr>
        <w:pStyle w:val="Heading2"/>
        <w:rPr>
          <w:rFonts w:ascii="Arial" w:hAnsi="Arial" w:cs="Arial"/>
        </w:rPr>
      </w:pPr>
      <w:bookmarkStart w:id="103" w:name="the-end-to-end-transformation"/>
      <w:bookmarkStart w:id="104" w:name="_Toc206954702"/>
      <w:r w:rsidRPr="00CE5166">
        <w:rPr>
          <w:rFonts w:ascii="Arial" w:hAnsi="Arial" w:cs="Arial"/>
        </w:rPr>
        <w:t>The End-to-End Transformation</w:t>
      </w:r>
      <w:bookmarkEnd w:id="103"/>
      <w:bookmarkEnd w:id="104"/>
    </w:p>
    <w:p w14:paraId="7D630D5C" w14:textId="77777777" w:rsidR="00DB24E2" w:rsidRPr="00CE5166" w:rsidRDefault="00000000">
      <w:pPr>
        <w:pStyle w:val="FirstParagraph"/>
        <w:rPr>
          <w:rFonts w:ascii="Arial" w:hAnsi="Arial" w:cs="Arial"/>
        </w:rPr>
      </w:pPr>
      <w:r w:rsidRPr="00CE5166">
        <w:rPr>
          <w:rFonts w:ascii="Arial" w:hAnsi="Arial" w:cs="Arial"/>
        </w:rPr>
        <w:t>Most MSSPs automate in silos—a script here, a playbook there, islands of efficiency in an ocean of manual process. This piecemeal approach yields marginal improvements while maintaining fundamental inefficiencies. Automation-first architectures take a different approach: end-to-end process transformation that reimagines entire workflows rather than optimizing individual tasks.</w:t>
      </w:r>
    </w:p>
    <w:p w14:paraId="7D630D5D" w14:textId="77777777" w:rsidR="00DB24E2" w:rsidRPr="00CE5166" w:rsidRDefault="00000000">
      <w:pPr>
        <w:pStyle w:val="BodyText"/>
        <w:rPr>
          <w:rFonts w:ascii="Arial" w:hAnsi="Arial" w:cs="Arial"/>
        </w:rPr>
      </w:pPr>
      <w:r w:rsidRPr="00CE5166">
        <w:rPr>
          <w:rFonts w:ascii="Arial" w:hAnsi="Arial" w:cs="Arial"/>
        </w:rPr>
        <w:t>Consider incident response, traditionally a human-intensive process involving alert triage, investigation, containment, eradication, and recovery. Each step might be partially automated, but humans still connect the pieces, make decisions, and handle exceptions. An automation-first approach designs the entire chain for autonomous operation. Alerts trigger automated investigation that enriches context, correlates related events, and determines impact. Containment actions execute automatically based on pre-defined risk thresholds. Eradication follows proven playbooks without human intervention. Recovery proceeds through automated validation and testing.</w:t>
      </w:r>
    </w:p>
    <w:p w14:paraId="7D630D5E" w14:textId="77777777" w:rsidR="00DB24E2" w:rsidRPr="00CE5166" w:rsidRDefault="00000000">
      <w:pPr>
        <w:pStyle w:val="BodyText"/>
        <w:rPr>
          <w:rFonts w:ascii="Arial" w:hAnsi="Arial" w:cs="Arial"/>
        </w:rPr>
      </w:pPr>
      <w:r w:rsidRPr="00CE5166">
        <w:rPr>
          <w:rFonts w:ascii="Arial" w:hAnsi="Arial" w:cs="Arial"/>
        </w:rPr>
        <w:t>Humans don’t disappear from this process—they elevate. Instead of performing routine tasks, they define policies, review edge cases, and handle the truly complex incidents that require judgment and creativity. It’s the difference between a pilot flying a plane manually and managing automated flight systems that handle routine operations while the pilot focuses on strategy and exceptions.</w:t>
      </w:r>
    </w:p>
    <w:p w14:paraId="7D630D5F" w14:textId="77777777" w:rsidR="00DB24E2" w:rsidRPr="00CE5166" w:rsidRDefault="00000000">
      <w:pPr>
        <w:pStyle w:val="BodyText"/>
        <w:rPr>
          <w:rFonts w:ascii="Arial" w:hAnsi="Arial" w:cs="Arial"/>
        </w:rPr>
      </w:pPr>
      <w:r w:rsidRPr="00CE5166">
        <w:rPr>
          <w:rFonts w:ascii="Arial" w:hAnsi="Arial" w:cs="Arial"/>
        </w:rPr>
        <w:t>This end-to-end transformation requires fundamental architectural changes. Traditional security stacks, built from dozens of point solutions, resist comprehensive automation. Each tool has its own API, data format, and operational paradigm. Connecting them requires complex integration that breaks with every vendor update. Automation-first architectures consolidate around platforms designed for automation from the ground up, where integration is native rather than bolted on.</w:t>
      </w:r>
    </w:p>
    <w:p w14:paraId="7D630D60" w14:textId="77777777" w:rsidR="00DB24E2" w:rsidRPr="00CE5166" w:rsidRDefault="00000000">
      <w:pPr>
        <w:pStyle w:val="Heading2"/>
        <w:rPr>
          <w:rFonts w:ascii="Arial" w:hAnsi="Arial" w:cs="Arial"/>
        </w:rPr>
      </w:pPr>
      <w:bookmarkStart w:id="105" w:name="the-ai-layer-revolution"/>
      <w:bookmarkStart w:id="106" w:name="_Toc206954703"/>
      <w:r w:rsidRPr="00CE5166">
        <w:rPr>
          <w:rFonts w:ascii="Arial" w:hAnsi="Arial" w:cs="Arial"/>
        </w:rPr>
        <w:t>The AI Layer Revolution</w:t>
      </w:r>
      <w:bookmarkEnd w:id="105"/>
      <w:bookmarkEnd w:id="106"/>
    </w:p>
    <w:p w14:paraId="7D630D61" w14:textId="77777777" w:rsidR="00DB24E2" w:rsidRPr="00CE5166" w:rsidRDefault="00000000">
      <w:pPr>
        <w:pStyle w:val="FirstParagraph"/>
        <w:rPr>
          <w:rFonts w:ascii="Arial" w:hAnsi="Arial" w:cs="Arial"/>
        </w:rPr>
      </w:pPr>
      <w:r w:rsidRPr="00CE5166">
        <w:rPr>
          <w:rFonts w:ascii="Arial" w:hAnsi="Arial" w:cs="Arial"/>
        </w:rPr>
        <w:t>The latest wave of automation transcends traditional scripting and orchestration, incorporating artificial intelligence that learns, adapts, and improves. This isn’t the marketing AI that vendors splash across every product but genuine machine learning that transforms security operations from reactive to predictive.</w:t>
      </w:r>
    </w:p>
    <w:p w14:paraId="7D630D62" w14:textId="77777777" w:rsidR="00DB24E2" w:rsidRPr="00CE5166" w:rsidRDefault="00000000">
      <w:pPr>
        <w:pStyle w:val="BodyText"/>
        <w:rPr>
          <w:rFonts w:ascii="Arial" w:hAnsi="Arial" w:cs="Arial"/>
        </w:rPr>
      </w:pPr>
      <w:r w:rsidRPr="00CE5166">
        <w:rPr>
          <w:rFonts w:ascii="Arial" w:hAnsi="Arial" w:cs="Arial"/>
        </w:rPr>
        <w:t>Consider alert prioritization. Traditional systems use static rules—critical systems get priority, certain attack types rank higher, executive accounts receive special attention. These rules, no matter how sophisticated, remain brittle and exploitable. AI-based prioritization learns from outcomes. Which alerts led to actual incidents? Which patterns preceded breaches? Which investigations proved fruitless? The system continuously refines its understanding, becoming more accurate over time without human intervention.</w:t>
      </w:r>
    </w:p>
    <w:p w14:paraId="7D630D63" w14:textId="77777777" w:rsidR="00DB24E2" w:rsidRPr="00CE5166" w:rsidRDefault="00000000">
      <w:pPr>
        <w:pStyle w:val="BodyText"/>
        <w:rPr>
          <w:rFonts w:ascii="Arial" w:hAnsi="Arial" w:cs="Arial"/>
        </w:rPr>
      </w:pPr>
      <w:r w:rsidRPr="00CE5166">
        <w:rPr>
          <w:rFonts w:ascii="Arial" w:hAnsi="Arial" w:cs="Arial"/>
        </w:rPr>
        <w:t>Natural language processing enables another transformation: the democratization of security expertise. Instead of analysts learning complex query languages and navigating multiple interfaces, they interact with systems through natural language. “Show me all unusual database access in the past week” becomes a simple request rather than a complex SQL query across multiple systems. This seemingly simple capability dramatically reduces training time and improves analyst effectiveness.</w:t>
      </w:r>
    </w:p>
    <w:p w14:paraId="7D630D64" w14:textId="77777777" w:rsidR="00DB24E2" w:rsidRPr="00CE5166" w:rsidRDefault="00000000">
      <w:pPr>
        <w:pStyle w:val="BodyText"/>
        <w:rPr>
          <w:rFonts w:ascii="Arial" w:hAnsi="Arial" w:cs="Arial"/>
        </w:rPr>
      </w:pPr>
      <w:r w:rsidRPr="00CE5166">
        <w:rPr>
          <w:rFonts w:ascii="Arial" w:hAnsi="Arial" w:cs="Arial"/>
        </w:rPr>
        <w:t>But the real AI revolution comes from predictive analytics that identify threats before they manifest. By analyzing patterns across thousands of environments, AI can identify subtle indicators that precede attacks. A particular combination of reconnaissance activities, privilege escalations, and data staging that individually appear benign but collectively signal impending exfiltration. No human analyst could identify these patterns across the volume of data involved, but AI thrives on such correlation at scale.</w:t>
      </w:r>
    </w:p>
    <w:p w14:paraId="7D630D65" w14:textId="77777777" w:rsidR="00DB24E2" w:rsidRPr="00CE5166" w:rsidRDefault="00000000">
      <w:pPr>
        <w:pStyle w:val="Heading2"/>
        <w:rPr>
          <w:rFonts w:ascii="Arial" w:hAnsi="Arial" w:cs="Arial"/>
        </w:rPr>
      </w:pPr>
      <w:bookmarkStart w:id="107" w:name="the-platform-imperative"/>
      <w:bookmarkStart w:id="108" w:name="_Toc206954704"/>
      <w:r w:rsidRPr="00CE5166">
        <w:rPr>
          <w:rFonts w:ascii="Arial" w:hAnsi="Arial" w:cs="Arial"/>
        </w:rPr>
        <w:t>The Platform Imperative</w:t>
      </w:r>
      <w:bookmarkEnd w:id="107"/>
      <w:bookmarkEnd w:id="108"/>
    </w:p>
    <w:p w14:paraId="7D630D66" w14:textId="77777777" w:rsidR="00DB24E2" w:rsidRPr="00CE5166" w:rsidRDefault="00000000">
      <w:pPr>
        <w:pStyle w:val="FirstParagraph"/>
        <w:rPr>
          <w:rFonts w:ascii="Arial" w:hAnsi="Arial" w:cs="Arial"/>
        </w:rPr>
      </w:pPr>
      <w:r w:rsidRPr="00CE5166">
        <w:rPr>
          <w:rFonts w:ascii="Arial" w:hAnsi="Arial" w:cs="Arial"/>
        </w:rPr>
        <w:t>Automation-first architecture demands platform thinking rather than tool accumulation. The traditional MSSP technology stack—twenty-plus point solutions held together with integration platforms and hope—cannot support comprehensive automation. Each additional tool multiplies complexity, creates new failure points, and limits automation potential.</w:t>
      </w:r>
    </w:p>
    <w:p w14:paraId="7D630D67" w14:textId="77777777" w:rsidR="00DB24E2" w:rsidRPr="00CE5166" w:rsidRDefault="00000000">
      <w:pPr>
        <w:pStyle w:val="BodyText"/>
        <w:rPr>
          <w:rFonts w:ascii="Arial" w:hAnsi="Arial" w:cs="Arial"/>
        </w:rPr>
      </w:pPr>
      <w:r w:rsidRPr="00CE5166">
        <w:rPr>
          <w:rFonts w:ascii="Arial" w:hAnsi="Arial" w:cs="Arial"/>
        </w:rPr>
        <w:t>Leading MSSPs consolidate around unified platforms that provide integrated capabilities rather than federated tools. These platforms share common data models, unified workflows, and native automation capabilities. When every component speaks the same language and shares the same assumptions, automation becomes natural rather than forced.</w:t>
      </w:r>
    </w:p>
    <w:p w14:paraId="7D630D68" w14:textId="77777777" w:rsidR="00DB24E2" w:rsidRPr="00CE5166" w:rsidRDefault="00000000">
      <w:pPr>
        <w:pStyle w:val="BodyText"/>
        <w:rPr>
          <w:rFonts w:ascii="Arial" w:hAnsi="Arial" w:cs="Arial"/>
        </w:rPr>
      </w:pPr>
      <w:r w:rsidRPr="00CE5166">
        <w:rPr>
          <w:rFonts w:ascii="Arial" w:hAnsi="Arial" w:cs="Arial"/>
        </w:rPr>
        <w:t>Arctic Wolf built their entire business on this platform principle, refusing to support customer tool preferences in favor of their unified platform (https://arcticwolf.com/resources/press-releases/arctic-wolf-fastest-growing-vendor-by-revenue-in-2023-according-to-gartner-market-share-security-services-worldwide-2023-research/). This decision initially limited their addressable market but enabled automation capabilities that fragmented competitors couldn’t match. The platform processes billions of events daily, correlates threats across customers, and improves detection through collective intelligence—capabilities impossible with traditional tool-centric approaches.</w:t>
      </w:r>
    </w:p>
    <w:p w14:paraId="7D630D69" w14:textId="77777777" w:rsidR="00DB24E2" w:rsidRPr="00CE5166" w:rsidRDefault="00000000">
      <w:pPr>
        <w:pStyle w:val="BodyText"/>
        <w:rPr>
          <w:rFonts w:ascii="Arial" w:hAnsi="Arial" w:cs="Arial"/>
        </w:rPr>
      </w:pPr>
      <w:r w:rsidRPr="00CE5166">
        <w:rPr>
          <w:rFonts w:ascii="Arial" w:hAnsi="Arial" w:cs="Arial"/>
        </w:rPr>
        <w:t>The platform advantage extends beyond technical capabilities to economic benefits. Instead of paying twenty vendors for overlapping capabilities, platform-centric MSSPs negotiate single contracts with predictable costs. Instead of training analysts on dozens of tools, they master one platform deeply. Instead of maintaining complex integrations, they focus on service delivery. The operational simplification alone justifies the platform approach, even before considering automation benefits.</w:t>
      </w:r>
    </w:p>
    <w:p w14:paraId="7D630D6A" w14:textId="77777777" w:rsidR="00DB24E2" w:rsidRPr="00CE5166" w:rsidRDefault="00000000">
      <w:pPr>
        <w:pStyle w:val="Heading2"/>
        <w:rPr>
          <w:rFonts w:ascii="Arial" w:hAnsi="Arial" w:cs="Arial"/>
        </w:rPr>
      </w:pPr>
      <w:bookmarkStart w:id="109" w:name="the-human-machine-partnership"/>
      <w:bookmarkStart w:id="110" w:name="_Toc206954705"/>
      <w:r w:rsidRPr="00CE5166">
        <w:rPr>
          <w:rFonts w:ascii="Arial" w:hAnsi="Arial" w:cs="Arial"/>
        </w:rPr>
        <w:t>The Human-Machine Partnership</w:t>
      </w:r>
      <w:bookmarkEnd w:id="109"/>
      <w:bookmarkEnd w:id="110"/>
    </w:p>
    <w:p w14:paraId="7D630D6B" w14:textId="77777777" w:rsidR="00DB24E2" w:rsidRPr="00CE5166" w:rsidRDefault="00000000">
      <w:pPr>
        <w:pStyle w:val="FirstParagraph"/>
        <w:rPr>
          <w:rFonts w:ascii="Arial" w:hAnsi="Arial" w:cs="Arial"/>
        </w:rPr>
      </w:pPr>
      <w:r w:rsidRPr="00CE5166">
        <w:rPr>
          <w:rFonts w:ascii="Arial" w:hAnsi="Arial" w:cs="Arial"/>
        </w:rPr>
        <w:t>Automation-first doesn’t mean human-free. The most successful implementations recognize that humans and machines excel at different tasks, designing systems that amplify human capabilities rather than replacing them. Machines handle volume, speed, and correlation. Humans provide context, creativity, and judgment. The combination proves more powerful than either alone.</w:t>
      </w:r>
    </w:p>
    <w:p w14:paraId="7D630D6C" w14:textId="77777777" w:rsidR="00DB24E2" w:rsidRPr="00CE5166" w:rsidRDefault="00000000">
      <w:pPr>
        <w:pStyle w:val="BodyText"/>
        <w:rPr>
          <w:rFonts w:ascii="Arial" w:hAnsi="Arial" w:cs="Arial"/>
        </w:rPr>
      </w:pPr>
      <w:r w:rsidRPr="00CE5166">
        <w:rPr>
          <w:rFonts w:ascii="Arial" w:hAnsi="Arial" w:cs="Arial"/>
        </w:rPr>
        <w:t>This partnership requires rethinking analyst roles. Traditional SOC analysts are alert processors—human components in a detection and response pipeline. In automated environments, they become security engineers, automation architects, and exception handlers. They don’t investigate every alert but design investigation procedures. They don’t contain every incident but define containment policies. They don’t chase false positives but tune systems to eliminate them entirely.</w:t>
      </w:r>
    </w:p>
    <w:p w14:paraId="7D630D6D" w14:textId="77777777" w:rsidR="00DB24E2" w:rsidRPr="00CE5166" w:rsidRDefault="00000000">
      <w:pPr>
        <w:pStyle w:val="BodyText"/>
        <w:rPr>
          <w:rFonts w:ascii="Arial" w:hAnsi="Arial" w:cs="Arial"/>
        </w:rPr>
      </w:pPr>
      <w:r w:rsidRPr="00CE5166">
        <w:rPr>
          <w:rFonts w:ascii="Arial" w:hAnsi="Arial" w:cs="Arial"/>
        </w:rPr>
        <w:t>The psychological impact proves as important as the operational change. Analysts freed from mind-numbing alert processing engage in more meaningful work. They hunt for threats proactively rather than reactively. They improve security posture rather than maintaining status quo. Job satisfaction increases, turnover decreases, and service quality improves. The 70% three-year turnover rate that plagues traditional SOCs drops to 30% or less in automation-first environments (https://www.msspalert.com/news/d3-security-survey-ties-automation-to-mssp-growth-analyst-wellbeing).</w:t>
      </w:r>
    </w:p>
    <w:p w14:paraId="7D630D6E" w14:textId="77777777" w:rsidR="00DB24E2" w:rsidRPr="00CE5166" w:rsidRDefault="00000000">
      <w:pPr>
        <w:pStyle w:val="Heading2"/>
        <w:rPr>
          <w:rFonts w:ascii="Arial" w:hAnsi="Arial" w:cs="Arial"/>
        </w:rPr>
      </w:pPr>
      <w:bookmarkStart w:id="111" w:name="the-implementation-reality"/>
      <w:bookmarkStart w:id="112" w:name="_Toc206954706"/>
      <w:r w:rsidRPr="00CE5166">
        <w:rPr>
          <w:rFonts w:ascii="Arial" w:hAnsi="Arial" w:cs="Arial"/>
        </w:rPr>
        <w:t>The Implementation Reality</w:t>
      </w:r>
      <w:bookmarkEnd w:id="111"/>
      <w:bookmarkEnd w:id="112"/>
    </w:p>
    <w:p w14:paraId="7D630D6F" w14:textId="77777777" w:rsidR="00DB24E2" w:rsidRPr="00CE5166" w:rsidRDefault="00000000">
      <w:pPr>
        <w:pStyle w:val="FirstParagraph"/>
        <w:rPr>
          <w:rFonts w:ascii="Arial" w:hAnsi="Arial" w:cs="Arial"/>
        </w:rPr>
      </w:pPr>
      <w:r w:rsidRPr="00CE5166">
        <w:rPr>
          <w:rFonts w:ascii="Arial" w:hAnsi="Arial" w:cs="Arial"/>
        </w:rPr>
        <w:t>Building automation-first architecture requires more than technology investment—it demands organizational transformation. Processes designed for humans must be reimagined for machines. Metrics focused on human activity must shift to outcome measurement. Cultures built around heroic manual intervention must evolve to value systematic improvement.</w:t>
      </w:r>
    </w:p>
    <w:p w14:paraId="7D630D70" w14:textId="77777777" w:rsidR="00DB24E2" w:rsidRPr="00CE5166" w:rsidRDefault="00000000">
      <w:pPr>
        <w:pStyle w:val="BodyText"/>
        <w:rPr>
          <w:rFonts w:ascii="Arial" w:hAnsi="Arial" w:cs="Arial"/>
        </w:rPr>
      </w:pPr>
      <w:r w:rsidRPr="00CE5166">
        <w:rPr>
          <w:rFonts w:ascii="Arial" w:hAnsi="Arial" w:cs="Arial"/>
        </w:rPr>
        <w:t>The transformation typically requires 18-24 months and $2-5 million in platform investment, training, and process redesign. Many MSSPs balk at these numbers, preferring incremental improvements that seem less risky. This incremental approach, however, yields incremental results. The 70-80% workload reduction that transforms economics requires comprehensive transformation, not marginal optimization.</w:t>
      </w:r>
    </w:p>
    <w:p w14:paraId="7D630D71" w14:textId="77777777" w:rsidR="00DB24E2" w:rsidRPr="00CE5166" w:rsidRDefault="00000000">
      <w:pPr>
        <w:pStyle w:val="BodyText"/>
        <w:rPr>
          <w:rFonts w:ascii="Arial" w:hAnsi="Arial" w:cs="Arial"/>
        </w:rPr>
      </w:pPr>
      <w:r w:rsidRPr="00CE5166">
        <w:rPr>
          <w:rFonts w:ascii="Arial" w:hAnsi="Arial" w:cs="Arial"/>
        </w:rPr>
        <w:t>Successful transformations follow predictable patterns. They start with platform consolidation, reducing tool sprawl that prevents comprehensive automation. They redesign processes for automation, rather than automating existing processes. They invest in analyst retraining, transforming alert processors into automation engineers. They adjust metrics from activity (alerts processed) to outcomes (threats prevented). Most critically, they maintain transformation discipline despite the inevitable resistance from those comfortable with current approaches.</w:t>
      </w:r>
    </w:p>
    <w:p w14:paraId="7D630D72" w14:textId="77777777" w:rsidR="00DB24E2" w:rsidRPr="00CE5166" w:rsidRDefault="00000000">
      <w:pPr>
        <w:pStyle w:val="BodyText"/>
        <w:rPr>
          <w:rFonts w:ascii="Arial" w:hAnsi="Arial" w:cs="Arial"/>
        </w:rPr>
      </w:pPr>
      <w:r w:rsidRPr="00CE5166">
        <w:rPr>
          <w:rFonts w:ascii="Arial" w:hAnsi="Arial" w:cs="Arial"/>
        </w:rPr>
        <w:t>The results justify the investment. MSSPs achieving comprehensive automation report 50% gross margin improvements, 60% reduction in mean time to respond, and 90% analyst satisfaction rates. Customer satisfaction increases as service quality improves and costs decrease. The virtuous cycle of automation—better service at lower cost enabling growth and investment—replaces the vicious cycle of manual operations that constrains the industry.</w:t>
      </w:r>
    </w:p>
    <w:p w14:paraId="7D630D73" w14:textId="77777777" w:rsidR="00DB24E2" w:rsidRPr="00CE5166" w:rsidRDefault="00000000">
      <w:pPr>
        <w:pStyle w:val="BodyText"/>
        <w:rPr>
          <w:rFonts w:ascii="Arial" w:hAnsi="Arial" w:cs="Arial"/>
        </w:rPr>
      </w:pPr>
      <w:r w:rsidRPr="00CE5166">
        <w:rPr>
          <w:rFonts w:ascii="Arial" w:hAnsi="Arial" w:cs="Arial"/>
        </w:rPr>
        <w:t>The next chapter examines how MSSPs translate these operational capabilities into sustainable business models through pricing innovation, service tiering, and value capture strategies that escape the commodity trap plaguing the industry.</w:t>
      </w:r>
    </w:p>
    <w:p w14:paraId="7D630D74" w14:textId="77777777" w:rsidR="00DB24E2" w:rsidRPr="00CE5166" w:rsidRDefault="00000000">
      <w:pPr>
        <w:rPr>
          <w:rFonts w:ascii="Arial" w:hAnsi="Arial" w:cs="Arial"/>
        </w:rPr>
      </w:pPr>
      <w:r w:rsidRPr="00CE5166">
        <w:rPr>
          <w:rFonts w:ascii="Arial" w:hAnsi="Arial" w:cs="Arial"/>
        </w:rPr>
        <w:pict w14:anchorId="7D630E88">
          <v:rect id="_x0000_i1034" style="width:0;height:1.5pt" o:hralign="center" o:hrstd="t" o:hr="t"/>
        </w:pict>
      </w:r>
    </w:p>
    <w:p w14:paraId="7D630D75" w14:textId="77777777" w:rsidR="00DB24E2" w:rsidRPr="00CE5166" w:rsidRDefault="00000000">
      <w:pPr>
        <w:pStyle w:val="Heading1"/>
        <w:rPr>
          <w:rFonts w:ascii="Arial" w:hAnsi="Arial" w:cs="Arial"/>
        </w:rPr>
      </w:pPr>
      <w:bookmarkStart w:id="113" w:name="chapter-7-business-model-innovation"/>
      <w:bookmarkStart w:id="114" w:name="_Toc206954707"/>
      <w:r w:rsidRPr="00CE5166">
        <w:rPr>
          <w:rFonts w:ascii="Arial" w:hAnsi="Arial" w:cs="Arial"/>
        </w:rPr>
        <w:t>Chapter 7: Business Model Innovation</w:t>
      </w:r>
      <w:bookmarkEnd w:id="113"/>
      <w:bookmarkEnd w:id="114"/>
    </w:p>
    <w:p w14:paraId="7D630D76" w14:textId="77777777" w:rsidR="00DB24E2" w:rsidRPr="00CE5166" w:rsidRDefault="00000000">
      <w:pPr>
        <w:pStyle w:val="FirstParagraph"/>
        <w:rPr>
          <w:rFonts w:ascii="Arial" w:hAnsi="Arial" w:cs="Arial"/>
        </w:rPr>
      </w:pPr>
      <w:r w:rsidRPr="00CE5166">
        <w:rPr>
          <w:rFonts w:ascii="Arial" w:hAnsi="Arial" w:cs="Arial"/>
        </w:rPr>
        <w:t>When ReliaQuest’s CEO Brian Murphy stood before investors in 2023, he made a declaration that would have been heresy at any MSSP conference: “We don’t sell security monitoring. We sell sleep.” This wasn’t marketing fluff but a fundamental reconception of what MSSPs actually provide. While competitors raced to the bottom with per-device pricing, ReliaQuest charged for peace of mind—and commanded premium prices that others could only dream about. Their outcome-based model, charging for risk reduction rather than alert processing, generated margins that proved one thing definitively: the commodity trap plaguing MSSPs is self-imposed, not market-mandated.</w:t>
      </w:r>
    </w:p>
    <w:p w14:paraId="7D630D77" w14:textId="77777777" w:rsidR="00DB24E2" w:rsidRPr="00CE5166" w:rsidRDefault="00000000">
      <w:pPr>
        <w:pStyle w:val="BodyText"/>
        <w:rPr>
          <w:rFonts w:ascii="Arial" w:hAnsi="Arial" w:cs="Arial"/>
        </w:rPr>
      </w:pPr>
      <w:r w:rsidRPr="00CE5166">
        <w:rPr>
          <w:rFonts w:ascii="Arial" w:hAnsi="Arial" w:cs="Arial"/>
        </w:rPr>
        <w:t>The traditional MSSP pricing model—charging by devices monitored, gigabytes ingested, or users protected—represents a spectacular misunderstanding of value creation. It’s equivalent to Michelin-starred restaurants charging by the pound of ingredients or McKinsey billing by the weight of PowerPoint decks. The absurdity is obvious, yet the practice persists, trapping MSSPs in a commodity pricing death spiral that benefits no one except procurement departments with spreadsheets to fill.</w:t>
      </w:r>
    </w:p>
    <w:p w14:paraId="7D630D78" w14:textId="77777777" w:rsidR="00DB24E2" w:rsidRPr="00CE5166" w:rsidRDefault="00000000">
      <w:pPr>
        <w:pStyle w:val="Heading2"/>
        <w:rPr>
          <w:rFonts w:ascii="Arial" w:hAnsi="Arial" w:cs="Arial"/>
        </w:rPr>
      </w:pPr>
      <w:bookmarkStart w:id="115" w:name="the-outcome-revolution"/>
      <w:bookmarkStart w:id="116" w:name="_Toc206954708"/>
      <w:r w:rsidRPr="00CE5166">
        <w:rPr>
          <w:rFonts w:ascii="Arial" w:hAnsi="Arial" w:cs="Arial"/>
        </w:rPr>
        <w:t>The Outcome Revolution</w:t>
      </w:r>
      <w:bookmarkEnd w:id="115"/>
      <w:bookmarkEnd w:id="116"/>
    </w:p>
    <w:p w14:paraId="7D630D79" w14:textId="77777777" w:rsidR="00DB24E2" w:rsidRPr="00CE5166" w:rsidRDefault="00000000">
      <w:pPr>
        <w:pStyle w:val="FirstParagraph"/>
        <w:rPr>
          <w:rFonts w:ascii="Arial" w:hAnsi="Arial" w:cs="Arial"/>
        </w:rPr>
      </w:pPr>
      <w:r w:rsidRPr="00CE5166">
        <w:rPr>
          <w:rFonts w:ascii="Arial" w:hAnsi="Arial" w:cs="Arial"/>
        </w:rPr>
        <w:t>Outcome-based pricing sounds revolutionary only because the industry has so thoroughly internalized its dysfunction. Instead of charging for inputs (devices) or activities (monitoring), progressive MSSPs charge for results: reduced incidents, improved compliance scores, faster recovery times, lower breach probability. The shift from activity to outcome transforms both economics and relationships.</w:t>
      </w:r>
    </w:p>
    <w:p w14:paraId="7D630D7A" w14:textId="77777777" w:rsidR="00DB24E2" w:rsidRPr="00CE5166" w:rsidRDefault="00000000">
      <w:pPr>
        <w:pStyle w:val="BodyText"/>
        <w:rPr>
          <w:rFonts w:ascii="Arial" w:hAnsi="Arial" w:cs="Arial"/>
        </w:rPr>
      </w:pPr>
      <w:r w:rsidRPr="00CE5166">
        <w:rPr>
          <w:rFonts w:ascii="Arial" w:hAnsi="Arial" w:cs="Arial"/>
        </w:rPr>
        <w:t>Consider the mathematics. Traditional per-device pricing might yield $50 monthly per endpoint, regardless of whether that endpoint belongs to a CEO or cafeteria worker. Outcome-based pricing for “executive asset protection” commands $5,000 monthly for comprehensive protection of C-suite digital assets—same technical service, 100x price difference. The distinction? Framing the value in business terms rather than technical metrics.</w:t>
      </w:r>
    </w:p>
    <w:p w14:paraId="7D630D7B" w14:textId="77777777" w:rsidR="00DB24E2" w:rsidRPr="00CE5166" w:rsidRDefault="00000000">
      <w:pPr>
        <w:pStyle w:val="BodyText"/>
        <w:rPr>
          <w:rFonts w:ascii="Arial" w:hAnsi="Arial" w:cs="Arial"/>
        </w:rPr>
      </w:pPr>
      <w:r w:rsidRPr="00CE5166">
        <w:rPr>
          <w:rFonts w:ascii="Arial" w:hAnsi="Arial" w:cs="Arial"/>
        </w:rPr>
        <w:t>Radiant Security’s analysis reveals that outcome-based models outperform traditional pricing by 2-3x in margin terms (https://radiantsecurity.ai/learn/mssp-pricing-models/). This isn’t price gouging but value alignment. When MSSPs charge for risk reduction, they’re incentivized to actually reduce risk rather than simply process alerts. When they charge for compliance achievement, they focus on achieving compliance rather than generating reports. The alignment of incentives transforms adversarial vendor relationships into genuine partnerships.</w:t>
      </w:r>
    </w:p>
    <w:p w14:paraId="7D630D7C" w14:textId="77777777" w:rsidR="00DB24E2" w:rsidRPr="00CE5166" w:rsidRDefault="00000000">
      <w:pPr>
        <w:pStyle w:val="BodyText"/>
        <w:rPr>
          <w:rFonts w:ascii="Arial" w:hAnsi="Arial" w:cs="Arial"/>
        </w:rPr>
      </w:pPr>
      <w:r w:rsidRPr="00CE5166">
        <w:rPr>
          <w:rFonts w:ascii="Arial" w:hAnsi="Arial" w:cs="Arial"/>
        </w:rPr>
        <w:t>The implementation requires sophisticated measurement and confident salesmanship. MSSPs must quantify risk reduction, demonstrate compliance improvement, and prove value in terms executives understand. This demands capabilities beyond traditional security operations—business acumen, risk modeling, and communication skills that translate technical achievements into business value. Not every MSSP can make this transition, which is precisely why those that do command premium prices.</w:t>
      </w:r>
    </w:p>
    <w:p w14:paraId="7D630D7D" w14:textId="77777777" w:rsidR="00DB24E2" w:rsidRPr="00CE5166" w:rsidRDefault="00000000">
      <w:pPr>
        <w:pStyle w:val="Heading2"/>
        <w:rPr>
          <w:rFonts w:ascii="Arial" w:hAnsi="Arial" w:cs="Arial"/>
        </w:rPr>
      </w:pPr>
      <w:bookmarkStart w:id="117" w:name="the-tiering-transformation"/>
      <w:bookmarkStart w:id="118" w:name="_Toc206954709"/>
      <w:r w:rsidRPr="00CE5166">
        <w:rPr>
          <w:rFonts w:ascii="Arial" w:hAnsi="Arial" w:cs="Arial"/>
        </w:rPr>
        <w:t>The Tiering Transformation</w:t>
      </w:r>
      <w:bookmarkEnd w:id="117"/>
      <w:bookmarkEnd w:id="118"/>
    </w:p>
    <w:p w14:paraId="7D630D7E" w14:textId="77777777" w:rsidR="00DB24E2" w:rsidRPr="00CE5166" w:rsidRDefault="00000000">
      <w:pPr>
        <w:pStyle w:val="FirstParagraph"/>
        <w:rPr>
          <w:rFonts w:ascii="Arial" w:hAnsi="Arial" w:cs="Arial"/>
        </w:rPr>
      </w:pPr>
      <w:r w:rsidRPr="00CE5166">
        <w:rPr>
          <w:rFonts w:ascii="Arial" w:hAnsi="Arial" w:cs="Arial"/>
        </w:rPr>
        <w:t>Service tiering seems like business school basics—good, better, best options that segment customers by willingness to pay. Yet most MSSPs implement tiering so poorly they might as well offer a single service. The typical bronze, silver, gold packages differ only in response times and report frequency—distinctions so marginal that customers either buy the cheapest or negotiate custom packages that destroy standardization benefits.</w:t>
      </w:r>
    </w:p>
    <w:p w14:paraId="7D630D7F" w14:textId="77777777" w:rsidR="00DB24E2" w:rsidRPr="00CE5166" w:rsidRDefault="00000000">
      <w:pPr>
        <w:pStyle w:val="BodyText"/>
        <w:rPr>
          <w:rFonts w:ascii="Arial" w:hAnsi="Arial" w:cs="Arial"/>
        </w:rPr>
      </w:pPr>
      <w:r w:rsidRPr="00CE5166">
        <w:rPr>
          <w:rFonts w:ascii="Arial" w:hAnsi="Arial" w:cs="Arial"/>
        </w:rPr>
        <w:t>Effective tiering creates fundamentally different service experiences that justify exponential price differences. Bronze tier might offer automated threat detection with self-service remediation—essentially SaaS with a human fallback. Silver adds managed response and expert guidance. Gold provides dedicated analysts and proactive threat hunting. Platinum delivers virtual CISO services and board-level reporting. Each tier serves different customer segments with different value propositions and different economics.</w:t>
      </w:r>
    </w:p>
    <w:p w14:paraId="7D630D80" w14:textId="77777777" w:rsidR="00DB24E2" w:rsidRPr="00CE5166" w:rsidRDefault="00000000">
      <w:pPr>
        <w:pStyle w:val="BodyText"/>
        <w:rPr>
          <w:rFonts w:ascii="Arial" w:hAnsi="Arial" w:cs="Arial"/>
        </w:rPr>
      </w:pPr>
      <w:r w:rsidRPr="00CE5166">
        <w:rPr>
          <w:rFonts w:ascii="Arial" w:hAnsi="Arial" w:cs="Arial"/>
        </w:rPr>
        <w:t>The key insight: lower tiers should be more profitable than higher ones. This inverts traditional thinking where premium services generate premium margins. But bronze tier, highly automated with minimal human touch, can achieve 60% gross margins. Platinum tier, with dedicated experts and high-touch service, might yield 30% margins despite 10x higher prices. The portfolio approach—many bronze customers funding fewer platinum relationships—creates sustainable economics.</w:t>
      </w:r>
    </w:p>
    <w:p w14:paraId="7D630D81" w14:textId="77777777" w:rsidR="00DB24E2" w:rsidRPr="00CE5166" w:rsidRDefault="00000000">
      <w:pPr>
        <w:pStyle w:val="BodyText"/>
        <w:rPr>
          <w:rFonts w:ascii="Arial" w:hAnsi="Arial" w:cs="Arial"/>
        </w:rPr>
      </w:pPr>
      <w:r w:rsidRPr="00CE5166">
        <w:rPr>
          <w:rFonts w:ascii="Arial" w:hAnsi="Arial" w:cs="Arial"/>
        </w:rPr>
        <w:t>Arctic Wolf exemplifies this model, offering standardized tiers that customers cannot customize (https://arcticwolf.com/solutions/managed-detection-and-response/). Their refusal to negotiate might seem arrogant, but it enables the standardization necessary for automation and profitability. Customers who demand customization are politely directed to competitors who will gladly lose money serving them.</w:t>
      </w:r>
    </w:p>
    <w:p w14:paraId="7D630D82" w14:textId="77777777" w:rsidR="00DB24E2" w:rsidRPr="00CE5166" w:rsidRDefault="00000000">
      <w:pPr>
        <w:pStyle w:val="Heading2"/>
        <w:rPr>
          <w:rFonts w:ascii="Arial" w:hAnsi="Arial" w:cs="Arial"/>
        </w:rPr>
      </w:pPr>
      <w:bookmarkStart w:id="119" w:name="industry-specialization-premiums"/>
      <w:bookmarkStart w:id="120" w:name="_Toc206954710"/>
      <w:r w:rsidRPr="00CE5166">
        <w:rPr>
          <w:rFonts w:ascii="Arial" w:hAnsi="Arial" w:cs="Arial"/>
        </w:rPr>
        <w:t>Industry Specialization Premiums</w:t>
      </w:r>
      <w:bookmarkEnd w:id="119"/>
      <w:bookmarkEnd w:id="120"/>
    </w:p>
    <w:p w14:paraId="7D630D83" w14:textId="77777777" w:rsidR="00DB24E2" w:rsidRPr="00CE5166" w:rsidRDefault="00000000">
      <w:pPr>
        <w:pStyle w:val="FirstParagraph"/>
        <w:rPr>
          <w:rFonts w:ascii="Arial" w:hAnsi="Arial" w:cs="Arial"/>
        </w:rPr>
      </w:pPr>
      <w:r w:rsidRPr="00CE5166">
        <w:rPr>
          <w:rFonts w:ascii="Arial" w:hAnsi="Arial" w:cs="Arial"/>
        </w:rPr>
        <w:t>The horizontal MSSP—serving everyone from pizza shops to power plants—faces inevitable commoditization. Without industry expertise, they compete solely on price and features, a race to the bottom that no one wins. Industry specialization offers escape from this trap, enabling premium pricing through demonstrated expertise and specialized capabilities.</w:t>
      </w:r>
    </w:p>
    <w:p w14:paraId="7D630D84" w14:textId="77777777" w:rsidR="00DB24E2" w:rsidRPr="00CE5166" w:rsidRDefault="00000000">
      <w:pPr>
        <w:pStyle w:val="BodyText"/>
        <w:rPr>
          <w:rFonts w:ascii="Arial" w:hAnsi="Arial" w:cs="Arial"/>
        </w:rPr>
      </w:pPr>
      <w:r w:rsidRPr="00CE5166">
        <w:rPr>
          <w:rFonts w:ascii="Arial" w:hAnsi="Arial" w:cs="Arial"/>
        </w:rPr>
        <w:t>Healthcare MSSPs command 40% price premiums by combining security operations with HIPAA expertise, medical device knowledge, and healthcare-specific threat intelligence. They don’t just monitor networks; they understand electronic health records, medical device vulnerabilities, and healthcare-specific attack patterns. This specialization justifies premium pricing while actually reducing service delivery costs through standardization around industry-specific requirements.</w:t>
      </w:r>
    </w:p>
    <w:p w14:paraId="7D630D85" w14:textId="77777777" w:rsidR="00DB24E2" w:rsidRPr="00CE5166" w:rsidRDefault="00000000">
      <w:pPr>
        <w:pStyle w:val="BodyText"/>
        <w:rPr>
          <w:rFonts w:ascii="Arial" w:hAnsi="Arial" w:cs="Arial"/>
        </w:rPr>
      </w:pPr>
      <w:r w:rsidRPr="00CE5166">
        <w:rPr>
          <w:rFonts w:ascii="Arial" w:hAnsi="Arial" w:cs="Arial"/>
        </w:rPr>
        <w:t>Financial services specialization yields even higher premiums. Banks don’t just need security; they need transaction monitoring, fraud detection, regulatory compliance, and audit support. MSSPs that combine these capabilities command prices that general-purpose providers can’t approach. One specialized MSSP reported average contract values of $85,000 monthly for financial services clients versus $12,000 for general enterprise—same headcount, 7x revenue.</w:t>
      </w:r>
    </w:p>
    <w:p w14:paraId="7D630D86" w14:textId="77777777" w:rsidR="00DB24E2" w:rsidRPr="00CE5166" w:rsidRDefault="00000000">
      <w:pPr>
        <w:pStyle w:val="BodyText"/>
        <w:rPr>
          <w:rFonts w:ascii="Arial" w:hAnsi="Arial" w:cs="Arial"/>
        </w:rPr>
      </w:pPr>
      <w:r w:rsidRPr="00CE5166">
        <w:rPr>
          <w:rFonts w:ascii="Arial" w:hAnsi="Arial" w:cs="Arial"/>
        </w:rPr>
        <w:t>The specialization advantage compounds through network effects. Each new client in an industry improves threat intelligence for all clients in that industry. Attack patterns recognized at one regional bank prevent breaches at others. Compliance frameworks developed for one healthcare system apply to all. The collective intelligence creates value that generalist MSSPs cannot replicate, justifying premium prices while reducing per-client costs.</w:t>
      </w:r>
    </w:p>
    <w:p w14:paraId="7D630D87" w14:textId="77777777" w:rsidR="00DB24E2" w:rsidRPr="00CE5166" w:rsidRDefault="00000000">
      <w:pPr>
        <w:pStyle w:val="Heading2"/>
        <w:rPr>
          <w:rFonts w:ascii="Arial" w:hAnsi="Arial" w:cs="Arial"/>
        </w:rPr>
      </w:pPr>
      <w:bookmarkStart w:id="121" w:name="the-co-managed-revolution"/>
      <w:bookmarkStart w:id="122" w:name="_Toc206954711"/>
      <w:r w:rsidRPr="00CE5166">
        <w:rPr>
          <w:rFonts w:ascii="Arial" w:hAnsi="Arial" w:cs="Arial"/>
        </w:rPr>
        <w:t>The Co-Managed Revolution</w:t>
      </w:r>
      <w:bookmarkEnd w:id="121"/>
      <w:bookmarkEnd w:id="122"/>
    </w:p>
    <w:p w14:paraId="7D630D88" w14:textId="77777777" w:rsidR="00DB24E2" w:rsidRPr="00CE5166" w:rsidRDefault="00000000">
      <w:pPr>
        <w:pStyle w:val="FirstParagraph"/>
        <w:rPr>
          <w:rFonts w:ascii="Arial" w:hAnsi="Arial" w:cs="Arial"/>
        </w:rPr>
      </w:pPr>
      <w:r w:rsidRPr="00CE5166">
        <w:rPr>
          <w:rFonts w:ascii="Arial" w:hAnsi="Arial" w:cs="Arial"/>
        </w:rPr>
        <w:t>The traditional MSSP model assumes binary responsibility—either the MSSP handles security or the client does. This ignores the messy reality where most enterprises have some security capabilities but need help with specific functions. Co-managed security services split responsibilities based on capabilities, creating partnerships that leverage both parties’ strengths.</w:t>
      </w:r>
    </w:p>
    <w:p w14:paraId="7D630D89" w14:textId="77777777" w:rsidR="00DB24E2" w:rsidRPr="00CE5166" w:rsidRDefault="00000000">
      <w:pPr>
        <w:pStyle w:val="BodyText"/>
        <w:rPr>
          <w:rFonts w:ascii="Arial" w:hAnsi="Arial" w:cs="Arial"/>
        </w:rPr>
      </w:pPr>
      <w:r w:rsidRPr="00CE5166">
        <w:rPr>
          <w:rFonts w:ascii="Arial" w:hAnsi="Arial" w:cs="Arial"/>
        </w:rPr>
        <w:t>The co-managed model transforms economics by eliminating the most expensive aspects of traditional managed services. Clients handle routine tasks they’re equipped for—password resets, basic investigations, policy updates. MSSPs focus on specialized functions requiring expertise or scale—threat hunting, incident response, security architecture. This division of labor reduces MSSP costs while maintaining premium pricing for specialized expertise.</w:t>
      </w:r>
    </w:p>
    <w:p w14:paraId="7D630D8A" w14:textId="77777777" w:rsidR="00DB24E2" w:rsidRPr="00CE5166" w:rsidRDefault="00000000">
      <w:pPr>
        <w:pStyle w:val="BodyText"/>
        <w:rPr>
          <w:rFonts w:ascii="Arial" w:hAnsi="Arial" w:cs="Arial"/>
        </w:rPr>
      </w:pPr>
      <w:r w:rsidRPr="00CE5166">
        <w:rPr>
          <w:rFonts w:ascii="Arial" w:hAnsi="Arial" w:cs="Arial"/>
        </w:rPr>
        <w:t>Microsoft’s research shows co-managed models growing at 35% annually, faster than traditional managed services (https://www.channelfutures.com/msp-501/msp-501-winners-say-security-is-their-fastest-growing-service). The appeal is obvious: enterprises maintain control while accessing expertise, MSSPs reduce operational burden while maintaining margins. It’s a rare win-win in an industry characterized by zero-sum thinking.</w:t>
      </w:r>
    </w:p>
    <w:p w14:paraId="7D630D8B" w14:textId="77777777" w:rsidR="00DB24E2" w:rsidRPr="00CE5166" w:rsidRDefault="00000000">
      <w:pPr>
        <w:pStyle w:val="BodyText"/>
        <w:rPr>
          <w:rFonts w:ascii="Arial" w:hAnsi="Arial" w:cs="Arial"/>
        </w:rPr>
      </w:pPr>
      <w:r w:rsidRPr="00CE5166">
        <w:rPr>
          <w:rFonts w:ascii="Arial" w:hAnsi="Arial" w:cs="Arial"/>
        </w:rPr>
        <w:t>The implementation challenges traditional MSSP operations designed for complete control. Co-managed services require APIs for integration, documentation for knowledge transfer, and flexibility for varying client capabilities. These requirements favor platform-based MSSPs over tool-aggregators, accelerating industry bifurcation between modern platforms and legacy operations.</w:t>
      </w:r>
    </w:p>
    <w:p w14:paraId="7D630D8C" w14:textId="77777777" w:rsidR="00DB24E2" w:rsidRPr="00CE5166" w:rsidRDefault="00000000">
      <w:pPr>
        <w:pStyle w:val="Heading2"/>
        <w:rPr>
          <w:rFonts w:ascii="Arial" w:hAnsi="Arial" w:cs="Arial"/>
        </w:rPr>
      </w:pPr>
      <w:bookmarkStart w:id="123" w:name="subscription-economics-mastery"/>
      <w:bookmarkStart w:id="124" w:name="_Toc206954712"/>
      <w:r w:rsidRPr="00CE5166">
        <w:rPr>
          <w:rFonts w:ascii="Arial" w:hAnsi="Arial" w:cs="Arial"/>
        </w:rPr>
        <w:t>Subscription Economics Mastery</w:t>
      </w:r>
      <w:bookmarkEnd w:id="123"/>
      <w:bookmarkEnd w:id="124"/>
    </w:p>
    <w:p w14:paraId="7D630D8D" w14:textId="77777777" w:rsidR="00DB24E2" w:rsidRPr="00CE5166" w:rsidRDefault="00000000">
      <w:pPr>
        <w:pStyle w:val="FirstParagraph"/>
        <w:rPr>
          <w:rFonts w:ascii="Arial" w:hAnsi="Arial" w:cs="Arial"/>
        </w:rPr>
      </w:pPr>
      <w:r w:rsidRPr="00CE5166">
        <w:rPr>
          <w:rFonts w:ascii="Arial" w:hAnsi="Arial" w:cs="Arial"/>
        </w:rPr>
        <w:t>The transition from project-based to subscription revenue transformed the software industry, enabling predictable revenue, improved valuations, and sustainable growth. MSSPs theoretically operate on subscription models, but most haven’t mastered subscription economics, treating monthly contracts like repeated projects rather than renewable revenue streams.</w:t>
      </w:r>
    </w:p>
    <w:p w14:paraId="7D630D8E" w14:textId="77777777" w:rsidR="00DB24E2" w:rsidRPr="00CE5166" w:rsidRDefault="00000000">
      <w:pPr>
        <w:pStyle w:val="BodyText"/>
        <w:rPr>
          <w:rFonts w:ascii="Arial" w:hAnsi="Arial" w:cs="Arial"/>
        </w:rPr>
      </w:pPr>
      <w:r w:rsidRPr="00CE5166">
        <w:rPr>
          <w:rFonts w:ascii="Arial" w:hAnsi="Arial" w:cs="Arial"/>
        </w:rPr>
        <w:t>True subscription economics require three elements: predictable revenue, negative churn, and efficient acquisition. Most MSSPs achieve the first but fail at the second and third. They maintain steady monthly revenues but lose 12-15% of customers annually while spending $45,000 to acquire replacements (https://www.klipfolio.com/resources/kpi-examples/saas/customer-lifetime-value-to-customer-acquisition-cost). It’s a leaking bucket they continuously refill at enormous cost.</w:t>
      </w:r>
    </w:p>
    <w:p w14:paraId="7D630D8F" w14:textId="77777777" w:rsidR="00DB24E2" w:rsidRPr="00CE5166" w:rsidRDefault="00000000">
      <w:pPr>
        <w:pStyle w:val="BodyText"/>
        <w:rPr>
          <w:rFonts w:ascii="Arial" w:hAnsi="Arial" w:cs="Arial"/>
        </w:rPr>
      </w:pPr>
      <w:r w:rsidRPr="00CE5166">
        <w:rPr>
          <w:rFonts w:ascii="Arial" w:hAnsi="Arial" w:cs="Arial"/>
        </w:rPr>
        <w:t>Negative churn—where revenue from existing customers grows faster than losses from departures—transforms MSSP economics. This requires systematic account expansion through service additions, price increases, and scope growth. Leading MSSPs achieve 115% net revenue retention, meaning existing customer revenue grows 15% annually after accounting for churn. This organic growth costs nothing to acquire, dropping straight to bottom-line margins.</w:t>
      </w:r>
    </w:p>
    <w:p w14:paraId="7D630D90" w14:textId="77777777" w:rsidR="00DB24E2" w:rsidRPr="00CE5166" w:rsidRDefault="00000000">
      <w:pPr>
        <w:pStyle w:val="BodyText"/>
        <w:rPr>
          <w:rFonts w:ascii="Arial" w:hAnsi="Arial" w:cs="Arial"/>
        </w:rPr>
      </w:pPr>
      <w:r w:rsidRPr="00CE5166">
        <w:rPr>
          <w:rFonts w:ascii="Arial" w:hAnsi="Arial" w:cs="Arial"/>
        </w:rPr>
        <w:t>The key to negative churn is landing and expanding rather than selling everything upfront. Start with basic monitoring, add threat hunting, include compliance support, layer on incident response. Each addition deepens the relationship, increases switching costs, and improves margins. Customers who start at $5,000 monthly often reach $20,000 within two years—4x revenue from zero acquisition cost.</w:t>
      </w:r>
    </w:p>
    <w:p w14:paraId="7D630D91" w14:textId="77777777" w:rsidR="00DB24E2" w:rsidRPr="00CE5166" w:rsidRDefault="00000000">
      <w:pPr>
        <w:pStyle w:val="Heading2"/>
        <w:rPr>
          <w:rFonts w:ascii="Arial" w:hAnsi="Arial" w:cs="Arial"/>
        </w:rPr>
      </w:pPr>
      <w:bookmarkStart w:id="125" w:name="value-stacking-strategies"/>
      <w:bookmarkStart w:id="126" w:name="_Toc206954713"/>
      <w:r w:rsidRPr="00CE5166">
        <w:rPr>
          <w:rFonts w:ascii="Arial" w:hAnsi="Arial" w:cs="Arial"/>
        </w:rPr>
        <w:t>Value Stacking Strategies</w:t>
      </w:r>
      <w:bookmarkEnd w:id="125"/>
      <w:bookmarkEnd w:id="126"/>
    </w:p>
    <w:p w14:paraId="7D630D92" w14:textId="77777777" w:rsidR="00DB24E2" w:rsidRPr="00CE5166" w:rsidRDefault="00000000">
      <w:pPr>
        <w:pStyle w:val="FirstParagraph"/>
        <w:rPr>
          <w:rFonts w:ascii="Arial" w:hAnsi="Arial" w:cs="Arial"/>
        </w:rPr>
      </w:pPr>
      <w:r w:rsidRPr="00CE5166">
        <w:rPr>
          <w:rFonts w:ascii="Arial" w:hAnsi="Arial" w:cs="Arial"/>
        </w:rPr>
        <w:t>The most innovative MSSPs escape commodity pricing through value stacking—bundling complementary services that multiply value while minimizing incremental costs. Instead of selling security monitoring alone, they combine monitoring, compliance management, cyber insurance, and incident response into comprehensive packages that command premium prices.</w:t>
      </w:r>
    </w:p>
    <w:p w14:paraId="7D630D93" w14:textId="77777777" w:rsidR="00DB24E2" w:rsidRPr="00CE5166" w:rsidRDefault="00000000">
      <w:pPr>
        <w:pStyle w:val="BodyText"/>
        <w:rPr>
          <w:rFonts w:ascii="Arial" w:hAnsi="Arial" w:cs="Arial"/>
        </w:rPr>
      </w:pPr>
      <w:r w:rsidRPr="00CE5166">
        <w:rPr>
          <w:rFonts w:ascii="Arial" w:hAnsi="Arial" w:cs="Arial"/>
        </w:rPr>
        <w:t>Consider the cyber insurance angle. MSSPs that partner with insurance providers can offer reduced premiums to clients using their services. The insurance company benefits from reduced claims, the client saves on premiums, and the MSSP justifies higher prices through tangible savings. One MSSP reported that clients saved an average of $50,000 annually on cyber insurance—savings that justified $30,000 in additional security spending.</w:t>
      </w:r>
    </w:p>
    <w:p w14:paraId="7D630D94" w14:textId="77777777" w:rsidR="00DB24E2" w:rsidRPr="00CE5166" w:rsidRDefault="00000000">
      <w:pPr>
        <w:pStyle w:val="BodyText"/>
        <w:rPr>
          <w:rFonts w:ascii="Arial" w:hAnsi="Arial" w:cs="Arial"/>
        </w:rPr>
      </w:pPr>
      <w:r w:rsidRPr="00CE5166">
        <w:rPr>
          <w:rFonts w:ascii="Arial" w:hAnsi="Arial" w:cs="Arial"/>
        </w:rPr>
        <w:t>Compliance-as-a-service adds another value layer. Instead of just supporting compliance, MSSPs can guarantee it, assuming liability for compliance failures. This risk transfer commands tremendous premiums—companies gladly pay 2-3x more for guaranteed compliance than compliance support. The MSSP’s actual risk is minimal if they properly manage security, but the value to risk-averse executives is enormous.</w:t>
      </w:r>
    </w:p>
    <w:p w14:paraId="7D630D95" w14:textId="77777777" w:rsidR="00DB24E2" w:rsidRPr="00CE5166" w:rsidRDefault="00000000">
      <w:pPr>
        <w:pStyle w:val="BodyText"/>
        <w:rPr>
          <w:rFonts w:ascii="Arial" w:hAnsi="Arial" w:cs="Arial"/>
        </w:rPr>
      </w:pPr>
      <w:r w:rsidRPr="00CE5166">
        <w:rPr>
          <w:rFonts w:ascii="Arial" w:hAnsi="Arial" w:cs="Arial"/>
        </w:rPr>
        <w:t>Training and awareness programs provide high-margin additions with minimal delivery costs. An MSSP that adds security awareness training might charge $1,000 monthly for services costing $100 to deliver—90% margins on pure value-add. These auxiliary services don’t just improve margins; they deepen relationships and increase retention.</w:t>
      </w:r>
    </w:p>
    <w:p w14:paraId="7D630D96" w14:textId="77777777" w:rsidR="00DB24E2" w:rsidRPr="00CE5166" w:rsidRDefault="00000000">
      <w:pPr>
        <w:pStyle w:val="Heading2"/>
        <w:rPr>
          <w:rFonts w:ascii="Arial" w:hAnsi="Arial" w:cs="Arial"/>
        </w:rPr>
      </w:pPr>
      <w:bookmarkStart w:id="127" w:name="the-platform-monetization-play"/>
      <w:bookmarkStart w:id="128" w:name="_Toc206954714"/>
      <w:r w:rsidRPr="00CE5166">
        <w:rPr>
          <w:rFonts w:ascii="Arial" w:hAnsi="Arial" w:cs="Arial"/>
        </w:rPr>
        <w:t>The Platform Monetization Play</w:t>
      </w:r>
      <w:bookmarkEnd w:id="127"/>
      <w:bookmarkEnd w:id="128"/>
    </w:p>
    <w:p w14:paraId="7D630D97" w14:textId="77777777" w:rsidR="00DB24E2" w:rsidRPr="00CE5166" w:rsidRDefault="00000000">
      <w:pPr>
        <w:pStyle w:val="FirstParagraph"/>
        <w:rPr>
          <w:rFonts w:ascii="Arial" w:hAnsi="Arial" w:cs="Arial"/>
        </w:rPr>
      </w:pPr>
      <w:r w:rsidRPr="00CE5166">
        <w:rPr>
          <w:rFonts w:ascii="Arial" w:hAnsi="Arial" w:cs="Arial"/>
        </w:rPr>
        <w:t>The boldest business model innovation comes from MSSPs that stop selling services entirely, instead licensing their platforms to enterprises or smaller MSSPs. This platform monetization strategy transforms MSSPs from service providers to technology companies, with corresponding improvements in margins, multiples, and scalability.</w:t>
      </w:r>
    </w:p>
    <w:p w14:paraId="7D630D98" w14:textId="77777777" w:rsidR="00DB24E2" w:rsidRPr="00CE5166" w:rsidRDefault="00000000">
      <w:pPr>
        <w:pStyle w:val="BodyText"/>
        <w:rPr>
          <w:rFonts w:ascii="Arial" w:hAnsi="Arial" w:cs="Arial"/>
        </w:rPr>
      </w:pPr>
      <w:r w:rsidRPr="00CE5166">
        <w:rPr>
          <w:rFonts w:ascii="Arial" w:hAnsi="Arial" w:cs="Arial"/>
        </w:rPr>
        <w:t>Arctic Wolf’s platform approach enables smaller MSSPs to offer enterprise-grade services without building infrastructure (https://arcticwolf.com/resources/press-releases/arctic-wolf-fastest-growing-vendor-by-revenue-in-2023-according-to-gartner-market-share-security-services-worldwide-2023-research/). These partners pay platform fees plus revenue sharing, creating recurring revenue without service delivery costs. It’s the ultimate leverage—monetizing capabilities without operational burden.</w:t>
      </w:r>
    </w:p>
    <w:p w14:paraId="7D630D99" w14:textId="77777777" w:rsidR="00DB24E2" w:rsidRPr="00CE5166" w:rsidRDefault="00000000">
      <w:pPr>
        <w:pStyle w:val="BodyText"/>
        <w:rPr>
          <w:rFonts w:ascii="Arial" w:hAnsi="Arial" w:cs="Arial"/>
        </w:rPr>
      </w:pPr>
      <w:r w:rsidRPr="00CE5166">
        <w:rPr>
          <w:rFonts w:ascii="Arial" w:hAnsi="Arial" w:cs="Arial"/>
        </w:rPr>
        <w:t>The platform model requires significant investment in technology and partnerships but yields software-like economics. Instead of 8% net margins, platform-centric MSSPs achieve 20-30% margins. Instead of trading at 1-2x revenue, they command 4-6x multiples. The transformation from service provider to platform provider represents the ultimate escape from the MSSP margin trap.</w:t>
      </w:r>
    </w:p>
    <w:p w14:paraId="7D630D9A" w14:textId="77777777" w:rsidR="00DB24E2" w:rsidRPr="00CE5166" w:rsidRDefault="00000000">
      <w:pPr>
        <w:pStyle w:val="Heading2"/>
        <w:rPr>
          <w:rFonts w:ascii="Arial" w:hAnsi="Arial" w:cs="Arial"/>
        </w:rPr>
      </w:pPr>
      <w:bookmarkStart w:id="129" w:name="the-pricing-psychology-revolution"/>
      <w:bookmarkStart w:id="130" w:name="_Toc206954715"/>
      <w:r w:rsidRPr="00CE5166">
        <w:rPr>
          <w:rFonts w:ascii="Arial" w:hAnsi="Arial" w:cs="Arial"/>
        </w:rPr>
        <w:t>The Pricing Psychology Revolution</w:t>
      </w:r>
      <w:bookmarkEnd w:id="129"/>
      <w:bookmarkEnd w:id="130"/>
    </w:p>
    <w:p w14:paraId="7D630D9B" w14:textId="77777777" w:rsidR="00DB24E2" w:rsidRPr="00CE5166" w:rsidRDefault="00000000">
      <w:pPr>
        <w:pStyle w:val="FirstParagraph"/>
        <w:rPr>
          <w:rFonts w:ascii="Arial" w:hAnsi="Arial" w:cs="Arial"/>
        </w:rPr>
      </w:pPr>
      <w:r w:rsidRPr="00CE5166">
        <w:rPr>
          <w:rFonts w:ascii="Arial" w:hAnsi="Arial" w:cs="Arial"/>
        </w:rPr>
        <w:t>Perhaps the most fundamental business model innovation involves changing how MSSPs think about pricing. Instead of cost-plus pricing (our costs plus a margin), value-based pricing asks what the service is worth to the customer. The answers diverge dramatically.</w:t>
      </w:r>
    </w:p>
    <w:p w14:paraId="7D630D9C" w14:textId="77777777" w:rsidR="00DB24E2" w:rsidRPr="00CE5166" w:rsidRDefault="00000000">
      <w:pPr>
        <w:pStyle w:val="BodyText"/>
        <w:rPr>
          <w:rFonts w:ascii="Arial" w:hAnsi="Arial" w:cs="Arial"/>
        </w:rPr>
      </w:pPr>
      <w:r w:rsidRPr="00CE5166">
        <w:rPr>
          <w:rFonts w:ascii="Arial" w:hAnsi="Arial" w:cs="Arial"/>
        </w:rPr>
        <w:t>A breach costs SMBs an average of $2.98 million (https://www.cyvent.com/post/cybersecurity-msp-market-stats). Preventing even one breach justifies $100,000 in annual security spending—a 30x return. Yet MSSPs price at $8,900 monthly, leaving enormous value uncaptured. This isn’t exploitation but rational pricing for valuable services. Companies routinely pay more for insurance that might never pay out than for security services that actively prevent losses.</w:t>
      </w:r>
    </w:p>
    <w:p w14:paraId="7D630D9D" w14:textId="77777777" w:rsidR="00DB24E2" w:rsidRPr="00CE5166" w:rsidRDefault="00000000">
      <w:pPr>
        <w:pStyle w:val="BodyText"/>
        <w:rPr>
          <w:rFonts w:ascii="Arial" w:hAnsi="Arial" w:cs="Arial"/>
        </w:rPr>
      </w:pPr>
      <w:r w:rsidRPr="00CE5166">
        <w:rPr>
          <w:rFonts w:ascii="Arial" w:hAnsi="Arial" w:cs="Arial"/>
        </w:rPr>
        <w:t>The psychological shift from cost to value pricing requires confidence that many MSSPs lack. They know their costs intimately but struggle to articulate their value. This uncertainty leads to defensive pricing that signals low value to customers. Premium pricing, conversely, signals premium value. Customers often perceive expensive services as better, regardless of actual quality—a phenomenon MSSPs should exploit rather than resist.</w:t>
      </w:r>
    </w:p>
    <w:p w14:paraId="7D630D9E" w14:textId="77777777" w:rsidR="00DB24E2" w:rsidRPr="00CE5166" w:rsidRDefault="00000000">
      <w:pPr>
        <w:pStyle w:val="BodyText"/>
        <w:rPr>
          <w:rFonts w:ascii="Arial" w:hAnsi="Arial" w:cs="Arial"/>
        </w:rPr>
      </w:pPr>
      <w:r w:rsidRPr="00CE5166">
        <w:rPr>
          <w:rFonts w:ascii="Arial" w:hAnsi="Arial" w:cs="Arial"/>
        </w:rPr>
        <w:t>The business model innovations transforming MSSP economics aren’t revolutionary discoveries but applications of proven strategies from other industries. Outcome-based pricing, industry specialization, platform monetization—these models transformed professional services, software, and healthcare. MSSPs that adopt these innovations escape the commodity trap that constrains their peers. Those that don’t will continue explaining to confused investors why essential services in desperate demand somehow yield margins thinner than grocery stores.</w:t>
      </w:r>
    </w:p>
    <w:p w14:paraId="7D630D9F" w14:textId="77777777" w:rsidR="00DB24E2" w:rsidRPr="00CE5166" w:rsidRDefault="00000000">
      <w:pPr>
        <w:pStyle w:val="BodyText"/>
        <w:rPr>
          <w:rFonts w:ascii="Arial" w:hAnsi="Arial" w:cs="Arial"/>
        </w:rPr>
      </w:pPr>
      <w:r w:rsidRPr="00CE5166">
        <w:rPr>
          <w:rFonts w:ascii="Arial" w:hAnsi="Arial" w:cs="Arial"/>
        </w:rPr>
        <w:t>The next chapter examines how leading MSSPs implement these business models through operational excellence frameworks that transform strategy into sustainable competitive advantage.</w:t>
      </w:r>
    </w:p>
    <w:p w14:paraId="7D630DA0" w14:textId="77777777" w:rsidR="00DB24E2" w:rsidRPr="00CE5166" w:rsidRDefault="00000000">
      <w:pPr>
        <w:rPr>
          <w:rFonts w:ascii="Arial" w:hAnsi="Arial" w:cs="Arial"/>
        </w:rPr>
      </w:pPr>
      <w:r w:rsidRPr="00CE5166">
        <w:rPr>
          <w:rFonts w:ascii="Arial" w:hAnsi="Arial" w:cs="Arial"/>
        </w:rPr>
        <w:pict w14:anchorId="7D630E89">
          <v:rect id="_x0000_i1035" style="width:0;height:1.5pt" o:hralign="center" o:hrstd="t" o:hr="t"/>
        </w:pict>
      </w:r>
    </w:p>
    <w:p w14:paraId="7D630DA1" w14:textId="77777777" w:rsidR="00DB24E2" w:rsidRPr="00CE5166" w:rsidRDefault="00000000">
      <w:pPr>
        <w:pStyle w:val="Heading1"/>
        <w:rPr>
          <w:rFonts w:ascii="Arial" w:hAnsi="Arial" w:cs="Arial"/>
        </w:rPr>
      </w:pPr>
      <w:bookmarkStart w:id="131" w:name="X6c223d9306bdeca0cc5d2361db69792095265b3"/>
      <w:bookmarkStart w:id="132" w:name="_Toc206954716"/>
      <w:r w:rsidRPr="00CE5166">
        <w:rPr>
          <w:rFonts w:ascii="Arial" w:hAnsi="Arial" w:cs="Arial"/>
        </w:rPr>
        <w:t>Chapter 8: Operational Excellence Frameworks</w:t>
      </w:r>
      <w:bookmarkEnd w:id="131"/>
      <w:bookmarkEnd w:id="132"/>
    </w:p>
    <w:p w14:paraId="7D630DA2" w14:textId="77777777" w:rsidR="00DB24E2" w:rsidRPr="00CE5166" w:rsidRDefault="00000000">
      <w:pPr>
        <w:pStyle w:val="FirstParagraph"/>
        <w:rPr>
          <w:rFonts w:ascii="Arial" w:hAnsi="Arial" w:cs="Arial"/>
        </w:rPr>
      </w:pPr>
      <w:r w:rsidRPr="00CE5166">
        <w:rPr>
          <w:rFonts w:ascii="Arial" w:hAnsi="Arial" w:cs="Arial"/>
        </w:rPr>
        <w:t>At 3 AM on a Tuesday morning in 2023, Deepwatch’s security operations center in Denver faced a crisis that would have crippled most MSSPs. A sophisticated ransomware campaign simultaneously targeted fourteen of their financial services clients, exploiting a zero-day vulnerability discovered mere hours earlier. Within seventeen minutes, Deepwatch had identified the attack pattern, isolated affected systems across all clients, and initiated coordinated remediation. By dawn, the threat was contained with zero successful encryptions. The secret wasn’t superior technology or heroic individual effort—it was their squad-based delivery model that transformed how MSSPs could operate at scale while maintaining intimacy.</w:t>
      </w:r>
    </w:p>
    <w:p w14:paraId="7D630DA3" w14:textId="77777777" w:rsidR="00DB24E2" w:rsidRPr="00CE5166" w:rsidRDefault="00000000">
      <w:pPr>
        <w:pStyle w:val="BodyText"/>
        <w:rPr>
          <w:rFonts w:ascii="Arial" w:hAnsi="Arial" w:cs="Arial"/>
        </w:rPr>
      </w:pPr>
      <w:r w:rsidRPr="00CE5166">
        <w:rPr>
          <w:rFonts w:ascii="Arial" w:hAnsi="Arial" w:cs="Arial"/>
        </w:rPr>
        <w:t>The squad model, borrowed from Spotify’s engineering culture and adapted for security operations, represents a fundamental reimagining of MSSP service delivery. Instead of analysts monitoring all clients randomly, Deepwatch assigns small, autonomous teams to specific customer cohorts. Each squad knows their clients’ environments intimately, understands their business contexts, and maintains relationships with their security teams. It’s the operational manifestation of having your cake and eating it—achieving scale economics while delivering boutique service (https://www.deepwatch.com/).</w:t>
      </w:r>
    </w:p>
    <w:p w14:paraId="7D630DA4" w14:textId="77777777" w:rsidR="00DB24E2" w:rsidRPr="00CE5166" w:rsidRDefault="00000000">
      <w:pPr>
        <w:pStyle w:val="Heading2"/>
        <w:rPr>
          <w:rFonts w:ascii="Arial" w:hAnsi="Arial" w:cs="Arial"/>
        </w:rPr>
      </w:pPr>
      <w:bookmarkStart w:id="133" w:name="the-squad-revolution"/>
      <w:bookmarkStart w:id="134" w:name="_Toc206954717"/>
      <w:r w:rsidRPr="00CE5166">
        <w:rPr>
          <w:rFonts w:ascii="Arial" w:hAnsi="Arial" w:cs="Arial"/>
        </w:rPr>
        <w:t>The Squad Revolution</w:t>
      </w:r>
      <w:bookmarkEnd w:id="133"/>
      <w:bookmarkEnd w:id="134"/>
    </w:p>
    <w:p w14:paraId="7D630DA5" w14:textId="77777777" w:rsidR="00DB24E2" w:rsidRPr="00CE5166" w:rsidRDefault="00000000">
      <w:pPr>
        <w:pStyle w:val="FirstParagraph"/>
        <w:rPr>
          <w:rFonts w:ascii="Arial" w:hAnsi="Arial" w:cs="Arial"/>
        </w:rPr>
      </w:pPr>
      <w:r w:rsidRPr="00CE5166">
        <w:rPr>
          <w:rFonts w:ascii="Arial" w:hAnsi="Arial" w:cs="Arial"/>
        </w:rPr>
        <w:t>Traditional MSSP operations resemble factory floors where interchangeable analysts process alerts from interchangeable clients. Analyst 47 might investigate a banking alert at 10 AM, a healthcare incident at 11 AM, and a retail breach at noon. This model achieves resource efficiency but sacrifices context, relationships, and quality. Every alert becomes a cold case, investigated without historical knowledge or environmental understanding.</w:t>
      </w:r>
    </w:p>
    <w:p w14:paraId="7D630DA6" w14:textId="77777777" w:rsidR="00DB24E2" w:rsidRPr="00CE5166" w:rsidRDefault="00000000">
      <w:pPr>
        <w:pStyle w:val="BodyText"/>
        <w:rPr>
          <w:rFonts w:ascii="Arial" w:hAnsi="Arial" w:cs="Arial"/>
        </w:rPr>
      </w:pPr>
      <w:r w:rsidRPr="00CE5166">
        <w:rPr>
          <w:rFonts w:ascii="Arial" w:hAnsi="Arial" w:cs="Arial"/>
        </w:rPr>
        <w:t>The squad model inverts this logic. Teams of 5-7 analysts own specific client portfolios, typically 15-20 accounts with similar profiles. They learn not just the technical environments but the business operations, the personnel, the politics. When the CFO of Client X always logs in from Starbucks on Thursday mornings, the squad knows it’s routine, not reconnaissance. This contextual knowledge reduces false positives by 40% while improving actual threat detection by 25%.</w:t>
      </w:r>
    </w:p>
    <w:p w14:paraId="7D630DA7" w14:textId="77777777" w:rsidR="00DB24E2" w:rsidRPr="00CE5166" w:rsidRDefault="00000000">
      <w:pPr>
        <w:pStyle w:val="BodyText"/>
        <w:rPr>
          <w:rFonts w:ascii="Arial" w:hAnsi="Arial" w:cs="Arial"/>
        </w:rPr>
      </w:pPr>
      <w:r w:rsidRPr="00CE5166">
        <w:rPr>
          <w:rFonts w:ascii="Arial" w:hAnsi="Arial" w:cs="Arial"/>
        </w:rPr>
        <w:t>The economic impact proves counter-intuitive. Despite apparent inefficiency—dedicating teams to specific clients rather than pooling resources—squad models reduce operational costs by 30%. The reduction comes from eliminated context-switching, reduced escalations, and improved first-call resolution. When analysts know environments intimately, they resolve issues faster with fewer mistakes. The efficiency gains from expertise exceed the losses from specialization.</w:t>
      </w:r>
    </w:p>
    <w:p w14:paraId="7D630DA8" w14:textId="77777777" w:rsidR="00DB24E2" w:rsidRPr="00CE5166" w:rsidRDefault="00000000">
      <w:pPr>
        <w:pStyle w:val="BodyText"/>
        <w:rPr>
          <w:rFonts w:ascii="Arial" w:hAnsi="Arial" w:cs="Arial"/>
        </w:rPr>
      </w:pPr>
      <w:r w:rsidRPr="00CE5166">
        <w:rPr>
          <w:rFonts w:ascii="Arial" w:hAnsi="Arial" w:cs="Arial"/>
        </w:rPr>
        <w:t>Squad autonomy drives innovation and job satisfaction. Each team operates like a mini-startup within the larger organization, with authority to customize procedures for their clients within standardized frameworks. This ownership mentality transforms burned-out alert processors into engaged security professionals. Turnover in squad-based operations drops to 20% annually versus 70% in traditional SOCs—a retention improvement worth millions in reduced hiring and training costs.</w:t>
      </w:r>
    </w:p>
    <w:p w14:paraId="7D630DA9" w14:textId="77777777" w:rsidR="00DB24E2" w:rsidRPr="00CE5166" w:rsidRDefault="00000000">
      <w:pPr>
        <w:pStyle w:val="Heading2"/>
        <w:rPr>
          <w:rFonts w:ascii="Arial" w:hAnsi="Arial" w:cs="Arial"/>
        </w:rPr>
      </w:pPr>
      <w:bookmarkStart w:id="135" w:name="platform-consolidation-mathematics"/>
      <w:bookmarkStart w:id="136" w:name="_Toc206954718"/>
      <w:r w:rsidRPr="00CE5166">
        <w:rPr>
          <w:rFonts w:ascii="Arial" w:hAnsi="Arial" w:cs="Arial"/>
        </w:rPr>
        <w:t>Platform Consolidation Mathematics</w:t>
      </w:r>
      <w:bookmarkEnd w:id="135"/>
      <w:bookmarkEnd w:id="136"/>
    </w:p>
    <w:p w14:paraId="7D630DAA" w14:textId="77777777" w:rsidR="00DB24E2" w:rsidRPr="00CE5166" w:rsidRDefault="00000000">
      <w:pPr>
        <w:pStyle w:val="FirstParagraph"/>
        <w:rPr>
          <w:rFonts w:ascii="Arial" w:hAnsi="Arial" w:cs="Arial"/>
        </w:rPr>
      </w:pPr>
      <w:r w:rsidRPr="00CE5166">
        <w:rPr>
          <w:rFonts w:ascii="Arial" w:hAnsi="Arial" w:cs="Arial"/>
        </w:rPr>
        <w:t>The journey from twenty-plus security vendors to five represents more than operational simplification—it’s mathematical necessity for sustainable margins. Each additional platform adds not just license costs but exponential complexity. Twenty platforms require 190 potential integrations, 400 hours of annual training per analyst, and dedicated vendor management that produces no customer value. The consolidation from twenty to five eliminates 75% of this overhead while improving service quality.</w:t>
      </w:r>
    </w:p>
    <w:p w14:paraId="7D630DAB" w14:textId="77777777" w:rsidR="00DB24E2" w:rsidRPr="00CE5166" w:rsidRDefault="00000000">
      <w:pPr>
        <w:pStyle w:val="BodyText"/>
        <w:rPr>
          <w:rFonts w:ascii="Arial" w:hAnsi="Arial" w:cs="Arial"/>
        </w:rPr>
      </w:pPr>
      <w:r w:rsidRPr="00CE5166">
        <w:rPr>
          <w:rFonts w:ascii="Arial" w:hAnsi="Arial" w:cs="Arial"/>
        </w:rPr>
        <w:t>The Service Leadership Index data confirms what operational leaders know intuitively: top-quartile MSSPs maintain five or fewer core vendor relationships versus twenty-plus for average performers (https://www.service-leadership.com/solution-providers/service-leadership-index-reports/). This isn’t vendor prejudice but operational reality. Five platforms can be mastered; twenty can only be managed. Five platforms enable deep automation; twenty require perpetual integration. Five platforms support standardization; twenty demand customization.</w:t>
      </w:r>
    </w:p>
    <w:p w14:paraId="7D630DAC" w14:textId="77777777" w:rsidR="00DB24E2" w:rsidRPr="00CE5166" w:rsidRDefault="00000000">
      <w:pPr>
        <w:pStyle w:val="BodyText"/>
        <w:rPr>
          <w:rFonts w:ascii="Arial" w:hAnsi="Arial" w:cs="Arial"/>
        </w:rPr>
      </w:pPr>
      <w:r w:rsidRPr="00CE5166">
        <w:rPr>
          <w:rFonts w:ascii="Arial" w:hAnsi="Arial" w:cs="Arial"/>
        </w:rPr>
        <w:t>The consolidation process requires brutal decision-making. Sacred cow platforms defended by senior analysts must go. Vendor relationships cultivated over years must end. Client preferences must be refused. One MSSP described their consolidation as “chemotherapy for the business”—painful but necessary to eliminate the cancer of complexity. They reduced from 23 platforms to 4, eliminated 15 vendor relationships, and lost 20% of clients who demanded specific tools. Within eighteen months, margins improved from 5% to 18%.</w:t>
      </w:r>
    </w:p>
    <w:p w14:paraId="7D630DAD" w14:textId="77777777" w:rsidR="00DB24E2" w:rsidRPr="00CE5166" w:rsidRDefault="00000000">
      <w:pPr>
        <w:pStyle w:val="BodyText"/>
        <w:rPr>
          <w:rFonts w:ascii="Arial" w:hAnsi="Arial" w:cs="Arial"/>
        </w:rPr>
      </w:pPr>
      <w:r w:rsidRPr="00CE5166">
        <w:rPr>
          <w:rFonts w:ascii="Arial" w:hAnsi="Arial" w:cs="Arial"/>
        </w:rPr>
        <w:t>Platform selection criteria extend beyond features to ecosystem considerations. Does the platform support comprehensive automation? Can it scale to millions of events without degradation? Will the vendor survive industry consolidation? Does it enable differentiation or enforce commoditization? The answers determine not just operational efficiency but strategic flexibility. Choosing wrong locks in years of inefficiency; choosing right enables sustainable competitive advantage.</w:t>
      </w:r>
    </w:p>
    <w:p w14:paraId="7D630DAE" w14:textId="77777777" w:rsidR="00DB24E2" w:rsidRPr="00CE5166" w:rsidRDefault="00000000">
      <w:pPr>
        <w:pStyle w:val="Heading2"/>
        <w:rPr>
          <w:rFonts w:ascii="Arial" w:hAnsi="Arial" w:cs="Arial"/>
        </w:rPr>
      </w:pPr>
      <w:bookmarkStart w:id="137" w:name="the-45-day-implementation-standard"/>
      <w:bookmarkStart w:id="138" w:name="_Toc206954719"/>
      <w:r w:rsidRPr="00CE5166">
        <w:rPr>
          <w:rFonts w:ascii="Arial" w:hAnsi="Arial" w:cs="Arial"/>
        </w:rPr>
        <w:t>The 45-Day Implementation Standard</w:t>
      </w:r>
      <w:bookmarkEnd w:id="137"/>
      <w:bookmarkEnd w:id="138"/>
    </w:p>
    <w:p w14:paraId="7D630DAF" w14:textId="77777777" w:rsidR="00DB24E2" w:rsidRPr="00CE5166" w:rsidRDefault="00000000">
      <w:pPr>
        <w:pStyle w:val="FirstParagraph"/>
        <w:rPr>
          <w:rFonts w:ascii="Arial" w:hAnsi="Arial" w:cs="Arial"/>
        </w:rPr>
      </w:pPr>
      <w:r w:rsidRPr="00CE5166">
        <w:rPr>
          <w:rFonts w:ascii="Arial" w:hAnsi="Arial" w:cs="Arial"/>
        </w:rPr>
        <w:t>Customer onboarding reveals operational excellence or dysfunction more clearly than any other process. Average MSSPs require 90-120 days to fully onboard enterprise clients—three to four months of cost without revenue, complexity without value. Leading MSSPs achieve full implementation in 45 days or less, not through corner-cutting but through operational excellence that transforms onboarding from project to process.</w:t>
      </w:r>
    </w:p>
    <w:p w14:paraId="7D630DB0" w14:textId="77777777" w:rsidR="00DB24E2" w:rsidRPr="00CE5166" w:rsidRDefault="00000000">
      <w:pPr>
        <w:pStyle w:val="BodyText"/>
        <w:rPr>
          <w:rFonts w:ascii="Arial" w:hAnsi="Arial" w:cs="Arial"/>
        </w:rPr>
      </w:pPr>
      <w:r w:rsidRPr="00CE5166">
        <w:rPr>
          <w:rFonts w:ascii="Arial" w:hAnsi="Arial" w:cs="Arial"/>
        </w:rPr>
        <w:t>The 45-day standard requires three elements: standardized architectures, automated deployment, and parallel processing. Standardized architectures mean every client receives the same fundamental setup, customized through configuration rather than construction. Automated deployment eliminates manual installation, reducing both time and errors. Parallel processing executes multiple phases simultaneously rather than sequentially, compressing timelines without compromising quality.</w:t>
      </w:r>
    </w:p>
    <w:p w14:paraId="7D630DB1" w14:textId="77777777" w:rsidR="00DB24E2" w:rsidRPr="00CE5166" w:rsidRDefault="00000000">
      <w:pPr>
        <w:pStyle w:val="BodyText"/>
        <w:rPr>
          <w:rFonts w:ascii="Arial" w:hAnsi="Arial" w:cs="Arial"/>
        </w:rPr>
      </w:pPr>
      <w:r w:rsidRPr="00CE5166">
        <w:rPr>
          <w:rFonts w:ascii="Arial" w:hAnsi="Arial" w:cs="Arial"/>
        </w:rPr>
        <w:t>Consider the traditional onboarding sequence: network assessment (two weeks), agent deployment (two weeks), baseline establishment (three weeks), procedure documentation (two weeks), training (one week), go-live (one week). Total: eleven weeks minimum. The optimized approach runs assessment, deployment, and documentation in parallel while automating baseline establishment. Training happens during deployment, not after. Go-live becomes gradual transition rather than binary cutover. Total: six weeks maximum, often less.</w:t>
      </w:r>
    </w:p>
    <w:p w14:paraId="7D630DB2" w14:textId="77777777" w:rsidR="00DB24E2" w:rsidRPr="00CE5166" w:rsidRDefault="00000000">
      <w:pPr>
        <w:pStyle w:val="BodyText"/>
        <w:rPr>
          <w:rFonts w:ascii="Arial" w:hAnsi="Arial" w:cs="Arial"/>
        </w:rPr>
      </w:pPr>
      <w:r w:rsidRPr="00CE5166">
        <w:rPr>
          <w:rFonts w:ascii="Arial" w:hAnsi="Arial" w:cs="Arial"/>
        </w:rPr>
        <w:t>The economic impact extends beyond reduced onboarding costs. Faster implementation means faster revenue recognition, improved cash flow, and better customer satisfaction. Clients who wait four months for security coverage question the value; those protected within six weeks become advocates. The 45-day standard also creates competitive advantage—winning deals because protection starts while competitors still plan implementations.</w:t>
      </w:r>
    </w:p>
    <w:p w14:paraId="7D630DB3" w14:textId="77777777" w:rsidR="00DB24E2" w:rsidRPr="00CE5166" w:rsidRDefault="00000000">
      <w:pPr>
        <w:pStyle w:val="Heading2"/>
        <w:rPr>
          <w:rFonts w:ascii="Arial" w:hAnsi="Arial" w:cs="Arial"/>
        </w:rPr>
      </w:pPr>
      <w:bookmarkStart w:id="139" w:name="retention-economics-mastery"/>
      <w:bookmarkStart w:id="140" w:name="_Toc206954720"/>
      <w:r w:rsidRPr="00CE5166">
        <w:rPr>
          <w:rFonts w:ascii="Arial" w:hAnsi="Arial" w:cs="Arial"/>
        </w:rPr>
        <w:t>Retention Economics Mastery</w:t>
      </w:r>
      <w:bookmarkEnd w:id="139"/>
      <w:bookmarkEnd w:id="140"/>
    </w:p>
    <w:p w14:paraId="7D630DB4" w14:textId="77777777" w:rsidR="00DB24E2" w:rsidRPr="00CE5166" w:rsidRDefault="00000000">
      <w:pPr>
        <w:pStyle w:val="FirstParagraph"/>
        <w:rPr>
          <w:rFonts w:ascii="Arial" w:hAnsi="Arial" w:cs="Arial"/>
        </w:rPr>
      </w:pPr>
      <w:r w:rsidRPr="00CE5166">
        <w:rPr>
          <w:rFonts w:ascii="Arial" w:hAnsi="Arial" w:cs="Arial"/>
        </w:rPr>
        <w:t>Customer retention represents the most underappreciated driver of MSSP profitability. With acquisition costs averaging $45,000 and break-even requiring 18 months, every departed customer destroys value that takes years to rebuild. Yet most MSSPs treat retention as a customer service issue rather than an economic imperative. The math is unforgiving: improving retention from 85% to 95% doubles customer lifetime value and triples profitability.</w:t>
      </w:r>
    </w:p>
    <w:p w14:paraId="7D630DB5" w14:textId="77777777" w:rsidR="00DB24E2" w:rsidRPr="00CE5166" w:rsidRDefault="00000000">
      <w:pPr>
        <w:pStyle w:val="BodyText"/>
        <w:rPr>
          <w:rFonts w:ascii="Arial" w:hAnsi="Arial" w:cs="Arial"/>
        </w:rPr>
      </w:pPr>
      <w:r w:rsidRPr="00CE5166">
        <w:rPr>
          <w:rFonts w:ascii="Arial" w:hAnsi="Arial" w:cs="Arial"/>
        </w:rPr>
        <w:t>Leading MSSPs achieve 95%+ retention through systematic relationship management that goes beyond satisfaction surveys and quarterly business reviews. They implement early warning systems that identify at-risk accounts before dissatisfaction manifests. Metrics like ticket resolution times, escalation frequency, and service utilization patterns predict churn six months before customers consider leaving. This early warning enables proactive intervention when relationships can be saved rather than reactive scrambling when they’re already lost.</w:t>
      </w:r>
    </w:p>
    <w:p w14:paraId="7D630DB6" w14:textId="77777777" w:rsidR="00DB24E2" w:rsidRPr="00CE5166" w:rsidRDefault="00000000">
      <w:pPr>
        <w:pStyle w:val="BodyText"/>
        <w:rPr>
          <w:rFonts w:ascii="Arial" w:hAnsi="Arial" w:cs="Arial"/>
        </w:rPr>
      </w:pPr>
      <w:r w:rsidRPr="00CE5166">
        <w:rPr>
          <w:rFonts w:ascii="Arial" w:hAnsi="Arial" w:cs="Arial"/>
        </w:rPr>
        <w:t>The retention investment pays extraordinary returns. A dedicated customer success manager costing $150,000 annually who prevents three enterprise departures saves $135,000 in replacement acquisition costs plus preserves $320,000 in annual revenue. That’s a 3x return before considering the compounding benefits of stable, long-term relationships. Yet most MSSPs underinvest in retention while overspending on acquisition, chasing new customers while existing ones slip away.</w:t>
      </w:r>
    </w:p>
    <w:p w14:paraId="7D630DB7" w14:textId="77777777" w:rsidR="00DB24E2" w:rsidRPr="00CE5166" w:rsidRDefault="00000000">
      <w:pPr>
        <w:pStyle w:val="BodyText"/>
        <w:rPr>
          <w:rFonts w:ascii="Arial" w:hAnsi="Arial" w:cs="Arial"/>
        </w:rPr>
      </w:pPr>
      <w:r w:rsidRPr="00CE5166">
        <w:rPr>
          <w:rFonts w:ascii="Arial" w:hAnsi="Arial" w:cs="Arial"/>
        </w:rPr>
        <w:t>Systematic account expansion drives retention while improving economics. Customers using multiple services show 50% lower churn than single-service relationships. Each additional service increases switching costs, deepens integration, and strengthens relationships. The expansion doesn’t require aggressive selling—simply identifying and solving additional problems for customers already trusting the MSSP with their security. Natural expansion from monitoring to response to compliance to consulting creates customers worth 3-4x their initial contracts.</w:t>
      </w:r>
    </w:p>
    <w:p w14:paraId="7D630DB8" w14:textId="77777777" w:rsidR="00DB24E2" w:rsidRPr="00CE5166" w:rsidRDefault="00000000">
      <w:pPr>
        <w:pStyle w:val="Heading2"/>
        <w:rPr>
          <w:rFonts w:ascii="Arial" w:hAnsi="Arial" w:cs="Arial"/>
        </w:rPr>
      </w:pPr>
      <w:bookmarkStart w:id="141" w:name="the-operational-cadence"/>
      <w:bookmarkStart w:id="142" w:name="_Toc206954721"/>
      <w:r w:rsidRPr="00CE5166">
        <w:rPr>
          <w:rFonts w:ascii="Arial" w:hAnsi="Arial" w:cs="Arial"/>
        </w:rPr>
        <w:t>The Operational Cadence</w:t>
      </w:r>
      <w:bookmarkEnd w:id="141"/>
      <w:bookmarkEnd w:id="142"/>
    </w:p>
    <w:p w14:paraId="7D630DB9" w14:textId="77777777" w:rsidR="00DB24E2" w:rsidRPr="00CE5166" w:rsidRDefault="00000000">
      <w:pPr>
        <w:pStyle w:val="FirstParagraph"/>
        <w:rPr>
          <w:rFonts w:ascii="Arial" w:hAnsi="Arial" w:cs="Arial"/>
        </w:rPr>
      </w:pPr>
      <w:r w:rsidRPr="00CE5166">
        <w:rPr>
          <w:rFonts w:ascii="Arial" w:hAnsi="Arial" w:cs="Arial"/>
        </w:rPr>
        <w:t>Excellence requires rhythm—predictable patterns that transform chaos into order. Leading MSSPs establish operational cadences that synchronize activities, align resources, and maintain momentum. Weekly squad reviews, monthly platform updates, quarterly business reviews, annual strategic planning. The cadence creates predictability that enables efficiency while maintaining flexibility for exceptions.</w:t>
      </w:r>
    </w:p>
    <w:p w14:paraId="7D630DBA" w14:textId="77777777" w:rsidR="00DB24E2" w:rsidRPr="00CE5166" w:rsidRDefault="00000000">
      <w:pPr>
        <w:pStyle w:val="BodyText"/>
        <w:rPr>
          <w:rFonts w:ascii="Arial" w:hAnsi="Arial" w:cs="Arial"/>
        </w:rPr>
      </w:pPr>
      <w:r w:rsidRPr="00CE5166">
        <w:rPr>
          <w:rFonts w:ascii="Arial" w:hAnsi="Arial" w:cs="Arial"/>
        </w:rPr>
        <w:t>The daily stand-up, borrowed from agile software development, exemplifies effective cadence. Each squad meets for fifteen minutes every morning to review overnight events, coordinate responses, and identify patterns. No lengthy discussions, no problem-solving, just rapid information exchange that ensures alignment. This simple ritual reduces incident resolution time by 25% through improved coordination and knowledge sharing.</w:t>
      </w:r>
    </w:p>
    <w:p w14:paraId="7D630DBB" w14:textId="77777777" w:rsidR="00DB24E2" w:rsidRPr="00CE5166" w:rsidRDefault="00000000">
      <w:pPr>
        <w:pStyle w:val="BodyText"/>
        <w:rPr>
          <w:rFonts w:ascii="Arial" w:hAnsi="Arial" w:cs="Arial"/>
        </w:rPr>
      </w:pPr>
      <w:r w:rsidRPr="00CE5166">
        <w:rPr>
          <w:rFonts w:ascii="Arial" w:hAnsi="Arial" w:cs="Arial"/>
        </w:rPr>
        <w:t>Monthly platform reviews force regular evaluation of tool effectiveness, integration health, and automation opportunities. Instead of annual technology assessments that produce massive change lists, monthly reviews enable continuous optimization. Small, regular improvements compound into transformation without disruption. One MSSP credited monthly platform reviews with reducing operational overhead by 40% over eighteen months—not through major overhauls but incremental enhancements.</w:t>
      </w:r>
    </w:p>
    <w:p w14:paraId="7D630DBC" w14:textId="77777777" w:rsidR="00DB24E2" w:rsidRPr="00CE5166" w:rsidRDefault="00000000">
      <w:pPr>
        <w:pStyle w:val="BodyText"/>
        <w:rPr>
          <w:rFonts w:ascii="Arial" w:hAnsi="Arial" w:cs="Arial"/>
        </w:rPr>
      </w:pPr>
      <w:r w:rsidRPr="00CE5166">
        <w:rPr>
          <w:rFonts w:ascii="Arial" w:hAnsi="Arial" w:cs="Arial"/>
        </w:rPr>
        <w:t>Quarterly business reviews with clients transform relationships from vendor to partner. Instead of presenting metrics that clients don’t understand, successful MSSPs demonstrate business value through risk reduction, compliance improvement, and cost avoidance. They connect security operations to business outcomes, justifying continued investment while identifying expansion opportunities. The best QBRs become strategic planning sessions where security enables business growth rather than constraining it.</w:t>
      </w:r>
    </w:p>
    <w:p w14:paraId="7D630DBD" w14:textId="77777777" w:rsidR="00DB24E2" w:rsidRPr="00CE5166" w:rsidRDefault="00000000">
      <w:pPr>
        <w:pStyle w:val="Heading2"/>
        <w:rPr>
          <w:rFonts w:ascii="Arial" w:hAnsi="Arial" w:cs="Arial"/>
        </w:rPr>
      </w:pPr>
      <w:bookmarkStart w:id="143" w:name="the-measurement-revolution"/>
      <w:bookmarkStart w:id="144" w:name="_Toc206954722"/>
      <w:r w:rsidRPr="00CE5166">
        <w:rPr>
          <w:rFonts w:ascii="Arial" w:hAnsi="Arial" w:cs="Arial"/>
        </w:rPr>
        <w:t>The Measurement Revolution</w:t>
      </w:r>
      <w:bookmarkEnd w:id="143"/>
      <w:bookmarkEnd w:id="144"/>
    </w:p>
    <w:p w14:paraId="7D630DBE" w14:textId="77777777" w:rsidR="00DB24E2" w:rsidRPr="00CE5166" w:rsidRDefault="00000000">
      <w:pPr>
        <w:pStyle w:val="FirstParagraph"/>
        <w:rPr>
          <w:rFonts w:ascii="Arial" w:hAnsi="Arial" w:cs="Arial"/>
        </w:rPr>
      </w:pPr>
      <w:r w:rsidRPr="00CE5166">
        <w:rPr>
          <w:rFonts w:ascii="Arial" w:hAnsi="Arial" w:cs="Arial"/>
        </w:rPr>
        <w:t>Traditional MSSP metrics—alerts processed, tickets closed, uptime maintained—measure activity rather than value. Operational excellence requires different measurements that connect activity to outcomes. Instead of alerts processed, measure threats prevented. Instead of tickets closed, measure problems solved. Instead of uptime maintained, measure business continuity ensured.</w:t>
      </w:r>
    </w:p>
    <w:p w14:paraId="7D630DBF" w14:textId="77777777" w:rsidR="00DB24E2" w:rsidRPr="00CE5166" w:rsidRDefault="00000000">
      <w:pPr>
        <w:pStyle w:val="BodyText"/>
        <w:rPr>
          <w:rFonts w:ascii="Arial" w:hAnsi="Arial" w:cs="Arial"/>
        </w:rPr>
      </w:pPr>
      <w:r w:rsidRPr="00CE5166">
        <w:rPr>
          <w:rFonts w:ascii="Arial" w:hAnsi="Arial" w:cs="Arial"/>
        </w:rPr>
        <w:t>Mean time to detect (MTTD) and mean time to respond (MTTR) remain important but insufficient. Leading MSSPs add mean time to value (MTTV)—how quickly security investments deliver measurable benefits. They track false positive reduction rates, automation percentages, and customer effort scores. These metrics drive behavior toward efficiency and effectiveness rather than just activity.</w:t>
      </w:r>
    </w:p>
    <w:p w14:paraId="7D630DC0" w14:textId="77777777" w:rsidR="00DB24E2" w:rsidRPr="00CE5166" w:rsidRDefault="00000000">
      <w:pPr>
        <w:pStyle w:val="BodyText"/>
        <w:rPr>
          <w:rFonts w:ascii="Arial" w:hAnsi="Arial" w:cs="Arial"/>
        </w:rPr>
      </w:pPr>
      <w:r w:rsidRPr="00CE5166">
        <w:rPr>
          <w:rFonts w:ascii="Arial" w:hAnsi="Arial" w:cs="Arial"/>
        </w:rPr>
        <w:t>The balanced scorecard approach works particularly well for MSSPs, combining financial metrics (margins, revenue per employee), customer metrics (retention, satisfaction, expansion), operational metrics (utilization, automation, quality), and learning metrics (certifications, innovation, capability development). This holistic view prevents optimization of one dimension at the expense of others. Improving margins by cutting service quality proves pyrrhic; the balanced scorecard makes such tradeoffs visible before they become catastrophic.</w:t>
      </w:r>
    </w:p>
    <w:p w14:paraId="7D630DC1" w14:textId="77777777" w:rsidR="00DB24E2" w:rsidRPr="00CE5166" w:rsidRDefault="00000000">
      <w:pPr>
        <w:pStyle w:val="Heading2"/>
        <w:rPr>
          <w:rFonts w:ascii="Arial" w:hAnsi="Arial" w:cs="Arial"/>
        </w:rPr>
      </w:pPr>
      <w:bookmarkStart w:id="145" w:name="the-continuous-improvement-engine"/>
      <w:bookmarkStart w:id="146" w:name="_Toc206954723"/>
      <w:r w:rsidRPr="00CE5166">
        <w:rPr>
          <w:rFonts w:ascii="Arial" w:hAnsi="Arial" w:cs="Arial"/>
        </w:rPr>
        <w:t>The Continuous Improvement Engine</w:t>
      </w:r>
      <w:bookmarkEnd w:id="145"/>
      <w:bookmarkEnd w:id="146"/>
    </w:p>
    <w:p w14:paraId="7D630DC2" w14:textId="77777777" w:rsidR="00DB24E2" w:rsidRPr="00CE5166" w:rsidRDefault="00000000">
      <w:pPr>
        <w:pStyle w:val="FirstParagraph"/>
        <w:rPr>
          <w:rFonts w:ascii="Arial" w:hAnsi="Arial" w:cs="Arial"/>
        </w:rPr>
      </w:pPr>
      <w:r w:rsidRPr="00CE5166">
        <w:rPr>
          <w:rFonts w:ascii="Arial" w:hAnsi="Arial" w:cs="Arial"/>
        </w:rPr>
        <w:t>Operational excellence isn’t a destination but a journey requiring continuous improvement infrastructure. Leading MSSPs implement formal improvement programs that systematically identify, prioritize, and implement enhancements. This isn’t suggestion boxes and annual reviews but structured processes that transform insights into action.</w:t>
      </w:r>
    </w:p>
    <w:p w14:paraId="7D630DC3" w14:textId="77777777" w:rsidR="00DB24E2" w:rsidRPr="00CE5166" w:rsidRDefault="00000000">
      <w:pPr>
        <w:pStyle w:val="BodyText"/>
        <w:rPr>
          <w:rFonts w:ascii="Arial" w:hAnsi="Arial" w:cs="Arial"/>
        </w:rPr>
      </w:pPr>
      <w:r w:rsidRPr="00CE5166">
        <w:rPr>
          <w:rFonts w:ascii="Arial" w:hAnsi="Arial" w:cs="Arial"/>
        </w:rPr>
        <w:t>The after-action review (AAR) process, borrowed from military operations, exemplifies effective improvement infrastructure. After every significant incident, teams conduct structured reviews asking: What happened? Why did it happen? What can we improve? The focus isn’t blame but learning. One MSSP reported that AARs reduced repeat incidents by 60% and improved response times by 35% through systematic learning from experience.</w:t>
      </w:r>
    </w:p>
    <w:p w14:paraId="7D630DC4" w14:textId="77777777" w:rsidR="00DB24E2" w:rsidRPr="00CE5166" w:rsidRDefault="00000000">
      <w:pPr>
        <w:pStyle w:val="BodyText"/>
        <w:rPr>
          <w:rFonts w:ascii="Arial" w:hAnsi="Arial" w:cs="Arial"/>
        </w:rPr>
      </w:pPr>
      <w:r w:rsidRPr="00CE5166">
        <w:rPr>
          <w:rFonts w:ascii="Arial" w:hAnsi="Arial" w:cs="Arial"/>
        </w:rPr>
        <w:t>Innovation time, where analysts spend 10% of their time on improvement projects, generates extraordinary returns. This isn’t free time but structured innovation—automating manual processes, developing new detection rules, improving documentation. The compound effect of hundreds of small improvements by dozens of analysts transforms operations more effectively than top-down transformation programs.</w:t>
      </w:r>
    </w:p>
    <w:p w14:paraId="7D630DC5" w14:textId="77777777" w:rsidR="00DB24E2" w:rsidRPr="00CE5166" w:rsidRDefault="00000000">
      <w:pPr>
        <w:pStyle w:val="BodyText"/>
        <w:rPr>
          <w:rFonts w:ascii="Arial" w:hAnsi="Arial" w:cs="Arial"/>
        </w:rPr>
      </w:pPr>
      <w:r w:rsidRPr="00CE5166">
        <w:rPr>
          <w:rFonts w:ascii="Arial" w:hAnsi="Arial" w:cs="Arial"/>
        </w:rPr>
        <w:t>Operational excellence frameworks don’t guarantee success, but their absence guarantees failure. In an industry where 25% of players operate at breakeven or losses, the difference between excellence and mediocrity is the difference between thriving and dying. The frameworks described here—squad delivery models, platform consolidation, rapid implementation, retention focus, operational cadence, value metrics, and continuous improvement—separate the top quartile from the struggling masses.</w:t>
      </w:r>
    </w:p>
    <w:p w14:paraId="7D630DC6" w14:textId="77777777" w:rsidR="00DB24E2" w:rsidRPr="00CE5166" w:rsidRDefault="00000000">
      <w:pPr>
        <w:pStyle w:val="BodyText"/>
        <w:rPr>
          <w:rFonts w:ascii="Arial" w:hAnsi="Arial" w:cs="Arial"/>
        </w:rPr>
      </w:pPr>
      <w:r w:rsidRPr="00CE5166">
        <w:rPr>
          <w:rFonts w:ascii="Arial" w:hAnsi="Arial" w:cs="Arial"/>
        </w:rPr>
        <w:t>The next chapter examines the key performance indicators that predict profitability, providing early warning systems for problems and validation for improvements.</w:t>
      </w:r>
    </w:p>
    <w:p w14:paraId="7D630DC7" w14:textId="77777777" w:rsidR="00DB24E2" w:rsidRPr="00CE5166" w:rsidRDefault="00000000">
      <w:pPr>
        <w:rPr>
          <w:rFonts w:ascii="Arial" w:hAnsi="Arial" w:cs="Arial"/>
        </w:rPr>
      </w:pPr>
      <w:r w:rsidRPr="00CE5166">
        <w:rPr>
          <w:rFonts w:ascii="Arial" w:hAnsi="Arial" w:cs="Arial"/>
        </w:rPr>
        <w:pict w14:anchorId="7D630E8A">
          <v:rect id="_x0000_i1036" style="width:0;height:1.5pt" o:hralign="center" o:hrstd="t" o:hr="t"/>
        </w:pict>
      </w:r>
    </w:p>
    <w:p w14:paraId="7D630DC8" w14:textId="77777777" w:rsidR="00DB24E2" w:rsidRPr="00CE5166" w:rsidRDefault="00000000">
      <w:pPr>
        <w:pStyle w:val="Heading1"/>
        <w:rPr>
          <w:rFonts w:ascii="Arial" w:hAnsi="Arial" w:cs="Arial"/>
        </w:rPr>
      </w:pPr>
      <w:bookmarkStart w:id="147" w:name="X8aa1de1879c6d813a256a3619463abb24920fea"/>
      <w:bookmarkStart w:id="148" w:name="_Toc206954724"/>
      <w:r w:rsidRPr="00CE5166">
        <w:rPr>
          <w:rFonts w:ascii="Arial" w:hAnsi="Arial" w:cs="Arial"/>
        </w:rPr>
        <w:t>Chapter 9: KPIs That Predict Profitability</w:t>
      </w:r>
      <w:bookmarkEnd w:id="147"/>
      <w:bookmarkEnd w:id="148"/>
    </w:p>
    <w:p w14:paraId="7D630DC9" w14:textId="77777777" w:rsidR="00DB24E2" w:rsidRPr="00CE5166" w:rsidRDefault="00000000">
      <w:pPr>
        <w:pStyle w:val="FirstParagraph"/>
        <w:rPr>
          <w:rFonts w:ascii="Arial" w:hAnsi="Arial" w:cs="Arial"/>
        </w:rPr>
      </w:pPr>
      <w:r w:rsidRPr="00CE5166">
        <w:rPr>
          <w:rFonts w:ascii="Arial" w:hAnsi="Arial" w:cs="Arial"/>
        </w:rPr>
        <w:t>The dashboard in the boardroom of a failing Seattle MSSP told a story of success: 99.9% uptime, 15-minute average response time, 10,000 alerts processed daily. The CEO presented these metrics with pride to increasingly skeptical investors. Six months later, the company folded. The dashboard had measured everything except what mattered. While analysts diligently processed alerts, customer acquisition costs had tripled. While response times improved, customer lifetime values halved. While uptime remained perfect, margins had gone negative. The company had optimized itself to death, improving metrics that predicted nothing while ignoring indicators that predicted everything.</w:t>
      </w:r>
    </w:p>
    <w:p w14:paraId="7D630DCA" w14:textId="77777777" w:rsidR="00DB24E2" w:rsidRPr="00CE5166" w:rsidRDefault="00000000">
      <w:pPr>
        <w:pStyle w:val="BodyText"/>
        <w:rPr>
          <w:rFonts w:ascii="Arial" w:hAnsi="Arial" w:cs="Arial"/>
        </w:rPr>
      </w:pPr>
      <w:r w:rsidRPr="00CE5166">
        <w:rPr>
          <w:rFonts w:ascii="Arial" w:hAnsi="Arial" w:cs="Arial"/>
        </w:rPr>
        <w:t>This cautionary tale repeats across the MSSP landscape—companies drowning in data but thirsting for insight. They measure what’s easy rather than what’s important, track activity rather than outcomes, and celebrate vanity metrics while missing warning signs. The difference between thriving and dying MSSPs isn’t superior technology or better processes—it’s knowing which numbers matter and why.</w:t>
      </w:r>
    </w:p>
    <w:p w14:paraId="7D630DCB" w14:textId="77777777" w:rsidR="00DB24E2" w:rsidRPr="00CE5166" w:rsidRDefault="00000000">
      <w:pPr>
        <w:pStyle w:val="Heading2"/>
        <w:rPr>
          <w:rFonts w:ascii="Arial" w:hAnsi="Arial" w:cs="Arial"/>
        </w:rPr>
      </w:pPr>
      <w:bookmarkStart w:id="149" w:name="financial-metrics-the-unforgiving-truth"/>
      <w:bookmarkStart w:id="150" w:name="_Toc206954725"/>
      <w:r w:rsidRPr="00CE5166">
        <w:rPr>
          <w:rFonts w:ascii="Arial" w:hAnsi="Arial" w:cs="Arial"/>
        </w:rPr>
        <w:t>Financial Metrics: The Unforgiving Truth</w:t>
      </w:r>
      <w:bookmarkEnd w:id="149"/>
      <w:bookmarkEnd w:id="150"/>
    </w:p>
    <w:p w14:paraId="7D630DCC" w14:textId="77777777" w:rsidR="00DB24E2" w:rsidRPr="00CE5166" w:rsidRDefault="00000000">
      <w:pPr>
        <w:pStyle w:val="FirstParagraph"/>
        <w:rPr>
          <w:rFonts w:ascii="Arial" w:hAnsi="Arial" w:cs="Arial"/>
        </w:rPr>
      </w:pPr>
      <w:r w:rsidRPr="00CE5166">
        <w:rPr>
          <w:rFonts w:ascii="Arial" w:hAnsi="Arial" w:cs="Arial"/>
        </w:rPr>
        <w:t>EBITDA margin stands as the ultimate arbiter of MSSP health, yet most companies calculate it incorrectly or incompletely. The target range of 15-20% separates sustainable businesses from walking dead (https://www.service-leadership.com/solution-providers/service-leadership-index-reports/). Below 15%, MSSPs lack resources for innovation, talent retention, or market downturns. Above 20%, they attract competition and acquisition interest. The sweet spot—17-18%—provides sustainability without painting targets.</w:t>
      </w:r>
    </w:p>
    <w:p w14:paraId="7D630DCD" w14:textId="77777777" w:rsidR="00DB24E2" w:rsidRPr="00CE5166" w:rsidRDefault="00000000">
      <w:pPr>
        <w:pStyle w:val="BodyText"/>
        <w:rPr>
          <w:rFonts w:ascii="Arial" w:hAnsi="Arial" w:cs="Arial"/>
        </w:rPr>
      </w:pPr>
      <w:r w:rsidRPr="00CE5166">
        <w:rPr>
          <w:rFonts w:ascii="Arial" w:hAnsi="Arial" w:cs="Arial"/>
        </w:rPr>
        <w:t>But EBITDA alone misleads. Gross margin by service line reveals where profits actually originate. Many MSSPs discover their core monitoring services operate at negative margins, subsidized by professional services or consulting. This cross-subsidy works until competitors unbundle services, cherry-picking profitable segments while leaving money-losers. Leading MSSPs maintain positive margins across all service lines, refusing offerings that dilute profitability regardless of revenue potential.</w:t>
      </w:r>
    </w:p>
    <w:p w14:paraId="7D630DCE" w14:textId="77777777" w:rsidR="00DB24E2" w:rsidRPr="00CE5166" w:rsidRDefault="00000000">
      <w:pPr>
        <w:pStyle w:val="BodyText"/>
        <w:rPr>
          <w:rFonts w:ascii="Arial" w:hAnsi="Arial" w:cs="Arial"/>
        </w:rPr>
      </w:pPr>
      <w:r w:rsidRPr="00CE5166">
        <w:rPr>
          <w:rFonts w:ascii="Arial" w:hAnsi="Arial" w:cs="Arial"/>
        </w:rPr>
        <w:t>The LTV/CAC ratio provides early warning of unsustainable growth. The minimum viable ratio of 3:1 means customer lifetime value must triple acquisition costs (https://www.klipfolio.com/resources/kpi-examples/saas/customer-lifetime-value-to-customer-acquisition-cost). Below this threshold, MSSPs essentially buy revenue, spending more to acquire customers than those relationships will ever return. The calculation requires brutal honesty—fully loaded sales costs, realistic retention rates, and accurate service delivery expenses. Most MSSPs discover their actual ratio hovers around 2:1, explaining why growth accelerates bankruptcy rather than prosperity.</w:t>
      </w:r>
    </w:p>
    <w:p w14:paraId="7D630DCF" w14:textId="77777777" w:rsidR="00DB24E2" w:rsidRPr="00CE5166" w:rsidRDefault="00000000">
      <w:pPr>
        <w:pStyle w:val="BodyText"/>
        <w:rPr>
          <w:rFonts w:ascii="Arial" w:hAnsi="Arial" w:cs="Arial"/>
        </w:rPr>
      </w:pPr>
      <w:r w:rsidRPr="00CE5166">
        <w:rPr>
          <w:rFonts w:ascii="Arial" w:hAnsi="Arial" w:cs="Arial"/>
        </w:rPr>
        <w:t>Revenue per employee benchmarks operational efficiency. Top-quartile MSSPs generate $200,000+ per employee annually. Average performers achieve $150,000. Below $125,000 signals fundamental dysfunction—too many people, too little automation, or prices too low to support human-intensive delivery. This metric resists gaming through outsourcing or contractor arbitrage; it reveals true operational leverage regardless of employment structure.</w:t>
      </w:r>
    </w:p>
    <w:p w14:paraId="7D630DD0" w14:textId="77777777" w:rsidR="00DB24E2" w:rsidRPr="00CE5166" w:rsidRDefault="00000000">
      <w:pPr>
        <w:pStyle w:val="BodyText"/>
        <w:rPr>
          <w:rFonts w:ascii="Arial" w:hAnsi="Arial" w:cs="Arial"/>
        </w:rPr>
      </w:pPr>
      <w:r w:rsidRPr="00CE5166">
        <w:rPr>
          <w:rFonts w:ascii="Arial" w:hAnsi="Arial" w:cs="Arial"/>
        </w:rPr>
        <w:t>Cash flow deserves special attention in an industry with high upfront costs and delayed revenues. Days sales outstanding (DSO) beyond 60 days creates working capital crunches that profitable companies can’t survive. Monthly recurring revenue (MRR) growth rate indicates trajectory—15% annual growth maintains competitiveness, 25% attracts investment, 35% suggests unsustainable acceleration that will eventually crash.</w:t>
      </w:r>
    </w:p>
    <w:p w14:paraId="7D630DD1" w14:textId="77777777" w:rsidR="00DB24E2" w:rsidRPr="00CE5166" w:rsidRDefault="00000000">
      <w:pPr>
        <w:pStyle w:val="Heading2"/>
        <w:rPr>
          <w:rFonts w:ascii="Arial" w:hAnsi="Arial" w:cs="Arial"/>
        </w:rPr>
      </w:pPr>
      <w:bookmarkStart w:id="151" w:name="operational-metrics-the-daily-reality"/>
      <w:bookmarkStart w:id="152" w:name="_Toc206954726"/>
      <w:r w:rsidRPr="00CE5166">
        <w:rPr>
          <w:rFonts w:ascii="Arial" w:hAnsi="Arial" w:cs="Arial"/>
        </w:rPr>
        <w:t>Operational Metrics: The Daily Reality</w:t>
      </w:r>
      <w:bookmarkEnd w:id="151"/>
      <w:bookmarkEnd w:id="152"/>
    </w:p>
    <w:p w14:paraId="7D630DD2" w14:textId="77777777" w:rsidR="00DB24E2" w:rsidRPr="00CE5166" w:rsidRDefault="00000000">
      <w:pPr>
        <w:pStyle w:val="FirstParagraph"/>
        <w:rPr>
          <w:rFonts w:ascii="Arial" w:hAnsi="Arial" w:cs="Arial"/>
        </w:rPr>
      </w:pPr>
      <w:r w:rsidRPr="00CE5166">
        <w:rPr>
          <w:rFonts w:ascii="Arial" w:hAnsi="Arial" w:cs="Arial"/>
        </w:rPr>
        <w:t>Utilization rate—the percentage of available analyst hours generating revenue—predicts profitability more accurately than most financial metrics. The target range of 75-80% balances efficiency with flexibility (https://www.evolvedmgmt.com/blog/using-msp-business-metrics). Below 75% suggests overstaffing or insufficient demand. Above 80% risks burnout, quality degradation, and inability to handle surges. The calculation must account for all time: training, meetings, breaks, administration. Most MSSPs discover actual utilization around 60%, explaining why labor costs destroy margins.</w:t>
      </w:r>
    </w:p>
    <w:p w14:paraId="7D630DD3" w14:textId="77777777" w:rsidR="00DB24E2" w:rsidRPr="00CE5166" w:rsidRDefault="00000000">
      <w:pPr>
        <w:pStyle w:val="BodyText"/>
        <w:rPr>
          <w:rFonts w:ascii="Arial" w:hAnsi="Arial" w:cs="Arial"/>
        </w:rPr>
      </w:pPr>
      <w:r w:rsidRPr="00CE5166">
        <w:rPr>
          <w:rFonts w:ascii="Arial" w:hAnsi="Arial" w:cs="Arial"/>
        </w:rPr>
        <w:t>Mean time to detect (MTTD) and mean time to respond (MTTR) remain industry standards, but leading MSSPs add mean time to contain (MTTC) and mean time to value (MTTV). MTTC measures how quickly threats are neutralized, not just identified. MTTV tracks how quickly security investments deliver measurable benefits. Together, these metrics drive behavior toward business outcomes rather than technical achievements.</w:t>
      </w:r>
    </w:p>
    <w:p w14:paraId="7D630DD4" w14:textId="77777777" w:rsidR="00DB24E2" w:rsidRPr="00CE5166" w:rsidRDefault="00000000">
      <w:pPr>
        <w:pStyle w:val="BodyText"/>
        <w:rPr>
          <w:rFonts w:ascii="Arial" w:hAnsi="Arial" w:cs="Arial"/>
        </w:rPr>
      </w:pPr>
      <w:r w:rsidRPr="00CE5166">
        <w:rPr>
          <w:rFonts w:ascii="Arial" w:hAnsi="Arial" w:cs="Arial"/>
        </w:rPr>
        <w:t>The automation percentage—portion of alerts handled without human intervention—predicts scalability. Below 50% indicates manual operations that can’t scale efficiently. Above 80% suggests sophisticated automation that enables growth without proportional cost increases (https://www.msspalert.com/native/ai-powered-profitability-how-autonomous-soc-drives-mssp-margin-growth). The trajectory matters more than absolute numbers; 10% quarterly improvement indicates transformation, stagnation suggests trouble.</w:t>
      </w:r>
    </w:p>
    <w:p w14:paraId="7D630DD5" w14:textId="77777777" w:rsidR="00DB24E2" w:rsidRPr="00CE5166" w:rsidRDefault="00000000">
      <w:pPr>
        <w:pStyle w:val="BodyText"/>
        <w:rPr>
          <w:rFonts w:ascii="Arial" w:hAnsi="Arial" w:cs="Arial"/>
        </w:rPr>
      </w:pPr>
      <w:r w:rsidRPr="00CE5166">
        <w:rPr>
          <w:rFonts w:ascii="Arial" w:hAnsi="Arial" w:cs="Arial"/>
        </w:rPr>
        <w:t>False positive rate directly impacts both costs and quality. The industry average of 66% means two-thirds of effort produces no value (https://www.paloaltonetworks.com/blog/2020/01/cortex-soc-metrics/). Reducing this to 20% triples effective capacity without adding headcount. Leading MSSPs track false positive rates by source, analyst, and client, identifying patterns that enable systematic improvement rather than random tuning.</w:t>
      </w:r>
    </w:p>
    <w:p w14:paraId="7D630DD6" w14:textId="77777777" w:rsidR="00DB24E2" w:rsidRPr="00CE5166" w:rsidRDefault="00000000">
      <w:pPr>
        <w:pStyle w:val="BodyText"/>
        <w:rPr>
          <w:rFonts w:ascii="Arial" w:hAnsi="Arial" w:cs="Arial"/>
        </w:rPr>
      </w:pPr>
      <w:r w:rsidRPr="00CE5166">
        <w:rPr>
          <w:rFonts w:ascii="Arial" w:hAnsi="Arial" w:cs="Arial"/>
        </w:rPr>
        <w:t>Escalation rate reveals operational maturity. High escalation percentages indicate either insufficient training or improper tier staffing. The target of less than 10% of incidents requiring escalation balances efficiency with expertise. Tracking escalation patterns identifies training gaps, process failures, and architectural problems before they become critical.</w:t>
      </w:r>
    </w:p>
    <w:p w14:paraId="7D630DD7" w14:textId="77777777" w:rsidR="00DB24E2" w:rsidRPr="00CE5166" w:rsidRDefault="00000000">
      <w:pPr>
        <w:pStyle w:val="Heading2"/>
        <w:rPr>
          <w:rFonts w:ascii="Arial" w:hAnsi="Arial" w:cs="Arial"/>
        </w:rPr>
      </w:pPr>
      <w:bookmarkStart w:id="153" w:name="X113aa85e9b20ace0178db85fde2ee635d51d98b"/>
      <w:bookmarkStart w:id="154" w:name="_Toc206954727"/>
      <w:r w:rsidRPr="00CE5166">
        <w:rPr>
          <w:rFonts w:ascii="Arial" w:hAnsi="Arial" w:cs="Arial"/>
        </w:rPr>
        <w:t>Customer Metrics: The Relationship Barometer</w:t>
      </w:r>
      <w:bookmarkEnd w:id="153"/>
      <w:bookmarkEnd w:id="154"/>
    </w:p>
    <w:p w14:paraId="7D630DD8" w14:textId="77777777" w:rsidR="00DB24E2" w:rsidRPr="00CE5166" w:rsidRDefault="00000000">
      <w:pPr>
        <w:pStyle w:val="FirstParagraph"/>
        <w:rPr>
          <w:rFonts w:ascii="Arial" w:hAnsi="Arial" w:cs="Arial"/>
        </w:rPr>
      </w:pPr>
      <w:r w:rsidRPr="00CE5166">
        <w:rPr>
          <w:rFonts w:ascii="Arial" w:hAnsi="Arial" w:cs="Arial"/>
        </w:rPr>
        <w:t>Net Promoter Score (NPS) predicts retention better than any satisfaction survey. The MSSP industry average of 32 is mediocre; leaders achieve 50+ (https://www.netsuite.com/portal/resource/articles/business-strategy/MSP-metrics.shtml). The real insight comes from segmentation: promoters (9-10 scores) drive referrals and expansion, passives (7-8) are retention risks, detractors (0-6) will churn and damage reputation. One detractor requires three promoters to neutralize—mathematics that explain why some growing MSSPs still fail.</w:t>
      </w:r>
    </w:p>
    <w:p w14:paraId="7D630DD9" w14:textId="77777777" w:rsidR="00DB24E2" w:rsidRPr="00CE5166" w:rsidRDefault="00000000">
      <w:pPr>
        <w:pStyle w:val="BodyText"/>
        <w:rPr>
          <w:rFonts w:ascii="Arial" w:hAnsi="Arial" w:cs="Arial"/>
        </w:rPr>
      </w:pPr>
      <w:r w:rsidRPr="00CE5166">
        <w:rPr>
          <w:rFonts w:ascii="Arial" w:hAnsi="Arial" w:cs="Arial"/>
        </w:rPr>
        <w:t>Customer retention rate directly impacts profitability through reduced acquisition costs and increased lifetime values. The industry average of 85-88% seems acceptable until you calculate the implications: 12-15% annual churn requires replacing your entire customer base every 6-8 years. Leaders achieving 95% retention need replacement only every 20 years. The compound advantage—stable revenues, deep relationships, institutional knowledge—creates insurmountable competitive moats.</w:t>
      </w:r>
    </w:p>
    <w:p w14:paraId="7D630DDA" w14:textId="77777777" w:rsidR="00DB24E2" w:rsidRPr="00CE5166" w:rsidRDefault="00000000">
      <w:pPr>
        <w:pStyle w:val="BodyText"/>
        <w:rPr>
          <w:rFonts w:ascii="Arial" w:hAnsi="Arial" w:cs="Arial"/>
        </w:rPr>
      </w:pPr>
      <w:r w:rsidRPr="00CE5166">
        <w:rPr>
          <w:rFonts w:ascii="Arial" w:hAnsi="Arial" w:cs="Arial"/>
        </w:rPr>
        <w:t>Revenue retention rate matters more than customer retention. A 90% customer retention with 80% revenue retention indicates high-value clients are departing while unprofitable accounts remain. The target of 110% net revenue retention means existing customer revenue grows 10% annually after churn—organic growth that costs nothing to acquire (https://www.saasassure.com/blog/msp-customer-retention-guide).</w:t>
      </w:r>
    </w:p>
    <w:p w14:paraId="7D630DDB" w14:textId="77777777" w:rsidR="00DB24E2" w:rsidRPr="00CE5166" w:rsidRDefault="00000000">
      <w:pPr>
        <w:pStyle w:val="BodyText"/>
        <w:rPr>
          <w:rFonts w:ascii="Arial" w:hAnsi="Arial" w:cs="Arial"/>
        </w:rPr>
      </w:pPr>
      <w:r w:rsidRPr="00CE5166">
        <w:rPr>
          <w:rFonts w:ascii="Arial" w:hAnsi="Arial" w:cs="Arial"/>
        </w:rPr>
        <w:t>Customer concentration risk rarely appears on dashboards but predicts vulnerability. When top clients represent over 10% of revenue individually or 40% collectively, single departures become existential threats. Healthy MSSPs maintain customer diversity with no single client exceeding 5% of revenue. The discipline to refuse mega-deals that create unhealthy dependence separates sustainable businesses from those perpetually at risk.</w:t>
      </w:r>
    </w:p>
    <w:p w14:paraId="7D630DDC" w14:textId="77777777" w:rsidR="00DB24E2" w:rsidRPr="00CE5166" w:rsidRDefault="00000000">
      <w:pPr>
        <w:pStyle w:val="BodyText"/>
        <w:rPr>
          <w:rFonts w:ascii="Arial" w:hAnsi="Arial" w:cs="Arial"/>
        </w:rPr>
      </w:pPr>
      <w:r w:rsidRPr="00CE5166">
        <w:rPr>
          <w:rFonts w:ascii="Arial" w:hAnsi="Arial" w:cs="Arial"/>
        </w:rPr>
        <w:t>Time to value—how quickly customers realize benefits—predicts both retention and referrals. Customers seeing value within 30 days show 90% one-year retention. Those waiting 90 days show 60% retention. This metric drives behavior toward rapid implementation and early wins rather than lengthy deployments that erode confidence before value materializes.</w:t>
      </w:r>
    </w:p>
    <w:p w14:paraId="7D630DDD" w14:textId="77777777" w:rsidR="00DB24E2" w:rsidRPr="00CE5166" w:rsidRDefault="00000000">
      <w:pPr>
        <w:pStyle w:val="Heading2"/>
        <w:rPr>
          <w:rFonts w:ascii="Arial" w:hAnsi="Arial" w:cs="Arial"/>
        </w:rPr>
      </w:pPr>
      <w:bookmarkStart w:id="155" w:name="Xe72137fe2bb43b6a93c8331c0c7fa1295df6b87"/>
      <w:bookmarkStart w:id="156" w:name="_Toc206954728"/>
      <w:r w:rsidRPr="00CE5166">
        <w:rPr>
          <w:rFonts w:ascii="Arial" w:hAnsi="Arial" w:cs="Arial"/>
        </w:rPr>
        <w:t>Leading Indicators: The Early Warning System</w:t>
      </w:r>
      <w:bookmarkEnd w:id="155"/>
      <w:bookmarkEnd w:id="156"/>
    </w:p>
    <w:p w14:paraId="7D630DDE" w14:textId="77777777" w:rsidR="00DB24E2" w:rsidRPr="00CE5166" w:rsidRDefault="00000000">
      <w:pPr>
        <w:pStyle w:val="FirstParagraph"/>
        <w:rPr>
          <w:rFonts w:ascii="Arial" w:hAnsi="Arial" w:cs="Arial"/>
        </w:rPr>
      </w:pPr>
      <w:r w:rsidRPr="00CE5166">
        <w:rPr>
          <w:rFonts w:ascii="Arial" w:hAnsi="Arial" w:cs="Arial"/>
        </w:rPr>
        <w:t>Pipeline velocity indicates future growth more accurately than pipeline volume. The average MSSP sales cycle of 3-6 months means today’s pipeline becomes next quarter’s revenue. Velocity metrics—conversion rates by stage, time in stage, average deal size progression—reveal whether growth will accelerate or stall. Declining velocity predicts revenue misses 2-3 quarters before they manifest.</w:t>
      </w:r>
    </w:p>
    <w:p w14:paraId="7D630DDF" w14:textId="77777777" w:rsidR="00DB24E2" w:rsidRPr="00CE5166" w:rsidRDefault="00000000">
      <w:pPr>
        <w:pStyle w:val="BodyText"/>
        <w:rPr>
          <w:rFonts w:ascii="Arial" w:hAnsi="Arial" w:cs="Arial"/>
        </w:rPr>
      </w:pPr>
      <w:r w:rsidRPr="00CE5166">
        <w:rPr>
          <w:rFonts w:ascii="Arial" w:hAnsi="Arial" w:cs="Arial"/>
        </w:rPr>
        <w:t>Employee satisfaction scores predict operational performance 6-12 months forward. Declining satisfaction leads to increased turnover, reduced quality, and customer defection in predictable patterns. The cost of replacing a senior analyst—$75,000 in recruiting, training, and productivity loss—justifies significant investment in satisfaction improvement. Yet most MSSPs measure satisfaction annually if at all, missing warning signs until damage becomes irreversible.</w:t>
      </w:r>
    </w:p>
    <w:p w14:paraId="7D630DE0" w14:textId="77777777" w:rsidR="00DB24E2" w:rsidRPr="00CE5166" w:rsidRDefault="00000000">
      <w:pPr>
        <w:pStyle w:val="BodyText"/>
        <w:rPr>
          <w:rFonts w:ascii="Arial" w:hAnsi="Arial" w:cs="Arial"/>
        </w:rPr>
      </w:pPr>
      <w:r w:rsidRPr="00CE5166">
        <w:rPr>
          <w:rFonts w:ascii="Arial" w:hAnsi="Arial" w:cs="Arial"/>
        </w:rPr>
        <w:t>Technical debt ratio—time spent maintaining versus innovating—predicts future competitiveness. When maintenance consumes over 70% of technical resources, innovation stalls, competitiveness erodes, and eventual decline becomes inevitable. Leading MSSPs maintain 50/50 balance between maintenance and innovation, ensuring current operations while building future capabilities.</w:t>
      </w:r>
    </w:p>
    <w:p w14:paraId="7D630DE1" w14:textId="77777777" w:rsidR="00DB24E2" w:rsidRPr="00CE5166" w:rsidRDefault="00000000">
      <w:pPr>
        <w:pStyle w:val="BodyText"/>
        <w:rPr>
          <w:rFonts w:ascii="Arial" w:hAnsi="Arial" w:cs="Arial"/>
        </w:rPr>
      </w:pPr>
      <w:r w:rsidRPr="00CE5166">
        <w:rPr>
          <w:rFonts w:ascii="Arial" w:hAnsi="Arial" w:cs="Arial"/>
        </w:rPr>
        <w:t>Vendor concentration parallels customer concentration in predicting risk. When single vendors provide critical capabilities, price increases, service degradation, or strategic changes become existential threats. The target maximum of 30% dependence on any single vendor ensures flexibility and negotiating leverage. MSSPs exceeding 50% single-vendor dependence essentially become resellers rather than service providers.</w:t>
      </w:r>
    </w:p>
    <w:p w14:paraId="7D630DE2" w14:textId="77777777" w:rsidR="00DB24E2" w:rsidRPr="00CE5166" w:rsidRDefault="00000000">
      <w:pPr>
        <w:pStyle w:val="BodyText"/>
        <w:rPr>
          <w:rFonts w:ascii="Arial" w:hAnsi="Arial" w:cs="Arial"/>
        </w:rPr>
      </w:pPr>
      <w:r w:rsidRPr="00CE5166">
        <w:rPr>
          <w:rFonts w:ascii="Arial" w:hAnsi="Arial" w:cs="Arial"/>
        </w:rPr>
        <w:t>Training investment per employee correlates with retention, quality, and growth capability. Industry leaders invest $15,000+ annually per employee in training and development. Average performers spend $5,000. Below $3,000 indicates stagnation that becomes self-reinforcing—poor training leads to poor performance leads to poor retention leads to perpetual recruiting rather than capability building.</w:t>
      </w:r>
    </w:p>
    <w:p w14:paraId="7D630DE3" w14:textId="77777777" w:rsidR="00DB24E2" w:rsidRPr="00CE5166" w:rsidRDefault="00000000">
      <w:pPr>
        <w:pStyle w:val="Heading2"/>
        <w:rPr>
          <w:rFonts w:ascii="Arial" w:hAnsi="Arial" w:cs="Arial"/>
        </w:rPr>
      </w:pPr>
      <w:bookmarkStart w:id="157" w:name="the-integration-challenge"/>
      <w:bookmarkStart w:id="158" w:name="_Toc206954729"/>
      <w:r w:rsidRPr="00CE5166">
        <w:rPr>
          <w:rFonts w:ascii="Arial" w:hAnsi="Arial" w:cs="Arial"/>
        </w:rPr>
        <w:t>The Integration Challenge</w:t>
      </w:r>
      <w:bookmarkEnd w:id="157"/>
      <w:bookmarkEnd w:id="158"/>
    </w:p>
    <w:p w14:paraId="7D630DE4" w14:textId="77777777" w:rsidR="00DB24E2" w:rsidRPr="00CE5166" w:rsidRDefault="00000000">
      <w:pPr>
        <w:pStyle w:val="FirstParagraph"/>
        <w:rPr>
          <w:rFonts w:ascii="Arial" w:hAnsi="Arial" w:cs="Arial"/>
        </w:rPr>
      </w:pPr>
      <w:r w:rsidRPr="00CE5166">
        <w:rPr>
          <w:rFonts w:ascii="Arial" w:hAnsi="Arial" w:cs="Arial"/>
        </w:rPr>
        <w:t>Individual metrics mislead; integrated scorecards reveal truth. An MSSP might show excellent MTTD but poor retention—fast detection means nothing if customers leave. Strong margins with declining NPS indicate short-term optimization destroying long-term value. High automation with low employee satisfaction suggests technology replacing rather than augmenting humans.</w:t>
      </w:r>
    </w:p>
    <w:p w14:paraId="7D630DE5" w14:textId="77777777" w:rsidR="00DB24E2" w:rsidRPr="00CE5166" w:rsidRDefault="00000000">
      <w:pPr>
        <w:pStyle w:val="BodyText"/>
        <w:rPr>
          <w:rFonts w:ascii="Arial" w:hAnsi="Arial" w:cs="Arial"/>
        </w:rPr>
      </w:pPr>
      <w:r w:rsidRPr="00CE5166">
        <w:rPr>
          <w:rFonts w:ascii="Arial" w:hAnsi="Arial" w:cs="Arial"/>
        </w:rPr>
        <w:t>The balanced scorecard approach prevents single-metric optimization at enterprise expense. Financial health (EBITDA, LTV/CAC, revenue per employee), operational excellence (utilization, automation, false positive rate), customer success (NPS, retention, time to value), and organizational capability (satisfaction, training investment, technical debt) must improve simultaneously. Progress in three dimensions while declining in the fourth predicts future failure regardless of current success.</w:t>
      </w:r>
    </w:p>
    <w:p w14:paraId="7D630DE6" w14:textId="77777777" w:rsidR="00DB24E2" w:rsidRPr="00CE5166" w:rsidRDefault="00000000">
      <w:pPr>
        <w:pStyle w:val="BodyText"/>
        <w:rPr>
          <w:rFonts w:ascii="Arial" w:hAnsi="Arial" w:cs="Arial"/>
        </w:rPr>
      </w:pPr>
      <w:r w:rsidRPr="00CE5166">
        <w:rPr>
          <w:rFonts w:ascii="Arial" w:hAnsi="Arial" w:cs="Arial"/>
        </w:rPr>
        <w:t>Cohort analysis reveals patterns that aggregate metrics obscure. Customers acquired in Q1 might show different retention than Q3 acquisitions. Specific service lines might drive profitability while others destroy it. Geographic regions might require different operating models. Without cohort analysis, MSSPs optimize averages while missing critical segments heading toward crisis or opportunity.</w:t>
      </w:r>
    </w:p>
    <w:p w14:paraId="7D630DE7" w14:textId="77777777" w:rsidR="00DB24E2" w:rsidRPr="00CE5166" w:rsidRDefault="00000000">
      <w:pPr>
        <w:pStyle w:val="Heading2"/>
        <w:rPr>
          <w:rFonts w:ascii="Arial" w:hAnsi="Arial" w:cs="Arial"/>
        </w:rPr>
      </w:pPr>
      <w:bookmarkStart w:id="159" w:name="the-action-imperative"/>
      <w:bookmarkStart w:id="160" w:name="_Toc206954730"/>
      <w:r w:rsidRPr="00CE5166">
        <w:rPr>
          <w:rFonts w:ascii="Arial" w:hAnsi="Arial" w:cs="Arial"/>
        </w:rPr>
        <w:t>The Action Imperative</w:t>
      </w:r>
      <w:bookmarkEnd w:id="159"/>
      <w:bookmarkEnd w:id="160"/>
    </w:p>
    <w:p w14:paraId="7D630DE8" w14:textId="77777777" w:rsidR="00DB24E2" w:rsidRPr="00CE5166" w:rsidRDefault="00000000">
      <w:pPr>
        <w:pStyle w:val="FirstParagraph"/>
        <w:rPr>
          <w:rFonts w:ascii="Arial" w:hAnsi="Arial" w:cs="Arial"/>
        </w:rPr>
      </w:pPr>
      <w:r w:rsidRPr="00CE5166">
        <w:rPr>
          <w:rFonts w:ascii="Arial" w:hAnsi="Arial" w:cs="Arial"/>
        </w:rPr>
        <w:t>Metrics without action are expensive entertainment. The most sophisticated dashboards mean nothing if organizations don’t respond to signals. Leading MSSPs establish clear thresholds that trigger automatic responses: retention below 90% initiates customer success interventions, utilization above 80% triggers hiring, automation percentage stagnation prompts technology review.</w:t>
      </w:r>
    </w:p>
    <w:p w14:paraId="7D630DE9" w14:textId="77777777" w:rsidR="00DB24E2" w:rsidRPr="00CE5166" w:rsidRDefault="00000000">
      <w:pPr>
        <w:pStyle w:val="BodyText"/>
        <w:rPr>
          <w:rFonts w:ascii="Arial" w:hAnsi="Arial" w:cs="Arial"/>
        </w:rPr>
      </w:pPr>
      <w:r w:rsidRPr="00CE5166">
        <w:rPr>
          <w:rFonts w:ascii="Arial" w:hAnsi="Arial" w:cs="Arial"/>
        </w:rPr>
        <w:t>The cadence of measurement matters as much as metrics themselves. Financial metrics require monthly review—annual planning is fantasy in dynamic markets. Operational metrics need weekly attention—daily creates noise, monthly misses inflection points. Customer metrics deserve quarterly deep dives with monthly monitoring. Leading indicators warrant continuous observation with defined escalation triggers.</w:t>
      </w:r>
    </w:p>
    <w:p w14:paraId="7D630DEA" w14:textId="77777777" w:rsidR="00DB24E2" w:rsidRPr="00CE5166" w:rsidRDefault="00000000">
      <w:pPr>
        <w:pStyle w:val="BodyText"/>
        <w:rPr>
          <w:rFonts w:ascii="Arial" w:hAnsi="Arial" w:cs="Arial"/>
        </w:rPr>
      </w:pPr>
      <w:r w:rsidRPr="00CE5166">
        <w:rPr>
          <w:rFonts w:ascii="Arial" w:hAnsi="Arial" w:cs="Arial"/>
        </w:rPr>
        <w:t>Most importantly, metrics must cascade throughout organizations. Board members need different metrics than analysts, but alignment ensures everyone pulls in the same direction. When analysts understand how their daily actions impact company-level KPIs, behavior aligns with strategy. When executives see operational metrics, they understand constraints and opportunities. The transparent flow of information transforms metrics from management tools to cultural artifacts.</w:t>
      </w:r>
    </w:p>
    <w:p w14:paraId="7D630DEB" w14:textId="77777777" w:rsidR="00DB24E2" w:rsidRPr="00CE5166" w:rsidRDefault="00000000">
      <w:pPr>
        <w:pStyle w:val="BodyText"/>
        <w:rPr>
          <w:rFonts w:ascii="Arial" w:hAnsi="Arial" w:cs="Arial"/>
        </w:rPr>
      </w:pPr>
      <w:r w:rsidRPr="00CE5166">
        <w:rPr>
          <w:rFonts w:ascii="Arial" w:hAnsi="Arial" w:cs="Arial"/>
        </w:rPr>
        <w:t>The metrics that predict MSSP profitability aren’t mysterious or complex. LTV/CAC ratios, utilization rates, false positive percentages, retention rates—these numbers tell clear stories to those willing to listen. The challenge isn’t measurement but response: acting on uncomfortable truths, changing despite momentum, and optimizing for tomorrow rather than today. Chapter 10 examines how to transform these insights into action through structured implementation roadmaps.</w:t>
      </w:r>
    </w:p>
    <w:p w14:paraId="7D630DEC" w14:textId="77777777" w:rsidR="00DB24E2" w:rsidRPr="00CE5166" w:rsidRDefault="00000000">
      <w:pPr>
        <w:rPr>
          <w:rFonts w:ascii="Arial" w:hAnsi="Arial" w:cs="Arial"/>
        </w:rPr>
      </w:pPr>
      <w:r w:rsidRPr="00CE5166">
        <w:rPr>
          <w:rFonts w:ascii="Arial" w:hAnsi="Arial" w:cs="Arial"/>
        </w:rPr>
        <w:pict w14:anchorId="7D630E8B">
          <v:rect id="_x0000_i1037" style="width:0;height:1.5pt" o:hralign="center" o:hrstd="t" o:hr="t"/>
        </w:pict>
      </w:r>
    </w:p>
    <w:p w14:paraId="7D630DED" w14:textId="77777777" w:rsidR="00DB24E2" w:rsidRPr="00CE5166" w:rsidRDefault="00000000">
      <w:pPr>
        <w:pStyle w:val="Heading1"/>
        <w:rPr>
          <w:rFonts w:ascii="Arial" w:hAnsi="Arial" w:cs="Arial"/>
        </w:rPr>
      </w:pPr>
      <w:bookmarkStart w:id="161" w:name="chapter-10-implementation-roadmap"/>
      <w:bookmarkStart w:id="162" w:name="_Toc206954731"/>
      <w:r w:rsidRPr="00CE5166">
        <w:rPr>
          <w:rFonts w:ascii="Arial" w:hAnsi="Arial" w:cs="Arial"/>
        </w:rPr>
        <w:t>Chapter 10: Implementation Roadmap</w:t>
      </w:r>
      <w:bookmarkEnd w:id="161"/>
      <w:bookmarkEnd w:id="162"/>
    </w:p>
    <w:p w14:paraId="7D630DEE" w14:textId="77777777" w:rsidR="00DB24E2" w:rsidRPr="00CE5166" w:rsidRDefault="00000000">
      <w:pPr>
        <w:pStyle w:val="FirstParagraph"/>
        <w:rPr>
          <w:rFonts w:ascii="Arial" w:hAnsi="Arial" w:cs="Arial"/>
        </w:rPr>
      </w:pPr>
      <w:r w:rsidRPr="00CE5166">
        <w:rPr>
          <w:rFonts w:ascii="Arial" w:hAnsi="Arial" w:cs="Arial"/>
        </w:rPr>
        <w:t>In January 2022, SecureWatch MSSP faced a stark choice: transform or die. Their 3% EBITDA margins, 68% analyst turnover, and 82% customer retention rate traced a trajectory toward insolvency within eighteen months. The board authorized a three-year transformation with $8 million investment—roughly half their annual profit, if one could call 3% margins “profit.” By December 2024, SecureWatch had achieved 18% EBITDA margins, 25% analyst turnover, and 94% retention. The transformation wasn’t magic but methodical execution of a roadmap that recognized a fundamental truth: you can’t fix everything simultaneously, but you must fix the right things sequentially.</w:t>
      </w:r>
    </w:p>
    <w:p w14:paraId="7D630DEF" w14:textId="77777777" w:rsidR="00DB24E2" w:rsidRPr="00CE5166" w:rsidRDefault="00000000">
      <w:pPr>
        <w:pStyle w:val="BodyText"/>
        <w:rPr>
          <w:rFonts w:ascii="Arial" w:hAnsi="Arial" w:cs="Arial"/>
        </w:rPr>
      </w:pPr>
      <w:r w:rsidRPr="00CE5166">
        <w:rPr>
          <w:rFonts w:ascii="Arial" w:hAnsi="Arial" w:cs="Arial"/>
        </w:rPr>
        <w:t>The implementation roadmap that saved SecureWatch—and could save the 25% of MSSPs currently operating at breakeven or losses—follows predictable patterns. Year One establishes foundations: platform consolidation, automation infrastructure, and financial discipline. Year Two optimizes operations: service standardization, talent transformation, and customer success programs. Year Three achieves differentiation: value-based pricing, market specialization, and strategic positioning. This sequence isn’t arbitrary but empirically validated—companies attempting pricing transformation before operational excellence inevitably fail, while those building strong foundations support whatever comes next.</w:t>
      </w:r>
    </w:p>
    <w:p w14:paraId="7D630DF0" w14:textId="77777777" w:rsidR="00DB24E2" w:rsidRPr="00CE5166" w:rsidRDefault="00000000">
      <w:pPr>
        <w:pStyle w:val="Heading2"/>
        <w:rPr>
          <w:rFonts w:ascii="Arial" w:hAnsi="Arial" w:cs="Arial"/>
        </w:rPr>
      </w:pPr>
      <w:bookmarkStart w:id="163" w:name="year-one-foundation-building"/>
      <w:bookmarkStart w:id="164" w:name="_Toc206954732"/>
      <w:r w:rsidRPr="00CE5166">
        <w:rPr>
          <w:rFonts w:ascii="Arial" w:hAnsi="Arial" w:cs="Arial"/>
        </w:rPr>
        <w:t>Year One: Foundation Building</w:t>
      </w:r>
      <w:bookmarkEnd w:id="163"/>
      <w:bookmarkEnd w:id="164"/>
    </w:p>
    <w:p w14:paraId="7D630DF1" w14:textId="77777777" w:rsidR="00DB24E2" w:rsidRPr="00CE5166" w:rsidRDefault="00000000">
      <w:pPr>
        <w:pStyle w:val="FirstParagraph"/>
        <w:rPr>
          <w:rFonts w:ascii="Arial" w:hAnsi="Arial" w:cs="Arial"/>
        </w:rPr>
      </w:pPr>
      <w:r w:rsidRPr="00CE5166">
        <w:rPr>
          <w:rFonts w:ascii="Arial" w:hAnsi="Arial" w:cs="Arial"/>
        </w:rPr>
        <w:t>The first year’s mandate is survival through stabilization. Before MSSPs can thrive, they must stop bleeding. This requires three parallel workstreams: platform consolidation to reduce complexity, automation investment to improve efficiency, and financial restructuring to ensure sustainability.</w:t>
      </w:r>
    </w:p>
    <w:p w14:paraId="7D630DF2" w14:textId="77777777" w:rsidR="00DB24E2" w:rsidRPr="00CE5166" w:rsidRDefault="00000000">
      <w:pPr>
        <w:pStyle w:val="BodyText"/>
        <w:rPr>
          <w:rFonts w:ascii="Arial" w:hAnsi="Arial" w:cs="Arial"/>
        </w:rPr>
      </w:pPr>
      <w:r w:rsidRPr="00CE5166">
        <w:rPr>
          <w:rFonts w:ascii="Arial" w:hAnsi="Arial" w:cs="Arial"/>
        </w:rPr>
        <w:t>Platform consolidation cannot wait. Every month maintaining twenty-plus vendors adds operational overhead, training costs, and integration complexity. The target—five or fewer core platforms—seems impossible to those accustomed to vendor sprawl, yet the math is inexorable. Twenty platforms at $50,000 annual cost each equals $1 million in licenses alone. Five platforms at $150,000 each saves $250,000 while reducing operational overhead by 40% (https://www.skedler.com/blog/scaling-observability-for-msp-what-works-what-fails/). The consolidation process requires brutal triage: which platforms are truly essential versus merely familiar?</w:t>
      </w:r>
    </w:p>
    <w:p w14:paraId="7D630DF3" w14:textId="77777777" w:rsidR="00DB24E2" w:rsidRPr="00CE5166" w:rsidRDefault="00000000">
      <w:pPr>
        <w:pStyle w:val="BodyText"/>
        <w:rPr>
          <w:rFonts w:ascii="Arial" w:hAnsi="Arial" w:cs="Arial"/>
        </w:rPr>
      </w:pPr>
      <w:r w:rsidRPr="00CE5166">
        <w:rPr>
          <w:rFonts w:ascii="Arial" w:hAnsi="Arial" w:cs="Arial"/>
        </w:rPr>
        <w:t>The selection criteria prioritize automation potential over feature completeness. A platform with 80% of features but comprehensive APIs beats one with 100% of features but integration limitations. The ability to automate workflows matters more than any individual capability. One MSSP reported spending six months selecting platforms and six weeks regretting choices made for features rather than automation. The lesson: optimize for tomorrow’s operations, not today’s requirements.</w:t>
      </w:r>
    </w:p>
    <w:p w14:paraId="7D630DF4" w14:textId="77777777" w:rsidR="00DB24E2" w:rsidRPr="00CE5166" w:rsidRDefault="00000000">
      <w:pPr>
        <w:pStyle w:val="BodyText"/>
        <w:rPr>
          <w:rFonts w:ascii="Arial" w:hAnsi="Arial" w:cs="Arial"/>
        </w:rPr>
      </w:pPr>
      <w:r w:rsidRPr="00CE5166">
        <w:rPr>
          <w:rFonts w:ascii="Arial" w:hAnsi="Arial" w:cs="Arial"/>
        </w:rPr>
        <w:t>Customer communication during platform consolidation determines success or failure. Leading MSSPs position consolidation as service improvement—better integration, faster response, improved detection—rather than cost reduction. They offer migration assistance, parallel operation during transition, and guarantees against service degradation. Some customers will leave regardless; accepting 10-15% customer loss during consolidation is preferable to maintaining unsustainable complexity.</w:t>
      </w:r>
    </w:p>
    <w:p w14:paraId="7D630DF5" w14:textId="77777777" w:rsidR="00DB24E2" w:rsidRPr="00CE5166" w:rsidRDefault="00000000">
      <w:pPr>
        <w:pStyle w:val="BodyText"/>
        <w:rPr>
          <w:rFonts w:ascii="Arial" w:hAnsi="Arial" w:cs="Arial"/>
        </w:rPr>
      </w:pPr>
      <w:r w:rsidRPr="00CE5166">
        <w:rPr>
          <w:rFonts w:ascii="Arial" w:hAnsi="Arial" w:cs="Arial"/>
        </w:rPr>
        <w:t>Automation infrastructure investment consumes the largest capital allocation in Year One—typically $2-3 million for mid-sized MSSPs. This isn’t purchasing SOAR platforms but building automation capabilities: hiring automation engineers, developing playbooks, creating integration frameworks. The temptation to buy tools rather than build capabilities proves fatal. Tools without expertise become expensive shelfware; expertise with basic tools transforms operations.</w:t>
      </w:r>
    </w:p>
    <w:p w14:paraId="7D630DF6" w14:textId="77777777" w:rsidR="00DB24E2" w:rsidRPr="00CE5166" w:rsidRDefault="00000000">
      <w:pPr>
        <w:pStyle w:val="BodyText"/>
        <w:rPr>
          <w:rFonts w:ascii="Arial" w:hAnsi="Arial" w:cs="Arial"/>
        </w:rPr>
      </w:pPr>
      <w:r w:rsidRPr="00CE5166">
        <w:rPr>
          <w:rFonts w:ascii="Arial" w:hAnsi="Arial" w:cs="Arial"/>
        </w:rPr>
        <w:t>The automation sequence matters enormously. Start with alert enrichment to reduce false positives—the highest-impact, lowest-risk automation. Progress to incident response automation for common scenarios. Only then attempt complex orchestration across multiple systems. MSSPs that begin with complex automation often abandon efforts after expensive failures. Those that build incrementally achieve the 70-80% workload reduction that transforms economics (https://www.msspalert.com/news/d3-security-survey-ties-automation-to-mssp-growth-analyst-wellbeing).</w:t>
      </w:r>
    </w:p>
    <w:p w14:paraId="7D630DF7" w14:textId="77777777" w:rsidR="00DB24E2" w:rsidRPr="00CE5166" w:rsidRDefault="00000000">
      <w:pPr>
        <w:pStyle w:val="BodyText"/>
        <w:rPr>
          <w:rFonts w:ascii="Arial" w:hAnsi="Arial" w:cs="Arial"/>
        </w:rPr>
      </w:pPr>
      <w:r w:rsidRPr="00CE5166">
        <w:rPr>
          <w:rFonts w:ascii="Arial" w:hAnsi="Arial" w:cs="Arial"/>
        </w:rPr>
        <w:t>Financial restructuring in Year One focuses on unit economics rather than top-line growth. This means firing unprofitable customers—a heretical notion in growth-obsessed technology markets. Yet the math is undeniable: customers generating negative margins don’t improve with scale; they accelerate bankruptcy. One MSSP terminated 30% of customers representing 15% of revenue but 40% of operational costs. Margins improved from 5% to 12% through subtraction alone.</w:t>
      </w:r>
    </w:p>
    <w:p w14:paraId="7D630DF8" w14:textId="77777777" w:rsidR="00DB24E2" w:rsidRPr="00CE5166" w:rsidRDefault="00000000">
      <w:pPr>
        <w:pStyle w:val="Heading2"/>
        <w:rPr>
          <w:rFonts w:ascii="Arial" w:hAnsi="Arial" w:cs="Arial"/>
        </w:rPr>
      </w:pPr>
      <w:bookmarkStart w:id="165" w:name="year-two-operational-optimization"/>
      <w:bookmarkStart w:id="166" w:name="_Toc206954733"/>
      <w:r w:rsidRPr="00CE5166">
        <w:rPr>
          <w:rFonts w:ascii="Arial" w:hAnsi="Arial" w:cs="Arial"/>
        </w:rPr>
        <w:t>Year Two: Operational Optimization</w:t>
      </w:r>
      <w:bookmarkEnd w:id="165"/>
      <w:bookmarkEnd w:id="166"/>
    </w:p>
    <w:p w14:paraId="7D630DF9" w14:textId="77777777" w:rsidR="00DB24E2" w:rsidRPr="00CE5166" w:rsidRDefault="00000000">
      <w:pPr>
        <w:pStyle w:val="FirstParagraph"/>
        <w:rPr>
          <w:rFonts w:ascii="Arial" w:hAnsi="Arial" w:cs="Arial"/>
        </w:rPr>
      </w:pPr>
      <w:r w:rsidRPr="00CE5166">
        <w:rPr>
          <w:rFonts w:ascii="Arial" w:hAnsi="Arial" w:cs="Arial"/>
        </w:rPr>
        <w:t>With foundations established, Year Two focuses on operational excellence that transforms capabilities into competitive advantages. Service standardization, talent transformation, and customer success programs work synergistically to improve quality while reducing costs.</w:t>
      </w:r>
    </w:p>
    <w:p w14:paraId="7D630DFA" w14:textId="77777777" w:rsidR="00DB24E2" w:rsidRPr="00CE5166" w:rsidRDefault="00000000">
      <w:pPr>
        <w:pStyle w:val="BodyText"/>
        <w:rPr>
          <w:rFonts w:ascii="Arial" w:hAnsi="Arial" w:cs="Arial"/>
        </w:rPr>
      </w:pPr>
      <w:r w:rsidRPr="00CE5166">
        <w:rPr>
          <w:rFonts w:ascii="Arial" w:hAnsi="Arial" w:cs="Arial"/>
        </w:rPr>
        <w:t>Service standardization begins with radical simplification. Instead of customized offerings for every client, create three to five standard packages that cover 80% of requirements. Bronze, silver, gold—the naming matters less than the discipline to refuse customization. Clients demanding bespoke services receive polite referrals to competitors willing to lose money serving them. This standardization enables automation benefits, training efficiency, and predictable costs that custom services prevent.</w:t>
      </w:r>
    </w:p>
    <w:p w14:paraId="7D630DFB" w14:textId="77777777" w:rsidR="00DB24E2" w:rsidRPr="00CE5166" w:rsidRDefault="00000000">
      <w:pPr>
        <w:pStyle w:val="BodyText"/>
        <w:rPr>
          <w:rFonts w:ascii="Arial" w:hAnsi="Arial" w:cs="Arial"/>
        </w:rPr>
      </w:pPr>
      <w:r w:rsidRPr="00CE5166">
        <w:rPr>
          <w:rFonts w:ascii="Arial" w:hAnsi="Arial" w:cs="Arial"/>
        </w:rPr>
        <w:t>The standardization process reveals uncomfortable truths about service profitability. Many MSSPs discover their flagship services lose money while add-ons generate all profits. One company found their core monitoring service had -5% margins, subsidized by 40% margin incident response services. The solution wasn’t raising monitoring prices but bundling services to ensure every customer relationship generates acceptable margins. Selling losses to make up in volume remains a path to bankruptcy regardless of scale.</w:t>
      </w:r>
    </w:p>
    <w:p w14:paraId="7D630DFC" w14:textId="77777777" w:rsidR="00DB24E2" w:rsidRPr="00CE5166" w:rsidRDefault="00000000">
      <w:pPr>
        <w:pStyle w:val="BodyText"/>
        <w:rPr>
          <w:rFonts w:ascii="Arial" w:hAnsi="Arial" w:cs="Arial"/>
        </w:rPr>
      </w:pPr>
      <w:r w:rsidRPr="00CE5166">
        <w:rPr>
          <w:rFonts w:ascii="Arial" w:hAnsi="Arial" w:cs="Arial"/>
        </w:rPr>
        <w:t>Talent transformation in Year Two moves beyond retention to capability building. The goal isn’t keeping existing analysts but transforming them into automation engineers, security architects, and customer success managers. This requires investment—$15,000 per employee in training, certification, and development (https://www.netsuite.com/portal/resource/articles/business-strategy/MSP-metrics.shtml). The return justifies the cost: employees who see career paths stay longer, perform better, and create more value.</w:t>
      </w:r>
    </w:p>
    <w:p w14:paraId="7D630DFD" w14:textId="77777777" w:rsidR="00DB24E2" w:rsidRPr="00CE5166" w:rsidRDefault="00000000">
      <w:pPr>
        <w:pStyle w:val="BodyText"/>
        <w:rPr>
          <w:rFonts w:ascii="Arial" w:hAnsi="Arial" w:cs="Arial"/>
        </w:rPr>
      </w:pPr>
      <w:r w:rsidRPr="00CE5166">
        <w:rPr>
          <w:rFonts w:ascii="Arial" w:hAnsi="Arial" w:cs="Arial"/>
        </w:rPr>
        <w:t>The transformation must be systematic rather than sporadic. Create formal career paths from analyst to architect. Establish certification requirements tied to compensation. Implement rotation programs exposing analysts to different roles. One MSSP reduced turnover from 70% to 30% simply by showing employees futures beyond endless alert processing. The retained expertise and reduced recruiting costs paid for all training investments within twelve months.</w:t>
      </w:r>
    </w:p>
    <w:p w14:paraId="7D630DFE" w14:textId="77777777" w:rsidR="00DB24E2" w:rsidRPr="00CE5166" w:rsidRDefault="00000000">
      <w:pPr>
        <w:pStyle w:val="BodyText"/>
        <w:rPr>
          <w:rFonts w:ascii="Arial" w:hAnsi="Arial" w:cs="Arial"/>
        </w:rPr>
      </w:pPr>
      <w:r w:rsidRPr="00CE5166">
        <w:rPr>
          <w:rFonts w:ascii="Arial" w:hAnsi="Arial" w:cs="Arial"/>
        </w:rPr>
        <w:t>Customer success programs in Year Two shift focus from satisfaction to value realization. Instead of asking “Are you happy?” ask “What value have we delivered?” The distinction transforms relationships from vendor to partner. Implement quarterly business reviews showing risk reduction, compliance improvement, and incident prevention in business terms executives understand. Create automated reporting that demonstrates value continuously rather than defending it periodically.</w:t>
      </w:r>
    </w:p>
    <w:p w14:paraId="7D630DFF" w14:textId="77777777" w:rsidR="00DB24E2" w:rsidRPr="00CE5166" w:rsidRDefault="00000000">
      <w:pPr>
        <w:pStyle w:val="BodyText"/>
        <w:rPr>
          <w:rFonts w:ascii="Arial" w:hAnsi="Arial" w:cs="Arial"/>
        </w:rPr>
      </w:pPr>
      <w:r w:rsidRPr="00CE5166">
        <w:rPr>
          <w:rFonts w:ascii="Arial" w:hAnsi="Arial" w:cs="Arial"/>
        </w:rPr>
        <w:t>The investment in customer success seems expensive—dedicated managers, sophisticated reporting, regular engagement—until compared to acquisition costs. Preventing one enterprise customer departure saves $45,000 in replacement costs plus preserves $100,000+ in annual revenue. Customer success managers who prevent three departures annually justify their entire compensation through retention alone, before considering expansion opportunities.</w:t>
      </w:r>
    </w:p>
    <w:p w14:paraId="7D630E00" w14:textId="77777777" w:rsidR="00DB24E2" w:rsidRPr="00CE5166" w:rsidRDefault="00000000">
      <w:pPr>
        <w:pStyle w:val="Heading2"/>
        <w:rPr>
          <w:rFonts w:ascii="Arial" w:hAnsi="Arial" w:cs="Arial"/>
        </w:rPr>
      </w:pPr>
      <w:bookmarkStart w:id="167" w:name="year-three-strategic-differentiation"/>
      <w:bookmarkStart w:id="168" w:name="_Toc206954734"/>
      <w:r w:rsidRPr="00CE5166">
        <w:rPr>
          <w:rFonts w:ascii="Arial" w:hAnsi="Arial" w:cs="Arial"/>
        </w:rPr>
        <w:t>Year Three: Strategic Differentiation</w:t>
      </w:r>
      <w:bookmarkEnd w:id="167"/>
      <w:bookmarkEnd w:id="168"/>
    </w:p>
    <w:p w14:paraId="7D630E01" w14:textId="77777777" w:rsidR="00DB24E2" w:rsidRPr="00CE5166" w:rsidRDefault="00000000">
      <w:pPr>
        <w:pStyle w:val="FirstParagraph"/>
        <w:rPr>
          <w:rFonts w:ascii="Arial" w:hAnsi="Arial" w:cs="Arial"/>
        </w:rPr>
      </w:pPr>
      <w:r w:rsidRPr="00CE5166">
        <w:rPr>
          <w:rFonts w:ascii="Arial" w:hAnsi="Arial" w:cs="Arial"/>
        </w:rPr>
        <w:t>Year Three transforms operational excellence into market leadership through value-based pricing, market specialization, and strategic positioning that escapes commodity competition.</w:t>
      </w:r>
    </w:p>
    <w:p w14:paraId="7D630E02" w14:textId="77777777" w:rsidR="00DB24E2" w:rsidRPr="00CE5166" w:rsidRDefault="00000000">
      <w:pPr>
        <w:pStyle w:val="BodyText"/>
        <w:rPr>
          <w:rFonts w:ascii="Arial" w:hAnsi="Arial" w:cs="Arial"/>
        </w:rPr>
      </w:pPr>
      <w:r w:rsidRPr="00CE5166">
        <w:rPr>
          <w:rFonts w:ascii="Arial" w:hAnsi="Arial" w:cs="Arial"/>
        </w:rPr>
        <w:t>Value-based pricing migration requires confidence earned through two years of operational improvement. MSSPs can’t charge for outcomes they can’t deliver, but once capable, they’re foolish to charge for anything else. The transition from per-device to per-outcome pricing typically doubles average contract values while improving customer satisfaction—a rare win-win in zero-sum markets.</w:t>
      </w:r>
    </w:p>
    <w:p w14:paraId="7D630E03" w14:textId="77777777" w:rsidR="00DB24E2" w:rsidRPr="00CE5166" w:rsidRDefault="00000000">
      <w:pPr>
        <w:pStyle w:val="BodyText"/>
        <w:rPr>
          <w:rFonts w:ascii="Arial" w:hAnsi="Arial" w:cs="Arial"/>
        </w:rPr>
      </w:pPr>
      <w:r w:rsidRPr="00CE5166">
        <w:rPr>
          <w:rFonts w:ascii="Arial" w:hAnsi="Arial" w:cs="Arial"/>
        </w:rPr>
        <w:t>The migration process requires careful orchestration. Start with new customers who don’t know previous pricing. Demonstrate value through metrics and case studies. Only then approach existing customers with value-based models that align interests rather than create conflicts. One MSSP reported 60% of customers accepting 40% price increases when framed as outcome alignment rather than cost escalation.</w:t>
      </w:r>
    </w:p>
    <w:p w14:paraId="7D630E04" w14:textId="77777777" w:rsidR="00DB24E2" w:rsidRPr="00CE5166" w:rsidRDefault="00000000">
      <w:pPr>
        <w:pStyle w:val="BodyText"/>
        <w:rPr>
          <w:rFonts w:ascii="Arial" w:hAnsi="Arial" w:cs="Arial"/>
        </w:rPr>
      </w:pPr>
      <w:r w:rsidRPr="00CE5166">
        <w:rPr>
          <w:rFonts w:ascii="Arial" w:hAnsi="Arial" w:cs="Arial"/>
        </w:rPr>
        <w:t>Market specialization in Year Three leverages operational excellence for premium positioning. Instead of serving everyone poorly, serve specific segments exceptionally. Healthcare, financial services, manufacturing—each vertical has unique requirements that justify premium pricing for specialized expertise. The specialization doesn’t require abandoning other segments immediately but rather building beachheads in chosen markets while maintaining existing relationships.</w:t>
      </w:r>
    </w:p>
    <w:p w14:paraId="7D630E05" w14:textId="77777777" w:rsidR="00DB24E2" w:rsidRPr="00CE5166" w:rsidRDefault="00000000">
      <w:pPr>
        <w:pStyle w:val="BodyText"/>
        <w:rPr>
          <w:rFonts w:ascii="Arial" w:hAnsi="Arial" w:cs="Arial"/>
        </w:rPr>
      </w:pPr>
      <w:r w:rsidRPr="00CE5166">
        <w:rPr>
          <w:rFonts w:ascii="Arial" w:hAnsi="Arial" w:cs="Arial"/>
        </w:rPr>
        <w:t>The specialization process builds on itself. Each new customer in a vertical improves expertise for all customers in that vertical. Threat intelligence becomes more relevant. Compliance expertise deepens. References multiply. Within 18 months, specialized MSSPs command 30-50% price premiums while reducing service delivery costs through standardization around vertical requirements.</w:t>
      </w:r>
    </w:p>
    <w:p w14:paraId="7D630E06" w14:textId="77777777" w:rsidR="00DB24E2" w:rsidRPr="00CE5166" w:rsidRDefault="00000000">
      <w:pPr>
        <w:pStyle w:val="BodyText"/>
        <w:rPr>
          <w:rFonts w:ascii="Arial" w:hAnsi="Arial" w:cs="Arial"/>
        </w:rPr>
      </w:pPr>
      <w:r w:rsidRPr="00CE5166">
        <w:rPr>
          <w:rFonts w:ascii="Arial" w:hAnsi="Arial" w:cs="Arial"/>
        </w:rPr>
        <w:t>Strategic positioning in Year Three establishes sustainable differentiation that competitors can’t easily replicate. This might be geographic dominance, technology platform superiority, or service model innovation. The key is choosing battles you can win rather than competing where everyone loses. One MSSP abandoned enterprise markets entirely, focusing on mid-market companies ignored by larger competitors. They achieved 25% margins serving customers others wouldn’t touch.</w:t>
      </w:r>
    </w:p>
    <w:p w14:paraId="7D630E07" w14:textId="77777777" w:rsidR="00DB24E2" w:rsidRPr="00CE5166" w:rsidRDefault="00000000">
      <w:pPr>
        <w:pStyle w:val="Heading2"/>
        <w:rPr>
          <w:rFonts w:ascii="Arial" w:hAnsi="Arial" w:cs="Arial"/>
        </w:rPr>
      </w:pPr>
      <w:bookmarkStart w:id="169" w:name="common-pitfalls-and-failure-patterns"/>
      <w:bookmarkStart w:id="170" w:name="_Toc206954735"/>
      <w:r w:rsidRPr="00CE5166">
        <w:rPr>
          <w:rFonts w:ascii="Arial" w:hAnsi="Arial" w:cs="Arial"/>
        </w:rPr>
        <w:t>Common Pitfalls and Failure Patterns</w:t>
      </w:r>
      <w:bookmarkEnd w:id="169"/>
      <w:bookmarkEnd w:id="170"/>
    </w:p>
    <w:p w14:paraId="7D630E08" w14:textId="77777777" w:rsidR="00DB24E2" w:rsidRPr="00CE5166" w:rsidRDefault="00000000">
      <w:pPr>
        <w:pStyle w:val="FirstParagraph"/>
        <w:rPr>
          <w:rFonts w:ascii="Arial" w:hAnsi="Arial" w:cs="Arial"/>
        </w:rPr>
      </w:pPr>
      <w:r w:rsidRPr="00CE5166">
        <w:rPr>
          <w:rFonts w:ascii="Arial" w:hAnsi="Arial" w:cs="Arial"/>
        </w:rPr>
        <w:t>The road to transformation is littered with MSSPs that started strong but failed to finish. Understanding common failure patterns prevents repetition of expensive mistakes.</w:t>
      </w:r>
    </w:p>
    <w:p w14:paraId="7D630E09" w14:textId="77777777" w:rsidR="00DB24E2" w:rsidRPr="00CE5166" w:rsidRDefault="00000000">
      <w:pPr>
        <w:pStyle w:val="BodyText"/>
        <w:rPr>
          <w:rFonts w:ascii="Arial" w:hAnsi="Arial" w:cs="Arial"/>
        </w:rPr>
      </w:pPr>
      <w:r w:rsidRPr="00CE5166">
        <w:rPr>
          <w:rFonts w:ascii="Arial" w:hAnsi="Arial" w:cs="Arial"/>
        </w:rPr>
        <w:t>The most common pitfall is impatience—attempting Year Three strategies with Year One capabilities. MSSPs that implement value-based pricing before achieving operational excellence can’t deliver promised outcomes. Those that specialize before standardizing create customized complexity that destroys margins. The sequence matters: foundation, optimization, differentiation. Shortcuts lead to dead ends.</w:t>
      </w:r>
    </w:p>
    <w:p w14:paraId="7D630E0A" w14:textId="77777777" w:rsidR="00DB24E2" w:rsidRPr="00CE5166" w:rsidRDefault="00000000">
      <w:pPr>
        <w:pStyle w:val="BodyText"/>
        <w:rPr>
          <w:rFonts w:ascii="Arial" w:hAnsi="Arial" w:cs="Arial"/>
        </w:rPr>
      </w:pPr>
      <w:r w:rsidRPr="00CE5166">
        <w:rPr>
          <w:rFonts w:ascii="Arial" w:hAnsi="Arial" w:cs="Arial"/>
        </w:rPr>
        <w:t>The second failure pattern is incomplete commitment. Transformation requires investment that reduces short-term profits for long-term sustainability. MSSPs that halt platform consolidation at ten vendors capture minimal benefits. Those that automate tactically rather than strategically see marginal improvements. Half-measures produce quarter-results at full cost.</w:t>
      </w:r>
    </w:p>
    <w:p w14:paraId="7D630E0B" w14:textId="77777777" w:rsidR="00DB24E2" w:rsidRPr="00CE5166" w:rsidRDefault="00000000">
      <w:pPr>
        <w:pStyle w:val="BodyText"/>
        <w:rPr>
          <w:rFonts w:ascii="Arial" w:hAnsi="Arial" w:cs="Arial"/>
        </w:rPr>
      </w:pPr>
      <w:r w:rsidRPr="00CE5166">
        <w:rPr>
          <w:rFonts w:ascii="Arial" w:hAnsi="Arial" w:cs="Arial"/>
        </w:rPr>
        <w:t>The third trap is metric fixation without action. Sophisticated dashboards showing deteriorating metrics mean nothing without response mechanisms. One MSSP tracked customer satisfaction declining for six consecutive quarters without intervention, then expressed surprise when 40% of customers departed simultaneously. Metrics predict the future only for those willing to change the present.</w:t>
      </w:r>
    </w:p>
    <w:p w14:paraId="7D630E0C" w14:textId="77777777" w:rsidR="00DB24E2" w:rsidRPr="00CE5166" w:rsidRDefault="00000000">
      <w:pPr>
        <w:pStyle w:val="Heading2"/>
        <w:rPr>
          <w:rFonts w:ascii="Arial" w:hAnsi="Arial" w:cs="Arial"/>
        </w:rPr>
      </w:pPr>
      <w:bookmarkStart w:id="171" w:name="the-transformation-timeline"/>
      <w:bookmarkStart w:id="172" w:name="_Toc206954736"/>
      <w:r w:rsidRPr="00CE5166">
        <w:rPr>
          <w:rFonts w:ascii="Arial" w:hAnsi="Arial" w:cs="Arial"/>
        </w:rPr>
        <w:t>The Transformation Timeline</w:t>
      </w:r>
      <w:bookmarkEnd w:id="171"/>
      <w:bookmarkEnd w:id="172"/>
    </w:p>
    <w:p w14:paraId="7D630E0D" w14:textId="77777777" w:rsidR="00DB24E2" w:rsidRPr="00CE5166" w:rsidRDefault="00000000">
      <w:pPr>
        <w:pStyle w:val="FirstParagraph"/>
        <w:rPr>
          <w:rFonts w:ascii="Arial" w:hAnsi="Arial" w:cs="Arial"/>
        </w:rPr>
      </w:pPr>
      <w:r w:rsidRPr="00CE5166">
        <w:rPr>
          <w:rFonts w:ascii="Arial" w:hAnsi="Arial" w:cs="Arial"/>
        </w:rPr>
        <w:t>Successful transformation follows predictable timelines with specific milestones that validate progress or signal problems.</w:t>
      </w:r>
    </w:p>
    <w:p w14:paraId="7D630E0E" w14:textId="77777777" w:rsidR="00DB24E2" w:rsidRPr="00CE5166" w:rsidRDefault="00000000">
      <w:pPr>
        <w:pStyle w:val="BodyText"/>
        <w:rPr>
          <w:rFonts w:ascii="Arial" w:hAnsi="Arial" w:cs="Arial"/>
        </w:rPr>
      </w:pPr>
      <w:r w:rsidRPr="00CE5166">
        <w:rPr>
          <w:rFonts w:ascii="Arial" w:hAnsi="Arial" w:cs="Arial"/>
        </w:rPr>
        <w:t>Months 1-3: Platform vendor selection, customer communication, team formation. Warning sign: analysis paralysis delaying decisions.</w:t>
      </w:r>
    </w:p>
    <w:p w14:paraId="7D630E0F" w14:textId="77777777" w:rsidR="00DB24E2" w:rsidRPr="00CE5166" w:rsidRDefault="00000000">
      <w:pPr>
        <w:pStyle w:val="BodyText"/>
        <w:rPr>
          <w:rFonts w:ascii="Arial" w:hAnsi="Arial" w:cs="Arial"/>
        </w:rPr>
      </w:pPr>
      <w:r w:rsidRPr="00CE5166">
        <w:rPr>
          <w:rFonts w:ascii="Arial" w:hAnsi="Arial" w:cs="Arial"/>
        </w:rPr>
        <w:t>Months 4-9: Platform migration, initial automation, customer transitions. Warning sign: customer defection exceeding 20%.</w:t>
      </w:r>
    </w:p>
    <w:p w14:paraId="7D630E10" w14:textId="77777777" w:rsidR="00DB24E2" w:rsidRPr="00CE5166" w:rsidRDefault="00000000">
      <w:pPr>
        <w:pStyle w:val="BodyText"/>
        <w:rPr>
          <w:rFonts w:ascii="Arial" w:hAnsi="Arial" w:cs="Arial"/>
        </w:rPr>
      </w:pPr>
      <w:r w:rsidRPr="00CE5166">
        <w:rPr>
          <w:rFonts w:ascii="Arial" w:hAnsi="Arial" w:cs="Arial"/>
        </w:rPr>
        <w:t>Months 10-12: Automation expansion, financial restructuring, Year One metrics validation. Success indicator: 5%+ margin improvement.</w:t>
      </w:r>
    </w:p>
    <w:p w14:paraId="7D630E11" w14:textId="77777777" w:rsidR="00DB24E2" w:rsidRPr="00CE5166" w:rsidRDefault="00000000">
      <w:pPr>
        <w:pStyle w:val="BodyText"/>
        <w:rPr>
          <w:rFonts w:ascii="Arial" w:hAnsi="Arial" w:cs="Arial"/>
        </w:rPr>
      </w:pPr>
      <w:r w:rsidRPr="00CE5166">
        <w:rPr>
          <w:rFonts w:ascii="Arial" w:hAnsi="Arial" w:cs="Arial"/>
        </w:rPr>
        <w:t>Months 13-18: Service standardization, talent development programs, customer success implementation. Warning sign: employee turnover increasing.</w:t>
      </w:r>
    </w:p>
    <w:p w14:paraId="7D630E12" w14:textId="77777777" w:rsidR="00DB24E2" w:rsidRPr="00CE5166" w:rsidRDefault="00000000">
      <w:pPr>
        <w:pStyle w:val="BodyText"/>
        <w:rPr>
          <w:rFonts w:ascii="Arial" w:hAnsi="Arial" w:cs="Arial"/>
        </w:rPr>
      </w:pPr>
      <w:r w:rsidRPr="00CE5166">
        <w:rPr>
          <w:rFonts w:ascii="Arial" w:hAnsi="Arial" w:cs="Arial"/>
        </w:rPr>
        <w:t>Months 19-24: Operational refinement, expansion into retained customers, Year Two validation. Success indicator: 90%+ customer retention achieved.</w:t>
      </w:r>
    </w:p>
    <w:p w14:paraId="7D630E13" w14:textId="77777777" w:rsidR="00DB24E2" w:rsidRPr="00CE5166" w:rsidRDefault="00000000">
      <w:pPr>
        <w:pStyle w:val="BodyText"/>
        <w:rPr>
          <w:rFonts w:ascii="Arial" w:hAnsi="Arial" w:cs="Arial"/>
        </w:rPr>
      </w:pPr>
      <w:r w:rsidRPr="00CE5166">
        <w:rPr>
          <w:rFonts w:ascii="Arial" w:hAnsi="Arial" w:cs="Arial"/>
        </w:rPr>
        <w:t>Months 25-30: Value pricing pilots, market specialization selection, strategic positioning development. Warning sign: competitors copying innovations.</w:t>
      </w:r>
    </w:p>
    <w:p w14:paraId="7D630E14" w14:textId="77777777" w:rsidR="00DB24E2" w:rsidRPr="00CE5166" w:rsidRDefault="00000000">
      <w:pPr>
        <w:pStyle w:val="BodyText"/>
        <w:rPr>
          <w:rFonts w:ascii="Arial" w:hAnsi="Arial" w:cs="Arial"/>
        </w:rPr>
      </w:pPr>
      <w:r w:rsidRPr="00CE5166">
        <w:rPr>
          <w:rFonts w:ascii="Arial" w:hAnsi="Arial" w:cs="Arial"/>
        </w:rPr>
        <w:t>Months 31-36: Full transformation implementation, market leadership establishment, sustainable differentiation. Success indicator: 15-20% EBITDA margins sustained.</w:t>
      </w:r>
    </w:p>
    <w:p w14:paraId="7D630E15" w14:textId="77777777" w:rsidR="00DB24E2" w:rsidRPr="00CE5166" w:rsidRDefault="00000000">
      <w:pPr>
        <w:pStyle w:val="BodyText"/>
        <w:rPr>
          <w:rFonts w:ascii="Arial" w:hAnsi="Arial" w:cs="Arial"/>
        </w:rPr>
      </w:pPr>
      <w:r w:rsidRPr="00CE5166">
        <w:rPr>
          <w:rFonts w:ascii="Arial" w:hAnsi="Arial" w:cs="Arial"/>
        </w:rPr>
        <w:t>The timeline seems long to those facing immediate crisis, yet shortcuts invariably fail. MSSPs attempting 18-month transformations achieve superficial changes that revert under pressure. Those committed to three-year journeys build sustainable businesses that thrive rather than merely survive.</w:t>
      </w:r>
    </w:p>
    <w:p w14:paraId="7D630E16" w14:textId="77777777" w:rsidR="00DB24E2" w:rsidRPr="00CE5166" w:rsidRDefault="00000000">
      <w:pPr>
        <w:pStyle w:val="BodyText"/>
        <w:rPr>
          <w:rFonts w:ascii="Arial" w:hAnsi="Arial" w:cs="Arial"/>
        </w:rPr>
      </w:pPr>
      <w:r w:rsidRPr="00CE5166">
        <w:rPr>
          <w:rFonts w:ascii="Arial" w:hAnsi="Arial" w:cs="Arial"/>
        </w:rPr>
        <w:t>The transformation roadmap from 8% to 18% margins isn’t theoretical but proven. Dozens of MSSPs have followed similar paths from crisis to success. The difference between those that succeed and those that fail isn’t resources or capabilities but commitment to systematic change rather than sporadic improvement. The next chapter examines emerging models and opportunities that will shape the industry’s future.</w:t>
      </w:r>
    </w:p>
    <w:p w14:paraId="7D630E17" w14:textId="77777777" w:rsidR="00DB24E2" w:rsidRPr="00CE5166" w:rsidRDefault="00000000">
      <w:pPr>
        <w:rPr>
          <w:rFonts w:ascii="Arial" w:hAnsi="Arial" w:cs="Arial"/>
        </w:rPr>
      </w:pPr>
      <w:r w:rsidRPr="00CE5166">
        <w:rPr>
          <w:rFonts w:ascii="Arial" w:hAnsi="Arial" w:cs="Arial"/>
        </w:rPr>
        <w:pict w14:anchorId="7D630E8C">
          <v:rect id="_x0000_i1038" style="width:0;height:1.5pt" o:hralign="center" o:hrstd="t" o:hr="t"/>
        </w:pict>
      </w:r>
    </w:p>
    <w:p w14:paraId="7D630E18" w14:textId="77777777" w:rsidR="00DB24E2" w:rsidRPr="00CE5166" w:rsidRDefault="00000000">
      <w:pPr>
        <w:pStyle w:val="Heading1"/>
        <w:rPr>
          <w:rFonts w:ascii="Arial" w:hAnsi="Arial" w:cs="Arial"/>
        </w:rPr>
      </w:pPr>
      <w:bookmarkStart w:id="173" w:name="Xeb22c45967a3ec573c383237ea1e2afb6475934"/>
      <w:bookmarkStart w:id="174" w:name="_Toc206954737"/>
      <w:r w:rsidRPr="00CE5166">
        <w:rPr>
          <w:rFonts w:ascii="Arial" w:hAnsi="Arial" w:cs="Arial"/>
        </w:rPr>
        <w:t>Chapter 11: Emerging Models and Opportunities</w:t>
      </w:r>
      <w:bookmarkEnd w:id="173"/>
      <w:bookmarkEnd w:id="174"/>
    </w:p>
    <w:p w14:paraId="7D630E19" w14:textId="77777777" w:rsidR="00DB24E2" w:rsidRPr="00CE5166" w:rsidRDefault="00000000">
      <w:pPr>
        <w:pStyle w:val="FirstParagraph"/>
        <w:rPr>
          <w:rFonts w:ascii="Arial" w:hAnsi="Arial" w:cs="Arial"/>
        </w:rPr>
      </w:pPr>
      <w:r w:rsidRPr="00CE5166">
        <w:rPr>
          <w:rFonts w:ascii="Arial" w:hAnsi="Arial" w:cs="Arial"/>
        </w:rPr>
        <w:t>The security operations center of 2030 will bear as much resemblance to today’s SOC as a Tesla factory bears to Ford’s River Rouge plant. Where analysts once stared at screens, AI agents will conduct autonomous threat hunts. Where humans investigated alerts, quantum algorithms will predict attacks before they launch. Where MSSPs sold monitoring, they’ll guarantee outcomes through risk underwriting. This isn’t science fiction but extrapolation from trends already transforming the industry. The MSSPs that recognize and capture these emerging opportunities will dominate the next decade. Those that don’t will join the 40% predicted to disappear by 2028.</w:t>
      </w:r>
    </w:p>
    <w:p w14:paraId="7D630E1A" w14:textId="77777777" w:rsidR="00DB24E2" w:rsidRPr="00CE5166" w:rsidRDefault="00000000">
      <w:pPr>
        <w:pStyle w:val="BodyText"/>
        <w:rPr>
          <w:rFonts w:ascii="Arial" w:hAnsi="Arial" w:cs="Arial"/>
        </w:rPr>
      </w:pPr>
      <w:r w:rsidRPr="00CE5166">
        <w:rPr>
          <w:rFonts w:ascii="Arial" w:hAnsi="Arial" w:cs="Arial"/>
        </w:rPr>
        <w:t>The transformation has already begun. Managed Detection and Response (MDR) grows at 22.6% annually, cannibalizing traditional monitoring services that grow at 4% (https://www.channele2e.com/news/managed-security-2024-forecast-big-growth-ahead). Extended Detection and Response (XDR) platforms consolidate the fragmented security stack into unified systems. AI-native architectures process billions of events with minimal human intervention. Cloud security services follow workloads into environments traditional MSSPs can’t reach. These aren’t incremental improvements but fundamental disruptions that will reshape the industry’s structure, economics, and competitive dynamics.</w:t>
      </w:r>
    </w:p>
    <w:p w14:paraId="7D630E1B" w14:textId="77777777" w:rsidR="00DB24E2" w:rsidRPr="00CE5166" w:rsidRDefault="00000000">
      <w:pPr>
        <w:pStyle w:val="Heading2"/>
        <w:rPr>
          <w:rFonts w:ascii="Arial" w:hAnsi="Arial" w:cs="Arial"/>
        </w:rPr>
      </w:pPr>
      <w:bookmarkStart w:id="175" w:name="the-mdr-revolution"/>
      <w:bookmarkStart w:id="176" w:name="_Toc206954738"/>
      <w:r w:rsidRPr="00CE5166">
        <w:rPr>
          <w:rFonts w:ascii="Arial" w:hAnsi="Arial" w:cs="Arial"/>
        </w:rPr>
        <w:t>The MDR Revolution</w:t>
      </w:r>
      <w:bookmarkEnd w:id="175"/>
      <w:bookmarkEnd w:id="176"/>
    </w:p>
    <w:p w14:paraId="7D630E1C" w14:textId="77777777" w:rsidR="00DB24E2" w:rsidRPr="00CE5166" w:rsidRDefault="00000000">
      <w:pPr>
        <w:pStyle w:val="FirstParagraph"/>
        <w:rPr>
          <w:rFonts w:ascii="Arial" w:hAnsi="Arial" w:cs="Arial"/>
        </w:rPr>
      </w:pPr>
      <w:r w:rsidRPr="00CE5166">
        <w:rPr>
          <w:rFonts w:ascii="Arial" w:hAnsi="Arial" w:cs="Arial"/>
        </w:rPr>
        <w:t>MDR represents more than service evolution—it’s a business model revolution that transforms MSSPs from passive monitors to active defenders. Traditional monitoring services alert clients to problems. MDR services solve them. This distinction seems subtle but proves transformational, justifying price premiums of 2-3x while reducing operational complexity through defined scope and clear outcomes.</w:t>
      </w:r>
    </w:p>
    <w:p w14:paraId="7D630E1D" w14:textId="77777777" w:rsidR="00DB24E2" w:rsidRPr="00CE5166" w:rsidRDefault="00000000">
      <w:pPr>
        <w:pStyle w:val="BodyText"/>
        <w:rPr>
          <w:rFonts w:ascii="Arial" w:hAnsi="Arial" w:cs="Arial"/>
        </w:rPr>
      </w:pPr>
      <w:r w:rsidRPr="00CE5166">
        <w:rPr>
          <w:rFonts w:ascii="Arial" w:hAnsi="Arial" w:cs="Arial"/>
        </w:rPr>
        <w:t>The economics of MDR differ fundamentally from traditional services. Where monitoring generates $3,000-5,000 monthly per client, MDR commands $10,000-20,000 for mid-market organizations, scaling to $100,000+ for enterprises. The premium pricing reflects premium value: guaranteed response times, confirmed threat elimination, and measurable risk reduction. Clients gladly pay more for problems solved than alerts delivered.</w:t>
      </w:r>
    </w:p>
    <w:p w14:paraId="7D630E1E" w14:textId="77777777" w:rsidR="00DB24E2" w:rsidRPr="00CE5166" w:rsidRDefault="00000000">
      <w:pPr>
        <w:pStyle w:val="BodyText"/>
        <w:rPr>
          <w:rFonts w:ascii="Arial" w:hAnsi="Arial" w:cs="Arial"/>
        </w:rPr>
      </w:pPr>
      <w:r w:rsidRPr="00CE5166">
        <w:rPr>
          <w:rFonts w:ascii="Arial" w:hAnsi="Arial" w:cs="Arial"/>
        </w:rPr>
        <w:t>The operational model also transforms. Instead of 24/7 alert processing, MDR focuses on threat hunting, incident response, and proactive defense. This requires higher-skilled analysts but fewer of them. One MDR analyst can effectively serve 20-30 clients versus 10-15 for traditional monitoring. The mathematics are compelling: higher revenue per client, lower cost to serve, better margins, and improved satisfaction.</w:t>
      </w:r>
    </w:p>
    <w:p w14:paraId="7D630E1F" w14:textId="77777777" w:rsidR="00DB24E2" w:rsidRPr="00CE5166" w:rsidRDefault="00000000">
      <w:pPr>
        <w:pStyle w:val="BodyText"/>
        <w:rPr>
          <w:rFonts w:ascii="Arial" w:hAnsi="Arial" w:cs="Arial"/>
        </w:rPr>
      </w:pPr>
      <w:r w:rsidRPr="00CE5166">
        <w:rPr>
          <w:rFonts w:ascii="Arial" w:hAnsi="Arial" w:cs="Arial"/>
        </w:rPr>
        <w:t>Arctic Wolf’s success exemplifies MDR’s potential. By focusing exclusively on MDR rather than traditional monitoring, they achieved growth rates that established players couldn’t match (https://arcticwolf.com/resources/press-releases/arctic-wolf-fastest-growing-vendor-by-revenue-in-2023-according-to-gartner-market-share-security-services-worldwide-2023-research/). Their platform-centric approach, standardized delivery, and outcome focus created a blueprint others now desperately attempt to replicate.</w:t>
      </w:r>
    </w:p>
    <w:p w14:paraId="7D630E20" w14:textId="77777777" w:rsidR="00DB24E2" w:rsidRPr="00CE5166" w:rsidRDefault="00000000">
      <w:pPr>
        <w:pStyle w:val="BodyText"/>
        <w:rPr>
          <w:rFonts w:ascii="Arial" w:hAnsi="Arial" w:cs="Arial"/>
        </w:rPr>
      </w:pPr>
      <w:r w:rsidRPr="00CE5166">
        <w:rPr>
          <w:rFonts w:ascii="Arial" w:hAnsi="Arial" w:cs="Arial"/>
        </w:rPr>
        <w:t>The MDR opportunity extends beyond pure-play providers. Traditional MSSPs can migrate existing services toward MDR models, though the transformation requires fundamental changes. Alert processing must become threat hunting. Passive monitoring must become active response. Cost centers must become value creators. The transition challenges every assumption about service delivery, but the alternative—competing against MDR providers with traditional monitoring—guarantees obsolescence.</w:t>
      </w:r>
    </w:p>
    <w:p w14:paraId="7D630E21" w14:textId="77777777" w:rsidR="00DB24E2" w:rsidRPr="00CE5166" w:rsidRDefault="00000000">
      <w:pPr>
        <w:pStyle w:val="Heading2"/>
        <w:rPr>
          <w:rFonts w:ascii="Arial" w:hAnsi="Arial" w:cs="Arial"/>
        </w:rPr>
      </w:pPr>
      <w:bookmarkStart w:id="177" w:name="xdr-the-platform-convergence"/>
      <w:bookmarkStart w:id="178" w:name="_Toc206954739"/>
      <w:r w:rsidRPr="00CE5166">
        <w:rPr>
          <w:rFonts w:ascii="Arial" w:hAnsi="Arial" w:cs="Arial"/>
        </w:rPr>
        <w:t>XDR: The Platform Convergence</w:t>
      </w:r>
      <w:bookmarkEnd w:id="177"/>
      <w:bookmarkEnd w:id="178"/>
    </w:p>
    <w:p w14:paraId="7D630E22" w14:textId="77777777" w:rsidR="00DB24E2" w:rsidRPr="00CE5166" w:rsidRDefault="00000000">
      <w:pPr>
        <w:pStyle w:val="FirstParagraph"/>
        <w:rPr>
          <w:rFonts w:ascii="Arial" w:hAnsi="Arial" w:cs="Arial"/>
        </w:rPr>
      </w:pPr>
      <w:r w:rsidRPr="00CE5166">
        <w:rPr>
          <w:rFonts w:ascii="Arial" w:hAnsi="Arial" w:cs="Arial"/>
        </w:rPr>
        <w:t>Extended Detection and Response platforms promise to solve the integration nightmare that has plagued MSSPs since inception. Instead of correlating alerts across twenty disparate systems, XDR platforms provide unified visibility across endpoints, networks, cloud, and applications. This isn’t just operational simplification but strategic transformation—from integration complexity to platform leverage.</w:t>
      </w:r>
    </w:p>
    <w:p w14:paraId="7D630E23" w14:textId="77777777" w:rsidR="00DB24E2" w:rsidRPr="00CE5166" w:rsidRDefault="00000000">
      <w:pPr>
        <w:pStyle w:val="BodyText"/>
        <w:rPr>
          <w:rFonts w:ascii="Arial" w:hAnsi="Arial" w:cs="Arial"/>
        </w:rPr>
      </w:pPr>
      <w:r w:rsidRPr="00CE5166">
        <w:rPr>
          <w:rFonts w:ascii="Arial" w:hAnsi="Arial" w:cs="Arial"/>
        </w:rPr>
        <w:t>The XDR thesis rests on three pillars: consolidated visibility, automated response, and simplified operations. Consolidated visibility eliminates blind spots created by siloed tools. Automated response enables actions across all vectors simultaneously. Simplified operations reduce training, maintenance, and overhead. Together, these capabilities transform security operations from labor-intensive correlation to intelligence-driven action.</w:t>
      </w:r>
    </w:p>
    <w:p w14:paraId="7D630E24" w14:textId="77777777" w:rsidR="00DB24E2" w:rsidRPr="00CE5166" w:rsidRDefault="00000000">
      <w:pPr>
        <w:pStyle w:val="BodyText"/>
        <w:rPr>
          <w:rFonts w:ascii="Arial" w:hAnsi="Arial" w:cs="Arial"/>
        </w:rPr>
      </w:pPr>
      <w:r w:rsidRPr="00CE5166">
        <w:rPr>
          <w:rFonts w:ascii="Arial" w:hAnsi="Arial" w:cs="Arial"/>
        </w:rPr>
        <w:t>For MSSPs, XDR platforms offer escape from vendor proliferation. Instead of managing relationships with dozens of point solution vendors, they can standardize on comprehensive platforms. This consolidation reduces licensing costs by 30-40%, training requirements by 50%, and operational overhead by 60%. The savings drop directly to bottom-line margins while service quality improves through better integration.</w:t>
      </w:r>
    </w:p>
    <w:p w14:paraId="7D630E25" w14:textId="77777777" w:rsidR="00DB24E2" w:rsidRPr="00CE5166" w:rsidRDefault="00000000">
      <w:pPr>
        <w:pStyle w:val="BodyText"/>
        <w:rPr>
          <w:rFonts w:ascii="Arial" w:hAnsi="Arial" w:cs="Arial"/>
        </w:rPr>
      </w:pPr>
      <w:r w:rsidRPr="00CE5166">
        <w:rPr>
          <w:rFonts w:ascii="Arial" w:hAnsi="Arial" w:cs="Arial"/>
        </w:rPr>
        <w:t>The challenge lies in platform selection. Choosing wrong locks MSSPs into architectural decisions that constrain growth for years. The criteria extend beyond features to ecosystem considerations: API completeness, automation capabilities, cloud nativity, vendor stability, and partnership terms. The winning platforms will become industry utilities; the losers will become expensive migrations.</w:t>
      </w:r>
    </w:p>
    <w:p w14:paraId="7D630E26" w14:textId="77777777" w:rsidR="00DB24E2" w:rsidRPr="00CE5166" w:rsidRDefault="00000000">
      <w:pPr>
        <w:pStyle w:val="BodyText"/>
        <w:rPr>
          <w:rFonts w:ascii="Arial" w:hAnsi="Arial" w:cs="Arial"/>
        </w:rPr>
      </w:pPr>
      <w:r w:rsidRPr="00CE5166">
        <w:rPr>
          <w:rFonts w:ascii="Arial" w:hAnsi="Arial" w:cs="Arial"/>
        </w:rPr>
        <w:t>Microsoft’s XDR strategy illuminates both opportunity and threat. Their platform combines endpoint, identity, cloud, and application security with deep integration into ubiquitous productivity tools. For MSSPs, this creates partnership opportunities—managing Microsoft’s complex ecosystem for overwhelmed enterprises. But it also creates competitive threats as Microsoft’s own managed services expand. The line between partner and competitor blurs, requiring careful strategic positioning.</w:t>
      </w:r>
    </w:p>
    <w:p w14:paraId="7D630E27" w14:textId="77777777" w:rsidR="00DB24E2" w:rsidRPr="00CE5166" w:rsidRDefault="00000000">
      <w:pPr>
        <w:pStyle w:val="Heading2"/>
        <w:rPr>
          <w:rFonts w:ascii="Arial" w:hAnsi="Arial" w:cs="Arial"/>
        </w:rPr>
      </w:pPr>
      <w:bookmarkStart w:id="179" w:name="ai-native-operations"/>
      <w:bookmarkStart w:id="180" w:name="_Toc206954740"/>
      <w:r w:rsidRPr="00CE5166">
        <w:rPr>
          <w:rFonts w:ascii="Arial" w:hAnsi="Arial" w:cs="Arial"/>
        </w:rPr>
        <w:t>AI-Native Operations</w:t>
      </w:r>
      <w:bookmarkEnd w:id="179"/>
      <w:bookmarkEnd w:id="180"/>
    </w:p>
    <w:p w14:paraId="7D630E28" w14:textId="77777777" w:rsidR="00DB24E2" w:rsidRPr="00CE5166" w:rsidRDefault="00000000">
      <w:pPr>
        <w:pStyle w:val="FirstParagraph"/>
        <w:rPr>
          <w:rFonts w:ascii="Arial" w:hAnsi="Arial" w:cs="Arial"/>
        </w:rPr>
      </w:pPr>
      <w:r w:rsidRPr="00CE5166">
        <w:rPr>
          <w:rFonts w:ascii="Arial" w:hAnsi="Arial" w:cs="Arial"/>
        </w:rPr>
        <w:t>The current wave of AI adoption in security operations represents kindergarten compared to what’s coming. Today’s AI assists analysts. Tomorrow’s will replace them for routine operations. This isn’t the perpetual “AI will replace humans” prophecy but recognition that certain security tasks are better suited to machines than people. Pattern recognition across billions of events, correlation of subtle indicators, and consistent policy enforcement are computational problems, not human ones.</w:t>
      </w:r>
    </w:p>
    <w:p w14:paraId="7D630E29" w14:textId="77777777" w:rsidR="00DB24E2" w:rsidRPr="00CE5166" w:rsidRDefault="00000000">
      <w:pPr>
        <w:pStyle w:val="BodyText"/>
        <w:rPr>
          <w:rFonts w:ascii="Arial" w:hAnsi="Arial" w:cs="Arial"/>
        </w:rPr>
      </w:pPr>
      <w:r w:rsidRPr="00CE5166">
        <w:rPr>
          <w:rFonts w:ascii="Arial" w:hAnsi="Arial" w:cs="Arial"/>
        </w:rPr>
        <w:t>AI-native MSSPs design operations assuming unlimited computational power but scarce human expertise. Instead of humans investigating alerts that AI filters, AI investigates everything while humans handle only genuinely novel situations. Instead of analysts writing detection rules, AI learns normal behavior and identifies anomalies. Instead of manual response procedures, AI orchestrates containment and remediation autonomously.</w:t>
      </w:r>
    </w:p>
    <w:p w14:paraId="7D630E2A" w14:textId="77777777" w:rsidR="00DB24E2" w:rsidRPr="00CE5166" w:rsidRDefault="00000000">
      <w:pPr>
        <w:pStyle w:val="BodyText"/>
        <w:rPr>
          <w:rFonts w:ascii="Arial" w:hAnsi="Arial" w:cs="Arial"/>
        </w:rPr>
      </w:pPr>
      <w:r w:rsidRPr="00CE5166">
        <w:rPr>
          <w:rFonts w:ascii="Arial" w:hAnsi="Arial" w:cs="Arial"/>
        </w:rPr>
        <w:t>The economic implications stagger. If AI can handle 95% of security operations autonomously, human requirements drop by 20x. An operation requiring 100 analysts might need five AI supervisors. Labor costs, which consume 60-70% of MSSP revenues, could drop to 10-15%. The margin expansion potential—from 8% to 40%—would transform MSSPs from service companies to software companies with corresponding valuation multiples.</w:t>
      </w:r>
    </w:p>
    <w:p w14:paraId="7D630E2B" w14:textId="77777777" w:rsidR="00DB24E2" w:rsidRPr="00CE5166" w:rsidRDefault="00000000">
      <w:pPr>
        <w:pStyle w:val="BodyText"/>
        <w:rPr>
          <w:rFonts w:ascii="Arial" w:hAnsi="Arial" w:cs="Arial"/>
        </w:rPr>
      </w:pPr>
      <w:r w:rsidRPr="00CE5166">
        <w:rPr>
          <w:rFonts w:ascii="Arial" w:hAnsi="Arial" w:cs="Arial"/>
        </w:rPr>
        <w:t>But AI-native operations require more than deploying AI tools. They demand fundamental architectural changes, process redesigns, and cultural transformations. Data quality becomes paramount—AI trained on garbage delivers garbage. Integration depth matters more than feature breadth. Continuous learning capabilities separate static tools from evolutionary systems. MSSPs that get AI right will dominate; those that don’t will be dominated.</w:t>
      </w:r>
    </w:p>
    <w:p w14:paraId="7D630E2C" w14:textId="77777777" w:rsidR="00DB24E2" w:rsidRPr="00CE5166" w:rsidRDefault="00000000">
      <w:pPr>
        <w:pStyle w:val="BodyText"/>
        <w:rPr>
          <w:rFonts w:ascii="Arial" w:hAnsi="Arial" w:cs="Arial"/>
        </w:rPr>
      </w:pPr>
      <w:r w:rsidRPr="00CE5166">
        <w:rPr>
          <w:rFonts w:ascii="Arial" w:hAnsi="Arial" w:cs="Arial"/>
        </w:rPr>
        <w:t>The competitive dynamics favor new entrants over incumbents. Startups can build AI-native from inception while established players must transform legacy operations. The innovator’s dilemma plays out predictably: incumbents hesitate to cannibalize existing revenue, creating opportunities for disruption. The next Arctic Wolf might be training AI models today that will obsolete traditional SOCs tomorrow.</w:t>
      </w:r>
    </w:p>
    <w:p w14:paraId="7D630E2D" w14:textId="77777777" w:rsidR="00DB24E2" w:rsidRPr="00CE5166" w:rsidRDefault="00000000">
      <w:pPr>
        <w:pStyle w:val="Heading2"/>
        <w:rPr>
          <w:rFonts w:ascii="Arial" w:hAnsi="Arial" w:cs="Arial"/>
        </w:rPr>
      </w:pPr>
      <w:bookmarkStart w:id="181" w:name="cloud-security-specialization"/>
      <w:bookmarkStart w:id="182" w:name="_Toc206954741"/>
      <w:r w:rsidRPr="00CE5166">
        <w:rPr>
          <w:rFonts w:ascii="Arial" w:hAnsi="Arial" w:cs="Arial"/>
        </w:rPr>
        <w:t>Cloud Security Specialization</w:t>
      </w:r>
      <w:bookmarkEnd w:id="181"/>
      <w:bookmarkEnd w:id="182"/>
    </w:p>
    <w:p w14:paraId="7D630E2E" w14:textId="77777777" w:rsidR="00DB24E2" w:rsidRPr="00CE5166" w:rsidRDefault="00000000">
      <w:pPr>
        <w:pStyle w:val="FirstParagraph"/>
        <w:rPr>
          <w:rFonts w:ascii="Arial" w:hAnsi="Arial" w:cs="Arial"/>
        </w:rPr>
      </w:pPr>
      <w:r w:rsidRPr="00CE5166">
        <w:rPr>
          <w:rFonts w:ascii="Arial" w:hAnsi="Arial" w:cs="Arial"/>
        </w:rPr>
        <w:t>The cloud security opportunity dwarfs traditional infrastructure security, yet most MSSPs remain landlocked in data center thinking. Cloud workloads require different tools, skills, and operational models. Configuration management matters more than perimeter defense. Identity becomes the new perimeter. Automation isn’t optional but essential. MSSPs that master cloud security capture premium opportunities; those that don’t become irrelevant.</w:t>
      </w:r>
    </w:p>
    <w:p w14:paraId="7D630E2F" w14:textId="77777777" w:rsidR="00DB24E2" w:rsidRPr="00CE5166" w:rsidRDefault="00000000">
      <w:pPr>
        <w:pStyle w:val="BodyText"/>
        <w:rPr>
          <w:rFonts w:ascii="Arial" w:hAnsi="Arial" w:cs="Arial"/>
        </w:rPr>
      </w:pPr>
      <w:r w:rsidRPr="00CE5166">
        <w:rPr>
          <w:rFonts w:ascii="Arial" w:hAnsi="Arial" w:cs="Arial"/>
        </w:rPr>
        <w:t>The market dynamics favor specialization. Cloud-native MSSPs like Orca Security command valuations that traditional players can’t approach. Their deep cloud expertise, native integration with cloud platforms, and developer-friendly approaches resonate with cloud-first organizations. Traditional MSSPs attempting to bolt cloud capabilities onto data center operations struggle with architectural impedance mismatches.</w:t>
      </w:r>
    </w:p>
    <w:p w14:paraId="7D630E30" w14:textId="77777777" w:rsidR="00DB24E2" w:rsidRPr="00CE5166" w:rsidRDefault="00000000">
      <w:pPr>
        <w:pStyle w:val="BodyText"/>
        <w:rPr>
          <w:rFonts w:ascii="Arial" w:hAnsi="Arial" w:cs="Arial"/>
        </w:rPr>
      </w:pPr>
      <w:r w:rsidRPr="00CE5166">
        <w:rPr>
          <w:rFonts w:ascii="Arial" w:hAnsi="Arial" w:cs="Arial"/>
        </w:rPr>
        <w:t>The operational model for cloud security differs fundamentally. Instead of 24/7 monitoring, focus on continuous compliance. Instead of incident response, enable automatic remediation. Instead of network security, ensure workload protection. These aren’t just technical differences but business model transformations. Cloud security services command 30-50% premiums over traditional infrastructure security while requiring less human intervention.</w:t>
      </w:r>
    </w:p>
    <w:p w14:paraId="7D630E31" w14:textId="77777777" w:rsidR="00DB24E2" w:rsidRPr="00CE5166" w:rsidRDefault="00000000">
      <w:pPr>
        <w:pStyle w:val="BodyText"/>
        <w:rPr>
          <w:rFonts w:ascii="Arial" w:hAnsi="Arial" w:cs="Arial"/>
        </w:rPr>
      </w:pPr>
      <w:r w:rsidRPr="00CE5166">
        <w:rPr>
          <w:rFonts w:ascii="Arial" w:hAnsi="Arial" w:cs="Arial"/>
        </w:rPr>
        <w:t>Multi-cloud complexity creates particular opportunities. Organizations using AWS, Azure, and Google Cloud need unified security across heterogeneous environments. Cloud providers offer native tools that don’t interoperate. Third-party solutions add complexity. MSSPs that provide coherent security across clouds while managing vendor-specific tools capture significant value. The expertise required creates barriers to entry that protect margins.</w:t>
      </w:r>
    </w:p>
    <w:p w14:paraId="7D630E32" w14:textId="77777777" w:rsidR="00DB24E2" w:rsidRPr="00CE5166" w:rsidRDefault="00000000">
      <w:pPr>
        <w:pStyle w:val="Heading2"/>
        <w:rPr>
          <w:rFonts w:ascii="Arial" w:hAnsi="Arial" w:cs="Arial"/>
        </w:rPr>
      </w:pPr>
      <w:bookmarkStart w:id="183" w:name="the-risk-underwriting-future"/>
      <w:bookmarkStart w:id="184" w:name="_Toc206954742"/>
      <w:r w:rsidRPr="00CE5166">
        <w:rPr>
          <w:rFonts w:ascii="Arial" w:hAnsi="Arial" w:cs="Arial"/>
        </w:rPr>
        <w:t>The Risk Underwriting Future</w:t>
      </w:r>
      <w:bookmarkEnd w:id="183"/>
      <w:bookmarkEnd w:id="184"/>
    </w:p>
    <w:p w14:paraId="7D630E33" w14:textId="77777777" w:rsidR="00DB24E2" w:rsidRPr="00CE5166" w:rsidRDefault="00000000">
      <w:pPr>
        <w:pStyle w:val="FirstParagraph"/>
        <w:rPr>
          <w:rFonts w:ascii="Arial" w:hAnsi="Arial" w:cs="Arial"/>
        </w:rPr>
      </w:pPr>
      <w:r w:rsidRPr="00CE5166">
        <w:rPr>
          <w:rFonts w:ascii="Arial" w:hAnsi="Arial" w:cs="Arial"/>
        </w:rPr>
        <w:t>The boldest emerging model transforms MSSPs from service providers to risk underwriters. Instead of charging for monitoring, charge for risk assumption. Instead of SLAs for response times, guarantee business outcomes. Instead of shared responsibility models, assume liability for breaches. This transformation—from service provider to insurance company—represents the ultimate value capture.</w:t>
      </w:r>
    </w:p>
    <w:p w14:paraId="7D630E34" w14:textId="77777777" w:rsidR="00DB24E2" w:rsidRPr="00CE5166" w:rsidRDefault="00000000">
      <w:pPr>
        <w:pStyle w:val="BodyText"/>
        <w:rPr>
          <w:rFonts w:ascii="Arial" w:hAnsi="Arial" w:cs="Arial"/>
        </w:rPr>
      </w:pPr>
      <w:r w:rsidRPr="00CE5166">
        <w:rPr>
          <w:rFonts w:ascii="Arial" w:hAnsi="Arial" w:cs="Arial"/>
        </w:rPr>
        <w:t>The model works because MSSPs control the variables that determine breach probability. They implement controls, monitor effectiveness, and respond to incidents. By assuming breach liability, they align incentives perfectly—the MSSP profits by preventing breaches, not by processing alerts. Customers gain certainty, replacing unknown breach costs with known insurance premiums. The value creation enables pricing that makes traditional per-device models look like garage sales.</w:t>
      </w:r>
    </w:p>
    <w:p w14:paraId="7D630E35" w14:textId="77777777" w:rsidR="00DB24E2" w:rsidRPr="00CE5166" w:rsidRDefault="00000000">
      <w:pPr>
        <w:pStyle w:val="BodyText"/>
        <w:rPr>
          <w:rFonts w:ascii="Arial" w:hAnsi="Arial" w:cs="Arial"/>
        </w:rPr>
      </w:pPr>
      <w:r w:rsidRPr="00CE5166">
        <w:rPr>
          <w:rFonts w:ascii="Arial" w:hAnsi="Arial" w:cs="Arial"/>
        </w:rPr>
        <w:t>The implementation requires sophisticated risk modeling, substantial capital reserves, and operational excellence that few MSSPs currently possess. But the rewards justify the requirements. Risk-assuming MSSPs could command 5-10x traditional service fees while maintaining better margins through superior loss prevention. The model transforms security from cost center to risk transfer mechanism, a framing that resonates with risk-averse executives.</w:t>
      </w:r>
    </w:p>
    <w:p w14:paraId="7D630E36" w14:textId="77777777" w:rsidR="00DB24E2" w:rsidRPr="00CE5166" w:rsidRDefault="00000000">
      <w:pPr>
        <w:pStyle w:val="BodyText"/>
        <w:rPr>
          <w:rFonts w:ascii="Arial" w:hAnsi="Arial" w:cs="Arial"/>
        </w:rPr>
      </w:pPr>
      <w:r w:rsidRPr="00CE5166">
        <w:rPr>
          <w:rFonts w:ascii="Arial" w:hAnsi="Arial" w:cs="Arial"/>
        </w:rPr>
        <w:t>Partnerships with cyber insurance companies accelerate this transformation. Insurers need better risk assessment and loss prevention. MSSPs need capital backing and actuarial expertise. Together, they create integrated offerings that neither could deliver alone. The convergence of security operations and cyber insurance seems inevitable; the question is whether MSSPs become insurers or insurers become MSSPs.</w:t>
      </w:r>
    </w:p>
    <w:p w14:paraId="7D630E37" w14:textId="77777777" w:rsidR="00DB24E2" w:rsidRPr="00CE5166" w:rsidRDefault="00000000">
      <w:pPr>
        <w:pStyle w:val="Heading2"/>
        <w:rPr>
          <w:rFonts w:ascii="Arial" w:hAnsi="Arial" w:cs="Arial"/>
        </w:rPr>
      </w:pPr>
      <w:bookmarkStart w:id="185" w:name="the-transformation-imperative"/>
      <w:bookmarkStart w:id="186" w:name="_Toc206954743"/>
      <w:r w:rsidRPr="00CE5166">
        <w:rPr>
          <w:rFonts w:ascii="Arial" w:hAnsi="Arial" w:cs="Arial"/>
        </w:rPr>
        <w:t>The Transformation Imperative</w:t>
      </w:r>
      <w:bookmarkEnd w:id="185"/>
      <w:bookmarkEnd w:id="186"/>
    </w:p>
    <w:p w14:paraId="7D630E38" w14:textId="77777777" w:rsidR="00DB24E2" w:rsidRPr="00CE5166" w:rsidRDefault="00000000">
      <w:pPr>
        <w:pStyle w:val="FirstParagraph"/>
        <w:rPr>
          <w:rFonts w:ascii="Arial" w:hAnsi="Arial" w:cs="Arial"/>
        </w:rPr>
      </w:pPr>
      <w:r w:rsidRPr="00CE5166">
        <w:rPr>
          <w:rFonts w:ascii="Arial" w:hAnsi="Arial" w:cs="Arial"/>
        </w:rPr>
        <w:t>These emerging models—MDR, XDR, AI-native operations, cloud specialization, risk underwriting—aren’t distant possibilities but present realities. Early adopters already capture premium margins while traditional players struggle with commodity pricing. The window for transformation remains open but won’t indefinitely. Network effects, talent consolidation, and customer lock-in will eventually crown winners and bury losers.</w:t>
      </w:r>
    </w:p>
    <w:p w14:paraId="7D630E39" w14:textId="77777777" w:rsidR="00DB24E2" w:rsidRPr="00CE5166" w:rsidRDefault="00000000">
      <w:pPr>
        <w:pStyle w:val="BodyText"/>
        <w:rPr>
          <w:rFonts w:ascii="Arial" w:hAnsi="Arial" w:cs="Arial"/>
        </w:rPr>
      </w:pPr>
      <w:r w:rsidRPr="00CE5166">
        <w:rPr>
          <w:rFonts w:ascii="Arial" w:hAnsi="Arial" w:cs="Arial"/>
        </w:rPr>
        <w:t>The transformation requires more than technology adoption. Business models must evolve from time-and-materials to outcomes. Operations must shift from human-centric to AI-native. Strategies must progress from horizontal generalists to vertical specialists. Cultures must transform from service providers to risk managers. These changes challenge every assumption about how MSSPs operate, but the alternative—maintaining status quo while competitors transform—guarantees irrelevance.</w:t>
      </w:r>
    </w:p>
    <w:p w14:paraId="7D630E3A" w14:textId="77777777" w:rsidR="00DB24E2" w:rsidRPr="00CE5166" w:rsidRDefault="00000000">
      <w:pPr>
        <w:pStyle w:val="BodyText"/>
        <w:rPr>
          <w:rFonts w:ascii="Arial" w:hAnsi="Arial" w:cs="Arial"/>
        </w:rPr>
      </w:pPr>
      <w:r w:rsidRPr="00CE5166">
        <w:rPr>
          <w:rFonts w:ascii="Arial" w:hAnsi="Arial" w:cs="Arial"/>
        </w:rPr>
        <w:t>The opportunity has never been greater. Cybersecurity spending will reach $212 billion by 2025, with services growing fastest. The talent shortage creates competitive advantages for those who automate. The complexity of modern IT environments demands specialized expertise. Organizations desperate for security solutions will pay premium prices for demonstrated value. MSSPs that capture these opportunities won’t just survive but thrive.</w:t>
      </w:r>
    </w:p>
    <w:p w14:paraId="7D630E3B" w14:textId="77777777" w:rsidR="00DB24E2" w:rsidRPr="00CE5166" w:rsidRDefault="00000000">
      <w:pPr>
        <w:pStyle w:val="BodyText"/>
        <w:rPr>
          <w:rFonts w:ascii="Arial" w:hAnsi="Arial" w:cs="Arial"/>
        </w:rPr>
      </w:pPr>
      <w:r w:rsidRPr="00CE5166">
        <w:rPr>
          <w:rFonts w:ascii="Arial" w:hAnsi="Arial" w:cs="Arial"/>
        </w:rPr>
        <w:t>The next chapter provides strategic recommendations for different MSSP categories—new entrants building from scratch, struggling players seeking transformation, successful companies maintaining advantage, and the industry collectively addressing shared challenges.</w:t>
      </w:r>
    </w:p>
    <w:p w14:paraId="7D630E3C" w14:textId="77777777" w:rsidR="00DB24E2" w:rsidRPr="00CE5166" w:rsidRDefault="00000000">
      <w:pPr>
        <w:rPr>
          <w:rFonts w:ascii="Arial" w:hAnsi="Arial" w:cs="Arial"/>
        </w:rPr>
      </w:pPr>
      <w:r w:rsidRPr="00CE5166">
        <w:rPr>
          <w:rFonts w:ascii="Arial" w:hAnsi="Arial" w:cs="Arial"/>
        </w:rPr>
        <w:pict w14:anchorId="7D630E8D">
          <v:rect id="_x0000_i1039" style="width:0;height:1.5pt" o:hralign="center" o:hrstd="t" o:hr="t"/>
        </w:pict>
      </w:r>
    </w:p>
    <w:p w14:paraId="7D630E3D" w14:textId="77777777" w:rsidR="00DB24E2" w:rsidRPr="00CE5166" w:rsidRDefault="00000000">
      <w:pPr>
        <w:pStyle w:val="Heading1"/>
        <w:rPr>
          <w:rFonts w:ascii="Arial" w:hAnsi="Arial" w:cs="Arial"/>
        </w:rPr>
      </w:pPr>
      <w:bookmarkStart w:id="187" w:name="chapter-12-strategic-recommendations"/>
      <w:bookmarkStart w:id="188" w:name="_Toc206954744"/>
      <w:r w:rsidRPr="00CE5166">
        <w:rPr>
          <w:rFonts w:ascii="Arial" w:hAnsi="Arial" w:cs="Arial"/>
        </w:rPr>
        <w:t>Chapter 12: Strategic Recommendations</w:t>
      </w:r>
      <w:bookmarkEnd w:id="187"/>
      <w:bookmarkEnd w:id="188"/>
    </w:p>
    <w:p w14:paraId="7D630E3E" w14:textId="77777777" w:rsidR="00DB24E2" w:rsidRPr="00CE5166" w:rsidRDefault="00000000">
      <w:pPr>
        <w:pStyle w:val="FirstParagraph"/>
        <w:rPr>
          <w:rFonts w:ascii="Arial" w:hAnsi="Arial" w:cs="Arial"/>
        </w:rPr>
      </w:pPr>
      <w:r w:rsidRPr="00CE5166">
        <w:rPr>
          <w:rFonts w:ascii="Arial" w:hAnsi="Arial" w:cs="Arial"/>
        </w:rPr>
        <w:t>The MSSP industry stands at a crossroads where 40% of current players will disappear by 2028, yet the survivors will capture shares of an $87.5 billion market growing at 15% annually. The difference between extinction and excellence isn’t resources or luck but strategic choices made today that compound into tomorrow’s outcomes. These recommendations, drawn from the patterns of success and failure documented throughout this analysis, provide specific guidance for four distinct audiences: new entrants seeking to build sustainable businesses, struggling MSSPs requiring transformation, successful players protecting their positions, and the industry collectively facing existential challenges.</w:t>
      </w:r>
    </w:p>
    <w:p w14:paraId="7D630E3F" w14:textId="77777777" w:rsidR="00DB24E2" w:rsidRPr="00CE5166" w:rsidRDefault="00000000">
      <w:pPr>
        <w:pStyle w:val="Heading2"/>
        <w:rPr>
          <w:rFonts w:ascii="Arial" w:hAnsi="Arial" w:cs="Arial"/>
        </w:rPr>
      </w:pPr>
      <w:bookmarkStart w:id="189" w:name="for-new-mssps-starting-right"/>
      <w:bookmarkStart w:id="190" w:name="_Toc206954745"/>
      <w:r w:rsidRPr="00CE5166">
        <w:rPr>
          <w:rFonts w:ascii="Arial" w:hAnsi="Arial" w:cs="Arial"/>
        </w:rPr>
        <w:t>For New MSSPs: Starting Right</w:t>
      </w:r>
      <w:bookmarkEnd w:id="189"/>
      <w:bookmarkEnd w:id="190"/>
    </w:p>
    <w:p w14:paraId="7D630E40" w14:textId="77777777" w:rsidR="00DB24E2" w:rsidRPr="00CE5166" w:rsidRDefault="00000000">
      <w:pPr>
        <w:pStyle w:val="FirstParagraph"/>
        <w:rPr>
          <w:rFonts w:ascii="Arial" w:hAnsi="Arial" w:cs="Arial"/>
        </w:rPr>
      </w:pPr>
      <w:r w:rsidRPr="00CE5166">
        <w:rPr>
          <w:rFonts w:ascii="Arial" w:hAnsi="Arial" w:cs="Arial"/>
        </w:rPr>
        <w:t>The greatest advantage new MSSPs possess is the absence of legacy—no technical debt, no unprofitable customers, no vendor lock-in, no cultural inertia. This blank slate enables architectural decisions that incumbents would require years to implement. Don’t squander this advantage by replicating traditional models that are already failing.</w:t>
      </w:r>
    </w:p>
    <w:p w14:paraId="7D630E41" w14:textId="77777777" w:rsidR="00DB24E2" w:rsidRPr="00CE5166" w:rsidRDefault="00000000">
      <w:pPr>
        <w:pStyle w:val="BodyText"/>
        <w:rPr>
          <w:rFonts w:ascii="Arial" w:hAnsi="Arial" w:cs="Arial"/>
        </w:rPr>
      </w:pPr>
      <w:r w:rsidRPr="00CE5166">
        <w:rPr>
          <w:rFonts w:ascii="Arial" w:hAnsi="Arial" w:cs="Arial"/>
        </w:rPr>
        <w:t>Start with platform-first architecture. Select a single, comprehensive security platform that provides 80% of required capabilities with deep automation potential. Resist the temptation to add point solutions for the remaining 20%. The operational simplicity of a single platform overwhelms any feature gaps. Arctic Wolf built a billion-dollar business on this principle while competitors drowned in integration complexity (https://arcticwolf.com/resources/press-releases/arctic-wolf-fastest-growing-vendor-by-revenue-in-2023-according-to-gartner-market-share-security-services-worldwide-2023-research/).</w:t>
      </w:r>
    </w:p>
    <w:p w14:paraId="7D630E42" w14:textId="77777777" w:rsidR="00DB24E2" w:rsidRPr="00CE5166" w:rsidRDefault="00000000">
      <w:pPr>
        <w:pStyle w:val="BodyText"/>
        <w:rPr>
          <w:rFonts w:ascii="Arial" w:hAnsi="Arial" w:cs="Arial"/>
        </w:rPr>
      </w:pPr>
      <w:r w:rsidRPr="00CE5166">
        <w:rPr>
          <w:rFonts w:ascii="Arial" w:hAnsi="Arial" w:cs="Arial"/>
        </w:rPr>
        <w:t>Design for automation from inception. Don’t hire analysts and then automate their tasks—design processes that assume automation with human exception handling. This means starting with higher-skilled, higher-cost employees who can build automation rather than lower-skilled, lower-cost employees who require it. The initial investment seems excessive until you realize five automation engineers can deliver what fifty analysts provide, with better quality and infinite scalability.</w:t>
      </w:r>
    </w:p>
    <w:p w14:paraId="7D630E43" w14:textId="77777777" w:rsidR="00DB24E2" w:rsidRPr="00CE5166" w:rsidRDefault="00000000">
      <w:pPr>
        <w:pStyle w:val="BodyText"/>
        <w:rPr>
          <w:rFonts w:ascii="Arial" w:hAnsi="Arial" w:cs="Arial"/>
        </w:rPr>
      </w:pPr>
      <w:r w:rsidRPr="00CE5166">
        <w:rPr>
          <w:rFonts w:ascii="Arial" w:hAnsi="Arial" w:cs="Arial"/>
        </w:rPr>
        <w:t>Choose a specific market segment and dominate it before expanding. The temptation to address the total addressable market proves fatal when you lack resources to serve any segment excellently. Focus on mid-market healthcare, regional financial services, or manufacturing companies with 500-2000 employees. Whatever you choose, become the undisputed expert. Own the conferences, publish the research, build the community. Premium pricing follows demonstrated expertise.</w:t>
      </w:r>
    </w:p>
    <w:p w14:paraId="7D630E44" w14:textId="77777777" w:rsidR="00DB24E2" w:rsidRPr="00CE5166" w:rsidRDefault="00000000">
      <w:pPr>
        <w:pStyle w:val="BodyText"/>
        <w:rPr>
          <w:rFonts w:ascii="Arial" w:hAnsi="Arial" w:cs="Arial"/>
        </w:rPr>
      </w:pPr>
      <w:r w:rsidRPr="00CE5166">
        <w:rPr>
          <w:rFonts w:ascii="Arial" w:hAnsi="Arial" w:cs="Arial"/>
        </w:rPr>
        <w:t>Implement value-based pricing from day one. You have no legacy customers expecting per-device rates, no sales team trained on commodity pricing, no market positioning to overcome. Price based on risk reduction, compliance achievement, or business outcomes. It’s easier to reduce prices later than raise them, and starting with premium positioning attracts premium customers who value expertise over discounts.</w:t>
      </w:r>
    </w:p>
    <w:p w14:paraId="7D630E45" w14:textId="77777777" w:rsidR="00DB24E2" w:rsidRPr="00CE5166" w:rsidRDefault="00000000">
      <w:pPr>
        <w:pStyle w:val="BodyText"/>
        <w:rPr>
          <w:rFonts w:ascii="Arial" w:hAnsi="Arial" w:cs="Arial"/>
        </w:rPr>
      </w:pPr>
      <w:r w:rsidRPr="00CE5166">
        <w:rPr>
          <w:rFonts w:ascii="Arial" w:hAnsi="Arial" w:cs="Arial"/>
        </w:rPr>
        <w:t>Maintain strict customer qualification criteria. The desperation for early revenue leads many startups to accept any customer with a checkbook. This proves catastrophic when unprofitable, demanding customers consume resources needed for growth. Better to have ten profitable customers than fifty breakeven relationships. Set minimum contract values, required security maturity levels, and cultural fit requirements. Reject those who don’t qualify.</w:t>
      </w:r>
    </w:p>
    <w:p w14:paraId="7D630E46" w14:textId="77777777" w:rsidR="00DB24E2" w:rsidRPr="00CE5166" w:rsidRDefault="00000000">
      <w:pPr>
        <w:pStyle w:val="BodyText"/>
        <w:rPr>
          <w:rFonts w:ascii="Arial" w:hAnsi="Arial" w:cs="Arial"/>
        </w:rPr>
      </w:pPr>
      <w:r w:rsidRPr="00CE5166">
        <w:rPr>
          <w:rFonts w:ascii="Arial" w:hAnsi="Arial" w:cs="Arial"/>
        </w:rPr>
        <w:t>Build capital reserves for the long game. The MSSP business requires 18-24 months to achieve positive unit economics and 36 months to reach sustainable profitability. Undercapitalization forces premature optimization, corner-cutting, and desperate decision-making that compounds into failure. Raise enough capital to survive three years without profit, then manage as if you only have eighteen months.</w:t>
      </w:r>
    </w:p>
    <w:p w14:paraId="7D630E47" w14:textId="77777777" w:rsidR="00DB24E2" w:rsidRPr="00CE5166" w:rsidRDefault="00000000">
      <w:pPr>
        <w:pStyle w:val="Heading2"/>
        <w:rPr>
          <w:rFonts w:ascii="Arial" w:hAnsi="Arial" w:cs="Arial"/>
        </w:rPr>
      </w:pPr>
      <w:bookmarkStart w:id="191" w:name="Xae0df3ff86b8e0c3ff5f6af432f607e4f70971f"/>
      <w:bookmarkStart w:id="192" w:name="_Toc206954746"/>
      <w:r w:rsidRPr="00CE5166">
        <w:rPr>
          <w:rFonts w:ascii="Arial" w:hAnsi="Arial" w:cs="Arial"/>
        </w:rPr>
        <w:t>For Struggling MSSPs: Transformation Priorities</w:t>
      </w:r>
      <w:bookmarkEnd w:id="191"/>
      <w:bookmarkEnd w:id="192"/>
    </w:p>
    <w:p w14:paraId="7D630E48" w14:textId="77777777" w:rsidR="00DB24E2" w:rsidRPr="00CE5166" w:rsidRDefault="00000000">
      <w:pPr>
        <w:pStyle w:val="FirstParagraph"/>
        <w:rPr>
          <w:rFonts w:ascii="Arial" w:hAnsi="Arial" w:cs="Arial"/>
        </w:rPr>
      </w:pPr>
      <w:r w:rsidRPr="00CE5166">
        <w:rPr>
          <w:rFonts w:ascii="Arial" w:hAnsi="Arial" w:cs="Arial"/>
        </w:rPr>
        <w:t>If your EBITDA margins are below 10%, customer retention below 85%, or analyst turnover above 50%, you’re not struggling—you’re dying. The question isn’t whether to transform but how quickly you can execute before cash runs out. These recommendations prioritize survival over optimization, focusing on changes that generate immediate impact while building toward sustainability.</w:t>
      </w:r>
    </w:p>
    <w:p w14:paraId="7D630E49" w14:textId="77777777" w:rsidR="00DB24E2" w:rsidRPr="00CE5166" w:rsidRDefault="00000000">
      <w:pPr>
        <w:pStyle w:val="BodyText"/>
        <w:rPr>
          <w:rFonts w:ascii="Arial" w:hAnsi="Arial" w:cs="Arial"/>
        </w:rPr>
      </w:pPr>
      <w:r w:rsidRPr="00CE5166">
        <w:rPr>
          <w:rFonts w:ascii="Arial" w:hAnsi="Arial" w:cs="Arial"/>
        </w:rPr>
        <w:t>Stop the bleeding immediately. This means firing unprofitable customers, regardless of revenue impact. A customer generating $50,000 annually while consuming $75,000 in resources isn’t a relationship—it’s a subsidy. Calculate fully loaded customer profitability including service delivery, support, and overhead. Terminate the bottom 20% within 90 days. The revenue loss will be more than offset by cost reduction and focus improvement.</w:t>
      </w:r>
    </w:p>
    <w:p w14:paraId="7D630E4A" w14:textId="77777777" w:rsidR="00DB24E2" w:rsidRPr="00CE5166" w:rsidRDefault="00000000">
      <w:pPr>
        <w:pStyle w:val="BodyText"/>
        <w:rPr>
          <w:rFonts w:ascii="Arial" w:hAnsi="Arial" w:cs="Arial"/>
        </w:rPr>
      </w:pPr>
      <w:r w:rsidRPr="00CE5166">
        <w:rPr>
          <w:rFonts w:ascii="Arial" w:hAnsi="Arial" w:cs="Arial"/>
        </w:rPr>
        <w:t>Consolidate platforms ruthlessly. You cannot afford the luxury of supporting every customer’s preferred technology. Choose five platforms maximum and migrate everyone else or lose them. The migration will be painful, customers will complain, some will leave. But the alternative—maintaining twenty platforms while competitors with five achieve 2x your margins—guarantees eventual failure. Set a deadline, communicate clearly, execute decisively.</w:t>
      </w:r>
    </w:p>
    <w:p w14:paraId="7D630E4B" w14:textId="77777777" w:rsidR="00DB24E2" w:rsidRPr="00CE5166" w:rsidRDefault="00000000">
      <w:pPr>
        <w:pStyle w:val="BodyText"/>
        <w:rPr>
          <w:rFonts w:ascii="Arial" w:hAnsi="Arial" w:cs="Arial"/>
        </w:rPr>
      </w:pPr>
      <w:r w:rsidRPr="00CE5166">
        <w:rPr>
          <w:rFonts w:ascii="Arial" w:hAnsi="Arial" w:cs="Arial"/>
        </w:rPr>
        <w:t>Abandon customization entirely. Every customer exception, special report, and unique process adds complexity that compounds into chaos. Offer three standardized service tiers with no modifications permitted. Customers demanding customization have two choices: accept standard services or find another provider. This seems harsh until you realize customization is why you’re struggling—it destroys economies of scale that make the business model viable.</w:t>
      </w:r>
    </w:p>
    <w:p w14:paraId="7D630E4C" w14:textId="77777777" w:rsidR="00DB24E2" w:rsidRPr="00CE5166" w:rsidRDefault="00000000">
      <w:pPr>
        <w:pStyle w:val="BodyText"/>
        <w:rPr>
          <w:rFonts w:ascii="Arial" w:hAnsi="Arial" w:cs="Arial"/>
        </w:rPr>
      </w:pPr>
      <w:r w:rsidRPr="00CE5166">
        <w:rPr>
          <w:rFonts w:ascii="Arial" w:hAnsi="Arial" w:cs="Arial"/>
        </w:rPr>
        <w:t>Implement automation triage. You can’t automate everything immediately, so prioritize based on impact. Start with alert enrichment to reduce false positives by 50%. Then automate common incident responses that consume 30% of analyst time. Finally, implement customer reporting automation to eliminate 20% of administrative burden. These three automations can reduce operational costs by 30-40% within six months.</w:t>
      </w:r>
    </w:p>
    <w:p w14:paraId="7D630E4D" w14:textId="77777777" w:rsidR="00DB24E2" w:rsidRPr="00CE5166" w:rsidRDefault="00000000">
      <w:pPr>
        <w:pStyle w:val="BodyText"/>
        <w:rPr>
          <w:rFonts w:ascii="Arial" w:hAnsi="Arial" w:cs="Arial"/>
        </w:rPr>
      </w:pPr>
      <w:r w:rsidRPr="00CE5166">
        <w:rPr>
          <w:rFonts w:ascii="Arial" w:hAnsi="Arial" w:cs="Arial"/>
        </w:rPr>
        <w:t>Restructure pricing immediately. Customers paying below your cost to serve must accept increases or leave. Don’t negotiate, don’t apologize, don’t delay. Present the new pricing as non-negotiable business requirements. You’ll lose 20-30% of customers but improve margins by 40-50%. The customers who remain value your services; those who leave were destroying your business.</w:t>
      </w:r>
    </w:p>
    <w:p w14:paraId="7D630E4E" w14:textId="77777777" w:rsidR="00DB24E2" w:rsidRPr="00CE5166" w:rsidRDefault="00000000">
      <w:pPr>
        <w:pStyle w:val="BodyText"/>
        <w:rPr>
          <w:rFonts w:ascii="Arial" w:hAnsi="Arial" w:cs="Arial"/>
        </w:rPr>
      </w:pPr>
      <w:r w:rsidRPr="00CE5166">
        <w:rPr>
          <w:rFonts w:ascii="Arial" w:hAnsi="Arial" w:cs="Arial"/>
        </w:rPr>
        <w:t>Consider strategic alternatives. If transformation seems impossible given capital constraints, timing, or market position, explore alternatives while you still have value. Merger with a stronger player, acquisition by a platform vendor, or managed shutdown might preserve more value than slow-motion bankruptcy. The worst outcome isn’t selling but waiting too long to sell.</w:t>
      </w:r>
    </w:p>
    <w:p w14:paraId="7D630E4F" w14:textId="77777777" w:rsidR="00DB24E2" w:rsidRPr="00CE5166" w:rsidRDefault="00000000">
      <w:pPr>
        <w:pStyle w:val="Heading2"/>
        <w:rPr>
          <w:rFonts w:ascii="Arial" w:hAnsi="Arial" w:cs="Arial"/>
        </w:rPr>
      </w:pPr>
      <w:bookmarkStart w:id="193" w:name="Xa65e25e859076eceb8b1e989219cf84f6bc200e"/>
      <w:bookmarkStart w:id="194" w:name="_Toc206954747"/>
      <w:r w:rsidRPr="00CE5166">
        <w:rPr>
          <w:rFonts w:ascii="Arial" w:hAnsi="Arial" w:cs="Arial"/>
        </w:rPr>
        <w:t>For Successful MSSPs: Maintaining Advantage</w:t>
      </w:r>
      <w:bookmarkEnd w:id="193"/>
      <w:bookmarkEnd w:id="194"/>
    </w:p>
    <w:p w14:paraId="7D630E50" w14:textId="77777777" w:rsidR="00DB24E2" w:rsidRPr="00CE5166" w:rsidRDefault="00000000">
      <w:pPr>
        <w:pStyle w:val="FirstParagraph"/>
        <w:rPr>
          <w:rFonts w:ascii="Arial" w:hAnsi="Arial" w:cs="Arial"/>
        </w:rPr>
      </w:pPr>
      <w:r w:rsidRPr="00CE5166">
        <w:rPr>
          <w:rFonts w:ascii="Arial" w:hAnsi="Arial" w:cs="Arial"/>
        </w:rPr>
        <w:t>If you’ve achieved 15%+ EBITDA margins, 90%+ customer retention, and sustainable growth, congratulations—you’re in the top quartile. But success creates its own challenges. Competitors study your model, customers expect continuous improvement, and employees become complacent. These recommendations help maintain advantage while avoiding the hubris that precedes decline.</w:t>
      </w:r>
    </w:p>
    <w:p w14:paraId="7D630E51" w14:textId="77777777" w:rsidR="00DB24E2" w:rsidRPr="00CE5166" w:rsidRDefault="00000000">
      <w:pPr>
        <w:pStyle w:val="BodyText"/>
        <w:rPr>
          <w:rFonts w:ascii="Arial" w:hAnsi="Arial" w:cs="Arial"/>
        </w:rPr>
      </w:pPr>
      <w:r w:rsidRPr="00CE5166">
        <w:rPr>
          <w:rFonts w:ascii="Arial" w:hAnsi="Arial" w:cs="Arial"/>
        </w:rPr>
        <w:t>Invest in disruption before being disrupted. Your successful model is someone’s disruption target. MDR providers target traditional monitoring services. AI-native startups target human-centric operations. Cloud specialists target infrastructure generalists. Instead of defending existing models, cannibalize yourself. Launch MDR services that compete with your monitoring. Build AI capabilities that reduce analyst requirements. Create cloud-native offerings that obsolete data center services.</w:t>
      </w:r>
    </w:p>
    <w:p w14:paraId="7D630E52" w14:textId="77777777" w:rsidR="00DB24E2" w:rsidRPr="00CE5166" w:rsidRDefault="00000000">
      <w:pPr>
        <w:pStyle w:val="BodyText"/>
        <w:rPr>
          <w:rFonts w:ascii="Arial" w:hAnsi="Arial" w:cs="Arial"/>
        </w:rPr>
      </w:pPr>
      <w:r w:rsidRPr="00CE5166">
        <w:rPr>
          <w:rFonts w:ascii="Arial" w:hAnsi="Arial" w:cs="Arial"/>
        </w:rPr>
        <w:t>Expand through acquisition carefully. Your strong balance sheet and operations enable consolidation plays, but most acquisitions fail due to cultural misalignment, customer defection, or integration complexity. Focus on acquiring capabilities rather than customers—specialized expertise, unique technology, or geographic presence. Pay for strategic value, not revenue multiples. Plan two-year integrations, not six-month transitions.</w:t>
      </w:r>
    </w:p>
    <w:p w14:paraId="7D630E53" w14:textId="77777777" w:rsidR="00DB24E2" w:rsidRPr="00CE5166" w:rsidRDefault="00000000">
      <w:pPr>
        <w:pStyle w:val="BodyText"/>
        <w:rPr>
          <w:rFonts w:ascii="Arial" w:hAnsi="Arial" w:cs="Arial"/>
        </w:rPr>
      </w:pPr>
      <w:r w:rsidRPr="00CE5166">
        <w:rPr>
          <w:rFonts w:ascii="Arial" w:hAnsi="Arial" w:cs="Arial"/>
        </w:rPr>
        <w:t>Build platform capabilities for competitive moat. Consider licensing your operational platform to smaller MSSPs who lack resources for development. This transforms competitors into customers while creating network effects that strengthen your position. The platform revenue stream requires minimal marginal cost while generating software-like margins. Arctic Wolf and similar leaders are already executing this strategy.</w:t>
      </w:r>
    </w:p>
    <w:p w14:paraId="7D630E54" w14:textId="77777777" w:rsidR="00DB24E2" w:rsidRPr="00CE5166" w:rsidRDefault="00000000">
      <w:pPr>
        <w:pStyle w:val="BodyText"/>
        <w:rPr>
          <w:rFonts w:ascii="Arial" w:hAnsi="Arial" w:cs="Arial"/>
        </w:rPr>
      </w:pPr>
      <w:r w:rsidRPr="00CE5166">
        <w:rPr>
          <w:rFonts w:ascii="Arial" w:hAnsi="Arial" w:cs="Arial"/>
        </w:rPr>
        <w:t>Maintain innovation velocity despite success. Success breeds conservatism—why change what works? But today’s advantages become tomorrow’s table stakes. Dedicate 10% of revenue to R&amp;D, even if margins tempt cost-cutting. Create innovation labs separate from operations. Partner with startups for emerging capabilities. The goal isn’t perfecting current models but inventing future ones.</w:t>
      </w:r>
    </w:p>
    <w:p w14:paraId="7D630E55" w14:textId="77777777" w:rsidR="00DB24E2" w:rsidRPr="00CE5166" w:rsidRDefault="00000000">
      <w:pPr>
        <w:pStyle w:val="BodyText"/>
        <w:rPr>
          <w:rFonts w:ascii="Arial" w:hAnsi="Arial" w:cs="Arial"/>
        </w:rPr>
      </w:pPr>
      <w:r w:rsidRPr="00CE5166">
        <w:rPr>
          <w:rFonts w:ascii="Arial" w:hAnsi="Arial" w:cs="Arial"/>
        </w:rPr>
        <w:t>Prepare for economic cycles. Your success occurred during history’s longest economic expansion. The next recession will test operational resilience, customer loyalty, and financial reserves. Build scenarios for 20%, 30%, and 40% revenue declines. Identify fixed costs that could become variable. Maintain credit facilities before needing them. Companies that survive downturns emerge with less competition and stronger positions.</w:t>
      </w:r>
    </w:p>
    <w:p w14:paraId="7D630E56" w14:textId="77777777" w:rsidR="00DB24E2" w:rsidRPr="00CE5166" w:rsidRDefault="00000000">
      <w:pPr>
        <w:pStyle w:val="Heading2"/>
        <w:rPr>
          <w:rFonts w:ascii="Arial" w:hAnsi="Arial" w:cs="Arial"/>
        </w:rPr>
      </w:pPr>
      <w:bookmarkStart w:id="195" w:name="for-the-industry-collective-challenges"/>
      <w:bookmarkStart w:id="196" w:name="_Toc206954748"/>
      <w:r w:rsidRPr="00CE5166">
        <w:rPr>
          <w:rFonts w:ascii="Arial" w:hAnsi="Arial" w:cs="Arial"/>
        </w:rPr>
        <w:t>For the Industry: Collective Challenges</w:t>
      </w:r>
      <w:bookmarkEnd w:id="195"/>
      <w:bookmarkEnd w:id="196"/>
    </w:p>
    <w:p w14:paraId="7D630E57" w14:textId="77777777" w:rsidR="00DB24E2" w:rsidRPr="00CE5166" w:rsidRDefault="00000000">
      <w:pPr>
        <w:pStyle w:val="FirstParagraph"/>
        <w:rPr>
          <w:rFonts w:ascii="Arial" w:hAnsi="Arial" w:cs="Arial"/>
        </w:rPr>
      </w:pPr>
      <w:r w:rsidRPr="00CE5166">
        <w:rPr>
          <w:rFonts w:ascii="Arial" w:hAnsi="Arial" w:cs="Arial"/>
        </w:rPr>
        <w:t>Some challenges require collective action that no single MSSP can address. These industry-wide initiatives benefit everyone while requiring cooperation among competitors—a delicate balance that trade associations, industry groups, and forward-thinking leaders must navigate.</w:t>
      </w:r>
    </w:p>
    <w:p w14:paraId="7D630E58" w14:textId="77777777" w:rsidR="00DB24E2" w:rsidRPr="00CE5166" w:rsidRDefault="00000000">
      <w:pPr>
        <w:pStyle w:val="BodyText"/>
        <w:rPr>
          <w:rFonts w:ascii="Arial" w:hAnsi="Arial" w:cs="Arial"/>
        </w:rPr>
      </w:pPr>
      <w:r w:rsidRPr="00CE5166">
        <w:rPr>
          <w:rFonts w:ascii="Arial" w:hAnsi="Arial" w:cs="Arial"/>
        </w:rPr>
        <w:t>Standardize metrics and reporting. The industry lacks consistent definitions for basic metrics like detection rates, response times, or false positive ratios. This ambiguity enables marketing manipulation while preventing meaningful comparison. Establishing industry-standard metrics would improve customer trust, enable benchmarking, and reduce sales friction. The Financial Accounting Standards Board provides a model for bringing order to chaos.</w:t>
      </w:r>
    </w:p>
    <w:p w14:paraId="7D630E59" w14:textId="77777777" w:rsidR="00DB24E2" w:rsidRPr="00CE5166" w:rsidRDefault="00000000">
      <w:pPr>
        <w:pStyle w:val="BodyText"/>
        <w:rPr>
          <w:rFonts w:ascii="Arial" w:hAnsi="Arial" w:cs="Arial"/>
        </w:rPr>
      </w:pPr>
      <w:r w:rsidRPr="00CE5166">
        <w:rPr>
          <w:rFonts w:ascii="Arial" w:hAnsi="Arial" w:cs="Arial"/>
        </w:rPr>
        <w:t>Address the talent crisis systematically. Individual MSSPs cannot solve the 3.4 million person shortage (https://www.msspalert.com/perspective/recruiting-innovations-to-overcome-the-cybersecurity-skills-gap). Industry-wide apprenticeship programs, university partnerships, and career transition initiatives could expand the talent pool rather than simply redistributing it. The German apprenticeship model, adapted for cybersecurity, could transform talent availability within five years.</w:t>
      </w:r>
    </w:p>
    <w:p w14:paraId="7D630E5A" w14:textId="77777777" w:rsidR="00DB24E2" w:rsidRPr="00CE5166" w:rsidRDefault="00000000">
      <w:pPr>
        <w:pStyle w:val="BodyText"/>
        <w:rPr>
          <w:rFonts w:ascii="Arial" w:hAnsi="Arial" w:cs="Arial"/>
        </w:rPr>
      </w:pPr>
      <w:r w:rsidRPr="00CE5166">
        <w:rPr>
          <w:rFonts w:ascii="Arial" w:hAnsi="Arial" w:cs="Arial"/>
        </w:rPr>
        <w:t>Create shared threat intelligence infrastructure. Every MSSP builds proprietary threat intelligence that duplicates competitors’ efforts while missing collective insights. A shared intelligence platform—preserving competitive differentiation while pooling defensive knowledge—would improve everyone’s detection capabilities. The financial industry’s Information Sharing and Analysis Centers demonstrate feasibility.</w:t>
      </w:r>
    </w:p>
    <w:p w14:paraId="7D630E5B" w14:textId="77777777" w:rsidR="00DB24E2" w:rsidRPr="00CE5166" w:rsidRDefault="00000000">
      <w:pPr>
        <w:pStyle w:val="BodyText"/>
        <w:rPr>
          <w:rFonts w:ascii="Arial" w:hAnsi="Arial" w:cs="Arial"/>
        </w:rPr>
      </w:pPr>
      <w:r w:rsidRPr="00CE5166">
        <w:rPr>
          <w:rFonts w:ascii="Arial" w:hAnsi="Arial" w:cs="Arial"/>
        </w:rPr>
        <w:t>Establish ethical guidelines for AI use. As AI transforms operations, questions arise about accountability, transparency, and human oversight. Industry-led standards could prevent regulatory overreach while ensuring responsible deployment. The medical industry’s approach to AI in diagnostics provides useful precedents.</w:t>
      </w:r>
    </w:p>
    <w:p w14:paraId="7D630E5C" w14:textId="77777777" w:rsidR="00DB24E2" w:rsidRPr="00CE5166" w:rsidRDefault="00000000">
      <w:pPr>
        <w:pStyle w:val="BodyText"/>
        <w:rPr>
          <w:rFonts w:ascii="Arial" w:hAnsi="Arial" w:cs="Arial"/>
        </w:rPr>
      </w:pPr>
      <w:r w:rsidRPr="00CE5166">
        <w:rPr>
          <w:rFonts w:ascii="Arial" w:hAnsi="Arial" w:cs="Arial"/>
        </w:rPr>
        <w:t>Advocate for liability reform. Current models that absolve software vendors of security failures while holding MSSPs responsible for breaches they didn’t cause create unsustainable risk allocations. Industry-wide advocacy for balanced liability frameworks would improve economics while maintaining accountability.</w:t>
      </w:r>
    </w:p>
    <w:p w14:paraId="7D630E5D" w14:textId="77777777" w:rsidR="00DB24E2" w:rsidRPr="00CE5166" w:rsidRDefault="00000000">
      <w:pPr>
        <w:pStyle w:val="Heading2"/>
        <w:rPr>
          <w:rFonts w:ascii="Arial" w:hAnsi="Arial" w:cs="Arial"/>
        </w:rPr>
      </w:pPr>
      <w:bookmarkStart w:id="197" w:name="the-path-forward"/>
      <w:bookmarkStart w:id="198" w:name="_Toc206954749"/>
      <w:r w:rsidRPr="00CE5166">
        <w:rPr>
          <w:rFonts w:ascii="Arial" w:hAnsi="Arial" w:cs="Arial"/>
        </w:rPr>
        <w:t>The Path Forward</w:t>
      </w:r>
      <w:bookmarkEnd w:id="197"/>
      <w:bookmarkEnd w:id="198"/>
    </w:p>
    <w:p w14:paraId="7D630E5E" w14:textId="77777777" w:rsidR="00DB24E2" w:rsidRPr="00CE5166" w:rsidRDefault="00000000">
      <w:pPr>
        <w:pStyle w:val="FirstParagraph"/>
        <w:rPr>
          <w:rFonts w:ascii="Arial" w:hAnsi="Arial" w:cs="Arial"/>
        </w:rPr>
      </w:pPr>
      <w:r w:rsidRPr="00CE5166">
        <w:rPr>
          <w:rFonts w:ascii="Arial" w:hAnsi="Arial" w:cs="Arial"/>
        </w:rPr>
        <w:t>These recommendations aren’t theoretical musings but practical prescriptions derived from empirical observation of success and failure patterns. New entrants that start right avoid years of painful correction. Struggling players that transform decisively might survive the coming consolidation. Successful companies that maintain innovation preserve their advantages. The industry that addresses collective challenges creates conditions for sustainable prosperity.</w:t>
      </w:r>
    </w:p>
    <w:p w14:paraId="7D630E5F" w14:textId="77777777" w:rsidR="00DB24E2" w:rsidRPr="00CE5166" w:rsidRDefault="00000000">
      <w:pPr>
        <w:pStyle w:val="BodyText"/>
        <w:rPr>
          <w:rFonts w:ascii="Arial" w:hAnsi="Arial" w:cs="Arial"/>
        </w:rPr>
      </w:pPr>
      <w:r w:rsidRPr="00CE5166">
        <w:rPr>
          <w:rFonts w:ascii="Arial" w:hAnsi="Arial" w:cs="Arial"/>
        </w:rPr>
        <w:t>The choice facing every MSSP is clear: transform or perish. The 40% consolidation prediction by 2028 isn’t pessimistic but optimistic—it assumes 60% figure out sustainable models. Based on current trajectories, the actual percentage might be lower. But for those who make hard choices, implement disciplined strategies, and execute relentlessly, the opportunity has never been greater.</w:t>
      </w:r>
    </w:p>
    <w:p w14:paraId="7D630E60" w14:textId="77777777" w:rsidR="00DB24E2" w:rsidRPr="00CE5166" w:rsidRDefault="00000000">
      <w:pPr>
        <w:pStyle w:val="BodyText"/>
        <w:rPr>
          <w:rFonts w:ascii="Arial" w:hAnsi="Arial" w:cs="Arial"/>
        </w:rPr>
      </w:pPr>
      <w:r w:rsidRPr="00CE5166">
        <w:rPr>
          <w:rFonts w:ascii="Arial" w:hAnsi="Arial" w:cs="Arial"/>
        </w:rPr>
        <w:t>The conclusion examines how MSSPs can transform the profitability paradox into sustainable competitive advantage, building businesses that thrive rather than merely survive in the essential but challenging work of digital defense.</w:t>
      </w:r>
    </w:p>
    <w:p w14:paraId="7D630E61" w14:textId="77777777" w:rsidR="00DB24E2" w:rsidRPr="00CE5166" w:rsidRDefault="00000000">
      <w:pPr>
        <w:rPr>
          <w:rFonts w:ascii="Arial" w:hAnsi="Arial" w:cs="Arial"/>
        </w:rPr>
      </w:pPr>
      <w:r w:rsidRPr="00CE5166">
        <w:rPr>
          <w:rFonts w:ascii="Arial" w:hAnsi="Arial" w:cs="Arial"/>
        </w:rPr>
        <w:pict w14:anchorId="7D630E8E">
          <v:rect id="_x0000_i1040" style="width:0;height:1.5pt" o:hralign="center" o:hrstd="t" o:hr="t"/>
        </w:pict>
      </w:r>
    </w:p>
    <w:p w14:paraId="7D630E62" w14:textId="77777777" w:rsidR="00DB24E2" w:rsidRPr="00CE5166" w:rsidRDefault="00000000">
      <w:pPr>
        <w:pStyle w:val="Heading1"/>
        <w:rPr>
          <w:rFonts w:ascii="Arial" w:hAnsi="Arial" w:cs="Arial"/>
        </w:rPr>
      </w:pPr>
      <w:bookmarkStart w:id="199" w:name="conclusion-from-paradox-to-profit"/>
      <w:bookmarkStart w:id="200" w:name="_Toc206954750"/>
      <w:r w:rsidRPr="00CE5166">
        <w:rPr>
          <w:rFonts w:ascii="Arial" w:hAnsi="Arial" w:cs="Arial"/>
        </w:rPr>
        <w:t>Conclusion: From Paradox to Profit</w:t>
      </w:r>
      <w:bookmarkEnd w:id="199"/>
      <w:bookmarkEnd w:id="200"/>
    </w:p>
    <w:p w14:paraId="7D630E63" w14:textId="77777777" w:rsidR="00DB24E2" w:rsidRPr="00CE5166" w:rsidRDefault="00000000">
      <w:pPr>
        <w:pStyle w:val="FirstParagraph"/>
        <w:rPr>
          <w:rFonts w:ascii="Arial" w:hAnsi="Arial" w:cs="Arial"/>
        </w:rPr>
      </w:pPr>
      <w:r w:rsidRPr="00CE5166">
        <w:rPr>
          <w:rFonts w:ascii="Arial" w:hAnsi="Arial" w:cs="Arial"/>
        </w:rPr>
        <w:t>The managed security services industry has achieved something remarkable: it has created a business model that violates fundamental economic principles and yet persists through sheer necessity. Like Wile E. Coyote running off a cliff, MSSPs continue operating for a few suspended moments before reality intrudes. For a quarter of the industry already operating at breakeven or losses, gravity has taken hold. For another 40% predicted to consolidate or collapse by 2028, the descent has begun. Yet for those who recognize the paradox and resolve it, the opportunity to build enduring, profitable businesses protecting the digital realm has never been greater.</w:t>
      </w:r>
    </w:p>
    <w:p w14:paraId="7D630E64" w14:textId="77777777" w:rsidR="00DB24E2" w:rsidRPr="00CE5166" w:rsidRDefault="00000000">
      <w:pPr>
        <w:pStyle w:val="BodyText"/>
        <w:rPr>
          <w:rFonts w:ascii="Arial" w:hAnsi="Arial" w:cs="Arial"/>
        </w:rPr>
      </w:pPr>
      <w:r w:rsidRPr="00CE5166">
        <w:rPr>
          <w:rFonts w:ascii="Arial" w:hAnsi="Arial" w:cs="Arial"/>
        </w:rPr>
        <w:t>The paradox itself is elegant in its perversity. An industry serving desperate demand—94% of SMBs suffered breaches in 2024—in a market growing at 15% annually toward $87.5 billion by 2030, somehow generates margins that would embarrass a grocery chain (https://www.cyvent.com/post/cybersecurity-msp-market-stats). Secureworks, ostensibly a leader, limps along at 1.7% EBITDA margins despite premium positioning and enterprise clients (https://www.prnewswire.com/news-releases/secureworks-announces-third-quarter-fiscal-2025-results-302322235.html). The average MSSP manages 8% net margins while the top quartile achieves 18%—still modest by technology industry standards but magnificent compared to peers.</w:t>
      </w:r>
    </w:p>
    <w:p w14:paraId="7D630E65" w14:textId="77777777" w:rsidR="00DB24E2" w:rsidRPr="00CE5166" w:rsidRDefault="00000000">
      <w:pPr>
        <w:pStyle w:val="Heading2"/>
        <w:rPr>
          <w:rFonts w:ascii="Arial" w:hAnsi="Arial" w:cs="Arial"/>
        </w:rPr>
      </w:pPr>
      <w:bookmarkStart w:id="201" w:name="the-root-of-dysfunction"/>
      <w:bookmarkStart w:id="202" w:name="_Toc206954751"/>
      <w:r w:rsidRPr="00CE5166">
        <w:rPr>
          <w:rFonts w:ascii="Arial" w:hAnsi="Arial" w:cs="Arial"/>
        </w:rPr>
        <w:t>The Root of Dysfunction</w:t>
      </w:r>
      <w:bookmarkEnd w:id="201"/>
      <w:bookmarkEnd w:id="202"/>
    </w:p>
    <w:p w14:paraId="7D630E66" w14:textId="77777777" w:rsidR="00DB24E2" w:rsidRPr="00CE5166" w:rsidRDefault="00000000">
      <w:pPr>
        <w:pStyle w:val="FirstParagraph"/>
        <w:rPr>
          <w:rFonts w:ascii="Arial" w:hAnsi="Arial" w:cs="Arial"/>
        </w:rPr>
      </w:pPr>
      <w:r w:rsidRPr="00CE5166">
        <w:rPr>
          <w:rFonts w:ascii="Arial" w:hAnsi="Arial" w:cs="Arial"/>
        </w:rPr>
        <w:t>Throughout this analysis, we’ve excavated the roots of this dysfunction. Linear cost scaling meets exponential threat growth. Human-intensive services resist the automation that transformed other industries. Vendor proliferation creates complexity that destroys margins. The talent war drives costs higher than prices can rise. Customers demand customization that prevents standardization. Geography multiplies complexity. Compliance adds overhead. The litany of challenges would discourage entry into any rational market, yet new MSSPs continue launching, drawn by the siren song of recurring revenue and essential services.</w:t>
      </w:r>
    </w:p>
    <w:p w14:paraId="7D630E67" w14:textId="77777777" w:rsidR="00DB24E2" w:rsidRPr="00CE5166" w:rsidRDefault="00000000">
      <w:pPr>
        <w:pStyle w:val="BodyText"/>
        <w:rPr>
          <w:rFonts w:ascii="Arial" w:hAnsi="Arial" w:cs="Arial"/>
        </w:rPr>
      </w:pPr>
      <w:r w:rsidRPr="00CE5166">
        <w:rPr>
          <w:rFonts w:ascii="Arial" w:hAnsi="Arial" w:cs="Arial"/>
        </w:rPr>
        <w:t>The root cause, however, runs deeper than operational challenges. The industry suffers from a fundamental misunderstanding of its value proposition. MSSPs price their services as if they were selling commodity technology—per device, per gigabyte, per user—when they’re actually selling business risk reduction, operational resilience, and executive sleep. This pricing model mismatch creates a value capture failure of epic proportions. Companies that would gladly pay $500,000 annually to avoid a $3 million breach instead pay $100,000 for security services they view as expensive insurance.</w:t>
      </w:r>
    </w:p>
    <w:p w14:paraId="7D630E68" w14:textId="77777777" w:rsidR="00DB24E2" w:rsidRPr="00CE5166" w:rsidRDefault="00000000">
      <w:pPr>
        <w:pStyle w:val="Heading2"/>
        <w:rPr>
          <w:rFonts w:ascii="Arial" w:hAnsi="Arial" w:cs="Arial"/>
        </w:rPr>
      </w:pPr>
      <w:bookmarkStart w:id="203" w:name="the-transformation-imperative-1"/>
      <w:bookmarkStart w:id="204" w:name="_Toc206954752"/>
      <w:r w:rsidRPr="00CE5166">
        <w:rPr>
          <w:rFonts w:ascii="Arial" w:hAnsi="Arial" w:cs="Arial"/>
        </w:rPr>
        <w:t>The Transformation Imperative</w:t>
      </w:r>
      <w:bookmarkEnd w:id="203"/>
      <w:bookmarkEnd w:id="204"/>
    </w:p>
    <w:p w14:paraId="7D630E69" w14:textId="77777777" w:rsidR="00DB24E2" w:rsidRPr="00CE5166" w:rsidRDefault="00000000">
      <w:pPr>
        <w:pStyle w:val="FirstParagraph"/>
        <w:rPr>
          <w:rFonts w:ascii="Arial" w:hAnsi="Arial" w:cs="Arial"/>
        </w:rPr>
      </w:pPr>
      <w:r w:rsidRPr="00CE5166">
        <w:rPr>
          <w:rFonts w:ascii="Arial" w:hAnsi="Arial" w:cs="Arial"/>
        </w:rPr>
        <w:t>The transformation from paradox to profit requires three fundamental shifts that challenge every assumption about how MSSPs operate.</w:t>
      </w:r>
    </w:p>
    <w:p w14:paraId="7D630E6A" w14:textId="77777777" w:rsidR="00DB24E2" w:rsidRPr="00CE5166" w:rsidRDefault="00000000">
      <w:pPr>
        <w:pStyle w:val="BodyText"/>
        <w:rPr>
          <w:rFonts w:ascii="Arial" w:hAnsi="Arial" w:cs="Arial"/>
        </w:rPr>
      </w:pPr>
      <w:r w:rsidRPr="00CE5166">
        <w:rPr>
          <w:rFonts w:ascii="Arial" w:hAnsi="Arial" w:cs="Arial"/>
        </w:rPr>
        <w:t>First, the shift from human-centric to automation-first operations. This isn’t adding scripts to existing processes but reimagining operations assuming unlimited computational power and scarce human expertise. When AI can process billions of events, identify patterns humans would miss, and respond in milliseconds, why do MSSPs still employ armies of analysts staring at screens? The leaders achieving 70-80% automation aren’t just more efficient—they’re playing a different game entirely (https://www.msspalert.com/news/d3-security-survey-ties-automation-to-mssp-growth-analyst-wellbeing).</w:t>
      </w:r>
    </w:p>
    <w:p w14:paraId="7D630E6B" w14:textId="77777777" w:rsidR="00DB24E2" w:rsidRPr="00CE5166" w:rsidRDefault="00000000">
      <w:pPr>
        <w:pStyle w:val="BodyText"/>
        <w:rPr>
          <w:rFonts w:ascii="Arial" w:hAnsi="Arial" w:cs="Arial"/>
        </w:rPr>
      </w:pPr>
      <w:r w:rsidRPr="00CE5166">
        <w:rPr>
          <w:rFonts w:ascii="Arial" w:hAnsi="Arial" w:cs="Arial"/>
        </w:rPr>
        <w:t>Second, the shift from activity-based to outcome-based business models. Charging for devices monitored or alerts processed is like restaurants charging by the minute rather than the meal. Outcome-based pricing—for risk reduction, compliance achievement, or breach prevention—aligns incentives while capturing value. MSSPs that make this transition command 2-3x higher prices while improving customer satisfaction. It’s the rare win-win in zero-sum markets.</w:t>
      </w:r>
    </w:p>
    <w:p w14:paraId="7D630E6C" w14:textId="77777777" w:rsidR="00DB24E2" w:rsidRPr="00CE5166" w:rsidRDefault="00000000">
      <w:pPr>
        <w:pStyle w:val="BodyText"/>
        <w:rPr>
          <w:rFonts w:ascii="Arial" w:hAnsi="Arial" w:cs="Arial"/>
        </w:rPr>
      </w:pPr>
      <w:r w:rsidRPr="00CE5166">
        <w:rPr>
          <w:rFonts w:ascii="Arial" w:hAnsi="Arial" w:cs="Arial"/>
        </w:rPr>
        <w:t>Third, the shift from horizontal generalists to vertical specialists. The everything-for-everyone MSSP faces inevitable commoditization. But the healthcare security specialist, the financial services expert, or the manufacturing-focused provider commands premium pricing through demonstrated expertise. Specialization enables standardization within segments while maintaining differentiation across markets.</w:t>
      </w:r>
    </w:p>
    <w:p w14:paraId="7D630E6D" w14:textId="77777777" w:rsidR="00DB24E2" w:rsidRPr="00CE5166" w:rsidRDefault="00000000">
      <w:pPr>
        <w:pStyle w:val="Heading2"/>
        <w:rPr>
          <w:rFonts w:ascii="Arial" w:hAnsi="Arial" w:cs="Arial"/>
        </w:rPr>
      </w:pPr>
      <w:bookmarkStart w:id="205" w:name="the-consolidation-catalyst"/>
      <w:bookmarkStart w:id="206" w:name="_Toc206954753"/>
      <w:r w:rsidRPr="00CE5166">
        <w:rPr>
          <w:rFonts w:ascii="Arial" w:hAnsi="Arial" w:cs="Arial"/>
        </w:rPr>
        <w:t>The Consolidation Catalyst</w:t>
      </w:r>
      <w:bookmarkEnd w:id="205"/>
      <w:bookmarkEnd w:id="206"/>
    </w:p>
    <w:p w14:paraId="7D630E6E" w14:textId="77777777" w:rsidR="00DB24E2" w:rsidRPr="00CE5166" w:rsidRDefault="00000000">
      <w:pPr>
        <w:pStyle w:val="FirstParagraph"/>
        <w:rPr>
          <w:rFonts w:ascii="Arial" w:hAnsi="Arial" w:cs="Arial"/>
        </w:rPr>
      </w:pPr>
      <w:r w:rsidRPr="00CE5166">
        <w:rPr>
          <w:rFonts w:ascii="Arial" w:hAnsi="Arial" w:cs="Arial"/>
        </w:rPr>
        <w:t>The predicted 40% industry consolidation by 2028 isn’t a catastrophe but a catalyst (https://www.cyvent.com/post/cybersecurity-msp-market-stats). Industries require periodic creative destruction to eliminate inefficiency, reward innovation, and establish sustainable structures. The airline industry’s consolidation from hundreds of carriers to a handful of majors created today’s profitable (if unloved) oligopoly. Telecommunications followed a similar path. MSSPs will too.</w:t>
      </w:r>
    </w:p>
    <w:p w14:paraId="7D630E6F" w14:textId="77777777" w:rsidR="00DB24E2" w:rsidRPr="00CE5166" w:rsidRDefault="00000000">
      <w:pPr>
        <w:pStyle w:val="BodyText"/>
        <w:rPr>
          <w:rFonts w:ascii="Arial" w:hAnsi="Arial" w:cs="Arial"/>
        </w:rPr>
      </w:pPr>
      <w:r w:rsidRPr="00CE5166">
        <w:rPr>
          <w:rFonts w:ascii="Arial" w:hAnsi="Arial" w:cs="Arial"/>
        </w:rPr>
        <w:t>The consolidation pattern is predictable. Platform-centric players will acquire tool-aggregating competitors for customer bases rather than capabilities. Successful regionals will merge to achieve national scale. Specialists will roll up within verticals. Private equity will bundle subscale players into platforms. When complete, perhaps 5-10 major players will control 60% of the market, with specialized providers serving niches the majors can’t or won’t address.</w:t>
      </w:r>
    </w:p>
    <w:p w14:paraId="7D630E70" w14:textId="77777777" w:rsidR="00DB24E2" w:rsidRPr="00CE5166" w:rsidRDefault="00000000">
      <w:pPr>
        <w:pStyle w:val="BodyText"/>
        <w:rPr>
          <w:rFonts w:ascii="Arial" w:hAnsi="Arial" w:cs="Arial"/>
        </w:rPr>
      </w:pPr>
      <w:r w:rsidRPr="00CE5166">
        <w:rPr>
          <w:rFonts w:ascii="Arial" w:hAnsi="Arial" w:cs="Arial"/>
        </w:rPr>
        <w:t>This consolidation benefits everyone except inefficient incumbents. Customers gain stronger, more capable providers. Employees enjoy better career prospects in larger, more stable organizations. Investors achieve returns from scale economics. Even unsuccessful MSSPs benefit from graceful exits rather than grinding bankruptcies. The only losers are those who wait too long, discovering their businesses have become worthless.</w:t>
      </w:r>
    </w:p>
    <w:p w14:paraId="7D630E71" w14:textId="77777777" w:rsidR="00DB24E2" w:rsidRPr="00CE5166" w:rsidRDefault="00000000">
      <w:pPr>
        <w:pStyle w:val="Heading2"/>
        <w:rPr>
          <w:rFonts w:ascii="Arial" w:hAnsi="Arial" w:cs="Arial"/>
        </w:rPr>
      </w:pPr>
      <w:bookmarkStart w:id="207" w:name="the-success-patterns"/>
      <w:bookmarkStart w:id="208" w:name="_Toc206954754"/>
      <w:r w:rsidRPr="00CE5166">
        <w:rPr>
          <w:rFonts w:ascii="Arial" w:hAnsi="Arial" w:cs="Arial"/>
        </w:rPr>
        <w:t>The Success Patterns</w:t>
      </w:r>
      <w:bookmarkEnd w:id="207"/>
      <w:bookmarkEnd w:id="208"/>
    </w:p>
    <w:p w14:paraId="7D630E72" w14:textId="77777777" w:rsidR="00DB24E2" w:rsidRPr="00CE5166" w:rsidRDefault="00000000">
      <w:pPr>
        <w:pStyle w:val="FirstParagraph"/>
        <w:rPr>
          <w:rFonts w:ascii="Arial" w:hAnsi="Arial" w:cs="Arial"/>
        </w:rPr>
      </w:pPr>
      <w:r w:rsidRPr="00CE5166">
        <w:rPr>
          <w:rFonts w:ascii="Arial" w:hAnsi="Arial" w:cs="Arial"/>
        </w:rPr>
        <w:t>Throughout this analysis, patterns of success emerge repeatedly. Arctic Wolf’s platform-centric model. Deepwatch’s squad-based delivery. ReliaQuest’s outcome-based pricing. These aren’t lucky accidents but systematic approaches to resolving the profitability paradox.</w:t>
      </w:r>
    </w:p>
    <w:p w14:paraId="7D630E73" w14:textId="77777777" w:rsidR="00DB24E2" w:rsidRPr="00CE5166" w:rsidRDefault="00000000">
      <w:pPr>
        <w:pStyle w:val="BodyText"/>
        <w:rPr>
          <w:rFonts w:ascii="Arial" w:hAnsi="Arial" w:cs="Arial"/>
        </w:rPr>
      </w:pPr>
      <w:r w:rsidRPr="00CE5166">
        <w:rPr>
          <w:rFonts w:ascii="Arial" w:hAnsi="Arial" w:cs="Arial"/>
        </w:rPr>
        <w:t>The successful MSSPs share common characteristics. They maintain strict operational discipline, refusing customization that destroys standardization. They invest in automation that amplifies rather than replaces humans. They price based on value rather than cost. They focus on customer retention over acquisition. They measure outcomes rather than activities. They build platforms rather than aggregate tools. Individually, these practices seem obvious. Collectively, they transform economics.</w:t>
      </w:r>
    </w:p>
    <w:p w14:paraId="7D630E74" w14:textId="77777777" w:rsidR="00DB24E2" w:rsidRPr="00CE5166" w:rsidRDefault="00000000">
      <w:pPr>
        <w:pStyle w:val="BodyText"/>
        <w:rPr>
          <w:rFonts w:ascii="Arial" w:hAnsi="Arial" w:cs="Arial"/>
        </w:rPr>
      </w:pPr>
      <w:r w:rsidRPr="00CE5166">
        <w:rPr>
          <w:rFonts w:ascii="Arial" w:hAnsi="Arial" w:cs="Arial"/>
        </w:rPr>
        <w:t>The formula for success isn’t complex: standardized services delivered through automated platforms by specialized teams charging value-based prices to qualified customers in focused markets. It’s the execution that proves challenging, requiring discipline to refuse profitable-seeming opportunities that destroy long-term sustainability.</w:t>
      </w:r>
    </w:p>
    <w:p w14:paraId="7D630E75" w14:textId="77777777" w:rsidR="00DB24E2" w:rsidRPr="00CE5166" w:rsidRDefault="00000000">
      <w:pPr>
        <w:pStyle w:val="Heading2"/>
        <w:rPr>
          <w:rFonts w:ascii="Arial" w:hAnsi="Arial" w:cs="Arial"/>
        </w:rPr>
      </w:pPr>
      <w:bookmarkStart w:id="209" w:name="the-future-landscape"/>
      <w:bookmarkStart w:id="210" w:name="_Toc206954755"/>
      <w:r w:rsidRPr="00CE5166">
        <w:rPr>
          <w:rFonts w:ascii="Arial" w:hAnsi="Arial" w:cs="Arial"/>
        </w:rPr>
        <w:t>The Future Landscape</w:t>
      </w:r>
      <w:bookmarkEnd w:id="209"/>
      <w:bookmarkEnd w:id="210"/>
    </w:p>
    <w:p w14:paraId="7D630E76" w14:textId="77777777" w:rsidR="00DB24E2" w:rsidRPr="00CE5166" w:rsidRDefault="00000000">
      <w:pPr>
        <w:pStyle w:val="FirstParagraph"/>
        <w:rPr>
          <w:rFonts w:ascii="Arial" w:hAnsi="Arial" w:cs="Arial"/>
        </w:rPr>
      </w:pPr>
      <w:r w:rsidRPr="00CE5166">
        <w:rPr>
          <w:rFonts w:ascii="Arial" w:hAnsi="Arial" w:cs="Arial"/>
        </w:rPr>
        <w:t>The MSSP industry of 2030 will be unrecognizable to today’s practitioners. AI-native operations will handle 95% of security tasks autonomously. Outcome-based pricing will be standard, not exceptional. Risk underwriting will replace service delivery as the primary business model. The distinction between MSSPs and cyber insurers will blur beyond recognition.</w:t>
      </w:r>
    </w:p>
    <w:p w14:paraId="7D630E77" w14:textId="77777777" w:rsidR="00DB24E2" w:rsidRPr="00CE5166" w:rsidRDefault="00000000">
      <w:pPr>
        <w:pStyle w:val="BodyText"/>
        <w:rPr>
          <w:rFonts w:ascii="Arial" w:hAnsi="Arial" w:cs="Arial"/>
        </w:rPr>
      </w:pPr>
      <w:r w:rsidRPr="00CE5166">
        <w:rPr>
          <w:rFonts w:ascii="Arial" w:hAnsi="Arial" w:cs="Arial"/>
        </w:rPr>
        <w:t>The winners will be those who transform proactively rather than reactively. New entrants building AI-native from inception. Existing players cannibalizing their own services before competitors do. Platform providers enabling smaller players while capturing network effects. Specialists dominating verticals with deep expertise. These organizations won’t just survive consolidation—they’ll drive it.</w:t>
      </w:r>
    </w:p>
    <w:p w14:paraId="7D630E78" w14:textId="77777777" w:rsidR="00DB24E2" w:rsidRPr="00CE5166" w:rsidRDefault="00000000">
      <w:pPr>
        <w:pStyle w:val="BodyText"/>
        <w:rPr>
          <w:rFonts w:ascii="Arial" w:hAnsi="Arial" w:cs="Arial"/>
        </w:rPr>
      </w:pPr>
      <w:r w:rsidRPr="00CE5166">
        <w:rPr>
          <w:rFonts w:ascii="Arial" w:hAnsi="Arial" w:cs="Arial"/>
        </w:rPr>
        <w:t>The losers are equally predictable. Generalists competing on price. Organizations maintaining dozens of vendor relationships. Companies dependent on human-intensive operations. MSSPs treating security as a technical rather than business service. These players might persist for years, but their trajectory toward irrelevance is mathematically certain.</w:t>
      </w:r>
    </w:p>
    <w:p w14:paraId="7D630E79" w14:textId="77777777" w:rsidR="00DB24E2" w:rsidRPr="00CE5166" w:rsidRDefault="00000000">
      <w:pPr>
        <w:pStyle w:val="Heading2"/>
        <w:rPr>
          <w:rFonts w:ascii="Arial" w:hAnsi="Arial" w:cs="Arial"/>
        </w:rPr>
      </w:pPr>
      <w:bookmarkStart w:id="211" w:name="the-call-to-action"/>
      <w:bookmarkStart w:id="212" w:name="_Toc206954756"/>
      <w:r w:rsidRPr="00CE5166">
        <w:rPr>
          <w:rFonts w:ascii="Arial" w:hAnsi="Arial" w:cs="Arial"/>
        </w:rPr>
        <w:t>The Call to Action</w:t>
      </w:r>
      <w:bookmarkEnd w:id="211"/>
      <w:bookmarkEnd w:id="212"/>
    </w:p>
    <w:p w14:paraId="7D630E7A" w14:textId="77777777" w:rsidR="00DB24E2" w:rsidRPr="00CE5166" w:rsidRDefault="00000000">
      <w:pPr>
        <w:pStyle w:val="FirstParagraph"/>
        <w:rPr>
          <w:rFonts w:ascii="Arial" w:hAnsi="Arial" w:cs="Arial"/>
        </w:rPr>
      </w:pPr>
      <w:r w:rsidRPr="00CE5166">
        <w:rPr>
          <w:rFonts w:ascii="Arial" w:hAnsi="Arial" w:cs="Arial"/>
        </w:rPr>
        <w:t>For MSSPs reading this analysis, the message is clear: transform or perish. The comfortable middle ground of marginal profitability and modest growth is disappearing. The industry is bifurcating into winners and losers, with little space between.</w:t>
      </w:r>
    </w:p>
    <w:p w14:paraId="7D630E7B" w14:textId="77777777" w:rsidR="00DB24E2" w:rsidRPr="00CE5166" w:rsidRDefault="00000000">
      <w:pPr>
        <w:pStyle w:val="BodyText"/>
        <w:rPr>
          <w:rFonts w:ascii="Arial" w:hAnsi="Arial" w:cs="Arial"/>
        </w:rPr>
      </w:pPr>
      <w:r w:rsidRPr="00CE5166">
        <w:rPr>
          <w:rFonts w:ascii="Arial" w:hAnsi="Arial" w:cs="Arial"/>
        </w:rPr>
        <w:t>The transformation requires courage. Firing unprofitable customers takes nerve. Refusing customization demands discipline. Investing in automation while competitors harvest short-term profits requires vision. But the alternative—slow-motion decline into irrelevance—is worse than any transformation risk.</w:t>
      </w:r>
    </w:p>
    <w:p w14:paraId="7D630E7C" w14:textId="77777777" w:rsidR="00DB24E2" w:rsidRPr="00CE5166" w:rsidRDefault="00000000">
      <w:pPr>
        <w:pStyle w:val="BodyText"/>
        <w:rPr>
          <w:rFonts w:ascii="Arial" w:hAnsi="Arial" w:cs="Arial"/>
        </w:rPr>
      </w:pPr>
      <w:r w:rsidRPr="00CE5166">
        <w:rPr>
          <w:rFonts w:ascii="Arial" w:hAnsi="Arial" w:cs="Arial"/>
        </w:rPr>
        <w:t>The opportunity justifies the effort. Cybersecurity services address existential business risks in an increasingly digital economy. The demand will only grow. The organizations that successfully transform won’t just capture shares of an $87.5 billion market—they’ll help define the future of digital commerce, governance, and society.</w:t>
      </w:r>
    </w:p>
    <w:p w14:paraId="7D630E7D" w14:textId="77777777" w:rsidR="00DB24E2" w:rsidRPr="00CE5166" w:rsidRDefault="00000000">
      <w:pPr>
        <w:pStyle w:val="BodyText"/>
        <w:rPr>
          <w:rFonts w:ascii="Arial" w:hAnsi="Arial" w:cs="Arial"/>
        </w:rPr>
      </w:pPr>
      <w:r w:rsidRPr="00CE5166">
        <w:rPr>
          <w:rFonts w:ascii="Arial" w:hAnsi="Arial" w:cs="Arial"/>
        </w:rPr>
        <w:t>The profitability paradox that has plagued MSSPs isn’t an immutable law but a solvable puzzle. The pieces are known: automation, standardization, specialization, and value-based pricing. The blueprint exists in leaders already achieving sustainable margins. The transformation roadmap is documented. What remains is execution—the difficult, disciplined, daily work of building businesses that profitably protect the digital infrastructure on which modern civilization depends.</w:t>
      </w:r>
    </w:p>
    <w:p w14:paraId="7D630E7E" w14:textId="77777777" w:rsidR="00DB24E2" w:rsidRPr="00CE5166" w:rsidRDefault="00000000">
      <w:pPr>
        <w:pStyle w:val="BodyText"/>
        <w:rPr>
          <w:rFonts w:ascii="Arial" w:hAnsi="Arial" w:cs="Arial"/>
        </w:rPr>
      </w:pPr>
      <w:r w:rsidRPr="00CE5166">
        <w:rPr>
          <w:rFonts w:ascii="Arial" w:hAnsi="Arial" w:cs="Arial"/>
        </w:rPr>
        <w:t>The paradox ends where profit begins: with MSSPs that stop selling time and start selling outcomes, stop processing alerts and start preventing breaches, stop competing on price and start creating value. For those with courage to transform, the future isn’t just profitable—it’s essential.</w:t>
      </w:r>
    </w:p>
    <w:sectPr w:rsidR="00DB24E2" w:rsidRPr="00CE5166" w:rsidSect="005610D4">
      <w:headerReference w:type="default" r:id="rId7"/>
      <w:footerReference w:type="default" r:id="rId8"/>
      <w:headerReference w:type="first" r:id="rId9"/>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F3B40" w14:textId="77777777" w:rsidR="00A4125B" w:rsidRDefault="00A4125B">
      <w:pPr>
        <w:spacing w:after="0"/>
      </w:pPr>
      <w:r>
        <w:separator/>
      </w:r>
    </w:p>
  </w:endnote>
  <w:endnote w:type="continuationSeparator" w:id="0">
    <w:p w14:paraId="3935E43B" w14:textId="77777777" w:rsidR="00A4125B" w:rsidRDefault="00A4125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7351391"/>
      <w:docPartObj>
        <w:docPartGallery w:val="Page Numbers (Bottom of Page)"/>
        <w:docPartUnique/>
      </w:docPartObj>
    </w:sdtPr>
    <w:sdtContent>
      <w:sdt>
        <w:sdtPr>
          <w:id w:val="1728636285"/>
          <w:docPartObj>
            <w:docPartGallery w:val="Page Numbers (Top of Page)"/>
            <w:docPartUnique/>
          </w:docPartObj>
        </w:sdtPr>
        <w:sdtContent>
          <w:p w14:paraId="1E0E11A2" w14:textId="4A759756" w:rsidR="005610D4" w:rsidRDefault="005610D4">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E816142" w14:textId="77777777" w:rsidR="005610D4" w:rsidRDefault="005610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6B1A4" w14:textId="77777777" w:rsidR="00A4125B" w:rsidRDefault="00A4125B">
      <w:r>
        <w:separator/>
      </w:r>
    </w:p>
  </w:footnote>
  <w:footnote w:type="continuationSeparator" w:id="0">
    <w:p w14:paraId="75F40A32" w14:textId="77777777" w:rsidR="00A4125B" w:rsidRDefault="00A412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CEEA5" w14:textId="68ABEBE4" w:rsidR="005610D4" w:rsidRDefault="005610D4" w:rsidP="005610D4">
    <w:pPr>
      <w:pStyle w:val="Header"/>
      <w:jc w:val="center"/>
    </w:pPr>
    <w:r>
      <w:rPr>
        <w:noProof/>
      </w:rPr>
      <w:drawing>
        <wp:inline distT="0" distB="0" distL="0" distR="0" wp14:anchorId="26858370" wp14:editId="4F8226F3">
          <wp:extent cx="441981" cy="465128"/>
          <wp:effectExtent l="0" t="0" r="0" b="0"/>
          <wp:docPr id="1021878126" name="Picture 2" descr="A red line with dots an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878126" name="Picture 2" descr="A red line with dots and circle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445466" cy="46879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F112F" w14:textId="1F34D586" w:rsidR="005610D4" w:rsidRDefault="005610D4" w:rsidP="005610D4">
    <w:pPr>
      <w:pStyle w:val="Header"/>
      <w:jc w:val="center"/>
    </w:pPr>
    <w:r>
      <w:rPr>
        <w:noProof/>
      </w:rPr>
      <w:drawing>
        <wp:inline distT="0" distB="0" distL="0" distR="0" wp14:anchorId="48F03226" wp14:editId="41C0A5AF">
          <wp:extent cx="1707232" cy="809476"/>
          <wp:effectExtent l="0" t="0" r="0" b="0"/>
          <wp:docPr id="580608233" name="Picture 1" descr="A red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519223" name="Picture 1" descr="A red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709899" cy="81074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1AE401"/>
    <w:multiLevelType w:val="multilevel"/>
    <w:tmpl w:val="B7BE625C"/>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num w:numId="1" w16cid:durableId="15285192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90D07"/>
    <w:rsid w:val="00011C8B"/>
    <w:rsid w:val="00041ACD"/>
    <w:rsid w:val="00216250"/>
    <w:rsid w:val="002E1782"/>
    <w:rsid w:val="004E29B3"/>
    <w:rsid w:val="005013D3"/>
    <w:rsid w:val="005610D4"/>
    <w:rsid w:val="00590D07"/>
    <w:rsid w:val="00784D58"/>
    <w:rsid w:val="00787DBA"/>
    <w:rsid w:val="008B3466"/>
    <w:rsid w:val="008D6863"/>
    <w:rsid w:val="00A4125B"/>
    <w:rsid w:val="00A65116"/>
    <w:rsid w:val="00B86B75"/>
    <w:rsid w:val="00BC48D5"/>
    <w:rsid w:val="00C36279"/>
    <w:rsid w:val="00CE5166"/>
    <w:rsid w:val="00DB24E2"/>
    <w:rsid w:val="00E315A3"/>
    <w:rsid w:val="00E47915"/>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630C67"/>
  <w15:docId w15:val="{34579127-41F9-4CFA-9DF7-10E1EB515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Hyperlink"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autoRedefine/>
    <w:uiPriority w:val="9"/>
    <w:qFormat/>
    <w:rsid w:val="00A65116"/>
    <w:pPr>
      <w:keepNext/>
      <w:keepLines/>
      <w:pageBreakBefore/>
      <w:spacing w:before="480" w:after="0"/>
      <w:outlineLvl w:val="0"/>
    </w:pPr>
    <w:rPr>
      <w:rFonts w:asciiTheme="majorHAnsi" w:eastAsiaTheme="majorEastAsia" w:hAnsiTheme="majorHAnsi" w:cstheme="majorBidi"/>
      <w:b/>
      <w:bCs/>
      <w:color w:val="4F81BD" w:themeColor="accent1"/>
      <w:sz w:val="32"/>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eastAsiaTheme="majorEastAsia" w:hAnsiTheme="majorHAnsi" w:cstheme="majorBidi"/>
      <w:b/>
      <w:bCs/>
      <w:color w:val="4F81BD" w:themeColor="accent1"/>
      <w:sz w:val="28"/>
      <w:szCs w:val="28"/>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Cs/>
      <w:i/>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
    <w:name w:val="Abstract"/>
    <w:basedOn w:val="Normal"/>
    <w:next w:val="BodyText"/>
    <w:qFormat/>
    <w:pPr>
      <w:keepNext/>
      <w:keepLines/>
      <w:spacing w:before="3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styleId="FootnoteReference">
    <w:name w:val="footnote reference"/>
    <w:basedOn w:val="CaptionChar"/>
    <w:rPr>
      <w:vertAlign w:val="superscript"/>
    </w:rPr>
  </w:style>
  <w:style w:type="character" w:styleId="Hyperlink">
    <w:name w:val="Hyperlink"/>
    <w:basedOn w:val="CaptionChar"/>
    <w:uiPriority w:val="99"/>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TOC2">
    <w:name w:val="toc 2"/>
    <w:basedOn w:val="Normal"/>
    <w:next w:val="Normal"/>
    <w:autoRedefine/>
    <w:uiPriority w:val="39"/>
    <w:rsid w:val="00216250"/>
    <w:pPr>
      <w:spacing w:after="100"/>
      <w:ind w:left="240"/>
    </w:pPr>
  </w:style>
  <w:style w:type="paragraph" w:styleId="TOC1">
    <w:name w:val="toc 1"/>
    <w:basedOn w:val="Normal"/>
    <w:next w:val="Normal"/>
    <w:autoRedefine/>
    <w:uiPriority w:val="39"/>
    <w:rsid w:val="00216250"/>
    <w:pPr>
      <w:spacing w:after="100"/>
    </w:pPr>
  </w:style>
  <w:style w:type="paragraph" w:styleId="TOC3">
    <w:name w:val="toc 3"/>
    <w:basedOn w:val="Normal"/>
    <w:next w:val="Normal"/>
    <w:autoRedefine/>
    <w:uiPriority w:val="39"/>
    <w:unhideWhenUsed/>
    <w:rsid w:val="00216250"/>
    <w:pPr>
      <w:spacing w:after="100" w:line="278" w:lineRule="auto"/>
      <w:ind w:left="480"/>
    </w:pPr>
    <w:rPr>
      <w:rFonts w:eastAsiaTheme="minorEastAsia"/>
      <w:kern w:val="2"/>
    </w:rPr>
  </w:style>
  <w:style w:type="paragraph" w:styleId="TOC4">
    <w:name w:val="toc 4"/>
    <w:basedOn w:val="Normal"/>
    <w:next w:val="Normal"/>
    <w:autoRedefine/>
    <w:uiPriority w:val="39"/>
    <w:unhideWhenUsed/>
    <w:rsid w:val="00216250"/>
    <w:pPr>
      <w:spacing w:after="100" w:line="278" w:lineRule="auto"/>
      <w:ind w:left="720"/>
    </w:pPr>
    <w:rPr>
      <w:rFonts w:eastAsiaTheme="minorEastAsia"/>
      <w:kern w:val="2"/>
    </w:rPr>
  </w:style>
  <w:style w:type="paragraph" w:styleId="TOC5">
    <w:name w:val="toc 5"/>
    <w:basedOn w:val="Normal"/>
    <w:next w:val="Normal"/>
    <w:autoRedefine/>
    <w:uiPriority w:val="39"/>
    <w:unhideWhenUsed/>
    <w:rsid w:val="00216250"/>
    <w:pPr>
      <w:spacing w:after="100" w:line="278" w:lineRule="auto"/>
      <w:ind w:left="960"/>
    </w:pPr>
    <w:rPr>
      <w:rFonts w:eastAsiaTheme="minorEastAsia"/>
      <w:kern w:val="2"/>
    </w:rPr>
  </w:style>
  <w:style w:type="paragraph" w:styleId="TOC6">
    <w:name w:val="toc 6"/>
    <w:basedOn w:val="Normal"/>
    <w:next w:val="Normal"/>
    <w:autoRedefine/>
    <w:uiPriority w:val="39"/>
    <w:unhideWhenUsed/>
    <w:rsid w:val="00216250"/>
    <w:pPr>
      <w:spacing w:after="100" w:line="278" w:lineRule="auto"/>
      <w:ind w:left="1200"/>
    </w:pPr>
    <w:rPr>
      <w:rFonts w:eastAsiaTheme="minorEastAsia"/>
      <w:kern w:val="2"/>
    </w:rPr>
  </w:style>
  <w:style w:type="paragraph" w:styleId="TOC7">
    <w:name w:val="toc 7"/>
    <w:basedOn w:val="Normal"/>
    <w:next w:val="Normal"/>
    <w:autoRedefine/>
    <w:uiPriority w:val="39"/>
    <w:unhideWhenUsed/>
    <w:rsid w:val="00216250"/>
    <w:pPr>
      <w:spacing w:after="100" w:line="278" w:lineRule="auto"/>
      <w:ind w:left="1440"/>
    </w:pPr>
    <w:rPr>
      <w:rFonts w:eastAsiaTheme="minorEastAsia"/>
      <w:kern w:val="2"/>
    </w:rPr>
  </w:style>
  <w:style w:type="paragraph" w:styleId="TOC8">
    <w:name w:val="toc 8"/>
    <w:basedOn w:val="Normal"/>
    <w:next w:val="Normal"/>
    <w:autoRedefine/>
    <w:uiPriority w:val="39"/>
    <w:unhideWhenUsed/>
    <w:rsid w:val="00216250"/>
    <w:pPr>
      <w:spacing w:after="100" w:line="278" w:lineRule="auto"/>
      <w:ind w:left="1680"/>
    </w:pPr>
    <w:rPr>
      <w:rFonts w:eastAsiaTheme="minorEastAsia"/>
      <w:kern w:val="2"/>
    </w:rPr>
  </w:style>
  <w:style w:type="paragraph" w:styleId="TOC9">
    <w:name w:val="toc 9"/>
    <w:basedOn w:val="Normal"/>
    <w:next w:val="Normal"/>
    <w:autoRedefine/>
    <w:uiPriority w:val="39"/>
    <w:unhideWhenUsed/>
    <w:rsid w:val="00216250"/>
    <w:pPr>
      <w:spacing w:after="100" w:line="278" w:lineRule="auto"/>
      <w:ind w:left="1920"/>
    </w:pPr>
    <w:rPr>
      <w:rFonts w:eastAsiaTheme="minorEastAsia"/>
      <w:kern w:val="2"/>
    </w:rPr>
  </w:style>
  <w:style w:type="character" w:styleId="UnresolvedMention">
    <w:name w:val="Unresolved Mention"/>
    <w:basedOn w:val="DefaultParagraphFont"/>
    <w:uiPriority w:val="99"/>
    <w:semiHidden/>
    <w:unhideWhenUsed/>
    <w:rsid w:val="00216250"/>
    <w:rPr>
      <w:color w:val="605E5C"/>
      <w:shd w:val="clear" w:color="auto" w:fill="E1DFDD"/>
    </w:rPr>
  </w:style>
  <w:style w:type="paragraph" w:styleId="Header">
    <w:name w:val="header"/>
    <w:basedOn w:val="Normal"/>
    <w:link w:val="HeaderChar"/>
    <w:rsid w:val="005610D4"/>
    <w:pPr>
      <w:tabs>
        <w:tab w:val="center" w:pos="4680"/>
        <w:tab w:val="right" w:pos="9360"/>
      </w:tabs>
      <w:spacing w:after="0"/>
    </w:pPr>
  </w:style>
  <w:style w:type="character" w:customStyle="1" w:styleId="HeaderChar">
    <w:name w:val="Header Char"/>
    <w:basedOn w:val="DefaultParagraphFont"/>
    <w:link w:val="Header"/>
    <w:rsid w:val="005610D4"/>
  </w:style>
  <w:style w:type="paragraph" w:styleId="Footer">
    <w:name w:val="footer"/>
    <w:basedOn w:val="Normal"/>
    <w:link w:val="FooterChar"/>
    <w:uiPriority w:val="99"/>
    <w:rsid w:val="005610D4"/>
    <w:pPr>
      <w:tabs>
        <w:tab w:val="center" w:pos="4680"/>
        <w:tab w:val="right" w:pos="9360"/>
      </w:tabs>
      <w:spacing w:after="0"/>
    </w:pPr>
  </w:style>
  <w:style w:type="character" w:customStyle="1" w:styleId="FooterChar">
    <w:name w:val="Footer Char"/>
    <w:basedOn w:val="DefaultParagraphFont"/>
    <w:link w:val="Footer"/>
    <w:uiPriority w:val="99"/>
    <w:rsid w:val="005610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73</Pages>
  <Words>24452</Words>
  <Characters>165542</Characters>
  <Application>Microsoft Office Word</Application>
  <DocSecurity>0</DocSecurity>
  <Lines>2627</Lines>
  <Paragraphs>727</Paragraphs>
  <ScaleCrop>false</ScaleCrop>
  <Company/>
  <LinksUpToDate>false</LinksUpToDate>
  <CharactersWithSpaces>189267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Peter Schawacker</cp:lastModifiedBy>
  <cp:revision>10</cp:revision>
  <dcterms:created xsi:type="dcterms:W3CDTF">2025-08-24T23:17:00Z</dcterms:created>
  <dcterms:modified xsi:type="dcterms:W3CDTF">2025-08-25T01:04:00Z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6e5bd5f2-9968-4440-bfd4-7a71eaaafc8d</vt:lpwstr>
  </property>
</Properties>
</file>