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B08" w:rsidRPr="00B65257" w:rsidRDefault="005D6B08" w:rsidP="005D6B08">
      <w:pPr>
        <w:autoSpaceDE w:val="0"/>
        <w:autoSpaceDN w:val="0"/>
        <w:adjustRightInd w:val="0"/>
        <w:spacing w:after="0" w:line="360" w:lineRule="auto"/>
        <w:jc w:val="center"/>
        <w:rPr>
          <w:rFonts w:ascii="Times New Roman" w:hAnsi="Times New Roman" w:cs="Times New Roman"/>
          <w:b/>
          <w:color w:val="000000" w:themeColor="text1"/>
          <w:sz w:val="32"/>
          <w:szCs w:val="32"/>
          <w:lang w:bidi="ar-SA"/>
        </w:rPr>
      </w:pPr>
      <w:r w:rsidRPr="00B65257">
        <w:rPr>
          <w:rFonts w:ascii="Times New Roman" w:hAnsi="Times New Roman" w:cs="Times New Roman"/>
          <w:b/>
          <w:color w:val="000000" w:themeColor="text1"/>
          <w:sz w:val="32"/>
          <w:szCs w:val="32"/>
          <w:lang w:bidi="ar-SA"/>
        </w:rPr>
        <w:t xml:space="preserve">Acr AB EFFLUX PUMP ASSOCIATED CARBAPENEM RESISTANCE IN </w:t>
      </w:r>
      <w:r w:rsidRPr="00B65257">
        <w:rPr>
          <w:rFonts w:ascii="Times New Roman" w:hAnsi="Times New Roman" w:cs="Times New Roman"/>
          <w:b/>
          <w:i/>
          <w:iCs/>
          <w:color w:val="000000" w:themeColor="text1"/>
          <w:sz w:val="32"/>
          <w:szCs w:val="32"/>
          <w:lang w:bidi="ar-SA"/>
        </w:rPr>
        <w:t xml:space="preserve">Klebsiella pneumoniae </w:t>
      </w:r>
      <w:r w:rsidRPr="00B65257">
        <w:rPr>
          <w:rFonts w:ascii="Times New Roman" w:hAnsi="Times New Roman" w:cs="Times New Roman"/>
          <w:b/>
          <w:color w:val="000000" w:themeColor="text1"/>
          <w:sz w:val="32"/>
          <w:szCs w:val="32"/>
          <w:lang w:bidi="ar-SA"/>
        </w:rPr>
        <w:t>ISOLATED FROM TERTIARY CARE HOSPITAL IN KATHMANDU</w:t>
      </w:r>
    </w:p>
    <w:p w:rsidR="005D6B08" w:rsidRPr="00B65257" w:rsidRDefault="005D6B08" w:rsidP="009121C6">
      <w:pPr>
        <w:spacing w:line="360" w:lineRule="auto"/>
        <w:jc w:val="center"/>
        <w:rPr>
          <w:rFonts w:ascii="Times New Roman" w:hAnsi="Times New Roman" w:cs="Times New Roman"/>
          <w:b/>
          <w:bCs/>
          <w:sz w:val="32"/>
          <w:szCs w:val="32"/>
        </w:rPr>
      </w:pPr>
    </w:p>
    <w:p w:rsidR="009121C6" w:rsidRPr="00B65257" w:rsidRDefault="00595131" w:rsidP="009121C6">
      <w:pPr>
        <w:spacing w:line="360" w:lineRule="auto"/>
        <w:jc w:val="center"/>
        <w:rPr>
          <w:rFonts w:ascii="Times New Roman" w:hAnsi="Times New Roman" w:cs="Times New Roman"/>
          <w:b/>
          <w:bCs/>
          <w:sz w:val="32"/>
          <w:szCs w:val="32"/>
        </w:rPr>
      </w:pPr>
      <w:r w:rsidRPr="00B65257">
        <w:rPr>
          <w:rFonts w:ascii="Times New Roman" w:hAnsi="Times New Roman" w:cs="Times New Roman"/>
          <w:b/>
          <w:bCs/>
          <w:sz w:val="32"/>
          <w:szCs w:val="32"/>
        </w:rPr>
        <w:t>ABSTRACT</w:t>
      </w:r>
    </w:p>
    <w:p w:rsidR="00F04727" w:rsidRPr="00B65257" w:rsidRDefault="00595131" w:rsidP="009121C6">
      <w:pPr>
        <w:spacing w:line="360" w:lineRule="auto"/>
        <w:jc w:val="both"/>
        <w:rPr>
          <w:rFonts w:ascii="Times New Roman" w:hAnsi="Times New Roman" w:cs="Times New Roman"/>
          <w:sz w:val="24"/>
          <w:szCs w:val="24"/>
        </w:rPr>
      </w:pPr>
      <w:r w:rsidRPr="00B65257">
        <w:rPr>
          <w:rFonts w:ascii="Times New Roman" w:hAnsi="Times New Roman" w:cs="Times New Roman"/>
          <w:b/>
          <w:bCs/>
          <w:sz w:val="24"/>
          <w:szCs w:val="24"/>
        </w:rPr>
        <w:t>Background:</w:t>
      </w:r>
      <w:r w:rsidRPr="00B65257">
        <w:rPr>
          <w:rFonts w:ascii="Times New Roman" w:hAnsi="Times New Roman" w:cs="Times New Roman"/>
          <w:sz w:val="24"/>
          <w:szCs w:val="24"/>
        </w:rPr>
        <w:t xml:space="preserve"> Antimicrobial resistance (AMR) poses a global threat </w:t>
      </w:r>
      <w:r w:rsidRPr="00B65257">
        <w:rPr>
          <w:rFonts w:ascii="Times New Roman" w:eastAsia="Calibri" w:hAnsi="Times New Roman" w:cs="Times New Roman"/>
          <w:sz w:val="24"/>
          <w:szCs w:val="24"/>
        </w:rPr>
        <w:t>to</w:t>
      </w:r>
      <w:r w:rsidRPr="00B65257">
        <w:rPr>
          <w:rFonts w:ascii="Times New Roman" w:hAnsi="Times New Roman" w:cs="Times New Roman"/>
          <w:sz w:val="24"/>
          <w:szCs w:val="24"/>
        </w:rPr>
        <w:t xml:space="preserve"> the rise of multidrug</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resistant (MDR) </w:t>
      </w:r>
      <w:r w:rsidRPr="00B65257">
        <w:rPr>
          <w:rFonts w:ascii="Times New Roman" w:hAnsi="Times New Roman" w:cs="Times New Roman"/>
          <w:i/>
          <w:iCs/>
          <w:sz w:val="24"/>
          <w:szCs w:val="24"/>
        </w:rPr>
        <w:t>Klebsiella pneumoniae.</w:t>
      </w:r>
      <w:r w:rsidRPr="00B65257">
        <w:rPr>
          <w:rFonts w:ascii="Times New Roman" w:hAnsi="Times New Roman" w:cs="Times New Roman"/>
          <w:sz w:val="24"/>
          <w:szCs w:val="24"/>
        </w:rPr>
        <w:t xml:space="preserve"> MDR in </w:t>
      </w:r>
      <w:r w:rsidRPr="00B65257">
        <w:rPr>
          <w:rFonts w:ascii="Times New Roman" w:hAnsi="Times New Roman" w:cs="Times New Roman"/>
          <w:i/>
          <w:iCs/>
          <w:sz w:val="24"/>
          <w:szCs w:val="24"/>
        </w:rPr>
        <w:t>K. pneumoniae</w:t>
      </w:r>
      <w:r w:rsidRPr="00B65257">
        <w:rPr>
          <w:rFonts w:ascii="Times New Roman" w:hAnsi="Times New Roman" w:cs="Times New Roman"/>
          <w:sz w:val="24"/>
          <w:szCs w:val="24"/>
        </w:rPr>
        <w:t xml:space="preserve"> is </w:t>
      </w:r>
      <w:r w:rsidRPr="00B65257">
        <w:rPr>
          <w:rFonts w:ascii="Times New Roman" w:eastAsia="Calibri" w:hAnsi="Times New Roman" w:cs="Times New Roman"/>
          <w:sz w:val="24"/>
          <w:szCs w:val="24"/>
        </w:rPr>
        <w:t>attributed to</w:t>
      </w:r>
      <w:r w:rsidRPr="00B65257">
        <w:rPr>
          <w:rFonts w:ascii="Times New Roman" w:hAnsi="Times New Roman" w:cs="Times New Roman"/>
          <w:sz w:val="24"/>
          <w:szCs w:val="24"/>
        </w:rPr>
        <w:t xml:space="preserve"> carbapenemase activity along with </w:t>
      </w:r>
      <w:r w:rsidRPr="00B65257">
        <w:rPr>
          <w:rFonts w:ascii="Times New Roman" w:eastAsia="Calibri" w:hAnsi="Times New Roman" w:cs="Times New Roman"/>
          <w:sz w:val="24"/>
          <w:szCs w:val="24"/>
        </w:rPr>
        <w:t xml:space="preserve">the </w:t>
      </w:r>
      <w:r w:rsidRPr="00B65257">
        <w:rPr>
          <w:rFonts w:ascii="Times New Roman" w:hAnsi="Times New Roman" w:cs="Times New Roman"/>
          <w:sz w:val="24"/>
          <w:szCs w:val="24"/>
        </w:rPr>
        <w:t>efflux pump mechanism in bacteria. Therefore, this study was designed to investigate AcrAB efflux pump (</w:t>
      </w:r>
      <w:r w:rsidRPr="00B65257">
        <w:rPr>
          <w:rFonts w:ascii="Times New Roman" w:hAnsi="Times New Roman" w:cs="Times New Roman"/>
          <w:i/>
          <w:iCs/>
          <w:sz w:val="24"/>
          <w:szCs w:val="24"/>
        </w:rPr>
        <w:t xml:space="preserve">acrA </w:t>
      </w:r>
      <w:r w:rsidRPr="00B65257">
        <w:rPr>
          <w:rFonts w:ascii="Times New Roman" w:hAnsi="Times New Roman" w:cs="Times New Roman"/>
          <w:sz w:val="24"/>
          <w:szCs w:val="24"/>
        </w:rPr>
        <w:t xml:space="preserve">and </w:t>
      </w:r>
      <w:r w:rsidRPr="00B65257">
        <w:rPr>
          <w:rFonts w:ascii="Times New Roman" w:hAnsi="Times New Roman" w:cs="Times New Roman"/>
          <w:i/>
          <w:iCs/>
          <w:sz w:val="24"/>
          <w:szCs w:val="24"/>
        </w:rPr>
        <w:t>acrB</w:t>
      </w:r>
      <w:r w:rsidRPr="00B65257">
        <w:rPr>
          <w:rFonts w:ascii="Times New Roman" w:hAnsi="Times New Roman" w:cs="Times New Roman"/>
          <w:sz w:val="24"/>
          <w:szCs w:val="24"/>
        </w:rPr>
        <w:t xml:space="preserve"> genes)</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associated carbapenemase resistance in </w:t>
      </w:r>
      <w:r w:rsidRPr="00B65257">
        <w:rPr>
          <w:rFonts w:ascii="Times New Roman" w:hAnsi="Times New Roman" w:cs="Times New Roman"/>
          <w:i/>
          <w:iCs/>
          <w:sz w:val="24"/>
          <w:szCs w:val="24"/>
        </w:rPr>
        <w:t>K. pneumoniae</w:t>
      </w:r>
      <w:r w:rsidRPr="00B65257">
        <w:rPr>
          <w:rFonts w:ascii="Times New Roman" w:hAnsi="Times New Roman" w:cs="Times New Roman"/>
          <w:sz w:val="24"/>
          <w:szCs w:val="24"/>
        </w:rPr>
        <w:t xml:space="preserve"> isolated from heart patients at Sahid Gangalal National Heart Centre, Kathmandu</w:t>
      </w:r>
      <w:r w:rsidRPr="00B65257">
        <w:rPr>
          <w:rFonts w:ascii="Times New Roman" w:eastAsia="Calibri" w:hAnsi="Times New Roman" w:cs="Times New Roman"/>
          <w:sz w:val="24"/>
          <w:szCs w:val="24"/>
        </w:rPr>
        <w:t>, from</w:t>
      </w:r>
      <w:r w:rsidRPr="00B65257">
        <w:rPr>
          <w:rFonts w:ascii="Times New Roman" w:hAnsi="Times New Roman" w:cs="Times New Roman"/>
          <w:sz w:val="24"/>
          <w:szCs w:val="24"/>
        </w:rPr>
        <w:t xml:space="preserve"> 14</w:t>
      </w:r>
      <w:r w:rsidRPr="00B65257">
        <w:rPr>
          <w:rFonts w:ascii="Times New Roman" w:hAnsi="Times New Roman" w:cs="Times New Roman"/>
          <w:sz w:val="24"/>
          <w:szCs w:val="24"/>
          <w:vertAlign w:val="superscript"/>
        </w:rPr>
        <w:t>th</w:t>
      </w:r>
      <w:r w:rsidRPr="00B65257">
        <w:rPr>
          <w:rFonts w:ascii="Times New Roman" w:hAnsi="Times New Roman" w:cs="Times New Roman"/>
          <w:sz w:val="24"/>
          <w:szCs w:val="24"/>
        </w:rPr>
        <w:t xml:space="preserve"> April, 2023</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to 13</w:t>
      </w:r>
      <w:r w:rsidRPr="00B65257">
        <w:rPr>
          <w:rFonts w:ascii="Times New Roman" w:hAnsi="Times New Roman" w:cs="Times New Roman"/>
          <w:sz w:val="24"/>
          <w:szCs w:val="24"/>
          <w:vertAlign w:val="superscript"/>
        </w:rPr>
        <w:t>th</w:t>
      </w:r>
      <w:r w:rsidRPr="00B65257">
        <w:rPr>
          <w:rFonts w:ascii="Times New Roman" w:hAnsi="Times New Roman" w:cs="Times New Roman"/>
          <w:sz w:val="24"/>
          <w:szCs w:val="24"/>
        </w:rPr>
        <w:t xml:space="preserve"> October, 2023.</w:t>
      </w:r>
    </w:p>
    <w:p w:rsidR="003405D4" w:rsidRPr="00B65257" w:rsidRDefault="00595131" w:rsidP="009121C6">
      <w:pPr>
        <w:spacing w:line="360" w:lineRule="auto"/>
        <w:jc w:val="both"/>
        <w:rPr>
          <w:rFonts w:ascii="Times New Roman" w:hAnsi="Times New Roman" w:cs="Times New Roman"/>
          <w:sz w:val="24"/>
          <w:szCs w:val="24"/>
        </w:rPr>
      </w:pPr>
      <w:r w:rsidRPr="00B65257">
        <w:rPr>
          <w:rFonts w:ascii="Times New Roman" w:hAnsi="Times New Roman" w:cs="Times New Roman"/>
          <w:b/>
          <w:bCs/>
          <w:sz w:val="24"/>
          <w:szCs w:val="24"/>
        </w:rPr>
        <w:t>Methods:</w:t>
      </w:r>
      <w:r w:rsidRPr="00B65257">
        <w:rPr>
          <w:rFonts w:ascii="Times New Roman" w:hAnsi="Times New Roman" w:cs="Times New Roman"/>
          <w:sz w:val="24"/>
          <w:szCs w:val="24"/>
        </w:rPr>
        <w:t xml:space="preserve"> Clinical samples were collected from heart patients at a hospital in Kathmandu over a period of six months. The obtained isolates were confirmed by microbiological/biochemical identification and subjected to an antibiotic susceptibility test </w:t>
      </w:r>
      <w:r w:rsidRPr="00B65257">
        <w:rPr>
          <w:rFonts w:ascii="Times New Roman" w:eastAsia="Calibri" w:hAnsi="Times New Roman" w:cs="Times New Roman"/>
          <w:sz w:val="24"/>
          <w:szCs w:val="24"/>
        </w:rPr>
        <w:t>via the</w:t>
      </w:r>
      <w:r w:rsidRPr="00B65257">
        <w:rPr>
          <w:rFonts w:ascii="Times New Roman" w:hAnsi="Times New Roman" w:cs="Times New Roman"/>
          <w:sz w:val="24"/>
          <w:szCs w:val="24"/>
        </w:rPr>
        <w:t xml:space="preserve"> disc diffusion method following CLSI guidelines. Phenotypic confirmation of carbapenemase production was performed </w:t>
      </w:r>
      <w:r w:rsidRPr="00B65257">
        <w:rPr>
          <w:rFonts w:ascii="Times New Roman" w:eastAsia="Calibri" w:hAnsi="Times New Roman" w:cs="Times New Roman"/>
          <w:sz w:val="24"/>
          <w:szCs w:val="24"/>
        </w:rPr>
        <w:t>via</w:t>
      </w:r>
      <w:r w:rsidRPr="00B65257">
        <w:rPr>
          <w:rFonts w:ascii="Times New Roman" w:hAnsi="Times New Roman" w:cs="Times New Roman"/>
          <w:sz w:val="24"/>
          <w:szCs w:val="24"/>
        </w:rPr>
        <w:t xml:space="preserve"> the modified carbapenemase inactivation method (mCIM). DNA was extracted </w:t>
      </w:r>
      <w:r w:rsidRPr="00B65257">
        <w:rPr>
          <w:rFonts w:ascii="Times New Roman" w:eastAsia="Calibri" w:hAnsi="Times New Roman" w:cs="Times New Roman"/>
          <w:sz w:val="24"/>
          <w:szCs w:val="24"/>
        </w:rPr>
        <w:t>via the</w:t>
      </w:r>
      <w:r w:rsidRPr="00B65257">
        <w:rPr>
          <w:rFonts w:ascii="Times New Roman" w:hAnsi="Times New Roman" w:cs="Times New Roman"/>
          <w:sz w:val="24"/>
          <w:szCs w:val="24"/>
        </w:rPr>
        <w:t xml:space="preserve"> boiling method</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and genes were </w:t>
      </w:r>
      <w:r w:rsidRPr="00B65257">
        <w:rPr>
          <w:rFonts w:ascii="Times New Roman" w:eastAsia="Calibri" w:hAnsi="Times New Roman" w:cs="Times New Roman"/>
          <w:sz w:val="24"/>
          <w:szCs w:val="24"/>
        </w:rPr>
        <w:t xml:space="preserve">ultimately </w:t>
      </w:r>
      <w:r w:rsidRPr="00B65257">
        <w:rPr>
          <w:rFonts w:ascii="Times New Roman" w:hAnsi="Times New Roman" w:cs="Times New Roman"/>
          <w:sz w:val="24"/>
          <w:szCs w:val="24"/>
        </w:rPr>
        <w:t xml:space="preserve">detected </w:t>
      </w:r>
      <w:r w:rsidRPr="00B65257">
        <w:rPr>
          <w:rFonts w:ascii="Times New Roman" w:eastAsia="Calibri" w:hAnsi="Times New Roman" w:cs="Times New Roman"/>
          <w:sz w:val="24"/>
          <w:szCs w:val="24"/>
        </w:rPr>
        <w:t>via the</w:t>
      </w:r>
      <w:r w:rsidRPr="00B65257">
        <w:rPr>
          <w:rFonts w:ascii="Times New Roman" w:hAnsi="Times New Roman" w:cs="Times New Roman"/>
          <w:sz w:val="24"/>
          <w:szCs w:val="24"/>
        </w:rPr>
        <w:t xml:space="preserve"> conventional PCR technique.</w:t>
      </w:r>
    </w:p>
    <w:p w:rsidR="003405D4" w:rsidRPr="00B65257" w:rsidRDefault="00595131" w:rsidP="009121C6">
      <w:pPr>
        <w:spacing w:line="360" w:lineRule="auto"/>
        <w:jc w:val="both"/>
        <w:rPr>
          <w:rFonts w:ascii="Times New Roman" w:hAnsi="Times New Roman" w:cs="Times New Roman"/>
          <w:sz w:val="24"/>
          <w:szCs w:val="24"/>
        </w:rPr>
      </w:pPr>
      <w:r w:rsidRPr="00B65257">
        <w:rPr>
          <w:rFonts w:ascii="Times New Roman" w:hAnsi="Times New Roman" w:cs="Times New Roman"/>
          <w:b/>
          <w:bCs/>
          <w:sz w:val="24"/>
          <w:szCs w:val="24"/>
        </w:rPr>
        <w:t>Results:</w:t>
      </w:r>
      <w:r w:rsidRPr="00B65257">
        <w:rPr>
          <w:rFonts w:ascii="Times New Roman" w:hAnsi="Times New Roman" w:cs="Times New Roman"/>
          <w:sz w:val="24"/>
          <w:szCs w:val="24"/>
        </w:rPr>
        <w:t xml:space="preserve"> </w:t>
      </w:r>
      <w:r w:rsidRPr="00B65257">
        <w:rPr>
          <w:rFonts w:ascii="Times New Roman" w:hAnsi="Times New Roman" w:cs="Times New Roman"/>
          <w:color w:val="333333"/>
          <w:sz w:val="24"/>
          <w:szCs w:val="24"/>
          <w:shd w:val="clear" w:color="auto" w:fill="FFFFFF"/>
        </w:rPr>
        <w:t xml:space="preserve">Out of 304 (23.28%) bacterial isolates, </w:t>
      </w:r>
      <w:r w:rsidRPr="00B65257">
        <w:rPr>
          <w:rFonts w:ascii="Times New Roman" w:hAnsi="Times New Roman" w:cs="Times New Roman"/>
          <w:sz w:val="24"/>
          <w:szCs w:val="24"/>
        </w:rPr>
        <w:t xml:space="preserve">45 (14.8%) clinical isolates were </w:t>
      </w:r>
      <w:r w:rsidRPr="00B65257">
        <w:rPr>
          <w:rFonts w:ascii="Times New Roman" w:hAnsi="Times New Roman" w:cs="Times New Roman"/>
          <w:i/>
          <w:iCs/>
          <w:sz w:val="24"/>
          <w:szCs w:val="24"/>
        </w:rPr>
        <w:t>K. pneumoniae</w:t>
      </w:r>
      <w:r w:rsidRPr="00B65257">
        <w:rPr>
          <w:rFonts w:ascii="Times New Roman" w:eastAsia="Calibri" w:hAnsi="Times New Roman" w:cs="Times New Roman"/>
          <w:i/>
          <w:iCs/>
          <w:sz w:val="24"/>
          <w:szCs w:val="24"/>
        </w:rPr>
        <w:t>,</w:t>
      </w:r>
      <w:r w:rsidRPr="00B65257">
        <w:rPr>
          <w:rFonts w:ascii="Times New Roman" w:hAnsi="Times New Roman" w:cs="Times New Roman"/>
          <w:sz w:val="24"/>
          <w:szCs w:val="24"/>
        </w:rPr>
        <w:t xml:space="preserve"> among which 68.8% (31) were multidrug</w:t>
      </w:r>
      <w:r w:rsidRPr="00B65257">
        <w:rPr>
          <w:rFonts w:ascii="Times New Roman" w:eastAsia="Calibri" w:hAnsi="Times New Roman" w:cs="Times New Roman"/>
          <w:sz w:val="24"/>
          <w:szCs w:val="24"/>
        </w:rPr>
        <w:t xml:space="preserve"> </w:t>
      </w:r>
      <w:r w:rsidRPr="00B65257">
        <w:rPr>
          <w:rFonts w:ascii="Times New Roman" w:hAnsi="Times New Roman" w:cs="Times New Roman"/>
          <w:sz w:val="24"/>
          <w:szCs w:val="24"/>
        </w:rPr>
        <w:t xml:space="preserve">resistant. Colistin </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44</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97.8%) and polymyxin </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40</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88.9%) were found to be effective antibiotics</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followed by tetracyclines </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26</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57.8%). </w:t>
      </w:r>
      <w:r w:rsidRPr="00B65257">
        <w:rPr>
          <w:rFonts w:ascii="Times New Roman" w:eastAsia="Calibri" w:hAnsi="Times New Roman" w:cs="Times New Roman"/>
          <w:sz w:val="24"/>
          <w:szCs w:val="24"/>
        </w:rPr>
        <w:t>Upon</w:t>
      </w:r>
      <w:r w:rsidRPr="00B65257">
        <w:rPr>
          <w:rFonts w:ascii="Times New Roman" w:hAnsi="Times New Roman" w:cs="Times New Roman"/>
          <w:sz w:val="24"/>
          <w:szCs w:val="24"/>
        </w:rPr>
        <w:t xml:space="preserve"> screening, 25 isolates were identified as carbapenemase producers, with only 14 (56%) </w:t>
      </w:r>
      <w:r w:rsidRPr="00B65257">
        <w:rPr>
          <w:rFonts w:ascii="Times New Roman" w:eastAsia="Calibri" w:hAnsi="Times New Roman" w:cs="Times New Roman"/>
          <w:sz w:val="24"/>
          <w:szCs w:val="24"/>
        </w:rPr>
        <w:t xml:space="preserve">being </w:t>
      </w:r>
      <w:r w:rsidRPr="00B65257">
        <w:rPr>
          <w:rFonts w:ascii="Times New Roman" w:hAnsi="Times New Roman" w:cs="Times New Roman"/>
          <w:sz w:val="24"/>
          <w:szCs w:val="24"/>
        </w:rPr>
        <w:t xml:space="preserve">phenotypically confirmed. The overall prevalence of carbapenemase producers was 31.11% (14/45). The PCR procedure revealed that the </w:t>
      </w:r>
      <w:r w:rsidRPr="00B65257">
        <w:rPr>
          <w:rFonts w:ascii="Times New Roman" w:hAnsi="Times New Roman" w:cs="Times New Roman"/>
          <w:i/>
          <w:iCs/>
          <w:sz w:val="24"/>
          <w:szCs w:val="24"/>
        </w:rPr>
        <w:t>bla</w:t>
      </w:r>
      <w:r w:rsidRPr="00B65257">
        <w:rPr>
          <w:rFonts w:ascii="Times New Roman" w:hAnsi="Times New Roman" w:cs="Times New Roman"/>
          <w:sz w:val="24"/>
          <w:szCs w:val="24"/>
          <w:vertAlign w:val="subscript"/>
        </w:rPr>
        <w:t>KPC</w:t>
      </w:r>
      <w:r w:rsidRPr="00B65257">
        <w:rPr>
          <w:rFonts w:ascii="Times New Roman" w:hAnsi="Times New Roman" w:cs="Times New Roman"/>
          <w:sz w:val="24"/>
          <w:szCs w:val="24"/>
        </w:rPr>
        <w:t xml:space="preserve"> and </w:t>
      </w:r>
      <w:r w:rsidRPr="00B65257">
        <w:rPr>
          <w:rFonts w:ascii="Times New Roman" w:hAnsi="Times New Roman" w:cs="Times New Roman"/>
          <w:i/>
          <w:iCs/>
          <w:sz w:val="24"/>
          <w:szCs w:val="24"/>
        </w:rPr>
        <w:t>bla</w:t>
      </w:r>
      <w:r w:rsidRPr="00B65257">
        <w:rPr>
          <w:rFonts w:ascii="Times New Roman" w:hAnsi="Times New Roman" w:cs="Times New Roman"/>
          <w:sz w:val="24"/>
          <w:szCs w:val="24"/>
          <w:vertAlign w:val="subscript"/>
        </w:rPr>
        <w:t>OXA-48</w:t>
      </w:r>
      <w:r w:rsidRPr="00B65257">
        <w:rPr>
          <w:rFonts w:ascii="Times New Roman" w:hAnsi="Times New Roman" w:cs="Times New Roman"/>
          <w:sz w:val="24"/>
          <w:szCs w:val="24"/>
        </w:rPr>
        <w:t xml:space="preserve"> carbapenemase genes were </w:t>
      </w:r>
      <w:r w:rsidRPr="00B65257">
        <w:rPr>
          <w:rFonts w:ascii="Times New Roman" w:eastAsia="Calibri" w:hAnsi="Times New Roman" w:cs="Times New Roman"/>
          <w:sz w:val="24"/>
          <w:szCs w:val="24"/>
        </w:rPr>
        <w:t xml:space="preserve">present </w:t>
      </w:r>
      <w:r w:rsidRPr="00B65257">
        <w:rPr>
          <w:rFonts w:ascii="Times New Roman" w:hAnsi="Times New Roman" w:cs="Times New Roman"/>
          <w:sz w:val="24"/>
          <w:szCs w:val="24"/>
        </w:rPr>
        <w:t xml:space="preserve">in 2 (14.28%) isolates each. Additionally, </w:t>
      </w:r>
      <w:r w:rsidRPr="00B65257">
        <w:rPr>
          <w:rFonts w:ascii="Times New Roman" w:eastAsia="Calibri" w:hAnsi="Times New Roman" w:cs="Times New Roman"/>
          <w:sz w:val="24"/>
          <w:szCs w:val="24"/>
        </w:rPr>
        <w:t xml:space="preserve">the </w:t>
      </w:r>
      <w:r w:rsidRPr="00B65257">
        <w:rPr>
          <w:rFonts w:ascii="Times New Roman" w:hAnsi="Times New Roman" w:cs="Times New Roman"/>
          <w:i/>
          <w:iCs/>
          <w:sz w:val="24"/>
          <w:szCs w:val="24"/>
        </w:rPr>
        <w:t>acrA</w:t>
      </w:r>
      <w:r w:rsidRPr="00B65257">
        <w:rPr>
          <w:rFonts w:ascii="Times New Roman" w:hAnsi="Times New Roman" w:cs="Times New Roman"/>
          <w:sz w:val="24"/>
          <w:szCs w:val="24"/>
        </w:rPr>
        <w:t xml:space="preserve"> and </w:t>
      </w:r>
      <w:r w:rsidRPr="00B65257">
        <w:rPr>
          <w:rFonts w:ascii="Times New Roman" w:hAnsi="Times New Roman" w:cs="Times New Roman"/>
          <w:i/>
          <w:iCs/>
          <w:sz w:val="24"/>
          <w:szCs w:val="24"/>
        </w:rPr>
        <w:t xml:space="preserve">acrB </w:t>
      </w:r>
      <w:r w:rsidRPr="00B65257">
        <w:rPr>
          <w:rFonts w:ascii="Times New Roman" w:hAnsi="Times New Roman" w:cs="Times New Roman"/>
          <w:sz w:val="24"/>
          <w:szCs w:val="24"/>
        </w:rPr>
        <w:t>efflux pump genes were prevalent in 10 (71.42%) and 13 (92.85%) isolates</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respectively</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with significant </w:t>
      </w:r>
      <w:r w:rsidRPr="00B65257">
        <w:rPr>
          <w:rFonts w:ascii="Times New Roman" w:eastAsia="Calibri" w:hAnsi="Times New Roman" w:cs="Times New Roman"/>
          <w:sz w:val="24"/>
          <w:szCs w:val="24"/>
        </w:rPr>
        <w:t>associations with</w:t>
      </w:r>
      <w:r w:rsidRPr="00B65257">
        <w:rPr>
          <w:rFonts w:ascii="Times New Roman" w:hAnsi="Times New Roman" w:cs="Times New Roman"/>
          <w:sz w:val="24"/>
          <w:szCs w:val="24"/>
        </w:rPr>
        <w:t xml:space="preserve"> phenotypic carbapenemase producers.</w:t>
      </w:r>
    </w:p>
    <w:p w:rsidR="009121C6" w:rsidRPr="00B65257" w:rsidRDefault="00595131" w:rsidP="009121C6">
      <w:pPr>
        <w:spacing w:line="360" w:lineRule="auto"/>
        <w:jc w:val="both"/>
        <w:rPr>
          <w:rFonts w:ascii="Times New Roman" w:hAnsi="Times New Roman" w:cs="Times New Roman"/>
          <w:color w:val="333333"/>
          <w:sz w:val="24"/>
          <w:szCs w:val="24"/>
          <w:shd w:val="clear" w:color="auto" w:fill="FFFFFF"/>
        </w:rPr>
      </w:pPr>
      <w:r w:rsidRPr="00B65257">
        <w:rPr>
          <w:rFonts w:ascii="Times New Roman" w:hAnsi="Times New Roman" w:cs="Times New Roman"/>
          <w:b/>
          <w:bCs/>
          <w:sz w:val="24"/>
          <w:szCs w:val="24"/>
        </w:rPr>
        <w:t>Conclusion:</w:t>
      </w:r>
      <w:r w:rsidRPr="00B65257">
        <w:rPr>
          <w:rFonts w:ascii="Times New Roman" w:hAnsi="Times New Roman" w:cs="Times New Roman"/>
          <w:sz w:val="24"/>
          <w:szCs w:val="24"/>
        </w:rPr>
        <w:t xml:space="preserve"> </w:t>
      </w:r>
      <w:r w:rsidR="00DD4130" w:rsidRPr="00B65257">
        <w:rPr>
          <w:rFonts w:ascii="Times New Roman" w:hAnsi="Times New Roman" w:cs="Times New Roman"/>
          <w:color w:val="333333"/>
          <w:sz w:val="24"/>
          <w:szCs w:val="24"/>
          <w:shd w:val="clear" w:color="auto" w:fill="FFFFFF"/>
        </w:rPr>
        <w:t xml:space="preserve">This study highlights the role of efflux pumps, particularly </w:t>
      </w:r>
      <w:r w:rsidRPr="00B65257">
        <w:rPr>
          <w:rFonts w:ascii="Times New Roman" w:eastAsia="Calibri" w:hAnsi="Times New Roman" w:cs="Times New Roman"/>
          <w:color w:val="333333"/>
          <w:sz w:val="24"/>
          <w:szCs w:val="24"/>
        </w:rPr>
        <w:t xml:space="preserve">the </w:t>
      </w:r>
      <w:r w:rsidR="00DD4130" w:rsidRPr="00B65257">
        <w:rPr>
          <w:rFonts w:ascii="Times New Roman" w:hAnsi="Times New Roman" w:cs="Times New Roman"/>
          <w:i/>
          <w:iCs/>
          <w:color w:val="333333"/>
          <w:sz w:val="24"/>
          <w:szCs w:val="24"/>
          <w:shd w:val="clear" w:color="auto" w:fill="FFFFFF"/>
        </w:rPr>
        <w:t>acrA</w:t>
      </w:r>
      <w:r w:rsidR="00DD4130" w:rsidRPr="00B65257">
        <w:rPr>
          <w:rFonts w:ascii="Times New Roman" w:hAnsi="Times New Roman" w:cs="Times New Roman"/>
          <w:color w:val="333333"/>
          <w:sz w:val="24"/>
          <w:szCs w:val="24"/>
          <w:shd w:val="clear" w:color="auto" w:fill="FFFFFF"/>
        </w:rPr>
        <w:t xml:space="preserve"> and </w:t>
      </w:r>
      <w:r w:rsidR="00DD4130" w:rsidRPr="00B65257">
        <w:rPr>
          <w:rFonts w:ascii="Times New Roman" w:hAnsi="Times New Roman" w:cs="Times New Roman"/>
          <w:i/>
          <w:iCs/>
          <w:color w:val="333333"/>
          <w:sz w:val="24"/>
          <w:szCs w:val="24"/>
          <w:shd w:val="clear" w:color="auto" w:fill="FFFFFF"/>
        </w:rPr>
        <w:t>acrB</w:t>
      </w:r>
      <w:r w:rsidR="00DD4130" w:rsidRPr="00B65257">
        <w:rPr>
          <w:rFonts w:ascii="Times New Roman" w:hAnsi="Times New Roman" w:cs="Times New Roman"/>
          <w:color w:val="333333"/>
          <w:sz w:val="24"/>
          <w:szCs w:val="24"/>
          <w:shd w:val="clear" w:color="auto" w:fill="FFFFFF"/>
        </w:rPr>
        <w:t xml:space="preserve"> genes, in multidrug resistance alongside carbapenemase production in </w:t>
      </w:r>
      <w:r w:rsidR="00DD4130" w:rsidRPr="00B65257">
        <w:rPr>
          <w:rFonts w:ascii="Times New Roman" w:hAnsi="Times New Roman" w:cs="Times New Roman"/>
          <w:i/>
          <w:iCs/>
          <w:color w:val="333333"/>
          <w:sz w:val="24"/>
          <w:szCs w:val="24"/>
          <w:shd w:val="clear" w:color="auto" w:fill="FFFFFF"/>
        </w:rPr>
        <w:t>K. pneumoniae</w:t>
      </w:r>
      <w:r w:rsidRPr="00B65257">
        <w:rPr>
          <w:rFonts w:ascii="Times New Roman" w:hAnsi="Times New Roman" w:cs="Times New Roman"/>
          <w:sz w:val="24"/>
          <w:szCs w:val="24"/>
        </w:rPr>
        <w:t xml:space="preserve">. </w:t>
      </w:r>
      <w:r w:rsidRPr="00B65257">
        <w:rPr>
          <w:rFonts w:ascii="Times New Roman" w:eastAsia="Calibri" w:hAnsi="Times New Roman" w:cs="Times New Roman"/>
          <w:sz w:val="24"/>
          <w:szCs w:val="24"/>
        </w:rPr>
        <w:t xml:space="preserve">Therefore, </w:t>
      </w:r>
      <w:r w:rsidRPr="00B65257">
        <w:rPr>
          <w:rFonts w:ascii="Times New Roman" w:eastAsia="Calibri" w:hAnsi="Times New Roman" w:cs="Times New Roman"/>
          <w:sz w:val="24"/>
          <w:szCs w:val="24"/>
        </w:rPr>
        <w:lastRenderedPageBreak/>
        <w:t>understanding</w:t>
      </w:r>
      <w:r w:rsidRPr="00B65257">
        <w:rPr>
          <w:rFonts w:ascii="Times New Roman" w:hAnsi="Times New Roman" w:cs="Times New Roman"/>
          <w:sz w:val="24"/>
          <w:szCs w:val="24"/>
        </w:rPr>
        <w:t xml:space="preserve"> these mechanisms is essential for devising effective strategies to combat antimicrobial resistance, with potential implications for the development of efflux pump inhibitors as adjuncts to antimicrobial therapy.</w:t>
      </w:r>
      <w:r w:rsidRPr="00B65257">
        <w:rPr>
          <w:rFonts w:ascii="Times New Roman" w:eastAsia="Calibri" w:hAnsi="Times New Roman" w:cs="Times New Roman"/>
          <w:sz w:val="24"/>
          <w:szCs w:val="24"/>
        </w:rPr>
        <w:t xml:space="preserve"> </w:t>
      </w:r>
      <w:r w:rsidRPr="00B65257">
        <w:rPr>
          <w:rFonts w:ascii="Times New Roman" w:hAnsi="Times New Roman" w:cs="Times New Roman"/>
          <w:vanish/>
          <w:sz w:val="24"/>
          <w:szCs w:val="24"/>
        </w:rPr>
        <w:t>Top of Form</w:t>
      </w:r>
    </w:p>
    <w:p w:rsidR="009121C6" w:rsidRPr="00B65257" w:rsidRDefault="00595131" w:rsidP="009121C6">
      <w:pPr>
        <w:spacing w:line="360" w:lineRule="auto"/>
        <w:jc w:val="both"/>
        <w:rPr>
          <w:rFonts w:ascii="Times New Roman" w:hAnsi="Times New Roman" w:cs="Times New Roman"/>
          <w:sz w:val="24"/>
          <w:szCs w:val="24"/>
        </w:rPr>
      </w:pPr>
      <w:r w:rsidRPr="00B65257">
        <w:rPr>
          <w:rFonts w:ascii="Times New Roman" w:hAnsi="Times New Roman" w:cs="Times New Roman"/>
          <w:b/>
          <w:bCs/>
          <w:sz w:val="24"/>
          <w:szCs w:val="24"/>
        </w:rPr>
        <w:t>Keywords:</w:t>
      </w:r>
      <w:r w:rsidRPr="00B65257">
        <w:rPr>
          <w:rFonts w:ascii="Times New Roman" w:hAnsi="Times New Roman" w:cs="Times New Roman"/>
          <w:sz w:val="24"/>
          <w:szCs w:val="24"/>
        </w:rPr>
        <w:t xml:space="preserve"> </w:t>
      </w:r>
      <w:r w:rsidRPr="00B65257">
        <w:rPr>
          <w:rFonts w:ascii="Times New Roman" w:hAnsi="Times New Roman" w:cs="Times New Roman"/>
          <w:i/>
          <w:iCs/>
          <w:sz w:val="24"/>
          <w:szCs w:val="24"/>
        </w:rPr>
        <w:t>K. pneumoniae</w:t>
      </w:r>
      <w:r w:rsidRPr="00B65257">
        <w:rPr>
          <w:rFonts w:ascii="Times New Roman" w:hAnsi="Times New Roman" w:cs="Times New Roman"/>
          <w:sz w:val="24"/>
          <w:szCs w:val="24"/>
        </w:rPr>
        <w:t>, bla</w:t>
      </w:r>
      <w:r w:rsidRPr="00B65257">
        <w:rPr>
          <w:rFonts w:ascii="Times New Roman" w:hAnsi="Times New Roman" w:cs="Times New Roman"/>
          <w:i/>
          <w:iCs/>
          <w:sz w:val="24"/>
          <w:szCs w:val="24"/>
          <w:vertAlign w:val="subscript"/>
        </w:rPr>
        <w:t>KPC</w:t>
      </w:r>
      <w:r w:rsidRPr="00B65257">
        <w:rPr>
          <w:rFonts w:ascii="Times New Roman" w:hAnsi="Times New Roman" w:cs="Times New Roman"/>
          <w:sz w:val="24"/>
          <w:szCs w:val="24"/>
        </w:rPr>
        <w:t xml:space="preserve"> gene, bla</w:t>
      </w:r>
      <w:r w:rsidRPr="00B65257">
        <w:rPr>
          <w:rFonts w:ascii="Times New Roman" w:hAnsi="Times New Roman" w:cs="Times New Roman"/>
          <w:i/>
          <w:iCs/>
          <w:sz w:val="24"/>
          <w:szCs w:val="24"/>
          <w:vertAlign w:val="subscript"/>
        </w:rPr>
        <w:t>OXA-48</w:t>
      </w:r>
      <w:r w:rsidR="00CB6F03" w:rsidRPr="00B65257">
        <w:rPr>
          <w:rFonts w:ascii="Times New Roman" w:hAnsi="Times New Roman" w:cs="Times New Roman"/>
          <w:sz w:val="24"/>
          <w:szCs w:val="24"/>
        </w:rPr>
        <w:t xml:space="preserve"> gene, </w:t>
      </w:r>
      <w:r w:rsidR="00CB6F03" w:rsidRPr="00B65257">
        <w:rPr>
          <w:rFonts w:ascii="Times New Roman" w:hAnsi="Times New Roman" w:cs="Times New Roman"/>
          <w:i/>
          <w:iCs/>
          <w:sz w:val="24"/>
          <w:szCs w:val="24"/>
        </w:rPr>
        <w:t>acr</w:t>
      </w:r>
      <w:r w:rsidR="00CB6F03" w:rsidRPr="00B65257">
        <w:rPr>
          <w:rFonts w:ascii="Times New Roman" w:hAnsi="Times New Roman" w:cs="Times New Roman"/>
          <w:sz w:val="24"/>
          <w:szCs w:val="24"/>
        </w:rPr>
        <w:t xml:space="preserve">A and </w:t>
      </w:r>
      <w:r w:rsidR="00CB6F03" w:rsidRPr="00B65257">
        <w:rPr>
          <w:rFonts w:ascii="Times New Roman" w:hAnsi="Times New Roman" w:cs="Times New Roman"/>
          <w:i/>
          <w:iCs/>
          <w:sz w:val="24"/>
          <w:szCs w:val="24"/>
        </w:rPr>
        <w:t>acr</w:t>
      </w:r>
      <w:r w:rsidRPr="00B65257">
        <w:rPr>
          <w:rFonts w:ascii="Times New Roman" w:hAnsi="Times New Roman" w:cs="Times New Roman"/>
          <w:sz w:val="24"/>
          <w:szCs w:val="24"/>
        </w:rPr>
        <w:t>B efflux pump genes.</w:t>
      </w:r>
    </w:p>
    <w:p w:rsidR="009121C6" w:rsidRPr="00B65257" w:rsidRDefault="009121C6" w:rsidP="0099009F">
      <w:pPr>
        <w:spacing w:before="100" w:beforeAutospacing="1" w:after="100" w:afterAutospacing="1" w:line="360" w:lineRule="auto"/>
        <w:jc w:val="both"/>
        <w:outlineLvl w:val="2"/>
        <w:rPr>
          <w:rFonts w:ascii="Times New Roman" w:eastAsia="Times New Roman" w:hAnsi="Times New Roman" w:cs="Times New Roman"/>
          <w:b/>
          <w:bCs/>
          <w:sz w:val="32"/>
          <w:szCs w:val="32"/>
        </w:rPr>
        <w:sectPr w:rsidR="009121C6" w:rsidRPr="00B65257" w:rsidSect="009121C6">
          <w:footerReference w:type="default" r:id="rId8"/>
          <w:footerReference w:type="first" r:id="rId9"/>
          <w:pgSz w:w="12240" w:h="15840"/>
          <w:pgMar w:top="1440" w:right="1440" w:bottom="1440" w:left="1440" w:header="720" w:footer="720" w:gutter="0"/>
          <w:cols w:space="720"/>
          <w:docGrid w:linePitch="360"/>
        </w:sectPr>
      </w:pPr>
    </w:p>
    <w:p w:rsidR="00B02090" w:rsidRPr="00B65257" w:rsidRDefault="00595131" w:rsidP="00B02090">
      <w:pPr>
        <w:spacing w:before="100" w:beforeAutospacing="1" w:after="100" w:afterAutospacing="1" w:line="240" w:lineRule="auto"/>
        <w:jc w:val="center"/>
        <w:rPr>
          <w:rFonts w:ascii="Times New Roman" w:eastAsia="Times New Roman" w:hAnsi="Times New Roman" w:cs="Times New Roman"/>
          <w:b/>
          <w:bCs/>
          <w:sz w:val="28"/>
          <w:szCs w:val="28"/>
        </w:rPr>
      </w:pPr>
      <w:r w:rsidRPr="00B65257">
        <w:rPr>
          <w:rFonts w:ascii="Times New Roman" w:eastAsia="Times New Roman" w:hAnsi="Times New Roman" w:cs="Times New Roman"/>
          <w:b/>
          <w:bCs/>
          <w:sz w:val="28"/>
          <w:szCs w:val="28"/>
        </w:rPr>
        <w:t>INTRODUCTION</w:t>
      </w:r>
    </w:p>
    <w:p w:rsidR="00B02090" w:rsidRPr="00B65257" w:rsidRDefault="00595131" w:rsidP="00B02090">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i/>
          <w:iCs/>
          <w:sz w:val="24"/>
          <w:szCs w:val="24"/>
        </w:rPr>
        <w:t>Klebsiella pneumoniae</w:t>
      </w:r>
      <w:r w:rsidR="00CE7BDB" w:rsidRPr="00B65257">
        <w:rPr>
          <w:rFonts w:ascii="Times New Roman" w:eastAsia="Times New Roman" w:hAnsi="Times New Roman" w:cs="Times New Roman"/>
          <w:sz w:val="24"/>
          <w:szCs w:val="24"/>
        </w:rPr>
        <w:t xml:space="preserve"> is a gram-negative, facultative anaerobe that has become a leading cause of nosocomial infections, particularly in resource-limited settings </w:t>
      </w:r>
      <w:r w:rsidR="00CE7BDB" w:rsidRPr="00B65257">
        <w:rPr>
          <w:rFonts w:ascii="Times New Roman" w:eastAsia="Times New Roman" w:hAnsi="Times New Roman" w:cs="Times New Roman"/>
          <w:sz w:val="24"/>
          <w:szCs w:val="24"/>
        </w:rPr>
        <w:fldChar w:fldCharType="begin" w:fldLock="1"/>
      </w:r>
      <w:r w:rsidR="00995898" w:rsidRPr="00B65257">
        <w:rPr>
          <w:rFonts w:ascii="Times New Roman" w:eastAsia="Times New Roman" w:hAnsi="Times New Roman" w:cs="Times New Roman"/>
          <w:sz w:val="24"/>
          <w:szCs w:val="24"/>
        </w:rPr>
        <w:instrText>ADDIN CSL_CITATION {"citationItems":[{"id":"ITEM-1","itemData":{"DOI":"10.29079/vol17iss1art471","ISSN":"18185746","author":[{"dropping-particle":"","family":"Al-Nakeeb","given":"Nawras K.","non-dropping-particle":"","parse-names":false,"suffix":""},{"dropping-particle":"","family":"Radi","given":"Jameela","non-dropping-particle":"","parse-names":false,"suffix":""},{"dropping-particle":"","family":"Hamdan","given":"Kholood","non-dropping-particle":"","parse-names":false,"suffix":""},{"dropping-particle":"","family":"Fouad","given":"Zena","non-dropping-particle":"","parse-names":false,"suffix":""}],"container-title":"Al-Qadisiyah Journal of Veterinary Medicine Sciences","id":"ITEM-1","issue":"1","issued":{"date-parts":[["2018"]]},"page":"44-48","title":"Clinical and immunological effects of experimental infection with Klebsiella pneumoniae in lambs in Iraq","type":"article-journal","volume":"17"},"uris":["http://www.mendeley.com/documents/?uuid=4dd62bc4-8e23-4292-a574-51dcfe96dde1"]},{"id":"ITEM-2","itemData":{"DOI":"10.3390/MICROBIOLRES12030049","ISSN":"20367481","abstract":"Klebsiella spp. are associated with several nosocomial and opportunistic infections. Increasing antimicrobial resistance of Klebsiella species is aggravated by a number of intrinsic and extrinsic factors. The main aim of this study is to determine antimicrobial resistance due to production of β-lactamase enzymes, extended spectrum beta-lactamase (ESBL), metallo-beta-lactamase (MBL) and AmpC and Klebsiella pneumoniae carbapenemase (KPC) and biofilm formation in Klebsiella isolates. A total of 2197 non-duplicate specimens of urine, sputum and pus were obtained from the National Public Health Laboratory (NPHL), Kathmandu, Nepal, between February and August 2019. Klebsiella species were isolated, identified and screened for antimicrobial susceptibility testing with the disk diffusion method. Phenotypic detection of ESBL, MBL, KPC and AmpC production was observed and biofilm production was detected by the microtiter plate method. Out of a total of 2197 clinical specimens, bacterial growth was detected in 8% (175/2197) of the specimens. Of the total isolates, 86.3% (151/175) were Gram-negative bacteria and 37.7% (57/151) were Klebsiella spp. Of the total Klebsiella spp., 56% (32/57) were multi drug resistant (MDR), 16% (9/57) were ESBL, 26% (15/57) were MBL, 4% (2/57) were KPC (class A carbapenemase), 16% (9/57) were AmpC producers and 95% (54/57) were biofilm producers. Gentamicin was the most effective antibiotic, followed by cotrimoxazole, as 68% (39/57) and 47% (27/57) of the Klebsiella isolates were susceptible towards these drugs, respectively. The study results show evidence of β-lactamase production, high prevalence of MDR and biofilm producing Klebsiella species. Integrating the test parameters for phenotypic confirmation of ESBL, MBL, AmpC β lactamase and KPC in routine diagnostic procedures can help in the early detection and management of these resistant strains.","author":[{"dropping-particle":"","family":"Kuinkel","given":"Susmita","non-dropping-particle":"","parse-names":false,"suffix":""},{"dropping-particle":"","family":"Acharya","given":"Jyoti","non-dropping-particle":"","parse-names":false,"suffix":""},{"dropping-particle":"","family":"Dhungel","given":"Binod","non-dropping-particle":"","parse-names":false,"suffix":""},{"dropping-particle":"","family":"Adhikari","given":"Sanjib","non-dropping-particle":"","parse-names":false,"suffix":""},{"dropping-particle":"","family":"Adhikari","given":"Nabaraj","non-dropping-particle":"","parse-names":false,"suffix":""},{"dropping-particle":"","family":"Shrestha","given":"Upendra Thapa","non-dropping-particle":"","parse-names":false,"suffix":""},{"dropping-particle":"","family":"Banjara","given":"Megha Raj","non-dropping-particle":"","parse-names":false,"suffix":""},{"dropping-particle":"","family":"Rijal","given":"Komal Raj","non-dropping-particle":"","parse-names":false,"suffix":""},{"dropping-particle":"","family":"Ghimire","given":"Prakash","non-dropping-particle":"","parse-names":false,"suffix":""}],"container-title":"Microbiology Research","id":"ITEM-2","issue":"3","issued":{"date-parts":[["2021","8","18"]]},"page":"683-697","publisher":"MDPI AG","title":"Biofilm formation and phenotypic detection of esbl, mbl, kpc and ampc enzymes and their coexistence in klebsiella spp. Isolated at the national reference laboratory, kathmandu, nepal","type":"article-journal","volume":"12"},"uris":["http://www.mendeley.com/documents/?uuid=47f8128e-bfa8-3e9e-a237-d3fccbdb9ea7"]}],"mendeley":{"formattedCitation":"(1,2)","plainTextFormattedCitation":"(1,2)","previouslyFormattedCitation":"(1,2)"},"properties":{"noteIndex":0},"schema":"https://github.com/citation-style-language/schema/raw/master/csl-citation.json"}</w:instrText>
      </w:r>
      <w:r w:rsidR="00CE7BDB" w:rsidRPr="00B65257">
        <w:rPr>
          <w:rFonts w:ascii="Times New Roman" w:eastAsia="Times New Roman" w:hAnsi="Times New Roman" w:cs="Times New Roman"/>
          <w:sz w:val="24"/>
          <w:szCs w:val="24"/>
        </w:rPr>
        <w:fldChar w:fldCharType="separate"/>
      </w:r>
      <w:r w:rsidR="00CE7BDB" w:rsidRPr="00B65257">
        <w:rPr>
          <w:rFonts w:ascii="Times New Roman" w:eastAsia="Times New Roman" w:hAnsi="Times New Roman" w:cs="Times New Roman"/>
          <w:noProof/>
          <w:sz w:val="24"/>
          <w:szCs w:val="24"/>
        </w:rPr>
        <w:t>(1,2)</w:t>
      </w:r>
      <w:r w:rsidR="00CE7BDB"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This opportunistic pathogen is responsible for severe infections such as pneumonia, urinary tract infections, and septicemia, especially in immunocompromised patients </w:t>
      </w:r>
      <w:r w:rsidRPr="00B65257">
        <w:rPr>
          <w:rFonts w:ascii="Times New Roman" w:eastAsia="Times New Roman" w:hAnsi="Times New Roman" w:cs="Times New Roman"/>
          <w:sz w:val="24"/>
          <w:szCs w:val="24"/>
        </w:rPr>
        <w:fldChar w:fldCharType="begin" w:fldLock="1"/>
      </w:r>
      <w:r w:rsidR="00995898" w:rsidRPr="00B65257">
        <w:rPr>
          <w:rFonts w:ascii="Times New Roman" w:eastAsia="Times New Roman" w:hAnsi="Times New Roman" w:cs="Times New Roman"/>
          <w:sz w:val="24"/>
          <w:szCs w:val="24"/>
        </w:rPr>
        <w:instrText>ADDIN CSL_CITATION {"citationItems":[{"id":"ITEM-1","itemData":{"DOI":"10.3390/antibiotics10070868","ISSN":"20796382","abstract":"The study evaluated the evolution of the incidence of infections with Klebsiella in the County Clinical Emergency Hospital of Craiova (SCJUC), Romania. Also, we monitored antibiotic resistance over more than two years and detected changes in resistance to various antimicrobial agents. Our study included 2062 patients (823 women and 1239 men) hospitalised in SCJUC during the period 1st of September 2017 to 30 June 2019. In 458 patients (22.21%) from the 2062 total patients, the collected samples (1116) were positive and from those, we isolated 251 strains of Klebsiella spp. We conducted a longitudinal analysis of the prevalence of Klebsiella spp. over calendar months, which showed a prevalence in surgical wards that ranged between 5.25% and 19.49% in June 2018, while in medical wards the variation was much wider, between 5.15% and 17.36% in April 2018. Klebsiella spp. strains showed significant resistance to Amoxicillin/Clavulanate, Aztreonam and Cephalosporins such as Ceftriaxone, Ceftazidime and Cefepime. We examined the possible link with the consumption of antibiotics in the same month by performing a multiple linear regression analysis. The evolution of antibiotic resistance in Klebsiella was correlated with the variation of resistance in other bacteria, which suggests common resistance mechanisms in the hospital environment. By performing the regression for dependency between antibiotic resistance and antibiotic consumption, we observed some correlations between antibiotic consumption and the development of antibiotic resistance after 1, 2 and even 3 months (e.g., resistance to meropenem was influenced by the consumption in the hospital ward of imipenem 1 month and two months before, but only 1 month before by the consumption of meropenem). The clustering of strains showed filiation between multiresistant Klebsiella spp. strains isolated from specific patients from the ICU. The evolution of prevalence and antibiotic resistance in Klebsiella correlated with the resistance in other bacteria, which suggest common resistance mechanisms in the hospital environment, and also with the consumption of antibiotics.","author":[{"dropping-particle":"","family":"Ghenea","given":"Alice Elena","non-dropping-particle":"","parse-names":false,"suffix":""},{"dropping-particle":"","family":"Cioboată","given":"Ramona","non-dropping-particle":"","parse-names":false,"suffix":""},{"dropping-particle":"","family":"Drocaş","given":"Andrei Ioan","non-dropping-particle":"","parse-names":false,"suffix":""},{"dropping-particle":"","family":"Țieranu","given":"Eugen Nicolae","non-dropping-particle":"","parse-names":false,"suffix":""},{"dropping-particle":"","family":"Vasile","given":"Corina Maria","non-dropping-particle":"","parse-names":false,"suffix":""},{"dropping-particle":"","family":"Moroşanu","given":"Aritina","non-dropping-particle":"","parse-names":false,"suffix":""},{"dropping-particle":"","family":"Țieranu","given":"Cristian George","non-dropping-particle":"","parse-names":false,"suffix":""},{"dropping-particle":"","family":"Salan","given":"Alex Ioan","non-dropping-particle":"","parse-names":false,"suffix":""},{"dropping-particle":"","family":"Popescu","given":"Mihaela","non-dropping-particle":"","parse-names":false,"suffix":""},{"dropping-particle":"","family":"Turculeanu","given":"Adriana","non-dropping-particle":"","parse-names":false,"suffix":""},{"dropping-particle":"","family":"Padureanu","given":"Vlad","non-dropping-particle":"","parse-names":false,"suffix":""},{"dropping-particle":"","family":"Udriștoiu","given":"Anca Loredana","non-dropping-particle":"","parse-names":false,"suffix":""},{"dropping-particle":"","family":"Calina","given":"Daniela","non-dropping-particle":"","parse-names":false,"suffix":""},{"dropping-particle":"","family":"Cȃrţu","given":"Dan","non-dropping-particle":"","parse-names":false,"suffix":""},{"dropping-particle":"","family":"Zlatian","given":"Ovidiu Mircea","non-dropping-particle":"","parse-names":false,"suffix":""}],"container-title":"Antibiotics","id":"ITEM-1","issue":"7","issued":{"date-parts":[["2021","7","1"]]},"publisher":"MDPI","title":"Prevalence and antimicrobial resistance of klebsiella strains isolated from a county hospital in romania","type":"article-journal","volume":"10"},"uris":["http://www.mendeley.com/documents/?uuid=e5ea8b54-5fc6-3be6-be7d-96bf9e1ed614"]}],"mendeley":{"formattedCitation":"(3)","plainTextFormattedCitation":"(3)","previouslyFormattedCitation":"(3)"},"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CE7BDB" w:rsidRPr="00B65257">
        <w:rPr>
          <w:rFonts w:ascii="Times New Roman" w:eastAsia="Times New Roman" w:hAnsi="Times New Roman" w:cs="Times New Roman"/>
          <w:noProof/>
          <w:sz w:val="24"/>
          <w:szCs w:val="24"/>
        </w:rPr>
        <w:t>(3)</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The increasing resistance of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to multiple antibiotics has escalated into a global health threat, primarily due to the ability of the organism to acquire and disseminate resistance genes, including those encoding carbapenemases and efflux pumps </w:t>
      </w:r>
      <w:r w:rsidRPr="00B65257">
        <w:rPr>
          <w:rFonts w:ascii="Times New Roman" w:eastAsia="Times New Roman" w:hAnsi="Times New Roman" w:cs="Times New Roman"/>
          <w:sz w:val="24"/>
          <w:szCs w:val="24"/>
        </w:rPr>
        <w:fldChar w:fldCharType="begin" w:fldLock="1"/>
      </w:r>
      <w:r w:rsidR="00995898" w:rsidRPr="00B65257">
        <w:rPr>
          <w:rFonts w:ascii="Times New Roman" w:eastAsia="Times New Roman" w:hAnsi="Times New Roman" w:cs="Times New Roman"/>
          <w:sz w:val="24"/>
          <w:szCs w:val="24"/>
        </w:rPr>
        <w:instrText>ADDIN CSL_CITATION {"citationItems":[{"id":"ITEM-1","itemData":{"DOI":"10.54796/njb.v10i1.229","ISSN":"20911130","abstract":"Klebsiella pneumoniae is a common opportunistic pathogen causing a wide range of infections; pneumonia, urinary tract infection, bacteremia, and liver abscesses. It infects primarily immunocompromised and immunocompetent individuals. It presents itself as an antibiotic-resistant bacterium, especially for third-generation cephalosporins and carbapenems, creating serious global challenges. Therefore, this cross-sectional study was conducted in B &amp; B Hospital, Lalitpur to screen the distribution of carbapenem resistance K. pneumoniae through ertapenem and to assess the minimum inhibitory concentration of imipenem for screened carbapenem resistance K. pneumoniae. From 3447 different clinical samples collected according to standard guidelines, K. pneumoniae was identified using standard microbiological techniques; staining and a panel of biochemical tests. The antibiotic susceptibility test of the isolates was performed by the Kirby-Bauer disc diffusion method as per CLSI 2018 guidelines. The screening of carbapenem resistance was assessed by using ertapenem disc and the MIC of imipenem for carbapenem resistance and intermediate was performed using an Epsilometer. A total of 85 K. pneumoniae were identified and their antibiotic susceptibility test revealed that ceftriaxone was the least effective antibiotic. The number of MDR, carbapenem-resistant and intermediate isolates was 51, 46, and 3, respectively. The MIC of imipenem through an Epsilometer from ertapenem resistant and intermediate revealed that 31, 5, and 13 isolates were resistant, intermediate, and sensitive respectively. These findings showed the inconsistency in the detection of carbapenem-resistant isolates in routine microbiology laboratories and further support the other tests for the detection of carbapenem resistance as suggested by CLSI.","author":[{"dropping-particle":"","family":"Saud","given":"Sarada","non-dropping-particle":"","parse-names":false,"suffix":""},{"dropping-particle":"","family":"Agrawal","given":"Ashwani","non-dropping-particle":"","parse-names":false,"suffix":""},{"dropping-particle":"","family":"Pokhrel","given":"Soniya","non-dropping-particle":"","parse-names":false,"suffix":""},{"dropping-particle":"","family":"Subedi","given":"Sushma","non-dropping-particle":"","parse-names":false,"suffix":""},{"dropping-particle":"","family":"Shrestha","given":"Sanjit","non-dropping-particle":"","parse-names":false,"suffix":""},{"dropping-particle":"","family":"Man Amatya","given":"Niroj","non-dropping-particle":"","parse-names":false,"suffix":""}],"container-title":"Nepal Journal of Biotechnology","id":"ITEM-1","issue":"1","issued":{"date-parts":[["2022","7","30"]]},"page":"40-44","publisher":"Biotechnology Society of Nepal","title":"Screening of Carbapenem Resistance Klebsiella pneumoniae and its MIC against Imipenem","type":"article-journal","volume":"10"},"uris":["http://www.mendeley.com/documents/?uuid=ed44c6d3-592f-3fc1-bf23-d3bfaffc4308"]}],"mendeley":{"formattedCitation":"(4)","plainTextFormattedCitation":"(4)","previouslyFormattedCitation":"(4)"},"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CE7BDB" w:rsidRPr="00B65257">
        <w:rPr>
          <w:rFonts w:ascii="Times New Roman" w:eastAsia="Times New Roman" w:hAnsi="Times New Roman" w:cs="Times New Roman"/>
          <w:noProof/>
          <w:sz w:val="24"/>
          <w:szCs w:val="24"/>
        </w:rPr>
        <w:t>(4)</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w:t>
      </w:r>
    </w:p>
    <w:p w:rsidR="008C11D0" w:rsidRPr="00B65257" w:rsidRDefault="00B02090" w:rsidP="00B02090">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In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antimicrobial resistance (AMR) is mediated </w:t>
      </w:r>
      <w:r w:rsidR="00595131" w:rsidRPr="00B65257">
        <w:rPr>
          <w:rFonts w:ascii="Times New Roman" w:eastAsia="Times New Roman" w:hAnsi="Times New Roman" w:cs="Times New Roman"/>
          <w:sz w:val="24"/>
          <w:szCs w:val="24"/>
        </w:rPr>
        <w:t xml:space="preserve">mainly </w:t>
      </w:r>
      <w:r w:rsidRPr="00B65257">
        <w:rPr>
          <w:rFonts w:ascii="Times New Roman" w:eastAsia="Times New Roman" w:hAnsi="Times New Roman" w:cs="Times New Roman"/>
          <w:sz w:val="24"/>
          <w:szCs w:val="24"/>
        </w:rPr>
        <w:t>by the production of carbapenemase enzymes and the activation of efflux pumps</w:t>
      </w:r>
      <w:r w:rsidR="00493120" w:rsidRPr="00B65257">
        <w:rPr>
          <w:rFonts w:ascii="Times New Roman" w:eastAsia="Times New Roman" w:hAnsi="Times New Roman" w:cs="Times New Roman"/>
          <w:sz w:val="24"/>
          <w:szCs w:val="24"/>
        </w:rPr>
        <w:t xml:space="preserve"> particularly the resistance-nodulation-division (RND) family</w:t>
      </w:r>
      <w:r w:rsidRPr="00B65257">
        <w:rPr>
          <w:rFonts w:ascii="Times New Roman" w:eastAsia="Times New Roman" w:hAnsi="Times New Roman" w:cs="Times New Roman"/>
          <w:sz w:val="24"/>
          <w:szCs w:val="24"/>
        </w:rPr>
        <w:t xml:space="preserve"> such as the AcrAB system, which expels antibiotics from bacterial cells, limiting drug efficacy </w:t>
      </w:r>
      <w:r w:rsidRPr="00B65257">
        <w:rPr>
          <w:rFonts w:ascii="Times New Roman" w:eastAsia="Times New Roman" w:hAnsi="Times New Roman" w:cs="Times New Roman"/>
          <w:sz w:val="24"/>
          <w:szCs w:val="24"/>
        </w:rPr>
        <w:fldChar w:fldCharType="begin" w:fldLock="1"/>
      </w:r>
      <w:r w:rsidR="00995898" w:rsidRPr="00B65257">
        <w:rPr>
          <w:rFonts w:ascii="Times New Roman" w:eastAsia="Times New Roman" w:hAnsi="Times New Roman" w:cs="Times New Roman"/>
          <w:sz w:val="24"/>
          <w:szCs w:val="24"/>
        </w:rPr>
        <w:instrText>ADDIN CSL_CITATION {"citationItems":[{"id":"ITEM-1","itemData":{"DOI":"10.5812/iji.107397","ISSN":"2383-1413","abstract":"Background: The emergence and spread of drug resistance among Klebsiella pneumoniae clinical isolates have limited the treatment options for these bacteria. Efflux pumps are considered as one of the key mechanisms of antibiotic resistance in K. pneumoniae isolates. Objectives: The present study aimed to detect oqxA, oqxB, and qepA efflux genes in K. pneumoniae isolated from urinary tract infection (UTI) and survey their association with antibiotic resistance. Methods: In total, 100 K. pneumoniae isolates were obtained from urine samples, and an antimicrobial susceptibility test was conducted using the disk diffusion method according to the Clinical and Laboratory Standards Institute (CLSI) instructions. Polymerase chain reaction (PCR) was done for the detection of efflux pump genes including, oqxA, oqxB, and qepA, and their association was statistically analyzed with resistance to antibiotics. Results: The highest rate of resistance was obtained against trimethoprim-sulfamethoxazole (72%), amikacin (70%), levofloxacin (68%), gentamicin (56%), ceftazidime (56%), and ceftriaxone (51%), and the lowest resistance was against imipenem (10%). Thirty one percent of isolates were multidrug resistant (MDR). Molecular distribution test showed that 57% and 56% of isolates carried the oqxA and oqxB genes, respectively. Also, the frequency of qepA genes was 21%. The presence of oqxA/oqxB and qepA efflux genes were significantly associated with fluoroquinolone and beta-lactam resistance phenotypes (P &lt; 0.05). Conclusions: The high frequency of efflux genes showed that this resistance mechanism is the main way, along with other resistance mechanisms in K. pneumoniae isolates. It is necessary to adopt appropriate treatment to reduce the incidence of resistance.","author":[{"dropping-particle":"","family":"Dehnamaki","given":"Manijeh","non-dropping-particle":"","parse-names":false,"suffix":""},{"dropping-particle":"","family":"Ghane","given":"Maryam","non-dropping-particle":"","parse-names":false,"suffix":""},{"dropping-particle":"","family":"Babaeekhou","given":"Laleh","non-dropping-particle":"","parse-names":false,"suffix":""}],"container-title":"International Journal of Infection","id":"ITEM-1","issue":"4","issued":{"date-parts":[["2020","10","26"]]},"publisher":"Briefland","title":"Detection of OqxAB and QepA Efflux Pumps and Their Association with Antibiotic Resistance in Klebsiella pneumoniae Isolated From Urinary Tract Infection","type":"article-journal","volume":"7"},"uris":["http://www.mendeley.com/documents/?uuid=d835e887-6757-3925-8350-c2ae1bfc9360"]}],"mendeley":{"formattedCitation":"(5)","plainTextFormattedCitation":"(5)","previouslyFormattedCitation":"(5)"},"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595131" w:rsidRPr="00B65257">
        <w:rPr>
          <w:rFonts w:ascii="Times New Roman" w:eastAsia="Times New Roman" w:hAnsi="Times New Roman" w:cs="Times New Roman"/>
          <w:noProof/>
          <w:sz w:val="24"/>
          <w:szCs w:val="24"/>
        </w:rPr>
        <w:t>(5)</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Globally, carbapenem-resistant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(CRKP) poses a significant challenge </w:t>
      </w:r>
      <w:r w:rsidR="00595131" w:rsidRPr="00B65257">
        <w:rPr>
          <w:rFonts w:ascii="Times New Roman" w:eastAsia="Times New Roman" w:hAnsi="Times New Roman" w:cs="Times New Roman"/>
          <w:sz w:val="24"/>
          <w:szCs w:val="24"/>
        </w:rPr>
        <w:t>because of the</w:t>
      </w:r>
      <w:r w:rsidRPr="00B65257">
        <w:rPr>
          <w:rFonts w:ascii="Times New Roman" w:eastAsia="Times New Roman" w:hAnsi="Times New Roman" w:cs="Times New Roman"/>
          <w:sz w:val="24"/>
          <w:szCs w:val="24"/>
        </w:rPr>
        <w:t xml:space="preserve"> limited treatment options and high mortality rates associated with infections </w:t>
      </w:r>
      <w:r w:rsidRPr="00B65257">
        <w:rPr>
          <w:rFonts w:ascii="Times New Roman" w:eastAsia="Times New Roman" w:hAnsi="Times New Roman" w:cs="Times New Roman"/>
          <w:sz w:val="24"/>
          <w:szCs w:val="24"/>
        </w:rPr>
        <w:fldChar w:fldCharType="begin" w:fldLock="1"/>
      </w:r>
      <w:r w:rsidR="00995898" w:rsidRPr="00B65257">
        <w:rPr>
          <w:rFonts w:ascii="Times New Roman" w:eastAsia="Times New Roman" w:hAnsi="Times New Roman" w:cs="Times New Roman"/>
          <w:sz w:val="24"/>
          <w:szCs w:val="24"/>
        </w:rPr>
        <w:instrText>ADDIN CSL_CITATION {"citationItems":[{"id":"ITEM-1","itemData":{"DOI":"10.1038/s41598-022-17996-1","ISSN":"20452322","PMID":"35963896","abstract":"Klebsiella pneumoniae (Kp) bacteria are an increasing threat to public health and represent one of the most concerning pathogens involved in life-threatening infections and antimicrobial resistance (AMR). To understand the epidemiology of AMR of Kp in Portugal, we analysed whole genome sequencing, susceptibility testing and other meta data on 509 isolates collected nationwide from 16 hospitals and environmental settings between years 1980 and 2019. Predominant sequence types (STs) included ST15 (n = 161, 32%), ST147 (n = 36, 7%), ST14 (n = 26, 5%) or ST13 (n = 26, 5%), while 31% of isolates belonged to STs with fewer than 10 isolates. AMR testing revealed widespread resistance to aminoglycosides, fluoroquinolones, cephalosporins and carbapenems. The most common carbapenemase gene was blaKPC-3. Whilst the distribution of AMR linked plasmids appears uncorrelated with ST, their frequency has changed over time. Before year 2010, the dominant plasmid group was associated with the extended spectrum beta-lactamase gene blaCTX-M-15, but this group appears to have been displaced by another carrying the blaKPC-3 gene. Co-carriage of blaCTX-M and blaKPC-3 was uncommon. Our results from the largest genomics study of Kp in Portugal highlight the active transmission of strains with AMR genes and provide a baseline set of variants for future resistance monitoring and epidemiological studies.","author":[{"dropping-particle":"","family":"Spadar","given":"Anton","non-dropping-particle":"","parse-names":false,"suffix":""},{"dropping-particle":"","family":"Phelan","given":"Jody","non-dropping-particle":"","parse-names":false,"suffix":""},{"dropping-particle":"","family":"Elias","given":"Rita","non-dropping-particle":"","parse-names":false,"suffix":""},{"dropping-particle":"","family":"Modesto","given":"Ana","non-dropping-particle":"","parse-names":false,"suffix":""},{"dropping-particle":"","family":"Caneiras","given":"Cátia","non-dropping-particle":"","parse-names":false,"suffix":""},{"dropping-particle":"","family":"Marques","given":"Cátia","non-dropping-particle":"","parse-names":false,"suffix":""},{"dropping-particle":"","family":"Lito","given":"Luís","non-dropping-particle":"","parse-names":false,"suffix":""},{"dropping-particle":"","family":"Pinto","given":"Margarida","non-dropping-particle":"","parse-names":false,"suffix":""},{"dropping-particle":"","family":"Cavaco-Silva","given":"Patrícia","non-dropping-particle":"","parse-names":false,"suffix":""},{"dropping-particle":"","family":"Ferreira","given":"Helena","non-dropping-particle":"","parse-names":false,"suffix":""},{"dropping-particle":"","family":"Pomba","given":"Constança","non-dropping-particle":"","parse-names":false,"suffix":""},{"dropping-particle":"","family":"Silva","given":"Gabriela J.","non-dropping-particle":"Da","parse-names":false,"suffix":""},{"dropping-particle":"","family":"Saavedra","given":"Maria José","non-dropping-particle":"","parse-names":false,"suffix":""},{"dropping-particle":"","family":"Melo-Cristino","given":"José","non-dropping-particle":"","parse-names":false,"suffix":""},{"dropping-particle":"","family":"Duarte","given":"Aida","non-dropping-particle":"","parse-names":false,"suffix":""},{"dropping-particle":"","family":"Campino","given":"Susana","non-dropping-particle":"","parse-names":false,"suffix":""},{"dropping-particle":"","family":"Perdigão","given":"João","non-dropping-particle":"","parse-names":false,"suffix":""},{"dropping-particle":"","family":"Clark","given":"Taane G.","non-dropping-particle":"","parse-names":false,"suffix":""}],"container-title":"Scientific Reports","id":"ITEM-1","issue":"1","issued":{"date-parts":[["2022","12","1"]]},"publisher":"Nature Research","title":"Genomic epidemiological analysis of Klebsiella pneumoniae from Portuguese hospitals reveals insights into circulating antimicrobial resistance","type":"article-journal","volume":"12"},"uris":["http://www.mendeley.com/documents/?uuid=5f120af3-5d88-3c11-aa10-a3f2ecbbf937"]}],"mendeley":{"formattedCitation":"(6)","plainTextFormattedCitation":"(6)","previouslyFormattedCitation":"(6)"},"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595131" w:rsidRPr="00B65257">
        <w:rPr>
          <w:rFonts w:ascii="Times New Roman" w:eastAsia="Times New Roman" w:hAnsi="Times New Roman" w:cs="Times New Roman"/>
          <w:noProof/>
          <w:sz w:val="24"/>
          <w:szCs w:val="24"/>
        </w:rPr>
        <w:t>(6)</w:t>
      </w:r>
      <w:r w:rsidRPr="00B65257">
        <w:rPr>
          <w:rFonts w:ascii="Times New Roman" w:eastAsia="Times New Roman" w:hAnsi="Times New Roman" w:cs="Times New Roman"/>
          <w:sz w:val="24"/>
          <w:szCs w:val="24"/>
        </w:rPr>
        <w:fldChar w:fldCharType="end"/>
      </w:r>
      <w:r w:rsidR="00595131" w:rsidRPr="00B65257">
        <w:rPr>
          <w:rFonts w:ascii="Times New Roman" w:eastAsia="Times New Roman" w:hAnsi="Times New Roman" w:cs="Times New Roman"/>
          <w:sz w:val="24"/>
          <w:szCs w:val="24"/>
        </w:rPr>
        <w:t xml:space="preserve">. Carbapenems, often considered the last line of defense against MDR infections, are increasingly ineffective because of the rise of carbapenemase-producing bacteria, including </w:t>
      </w:r>
      <w:r w:rsidR="00595131" w:rsidRPr="00B65257">
        <w:rPr>
          <w:rFonts w:ascii="Times New Roman" w:eastAsia="Times New Roman" w:hAnsi="Times New Roman" w:cs="Times New Roman"/>
          <w:i/>
          <w:iCs/>
          <w:sz w:val="24"/>
          <w:szCs w:val="24"/>
        </w:rPr>
        <w:t>K. pneumoniae</w:t>
      </w:r>
      <w:r w:rsidR="00595131" w:rsidRPr="00B65257">
        <w:rPr>
          <w:rFonts w:ascii="Times New Roman" w:eastAsia="Times New Roman" w:hAnsi="Times New Roman" w:cs="Times New Roman"/>
          <w:sz w:val="24"/>
          <w:szCs w:val="24"/>
        </w:rPr>
        <w:t xml:space="preserve"> </w:t>
      </w:r>
      <w:r w:rsidR="00595131" w:rsidRPr="00B65257">
        <w:rPr>
          <w:rFonts w:ascii="Times New Roman" w:eastAsia="Times New Roman" w:hAnsi="Times New Roman" w:cs="Times New Roman"/>
          <w:sz w:val="24"/>
          <w:szCs w:val="24"/>
        </w:rPr>
        <w:fldChar w:fldCharType="begin" w:fldLock="1"/>
      </w:r>
      <w:r w:rsidR="00251CA9" w:rsidRPr="00B65257">
        <w:rPr>
          <w:rFonts w:ascii="Times New Roman" w:eastAsia="Times New Roman" w:hAnsi="Times New Roman" w:cs="Times New Roman"/>
          <w:sz w:val="24"/>
          <w:szCs w:val="24"/>
        </w:rPr>
        <w:instrText>ADDIN CSL_CITATION {"citationItems":[{"id":"ITEM-1","itemData":{"DOI":"10.1186/s41182-021-00368-2","ISBN":"9813786957","ISSN":"13494147","abstract":"Aim: Although carbapenem is the last-resort drug for treating drug-resistant Gram-negative bacterial infections, prevalence of carbapenem-resistant bacteria has substantially increased worldwide owing to irrational use of antibiotics particularly in developing countries like Nepal. Therefore, this study was aimed to determine the prevalence of carbapenemase-producing K. pneumoniae and to detect the carbapenemase genes (blaNDM-2 and blaOXA-48) in at a tertiary care hospital in Nepal. Materials and methods: A hospital-based cross-sectional study was carried out from June 2018 to January 2019 at the Microbiology Laboratory of Annapurna Neurological Institute and Allied Sciences, Kathmandu, Nepal. Different clinical samples were collected and cultured in appropriate growth media. Biochemical tests were performed for the identification of K. pneumoniae. Antibiotic susceptibility testing (AST) was performed by the Kirby–Bauer disc diffusion method. The modified Hodge test (MHT) was performed to detect carbapenemase producers. The plasmid was extracted by the modified alkaline hydrolysis method. Carbapenemase-producing K. pneumoniae were further confirmed by detecting blaNDM-2 and blaOXA-48 genes by PCR using specific forward and reverse primers followed by gel electrophoresis. Results: Out of the total 720 samples, 38.9% (280/720) were culture positive. K. pneumoniae was the most predominant isolate 31.4% (88/280). Of 88 K. pneumoniae isolates, 56.8% (50/88) were multi-drug resistant (MDR), and 51.1% (45/88) were MHT positive. Colistin showed the highest sensitivity (100%; 88/88), followed by tigecycline (86.4%; 76/88). blaNDM-2 and blaOXA-48 genes were detected in 24.4% (11/45) and 15.5% (7/45) of carbapenemase-producing K. pneumoniae isolates, respectively. Conclusion: The rate of MDR and carbapenemase production was high in the K. pneumoniae isolates. Colistin and tigecycline could be the drug of choice for the empirical treatments of MDR and carbapenemase-producing K. pneumoniae. Our study provides a better understanding of antibiotic resistance threat and enables physicians to select the most appropriate antibiotics.","author":[{"dropping-particle":"","family":"Pyakurel","given":"Susil","non-dropping-particle":"","parse-names":false,"suffix":""},{"dropping-particle":"","family":"Ansari","given":"Mehraj","non-dropping-particle":"","parse-names":false,"suffix":""},{"dropping-particle":"","family":"Kattel","given":"Smriti","non-dropping-particle":"","parse-names":false,"suffix":""},{"dropping-particle":"","family":"Rai","given":"Ganesh","non-dropping-particle":"","parse-names":false,"suffix":""},{"dropping-particle":"","family":"Shrestha","given":"Prasha","non-dropping-particle":"","parse-names":false,"suffix":""},{"dropping-particle":"","family":"Rai","given":"Kul Raj","non-dropping-particle":"","parse-names":false,"suffix":""},{"dropping-particle":"","family":"Sah","given":"Anil Kumar","non-dropping-particle":"","parse-names":false,"suffix":""},{"dropping-particle":"","family":"Rai","given":"Shiba Kumar","non-dropping-particle":"","parse-names":false,"suffix":""}],"container-title":"Tropical Medicine and Health","id":"ITEM-1","issue":"1","issued":{"date-parts":[["2021"]]},"page":"290-296","title":"Prevalence of carbapenemase-producing Klebsiella pneumoniae at a tertiary care hospital in Kathmandu, Nepal","type":"article-journal","volume":"49"},"uris":["http://www.mendeley.com/documents/?uuid=e17c6e90-fc0d-4df1-91d6-45ee60521f98"]}],"mendeley":{"formattedCitation":"(7)","plainTextFormattedCitation":"(7)","previouslyFormattedCitation":"(7)"},"properties":{"noteIndex":0},"schema":"https://github.com/citation-style-language/schema/raw/master/csl-citation.json"}</w:instrText>
      </w:r>
      <w:r w:rsidR="00595131" w:rsidRPr="00B65257">
        <w:rPr>
          <w:rFonts w:ascii="Times New Roman" w:eastAsia="Times New Roman" w:hAnsi="Times New Roman" w:cs="Times New Roman"/>
          <w:sz w:val="24"/>
          <w:szCs w:val="24"/>
        </w:rPr>
        <w:fldChar w:fldCharType="separate"/>
      </w:r>
      <w:r w:rsidR="000343D4" w:rsidRPr="00B65257">
        <w:rPr>
          <w:rFonts w:ascii="Times New Roman" w:eastAsia="Times New Roman" w:hAnsi="Times New Roman" w:cs="Times New Roman"/>
          <w:noProof/>
          <w:sz w:val="24"/>
          <w:szCs w:val="24"/>
        </w:rPr>
        <w:t>(7)</w:t>
      </w:r>
      <w:r w:rsidR="00595131" w:rsidRPr="00B65257">
        <w:rPr>
          <w:rFonts w:ascii="Times New Roman" w:eastAsia="Times New Roman" w:hAnsi="Times New Roman" w:cs="Times New Roman"/>
          <w:sz w:val="24"/>
          <w:szCs w:val="24"/>
        </w:rPr>
        <w:fldChar w:fldCharType="end"/>
      </w:r>
      <w:r w:rsidR="00595131" w:rsidRPr="00B65257">
        <w:rPr>
          <w:rFonts w:ascii="Times New Roman" w:eastAsia="Times New Roman" w:hAnsi="Times New Roman" w:cs="Times New Roman"/>
          <w:sz w:val="24"/>
          <w:szCs w:val="24"/>
        </w:rPr>
        <w:t>. The rapid spread of carbapenemase genes</w:t>
      </w:r>
      <w:r w:rsidR="00493120" w:rsidRPr="00B65257">
        <w:rPr>
          <w:rFonts w:ascii="Times New Roman" w:eastAsia="Times New Roman" w:hAnsi="Times New Roman" w:cs="Times New Roman"/>
          <w:sz w:val="24"/>
          <w:szCs w:val="24"/>
        </w:rPr>
        <w:t xml:space="preserve"> in these bacteria</w:t>
      </w:r>
      <w:r w:rsidR="00595131" w:rsidRPr="00B65257">
        <w:rPr>
          <w:rFonts w:ascii="Times New Roman" w:eastAsia="Times New Roman" w:hAnsi="Times New Roman" w:cs="Times New Roman"/>
          <w:sz w:val="24"/>
          <w:szCs w:val="24"/>
        </w:rPr>
        <w:t xml:space="preserve"> such as </w:t>
      </w:r>
      <w:r w:rsidR="00595131" w:rsidRPr="00B65257">
        <w:rPr>
          <w:rFonts w:ascii="Times New Roman" w:eastAsia="Times New Roman" w:hAnsi="Times New Roman" w:cs="Times New Roman"/>
          <w:i/>
          <w:iCs/>
          <w:sz w:val="24"/>
          <w:szCs w:val="24"/>
        </w:rPr>
        <w:t>bla</w:t>
      </w:r>
      <w:r w:rsidR="00595131" w:rsidRPr="00B65257">
        <w:rPr>
          <w:rFonts w:ascii="Times New Roman" w:eastAsia="Times New Roman" w:hAnsi="Times New Roman" w:cs="Times New Roman"/>
          <w:i/>
          <w:iCs/>
          <w:sz w:val="24"/>
          <w:szCs w:val="24"/>
          <w:vertAlign w:val="subscript"/>
        </w:rPr>
        <w:t>KPC</w:t>
      </w:r>
      <w:r w:rsidR="00595131" w:rsidRPr="00B65257">
        <w:rPr>
          <w:rFonts w:ascii="Times New Roman" w:eastAsia="Times New Roman" w:hAnsi="Times New Roman" w:cs="Times New Roman"/>
          <w:sz w:val="24"/>
          <w:szCs w:val="24"/>
        </w:rPr>
        <w:t xml:space="preserve"> and </w:t>
      </w:r>
      <w:r w:rsidR="00595131" w:rsidRPr="00B65257">
        <w:rPr>
          <w:rFonts w:ascii="Times New Roman" w:eastAsia="Times New Roman" w:hAnsi="Times New Roman" w:cs="Times New Roman"/>
          <w:i/>
          <w:iCs/>
          <w:sz w:val="24"/>
          <w:szCs w:val="24"/>
        </w:rPr>
        <w:t>bla</w:t>
      </w:r>
      <w:r w:rsidR="00595131" w:rsidRPr="00B65257">
        <w:rPr>
          <w:rFonts w:ascii="Times New Roman" w:eastAsia="Times New Roman" w:hAnsi="Times New Roman" w:cs="Times New Roman"/>
          <w:i/>
          <w:iCs/>
          <w:sz w:val="24"/>
          <w:szCs w:val="24"/>
          <w:vertAlign w:val="subscript"/>
        </w:rPr>
        <w:t>OXA-48</w:t>
      </w:r>
      <w:r w:rsidR="00595131" w:rsidRPr="00B65257">
        <w:rPr>
          <w:rFonts w:ascii="Times New Roman" w:eastAsia="Times New Roman" w:hAnsi="Times New Roman" w:cs="Times New Roman"/>
          <w:sz w:val="24"/>
          <w:szCs w:val="24"/>
        </w:rPr>
        <w:t xml:space="preserve">, along with efflux pump activity, has exacerbated resistance levels in both hospital and community settings </w:t>
      </w:r>
      <w:r w:rsidR="00595131" w:rsidRPr="00B65257">
        <w:rPr>
          <w:rFonts w:ascii="Times New Roman" w:eastAsia="Times New Roman" w:hAnsi="Times New Roman" w:cs="Times New Roman"/>
          <w:sz w:val="24"/>
          <w:szCs w:val="24"/>
        </w:rPr>
        <w:fldChar w:fldCharType="begin" w:fldLock="1"/>
      </w:r>
      <w:r w:rsidR="00251CA9" w:rsidRPr="00B65257">
        <w:rPr>
          <w:rFonts w:ascii="Times New Roman" w:eastAsia="Times New Roman" w:hAnsi="Times New Roman" w:cs="Times New Roman"/>
          <w:sz w:val="24"/>
          <w:szCs w:val="24"/>
        </w:rPr>
        <w:instrText>ADDIN CSL_CITATION {"citationItems":[{"id":"ITEM-1","itemData":{"DOI":"10.3390/pathogens11050545","ISSN":"20760817","abstract":"Klebsiella pneumoniae is a globally significant opportunistic pathogen causing healthcare-associated and community‐acquired infections. This study examined the epidemiology and the distribution of resistance and virulence genes in clinical K. pneumoniae strains in Kenya. A total of 89 K. pneumoniae isolates were collected over six years from five counties in Kenya and were analyzed using whole‐genome sequencing and bioinformatics. These isolates were obtained from community‐acquired (62/89) and healthcare‐associated infections (21/89), and from the hospital environment (6/89). Genetic analysis revealed the presence of blaNDM‐1 and blaOXA‐181 carbapenemase genes and the armA and rmtF genes known to confer pan‐aminoglycoside resistance. The most abundant extended‐spectrum beta‐lactamase genes identified were blaCTX‐M‐15 (36/89), blaTEM (35/89), and blaOXA (18/89). In addition, one isolate had a mobile colistin resistance gene (mcr‐8). Fluoroquinolone resistance‐conferring mutations in gyrA and parC genes were also observed. The most notable virulence factors were those associated with hyper‐virulence (rmpA/A2 and magA), yersiniabactin (ybt), salmochelin (iro), and aerobactin (iuc and iutA). A total of 38 distinct sequence types were identified, including known global lineages ST14, ST15, ST147, and ST307, and a regional clone ST17 implicated in regional outbreaks. In addition, this study genetically characterized two potential hypervirulent isolates and two community‐acquired ST147 high‐risk clones that contained carbapenemase genes, yersiniabactin, and other multidrug resistance genes. These results demonstrate that the resistome and virulome of Kenyan clinical and hospital environmental K. pneumoniae isolates are diverse. The reservoir of high‐risk clones capable of spreading resistance, and virulence factors have the potential to cause unmanageable infection outbreaks with high morbidity and mortality.","author":[{"dropping-particle":"","family":"Muraya","given":"Angela","non-dropping-particle":"","parse-names":false,"suffix":""},{"dropping-particle":"","family":"Kyany’a","given":"Cecilia","non-dropping-particle":"","parse-names":false,"suffix":""},{"dropping-particle":"","family":"Kiyaga","given":"Shahiid","non-dropping-particle":"","parse-names":false,"suffix":""},{"dropping-particle":"","family":"Smith","given":"Hunter J.","non-dropping-particle":"","parse-names":false,"suffix":""},{"dropping-particle":"","family":"Kibet","given":"Caleb","non-dropping-particle":"","parse-names":false,"suffix":""},{"dropping-particle":"","family":"Martin","given":"Melissa J.","non-dropping-particle":"","parse-names":false,"suffix":""},{"dropping-particle":"","family":"Kimani","given":"Josephine","non-dropping-particle":"","parse-names":false,"suffix":""},{"dropping-particle":"","family":"Musila","given":"Lillian","non-dropping-particle":"","parse-names":false,"suffix":""}],"container-title":"Pathogens","id":"ITEM-1","issue":"5","issued":{"date-parts":[["2022","5","1"]]},"publisher":"MDPI","title":"Antimicrobial Resistance and Virulence Characteristics of Klebsiella pneumoniae Isolates in Kenya by Whole‐Genome Sequencing","type":"article-journal","volume":"11"},"uris":["http://www.mendeley.com/documents/?uuid=a7f9efd5-c06f-3a1e-943e-246b9166055e"]}],"mendeley":{"formattedCitation":"(10)","plainTextFormattedCitation":"(10)","previouslyFormattedCitation":"(10)"},"properties":{"noteIndex":0},"schema":"https://github.com/citation-style-language/schema/raw/master/csl-citation.json"}</w:instrText>
      </w:r>
      <w:r w:rsidR="00595131" w:rsidRPr="00B65257">
        <w:rPr>
          <w:rFonts w:ascii="Times New Roman" w:eastAsia="Times New Roman" w:hAnsi="Times New Roman" w:cs="Times New Roman"/>
          <w:sz w:val="24"/>
          <w:szCs w:val="24"/>
        </w:rPr>
        <w:fldChar w:fldCharType="separate"/>
      </w:r>
      <w:r w:rsidR="000343D4" w:rsidRPr="00B65257">
        <w:rPr>
          <w:rFonts w:ascii="Times New Roman" w:eastAsia="Times New Roman" w:hAnsi="Times New Roman" w:cs="Times New Roman"/>
          <w:noProof/>
          <w:sz w:val="24"/>
          <w:szCs w:val="24"/>
        </w:rPr>
        <w:t>(10)</w:t>
      </w:r>
      <w:r w:rsidR="00595131" w:rsidRPr="00B65257">
        <w:rPr>
          <w:rFonts w:ascii="Times New Roman" w:eastAsia="Times New Roman" w:hAnsi="Times New Roman" w:cs="Times New Roman"/>
          <w:sz w:val="24"/>
          <w:szCs w:val="24"/>
        </w:rPr>
        <w:fldChar w:fldCharType="end"/>
      </w:r>
      <w:r w:rsidR="00595131" w:rsidRPr="00B65257">
        <w:rPr>
          <w:rFonts w:ascii="Times New Roman" w:eastAsia="Times New Roman" w:hAnsi="Times New Roman" w:cs="Times New Roman"/>
          <w:sz w:val="24"/>
          <w:szCs w:val="24"/>
        </w:rPr>
        <w:t>.</w:t>
      </w:r>
    </w:p>
    <w:p w:rsidR="002E47E7" w:rsidRPr="00B65257" w:rsidRDefault="00595131" w:rsidP="002E47E7">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In Nepal, multiple studies have reported the increasing prevalence of multidrug-resistant (MDR) </w:t>
      </w:r>
      <w:r w:rsidRPr="00B65257">
        <w:rPr>
          <w:rFonts w:ascii="Times New Roman" w:eastAsia="Times New Roman" w:hAnsi="Times New Roman" w:cs="Times New Roman"/>
          <w:i/>
          <w:iCs/>
          <w:sz w:val="24"/>
          <w:szCs w:val="24"/>
        </w:rPr>
        <w:t>K. pneumoniae</w:t>
      </w:r>
      <w:r w:rsidR="00995898" w:rsidRPr="00B65257">
        <w:rPr>
          <w:rFonts w:ascii="Times New Roman" w:eastAsia="Times New Roman" w:hAnsi="Times New Roman" w:cs="Times New Roman"/>
          <w:sz w:val="24"/>
          <w:szCs w:val="24"/>
        </w:rPr>
        <w:t xml:space="preserve"> and the presence of carbapenemase-producing isolates in recent years </w:t>
      </w:r>
      <w:r w:rsidRPr="00B65257">
        <w:rPr>
          <w:rFonts w:ascii="Times New Roman" w:eastAsia="Times New Roman" w:hAnsi="Times New Roman" w:cs="Times New Roman"/>
          <w:sz w:val="24"/>
          <w:szCs w:val="24"/>
        </w:rPr>
        <w:fldChar w:fldCharType="begin" w:fldLock="1"/>
      </w:r>
      <w:r w:rsidR="00251CA9" w:rsidRPr="00B65257">
        <w:rPr>
          <w:rFonts w:ascii="Times New Roman" w:eastAsia="Times New Roman" w:hAnsi="Times New Roman" w:cs="Times New Roman"/>
          <w:sz w:val="24"/>
          <w:szCs w:val="24"/>
        </w:rPr>
        <w:instrText>ADDIN CSL_CITATION {"citationItems":[{"id":"ITEM-1","itemData":{"DOI":"10.1186/s13099-021-00441-5","abstract":"The prevalence of antimicrobial resistance (AMR) among Gram-negative bacteria is alarmingly high. Reintroduction of colistin as last resort treatment in the infections caused by drug-resistant Gram-negative bacteria has led to the emergence and spread of colistin resistance. This study was designed to determine the prevalence of drug-resistance among beta-lactamase-producing strains of Escherichia coli and Klebsiella pneumoniae, isolated from the clinical specimens received at a tertiary care centre of Kathmandu, Nepal during the period of March to August, 2019. A total of 3216 different clinical samples were processed in the Microbiology laboratory of Kathmandu Model Hospital. Gram-negative isolates (E. coli and K. pneumoniae) were processed for antimicrobial susceptibility test (AST) by using modified Kirby-Bauer disc diffusion method. Drug-resistant isolates were further screened for extended-spectrum beta-lactamase (ESBL), metallo-beta-lactamase (MBL), carbapenemase and K. pneumoniae carbapenemase (KPC) production tests. All the suspected enzyme producers were processed for phenotypic confirmatory tests. Colistin resistance was determined by minimum inhibitory concentration (MIC) using agar dilution method. Colistin resistant strains were further screened for plasmid-mediated mcr-1 gene using conventional polymerase chain reaction (PCR). Among the total samples processed, 16.4% (529/3216) samples had bacterial growth. A total of 583 bacterial isolates were recovered from 529 clinical samples. Among the total isolates, 78.0% (455/583) isolates were Gram-negative bacteria. The most predominant isolate among Gram-negatives was E. coli (66.4%; 302/455) and K. pneumoniae isolates were 9% (41/455). In AST, colistin, polymyxin B and tigecycline were the most effective antibiotics. The overall prevalence of multidrug-resistance (MDR) among both of the isolates was 58.0% (199/343). In the ESBL testing, 41.1% (n = 141) isolates were confirmed as ESBL-producers. The prevalence of ESBL-producing E. coli was 43% (130/302) whereas that of K. pneumoniae was 26.8% (11/41). Similarly, 12.5% (43/343) of the total isolates, 10.9% (33/302) of E. coli and 24.3% of (10/41) K. pneumoniae were resistant to carbapenem. Among 43 carbapenem resistant isolates, 30.2% (13/43) and 60.5% (26/43) were KPC and MBL-producers respectively. KPC-producers isolates of E. coli and K. pneumoniae were 33.3% (11/33) and 20% (2/10) respectively. Similarly, 63.6% (21/33) of the E. coli and 50…","author":[{"dropping-particle":"","family":"Karki","given":"Deepa","non-dropping-particle":"","parse-names":false,"suffix":""},{"dropping-particle":"","family":"Dhungel","given":"Binod","non-dropping-particle":"","parse-names":false,"suffix":""},{"dropping-particle":"","family":"Bhandari","given":"Srijana","non-dropping-particle":"","parse-names":false,"suffix":""},{"dropping-particle":"","family":"Kunwar","given":"Anil","non-dropping-particle":"","parse-names":false,"suffix":""},{"dropping-particle":"","family":"Joshi","given":"Prabhu Raj","non-dropping-particle":"","parse-names":false,"suffix":""},{"dropping-particle":"","family":"Shrestha","given":"Basudha","non-dropping-particle":"","parse-names":false,"suffix":""},{"dropping-particle":"","family":"Rijal","given":"Komal Raj","non-dropping-particle":"","parse-names":false,"suffix":""},{"dropping-particle":"","family":"Ghimire","given":"Prakash","non-dropping-particle":"","parse-names":false,"suffix":""},{"dropping-particle":"","family":"Banjara","given":"Megha Raj","non-dropping-particle":"","parse-names":false,"suffix":""}],"container-title":"Gut Pathogens","id":"ITEM-1","issue":"1","issued":{"date-parts":[["2021","12"]]},"publisher":"Springer Science and Business Media LLC","title":"Antibiotic resistance and detection of plasmid mediated colistin resistance mcr-1 gene among Escherichia coli and Klebsiella pneumoniae isolated from clinical samples","type":"article-journal","volume":"13"},"uris":["http://www.mendeley.com/documents/?uuid=f65515aa-0088-3847-9bd5-b623d8bba212"]}],"mendeley":{"formattedCitation":"(11)","plainTextFormattedCitation":"(11)","previouslyFormattedCitation":"(11)"},"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0343D4" w:rsidRPr="00B65257">
        <w:rPr>
          <w:rFonts w:ascii="Times New Roman" w:eastAsia="Times New Roman" w:hAnsi="Times New Roman" w:cs="Times New Roman"/>
          <w:noProof/>
          <w:sz w:val="24"/>
          <w:szCs w:val="24"/>
        </w:rPr>
        <w:t>(11)</w:t>
      </w:r>
      <w:r w:rsidRPr="00B65257">
        <w:rPr>
          <w:rFonts w:ascii="Times New Roman" w:eastAsia="Times New Roman" w:hAnsi="Times New Roman" w:cs="Times New Roman"/>
          <w:sz w:val="24"/>
          <w:szCs w:val="24"/>
        </w:rPr>
        <w:fldChar w:fldCharType="end"/>
      </w:r>
      <w:r w:rsidR="00995898" w:rsidRPr="00B65257">
        <w:rPr>
          <w:rFonts w:ascii="Times New Roman" w:eastAsia="Times New Roman" w:hAnsi="Times New Roman" w:cs="Times New Roman"/>
          <w:sz w:val="24"/>
          <w:szCs w:val="24"/>
        </w:rPr>
        <w:t xml:space="preserve">. </w:t>
      </w:r>
      <w:r w:rsidR="002E47E7" w:rsidRPr="00B65257">
        <w:rPr>
          <w:rFonts w:ascii="Times New Roman" w:eastAsia="Calibri" w:hAnsi="Times New Roman" w:cs="Times New Roman"/>
          <w:sz w:val="24"/>
          <w:szCs w:val="24"/>
        </w:rPr>
        <w:t>The presence</w:t>
      </w:r>
      <w:r w:rsidR="002E47E7" w:rsidRPr="00B65257">
        <w:rPr>
          <w:rFonts w:ascii="Times New Roman" w:hAnsi="Times New Roman" w:cs="Times New Roman"/>
          <w:sz w:val="24"/>
          <w:szCs w:val="24"/>
        </w:rPr>
        <w:t xml:space="preserve"> of carbapenemase in such isolates can be detected </w:t>
      </w:r>
      <w:r w:rsidR="002E47E7" w:rsidRPr="00B65257">
        <w:rPr>
          <w:rFonts w:ascii="Times New Roman" w:eastAsia="Calibri" w:hAnsi="Times New Roman" w:cs="Times New Roman"/>
          <w:sz w:val="24"/>
          <w:szCs w:val="24"/>
        </w:rPr>
        <w:t>via</w:t>
      </w:r>
      <w:r w:rsidR="002E47E7" w:rsidRPr="00B65257">
        <w:rPr>
          <w:rFonts w:ascii="Times New Roman" w:hAnsi="Times New Roman" w:cs="Times New Roman"/>
          <w:sz w:val="24"/>
          <w:szCs w:val="24"/>
        </w:rPr>
        <w:t xml:space="preserve"> phenotypic and advanced molecular techniques. Isolates can be phenotypically confirmed </w:t>
      </w:r>
      <w:r w:rsidR="002E47E7" w:rsidRPr="00B65257">
        <w:rPr>
          <w:rFonts w:ascii="Times New Roman" w:eastAsia="Calibri" w:hAnsi="Times New Roman" w:cs="Times New Roman"/>
          <w:sz w:val="24"/>
          <w:szCs w:val="24"/>
        </w:rPr>
        <w:t>via the modified carbapenem inactivation method</w:t>
      </w:r>
      <w:r w:rsidR="002E47E7" w:rsidRPr="00B65257">
        <w:rPr>
          <w:rFonts w:ascii="Times New Roman" w:hAnsi="Times New Roman" w:cs="Times New Roman"/>
          <w:sz w:val="24"/>
          <w:szCs w:val="24"/>
        </w:rPr>
        <w:t xml:space="preserve"> (mCIM) following </w:t>
      </w:r>
      <w:r w:rsidR="002E47E7" w:rsidRPr="00B65257">
        <w:rPr>
          <w:rFonts w:ascii="Times New Roman" w:eastAsia="Calibri" w:hAnsi="Times New Roman" w:cs="Times New Roman"/>
          <w:sz w:val="24"/>
          <w:szCs w:val="24"/>
        </w:rPr>
        <w:t xml:space="preserve">the </w:t>
      </w:r>
      <w:r w:rsidR="002E47E7" w:rsidRPr="00B65257">
        <w:rPr>
          <w:rFonts w:ascii="Times New Roman" w:hAnsi="Times New Roman" w:cs="Times New Roman"/>
          <w:sz w:val="24"/>
          <w:szCs w:val="24"/>
        </w:rPr>
        <w:t xml:space="preserve">CLSI manual </w:t>
      </w:r>
      <w:r w:rsidR="002E47E7" w:rsidRPr="00B65257">
        <w:rPr>
          <w:rFonts w:ascii="Times New Roman" w:eastAsia="Calibri" w:hAnsi="Times New Roman" w:cs="Times New Roman"/>
          <w:sz w:val="24"/>
          <w:szCs w:val="24"/>
        </w:rPr>
        <w:t xml:space="preserve">of </w:t>
      </w:r>
      <w:r w:rsidR="002E47E7" w:rsidRPr="00B65257">
        <w:rPr>
          <w:rFonts w:ascii="Times New Roman" w:hAnsi="Times New Roman" w:cs="Times New Roman"/>
          <w:sz w:val="24"/>
          <w:szCs w:val="24"/>
        </w:rPr>
        <w:t xml:space="preserve">2018. Real-time polymerase chain reaction (PCR) can be a sensitive method for </w:t>
      </w:r>
      <w:r w:rsidR="002E47E7" w:rsidRPr="00B65257">
        <w:rPr>
          <w:rFonts w:ascii="Times New Roman" w:eastAsia="Calibri" w:hAnsi="Times New Roman" w:cs="Times New Roman"/>
          <w:sz w:val="24"/>
          <w:szCs w:val="24"/>
        </w:rPr>
        <w:t xml:space="preserve">the </w:t>
      </w:r>
      <w:r w:rsidR="002E47E7" w:rsidRPr="00B65257">
        <w:rPr>
          <w:rFonts w:ascii="Times New Roman" w:hAnsi="Times New Roman" w:cs="Times New Roman"/>
          <w:sz w:val="24"/>
          <w:szCs w:val="24"/>
        </w:rPr>
        <w:t xml:space="preserve">detection/confirmation of carbapenemase </w:t>
      </w:r>
      <w:r w:rsidR="002E47E7" w:rsidRPr="00B65257">
        <w:rPr>
          <w:rFonts w:ascii="Times New Roman" w:eastAsia="Calibri" w:hAnsi="Times New Roman" w:cs="Times New Roman"/>
          <w:sz w:val="24"/>
          <w:szCs w:val="24"/>
        </w:rPr>
        <w:t>genes;</w:t>
      </w:r>
      <w:r w:rsidR="002E47E7" w:rsidRPr="00B65257">
        <w:rPr>
          <w:rFonts w:ascii="Times New Roman" w:hAnsi="Times New Roman" w:cs="Times New Roman"/>
          <w:sz w:val="24"/>
          <w:szCs w:val="24"/>
        </w:rPr>
        <w:t xml:space="preserve"> however</w:t>
      </w:r>
      <w:r w:rsidR="002E47E7" w:rsidRPr="00B65257">
        <w:rPr>
          <w:rFonts w:ascii="Times New Roman" w:eastAsia="Calibri" w:hAnsi="Times New Roman" w:cs="Times New Roman"/>
          <w:sz w:val="24"/>
          <w:szCs w:val="24"/>
        </w:rPr>
        <w:t>, because it is</w:t>
      </w:r>
      <w:r w:rsidR="002E47E7" w:rsidRPr="00B65257">
        <w:rPr>
          <w:rFonts w:ascii="Times New Roman" w:hAnsi="Times New Roman" w:cs="Times New Roman"/>
          <w:sz w:val="24"/>
          <w:szCs w:val="24"/>
        </w:rPr>
        <w:t xml:space="preserve"> expensive and </w:t>
      </w:r>
      <w:r w:rsidR="002E47E7" w:rsidRPr="00B65257">
        <w:rPr>
          <w:rFonts w:ascii="Times New Roman" w:eastAsia="Calibri" w:hAnsi="Times New Roman" w:cs="Times New Roman"/>
          <w:sz w:val="24"/>
          <w:szCs w:val="24"/>
        </w:rPr>
        <w:t xml:space="preserve">has </w:t>
      </w:r>
      <w:r w:rsidR="002E47E7" w:rsidRPr="00B65257">
        <w:rPr>
          <w:rFonts w:ascii="Times New Roman" w:hAnsi="Times New Roman" w:cs="Times New Roman"/>
          <w:sz w:val="24"/>
          <w:szCs w:val="24"/>
        </w:rPr>
        <w:t xml:space="preserve">limited availability </w:t>
      </w:r>
      <w:r w:rsidR="002E47E7" w:rsidRPr="00B65257">
        <w:rPr>
          <w:rFonts w:ascii="Times New Roman" w:eastAsia="Calibri" w:hAnsi="Times New Roman" w:cs="Times New Roman"/>
          <w:sz w:val="24"/>
          <w:szCs w:val="24"/>
        </w:rPr>
        <w:t xml:space="preserve">in </w:t>
      </w:r>
      <w:r w:rsidR="002E47E7" w:rsidRPr="00B65257">
        <w:rPr>
          <w:rFonts w:ascii="Times New Roman" w:hAnsi="Times New Roman" w:cs="Times New Roman"/>
          <w:sz w:val="24"/>
          <w:szCs w:val="24"/>
        </w:rPr>
        <w:t xml:space="preserve">many laboratories, especially in </w:t>
      </w:r>
      <w:r w:rsidR="002E47E7" w:rsidRPr="00B65257">
        <w:rPr>
          <w:rFonts w:ascii="Times New Roman" w:hAnsi="Times New Roman" w:cs="Times New Roman"/>
          <w:sz w:val="24"/>
          <w:szCs w:val="24"/>
        </w:rPr>
        <w:lastRenderedPageBreak/>
        <w:t xml:space="preserve">resource-poor settings, its use is limited </w:t>
      </w:r>
      <w:r w:rsidR="002E47E7" w:rsidRPr="00B65257">
        <w:rPr>
          <w:rFonts w:ascii="Times New Roman" w:hAnsi="Times New Roman" w:cs="Times New Roman"/>
          <w:sz w:val="24"/>
          <w:szCs w:val="24"/>
        </w:rPr>
        <w:fldChar w:fldCharType="begin" w:fldLock="1"/>
      </w:r>
      <w:r w:rsidR="002E47E7" w:rsidRPr="00B65257">
        <w:rPr>
          <w:rFonts w:ascii="Times New Roman" w:hAnsi="Times New Roman" w:cs="Times New Roman"/>
          <w:sz w:val="24"/>
          <w:szCs w:val="24"/>
        </w:rPr>
        <w:instrText>ADDIN CSL_CITATION {"citationItems":[{"id":"ITEM-1","itemData":{"DOI":"10.1159/000518256","ISSN":"14219794","PMID":"34515078","abstract":"Background: Klebsiella pneumoniae is one of the leading causes of nosocomial infections. Carbapenems are used as the last resort for the treatment of multidrug resistant Gram-negative bacterial infections. In recent years, resistance to these lifesaving drugs has been increasingly reported due to the production of carbapenemase. The main objective of this study was to detect the carbapenem-resistant genes blaNDM-1 and blaVIM in K. pneumoniae isolated from different clinical specimens. Methods: A total of 585 clinical specimens (urine, pus, sputum, blood, catheter tips, and others) from human subjects attended at Annapurna Neurological Institute and Allied Sciences, Kathmandu were obtained in the period between July 2018 and January 2019. The specimens were isolated and identified for K. pneumoniae. All K. pneumoniae isolates were processed for antimicrobial susceptibility testing (AST) using the disk diffusion method. The isolates were further phenotypically confirmed for carbapenemase production by the modified Hodge test (MHT) using imipenem (10 μg) and meropenem (10 μg) discs. Thus, confirmed carbapenemase-producing isolates were further screened for the production of blaNDM-1 and blaVIM using conventional polymerase chain reaction (PCR). Results: Among the clinical isolates tested, culture positivity was 38.29% (224/585), and the prevalence of K. pneumoniae was 25.89% (58/224). On AST, K. pneumoniae exhibited resistance toward carbapenems including ertapenem, meropenem, and imipenem, while it showed the highest susceptibility rate against to tigecycline (93.1%; 54/58). Overall, AST detected 60.34% (35/58) carbapenem-resistant isolates, while the MHT phenotypically confirmed 51.72% (30/58) isolates as carbapenemase-producers and 48.28% (28/58) as carbapenemase nonproducers. On subsequent screening for resistant genes among carbapenemase-producers by PCR assay, 80% (24/30) and 3.33% (1/30) isolates were found to be positive for blaNDM-1 and blaVIM, respectively. In the same assay among 28 carbapenem nonproducing isolates, 9 (32.14%) isolates were positive for blaNDM-1 gene while none of them were tested positive for blaVIM gene. Conclusions: Molecular detection of resistant genes provides greater specificity and sensitivity than those with conventional techniques, thus aiding in accurate identification of antimicrobial resistance and clinical management of the disease.","author":[{"dropping-particle":"","family":"Thapa","given":"Sabita","non-dropping-particle":"","parse-names":false,"suffix":""},{"dropping-particle":"","family":"Adhikari","given":"Nabaraj","non-dropping-particle":"","parse-names":false,"suffix":""},{"dropping-particle":"","family":"Shah","given":"Anil Kumar","non-dropping-particle":"","parse-names":false,"suffix":""},{"dropping-particle":"","family":"Lamichhane","given":"Ishworiya","non-dropping-particle":"","parse-names":false,"suffix":""},{"dropping-particle":"","family":"Dhungel","given":"Binod","non-dropping-particle":"","parse-names":false,"suffix":""},{"dropping-particle":"","family":"Shrestha","given":"Upendra Thapa","non-dropping-particle":"","parse-names":false,"suffix":""},{"dropping-particle":"","family":"Adhikari","given":"Bipin","non-dropping-particle":"","parse-names":false,"suffix":""},{"dropping-particle":"","family":"Banjara","given":"Megha Raj","non-dropping-particle":"","parse-names":false,"suffix":""},{"dropping-particle":"","family":"Ghimire","given":"Prakash","non-dropping-particle":"","parse-names":false,"suffix":""},{"dropping-particle":"","family":"Rijal","given":"Komal Raj","non-dropping-particle":"","parse-names":false,"suffix":""}],"container-title":"Chemotherapy","id":"ITEM-1","issued":{"date-parts":[["2021","12","1"]]},"page":"199-209","publisher":"S. Karger AG","title":"Detection of NDM-1 and VIM Genes in Carbapenem-Resistant Klebsiella pneumoniae Isolates from a Tertiary Health-Care Center in Kathmandu, Nepal","type":"article-journal","volume":"66"},"uris":["http://www.mendeley.com/documents/?uuid=5d0698f0-8ab3-3597-90e1-3a47dc48645d"]}],"mendeley":{"formattedCitation":"(14)","plainTextFormattedCitation":"(14)","previouslyFormattedCitation":"(14)"},"properties":{"noteIndex":0},"schema":"https://github.com/citation-style-language/schema/raw/master/csl-citation.json"}</w:instrText>
      </w:r>
      <w:r w:rsidR="002E47E7" w:rsidRPr="00B65257">
        <w:rPr>
          <w:rFonts w:ascii="Times New Roman" w:hAnsi="Times New Roman" w:cs="Times New Roman"/>
          <w:sz w:val="24"/>
          <w:szCs w:val="24"/>
        </w:rPr>
        <w:fldChar w:fldCharType="separate"/>
      </w:r>
      <w:r w:rsidR="002E47E7" w:rsidRPr="00B65257">
        <w:rPr>
          <w:rFonts w:ascii="Times New Roman" w:hAnsi="Times New Roman" w:cs="Times New Roman"/>
          <w:noProof/>
          <w:sz w:val="24"/>
          <w:szCs w:val="24"/>
        </w:rPr>
        <w:t>(14)</w:t>
      </w:r>
      <w:r w:rsidR="002E47E7" w:rsidRPr="00B65257">
        <w:rPr>
          <w:rFonts w:ascii="Times New Roman" w:hAnsi="Times New Roman" w:cs="Times New Roman"/>
          <w:sz w:val="24"/>
          <w:szCs w:val="24"/>
        </w:rPr>
        <w:fldChar w:fldCharType="end"/>
      </w:r>
      <w:r w:rsidR="002E47E7" w:rsidRPr="00B65257">
        <w:rPr>
          <w:rFonts w:ascii="Times New Roman" w:hAnsi="Times New Roman" w:cs="Times New Roman"/>
          <w:sz w:val="24"/>
          <w:szCs w:val="24"/>
        </w:rPr>
        <w:t xml:space="preserve">. </w:t>
      </w:r>
      <w:r w:rsidR="002E47E7" w:rsidRPr="00B65257">
        <w:rPr>
          <w:rFonts w:ascii="Times New Roman" w:eastAsia="Calibri" w:hAnsi="Times New Roman" w:cs="Times New Roman"/>
          <w:sz w:val="24"/>
          <w:szCs w:val="24"/>
        </w:rPr>
        <w:t>However,</w:t>
      </w:r>
      <w:r w:rsidR="002E47E7" w:rsidRPr="00B65257">
        <w:rPr>
          <w:rFonts w:ascii="Times New Roman" w:hAnsi="Times New Roman" w:cs="Times New Roman"/>
          <w:sz w:val="24"/>
          <w:szCs w:val="24"/>
        </w:rPr>
        <w:t xml:space="preserve"> relatively less expensive conventional PCR can be an alternative for the detection of target genes from isolates.</w:t>
      </w:r>
    </w:p>
    <w:p w:rsidR="004C23EC" w:rsidRPr="00B65257" w:rsidRDefault="00595131" w:rsidP="002E47E7">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Given the rising threat of CRKP and the limited effectiveness of traditional antibiotic therapies, understanding the molecular mechanisms underlying resistance is crucial. Therefore, this study investigated the role of the AcrAB efflux pump and carbapenemase production in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isolates obtained from clinical samples at the Sahid Gangal National Heart Centre, Kathmandu. By assessing the prevalence of resistance genes and their phenotypic expression, this research aimed to provide insights into the mechanisms driving carbapenem resistance in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and to contribute to the development of effective treatment strategies against MDR pathogens.</w:t>
      </w:r>
    </w:p>
    <w:p w:rsidR="00A8431B" w:rsidRDefault="00595131" w:rsidP="00A8431B">
      <w:pPr>
        <w:spacing w:before="100" w:beforeAutospacing="1" w:after="100" w:afterAutospacing="1" w:line="360" w:lineRule="auto"/>
        <w:rPr>
          <w:rFonts w:ascii="Times New Roman" w:eastAsia="Times New Roman" w:hAnsi="Times New Roman" w:cs="Times New Roman"/>
          <w:b/>
          <w:bCs/>
          <w:sz w:val="32"/>
          <w:szCs w:val="32"/>
        </w:rPr>
      </w:pPr>
      <w:r w:rsidRPr="00B65257">
        <w:rPr>
          <w:rFonts w:ascii="Times New Roman" w:eastAsia="Times New Roman" w:hAnsi="Times New Roman" w:cs="Times New Roman"/>
          <w:b/>
          <w:bCs/>
          <w:sz w:val="32"/>
          <w:szCs w:val="32"/>
        </w:rPr>
        <w:t>Materials and methods</w:t>
      </w:r>
    </w:p>
    <w:p w:rsidR="004800FC" w:rsidRDefault="004800FC" w:rsidP="00A8431B">
      <w:pPr>
        <w:spacing w:before="100" w:beforeAutospacing="1" w:after="100" w:afterAutospacing="1" w:line="36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Study design and setting: </w:t>
      </w:r>
    </w:p>
    <w:p w:rsidR="00DA6BB3" w:rsidRDefault="004800FC" w:rsidP="00DA6BB3">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This hospital-based prospective study was conducted from April 14, 2023, to October 13, 2023, at Sahid Gangalal National Health Center (SGNHC), Kathmandu, with molecular work performed at the central Department of Microbiology</w:t>
      </w:r>
      <w:r>
        <w:rPr>
          <w:rFonts w:ascii="Times New Roman" w:eastAsia="Times New Roman" w:hAnsi="Times New Roman" w:cs="Times New Roman"/>
          <w:sz w:val="24"/>
          <w:szCs w:val="24"/>
        </w:rPr>
        <w:t>, TU</w:t>
      </w:r>
      <w:r w:rsidRPr="00B65257">
        <w:rPr>
          <w:rFonts w:ascii="Times New Roman" w:eastAsia="Times New Roman" w:hAnsi="Times New Roman" w:cs="Times New Roman"/>
          <w:sz w:val="24"/>
          <w:szCs w:val="24"/>
        </w:rPr>
        <w:t>.</w:t>
      </w:r>
      <w:r w:rsidRPr="004800FC">
        <w:rPr>
          <w:rFonts w:ascii="Times New Roman" w:hAnsi="Times New Roman" w:cs="Times New Roman"/>
          <w:sz w:val="24"/>
          <w:szCs w:val="24"/>
        </w:rPr>
        <w:t xml:space="preserve"> </w:t>
      </w:r>
      <w:r w:rsidRPr="00B65257">
        <w:rPr>
          <w:rFonts w:ascii="Times New Roman" w:hAnsi="Times New Roman" w:cs="Times New Roman"/>
          <w:sz w:val="24"/>
          <w:szCs w:val="24"/>
        </w:rPr>
        <w:t xml:space="preserve">In outpatients at </w:t>
      </w:r>
      <w:r w:rsidRPr="00B65257">
        <w:rPr>
          <w:rFonts w:ascii="Times New Roman" w:eastAsia="Calibri" w:hAnsi="Times New Roman" w:cs="Times New Roman"/>
          <w:sz w:val="24"/>
          <w:szCs w:val="24"/>
        </w:rPr>
        <w:t>SGNHCs</w:t>
      </w:r>
      <w:r w:rsidRPr="00B65257">
        <w:rPr>
          <w:rFonts w:ascii="Times New Roman" w:hAnsi="Times New Roman" w:cs="Times New Roman"/>
          <w:sz w:val="24"/>
          <w:szCs w:val="24"/>
        </w:rPr>
        <w:t xml:space="preserve"> of any age and sex within the study period </w:t>
      </w:r>
      <w:r w:rsidRPr="00B65257">
        <w:rPr>
          <w:rFonts w:ascii="Times New Roman" w:eastAsia="Calibri" w:hAnsi="Times New Roman" w:cs="Times New Roman"/>
          <w:sz w:val="24"/>
          <w:szCs w:val="24"/>
        </w:rPr>
        <w:t>were</w:t>
      </w:r>
      <w:r w:rsidRPr="00B65257">
        <w:rPr>
          <w:rFonts w:ascii="Times New Roman" w:hAnsi="Times New Roman" w:cs="Times New Roman"/>
          <w:sz w:val="24"/>
          <w:szCs w:val="24"/>
        </w:rPr>
        <w:t xml:space="preserve"> considered </w:t>
      </w:r>
      <w:r w:rsidRPr="00B65257">
        <w:rPr>
          <w:rFonts w:ascii="Times New Roman" w:eastAsia="Calibri" w:hAnsi="Times New Roman" w:cs="Times New Roman"/>
          <w:sz w:val="24"/>
          <w:szCs w:val="24"/>
        </w:rPr>
        <w:t>the</w:t>
      </w:r>
      <w:r w:rsidRPr="00B65257">
        <w:rPr>
          <w:rFonts w:ascii="Times New Roman" w:hAnsi="Times New Roman" w:cs="Times New Roman"/>
          <w:sz w:val="24"/>
          <w:szCs w:val="24"/>
        </w:rPr>
        <w:t xml:space="preserve"> population</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and informed consent was </w:t>
      </w:r>
      <w:r w:rsidRPr="00B65257">
        <w:rPr>
          <w:rFonts w:ascii="Times New Roman" w:eastAsia="Calibri" w:hAnsi="Times New Roman" w:cs="Times New Roman"/>
          <w:sz w:val="24"/>
          <w:szCs w:val="24"/>
        </w:rPr>
        <w:t>obtained</w:t>
      </w:r>
      <w:r w:rsidRPr="00B65257">
        <w:rPr>
          <w:rFonts w:ascii="Times New Roman" w:hAnsi="Times New Roman" w:cs="Times New Roman"/>
          <w:sz w:val="24"/>
          <w:szCs w:val="24"/>
        </w:rPr>
        <w:t xml:space="preserve"> from </w:t>
      </w:r>
      <w:r w:rsidRPr="00B65257">
        <w:rPr>
          <w:rFonts w:ascii="Times New Roman" w:eastAsia="Calibri" w:hAnsi="Times New Roman" w:cs="Times New Roman"/>
          <w:sz w:val="24"/>
          <w:szCs w:val="24"/>
        </w:rPr>
        <w:t xml:space="preserve">the </w:t>
      </w:r>
      <w:r w:rsidRPr="00B65257">
        <w:rPr>
          <w:rFonts w:ascii="Times New Roman" w:hAnsi="Times New Roman" w:cs="Times New Roman"/>
          <w:sz w:val="24"/>
          <w:szCs w:val="24"/>
        </w:rPr>
        <w:t xml:space="preserve">participants. </w:t>
      </w:r>
      <w:r w:rsidRPr="00B65257">
        <w:rPr>
          <w:rFonts w:ascii="Times New Roman" w:eastAsia="Calibri" w:hAnsi="Times New Roman" w:cs="Times New Roman"/>
          <w:sz w:val="24"/>
          <w:szCs w:val="24"/>
        </w:rPr>
        <w:t>The variables</w:t>
      </w:r>
      <w:r w:rsidRPr="00B65257">
        <w:rPr>
          <w:rFonts w:ascii="Times New Roman" w:hAnsi="Times New Roman" w:cs="Times New Roman"/>
          <w:sz w:val="24"/>
          <w:szCs w:val="24"/>
        </w:rPr>
        <w:t xml:space="preserve"> included</w:t>
      </w:r>
      <w:r w:rsidRPr="00B65257">
        <w:rPr>
          <w:rFonts w:ascii="Times New Roman" w:eastAsiaTheme="minorEastAsia" w:hAnsi="Times New Roman" w:cs="Times New Roman"/>
          <w:color w:val="000000" w:themeColor="text1"/>
          <w:kern w:val="24"/>
          <w:sz w:val="24"/>
          <w:szCs w:val="24"/>
        </w:rPr>
        <w:t xml:space="preserve"> sample type, antibiotic resistance frequency of </w:t>
      </w:r>
      <w:r w:rsidRPr="00B65257">
        <w:rPr>
          <w:rFonts w:ascii="Times New Roman" w:eastAsiaTheme="minorEastAsia" w:hAnsi="Times New Roman" w:cs="Times New Roman"/>
          <w:i/>
          <w:iCs/>
          <w:color w:val="000000" w:themeColor="text1"/>
          <w:kern w:val="24"/>
          <w:sz w:val="24"/>
          <w:szCs w:val="24"/>
        </w:rPr>
        <w:t xml:space="preserve">Klebsiella pneumoniae </w:t>
      </w:r>
      <w:r w:rsidRPr="00B65257">
        <w:rPr>
          <w:rFonts w:ascii="Times New Roman" w:eastAsiaTheme="minorEastAsia" w:hAnsi="Times New Roman" w:cs="Times New Roman"/>
          <w:color w:val="000000" w:themeColor="text1"/>
          <w:kern w:val="24"/>
          <w:sz w:val="24"/>
          <w:szCs w:val="24"/>
        </w:rPr>
        <w:t xml:space="preserve">and various carbapenemase and efflux genes </w:t>
      </w:r>
      <w:r w:rsidRPr="00B65257">
        <w:rPr>
          <w:rFonts w:ascii="Times New Roman" w:eastAsiaTheme="minorEastAsia" w:hAnsi="Times New Roman" w:cs="Times New Roman"/>
          <w:i/>
          <w:iCs/>
          <w:color w:val="000000" w:themeColor="text1"/>
          <w:kern w:val="24"/>
          <w:sz w:val="24"/>
          <w:szCs w:val="24"/>
        </w:rPr>
        <w:t xml:space="preserve">(acr </w:t>
      </w:r>
      <w:r w:rsidRPr="00B65257">
        <w:rPr>
          <w:rFonts w:ascii="Times New Roman" w:eastAsiaTheme="minorEastAsia" w:hAnsi="Times New Roman" w:cs="Times New Roman"/>
          <w:color w:val="000000" w:themeColor="text1"/>
          <w:kern w:val="24"/>
          <w:sz w:val="24"/>
          <w:szCs w:val="24"/>
        </w:rPr>
        <w:t>AB</w:t>
      </w:r>
      <w:r w:rsidRPr="00B65257">
        <w:rPr>
          <w:rFonts w:ascii="Times New Roman" w:eastAsiaTheme="minorEastAsia" w:hAnsi="Times New Roman" w:cs="Times New Roman"/>
          <w:i/>
          <w:iCs/>
          <w:color w:val="000000" w:themeColor="text1"/>
          <w:kern w:val="24"/>
          <w:sz w:val="24"/>
          <w:szCs w:val="24"/>
        </w:rPr>
        <w:t>)</w:t>
      </w:r>
      <w:r w:rsidRPr="00B65257">
        <w:rPr>
          <w:rFonts w:ascii="Times New Roman" w:eastAsiaTheme="minorEastAsia" w:hAnsi="Times New Roman" w:cs="Times New Roman"/>
          <w:color w:val="000000" w:themeColor="text1"/>
          <w:kern w:val="24"/>
          <w:sz w:val="24"/>
          <w:szCs w:val="24"/>
        </w:rPr>
        <w:t xml:space="preserve"> in patients</w:t>
      </w:r>
      <w:r w:rsidRPr="00B65257">
        <w:rPr>
          <w:rFonts w:ascii="Times New Roman" w:eastAsiaTheme="minorEastAsia" w:hAnsi="Times New Roman" w:cs="Times New Roman"/>
          <w:color w:val="000000" w:themeColor="text1"/>
          <w:kern w:val="24"/>
          <w:szCs w:val="24"/>
        </w:rPr>
        <w:t>.</w:t>
      </w:r>
      <w:r w:rsidR="00DA6BB3">
        <w:rPr>
          <w:rFonts w:ascii="Times New Roman" w:eastAsia="Times New Roman" w:hAnsi="Times New Roman" w:cs="Times New Roman"/>
          <w:sz w:val="24"/>
          <w:szCs w:val="24"/>
        </w:rPr>
        <w:t xml:space="preserve">   </w:t>
      </w:r>
    </w:p>
    <w:p w:rsidR="004800FC" w:rsidRPr="00DA6BB3" w:rsidRDefault="00595131" w:rsidP="00DA6BB3">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heme="minorEastAsia" w:hAnsi="Times New Roman" w:cs="Times New Roman"/>
          <w:b/>
          <w:bCs/>
          <w:color w:val="000000" w:themeColor="text1"/>
          <w:kern w:val="24"/>
          <w:sz w:val="28"/>
          <w:szCs w:val="28"/>
        </w:rPr>
        <w:t xml:space="preserve">Sample </w:t>
      </w:r>
      <w:r w:rsidRPr="00B65257">
        <w:rPr>
          <w:rFonts w:ascii="Times New Roman" w:eastAsia="Times New Roman" w:hAnsi="Times New Roman" w:cs="Times New Roman"/>
          <w:b/>
          <w:bCs/>
          <w:color w:val="000000"/>
          <w:kern w:val="24"/>
          <w:sz w:val="28"/>
          <w:szCs w:val="28"/>
        </w:rPr>
        <w:t>collection</w:t>
      </w:r>
      <w:r w:rsidR="00CA4EAD">
        <w:rPr>
          <w:rFonts w:ascii="Times New Roman" w:eastAsia="Times New Roman" w:hAnsi="Times New Roman" w:cs="Times New Roman"/>
          <w:b/>
          <w:bCs/>
          <w:color w:val="000000"/>
          <w:kern w:val="24"/>
          <w:sz w:val="28"/>
          <w:szCs w:val="28"/>
        </w:rPr>
        <w:t xml:space="preserve"> and processing</w:t>
      </w:r>
      <w:r w:rsidR="004800FC">
        <w:rPr>
          <w:rFonts w:ascii="Times New Roman" w:eastAsiaTheme="minorEastAsia" w:hAnsi="Times New Roman" w:cs="Times New Roman"/>
          <w:b/>
          <w:bCs/>
          <w:color w:val="000000" w:themeColor="text1"/>
          <w:kern w:val="24"/>
          <w:sz w:val="28"/>
          <w:szCs w:val="28"/>
        </w:rPr>
        <w:t>:</w:t>
      </w:r>
    </w:p>
    <w:p w:rsidR="004800FC" w:rsidRPr="004800FC" w:rsidRDefault="00CA4EAD" w:rsidP="004800FC">
      <w:pPr>
        <w:spacing w:line="384" w:lineRule="auto"/>
        <w:jc w:val="both"/>
        <w:rPr>
          <w:rFonts w:ascii="Times New Roman" w:eastAsiaTheme="minorEastAsia" w:hAnsi="Times New Roman" w:cs="Times New Roman"/>
          <w:color w:val="000000" w:themeColor="text1"/>
          <w:kern w:val="24"/>
          <w:sz w:val="24"/>
          <w:szCs w:val="24"/>
        </w:rPr>
      </w:pPr>
      <w:r>
        <w:rPr>
          <w:rFonts w:ascii="Times New Roman" w:eastAsiaTheme="minorEastAsia" w:hAnsi="Times New Roman" w:cs="Times New Roman"/>
          <w:color w:val="000000" w:themeColor="text1"/>
          <w:kern w:val="24"/>
          <w:sz w:val="24"/>
          <w:szCs w:val="24"/>
        </w:rPr>
        <w:t xml:space="preserve">A total of 1300 clinical samples (urine, blood, sputum, pus and body fluids) were processed. Samples were cultured on MacConkey agar, Blood Agar and CLED agar and then isolates were identified based on biochemical and cultural characteristics (11). </w:t>
      </w:r>
    </w:p>
    <w:p w:rsidR="00CA4EAD" w:rsidRDefault="00595131" w:rsidP="00177FAA">
      <w:pPr>
        <w:tabs>
          <w:tab w:val="left" w:pos="2100"/>
        </w:tabs>
        <w:spacing w:before="240" w:after="240" w:line="360" w:lineRule="auto"/>
        <w:jc w:val="both"/>
        <w:rPr>
          <w:rFonts w:ascii="Times New Roman" w:hAnsi="Times New Roman" w:cs="Times New Roman"/>
          <w:b/>
          <w:bCs/>
          <w:color w:val="000000"/>
          <w:sz w:val="28"/>
          <w:szCs w:val="28"/>
          <w:lang w:bidi="ar-SA"/>
        </w:rPr>
      </w:pPr>
      <w:r w:rsidRPr="00B65257">
        <w:rPr>
          <w:rFonts w:ascii="Times New Roman" w:hAnsi="Times New Roman" w:cs="Times New Roman"/>
          <w:b/>
          <w:bCs/>
          <w:color w:val="000000"/>
          <w:sz w:val="28"/>
          <w:szCs w:val="28"/>
          <w:lang w:bidi="ar-SA"/>
        </w:rPr>
        <w:t xml:space="preserve">Antimicrobial </w:t>
      </w:r>
      <w:r w:rsidRPr="00B65257">
        <w:rPr>
          <w:rFonts w:ascii="Times New Roman" w:eastAsia="Calibri" w:hAnsi="Times New Roman" w:cs="Times New Roman"/>
          <w:b/>
          <w:bCs/>
          <w:color w:val="000000"/>
          <w:sz w:val="28"/>
          <w:szCs w:val="28"/>
          <w:lang w:bidi="ar-SA"/>
        </w:rPr>
        <w:t>susceptibility testing</w:t>
      </w:r>
    </w:p>
    <w:p w:rsidR="00177FAA" w:rsidRPr="00CA4EAD" w:rsidRDefault="00CA4EAD" w:rsidP="00177FAA">
      <w:pPr>
        <w:tabs>
          <w:tab w:val="left" w:pos="2100"/>
        </w:tabs>
        <w:spacing w:before="240" w:after="240" w:line="360" w:lineRule="auto"/>
        <w:jc w:val="both"/>
        <w:rPr>
          <w:rFonts w:ascii="Times New Roman" w:hAnsi="Times New Roman" w:cs="Times New Roman"/>
          <w:b/>
          <w:bCs/>
          <w:color w:val="000000"/>
          <w:sz w:val="28"/>
          <w:szCs w:val="28"/>
          <w:lang w:bidi="ar-SA"/>
        </w:rPr>
      </w:pPr>
      <w:r w:rsidRPr="00CA4EAD">
        <w:rPr>
          <w:rFonts w:ascii="Times New Roman" w:hAnsi="Times New Roman" w:cs="Times New Roman"/>
          <w:color w:val="000000"/>
          <w:sz w:val="24"/>
          <w:szCs w:val="24"/>
          <w:lang w:bidi="ar-SA"/>
        </w:rPr>
        <w:t>AST was</w:t>
      </w:r>
      <w:r>
        <w:rPr>
          <w:rFonts w:ascii="Times New Roman" w:hAnsi="Times New Roman" w:cs="Times New Roman"/>
          <w:sz w:val="24"/>
          <w:szCs w:val="24"/>
        </w:rPr>
        <w:t xml:space="preserve"> performed by Kirby-Bauer disc disc diffusion on Muller-Hinton agar following CLSI guidelines (2018). Carbapenemase screening and confirmation: Potential carbapenem-resistant isolates were screened using meropenam discs. Phenotypic confirmation was performed via the </w:t>
      </w:r>
      <w:r>
        <w:rPr>
          <w:rFonts w:ascii="Times New Roman" w:hAnsi="Times New Roman" w:cs="Times New Roman"/>
          <w:sz w:val="24"/>
          <w:szCs w:val="24"/>
        </w:rPr>
        <w:lastRenderedPageBreak/>
        <w:t>modified carbapenem inactivation method (mCIM).</w:t>
      </w:r>
      <w:r w:rsidRPr="00CA4EAD">
        <w:rPr>
          <w:rFonts w:ascii="Times New Roman" w:hAnsi="Times New Roman" w:cs="Times New Roman"/>
          <w:sz w:val="24"/>
          <w:szCs w:val="24"/>
        </w:rPr>
        <w:t xml:space="preserve"> </w:t>
      </w:r>
      <w:r w:rsidR="00595131" w:rsidRPr="00B65257">
        <w:rPr>
          <w:rFonts w:ascii="Times New Roman" w:hAnsi="Times New Roman" w:cs="Times New Roman"/>
          <w:color w:val="000000"/>
          <w:sz w:val="24"/>
          <w:szCs w:val="24"/>
          <w:lang w:bidi="ar-SA"/>
        </w:rPr>
        <w:t xml:space="preserve">Following the </w:t>
      </w:r>
      <w:r w:rsidR="00595131" w:rsidRPr="00B65257">
        <w:rPr>
          <w:rFonts w:ascii="Times New Roman" w:eastAsia="Calibri" w:hAnsi="Times New Roman" w:cs="Times New Roman"/>
          <w:color w:val="000000"/>
          <w:sz w:val="24"/>
          <w:szCs w:val="24"/>
          <w:lang w:bidi="ar-SA"/>
        </w:rPr>
        <w:t>Kirby–Bauer</w:t>
      </w:r>
      <w:r w:rsidR="00595131" w:rsidRPr="00B65257">
        <w:rPr>
          <w:rFonts w:ascii="Times New Roman" w:hAnsi="Times New Roman" w:cs="Times New Roman"/>
          <w:color w:val="000000"/>
          <w:sz w:val="24"/>
          <w:szCs w:val="24"/>
          <w:lang w:bidi="ar-SA"/>
        </w:rPr>
        <w:t xml:space="preserve"> disc diffusion method in </w:t>
      </w:r>
      <w:r w:rsidR="00595131" w:rsidRPr="00B65257">
        <w:rPr>
          <w:rFonts w:ascii="Times New Roman" w:eastAsia="Calibri" w:hAnsi="Times New Roman" w:cs="Times New Roman"/>
          <w:color w:val="000000"/>
          <w:sz w:val="24"/>
          <w:szCs w:val="24"/>
          <w:lang w:bidi="ar-SA"/>
        </w:rPr>
        <w:t>Mueller–Hinton</w:t>
      </w:r>
      <w:r w:rsidR="00595131" w:rsidRPr="00B65257">
        <w:rPr>
          <w:rFonts w:ascii="Times New Roman" w:hAnsi="Times New Roman" w:cs="Times New Roman"/>
          <w:color w:val="000000"/>
          <w:sz w:val="24"/>
          <w:szCs w:val="24"/>
          <w:lang w:bidi="ar-SA"/>
        </w:rPr>
        <w:t xml:space="preserve"> agar (MHA),</w:t>
      </w:r>
      <w:r w:rsidR="00595131" w:rsidRPr="00B65257">
        <w:rPr>
          <w:rFonts w:ascii="Times New Roman" w:eastAsia="Calibri" w:hAnsi="Times New Roman" w:cs="Times New Roman"/>
          <w:color w:val="000000"/>
          <w:sz w:val="24"/>
          <w:szCs w:val="24"/>
          <w:lang w:bidi="ar-SA"/>
        </w:rPr>
        <w:t xml:space="preserve"> </w:t>
      </w:r>
      <w:r w:rsidR="00595131" w:rsidRPr="00B65257">
        <w:rPr>
          <w:rFonts w:ascii="Times New Roman" w:hAnsi="Times New Roman" w:cs="Times New Roman"/>
          <w:color w:val="000000"/>
          <w:sz w:val="24"/>
          <w:szCs w:val="24"/>
          <w:lang w:bidi="ar-SA"/>
        </w:rPr>
        <w:t>AST was carried out with various antimicrobials, including tetracycline (30 μg), ciprofloxacin (5 μg), gentamicin (10 μg), aztreonam (30 μg), cotrimoxazole (25 μg), levofloxacin (5 μg), piperacillin/tazobactam (100/10 μg), ceftriaxone (30 μg), imipenem (10 μg) an</w:t>
      </w:r>
      <w:r w:rsidR="00A23C0D">
        <w:rPr>
          <w:rFonts w:ascii="Times New Roman" w:hAnsi="Times New Roman" w:cs="Times New Roman"/>
          <w:color w:val="000000"/>
          <w:sz w:val="24"/>
          <w:szCs w:val="24"/>
          <w:lang w:bidi="ar-SA"/>
        </w:rPr>
        <w:t xml:space="preserve">d meropenem (10 μg) (Oxoid, UK) and zone of inhibition around antibiotics disc were noted. </w:t>
      </w:r>
      <w:r w:rsidR="00595131" w:rsidRPr="00B65257">
        <w:rPr>
          <w:rFonts w:ascii="Times New Roman" w:hAnsi="Times New Roman" w:cs="Times New Roman"/>
          <w:color w:val="000000"/>
          <w:sz w:val="24"/>
          <w:szCs w:val="24"/>
          <w:lang w:bidi="ar-SA"/>
        </w:rPr>
        <w:t xml:space="preserve"> </w:t>
      </w:r>
    </w:p>
    <w:p w:rsidR="00177FAA" w:rsidRPr="00B65257" w:rsidRDefault="00595131" w:rsidP="00177FAA">
      <w:pPr>
        <w:keepNext/>
        <w:keepLines/>
        <w:spacing w:before="240" w:after="240" w:line="360" w:lineRule="auto"/>
        <w:jc w:val="both"/>
        <w:outlineLvl w:val="1"/>
        <w:rPr>
          <w:rFonts w:ascii="Times New Roman" w:eastAsia="Times New Roman" w:hAnsi="Times New Roman" w:cs="Times New Roman"/>
          <w:b/>
          <w:bCs/>
          <w:sz w:val="28"/>
          <w:szCs w:val="26"/>
          <w:lang w:val="en-GB"/>
        </w:rPr>
      </w:pPr>
      <w:bookmarkStart w:id="0" w:name="_Toc160141049"/>
      <w:r w:rsidRPr="00B65257">
        <w:rPr>
          <w:rFonts w:ascii="Times New Roman" w:eastAsia="Times New Roman" w:hAnsi="Times New Roman" w:cs="Times New Roman"/>
          <w:b/>
          <w:bCs/>
          <w:sz w:val="28"/>
          <w:szCs w:val="26"/>
        </w:rPr>
        <w:t>Screening of carbapenemase producers</w:t>
      </w:r>
      <w:bookmarkEnd w:id="0"/>
    </w:p>
    <w:p w:rsidR="00E54277" w:rsidRPr="00B65257" w:rsidRDefault="00595131" w:rsidP="00E54277">
      <w:pPr>
        <w:tabs>
          <w:tab w:val="left" w:pos="2100"/>
        </w:tabs>
        <w:spacing w:before="240" w:after="240" w:line="360" w:lineRule="auto"/>
        <w:jc w:val="both"/>
        <w:rPr>
          <w:rFonts w:ascii="Times New Roman" w:hAnsi="Times New Roman" w:cs="Times New Roman"/>
          <w:sz w:val="24"/>
          <w:szCs w:val="24"/>
          <w:lang w:bidi="ar-SA"/>
        </w:rPr>
      </w:pPr>
      <w:r w:rsidRPr="00B65257">
        <w:rPr>
          <w:rFonts w:ascii="Times New Roman" w:eastAsia="Calibri" w:hAnsi="Times New Roman" w:cs="Times New Roman"/>
          <w:sz w:val="24"/>
          <w:szCs w:val="24"/>
        </w:rPr>
        <w:t>The imipenem</w:t>
      </w:r>
      <w:r w:rsidRPr="00B65257">
        <w:rPr>
          <w:rFonts w:ascii="Times New Roman" w:hAnsi="Times New Roman" w:cs="Times New Roman"/>
          <w:sz w:val="24"/>
          <w:szCs w:val="24"/>
        </w:rPr>
        <w:t xml:space="preserve"> and meropenem discs were included in the primary </w:t>
      </w:r>
      <w:r w:rsidRPr="00B65257">
        <w:rPr>
          <w:rFonts w:ascii="Times New Roman" w:eastAsia="Calibri" w:hAnsi="Times New Roman" w:cs="Times New Roman"/>
          <w:sz w:val="24"/>
          <w:szCs w:val="24"/>
        </w:rPr>
        <w:t>antibiotic susceptibility testing</w:t>
      </w:r>
      <w:r w:rsidRPr="00B65257">
        <w:rPr>
          <w:rFonts w:ascii="Times New Roman" w:hAnsi="Times New Roman" w:cs="Times New Roman"/>
          <w:sz w:val="24"/>
          <w:szCs w:val="24"/>
        </w:rPr>
        <w:t xml:space="preserve"> (AST) plate for screening potential carbapenemase producers. Isolates demonstrating resistance to at least one of the mentioned carbapenem discs with </w:t>
      </w:r>
      <w:r w:rsidRPr="00B65257">
        <w:rPr>
          <w:rFonts w:ascii="Times New Roman" w:eastAsia="Calibri" w:hAnsi="Times New Roman" w:cs="Times New Roman"/>
          <w:sz w:val="24"/>
          <w:szCs w:val="24"/>
        </w:rPr>
        <w:t xml:space="preserve">an </w:t>
      </w:r>
      <w:r w:rsidRPr="00B65257">
        <w:rPr>
          <w:rFonts w:ascii="Times New Roman" w:hAnsi="Times New Roman" w:cs="Times New Roman"/>
          <w:sz w:val="24"/>
          <w:szCs w:val="24"/>
        </w:rPr>
        <w:t>inhibition zone of ≤</w:t>
      </w:r>
      <w:r w:rsidRPr="00B65257">
        <w:rPr>
          <w:rFonts w:ascii="Times New Roman" w:eastAsia="Times New Roman" w:hAnsi="Times New Roman" w:cs="Times New Roman"/>
          <w:sz w:val="24"/>
          <w:szCs w:val="24"/>
          <w:shd w:val="clear" w:color="auto" w:fill="FFFFFF"/>
        </w:rPr>
        <w:t xml:space="preserve"> </w:t>
      </w:r>
      <w:r w:rsidRPr="00B65257">
        <w:rPr>
          <w:rFonts w:ascii="Times New Roman" w:eastAsia="Times New Roman" w:hAnsi="Times New Roman" w:cs="Times New Roman"/>
          <w:color w:val="000000"/>
          <w:sz w:val="24"/>
          <w:szCs w:val="24"/>
          <w:shd w:val="clear" w:color="auto" w:fill="FFFFFF"/>
        </w:rPr>
        <w:t>19 mm</w:t>
      </w:r>
      <w:r w:rsidR="00D2595F" w:rsidRPr="00B65257">
        <w:rPr>
          <w:rFonts w:ascii="Times New Roman" w:hAnsi="Times New Roman" w:cs="Times New Roman"/>
          <w:sz w:val="24"/>
          <w:szCs w:val="24"/>
          <w:lang w:bidi="ar-SA"/>
        </w:rPr>
        <w:t xml:space="preserve"> were considered potential carbapenemase producers. These isolates underwent additional phenotypic and molecular confirmation tests for further validation </w:t>
      </w:r>
      <w:r w:rsidR="00D2595F" w:rsidRPr="00B65257">
        <w:rPr>
          <w:rFonts w:ascii="Times New Roman" w:hAnsi="Times New Roman" w:cs="Times New Roman"/>
          <w:sz w:val="24"/>
          <w:szCs w:val="24"/>
          <w:lang w:bidi="ar-SA"/>
        </w:rPr>
        <w:fldChar w:fldCharType="begin" w:fldLock="1"/>
      </w:r>
      <w:r w:rsidR="00251CA9" w:rsidRPr="00B65257">
        <w:rPr>
          <w:rFonts w:ascii="Times New Roman" w:hAnsi="Times New Roman" w:cs="Times New Roman"/>
          <w:sz w:val="24"/>
          <w:szCs w:val="24"/>
          <w:lang w:bidi="ar-SA"/>
        </w:rPr>
        <w:instrText>ADDIN CSL_CITATION {"citationItems":[{"id":"ITEM-1","itemData":{"DOI":"10.1186/s41182-021-00368-2","ISBN":"9813786957","ISSN":"13494147","abstract":"Aim: Although carbapenem is the last-resort drug for treating drug-resistant Gram-negative bacterial infections, prevalence of carbapenem-resistant bacteria has substantially increased worldwide owing to irrational use of antibiotics particularly in developing countries like Nepal. Therefore, this study was aimed to determine the prevalence of carbapenemase-producing K. pneumoniae and to detect the carbapenemase genes (blaNDM-2 and blaOXA-48) in at a tertiary care hospital in Nepal. Materials and methods: A hospital-based cross-sectional study was carried out from June 2018 to January 2019 at the Microbiology Laboratory of Annapurna Neurological Institute and Allied Sciences, Kathmandu, Nepal. Different clinical samples were collected and cultured in appropriate growth media. Biochemical tests were performed for the identification of K. pneumoniae. Antibiotic susceptibility testing (AST) was performed by the Kirby–Bauer disc diffusion method. The modified Hodge test (MHT) was performed to detect carbapenemase producers. The plasmid was extracted by the modified alkaline hydrolysis method. Carbapenemase-producing K. pneumoniae were further confirmed by detecting blaNDM-2 and blaOXA-48 genes by PCR using specific forward and reverse primers followed by gel electrophoresis. Results: Out of the total 720 samples, 38.9% (280/720) were culture positive. K. pneumoniae was the most predominant isolate 31.4% (88/280). Of 88 K. pneumoniae isolates, 56.8% (50/88) were multi-drug resistant (MDR), and 51.1% (45/88) were MHT positive. Colistin showed the highest sensitivity (100%; 88/88), followed by tigecycline (86.4%; 76/88). blaNDM-2 and blaOXA-48 genes were detected in 24.4% (11/45) and 15.5% (7/45) of carbapenemase-producing K. pneumoniae isolates, respectively. Conclusion: The rate of MDR and carbapenemase production was high in the K. pneumoniae isolates. Colistin and tigecycline could be the drug of choice for the empirical treatments of MDR and carbapenemase-producing K. pneumoniae. Our study provides a better understanding of antibiotic resistance threat and enables physicians to select the most appropriate antibiotics.","author":[{"dropping-particle":"","family":"Pyakurel","given":"Susil","non-dropping-particle":"","parse-names":false,"suffix":""},{"dropping-particle":"","family":"Ansari","given":"Mehraj","non-dropping-particle":"","parse-names":false,"suffix":""},{"dropping-particle":"","family":"Kattel","given":"Smriti","non-dropping-particle":"","parse-names":false,"suffix":""},{"dropping-particle":"","family":"Rai","given":"Ganesh","non-dropping-particle":"","parse-names":false,"suffix":""},{"dropping-particle":"","family":"Shrestha","given":"Prasha","non-dropping-particle":"","parse-names":false,"suffix":""},{"dropping-particle":"","family":"Rai","given":"Kul Raj","non-dropping-particle":"","parse-names":false,"suffix":""},{"dropping-particle":"","family":"Sah","given":"Anil Kumar","non-dropping-particle":"","parse-names":false,"suffix":""},{"dropping-particle":"","family":"Rai","given":"Shiba Kumar","non-dropping-particle":"","parse-names":false,"suffix":""}],"container-title":"Tropical Medicine and Health","id":"ITEM-1","issue":"1","issued":{"date-parts":[["2021"]]},"page":"290-296","title":"Prevalence of carbapenemase-producing Klebsiella pneumoniae at a tertiary care hospital in Kathmandu, Nepal","type":"article-journal","volume":"49"},"uris":["http://www.mendeley.com/documents/?uuid=e17c6e90-fc0d-4df1-91d6-45ee60521f98"]}],"mendeley":{"formattedCitation":"(7)","plainTextFormattedCitation":"(7)","previouslyFormattedCitation":"(7)"},"properties":{"noteIndex":0},"schema":"https://github.com/citation-style-language/schema/raw/master/csl-citation.json"}</w:instrText>
      </w:r>
      <w:r w:rsidR="00D2595F" w:rsidRPr="00B65257">
        <w:rPr>
          <w:rFonts w:ascii="Times New Roman" w:hAnsi="Times New Roman" w:cs="Times New Roman"/>
          <w:sz w:val="24"/>
          <w:szCs w:val="24"/>
          <w:lang w:bidi="ar-SA"/>
        </w:rPr>
        <w:fldChar w:fldCharType="separate"/>
      </w:r>
      <w:r w:rsidR="000343D4" w:rsidRPr="00B65257">
        <w:rPr>
          <w:rFonts w:ascii="Times New Roman" w:hAnsi="Times New Roman" w:cs="Times New Roman"/>
          <w:noProof/>
          <w:sz w:val="24"/>
          <w:szCs w:val="24"/>
          <w:lang w:bidi="ar-SA"/>
        </w:rPr>
        <w:t>(7)</w:t>
      </w:r>
      <w:r w:rsidR="00D2595F" w:rsidRPr="00B65257">
        <w:rPr>
          <w:rFonts w:ascii="Times New Roman" w:hAnsi="Times New Roman" w:cs="Times New Roman"/>
          <w:sz w:val="24"/>
          <w:szCs w:val="24"/>
          <w:lang w:bidi="ar-SA"/>
        </w:rPr>
        <w:fldChar w:fldCharType="end"/>
      </w:r>
      <w:r w:rsidRPr="00B65257">
        <w:rPr>
          <w:rFonts w:ascii="Times New Roman" w:hAnsi="Times New Roman" w:cs="Times New Roman"/>
          <w:sz w:val="24"/>
          <w:szCs w:val="24"/>
          <w:lang w:bidi="ar-SA"/>
        </w:rPr>
        <w:t>.</w:t>
      </w:r>
      <w:bookmarkStart w:id="1" w:name="_Toc160141050"/>
    </w:p>
    <w:p w:rsidR="00177FAA" w:rsidRPr="00B65257" w:rsidRDefault="00595131" w:rsidP="00E54277">
      <w:pPr>
        <w:tabs>
          <w:tab w:val="left" w:pos="2100"/>
        </w:tabs>
        <w:spacing w:before="240" w:after="240" w:line="360" w:lineRule="auto"/>
        <w:jc w:val="both"/>
        <w:rPr>
          <w:rFonts w:ascii="Times New Roman" w:hAnsi="Times New Roman" w:cs="Times New Roman"/>
          <w:sz w:val="24"/>
          <w:szCs w:val="24"/>
          <w:lang w:bidi="ar-SA"/>
        </w:rPr>
      </w:pPr>
      <w:r w:rsidRPr="00B65257">
        <w:rPr>
          <w:rFonts w:ascii="Times New Roman" w:eastAsia="Times New Roman" w:hAnsi="Times New Roman" w:cs="Times New Roman"/>
          <w:b/>
          <w:bCs/>
          <w:sz w:val="28"/>
          <w:szCs w:val="26"/>
        </w:rPr>
        <w:t>Phenotypic confirmation of carbapenemase producers</w:t>
      </w:r>
      <w:bookmarkEnd w:id="1"/>
    </w:p>
    <w:p w:rsidR="00DA6BB3" w:rsidRDefault="00595131" w:rsidP="00796495">
      <w:pPr>
        <w:spacing w:before="240" w:after="240" w:line="360" w:lineRule="auto"/>
        <w:jc w:val="both"/>
        <w:textAlignment w:val="baseline"/>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The modified carbapenem inactivation method, as outlined in the CLSI manual of 2018, was followed. </w:t>
      </w:r>
      <w:r w:rsidRPr="00B65257">
        <w:rPr>
          <w:rFonts w:ascii="Times New Roman" w:eastAsia="Times New Roman" w:hAnsi="Times New Roman" w:cs="Times New Roman"/>
          <w:color w:val="000000"/>
          <w:sz w:val="24"/>
          <w:szCs w:val="24"/>
        </w:rPr>
        <w:t>For</w:t>
      </w:r>
      <w:r w:rsidRPr="00B65257">
        <w:rPr>
          <w:rFonts w:ascii="Times New Roman" w:eastAsia="Times New Roman" w:hAnsi="Times New Roman" w:cs="Times New Roman"/>
          <w:color w:val="000000"/>
          <w:sz w:val="24"/>
          <w:szCs w:val="24"/>
          <w:shd w:val="clear" w:color="auto" w:fill="FFFFFF"/>
        </w:rPr>
        <w:t xml:space="preserve"> this method, an overnight culture of the isolate (to be tested) on blood agar was emulsified in 2 ml </w:t>
      </w:r>
      <w:r w:rsidRPr="00B65257">
        <w:rPr>
          <w:rFonts w:ascii="Times New Roman" w:eastAsia="Times New Roman" w:hAnsi="Times New Roman" w:cs="Times New Roman"/>
          <w:color w:val="000000"/>
          <w:sz w:val="24"/>
          <w:szCs w:val="24"/>
        </w:rPr>
        <w:t xml:space="preserve">of </w:t>
      </w:r>
      <w:r w:rsidRPr="00B65257">
        <w:rPr>
          <w:rFonts w:ascii="Times New Roman" w:eastAsia="Times New Roman" w:hAnsi="Times New Roman" w:cs="Times New Roman"/>
          <w:color w:val="000000"/>
          <w:sz w:val="24"/>
          <w:szCs w:val="24"/>
          <w:shd w:val="clear" w:color="auto" w:fill="FFFFFF"/>
        </w:rPr>
        <w:t>trypticase soy broth (TSB)</w:t>
      </w:r>
      <w:r w:rsidRPr="00B65257">
        <w:rPr>
          <w:rFonts w:ascii="Times New Roman" w:eastAsia="Times New Roman" w:hAnsi="Times New Roman" w:cs="Times New Roman"/>
          <w:color w:val="000000"/>
          <w:sz w:val="24"/>
          <w:szCs w:val="24"/>
        </w:rPr>
        <w:t>,</w:t>
      </w:r>
      <w:r w:rsidRPr="00B65257">
        <w:rPr>
          <w:rFonts w:ascii="Times New Roman" w:eastAsia="Times New Roman" w:hAnsi="Times New Roman" w:cs="Times New Roman"/>
          <w:color w:val="000000"/>
          <w:sz w:val="24"/>
          <w:szCs w:val="24"/>
          <w:shd w:val="clear" w:color="auto" w:fill="FFFFFF"/>
        </w:rPr>
        <w:t xml:space="preserve"> which was then vortexed for 15 seconds. After that, a meropenem disk was immersed in the microbial suspension and allowed to incubate at 35 °C for at least 4 hours. Using the standard disk diffusion technique, a 0.5 McFarland suspension of </w:t>
      </w:r>
      <w:r w:rsidRPr="00B65257">
        <w:rPr>
          <w:rFonts w:ascii="Times New Roman" w:eastAsia="Times New Roman" w:hAnsi="Times New Roman" w:cs="Times New Roman"/>
          <w:i/>
          <w:iCs/>
          <w:color w:val="000000"/>
          <w:sz w:val="24"/>
          <w:szCs w:val="24"/>
          <w:shd w:val="clear" w:color="auto" w:fill="FFFFFF"/>
        </w:rPr>
        <w:t>E. coli</w:t>
      </w:r>
      <w:r w:rsidRPr="00B65257">
        <w:rPr>
          <w:rFonts w:ascii="Times New Roman" w:eastAsia="Times New Roman" w:hAnsi="Times New Roman" w:cs="Times New Roman"/>
          <w:color w:val="000000"/>
          <w:sz w:val="24"/>
          <w:szCs w:val="24"/>
          <w:shd w:val="clear" w:color="auto" w:fill="FFFFFF"/>
        </w:rPr>
        <w:t xml:space="preserve"> ATCC 25922, prepared in saline, was subsequently inoculated on a Mueller–Hinton agar (MHA) plate. The meropenem disk was then removed from the TSB and placed on an MHA plate previously swabbed with the indicator strain of </w:t>
      </w:r>
      <w:r w:rsidRPr="00B65257">
        <w:rPr>
          <w:rFonts w:ascii="Times New Roman" w:eastAsia="Times New Roman" w:hAnsi="Times New Roman" w:cs="Times New Roman"/>
          <w:i/>
          <w:iCs/>
          <w:color w:val="000000"/>
          <w:sz w:val="24"/>
          <w:szCs w:val="24"/>
          <w:shd w:val="clear" w:color="auto" w:fill="FFFFFF"/>
        </w:rPr>
        <w:t>E. coli</w:t>
      </w:r>
      <w:r w:rsidRPr="00B65257">
        <w:rPr>
          <w:rFonts w:ascii="Times New Roman" w:eastAsia="Times New Roman" w:hAnsi="Times New Roman" w:cs="Times New Roman"/>
          <w:color w:val="000000"/>
          <w:sz w:val="24"/>
          <w:szCs w:val="24"/>
          <w:shd w:val="clear" w:color="auto" w:fill="FFFFFF"/>
        </w:rPr>
        <w:t xml:space="preserve"> ATCC 25922. The plates were incubated at 35 °C in ambient air for a period of 24 hours. A positive result was indicated by an inhibition zone diameter of 6–15 mm or the presence of colonies within a 16–18 mm zone, </w:t>
      </w:r>
      <w:r w:rsidRPr="00B65257">
        <w:rPr>
          <w:rFonts w:ascii="Times New Roman" w:eastAsia="Times New Roman" w:hAnsi="Times New Roman" w:cs="Times New Roman"/>
          <w:color w:val="000000"/>
          <w:sz w:val="24"/>
          <w:szCs w:val="24"/>
        </w:rPr>
        <w:t>whereas</w:t>
      </w:r>
      <w:r w:rsidRPr="00B65257">
        <w:rPr>
          <w:rFonts w:ascii="Times New Roman" w:eastAsia="Times New Roman" w:hAnsi="Times New Roman" w:cs="Times New Roman"/>
          <w:color w:val="000000"/>
          <w:sz w:val="24"/>
          <w:szCs w:val="24"/>
          <w:shd w:val="clear" w:color="auto" w:fill="FFFFFF"/>
        </w:rPr>
        <w:t xml:space="preserve"> a negative result was characterized by a zone of inhibition ≥19 mm. </w:t>
      </w:r>
      <w:r w:rsidRPr="00B65257">
        <w:rPr>
          <w:rFonts w:ascii="Times New Roman" w:eastAsia="Times New Roman" w:hAnsi="Times New Roman" w:cs="Times New Roman"/>
          <w:sz w:val="24"/>
          <w:szCs w:val="24"/>
        </w:rPr>
        <w:t xml:space="preserve">Confirmed isolates for carbapenemase were preserved in 25% glycerol and then stored at −20 °C until further confirmation through molecular testing, along with the isolation of target genes </w:t>
      </w:r>
      <w:r w:rsidRPr="00B65257">
        <w:rPr>
          <w:rFonts w:ascii="Times New Roman" w:eastAsia="Times New Roman" w:hAnsi="Times New Roman" w:cs="Times New Roman"/>
          <w:sz w:val="24"/>
          <w:szCs w:val="24"/>
        </w:rPr>
        <w:fldChar w:fldCharType="begin" w:fldLock="1"/>
      </w:r>
      <w:r w:rsidR="00251CA9" w:rsidRPr="00B65257">
        <w:rPr>
          <w:rFonts w:ascii="Times New Roman" w:eastAsia="Times New Roman" w:hAnsi="Times New Roman" w:cs="Times New Roman"/>
          <w:sz w:val="24"/>
          <w:szCs w:val="24"/>
        </w:rPr>
        <w:instrText>ADDIN CSL_CITATION {"citationItems":[{"id":"ITEM-1","itemData":{"DOI":"10.1186/s41182-021-00368-2","ISBN":"9813786957","ISSN":"13494147","abstract":"Aim: Although carbapenem is the last-resort drug for treating drug-resistant Gram-negative bacterial infections, prevalence of carbapenem-resistant bacteria has substantially increased worldwide owing to irrational use of antibiotics particularly in developing countries like Nepal. Therefore, this study was aimed to determine the prevalence of carbapenemase-producing K. pneumoniae and to detect the carbapenemase genes (blaNDM-2 and blaOXA-48) in at a tertiary care hospital in Nepal. Materials and methods: A hospital-based cross-sectional study was carried out from June 2018 to January 2019 at the Microbiology Laboratory of Annapurna Neurological Institute and Allied Sciences, Kathmandu, Nepal. Different clinical samples were collected and cultured in appropriate growth media. Biochemical tests were performed for the identification of K. pneumoniae. Antibiotic susceptibility testing (AST) was performed by the Kirby–Bauer disc diffusion method. The modified Hodge test (MHT) was performed to detect carbapenemase producers. The plasmid was extracted by the modified alkaline hydrolysis method. Carbapenemase-producing K. pneumoniae were further confirmed by detecting blaNDM-2 and blaOXA-48 genes by PCR using specific forward and reverse primers followed by gel electrophoresis. Results: Out of the total 720 samples, 38.9% (280/720) were culture positive. K. pneumoniae was the most predominant isolate 31.4% (88/280). Of 88 K. pneumoniae isolates, 56.8% (50/88) were multi-drug resistant (MDR), and 51.1% (45/88) were MHT positive. Colistin showed the highest sensitivity (100%; 88/88), followed by tigecycline (86.4%; 76/88). blaNDM-2 and blaOXA-48 genes were detected in 24.4% (11/45) and 15.5% (7/45) of carbapenemase-producing K. pneumoniae isolates, respectively. Conclusion: The rate of MDR and carbapenemase production was high in the K. pneumoniae isolates. Colistin and tigecycline could be the drug of choice for the empirical treatments of MDR and carbapenemase-producing K. pneumoniae. Our study provides a better understanding of antibiotic resistance threat and enables physicians to select the most appropriate antibiotics.","author":[{"dropping-particle":"","family":"Pyakurel","given":"Susil","non-dropping-particle":"","parse-names":false,"suffix":""},{"dropping-particle":"","family":"Ansari","given":"Mehraj","non-dropping-particle":"","parse-names":false,"suffix":""},{"dropping-particle":"","family":"Kattel","given":"Smriti","non-dropping-particle":"","parse-names":false,"suffix":""},{"dropping-particle":"","family":"Rai","given":"Ganesh","non-dropping-particle":"","parse-names":false,"suffix":""},{"dropping-particle":"","family":"Shrestha","given":"Prasha","non-dropping-particle":"","parse-names":false,"suffix":""},{"dropping-particle":"","family":"Rai","given":"Kul Raj","non-dropping-particle":"","parse-names":false,"suffix":""},{"dropping-particle":"","family":"Sah","given":"Anil Kumar","non-dropping-particle":"","parse-names":false,"suffix":""},{"dropping-particle":"","family":"Rai","given":"Shiba Kumar","non-dropping-particle":"","parse-names":false,"suffix":""}],"container-title":"Tropical Medicine and Health","id":"ITEM-1","issue":"1","issued":{"date-parts":[["2021"]]},"page":"290-296","title":"Prevalence of carbapenemase-producing Klebsiella pneumoniae at a tertiary care hospital in Kathmandu, Nepal","type":"article-journal","volume":"49"},"uris":["http://www.mendeley.com/documents/?uuid=e17c6e90-fc0d-4df1-91d6-45ee60521f98"]}],"mendeley":{"formattedCitation":"(7)","plainTextFormattedCitation":"(7)","previouslyFormattedCitation":"(7)"},"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0343D4" w:rsidRPr="00B65257">
        <w:rPr>
          <w:rFonts w:ascii="Times New Roman" w:eastAsia="Times New Roman" w:hAnsi="Times New Roman" w:cs="Times New Roman"/>
          <w:noProof/>
          <w:sz w:val="24"/>
          <w:szCs w:val="24"/>
        </w:rPr>
        <w:t>(7)</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w:t>
      </w:r>
    </w:p>
    <w:p w:rsidR="00DA6BB3" w:rsidRDefault="00DA6BB3" w:rsidP="00796495">
      <w:pPr>
        <w:spacing w:before="240" w:after="240" w:line="360" w:lineRule="auto"/>
        <w:jc w:val="both"/>
        <w:textAlignment w:val="baseline"/>
        <w:rPr>
          <w:rFonts w:ascii="Times New Roman" w:eastAsia="Times New Roman" w:hAnsi="Times New Roman" w:cs="Times New Roman"/>
          <w:sz w:val="24"/>
          <w:szCs w:val="24"/>
        </w:rPr>
      </w:pPr>
    </w:p>
    <w:p w:rsidR="00796495" w:rsidRPr="00B65257" w:rsidRDefault="00595131" w:rsidP="00796495">
      <w:pPr>
        <w:spacing w:before="240" w:after="240" w:line="360" w:lineRule="auto"/>
        <w:jc w:val="both"/>
        <w:textAlignment w:val="baseline"/>
        <w:rPr>
          <w:rFonts w:ascii="Times New Roman" w:eastAsia="Times New Roman" w:hAnsi="Times New Roman" w:cs="Times New Roman"/>
          <w:sz w:val="24"/>
          <w:szCs w:val="24"/>
        </w:rPr>
      </w:pPr>
      <w:r w:rsidRPr="00B65257">
        <w:rPr>
          <w:rFonts w:ascii="Times New Roman" w:eastAsia="Times New Roman" w:hAnsi="Times New Roman" w:cs="Times New Roman"/>
          <w:b/>
          <w:bCs/>
          <w:sz w:val="28"/>
          <w:szCs w:val="28"/>
        </w:rPr>
        <w:lastRenderedPageBreak/>
        <w:t>Detection of carbapenemase and efflux genes</w:t>
      </w:r>
    </w:p>
    <w:p w:rsidR="00796495" w:rsidRPr="00B65257" w:rsidRDefault="00595131" w:rsidP="00796495">
      <w:pPr>
        <w:numPr>
          <w:ilvl w:val="0"/>
          <w:numId w:val="1"/>
        </w:num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b/>
          <w:bCs/>
          <w:sz w:val="24"/>
          <w:szCs w:val="24"/>
        </w:rPr>
        <w:t>DNA Extraction</w:t>
      </w:r>
      <w:r w:rsidRPr="00B65257">
        <w:rPr>
          <w:rFonts w:ascii="Times New Roman" w:eastAsia="Times New Roman" w:hAnsi="Times New Roman" w:cs="Times New Roman"/>
          <w:sz w:val="24"/>
          <w:szCs w:val="24"/>
        </w:rPr>
        <w:t xml:space="preserve">: DNA was extracted from subcultured bacteria via the boiling method </w:t>
      </w:r>
      <w:r w:rsidRPr="00B65257">
        <w:rPr>
          <w:rFonts w:ascii="Times New Roman" w:eastAsia="Times New Roman" w:hAnsi="Times New Roman" w:cs="Times New Roman"/>
          <w:sz w:val="24"/>
          <w:szCs w:val="24"/>
        </w:rPr>
        <w:fldChar w:fldCharType="begin" w:fldLock="1"/>
      </w:r>
      <w:r w:rsidR="005E66B9" w:rsidRPr="00B65257">
        <w:rPr>
          <w:rFonts w:ascii="Times New Roman" w:eastAsia="Times New Roman" w:hAnsi="Times New Roman" w:cs="Times New Roman"/>
          <w:sz w:val="24"/>
          <w:szCs w:val="24"/>
        </w:rPr>
        <w:instrText>ADDIN CSL_CITATION {"citationItems":[{"id":"ITEM-1","itemData":{"DOI":"10.1186/S13568-017-0477-Z","ISSN":"2191-0855","PMID":"28929383","abstract":"Infected chronic wounds are polymicrobial in nature which include a diverse group of aerobic and anaerobic microorganisms. Majority of these communal microorganisms are difficult to grow in vitro. DNA fingerprinting methods such as polymerase chain reaction-denaturation gradient gel electrophoresis (PCR-DGGE) facilitate the microbial profiling of complex ecosystems including infected chronic wounds. Six different DNA extraction methods were compared for profiling of the microbial community associated with chronic wound infections using PCR-DGGE. Tissue debris obtained from chronic wound ulcers of ten patients were used for DNA extraction. Total nucleic acid was extracted from each specimen using six DNA extraction methods. The yield, purity and quality of DNA was measured and used for PCR amplification targeting V2–V3 region of eubacterial 16S rRNA gene. QIAGEN DNeasy Blood and Tissue Kit (K method) produced good quality genomic DNA compared to the other five DNA extraction methods and gave a broad diversity of bacterial communities in chronic wounds. Among the five conventional methods, bead beater/phenol–chloroform based DNA extraction method with STES buffer (BP1 method) gave a yield of DNA with a high purity and resulted in a higher DGGE band diversity. Although DNA extraction using heat and NaOH had the lowest purity, DGGE revealed a higher bacterial diversity. The findings suggest that the quality and the yield of genomic DNA are influenced by the DNA extraction protocol, thus a method should be carefully selected in profiling a complex microbial community.","author":[{"dropping-particle":"","family":"Dilhari","given":"Ayomi","non-dropping-particle":"","parse-names":false,"suffix":""},{"dropping-particle":"","family":"Sampath","given":"Asanga","non-dropping-particle":"","parse-names":false,"suffix":""},{"dropping-particle":"","family":"Gunasekara","given":"Chinthika","non-dropping-particle":"","parse-names":false,"suffix":""},{"dropping-particle":"","family":"Fernando","given":"Neluka","non-dropping-particle":"","parse-names":false,"suffix":""},{"dropping-particle":"","family":"Weerasekara","given":"Deepaka","non-dropping-particle":"","parse-names":false,"suffix":""},{"dropping-particle":"","family":"Sissons","given":"Chris","non-dropping-particle":"","parse-names":false,"suffix":""},{"dropping-particle":"","family":"McBain","given":"Andrew","non-dropping-particle":"","parse-names":false,"suffix":""},{"dropping-particle":"","family":"Weerasekera","given":"Manjula","non-dropping-particle":"","parse-names":false,"suffix":""}],"container-title":"AMB Express","id":"ITEM-1","issue":"1","issued":{"date-parts":[["2017","12"]]},"publisher":"AMB Express","title":"Evaluation of the impact of six different DNA extraction methods for the representation of the microbial community associated with human chronic wound infections using a gel-based DNA profiling method","type":"article-journal","volume":"7"},"uris":["http://www.mendeley.com/documents/?uuid=6a731942-7cf7-4f2e-8b5f-ee350acb8a4e"]}],"mendeley":{"formattedCitation":"(30)","plainTextFormattedCitation":"(30)","previouslyFormattedCitation":"(30)"},"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5E66B9" w:rsidRPr="00B65257">
        <w:rPr>
          <w:rFonts w:ascii="Times New Roman" w:eastAsia="Times New Roman" w:hAnsi="Times New Roman" w:cs="Times New Roman"/>
          <w:noProof/>
          <w:sz w:val="24"/>
          <w:szCs w:val="24"/>
        </w:rPr>
        <w:t>(30)</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w:t>
      </w:r>
    </w:p>
    <w:p w:rsidR="00DA6BB3" w:rsidRPr="00DA6BB3" w:rsidRDefault="00595131" w:rsidP="00DA6BB3">
      <w:pPr>
        <w:numPr>
          <w:ilvl w:val="0"/>
          <w:numId w:val="1"/>
        </w:numPr>
        <w:spacing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b/>
          <w:bCs/>
          <w:sz w:val="24"/>
          <w:szCs w:val="24"/>
        </w:rPr>
        <w:t>Gene amplification and electrophoresis</w:t>
      </w:r>
      <w:r w:rsidRPr="00B65257">
        <w:rPr>
          <w:rFonts w:ascii="Times New Roman" w:eastAsia="Times New Roman" w:hAnsi="Times New Roman" w:cs="Times New Roman"/>
          <w:sz w:val="24"/>
          <w:szCs w:val="24"/>
        </w:rPr>
        <w:t xml:space="preserve">: PCR was used to detect the </w:t>
      </w:r>
      <w:r w:rsidRPr="00B65257">
        <w:rPr>
          <w:rFonts w:ascii="Times New Roman" w:eastAsia="Times New Roman" w:hAnsi="Times New Roman" w:cs="Times New Roman"/>
          <w:i/>
          <w:iCs/>
          <w:sz w:val="24"/>
          <w:szCs w:val="24"/>
        </w:rPr>
        <w:t>bla</w:t>
      </w:r>
      <w:r w:rsidRPr="00B65257">
        <w:rPr>
          <w:rFonts w:ascii="Times New Roman" w:eastAsia="Times New Roman" w:hAnsi="Times New Roman" w:cs="Times New Roman"/>
          <w:sz w:val="24"/>
          <w:szCs w:val="24"/>
          <w:vertAlign w:val="subscript"/>
        </w:rPr>
        <w:t>KPC</w:t>
      </w:r>
      <w:r w:rsidRPr="00B65257">
        <w:rPr>
          <w:rFonts w:ascii="Times New Roman" w:eastAsia="Times New Roman" w:hAnsi="Times New Roman" w:cs="Times New Roman"/>
          <w:sz w:val="24"/>
          <w:szCs w:val="24"/>
        </w:rPr>
        <w:t xml:space="preserve">, </w:t>
      </w:r>
      <w:r w:rsidRPr="00B65257">
        <w:rPr>
          <w:rFonts w:ascii="Times New Roman" w:eastAsia="Times New Roman" w:hAnsi="Times New Roman" w:cs="Times New Roman"/>
          <w:i/>
          <w:iCs/>
          <w:sz w:val="24"/>
          <w:szCs w:val="24"/>
        </w:rPr>
        <w:t>bla</w:t>
      </w:r>
      <w:r w:rsidRPr="00B65257">
        <w:rPr>
          <w:rFonts w:ascii="Times New Roman" w:eastAsia="Times New Roman" w:hAnsi="Times New Roman" w:cs="Times New Roman"/>
          <w:sz w:val="24"/>
          <w:szCs w:val="24"/>
          <w:vertAlign w:val="subscript"/>
        </w:rPr>
        <w:t>OXA-48</w:t>
      </w:r>
      <w:r w:rsidRPr="00B65257">
        <w:rPr>
          <w:rFonts w:ascii="Times New Roman" w:eastAsia="Times New Roman" w:hAnsi="Times New Roman" w:cs="Times New Roman"/>
          <w:sz w:val="24"/>
          <w:szCs w:val="24"/>
        </w:rPr>
        <w:t>, AcrA, and AcrB genes with specific primers. The amplified products were analyzed by gel electrop</w:t>
      </w:r>
      <w:r w:rsidR="00DA6BB3">
        <w:rPr>
          <w:rFonts w:ascii="Times New Roman" w:eastAsia="Times New Roman" w:hAnsi="Times New Roman" w:cs="Times New Roman"/>
          <w:sz w:val="24"/>
          <w:szCs w:val="24"/>
        </w:rPr>
        <w:t>horesis.</w:t>
      </w:r>
    </w:p>
    <w:p w:rsidR="00DA6BB3" w:rsidRPr="00B65257" w:rsidRDefault="00DA6BB3" w:rsidP="00DA6BB3">
      <w:pPr>
        <w:keepNext/>
        <w:keepLines/>
        <w:spacing w:after="240" w:line="360" w:lineRule="auto"/>
        <w:outlineLvl w:val="2"/>
        <w:rPr>
          <w:rFonts w:ascii="Times New Roman" w:eastAsia="Times New Roman" w:hAnsi="Times New Roman" w:cs="Times New Roman"/>
          <w:b/>
          <w:bCs/>
          <w:sz w:val="28"/>
          <w:szCs w:val="28"/>
        </w:rPr>
      </w:pPr>
      <w:r w:rsidRPr="00B65257">
        <w:rPr>
          <w:rFonts w:ascii="Times New Roman" w:eastAsia="Times New Roman" w:hAnsi="Times New Roman" w:cs="Times New Roman"/>
          <w:b/>
          <w:bCs/>
          <w:i/>
          <w:iCs/>
          <w:sz w:val="28"/>
          <w:szCs w:val="28"/>
        </w:rPr>
        <w:t>bla</w:t>
      </w:r>
      <w:r w:rsidRPr="00B65257">
        <w:rPr>
          <w:rFonts w:ascii="Times New Roman" w:eastAsia="Times New Roman" w:hAnsi="Times New Roman" w:cs="Times New Roman"/>
          <w:b/>
          <w:bCs/>
          <w:sz w:val="28"/>
          <w:szCs w:val="28"/>
          <w:vertAlign w:val="subscript"/>
        </w:rPr>
        <w:t>KPC</w:t>
      </w:r>
    </w:p>
    <w:p w:rsidR="00DA6BB3" w:rsidRPr="00B65257" w:rsidRDefault="00DA6BB3" w:rsidP="00DA6BB3">
      <w:pPr>
        <w:tabs>
          <w:tab w:val="left" w:pos="2100"/>
        </w:tabs>
        <w:spacing w:after="240" w:line="360" w:lineRule="auto"/>
        <w:jc w:val="both"/>
        <w:rPr>
          <w:rFonts w:ascii="Times New Roman" w:hAnsi="Times New Roman" w:cs="Times New Roman"/>
          <w:color w:val="000000"/>
          <w:sz w:val="24"/>
          <w:szCs w:val="24"/>
          <w:shd w:val="clear" w:color="auto" w:fill="FFFFFF"/>
          <w:lang w:bidi="ar-SA"/>
        </w:rPr>
      </w:pPr>
      <w:r w:rsidRPr="00B65257">
        <w:rPr>
          <w:rFonts w:ascii="Times New Roman" w:eastAsia="Times New Roman" w:hAnsi="Times New Roman" w:cs="Times New Roman"/>
          <w:sz w:val="24"/>
          <w:szCs w:val="24"/>
        </w:rPr>
        <w:t>For gene amplification</w:t>
      </w:r>
      <w:r w:rsidRPr="00B65257">
        <w:rPr>
          <w:rFonts w:ascii="Times New Roman" w:eastAsia="Times New Roman" w:hAnsi="Times New Roman" w:cs="Times New Roman"/>
          <w:b/>
          <w:bCs/>
          <w:color w:val="222222"/>
          <w:sz w:val="24"/>
          <w:szCs w:val="24"/>
        </w:rPr>
        <w:t xml:space="preserve"> </w:t>
      </w:r>
      <w:r w:rsidRPr="00B65257">
        <w:rPr>
          <w:rFonts w:ascii="Times New Roman" w:eastAsia="Times New Roman" w:hAnsi="Times New Roman" w:cs="Times New Roman"/>
          <w:color w:val="222222"/>
          <w:sz w:val="24"/>
          <w:szCs w:val="24"/>
        </w:rPr>
        <w:t xml:space="preserve">of </w:t>
      </w:r>
      <w:r w:rsidRPr="00B65257">
        <w:rPr>
          <w:rFonts w:ascii="Times New Roman" w:eastAsia="Times New Roman" w:hAnsi="Times New Roman" w:cs="Times New Roman"/>
          <w:i/>
          <w:iCs/>
          <w:color w:val="222222"/>
          <w:sz w:val="24"/>
          <w:szCs w:val="24"/>
        </w:rPr>
        <w:t>bla</w:t>
      </w:r>
      <w:r w:rsidRPr="00B65257">
        <w:rPr>
          <w:rFonts w:ascii="Times New Roman" w:eastAsia="Times New Roman" w:hAnsi="Times New Roman" w:cs="Times New Roman"/>
          <w:color w:val="222222"/>
          <w:sz w:val="24"/>
          <w:szCs w:val="24"/>
          <w:vertAlign w:val="subscript"/>
        </w:rPr>
        <w:t>KPC</w:t>
      </w:r>
      <w:r w:rsidRPr="00B65257">
        <w:rPr>
          <w:rFonts w:ascii="Times New Roman" w:eastAsia="Times New Roman" w:hAnsi="Times New Roman" w:cs="Times New Roman"/>
          <w:color w:val="222222"/>
          <w:sz w:val="24"/>
          <w:szCs w:val="24"/>
        </w:rPr>
        <w:t>, approximately 300 ng of template DNA, 7.5 µl of master mix (</w:t>
      </w:r>
      <w:r w:rsidRPr="00B65257">
        <w:rPr>
          <w:rFonts w:ascii="Times New Roman" w:hAnsi="Times New Roman" w:cs="Times New Roman"/>
          <w:sz w:val="24"/>
          <w:szCs w:val="24"/>
          <w:lang w:bidi="ar-SA"/>
        </w:rPr>
        <w:t>Qiagen, Germany</w:t>
      </w:r>
      <w:r w:rsidRPr="00B65257">
        <w:rPr>
          <w:rFonts w:ascii="Times New Roman" w:eastAsia="Times New Roman" w:hAnsi="Times New Roman" w:cs="Times New Roman"/>
          <w:color w:val="222222"/>
          <w:sz w:val="24"/>
          <w:szCs w:val="24"/>
        </w:rPr>
        <w:t>), 0.2 mM of each primer and nuclease-free water were added to a final volume of 15 µl. The primer pairs used to detect</w:t>
      </w:r>
      <w:r w:rsidRPr="00B65257">
        <w:rPr>
          <w:rFonts w:ascii="Times New Roman" w:eastAsia="Times New Roman" w:hAnsi="Times New Roman" w:cs="Times New Roman"/>
          <w:i/>
          <w:iCs/>
          <w:color w:val="222222"/>
          <w:sz w:val="24"/>
          <w:szCs w:val="24"/>
        </w:rPr>
        <w:t xml:space="preserve"> the bla</w:t>
      </w:r>
      <w:r w:rsidRPr="00B65257">
        <w:rPr>
          <w:rFonts w:ascii="Times New Roman" w:eastAsia="Times New Roman" w:hAnsi="Times New Roman" w:cs="Times New Roman"/>
          <w:color w:val="222222"/>
          <w:sz w:val="24"/>
          <w:szCs w:val="24"/>
          <w:vertAlign w:val="subscript"/>
        </w:rPr>
        <w:t xml:space="preserve">KPC </w:t>
      </w:r>
      <w:r w:rsidRPr="00B65257">
        <w:rPr>
          <w:rFonts w:ascii="Times New Roman" w:eastAsia="Times New Roman" w:hAnsi="Times New Roman" w:cs="Times New Roman"/>
          <w:color w:val="222222"/>
          <w:sz w:val="24"/>
          <w:szCs w:val="24"/>
        </w:rPr>
        <w:t xml:space="preserve">gene (798 bp) were </w:t>
      </w:r>
      <w:r w:rsidRPr="00B65257">
        <w:rPr>
          <w:rFonts w:ascii="Times New Roman" w:eastAsia="Times New Roman" w:hAnsi="Times New Roman" w:cs="Times New Roman"/>
          <w:i/>
          <w:iCs/>
          <w:color w:val="222222"/>
          <w:sz w:val="24"/>
          <w:szCs w:val="24"/>
        </w:rPr>
        <w:t>bla</w:t>
      </w:r>
      <w:r w:rsidRPr="00B65257">
        <w:rPr>
          <w:rFonts w:ascii="Times New Roman" w:eastAsia="Times New Roman" w:hAnsi="Times New Roman" w:cs="Times New Roman"/>
          <w:color w:val="222222"/>
          <w:sz w:val="24"/>
          <w:szCs w:val="24"/>
          <w:vertAlign w:val="subscript"/>
        </w:rPr>
        <w:t xml:space="preserve">KPC, </w:t>
      </w:r>
      <w:r w:rsidRPr="00B65257">
        <w:rPr>
          <w:rFonts w:ascii="Times New Roman" w:eastAsia="Times New Roman" w:hAnsi="Times New Roman" w:cs="Times New Roman"/>
          <w:color w:val="222222"/>
          <w:sz w:val="24"/>
          <w:szCs w:val="24"/>
        </w:rPr>
        <w:t>F (</w:t>
      </w:r>
      <w:r w:rsidRPr="00B65257">
        <w:rPr>
          <w:rFonts w:ascii="Times New Roman" w:eastAsia="Times New Roman" w:hAnsi="Times New Roman" w:cs="Times New Roman"/>
          <w:sz w:val="24"/>
          <w:szCs w:val="24"/>
        </w:rPr>
        <w:t xml:space="preserve">CGTCTAGTTCTGCTGTCTTG) and </w:t>
      </w:r>
      <w:r w:rsidRPr="00B65257">
        <w:rPr>
          <w:rFonts w:ascii="Times New Roman" w:eastAsia="Times New Roman" w:hAnsi="Times New Roman" w:cs="Times New Roman"/>
          <w:i/>
          <w:iCs/>
          <w:color w:val="222222"/>
          <w:sz w:val="24"/>
          <w:szCs w:val="24"/>
        </w:rPr>
        <w:t>bla</w:t>
      </w:r>
      <w:r w:rsidRPr="00B65257">
        <w:rPr>
          <w:rFonts w:ascii="Times New Roman" w:eastAsia="Times New Roman" w:hAnsi="Times New Roman" w:cs="Times New Roman"/>
          <w:color w:val="222222"/>
          <w:sz w:val="24"/>
          <w:szCs w:val="24"/>
          <w:vertAlign w:val="subscript"/>
        </w:rPr>
        <w:t xml:space="preserve">KPC </w:t>
      </w:r>
      <w:r w:rsidRPr="00B65257">
        <w:rPr>
          <w:rFonts w:ascii="Times New Roman" w:eastAsia="Times New Roman" w:hAnsi="Times New Roman" w:cs="Times New Roman"/>
          <w:color w:val="222222"/>
          <w:sz w:val="24"/>
          <w:szCs w:val="24"/>
        </w:rPr>
        <w:t>R (</w:t>
      </w:r>
      <w:r w:rsidRPr="00B65257">
        <w:rPr>
          <w:rFonts w:ascii="Times New Roman" w:eastAsia="Times New Roman" w:hAnsi="Times New Roman" w:cs="Times New Roman"/>
          <w:sz w:val="24"/>
          <w:szCs w:val="24"/>
        </w:rPr>
        <w:t xml:space="preserve">CTTGTCATCCTTGTTAGGCG). In a thermocycler, amplification was performed with the following cyclic parameters: initial temperature at 95 °C for 15 minutes, followed by 35 cycles of denaturation at 94 °C for 30 s, annealing at 58 °C for 90 s, extension at 72 °C for 90 s and a final extension at 72 °C for 10 minutes. Finally, the amplified products were subjected to gel electrophoresis in a 1.5% agarose gel after being stained with ethidium bromide, and the gel was transferred to a UV illuminator for photo documentation and analysis of the results </w:t>
      </w:r>
      <w:r w:rsidRPr="00B65257">
        <w:rPr>
          <w:rFonts w:ascii="Times New Roman" w:eastAsia="Times New Roman" w:hAnsi="Times New Roman" w:cs="Times New Roman"/>
          <w:sz w:val="24"/>
          <w:szCs w:val="24"/>
        </w:rPr>
        <w:fldChar w:fldCharType="begin" w:fldLock="1"/>
      </w:r>
      <w:r w:rsidRPr="00B65257">
        <w:rPr>
          <w:rFonts w:ascii="Times New Roman" w:eastAsia="Times New Roman" w:hAnsi="Times New Roman" w:cs="Times New Roman"/>
          <w:sz w:val="24"/>
          <w:szCs w:val="24"/>
        </w:rPr>
        <w:instrText>ADDIN CSL_CITATION {"citationItems":[{"id":"ITEM-1","itemData":{"DOI":"10.1371/journal.pone.0267657","ISSN":"19326203","PMID":"35476721","abstract":"Background Infections caused by Klebsiella pneumoniae have been difficult to control because of the worldwide emergence of carbapenem-resistant isolates mainly due to carbapenemase production. Information regarding carbapenemase-producing K. pneumoniae is still scarce in Ethiopia. Therefore, the current study aimed to determine the prevalence of carbapenemase-producing K. pneumoniae and to assess the occurrence of blaNDM and blaKPC carbapenemase genes. Methods A cross-sectional study was conducted from September 2018 to February 2019 at Tikur Anbessa Specialized Hospital, Addis Ababa, Ethiopia. A total of 132 non-duplicate K. pneumoniae isolates were studied. Phenotypic confirmation of carbapenemase production was done by modified Carbapenem Inactivation Method (mCIM). Multiplex PCR was performed for the detection of carbapenemase-encoding genes blaKPC, and blaNDM. Results Out of the total 132 K. pneumoniae isolates, 39 (29.6%) were non-susceptible to one or more carbapenems. The prevalence of carbapenemase-producing isolates from the total was 28 (21.2%) with mCIM of which the most dominant gene was blaNDM 26 (92.9%) and one isolate carried blaKPC concomitantly. Carbapenemase-producing K. pneumoniae isolates were 100% non-susceptible to half of the antimicrobials used in the study, including meropenem and ertapenem. Previous use of carbapenems was associated with carbapenemase production (P = 0.004). Conclusions The prevalence of carbapenemase-producing K. pneumoniae isolates was worrying in the study area. To our knowledge, the study described the emergence of blaNDM and blaKPC gene carrying K. pneumoniae in Ethiopia for the first time. Further large-scale molecular-based studies, including other carbapenemase genes and sequencing of K. pneumoniae, are warranted to have a clear awareness about the presence of antimicrobial resistance high-risk clones in Ethiopia.","author":[{"dropping-particle":"","family":"Awoke","given":"Tewachew","non-dropping-particle":"","parse-names":false,"suffix":""},{"dropping-particle":"","family":"Teka","given":"Brhanu","non-dropping-particle":"","parse-names":false,"suffix":""},{"dropping-particle":"","family":"Aseffa","given":"Abraham","non-dropping-particle":"","parse-names":false,"suffix":""},{"dropping-particle":"","family":"Sebre","given":"Shemse","non-dropping-particle":"","parse-names":false,"suffix":""},{"dropping-particle":"","family":"Seman","given":"Aminu","non-dropping-particle":"","parse-names":false,"suffix":""},{"dropping-particle":"","family":"Yeshitela","given":"Biruk","non-dropping-particle":"","parse-names":false,"suffix":""},{"dropping-particle":"","family":"Abebe","given":"Tamrat","non-dropping-particle":"","parse-names":false,"suffix":""},{"dropping-particle":"","family":"Mihret","given":"Adane","non-dropping-particle":"","parse-names":false,"suffix":""}],"container-title":"PLoS ONE","id":"ITEM-1","issue":"4 April","issued":{"date-parts":[["2022","4","1"]]},"publisher":"Public Library of Science","title":"Detection of blaKPC and blaNDM carbapenemase genes among Klebsiella pneumoniae isolates in Addis Ababa, Ethiopia: Dominance of blaNDM","type":"article-journal","volume":"17"},"uris":["http://www.mendeley.com/documents/?uuid=e2283c3b-e2e1-3c6a-abcf-8bc73449f167"]}],"mendeley":{"formattedCitation":"(19)","plainTextFormattedCitation":"(19)","previouslyFormattedCitation":"(19)"},"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Pr="00B65257">
        <w:rPr>
          <w:rFonts w:ascii="Times New Roman" w:eastAsia="Times New Roman" w:hAnsi="Times New Roman" w:cs="Times New Roman"/>
          <w:noProof/>
          <w:sz w:val="24"/>
          <w:szCs w:val="24"/>
        </w:rPr>
        <w:t>(19)</w:t>
      </w:r>
      <w:r w:rsidRPr="00B65257">
        <w:rPr>
          <w:rFonts w:ascii="Times New Roman" w:eastAsia="Times New Roman" w:hAnsi="Times New Roman" w:cs="Times New Roman"/>
          <w:sz w:val="24"/>
          <w:szCs w:val="24"/>
        </w:rPr>
        <w:fldChar w:fldCharType="end"/>
      </w:r>
      <w:r w:rsidRPr="00B65257">
        <w:rPr>
          <w:rFonts w:ascii="Times New Roman" w:hAnsi="Times New Roman" w:cs="Times New Roman"/>
          <w:color w:val="000000"/>
          <w:sz w:val="24"/>
          <w:szCs w:val="24"/>
          <w:shd w:val="clear" w:color="auto" w:fill="FFFFFF"/>
          <w:lang w:bidi="ar-SA"/>
        </w:rPr>
        <w:t>.</w:t>
      </w:r>
    </w:p>
    <w:p w:rsidR="00DA6BB3" w:rsidRPr="00B65257" w:rsidRDefault="00DA6BB3" w:rsidP="00DA6BB3">
      <w:pPr>
        <w:tabs>
          <w:tab w:val="left" w:pos="2100"/>
        </w:tabs>
        <w:spacing w:after="240" w:line="360" w:lineRule="auto"/>
        <w:jc w:val="both"/>
        <w:rPr>
          <w:rFonts w:ascii="Times New Roman" w:hAnsi="Times New Roman" w:cs="Times New Roman"/>
          <w:color w:val="000000"/>
          <w:sz w:val="24"/>
          <w:szCs w:val="24"/>
          <w:shd w:val="clear" w:color="auto" w:fill="FFFFFF"/>
          <w:lang w:bidi="ar-SA"/>
        </w:rPr>
      </w:pPr>
      <w:r w:rsidRPr="00B65257">
        <w:rPr>
          <w:rFonts w:ascii="Times New Roman" w:eastAsia="Times New Roman" w:hAnsi="Times New Roman" w:cs="Times New Roman"/>
          <w:b/>
          <w:bCs/>
          <w:i/>
          <w:iCs/>
          <w:sz w:val="28"/>
          <w:szCs w:val="28"/>
        </w:rPr>
        <w:t xml:space="preserve"> bla</w:t>
      </w:r>
      <w:r w:rsidRPr="00B65257">
        <w:rPr>
          <w:rFonts w:ascii="Times New Roman" w:eastAsia="Times New Roman" w:hAnsi="Times New Roman" w:cs="Times New Roman"/>
          <w:b/>
          <w:bCs/>
          <w:sz w:val="28"/>
          <w:szCs w:val="28"/>
          <w:vertAlign w:val="subscript"/>
        </w:rPr>
        <w:t>OXA-48</w:t>
      </w:r>
      <w:r w:rsidRPr="00B65257">
        <w:rPr>
          <w:rFonts w:ascii="Times New Roman" w:eastAsia="Times New Roman" w:hAnsi="Times New Roman" w:cs="Times New Roman"/>
          <w:b/>
          <w:bCs/>
          <w:i/>
          <w:iCs/>
          <w:sz w:val="28"/>
          <w:szCs w:val="28"/>
          <w:vertAlign w:val="subscript"/>
        </w:rPr>
        <w:t xml:space="preserve"> </w:t>
      </w:r>
      <w:r w:rsidRPr="00B65257">
        <w:rPr>
          <w:rFonts w:ascii="Times New Roman" w:eastAsia="Times New Roman" w:hAnsi="Times New Roman" w:cs="Times New Roman"/>
          <w:b/>
          <w:bCs/>
          <w:i/>
          <w:iCs/>
          <w:sz w:val="28"/>
          <w:szCs w:val="28"/>
        </w:rPr>
        <w:t xml:space="preserve"> </w:t>
      </w:r>
      <w:r w:rsidRPr="00B65257">
        <w:rPr>
          <w:rFonts w:ascii="Times New Roman" w:eastAsia="Times New Roman" w:hAnsi="Times New Roman" w:cs="Times New Roman"/>
          <w:b/>
          <w:bCs/>
          <w:i/>
          <w:iCs/>
          <w:sz w:val="28"/>
          <w:szCs w:val="28"/>
        </w:rPr>
        <w:tab/>
      </w:r>
    </w:p>
    <w:p w:rsidR="00DA6BB3" w:rsidRPr="00B65257" w:rsidRDefault="00DA6BB3" w:rsidP="00DA6BB3">
      <w:pPr>
        <w:tabs>
          <w:tab w:val="left" w:pos="2100"/>
        </w:tabs>
        <w:spacing w:before="240" w:after="240" w:line="360" w:lineRule="auto"/>
        <w:jc w:val="both"/>
        <w:rPr>
          <w:rFonts w:ascii="Times New Roman" w:hAnsi="Times New Roman" w:cs="Times New Roman"/>
          <w:color w:val="000000"/>
          <w:sz w:val="24"/>
          <w:szCs w:val="24"/>
          <w:shd w:val="clear" w:color="auto" w:fill="FFFFFF"/>
          <w:lang w:bidi="ar-SA"/>
        </w:rPr>
      </w:pPr>
      <w:r w:rsidRPr="00B65257">
        <w:rPr>
          <w:rFonts w:ascii="Times New Roman" w:eastAsia="Times New Roman" w:hAnsi="Times New Roman" w:cs="Times New Roman"/>
          <w:color w:val="222222"/>
          <w:sz w:val="24"/>
          <w:szCs w:val="24"/>
        </w:rPr>
        <w:t xml:space="preserve">For gene amplification of </w:t>
      </w:r>
      <w:r w:rsidRPr="00B65257">
        <w:rPr>
          <w:rFonts w:ascii="Times New Roman" w:eastAsia="Times New Roman" w:hAnsi="Times New Roman" w:cs="Times New Roman"/>
          <w:i/>
          <w:iCs/>
          <w:color w:val="222222"/>
          <w:sz w:val="24"/>
          <w:szCs w:val="24"/>
        </w:rPr>
        <w:t>bla</w:t>
      </w:r>
      <w:r w:rsidRPr="00B65257">
        <w:rPr>
          <w:rFonts w:ascii="Times New Roman" w:eastAsia="Times New Roman" w:hAnsi="Times New Roman" w:cs="Times New Roman"/>
          <w:color w:val="222222"/>
          <w:sz w:val="24"/>
          <w:szCs w:val="24"/>
          <w:vertAlign w:val="subscript"/>
        </w:rPr>
        <w:t>OXA-48</w:t>
      </w:r>
      <w:r w:rsidRPr="00B65257">
        <w:rPr>
          <w:rFonts w:ascii="Times New Roman" w:eastAsia="Times New Roman" w:hAnsi="Times New Roman" w:cs="Times New Roman"/>
          <w:color w:val="222222"/>
          <w:sz w:val="24"/>
          <w:szCs w:val="24"/>
        </w:rPr>
        <w:t>, 3 µl of plasmid DNA, 13 µl of master mix, 0.5 µl each of reverse and forward primers and 8 µl of nuclease-free water were added to make a final mixture volume of 25 µl. The primer pairs used to detect</w:t>
      </w:r>
      <w:r w:rsidRPr="00B65257">
        <w:rPr>
          <w:rFonts w:ascii="Times New Roman" w:eastAsia="Times New Roman" w:hAnsi="Times New Roman" w:cs="Times New Roman"/>
          <w:i/>
          <w:iCs/>
          <w:color w:val="222222"/>
          <w:sz w:val="24"/>
          <w:szCs w:val="24"/>
        </w:rPr>
        <w:t xml:space="preserve"> the bla</w:t>
      </w:r>
      <w:r w:rsidRPr="00B65257">
        <w:rPr>
          <w:rFonts w:ascii="Times New Roman" w:eastAsia="Times New Roman" w:hAnsi="Times New Roman" w:cs="Times New Roman"/>
          <w:color w:val="222222"/>
          <w:sz w:val="24"/>
          <w:szCs w:val="24"/>
          <w:vertAlign w:val="subscript"/>
        </w:rPr>
        <w:t>OXA-48</w:t>
      </w:r>
      <w:r w:rsidRPr="00B65257">
        <w:rPr>
          <w:rFonts w:ascii="Times New Roman" w:eastAsia="Times New Roman" w:hAnsi="Times New Roman" w:cs="Times New Roman"/>
          <w:i/>
          <w:iCs/>
          <w:color w:val="222222"/>
          <w:sz w:val="24"/>
          <w:szCs w:val="24"/>
        </w:rPr>
        <w:t xml:space="preserve"> </w:t>
      </w:r>
      <w:r w:rsidRPr="00B65257">
        <w:rPr>
          <w:rFonts w:ascii="Times New Roman" w:eastAsia="Times New Roman" w:hAnsi="Times New Roman" w:cs="Times New Roman"/>
          <w:color w:val="222222"/>
          <w:sz w:val="24"/>
          <w:szCs w:val="24"/>
        </w:rPr>
        <w:t xml:space="preserve">gene (438 bp) were </w:t>
      </w:r>
      <w:r w:rsidRPr="00B65257">
        <w:rPr>
          <w:rFonts w:ascii="Times New Roman" w:eastAsia="Times New Roman" w:hAnsi="Times New Roman" w:cs="Times New Roman"/>
          <w:i/>
          <w:iCs/>
          <w:color w:val="222222"/>
          <w:sz w:val="24"/>
          <w:szCs w:val="24"/>
        </w:rPr>
        <w:t>bla</w:t>
      </w:r>
      <w:r w:rsidRPr="00B65257">
        <w:rPr>
          <w:rFonts w:ascii="Times New Roman" w:eastAsia="Times New Roman" w:hAnsi="Times New Roman" w:cs="Times New Roman"/>
          <w:color w:val="222222"/>
          <w:sz w:val="24"/>
          <w:szCs w:val="24"/>
          <w:vertAlign w:val="subscript"/>
        </w:rPr>
        <w:t>OXA-48</w:t>
      </w:r>
      <w:r w:rsidRPr="00B65257">
        <w:rPr>
          <w:rFonts w:ascii="Times New Roman" w:eastAsia="Times New Roman" w:hAnsi="Times New Roman" w:cs="Times New Roman"/>
          <w:i/>
          <w:iCs/>
          <w:color w:val="222222"/>
          <w:sz w:val="24"/>
          <w:szCs w:val="24"/>
        </w:rPr>
        <w:t xml:space="preserve"> </w:t>
      </w:r>
      <w:r w:rsidRPr="00B65257">
        <w:rPr>
          <w:rFonts w:ascii="Times New Roman" w:eastAsia="Times New Roman" w:hAnsi="Times New Roman" w:cs="Times New Roman"/>
          <w:color w:val="222222"/>
          <w:sz w:val="24"/>
          <w:szCs w:val="24"/>
        </w:rPr>
        <w:t>F (</w:t>
      </w:r>
      <w:r w:rsidRPr="00B65257">
        <w:rPr>
          <w:rFonts w:ascii="Times New Roman" w:eastAsia="Times New Roman" w:hAnsi="Times New Roman" w:cs="Times New Roman"/>
          <w:sz w:val="24"/>
          <w:szCs w:val="24"/>
        </w:rPr>
        <w:t>CCAAGCATTTTTACCCGCATCTACC) and</w:t>
      </w:r>
      <w:r w:rsidRPr="00B65257">
        <w:rPr>
          <w:rFonts w:ascii="Times New Roman" w:eastAsia="Times New Roman" w:hAnsi="Times New Roman" w:cs="Times New Roman"/>
          <w:i/>
          <w:iCs/>
          <w:color w:val="222222"/>
          <w:sz w:val="24"/>
          <w:szCs w:val="24"/>
          <w:vertAlign w:val="subscript"/>
        </w:rPr>
        <w:t xml:space="preserve"> </w:t>
      </w:r>
      <w:r w:rsidRPr="00B65257">
        <w:rPr>
          <w:rFonts w:ascii="Times New Roman" w:eastAsia="Times New Roman" w:hAnsi="Times New Roman" w:cs="Times New Roman"/>
          <w:i/>
          <w:iCs/>
          <w:color w:val="222222"/>
          <w:sz w:val="24"/>
          <w:szCs w:val="24"/>
        </w:rPr>
        <w:t>bla</w:t>
      </w:r>
      <w:r w:rsidRPr="00B65257">
        <w:rPr>
          <w:rFonts w:ascii="Times New Roman" w:eastAsia="Times New Roman" w:hAnsi="Times New Roman" w:cs="Times New Roman"/>
          <w:color w:val="222222"/>
          <w:sz w:val="24"/>
          <w:szCs w:val="24"/>
          <w:vertAlign w:val="subscript"/>
        </w:rPr>
        <w:t>OXA-48</w:t>
      </w:r>
      <w:r w:rsidRPr="00B65257">
        <w:rPr>
          <w:rFonts w:ascii="Times New Roman" w:eastAsia="Times New Roman" w:hAnsi="Times New Roman" w:cs="Times New Roman"/>
          <w:i/>
          <w:iCs/>
          <w:color w:val="222222"/>
          <w:sz w:val="24"/>
          <w:szCs w:val="24"/>
        </w:rPr>
        <w:t xml:space="preserve"> </w:t>
      </w:r>
      <w:r w:rsidRPr="00B65257">
        <w:rPr>
          <w:rFonts w:ascii="Times New Roman" w:eastAsia="Times New Roman" w:hAnsi="Times New Roman" w:cs="Times New Roman"/>
          <w:color w:val="222222"/>
          <w:sz w:val="24"/>
          <w:szCs w:val="24"/>
        </w:rPr>
        <w:t>R (</w:t>
      </w:r>
      <w:r w:rsidRPr="00B65257">
        <w:rPr>
          <w:rFonts w:ascii="Times New Roman" w:eastAsia="Times New Roman" w:hAnsi="Times New Roman" w:cs="Times New Roman"/>
          <w:sz w:val="24"/>
          <w:szCs w:val="24"/>
        </w:rPr>
        <w:t xml:space="preserve">GTTTGACCATACGTGACTGCG). The thermal cycling process consisted of an initial temperature of 94 °C for 10 min, followed by denaturation at 94 °C for 40 s, annealing at 60 °C for 60 s, extension at 72 °C for 1 min and a final extension at 72 °C for 7 min for 30 cycles. Finally, the amplified products were subjected to gel electrophoresis in a 2% agarose gel after being stained with ethidium bromide and analyzed under </w:t>
      </w:r>
      <w:r w:rsidRPr="00B65257">
        <w:rPr>
          <w:rFonts w:ascii="Times New Roman" w:eastAsia="Calibri" w:hAnsi="Times New Roman" w:cs="Times New Roman"/>
          <w:color w:val="000000"/>
          <w:sz w:val="24"/>
          <w:szCs w:val="24"/>
          <w:lang w:bidi="ar-SA"/>
        </w:rPr>
        <w:t xml:space="preserve">a </w:t>
      </w:r>
      <w:r w:rsidRPr="00B65257">
        <w:rPr>
          <w:rFonts w:ascii="Times New Roman" w:eastAsia="Times New Roman" w:hAnsi="Times New Roman" w:cs="Times New Roman"/>
          <w:sz w:val="24"/>
          <w:szCs w:val="24"/>
        </w:rPr>
        <w:t xml:space="preserve">UV illuminator for photo documentation </w:t>
      </w:r>
      <w:r w:rsidRPr="00B65257">
        <w:rPr>
          <w:rFonts w:ascii="Times New Roman" w:eastAsia="Times New Roman" w:hAnsi="Times New Roman" w:cs="Times New Roman"/>
          <w:sz w:val="24"/>
          <w:szCs w:val="24"/>
        </w:rPr>
        <w:fldChar w:fldCharType="begin" w:fldLock="1"/>
      </w:r>
      <w:r w:rsidRPr="00B65257">
        <w:rPr>
          <w:rFonts w:ascii="Times New Roman" w:eastAsia="Times New Roman" w:hAnsi="Times New Roman" w:cs="Times New Roman"/>
          <w:sz w:val="24"/>
          <w:szCs w:val="24"/>
        </w:rPr>
        <w:instrText>ADDIN CSL_CITATION {"citationItems":[{"id":"ITEM-1","itemData":{"abstract":"Carbapenem-resistant Enterobacteriaceae are increasingly reported worldwide and cause therapeutic problem in health care facilities. In Leila Azimi 1 Patrice Nordmann 2 this study 28 imipenem-resistant K. pneumoniae were examined for Abdolaziz Rastegar Lari 1,3 expression of carbapenemases by phenotypic and genotypic methods. Modified Hodge Test (MHT), CarbaNP test were used for phenotypic detection, and PCR using specific primers for the detection of bla OXA-48-, Rémy A. Bonnin 2 bla KPC-, bla NDM-and bla VIM-type carbapenemases with specific primers were performed. MHT and CarbaNP tests were positive for all of imi-gene. According to our results NP test and MHT have high sensitivity and specificity for detection of those carbapenemases. This study reports the first cases of OXA-48-producing K. pneumoniae in Iran. Zusammenfassung Carbapenem-resistente Enterobacteriaceae sind weltweit ein zuneh-mendes therapeutisches Problem in Einrichtungen des Gesundheitswe-sens. In dieser epidemiologischen Untersuchung wurden 28 Imipenem-resistente K. pneumoniae-Stämme aus klinischem Material phenotypisch und genotypisch gegenüber ihrer Expression von Carbapenemasen untersucht. Carbapenemase-Bildung wurde phenotypisch mittels eines modifizierten Hodge-Tests (MHT) und eines CarbaNP-Tests und genoty-pisch mittels PCR unter Verwendung spezifischer Primer zur Detektion von Carbapenemase-Genen der Typen bla OXA-48 , bla KPC , bla NDM and bla VIM analysiert. MHT-und CarbaNP-Tests waren bei allen untersuchten Imi-penem-resistenten K. pneumoniae-Stämmen positiv. Das bla OXA-48-Gen wurde in 27/28 Isolaten nachgewiesen. Bei einem Isolat wurde das bla VIM-4-Gen nachgewiesen. Basierend auf dieser Untersuchung zeigten der NP-Test und der MHT die höchste Sensitivität und Spezifität zum Nachweis des Carbapenemase-Status. Diese Studie ist der erste Bericht über das Vorkommen von OXA-48-produzierenden K. pneumoniae-Stäm-men im Iran.","id":"ITEM-1","issued":{"date-parts":[["0"]]},"title":"First report of OXA-48-producing Klebsiella pneumoniae strains in Iran Erstbeschreibung von OXA-48-produzierenden Klebsiella pneumoniae-Stämmen im Iran","type":"report"},"uris":["http://www.mendeley.com/documents/?uuid=c0e4af40-23b8-3484-b4cf-1d6306d40bbf"]}],"mendeley":{"formattedCitation":"(21)","plainTextFormattedCitation":"(21)","previouslyFormattedCitation":"(21)"},"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Pr="00B65257">
        <w:rPr>
          <w:rFonts w:ascii="Times New Roman" w:eastAsia="Times New Roman" w:hAnsi="Times New Roman" w:cs="Times New Roman"/>
          <w:noProof/>
          <w:sz w:val="24"/>
          <w:szCs w:val="24"/>
        </w:rPr>
        <w:t>(21)</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w:t>
      </w:r>
    </w:p>
    <w:p w:rsidR="00DA6BB3" w:rsidRPr="00B65257" w:rsidRDefault="00DA6BB3" w:rsidP="00DA6BB3">
      <w:pPr>
        <w:keepNext/>
        <w:keepLines/>
        <w:spacing w:before="40" w:after="240" w:line="360" w:lineRule="auto"/>
        <w:outlineLvl w:val="3"/>
        <w:rPr>
          <w:rFonts w:ascii="Times New Roman" w:eastAsiaTheme="majorEastAsia" w:hAnsi="Times New Roman" w:cs="Times New Roman"/>
          <w:b/>
          <w:bCs/>
          <w:sz w:val="28"/>
          <w:szCs w:val="28"/>
          <w:shd w:val="clear" w:color="auto" w:fill="FFFFFF"/>
          <w:lang w:bidi="ar-SA"/>
        </w:rPr>
      </w:pPr>
      <w:r w:rsidRPr="00B65257">
        <w:rPr>
          <w:rFonts w:ascii="Times New Roman" w:eastAsiaTheme="majorEastAsia" w:hAnsi="Times New Roman" w:cs="Times New Roman"/>
          <w:b/>
          <w:bCs/>
          <w:sz w:val="28"/>
          <w:szCs w:val="28"/>
          <w:shd w:val="clear" w:color="auto" w:fill="FFFFFF"/>
          <w:lang w:bidi="ar-SA"/>
        </w:rPr>
        <w:lastRenderedPageBreak/>
        <w:t>Efflux genes (</w:t>
      </w:r>
      <w:r w:rsidRPr="00B65257">
        <w:rPr>
          <w:rFonts w:ascii="Times New Roman" w:eastAsiaTheme="majorEastAsia" w:hAnsi="Times New Roman" w:cs="Times New Roman"/>
          <w:b/>
          <w:bCs/>
          <w:i/>
          <w:iCs/>
          <w:sz w:val="28"/>
          <w:szCs w:val="28"/>
          <w:shd w:val="clear" w:color="auto" w:fill="FFFFFF"/>
          <w:lang w:bidi="ar-SA"/>
        </w:rPr>
        <w:t>acrA</w:t>
      </w:r>
      <w:r w:rsidRPr="00B65257">
        <w:rPr>
          <w:rFonts w:ascii="Times New Roman" w:eastAsiaTheme="majorEastAsia" w:hAnsi="Times New Roman" w:cs="Times New Roman"/>
          <w:b/>
          <w:bCs/>
          <w:sz w:val="28"/>
          <w:szCs w:val="28"/>
          <w:shd w:val="clear" w:color="auto" w:fill="FFFFFF"/>
          <w:lang w:bidi="ar-SA"/>
        </w:rPr>
        <w:t xml:space="preserve"> and </w:t>
      </w:r>
      <w:r w:rsidRPr="00B65257">
        <w:rPr>
          <w:rFonts w:ascii="Times New Roman" w:eastAsiaTheme="majorEastAsia" w:hAnsi="Times New Roman" w:cs="Times New Roman"/>
          <w:b/>
          <w:bCs/>
          <w:i/>
          <w:iCs/>
          <w:sz w:val="28"/>
          <w:szCs w:val="28"/>
          <w:shd w:val="clear" w:color="auto" w:fill="FFFFFF"/>
          <w:lang w:bidi="ar-SA"/>
        </w:rPr>
        <w:t>acrB</w:t>
      </w:r>
      <w:r w:rsidRPr="00B65257">
        <w:rPr>
          <w:rFonts w:ascii="Times New Roman" w:eastAsiaTheme="majorEastAsia" w:hAnsi="Times New Roman" w:cs="Times New Roman"/>
          <w:b/>
          <w:bCs/>
          <w:sz w:val="28"/>
          <w:szCs w:val="28"/>
          <w:shd w:val="clear" w:color="auto" w:fill="FFFFFF"/>
          <w:lang w:bidi="ar-SA"/>
        </w:rPr>
        <w:t>)</w:t>
      </w:r>
    </w:p>
    <w:p w:rsidR="00DA6BB3" w:rsidRPr="00B65257" w:rsidRDefault="00DA6BB3" w:rsidP="00DA6BB3">
      <w:pPr>
        <w:tabs>
          <w:tab w:val="left" w:pos="2100"/>
        </w:tabs>
        <w:spacing w:before="40" w:after="240" w:line="360" w:lineRule="auto"/>
        <w:jc w:val="both"/>
        <w:rPr>
          <w:rFonts w:ascii="Times New Roman" w:hAnsi="Times New Roman" w:cs="Times New Roman"/>
          <w:color w:val="000000"/>
          <w:sz w:val="24"/>
          <w:szCs w:val="24"/>
          <w:shd w:val="clear" w:color="auto" w:fill="FFFFFF"/>
          <w:lang w:bidi="ar-SA"/>
        </w:rPr>
      </w:pPr>
      <w:r w:rsidRPr="00B65257">
        <w:rPr>
          <w:rFonts w:ascii="Times New Roman" w:eastAsia="Times New Roman" w:hAnsi="Times New Roman" w:cs="Times New Roman"/>
          <w:color w:val="222222"/>
          <w:sz w:val="24"/>
          <w:szCs w:val="24"/>
        </w:rPr>
        <w:t>For gene amplification of efflux pump genes, a 1 µl DNA sample, 5 µl master mix, 0.5 µl each of reverse and forward primers and 18 µl nuclease-free water were added to make a final mixture volume of 25 µl. The primer pairs used to detect</w:t>
      </w:r>
      <w:r w:rsidRPr="00B65257">
        <w:rPr>
          <w:rFonts w:ascii="Times New Roman" w:eastAsia="Times New Roman" w:hAnsi="Times New Roman" w:cs="Times New Roman"/>
          <w:i/>
          <w:iCs/>
          <w:color w:val="222222"/>
          <w:sz w:val="24"/>
          <w:szCs w:val="24"/>
        </w:rPr>
        <w:t xml:space="preserve"> the acrA </w:t>
      </w:r>
      <w:r w:rsidRPr="00B65257">
        <w:rPr>
          <w:rFonts w:ascii="Times New Roman" w:eastAsia="Times New Roman" w:hAnsi="Times New Roman" w:cs="Times New Roman"/>
          <w:color w:val="222222"/>
          <w:sz w:val="24"/>
          <w:szCs w:val="24"/>
        </w:rPr>
        <w:t>gene (226 bp) were primer</w:t>
      </w:r>
      <w:r w:rsidRPr="00B65257">
        <w:rPr>
          <w:rFonts w:ascii="Times New Roman" w:eastAsia="Times New Roman" w:hAnsi="Times New Roman" w:cs="Times New Roman"/>
          <w:i/>
          <w:iCs/>
          <w:color w:val="222222"/>
          <w:sz w:val="24"/>
          <w:szCs w:val="24"/>
        </w:rPr>
        <w:t xml:space="preserve"> </w:t>
      </w:r>
      <w:r w:rsidRPr="00B65257">
        <w:rPr>
          <w:rFonts w:ascii="Times New Roman" w:eastAsia="Times New Roman" w:hAnsi="Times New Roman" w:cs="Times New Roman"/>
          <w:color w:val="222222"/>
          <w:sz w:val="24"/>
          <w:szCs w:val="24"/>
        </w:rPr>
        <w:t>F (</w:t>
      </w:r>
      <w:r w:rsidRPr="00B65257">
        <w:rPr>
          <w:rFonts w:ascii="Times New Roman" w:hAnsi="Times New Roman" w:cs="Times New Roman"/>
          <w:sz w:val="24"/>
          <w:szCs w:val="24"/>
        </w:rPr>
        <w:t>TGATGCTCTCAGGCAGCTTA</w:t>
      </w:r>
      <w:r w:rsidRPr="00B65257">
        <w:rPr>
          <w:rFonts w:ascii="Times New Roman" w:eastAsia="Times New Roman" w:hAnsi="Times New Roman" w:cs="Times New Roman"/>
          <w:sz w:val="24"/>
          <w:szCs w:val="24"/>
        </w:rPr>
        <w:t xml:space="preserve">) and </w:t>
      </w:r>
      <w:r w:rsidRPr="00B65257">
        <w:rPr>
          <w:rFonts w:ascii="Times New Roman" w:eastAsia="Times New Roman" w:hAnsi="Times New Roman" w:cs="Times New Roman"/>
          <w:color w:val="222222"/>
          <w:sz w:val="24"/>
          <w:szCs w:val="24"/>
        </w:rPr>
        <w:t>primer R (</w:t>
      </w:r>
      <w:r w:rsidRPr="00B65257">
        <w:rPr>
          <w:rFonts w:ascii="Times New Roman" w:hAnsi="Times New Roman" w:cs="Times New Roman"/>
          <w:sz w:val="24"/>
          <w:szCs w:val="24"/>
        </w:rPr>
        <w:t>GCCTGGATATCGCTACCTTC</w:t>
      </w:r>
      <w:r w:rsidRPr="00B65257">
        <w:rPr>
          <w:rFonts w:ascii="Times New Roman" w:eastAsia="Times New Roman" w:hAnsi="Times New Roman" w:cs="Times New Roman"/>
          <w:sz w:val="24"/>
          <w:szCs w:val="24"/>
        </w:rPr>
        <w:t xml:space="preserve">). Similarly, the primer pairs used to detect the </w:t>
      </w:r>
      <w:r w:rsidRPr="00B65257">
        <w:rPr>
          <w:rFonts w:ascii="Times New Roman" w:eastAsia="Times New Roman" w:hAnsi="Times New Roman" w:cs="Times New Roman"/>
          <w:i/>
          <w:iCs/>
          <w:sz w:val="24"/>
          <w:szCs w:val="24"/>
        </w:rPr>
        <w:t>acrB</w:t>
      </w:r>
      <w:r w:rsidRPr="00B65257">
        <w:rPr>
          <w:rFonts w:ascii="Times New Roman" w:eastAsia="Times New Roman" w:hAnsi="Times New Roman" w:cs="Times New Roman"/>
          <w:sz w:val="24"/>
          <w:szCs w:val="24"/>
        </w:rPr>
        <w:t xml:space="preserve"> gene (219 bp) were primer F (</w:t>
      </w:r>
      <w:r w:rsidRPr="00B65257">
        <w:rPr>
          <w:rFonts w:ascii="Times New Roman" w:hAnsi="Times New Roman" w:cs="Times New Roman"/>
          <w:sz w:val="24"/>
          <w:szCs w:val="24"/>
        </w:rPr>
        <w:t>CGTCTCCATCAGCGACATTAAC</w:t>
      </w:r>
      <w:r w:rsidRPr="00B65257">
        <w:rPr>
          <w:rFonts w:ascii="Times New Roman" w:eastAsia="Times New Roman" w:hAnsi="Times New Roman" w:cs="Times New Roman"/>
          <w:sz w:val="24"/>
          <w:szCs w:val="24"/>
        </w:rPr>
        <w:t>) and primer R (</w:t>
      </w:r>
      <w:r w:rsidRPr="00B65257">
        <w:rPr>
          <w:rFonts w:ascii="Times New Roman" w:hAnsi="Times New Roman" w:cs="Times New Roman"/>
          <w:sz w:val="24"/>
          <w:szCs w:val="24"/>
        </w:rPr>
        <w:t>GAACCGTATTCCCAACGCGA</w:t>
      </w:r>
      <w:r w:rsidRPr="00B65257">
        <w:rPr>
          <w:rFonts w:ascii="Times New Roman" w:eastAsia="Times New Roman" w:hAnsi="Times New Roman" w:cs="Times New Roman"/>
          <w:sz w:val="24"/>
          <w:szCs w:val="24"/>
        </w:rPr>
        <w:t>). The PCRs were identical for both genes except for annealing. The thermal cycling process included an initial temperature of 94 °C for 5 min, followed by denaturation at 94 °C for 1 min, annealing at 58 °C for 1 min (</w:t>
      </w:r>
      <w:r w:rsidRPr="00B65257">
        <w:rPr>
          <w:rFonts w:ascii="Times New Roman" w:eastAsia="Times New Roman" w:hAnsi="Times New Roman" w:cs="Times New Roman"/>
          <w:i/>
          <w:iCs/>
          <w:sz w:val="24"/>
          <w:szCs w:val="24"/>
        </w:rPr>
        <w:t>acrA</w:t>
      </w:r>
      <w:r w:rsidRPr="00B65257">
        <w:rPr>
          <w:rFonts w:ascii="Times New Roman" w:eastAsia="Times New Roman" w:hAnsi="Times New Roman" w:cs="Times New Roman"/>
          <w:sz w:val="24"/>
          <w:szCs w:val="24"/>
        </w:rPr>
        <w:t>) and 59 °C for 1 min (</w:t>
      </w:r>
      <w:r w:rsidRPr="00B65257">
        <w:rPr>
          <w:rFonts w:ascii="Times New Roman" w:eastAsia="Times New Roman" w:hAnsi="Times New Roman" w:cs="Times New Roman"/>
          <w:i/>
          <w:iCs/>
          <w:sz w:val="24"/>
          <w:szCs w:val="24"/>
        </w:rPr>
        <w:t>acrB</w:t>
      </w:r>
      <w:r w:rsidRPr="00B65257">
        <w:rPr>
          <w:rFonts w:ascii="Times New Roman" w:eastAsia="Times New Roman" w:hAnsi="Times New Roman" w:cs="Times New Roman"/>
          <w:sz w:val="24"/>
          <w:szCs w:val="24"/>
        </w:rPr>
        <w:t xml:space="preserve">), extension at 72 °C for 1 min and a final extension at 72 °C for 5 min for 32 cycles. Finally, the amplified products were subjected to gel electrophoresis in a 1.0% agarose gel after being stained with ethidium bromide, and the gel was transferred to a UV-illuminator for photo documentation and analysis of the results </w:t>
      </w:r>
      <w:r w:rsidRPr="00B65257">
        <w:rPr>
          <w:rFonts w:ascii="Times New Roman" w:eastAsia="Times New Roman" w:hAnsi="Times New Roman" w:cs="Times New Roman"/>
          <w:sz w:val="24"/>
          <w:szCs w:val="24"/>
        </w:rPr>
        <w:fldChar w:fldCharType="begin" w:fldLock="1"/>
      </w:r>
      <w:r w:rsidRPr="00B65257">
        <w:rPr>
          <w:rFonts w:ascii="Times New Roman" w:eastAsia="Times New Roman" w:hAnsi="Times New Roman" w:cs="Times New Roman"/>
          <w:sz w:val="24"/>
          <w:szCs w:val="24"/>
        </w:rPr>
        <w:instrText>ADDIN CSL_CITATION {"citationItems":[{"id":"ITEM-1","itemData":{"DOI":"10.30491/jabr.2020.120179","ISSN":"24235784","abstract":"Introduction: Infections caused by multidrug-resistant Klebsiella pneumoniae characterize a major warning throughout the world owing to enhanced mortality and treatment limitations. Efflux pumps have an important role as a mechanism of antibiotic resistance in K. pneumoniae. In the current study, the role of AcrAB and OqxAB efflux pumps to antibiotic resistance was investigated in clinical isolates of K. pneumonia. Materials and Methods: During August 2017-October 2018, 110 clinical strains of K. pneumoniae were obtained from patients referred to the hospitals in Tehran. After microbiological/biochemical identification, and antimicrobial susceptibility test was performed using the disc diffusion method. Then, the minimum inhibitory concentration of ciprofloxacin-resistant K. pneumoniae strains was measured by the broth microdilution method. For investigating the efflux pump mediated drug resistance in K. pneumoniae, the presence, and prevalence of efflux genes (acrA/acrB and oqxA/oqxB) were examined by the polymerase chain reaction (PCR) technique. Results: The results showed that resistance to ciprofloxacin, norfloxacin, gentamicin, kanamycin, cefotaxime, trimethoprim, chloramphenicol, and colistin was 19.09%, 21.81%, 10.0%, 9.09%, 44.54%, 25.45%, 11.81%, and 61.81%, respectively, in K. pneumoniae clinical isolates. The PCR technique demonstrated that the prevalence of acrA/acrB and oqxA/oqxB genes is 58 (52.72%) and 52 (47.27%), respectively. Conclusions: The results of this study reveal that the AcrAB and OqxAB efflux pumps have a major role in the antibiotic resistance of multidrug resistance K. pneumoniae isolates. Therefore, due to the easy transfer of antimicrobial resistance genes, the accurate detection of resistance genes by molecular methods is essential to control the spread of resistant strains.","author":[{"dropping-particle":"","family":"Razavi","given":"Sahar","non-dropping-particle":"","parse-names":false,"suffix":""},{"dropping-particle":"","family":"Mirnejad","given":"Reza","non-dropping-particle":"","parse-names":false,"suffix":""},{"dropping-particle":"","family":"Babapour","given":"Ebrahim","non-dropping-particle":"","parse-names":false,"suffix":""}],"container-title":"Journal of Applied Biotechnology Reports","id":"ITEM-1","issue":"4","issued":{"date-parts":[["2020"]]},"page":"251-257","publisher":"Baqiyatallah University of Medical Sciences","title":"Involvement of acrab and oqxab efflux pumps in antimicrobial resistance of clinical isolates of klebsiella pneumonia","type":"article-journal","volume":"7"},"uris":["http://www.mendeley.com/documents/?uuid=8fd5aae2-1527-308d-84bc-eb42d6821608"]}],"mendeley":{"formattedCitation":"(12)","plainTextFormattedCitation":"(12)","previouslyFormattedCitation":"(12)"},"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Pr="00B65257">
        <w:rPr>
          <w:rFonts w:ascii="Times New Roman" w:eastAsia="Times New Roman" w:hAnsi="Times New Roman" w:cs="Times New Roman"/>
          <w:noProof/>
          <w:sz w:val="24"/>
          <w:szCs w:val="24"/>
        </w:rPr>
        <w:t>(12)</w:t>
      </w:r>
      <w:r w:rsidRPr="00B65257">
        <w:rPr>
          <w:rFonts w:ascii="Times New Roman" w:eastAsia="Times New Roman" w:hAnsi="Times New Roman" w:cs="Times New Roman"/>
          <w:sz w:val="24"/>
          <w:szCs w:val="24"/>
        </w:rPr>
        <w:fldChar w:fldCharType="end"/>
      </w:r>
      <w:r w:rsidRPr="00B65257">
        <w:rPr>
          <w:rFonts w:ascii="Times New Roman" w:hAnsi="Times New Roman" w:cs="Times New Roman"/>
          <w:color w:val="000000"/>
          <w:sz w:val="24"/>
          <w:szCs w:val="24"/>
          <w:shd w:val="clear" w:color="auto" w:fill="FFFFFF"/>
          <w:lang w:bidi="ar-SA"/>
        </w:rPr>
        <w:t>.</w:t>
      </w:r>
    </w:p>
    <w:p w:rsidR="00DA6BB3" w:rsidRPr="00B65257" w:rsidRDefault="00DA6BB3" w:rsidP="00DA6BB3">
      <w:pPr>
        <w:keepNext/>
        <w:keepLines/>
        <w:spacing w:after="240" w:line="360" w:lineRule="auto"/>
        <w:outlineLvl w:val="3"/>
        <w:rPr>
          <w:rFonts w:ascii="Times New Roman" w:eastAsiaTheme="majorEastAsia" w:hAnsi="Times New Roman" w:cs="Times New Roman"/>
          <w:b/>
          <w:bCs/>
          <w:sz w:val="28"/>
          <w:szCs w:val="28"/>
          <w:shd w:val="clear" w:color="auto" w:fill="FFFFFF"/>
          <w:lang w:bidi="ar-SA"/>
        </w:rPr>
      </w:pPr>
      <w:r w:rsidRPr="00B65257">
        <w:rPr>
          <w:rFonts w:ascii="Times New Roman" w:eastAsiaTheme="majorEastAsia" w:hAnsi="Times New Roman" w:cs="Times New Roman"/>
          <w:b/>
          <w:bCs/>
          <w:sz w:val="28"/>
          <w:szCs w:val="28"/>
          <w:shd w:val="clear" w:color="auto" w:fill="FFFFFF"/>
          <w:lang w:bidi="ar-SA"/>
        </w:rPr>
        <w:t xml:space="preserve"> Interpretation</w:t>
      </w:r>
    </w:p>
    <w:p w:rsidR="00DA6BB3" w:rsidRPr="00B65257" w:rsidRDefault="00DA6BB3" w:rsidP="00DA6BB3">
      <w:pPr>
        <w:tabs>
          <w:tab w:val="left" w:pos="2100"/>
        </w:tabs>
        <w:spacing w:after="240" w:line="360" w:lineRule="auto"/>
        <w:jc w:val="both"/>
        <w:rPr>
          <w:rFonts w:ascii="Times New Roman" w:hAnsi="Times New Roman" w:cs="Times New Roman"/>
          <w:color w:val="000000"/>
          <w:sz w:val="24"/>
          <w:szCs w:val="24"/>
          <w:shd w:val="clear" w:color="auto" w:fill="FFFFFF"/>
          <w:lang w:bidi="ar-SA"/>
        </w:rPr>
      </w:pPr>
      <w:r w:rsidRPr="00B65257">
        <w:rPr>
          <w:rFonts w:ascii="Times New Roman" w:hAnsi="Times New Roman" w:cs="Times New Roman"/>
          <w:color w:val="000000"/>
          <w:sz w:val="24"/>
          <w:szCs w:val="24"/>
          <w:shd w:val="clear" w:color="auto" w:fill="FFFFFF"/>
          <w:lang w:bidi="ar-SA"/>
        </w:rPr>
        <w:t xml:space="preserve">The molecular size of </w:t>
      </w:r>
      <w:r w:rsidRPr="00B65257">
        <w:rPr>
          <w:rFonts w:ascii="Times New Roman" w:eastAsia="Calibri" w:hAnsi="Times New Roman" w:cs="Times New Roman"/>
          <w:color w:val="000000"/>
          <w:sz w:val="24"/>
          <w:szCs w:val="24"/>
          <w:lang w:bidi="ar-SA"/>
        </w:rPr>
        <w:t xml:space="preserve">the </w:t>
      </w:r>
      <w:r w:rsidRPr="00B65257">
        <w:rPr>
          <w:rFonts w:ascii="Times New Roman" w:hAnsi="Times New Roman" w:cs="Times New Roman"/>
          <w:color w:val="000000"/>
          <w:sz w:val="24"/>
          <w:szCs w:val="24"/>
          <w:shd w:val="clear" w:color="auto" w:fill="FFFFFF"/>
          <w:lang w:bidi="ar-SA"/>
        </w:rPr>
        <w:t xml:space="preserve">amplified PCR products </w:t>
      </w:r>
      <w:r w:rsidRPr="00B65257">
        <w:rPr>
          <w:rFonts w:ascii="Times New Roman" w:eastAsia="Calibri" w:hAnsi="Times New Roman" w:cs="Times New Roman"/>
          <w:color w:val="000000"/>
          <w:sz w:val="24"/>
          <w:szCs w:val="24"/>
          <w:lang w:bidi="ar-SA"/>
        </w:rPr>
        <w:t>was</w:t>
      </w:r>
      <w:r w:rsidRPr="00B65257">
        <w:rPr>
          <w:rFonts w:ascii="Times New Roman" w:hAnsi="Times New Roman" w:cs="Times New Roman"/>
          <w:color w:val="000000"/>
          <w:sz w:val="24"/>
          <w:szCs w:val="24"/>
          <w:shd w:val="clear" w:color="auto" w:fill="FFFFFF"/>
          <w:lang w:bidi="ar-SA"/>
        </w:rPr>
        <w:t xml:space="preserve"> estimated </w:t>
      </w:r>
      <w:r w:rsidRPr="00B65257">
        <w:rPr>
          <w:rFonts w:ascii="Times New Roman" w:eastAsia="Calibri" w:hAnsi="Times New Roman" w:cs="Times New Roman"/>
          <w:color w:val="000000"/>
          <w:sz w:val="24"/>
          <w:szCs w:val="24"/>
          <w:lang w:bidi="ar-SA"/>
        </w:rPr>
        <w:t>via a</w:t>
      </w:r>
      <w:r w:rsidRPr="00B65257">
        <w:rPr>
          <w:rFonts w:ascii="Times New Roman" w:hAnsi="Times New Roman" w:cs="Times New Roman"/>
          <w:color w:val="000000"/>
          <w:sz w:val="24"/>
          <w:szCs w:val="24"/>
          <w:shd w:val="clear" w:color="auto" w:fill="FFFFFF"/>
          <w:lang w:bidi="ar-SA"/>
        </w:rPr>
        <w:t xml:space="preserve"> 100 bp DNA ladder (Solus Company). The 798 bp, 438 bp, 226 bp, </w:t>
      </w:r>
      <w:r w:rsidRPr="00B65257">
        <w:rPr>
          <w:rFonts w:ascii="Times New Roman" w:eastAsia="Calibri" w:hAnsi="Times New Roman" w:cs="Times New Roman"/>
          <w:color w:val="000000"/>
          <w:sz w:val="24"/>
          <w:szCs w:val="24"/>
          <w:lang w:bidi="ar-SA"/>
        </w:rPr>
        <w:t xml:space="preserve">and </w:t>
      </w:r>
      <w:r w:rsidRPr="00B65257">
        <w:rPr>
          <w:rFonts w:ascii="Times New Roman" w:hAnsi="Times New Roman" w:cs="Times New Roman"/>
          <w:color w:val="000000"/>
          <w:sz w:val="24"/>
          <w:szCs w:val="24"/>
          <w:shd w:val="clear" w:color="auto" w:fill="FFFFFF"/>
          <w:lang w:bidi="ar-SA"/>
        </w:rPr>
        <w:t xml:space="preserve">219 bp </w:t>
      </w:r>
      <w:r w:rsidRPr="00B65257">
        <w:rPr>
          <w:rFonts w:ascii="Times New Roman" w:eastAsia="Calibri" w:hAnsi="Times New Roman" w:cs="Times New Roman"/>
          <w:color w:val="000000"/>
          <w:sz w:val="24"/>
          <w:szCs w:val="24"/>
          <w:lang w:bidi="ar-SA"/>
        </w:rPr>
        <w:t xml:space="preserve">bands </w:t>
      </w:r>
      <w:r w:rsidRPr="00B65257">
        <w:rPr>
          <w:rFonts w:ascii="Times New Roman" w:hAnsi="Times New Roman" w:cs="Times New Roman"/>
          <w:color w:val="000000"/>
          <w:sz w:val="24"/>
          <w:szCs w:val="24"/>
          <w:shd w:val="clear" w:color="auto" w:fill="FFFFFF"/>
          <w:lang w:bidi="ar-SA"/>
        </w:rPr>
        <w:t xml:space="preserve">were considered positive for </w:t>
      </w:r>
      <w:r w:rsidRPr="00B65257">
        <w:rPr>
          <w:rFonts w:ascii="Times New Roman" w:eastAsia="Calibri" w:hAnsi="Times New Roman" w:cs="Times New Roman"/>
          <w:color w:val="000000"/>
          <w:sz w:val="24"/>
          <w:szCs w:val="24"/>
          <w:lang w:bidi="ar-SA"/>
        </w:rPr>
        <w:t>the blaKPC</w:t>
      </w:r>
      <w:r w:rsidRPr="00B65257">
        <w:rPr>
          <w:rFonts w:ascii="Times New Roman" w:hAnsi="Times New Roman" w:cs="Times New Roman"/>
          <w:color w:val="000000"/>
          <w:sz w:val="24"/>
          <w:szCs w:val="24"/>
          <w:shd w:val="clear" w:color="auto" w:fill="FFFFFF"/>
          <w:lang w:bidi="ar-SA"/>
        </w:rPr>
        <w:t xml:space="preserve">, </w:t>
      </w:r>
      <w:r w:rsidRPr="00B65257">
        <w:rPr>
          <w:rFonts w:ascii="Times New Roman" w:hAnsi="Times New Roman" w:cs="Times New Roman"/>
          <w:i/>
          <w:iCs/>
          <w:color w:val="000000"/>
          <w:sz w:val="24"/>
          <w:szCs w:val="24"/>
          <w:shd w:val="clear" w:color="auto" w:fill="FFFFFF"/>
          <w:lang w:bidi="ar-SA"/>
        </w:rPr>
        <w:t>bla</w:t>
      </w:r>
      <w:r w:rsidRPr="00B65257">
        <w:rPr>
          <w:rFonts w:ascii="Times New Roman" w:hAnsi="Times New Roman" w:cs="Times New Roman"/>
          <w:color w:val="000000"/>
          <w:sz w:val="24"/>
          <w:szCs w:val="24"/>
          <w:shd w:val="clear" w:color="auto" w:fill="FFFFFF"/>
          <w:vertAlign w:val="subscript"/>
          <w:lang w:bidi="ar-SA"/>
        </w:rPr>
        <w:t xml:space="preserve">OXA-48, </w:t>
      </w:r>
      <w:r w:rsidRPr="00B65257">
        <w:rPr>
          <w:rFonts w:ascii="Times New Roman" w:hAnsi="Times New Roman" w:cs="Times New Roman"/>
          <w:i/>
          <w:iCs/>
          <w:color w:val="000000"/>
          <w:sz w:val="24"/>
          <w:szCs w:val="24"/>
          <w:shd w:val="clear" w:color="auto" w:fill="FFFFFF"/>
          <w:lang w:bidi="ar-SA"/>
        </w:rPr>
        <w:t>acrA</w:t>
      </w:r>
      <w:r w:rsidRPr="00B65257">
        <w:rPr>
          <w:rFonts w:ascii="Times New Roman" w:hAnsi="Times New Roman" w:cs="Times New Roman"/>
          <w:color w:val="000000"/>
          <w:sz w:val="24"/>
          <w:szCs w:val="24"/>
          <w:shd w:val="clear" w:color="auto" w:fill="FFFFFF"/>
          <w:lang w:bidi="ar-SA"/>
        </w:rPr>
        <w:t xml:space="preserve"> and </w:t>
      </w:r>
      <w:r w:rsidRPr="00B65257">
        <w:rPr>
          <w:rFonts w:ascii="Times New Roman" w:hAnsi="Times New Roman" w:cs="Times New Roman"/>
          <w:i/>
          <w:iCs/>
          <w:color w:val="000000"/>
          <w:sz w:val="24"/>
          <w:szCs w:val="24"/>
          <w:shd w:val="clear" w:color="auto" w:fill="FFFFFF"/>
          <w:lang w:bidi="ar-SA"/>
        </w:rPr>
        <w:t>acrB</w:t>
      </w:r>
      <w:r w:rsidRPr="00B65257">
        <w:rPr>
          <w:rFonts w:ascii="Times New Roman" w:hAnsi="Times New Roman" w:cs="Times New Roman"/>
          <w:color w:val="000000"/>
          <w:sz w:val="24"/>
          <w:szCs w:val="24"/>
          <w:shd w:val="clear" w:color="auto" w:fill="FFFFFF"/>
          <w:lang w:bidi="ar-SA"/>
        </w:rPr>
        <w:t xml:space="preserve"> genes</w:t>
      </w:r>
      <w:r w:rsidRPr="00B65257">
        <w:rPr>
          <w:rFonts w:ascii="Times New Roman" w:eastAsia="Calibri" w:hAnsi="Times New Roman" w:cs="Times New Roman"/>
          <w:color w:val="000000"/>
          <w:sz w:val="24"/>
          <w:szCs w:val="24"/>
          <w:lang w:bidi="ar-SA"/>
        </w:rPr>
        <w:t>,</w:t>
      </w:r>
      <w:r w:rsidRPr="00B65257">
        <w:rPr>
          <w:rFonts w:ascii="Times New Roman" w:hAnsi="Times New Roman" w:cs="Times New Roman"/>
          <w:color w:val="000000"/>
          <w:sz w:val="24"/>
          <w:szCs w:val="24"/>
          <w:shd w:val="clear" w:color="auto" w:fill="FFFFFF"/>
          <w:lang w:bidi="ar-SA"/>
        </w:rPr>
        <w:t xml:space="preserve"> respectively.</w:t>
      </w:r>
    </w:p>
    <w:p w:rsidR="00DA6BB3" w:rsidRPr="00B65257" w:rsidRDefault="00DA6BB3" w:rsidP="00DA6BB3">
      <w:pPr>
        <w:keepNext/>
        <w:keepLines/>
        <w:spacing w:before="240" w:after="240" w:line="360" w:lineRule="auto"/>
        <w:jc w:val="both"/>
        <w:outlineLvl w:val="1"/>
        <w:rPr>
          <w:rFonts w:ascii="Times New Roman" w:eastAsia="Times New Roman" w:hAnsi="Times New Roman" w:cs="Times New Roman"/>
          <w:b/>
          <w:bCs/>
          <w:sz w:val="28"/>
          <w:szCs w:val="26"/>
          <w:lang w:val="en-GB"/>
        </w:rPr>
      </w:pPr>
      <w:bookmarkStart w:id="2" w:name="_Toc160141054"/>
      <w:bookmarkStart w:id="3" w:name="_Toc154141545"/>
      <w:r w:rsidRPr="00B65257">
        <w:rPr>
          <w:rFonts w:ascii="Times New Roman" w:eastAsia="Times New Roman" w:hAnsi="Times New Roman" w:cs="Times New Roman"/>
          <w:b/>
          <w:bCs/>
          <w:sz w:val="28"/>
          <w:szCs w:val="26"/>
        </w:rPr>
        <w:t>Quality control during antimicrobial susceptibility</w:t>
      </w:r>
      <w:bookmarkEnd w:id="2"/>
      <w:bookmarkEnd w:id="3"/>
    </w:p>
    <w:p w:rsidR="00DA6BB3" w:rsidRPr="00B65257" w:rsidRDefault="00DA6BB3" w:rsidP="00DA6BB3">
      <w:pPr>
        <w:shd w:val="clear" w:color="auto" w:fill="FFFFFF"/>
        <w:spacing w:after="240" w:line="360" w:lineRule="auto"/>
        <w:jc w:val="both"/>
        <w:rPr>
          <w:rFonts w:ascii="Times New Roman" w:eastAsia="Times New Roman" w:hAnsi="Times New Roman" w:cs="Times New Roman"/>
          <w:color w:val="333333"/>
          <w:sz w:val="24"/>
          <w:szCs w:val="24"/>
        </w:rPr>
      </w:pPr>
      <w:r w:rsidRPr="00B65257">
        <w:rPr>
          <w:rFonts w:ascii="Times New Roman" w:hAnsi="Times New Roman" w:cs="Times New Roman"/>
          <w:sz w:val="24"/>
          <w:szCs w:val="24"/>
        </w:rPr>
        <w:t xml:space="preserve">Quality control was performed </w:t>
      </w:r>
      <w:r w:rsidRPr="00B65257">
        <w:rPr>
          <w:rFonts w:ascii="Times New Roman" w:eastAsia="Calibri" w:hAnsi="Times New Roman" w:cs="Times New Roman"/>
          <w:sz w:val="24"/>
          <w:szCs w:val="24"/>
        </w:rPr>
        <w:t>via</w:t>
      </w:r>
      <w:r w:rsidRPr="00B65257">
        <w:rPr>
          <w:rFonts w:ascii="Times New Roman" w:hAnsi="Times New Roman" w:cs="Times New Roman"/>
          <w:sz w:val="24"/>
          <w:szCs w:val="24"/>
        </w:rPr>
        <w:t xml:space="preserve"> </w:t>
      </w:r>
      <w:r w:rsidRPr="00B65257">
        <w:rPr>
          <w:rFonts w:ascii="Times New Roman" w:hAnsi="Times New Roman" w:cs="Times New Roman"/>
          <w:i/>
          <w:iCs/>
          <w:sz w:val="24"/>
          <w:szCs w:val="24"/>
        </w:rPr>
        <w:t>K. pneumoniae</w:t>
      </w:r>
      <w:r w:rsidRPr="00B65257">
        <w:rPr>
          <w:rFonts w:ascii="Times New Roman" w:hAnsi="Times New Roman" w:cs="Times New Roman"/>
          <w:sz w:val="24"/>
          <w:szCs w:val="24"/>
        </w:rPr>
        <w:t xml:space="preserve"> 700603 ATCC for efflux pump genes and a reference </w:t>
      </w:r>
      <w:r w:rsidRPr="00B65257">
        <w:rPr>
          <w:rFonts w:ascii="Times New Roman" w:eastAsia="Calibri" w:hAnsi="Times New Roman" w:cs="Times New Roman"/>
          <w:sz w:val="24"/>
          <w:szCs w:val="24"/>
        </w:rPr>
        <w:t>laboratory</w:t>
      </w:r>
      <w:r w:rsidRPr="00B65257">
        <w:rPr>
          <w:rFonts w:ascii="Times New Roman" w:hAnsi="Times New Roman" w:cs="Times New Roman"/>
          <w:sz w:val="24"/>
          <w:szCs w:val="24"/>
        </w:rPr>
        <w:t xml:space="preserve"> isolate for </w:t>
      </w:r>
      <w:r w:rsidRPr="00B65257">
        <w:rPr>
          <w:rFonts w:ascii="Times New Roman" w:eastAsia="Calibri" w:hAnsi="Times New Roman" w:cs="Times New Roman"/>
          <w:sz w:val="24"/>
          <w:szCs w:val="24"/>
        </w:rPr>
        <w:t xml:space="preserve">the </w:t>
      </w:r>
      <w:r w:rsidRPr="00B65257">
        <w:rPr>
          <w:rFonts w:ascii="Times New Roman" w:hAnsi="Times New Roman" w:cs="Times New Roman"/>
          <w:i/>
          <w:iCs/>
          <w:sz w:val="24"/>
          <w:szCs w:val="24"/>
        </w:rPr>
        <w:t>bla</w:t>
      </w:r>
      <w:r w:rsidRPr="00B65257">
        <w:rPr>
          <w:rFonts w:ascii="Times New Roman" w:hAnsi="Times New Roman" w:cs="Times New Roman"/>
          <w:sz w:val="24"/>
          <w:szCs w:val="24"/>
          <w:vertAlign w:val="subscript"/>
        </w:rPr>
        <w:t xml:space="preserve">KPC </w:t>
      </w:r>
      <w:r w:rsidRPr="00B65257">
        <w:rPr>
          <w:rFonts w:ascii="Times New Roman" w:hAnsi="Times New Roman" w:cs="Times New Roman"/>
          <w:sz w:val="24"/>
          <w:szCs w:val="24"/>
        </w:rPr>
        <w:t xml:space="preserve">and </w:t>
      </w:r>
      <w:r w:rsidRPr="00B65257">
        <w:rPr>
          <w:rFonts w:ascii="Times New Roman" w:hAnsi="Times New Roman" w:cs="Times New Roman"/>
          <w:i/>
          <w:iCs/>
          <w:sz w:val="24"/>
          <w:szCs w:val="24"/>
        </w:rPr>
        <w:t>bla</w:t>
      </w:r>
      <w:r w:rsidRPr="00B65257">
        <w:rPr>
          <w:rFonts w:ascii="Times New Roman" w:hAnsi="Times New Roman" w:cs="Times New Roman"/>
          <w:sz w:val="24"/>
          <w:szCs w:val="24"/>
          <w:vertAlign w:val="subscript"/>
        </w:rPr>
        <w:t xml:space="preserve">OXA-48 </w:t>
      </w:r>
      <w:r w:rsidRPr="00B65257">
        <w:rPr>
          <w:rFonts w:ascii="Times New Roman" w:hAnsi="Times New Roman" w:cs="Times New Roman"/>
          <w:sz w:val="24"/>
          <w:szCs w:val="24"/>
        </w:rPr>
        <w:t>genes, with purity plates confirming the pure cultures.</w:t>
      </w:r>
    </w:p>
    <w:p w:rsidR="00DA6BB3" w:rsidRPr="00B65257" w:rsidRDefault="00DA6BB3" w:rsidP="00DA6BB3">
      <w:pPr>
        <w:keepNext/>
        <w:keepLines/>
        <w:spacing w:before="240" w:after="240" w:line="360" w:lineRule="auto"/>
        <w:jc w:val="both"/>
        <w:outlineLvl w:val="1"/>
        <w:rPr>
          <w:rFonts w:ascii="Times New Roman" w:eastAsiaTheme="majorEastAsia" w:hAnsi="Times New Roman" w:cs="Times New Roman"/>
          <w:b/>
          <w:bCs/>
          <w:sz w:val="28"/>
          <w:szCs w:val="26"/>
          <w:lang w:val="en-GB"/>
        </w:rPr>
      </w:pPr>
      <w:bookmarkStart w:id="4" w:name="_Toc160141055"/>
      <w:r w:rsidRPr="00B65257">
        <w:rPr>
          <w:rFonts w:ascii="Times New Roman" w:eastAsiaTheme="majorEastAsia" w:hAnsi="Times New Roman" w:cs="Times New Roman"/>
          <w:b/>
          <w:bCs/>
          <w:sz w:val="28"/>
          <w:szCs w:val="26"/>
        </w:rPr>
        <w:t>Data analysis</w:t>
      </w:r>
      <w:bookmarkEnd w:id="4"/>
    </w:p>
    <w:p w:rsidR="00DA6BB3" w:rsidRPr="00B65257" w:rsidRDefault="00DA6BB3" w:rsidP="00DA6BB3">
      <w:pPr>
        <w:autoSpaceDE w:val="0"/>
        <w:autoSpaceDN w:val="0"/>
        <w:adjustRightInd w:val="0"/>
        <w:spacing w:after="240" w:line="360" w:lineRule="auto"/>
        <w:jc w:val="both"/>
        <w:rPr>
          <w:rFonts w:ascii="Times New Roman" w:hAnsi="Times New Roman" w:cs="Times New Roman"/>
          <w:color w:val="000000"/>
          <w:sz w:val="24"/>
          <w:szCs w:val="24"/>
          <w:lang w:bidi="ar-SA"/>
        </w:rPr>
      </w:pPr>
      <w:r w:rsidRPr="00B65257">
        <w:rPr>
          <w:rFonts w:ascii="Times New Roman" w:hAnsi="Times New Roman" w:cs="Times New Roman"/>
          <w:color w:val="000000"/>
          <w:sz w:val="24"/>
          <w:szCs w:val="24"/>
          <w:lang w:bidi="ar-SA"/>
        </w:rPr>
        <w:t xml:space="preserve">The Statistical Package for Social Sciences (SPSS) software (Version 25) worksheet and Microsoft </w:t>
      </w:r>
      <w:r w:rsidRPr="00B65257">
        <w:rPr>
          <w:rFonts w:ascii="Times New Roman" w:eastAsia="Calibri" w:hAnsi="Times New Roman" w:cs="Times New Roman"/>
          <w:color w:val="000000"/>
          <w:sz w:val="24"/>
          <w:szCs w:val="24"/>
          <w:lang w:bidi="ar-SA"/>
        </w:rPr>
        <w:t>Excel were</w:t>
      </w:r>
      <w:r w:rsidRPr="00B65257">
        <w:rPr>
          <w:rFonts w:ascii="Times New Roman" w:hAnsi="Times New Roman" w:cs="Times New Roman"/>
          <w:color w:val="000000"/>
          <w:sz w:val="24"/>
          <w:szCs w:val="24"/>
          <w:lang w:bidi="ar-SA"/>
        </w:rPr>
        <w:t xml:space="preserve"> used to analyze the collected data, and the results </w:t>
      </w:r>
      <w:r w:rsidRPr="00B65257">
        <w:rPr>
          <w:rFonts w:ascii="Times New Roman" w:eastAsia="Calibri" w:hAnsi="Times New Roman" w:cs="Times New Roman"/>
          <w:color w:val="000000"/>
          <w:sz w:val="24"/>
          <w:szCs w:val="24"/>
          <w:lang w:bidi="ar-SA"/>
        </w:rPr>
        <w:t>are</w:t>
      </w:r>
      <w:r w:rsidRPr="00B65257">
        <w:rPr>
          <w:rFonts w:ascii="Times New Roman" w:hAnsi="Times New Roman" w:cs="Times New Roman"/>
          <w:color w:val="000000"/>
          <w:sz w:val="24"/>
          <w:szCs w:val="24"/>
          <w:lang w:bidi="ar-SA"/>
        </w:rPr>
        <w:t xml:space="preserve"> displayed in various tables and figures. The chi-square (χ2) test was used for statistical analysis to </w:t>
      </w:r>
      <w:r w:rsidRPr="00B65257">
        <w:rPr>
          <w:rFonts w:ascii="Times New Roman" w:eastAsia="Calibri" w:hAnsi="Times New Roman" w:cs="Times New Roman"/>
          <w:color w:val="000000"/>
          <w:sz w:val="24"/>
          <w:szCs w:val="24"/>
          <w:lang w:bidi="ar-SA"/>
        </w:rPr>
        <w:t>determine</w:t>
      </w:r>
      <w:r w:rsidRPr="00B65257">
        <w:rPr>
          <w:rFonts w:ascii="Times New Roman" w:hAnsi="Times New Roman" w:cs="Times New Roman"/>
          <w:color w:val="000000"/>
          <w:sz w:val="24"/>
          <w:szCs w:val="24"/>
          <w:lang w:bidi="ar-SA"/>
        </w:rPr>
        <w:t xml:space="preserve"> the </w:t>
      </w:r>
      <w:r w:rsidRPr="00B65257">
        <w:rPr>
          <w:rFonts w:ascii="Times New Roman" w:eastAsia="Calibri" w:hAnsi="Times New Roman" w:cs="Times New Roman"/>
          <w:color w:val="000000"/>
          <w:sz w:val="24"/>
          <w:szCs w:val="24"/>
          <w:lang w:bidi="ar-SA"/>
        </w:rPr>
        <w:t>associations</w:t>
      </w:r>
      <w:r w:rsidRPr="00B65257">
        <w:rPr>
          <w:rFonts w:ascii="Times New Roman" w:hAnsi="Times New Roman" w:cs="Times New Roman"/>
          <w:color w:val="000000"/>
          <w:sz w:val="24"/>
          <w:szCs w:val="24"/>
          <w:lang w:bidi="ar-SA"/>
        </w:rPr>
        <w:t xml:space="preserve"> between the variables. </w:t>
      </w:r>
      <w:r w:rsidRPr="00B65257">
        <w:rPr>
          <w:rFonts w:ascii="Times New Roman" w:hAnsi="Times New Roman" w:cs="Times New Roman"/>
          <w:sz w:val="24"/>
          <w:szCs w:val="24"/>
        </w:rPr>
        <w:t xml:space="preserve">A </w:t>
      </w:r>
      <w:r w:rsidRPr="00B65257">
        <w:rPr>
          <w:rFonts w:ascii="Times New Roman" w:hAnsi="Times New Roman" w:cs="Times New Roman"/>
          <w:i/>
          <w:iCs/>
          <w:sz w:val="24"/>
          <w:szCs w:val="24"/>
        </w:rPr>
        <w:t xml:space="preserve">p </w:t>
      </w:r>
      <w:r w:rsidRPr="00B65257">
        <w:rPr>
          <w:rFonts w:ascii="Times New Roman" w:hAnsi="Times New Roman" w:cs="Times New Roman"/>
          <w:sz w:val="24"/>
          <w:szCs w:val="24"/>
          <w:lang w:bidi="ar-SA"/>
        </w:rPr>
        <w:t xml:space="preserve">value of &lt; 0.05 </w:t>
      </w:r>
      <w:r w:rsidRPr="00B65257">
        <w:rPr>
          <w:rFonts w:ascii="Times New Roman" w:eastAsia="Calibri" w:hAnsi="Times New Roman" w:cs="Times New Roman"/>
          <w:sz w:val="24"/>
          <w:szCs w:val="24"/>
          <w:lang w:bidi="ar-SA"/>
        </w:rPr>
        <w:t>was</w:t>
      </w:r>
      <w:r w:rsidRPr="00B65257">
        <w:rPr>
          <w:rFonts w:ascii="Times New Roman" w:hAnsi="Times New Roman" w:cs="Times New Roman"/>
          <w:sz w:val="24"/>
          <w:szCs w:val="24"/>
          <w:lang w:bidi="ar-SA"/>
        </w:rPr>
        <w:t xml:space="preserve"> considered statistically significant </w:t>
      </w:r>
      <w:r w:rsidRPr="00B65257">
        <w:rPr>
          <w:rFonts w:ascii="Times New Roman" w:hAnsi="Times New Roman" w:cs="Times New Roman"/>
          <w:sz w:val="24"/>
          <w:szCs w:val="24"/>
          <w:lang w:bidi="ar-SA"/>
        </w:rPr>
        <w:fldChar w:fldCharType="begin" w:fldLock="1"/>
      </w:r>
      <w:r w:rsidRPr="00B65257">
        <w:rPr>
          <w:rFonts w:ascii="Times New Roman" w:hAnsi="Times New Roman" w:cs="Times New Roman"/>
          <w:sz w:val="24"/>
          <w:szCs w:val="24"/>
          <w:lang w:bidi="ar-SA"/>
        </w:rPr>
        <w:instrText>ADDIN CSL_CITATION {"citationItems":[{"id":"ITEM-1","itemData":{"DOI":"10.1186/s13099-021-00441-5","abstract":"The prevalence of antimicrobial resistance (AMR) among Gram-negative bacteria is alarmingly high. Reintroduction of colistin as last resort treatment in the infections caused by drug-resistant Gram-negative bacteria has led to the emergence and spread of colistin resistance. This study was designed to determine the prevalence of drug-resistance among beta-lactamase-producing strains of Escherichia coli and Klebsiella pneumoniae, isolated from the clinical specimens received at a tertiary care centre of Kathmandu, Nepal during the period of March to August, 2019. A total of 3216 different clinical samples were processed in the Microbiology laboratory of Kathmandu Model Hospital. Gram-negative isolates (E. coli and K. pneumoniae) were processed for antimicrobial susceptibility test (AST) by using modified Kirby-Bauer disc diffusion method. Drug-resistant isolates were further screened for extended-spectrum beta-lactamase (ESBL), metallo-beta-lactamase (MBL), carbapenemase and K. pneumoniae carbapenemase (KPC) production tests. All the suspected enzyme producers were processed for phenotypic confirmatory tests. Colistin resistance was determined by minimum inhibitory concentration (MIC) using agar dilution method. Colistin resistant strains were further screened for plasmid-mediated mcr-1 gene using conventional polymerase chain reaction (PCR). Among the total samples processed, 16.4% (529/3216) samples had bacterial growth. A total of 583 bacterial isolates were recovered from 529 clinical samples. Among the total isolates, 78.0% (455/583) isolates were Gram-negative bacteria. The most predominant isolate among Gram-negatives was E. coli (66.4%; 302/455) and K. pneumoniae isolates were 9% (41/455). In AST, colistin, polymyxin B and tigecycline were the most effective antibiotics. The overall prevalence of multidrug-resistance (MDR) among both of the isolates was 58.0% (199/343). In the ESBL testing, 41.1% (n = 141) isolates were confirmed as ESBL-producers. The prevalence of ESBL-producing E. coli was 43% (130/302) whereas that of K. pneumoniae was 26.8% (11/41). Similarly, 12.5% (43/343) of the total isolates, 10.9% (33/302) of E. coli and 24.3% of (10/41) K. pneumoniae were resistant to carbapenem. Among 43 carbapenem resistant isolates, 30.2% (13/43) and 60.5% (26/43) were KPC and MBL-producers respectively. KPC-producers isolates of E. coli and K. pneumoniae were 33.3% (11/33) and 20% (2/10) respectively. Similarly, 63.6% (21/33) of the E. coli and 50…","author":[{"dropping-particle":"","family":"Karki","given":"Deepa","non-dropping-particle":"","parse-names":false,"suffix":""},{"dropping-particle":"","family":"Dhungel","given":"Binod","non-dropping-particle":"","parse-names":false,"suffix":""},{"dropping-particle":"","family":"Bhandari","given":"Srijana","non-dropping-particle":"","parse-names":false,"suffix":""},{"dropping-particle":"","family":"Kunwar","given":"Anil","non-dropping-particle":"","parse-names":false,"suffix":""},{"dropping-particle":"","family":"Joshi","given":"Prabhu Raj","non-dropping-particle":"","parse-names":false,"suffix":""},{"dropping-particle":"","family":"Shrestha","given":"Basudha","non-dropping-particle":"","parse-names":false,"suffix":""},{"dropping-particle":"","family":"Rijal","given":"Komal Raj","non-dropping-particle":"","parse-names":false,"suffix":""},{"dropping-particle":"","family":"Ghimire","given":"Prakash","non-dropping-particle":"","parse-names":false,"suffix":""},{"dropping-particle":"","family":"Banjara","given":"Megha Raj","non-dropping-particle":"","parse-names":false,"suffix":""}],"container-title":"Gut Pathogens","id":"ITEM-1","issue":"1","issued":{"date-parts":[["2021","12"]]},"publisher":"Springer Science and Business Media LLC","title":"Antibiotic resistance and detection of plasmid mediated colistin resistance mcr-1 gene among Escherichia coli and Klebsiella pneumoniae isolated from clinical samples","type":"article-journal","volume":"13"},"uris":["http://www.mendeley.com/documents/?uuid=f65515aa-0088-3847-9bd5-b623d8bba212"]}],"mendeley":{"formattedCitation":"(11)","plainTextFormattedCitation":"(11)","previouslyFormattedCitation":"(11)"},"properties":{"noteIndex":0},"schema":"https://github.com/citation-style-language/schema/raw/master/csl-citation.json"}</w:instrText>
      </w:r>
      <w:r w:rsidRPr="00B65257">
        <w:rPr>
          <w:rFonts w:ascii="Times New Roman" w:hAnsi="Times New Roman" w:cs="Times New Roman"/>
          <w:sz w:val="24"/>
          <w:szCs w:val="24"/>
          <w:lang w:bidi="ar-SA"/>
        </w:rPr>
        <w:fldChar w:fldCharType="separate"/>
      </w:r>
      <w:r w:rsidRPr="00B65257">
        <w:rPr>
          <w:rFonts w:ascii="Times New Roman" w:hAnsi="Times New Roman" w:cs="Times New Roman"/>
          <w:noProof/>
          <w:sz w:val="24"/>
          <w:szCs w:val="24"/>
          <w:lang w:bidi="ar-SA"/>
        </w:rPr>
        <w:t>(11)</w:t>
      </w:r>
      <w:r w:rsidRPr="00B65257">
        <w:rPr>
          <w:rFonts w:ascii="Times New Roman" w:hAnsi="Times New Roman" w:cs="Times New Roman"/>
          <w:sz w:val="24"/>
          <w:szCs w:val="24"/>
          <w:lang w:bidi="ar-SA"/>
        </w:rPr>
        <w:fldChar w:fldCharType="end"/>
      </w:r>
      <w:r w:rsidRPr="00B65257">
        <w:rPr>
          <w:rFonts w:ascii="Times New Roman" w:hAnsi="Times New Roman" w:cs="Times New Roman"/>
          <w:color w:val="000000"/>
          <w:sz w:val="24"/>
          <w:szCs w:val="24"/>
          <w:lang w:bidi="ar-SA"/>
        </w:rPr>
        <w:t>.</w:t>
      </w:r>
    </w:p>
    <w:p w:rsidR="00DA6BB3" w:rsidRPr="00DA6BB3" w:rsidRDefault="00DA6BB3" w:rsidP="00DA6BB3">
      <w:pPr>
        <w:spacing w:after="100" w:afterAutospacing="1" w:line="360" w:lineRule="auto"/>
        <w:jc w:val="both"/>
        <w:rPr>
          <w:rFonts w:ascii="Times New Roman" w:eastAsia="Times New Roman" w:hAnsi="Times New Roman" w:cs="Times New Roman"/>
          <w:sz w:val="24"/>
          <w:szCs w:val="24"/>
        </w:rPr>
        <w:sectPr w:rsidR="00DA6BB3" w:rsidRPr="00DA6BB3" w:rsidSect="00177FAA">
          <w:type w:val="continuous"/>
          <w:pgSz w:w="12240" w:h="15840"/>
          <w:pgMar w:top="1440" w:right="1440" w:bottom="1440" w:left="1440" w:header="720" w:footer="720" w:gutter="0"/>
          <w:cols w:space="720"/>
          <w:docGrid w:linePitch="360"/>
        </w:sectPr>
      </w:pPr>
    </w:p>
    <w:p w:rsidR="00D17B8B" w:rsidRPr="00B65257" w:rsidRDefault="00D17B8B" w:rsidP="0091759D">
      <w:pPr>
        <w:autoSpaceDE w:val="0"/>
        <w:autoSpaceDN w:val="0"/>
        <w:adjustRightInd w:val="0"/>
        <w:spacing w:after="240" w:line="360" w:lineRule="auto"/>
        <w:jc w:val="both"/>
        <w:rPr>
          <w:rFonts w:ascii="Times New Roman" w:hAnsi="Times New Roman" w:cs="Times New Roman"/>
          <w:color w:val="000000"/>
          <w:sz w:val="24"/>
          <w:szCs w:val="24"/>
          <w:lang w:bidi="ar-SA"/>
        </w:rPr>
      </w:pPr>
      <w:bookmarkStart w:id="5" w:name="_Toc160141056"/>
    </w:p>
    <w:bookmarkEnd w:id="5"/>
    <w:p w:rsidR="00FF1C21" w:rsidRPr="00B65257" w:rsidRDefault="00595131" w:rsidP="00FF1C21">
      <w:pPr>
        <w:spacing w:before="100" w:beforeAutospacing="1" w:after="100" w:afterAutospacing="1" w:line="240" w:lineRule="auto"/>
        <w:outlineLvl w:val="1"/>
        <w:rPr>
          <w:rFonts w:ascii="Times New Roman" w:eastAsia="Times New Roman" w:hAnsi="Times New Roman" w:cs="Times New Roman"/>
          <w:b/>
          <w:bCs/>
          <w:sz w:val="36"/>
          <w:szCs w:val="36"/>
        </w:rPr>
      </w:pPr>
      <w:r w:rsidRPr="00B65257">
        <w:rPr>
          <w:rFonts w:ascii="Times New Roman" w:eastAsia="Times New Roman" w:hAnsi="Times New Roman" w:cs="Times New Roman"/>
          <w:b/>
          <w:bCs/>
          <w:sz w:val="36"/>
          <w:szCs w:val="36"/>
        </w:rPr>
        <w:t>Results</w:t>
      </w:r>
    </w:p>
    <w:p w:rsidR="00FF1C21" w:rsidRPr="00B65257" w:rsidRDefault="00595131" w:rsidP="00FF1C21">
      <w:pPr>
        <w:spacing w:before="100" w:beforeAutospacing="1" w:after="100" w:afterAutospacing="1" w:line="240" w:lineRule="auto"/>
        <w:outlineLvl w:val="1"/>
        <w:rPr>
          <w:rFonts w:ascii="Times New Roman" w:eastAsia="Times New Roman" w:hAnsi="Times New Roman" w:cs="Times New Roman"/>
          <w:b/>
          <w:bCs/>
          <w:i/>
          <w:iCs/>
          <w:sz w:val="28"/>
          <w:szCs w:val="28"/>
        </w:rPr>
      </w:pPr>
      <w:r w:rsidRPr="00B65257">
        <w:rPr>
          <w:rFonts w:ascii="Times New Roman" w:eastAsia="Times New Roman" w:hAnsi="Times New Roman" w:cs="Times New Roman"/>
          <w:b/>
          <w:bCs/>
          <w:sz w:val="28"/>
          <w:szCs w:val="28"/>
        </w:rPr>
        <w:t xml:space="preserve">Bacterial Growth Pattern and Isolation of </w:t>
      </w:r>
      <w:r w:rsidRPr="00B65257">
        <w:rPr>
          <w:rFonts w:ascii="Times New Roman" w:eastAsia="Times New Roman" w:hAnsi="Times New Roman" w:cs="Times New Roman"/>
          <w:b/>
          <w:bCs/>
          <w:i/>
          <w:iCs/>
          <w:sz w:val="28"/>
          <w:szCs w:val="28"/>
        </w:rPr>
        <w:t>Klebsiella pneumoniae</w:t>
      </w:r>
    </w:p>
    <w:p w:rsidR="00FF1C21" w:rsidRPr="00B65257" w:rsidRDefault="00595131" w:rsidP="002F692D">
      <w:pPr>
        <w:tabs>
          <w:tab w:val="left" w:pos="2100"/>
        </w:tabs>
        <w:spacing w:after="240" w:line="360" w:lineRule="auto"/>
        <w:jc w:val="both"/>
        <w:rPr>
          <w:rFonts w:ascii="Times New Roman" w:hAnsi="Times New Roman" w:cs="Times New Roman"/>
          <w:sz w:val="24"/>
          <w:szCs w:val="24"/>
          <w:lang w:bidi="ar-SA"/>
        </w:rPr>
      </w:pPr>
      <w:r w:rsidRPr="00B65257">
        <w:rPr>
          <w:rFonts w:ascii="Times New Roman" w:eastAsia="Times New Roman" w:hAnsi="Times New Roman" w:cs="Times New Roman"/>
          <w:sz w:val="24"/>
          <w:szCs w:val="24"/>
        </w:rPr>
        <w:t xml:space="preserve">A total of 1300 clinical samples, including urine (580), blood (305), sputum/endotracheal (ET) aspirates (220), wound/pus (176), and body fluids (19), were processed during the study period. Among these, 304 (23.38%) samples exhibited bacterial growth, with 45 (14.80%)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isolates, while the remaining samples were positive for other gram-negative and gram-positive bacteria. </w:t>
      </w:r>
      <w:r w:rsidRPr="00B65257">
        <w:rPr>
          <w:rFonts w:ascii="Times New Roman" w:hAnsi="Times New Roman" w:cs="Times New Roman"/>
          <w:sz w:val="24"/>
          <w:szCs w:val="24"/>
          <w:lang w:bidi="ar-SA"/>
        </w:rPr>
        <w:t xml:space="preserve">Among the isolated bacteria, </w:t>
      </w:r>
      <w:r w:rsidRPr="00B65257">
        <w:rPr>
          <w:rFonts w:ascii="Times New Roman" w:eastAsia="Calibri" w:hAnsi="Times New Roman" w:cs="Times New Roman"/>
          <w:sz w:val="24"/>
          <w:szCs w:val="24"/>
          <w:lang w:bidi="ar-SA"/>
        </w:rPr>
        <w:t>the gram-negative</w:t>
      </w:r>
      <w:r w:rsidRPr="00B65257">
        <w:rPr>
          <w:rFonts w:ascii="Times New Roman" w:hAnsi="Times New Roman" w:cs="Times New Roman"/>
          <w:sz w:val="24"/>
          <w:szCs w:val="24"/>
          <w:lang w:bidi="ar-SA"/>
        </w:rPr>
        <w:t xml:space="preserve"> bacteria </w:t>
      </w:r>
      <w:r w:rsidRPr="00B65257">
        <w:rPr>
          <w:rFonts w:ascii="Times New Roman" w:eastAsia="Calibri" w:hAnsi="Times New Roman" w:cs="Times New Roman"/>
          <w:sz w:val="24"/>
          <w:szCs w:val="24"/>
          <w:lang w:bidi="ar-SA"/>
        </w:rPr>
        <w:t>included</w:t>
      </w:r>
      <w:r w:rsidRPr="00B65257">
        <w:rPr>
          <w:rFonts w:ascii="Times New Roman" w:hAnsi="Times New Roman" w:cs="Times New Roman"/>
          <w:sz w:val="24"/>
          <w:szCs w:val="24"/>
          <w:lang w:bidi="ar-SA"/>
        </w:rPr>
        <w:t xml:space="preserve"> </w:t>
      </w:r>
      <w:r w:rsidRPr="00B65257">
        <w:rPr>
          <w:rFonts w:ascii="Times New Roman" w:hAnsi="Times New Roman" w:cs="Times New Roman"/>
          <w:i/>
          <w:iCs/>
          <w:sz w:val="24"/>
          <w:szCs w:val="24"/>
          <w:lang w:bidi="ar-SA"/>
        </w:rPr>
        <w:t>Acinetobacter</w:t>
      </w:r>
      <w:r w:rsidRPr="00B65257">
        <w:rPr>
          <w:rFonts w:ascii="Times New Roman" w:hAnsi="Times New Roman" w:cs="Times New Roman"/>
          <w:sz w:val="24"/>
          <w:szCs w:val="24"/>
          <w:lang w:bidi="ar-SA"/>
        </w:rPr>
        <w:t xml:space="preserve"> spp. 60 (19.7%), </w:t>
      </w:r>
      <w:r w:rsidRPr="00B65257">
        <w:rPr>
          <w:rFonts w:ascii="Times New Roman" w:hAnsi="Times New Roman" w:cs="Times New Roman"/>
          <w:i/>
          <w:iCs/>
          <w:sz w:val="24"/>
          <w:szCs w:val="24"/>
          <w:lang w:bidi="ar-SA"/>
        </w:rPr>
        <w:t>K. pneumoniae</w:t>
      </w:r>
      <w:r w:rsidRPr="00B65257">
        <w:rPr>
          <w:rFonts w:ascii="Times New Roman" w:hAnsi="Times New Roman" w:cs="Times New Roman"/>
          <w:sz w:val="24"/>
          <w:szCs w:val="24"/>
          <w:lang w:bidi="ar-SA"/>
        </w:rPr>
        <w:t xml:space="preserve"> 45 (14.8%), </w:t>
      </w:r>
      <w:r w:rsidRPr="00B65257">
        <w:rPr>
          <w:rFonts w:ascii="Times New Roman" w:hAnsi="Times New Roman" w:cs="Times New Roman"/>
          <w:i/>
          <w:iCs/>
          <w:sz w:val="24"/>
          <w:szCs w:val="24"/>
          <w:lang w:bidi="ar-SA"/>
        </w:rPr>
        <w:t>E. coli</w:t>
      </w:r>
      <w:r w:rsidRPr="00B65257">
        <w:rPr>
          <w:rFonts w:ascii="Times New Roman" w:hAnsi="Times New Roman" w:cs="Times New Roman"/>
          <w:sz w:val="24"/>
          <w:szCs w:val="24"/>
          <w:lang w:bidi="ar-SA"/>
        </w:rPr>
        <w:t xml:space="preserve"> 56 (18.4%), </w:t>
      </w:r>
      <w:r w:rsidRPr="00B65257">
        <w:rPr>
          <w:rFonts w:ascii="Times New Roman" w:hAnsi="Times New Roman" w:cs="Times New Roman"/>
          <w:i/>
          <w:iCs/>
          <w:sz w:val="24"/>
          <w:szCs w:val="24"/>
          <w:lang w:bidi="ar-SA"/>
        </w:rPr>
        <w:t xml:space="preserve">P. aeruginosa </w:t>
      </w:r>
      <w:r w:rsidRPr="00B65257">
        <w:rPr>
          <w:rFonts w:ascii="Times New Roman" w:hAnsi="Times New Roman" w:cs="Times New Roman"/>
          <w:sz w:val="24"/>
          <w:szCs w:val="24"/>
          <w:lang w:bidi="ar-SA"/>
        </w:rPr>
        <w:t xml:space="preserve">13 (4.3%), </w:t>
      </w:r>
      <w:r w:rsidRPr="00B65257">
        <w:rPr>
          <w:rFonts w:ascii="Times New Roman" w:hAnsi="Times New Roman" w:cs="Times New Roman"/>
          <w:i/>
          <w:iCs/>
          <w:sz w:val="24"/>
          <w:szCs w:val="24"/>
          <w:lang w:bidi="ar-SA"/>
        </w:rPr>
        <w:t>K. oxytoca</w:t>
      </w:r>
      <w:r w:rsidRPr="00B65257">
        <w:rPr>
          <w:rFonts w:ascii="Times New Roman" w:hAnsi="Times New Roman" w:cs="Times New Roman"/>
          <w:sz w:val="24"/>
          <w:szCs w:val="24"/>
          <w:lang w:bidi="ar-SA"/>
        </w:rPr>
        <w:t xml:space="preserve"> 4 (1.3%), </w:t>
      </w:r>
      <w:r w:rsidRPr="00B65257">
        <w:rPr>
          <w:rFonts w:ascii="Times New Roman" w:hAnsi="Times New Roman" w:cs="Times New Roman"/>
          <w:i/>
          <w:iCs/>
          <w:sz w:val="24"/>
          <w:szCs w:val="24"/>
          <w:lang w:bidi="ar-SA"/>
        </w:rPr>
        <w:t>Proteus spp</w:t>
      </w:r>
      <w:r w:rsidRPr="00B65257">
        <w:rPr>
          <w:rFonts w:ascii="Times New Roman" w:hAnsi="Times New Roman" w:cs="Times New Roman"/>
          <w:sz w:val="24"/>
          <w:szCs w:val="24"/>
          <w:lang w:bidi="ar-SA"/>
        </w:rPr>
        <w:t>. 3</w:t>
      </w:r>
      <w:r w:rsidRPr="00B65257">
        <w:rPr>
          <w:rFonts w:ascii="Times New Roman" w:eastAsia="Calibri" w:hAnsi="Times New Roman" w:cs="Times New Roman"/>
          <w:sz w:val="24"/>
          <w:szCs w:val="24"/>
          <w:lang w:bidi="ar-SA"/>
        </w:rPr>
        <w:t xml:space="preserve"> </w:t>
      </w:r>
      <w:r w:rsidRPr="00B65257">
        <w:rPr>
          <w:rFonts w:ascii="Times New Roman" w:hAnsi="Times New Roman" w:cs="Times New Roman"/>
          <w:sz w:val="24"/>
          <w:szCs w:val="24"/>
          <w:lang w:bidi="ar-SA"/>
        </w:rPr>
        <w:t xml:space="preserve">(1%), </w:t>
      </w:r>
      <w:r w:rsidRPr="00B65257">
        <w:rPr>
          <w:rFonts w:ascii="Times New Roman" w:hAnsi="Times New Roman" w:cs="Times New Roman"/>
          <w:i/>
          <w:iCs/>
          <w:sz w:val="24"/>
          <w:szCs w:val="24"/>
          <w:lang w:bidi="ar-SA"/>
        </w:rPr>
        <w:t>Enterobacter</w:t>
      </w:r>
      <w:r w:rsidRPr="00B65257">
        <w:rPr>
          <w:rFonts w:ascii="Times New Roman" w:hAnsi="Times New Roman" w:cs="Times New Roman"/>
          <w:sz w:val="24"/>
          <w:szCs w:val="24"/>
          <w:lang w:bidi="ar-SA"/>
        </w:rPr>
        <w:t xml:space="preserve"> spp.</w:t>
      </w:r>
      <w:r w:rsidRPr="00B65257">
        <w:rPr>
          <w:rFonts w:ascii="Times New Roman" w:hAnsi="Times New Roman" w:cs="Times New Roman"/>
          <w:i/>
          <w:iCs/>
          <w:sz w:val="24"/>
          <w:szCs w:val="24"/>
          <w:lang w:bidi="ar-SA"/>
        </w:rPr>
        <w:t xml:space="preserve"> </w:t>
      </w:r>
      <w:r w:rsidRPr="00B65257">
        <w:rPr>
          <w:rFonts w:ascii="Times New Roman" w:hAnsi="Times New Roman" w:cs="Times New Roman"/>
          <w:sz w:val="24"/>
          <w:szCs w:val="24"/>
          <w:lang w:bidi="ar-SA"/>
        </w:rPr>
        <w:t xml:space="preserve">2 (0.7%), </w:t>
      </w:r>
      <w:r w:rsidRPr="00B65257">
        <w:rPr>
          <w:rFonts w:ascii="Times New Roman" w:eastAsia="Calibri" w:hAnsi="Times New Roman" w:cs="Times New Roman"/>
          <w:sz w:val="24"/>
          <w:szCs w:val="24"/>
          <w:lang w:bidi="ar-SA"/>
        </w:rPr>
        <w:t xml:space="preserve">and </w:t>
      </w:r>
      <w:r w:rsidRPr="00B65257">
        <w:rPr>
          <w:rFonts w:ascii="Times New Roman" w:hAnsi="Times New Roman" w:cs="Times New Roman"/>
          <w:i/>
          <w:iCs/>
          <w:sz w:val="24"/>
          <w:szCs w:val="24"/>
          <w:lang w:bidi="ar-SA"/>
        </w:rPr>
        <w:t>Citrobacter</w:t>
      </w:r>
      <w:r w:rsidRPr="00B65257">
        <w:rPr>
          <w:rFonts w:ascii="Times New Roman" w:hAnsi="Times New Roman" w:cs="Times New Roman"/>
          <w:sz w:val="24"/>
          <w:szCs w:val="24"/>
          <w:lang w:bidi="ar-SA"/>
        </w:rPr>
        <w:t xml:space="preserve"> spp.</w:t>
      </w:r>
      <w:r w:rsidRPr="00B65257">
        <w:rPr>
          <w:rFonts w:ascii="Times New Roman" w:hAnsi="Times New Roman" w:cs="Times New Roman"/>
          <w:i/>
          <w:iCs/>
          <w:sz w:val="24"/>
          <w:szCs w:val="24"/>
          <w:lang w:bidi="ar-SA"/>
        </w:rPr>
        <w:t xml:space="preserve"> </w:t>
      </w:r>
      <w:r w:rsidRPr="00B65257">
        <w:rPr>
          <w:rFonts w:ascii="Times New Roman" w:hAnsi="Times New Roman" w:cs="Times New Roman"/>
          <w:sz w:val="24"/>
          <w:szCs w:val="24"/>
          <w:lang w:bidi="ar-SA"/>
        </w:rPr>
        <w:t xml:space="preserve">1 (0.3%). Among </w:t>
      </w:r>
      <w:r w:rsidRPr="00B65257">
        <w:rPr>
          <w:rFonts w:ascii="Times New Roman" w:eastAsia="Calibri" w:hAnsi="Times New Roman" w:cs="Times New Roman"/>
          <w:sz w:val="24"/>
          <w:szCs w:val="24"/>
          <w:lang w:bidi="ar-SA"/>
        </w:rPr>
        <w:t>the gram-</w:t>
      </w:r>
      <w:bookmarkStart w:id="6" w:name="_GoBack"/>
      <w:bookmarkEnd w:id="6"/>
      <w:r w:rsidRPr="00B65257">
        <w:rPr>
          <w:rFonts w:ascii="Times New Roman" w:hAnsi="Times New Roman" w:cs="Times New Roman"/>
          <w:sz w:val="24"/>
          <w:szCs w:val="24"/>
          <w:lang w:bidi="ar-SA"/>
        </w:rPr>
        <w:t>positive bacteria</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w:t>
      </w:r>
      <w:r w:rsidRPr="00B65257">
        <w:rPr>
          <w:rFonts w:ascii="Times New Roman" w:hAnsi="Times New Roman" w:cs="Times New Roman"/>
          <w:i/>
          <w:iCs/>
          <w:sz w:val="24"/>
          <w:szCs w:val="24"/>
          <w:lang w:bidi="ar-SA"/>
        </w:rPr>
        <w:t>Staphylococcus aureus</w:t>
      </w:r>
      <w:r w:rsidRPr="00B65257">
        <w:rPr>
          <w:rFonts w:ascii="Times New Roman" w:hAnsi="Times New Roman" w:cs="Times New Roman"/>
          <w:sz w:val="24"/>
          <w:szCs w:val="24"/>
          <w:lang w:bidi="ar-SA"/>
        </w:rPr>
        <w:t xml:space="preserve"> 76 (25%), Enterococcus </w:t>
      </w:r>
      <w:r w:rsidRPr="00B65257">
        <w:rPr>
          <w:rFonts w:ascii="Times New Roman" w:hAnsi="Times New Roman" w:cs="Times New Roman"/>
          <w:i/>
          <w:iCs/>
          <w:sz w:val="24"/>
          <w:szCs w:val="24"/>
          <w:lang w:bidi="ar-SA"/>
        </w:rPr>
        <w:t>spp.</w:t>
      </w:r>
      <w:r w:rsidRPr="00B65257">
        <w:rPr>
          <w:rFonts w:ascii="Times New Roman" w:hAnsi="Times New Roman" w:cs="Times New Roman"/>
          <w:sz w:val="24"/>
          <w:szCs w:val="24"/>
          <w:lang w:bidi="ar-SA"/>
        </w:rPr>
        <w:t xml:space="preserve"> 16 (5.2%) and CONS 28 (9.2%) were isolated (Figure 2).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was predominant in the urine samples (n=23), followed by the sputum/ET aspirated samples (n=12), wound/pus samples (n=6) and blood samples (n=4).</w:t>
      </w:r>
    </w:p>
    <w:p w:rsidR="00FF1C21" w:rsidRPr="00B65257" w:rsidRDefault="00595131" w:rsidP="00FF1C21">
      <w:pPr>
        <w:tabs>
          <w:tab w:val="left" w:pos="2100"/>
        </w:tabs>
        <w:jc w:val="both"/>
        <w:rPr>
          <w:rFonts w:ascii="Times New Roman" w:hAnsi="Times New Roman" w:cs="Times New Roman"/>
          <w:b/>
          <w:bCs/>
          <w:sz w:val="28"/>
          <w:szCs w:val="28"/>
          <w:lang w:bidi="ar-SA"/>
        </w:rPr>
      </w:pPr>
      <w:r w:rsidRPr="00B65257">
        <w:rPr>
          <w:rFonts w:ascii="Times New Roman" w:hAnsi="Times New Roman" w:cs="Times New Roman"/>
          <w:b/>
          <w:bCs/>
          <w:noProof/>
          <w:sz w:val="28"/>
          <w:szCs w:val="28"/>
        </w:rPr>
        <w:lastRenderedPageBreak/>
        <w:drawing>
          <wp:inline distT="0" distB="0" distL="0" distR="0">
            <wp:extent cx="5029200" cy="4029710"/>
            <wp:effectExtent l="0" t="0" r="0"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D66E4" w:rsidRPr="00B65257" w:rsidRDefault="00595131" w:rsidP="00AD66E4">
      <w:pPr>
        <w:tabs>
          <w:tab w:val="left" w:pos="2100"/>
        </w:tabs>
        <w:spacing w:line="360" w:lineRule="auto"/>
        <w:jc w:val="both"/>
        <w:rPr>
          <w:rFonts w:ascii="Times New Roman" w:hAnsi="Times New Roman" w:cs="Times New Roman"/>
          <w:b/>
          <w:bCs/>
          <w:sz w:val="24"/>
          <w:szCs w:val="24"/>
          <w:lang w:bidi="ar-SA"/>
        </w:rPr>
      </w:pPr>
      <w:r w:rsidRPr="00B65257">
        <w:rPr>
          <w:rFonts w:ascii="Times New Roman" w:hAnsi="Times New Roman" w:cs="Times New Roman"/>
          <w:b/>
          <w:bCs/>
          <w:sz w:val="24"/>
          <w:szCs w:val="24"/>
          <w:lang w:bidi="ar-SA"/>
        </w:rPr>
        <w:t xml:space="preserve">                Figure 1: Frequency of bacterial isolates in clinical samples</w:t>
      </w:r>
    </w:p>
    <w:p w:rsidR="002F692D" w:rsidRPr="00B65257" w:rsidRDefault="00595131" w:rsidP="002F692D">
      <w:pPr>
        <w:spacing w:before="100" w:beforeAutospacing="1" w:after="100" w:afterAutospacing="1" w:line="240" w:lineRule="auto"/>
        <w:jc w:val="both"/>
        <w:outlineLvl w:val="1"/>
        <w:rPr>
          <w:rFonts w:ascii="Times New Roman" w:eastAsia="Times New Roman" w:hAnsi="Times New Roman" w:cs="Times New Roman"/>
          <w:b/>
          <w:bCs/>
          <w:sz w:val="28"/>
          <w:szCs w:val="28"/>
        </w:rPr>
      </w:pPr>
      <w:r w:rsidRPr="00B65257">
        <w:rPr>
          <w:rFonts w:ascii="Times New Roman" w:eastAsia="Times New Roman" w:hAnsi="Times New Roman" w:cs="Times New Roman"/>
          <w:b/>
          <w:bCs/>
          <w:sz w:val="28"/>
          <w:szCs w:val="28"/>
        </w:rPr>
        <w:t>Antimicrobial susceptibility patterns</w:t>
      </w:r>
    </w:p>
    <w:p w:rsidR="00FF1C21" w:rsidRPr="00B65257" w:rsidRDefault="00595131" w:rsidP="002F692D">
      <w:pPr>
        <w:tabs>
          <w:tab w:val="left" w:pos="2100"/>
        </w:tabs>
        <w:spacing w:after="240" w:line="360" w:lineRule="auto"/>
        <w:jc w:val="both"/>
        <w:rPr>
          <w:rFonts w:ascii="Times New Roman" w:hAnsi="Times New Roman" w:cs="Times New Roman"/>
          <w:sz w:val="24"/>
          <w:szCs w:val="24"/>
          <w:lang w:bidi="ar-SA"/>
        </w:rPr>
      </w:pPr>
      <w:r w:rsidRPr="00B65257">
        <w:rPr>
          <w:rFonts w:ascii="Times New Roman" w:eastAsia="Times New Roman" w:hAnsi="Times New Roman" w:cs="Times New Roman"/>
          <w:sz w:val="24"/>
          <w:szCs w:val="24"/>
        </w:rPr>
        <w:t xml:space="preserve">The antibiotic susceptibility profiles of the 45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isolates were assessed via the disc diffusion method. Among the total isolates,</w:t>
      </w:r>
      <w:r w:rsidRPr="00B65257">
        <w:rPr>
          <w:rFonts w:ascii="Times New Roman" w:hAnsi="Times New Roman" w:cs="Times New Roman"/>
          <w:sz w:val="24"/>
          <w:szCs w:val="24"/>
          <w:lang w:bidi="ar-SA"/>
        </w:rPr>
        <w:t xml:space="preserve"> 68.8% (31) were resistant to ciprofloxacin</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followed by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same class </w:t>
      </w:r>
      <w:r w:rsidRPr="00B65257">
        <w:rPr>
          <w:rFonts w:ascii="Times New Roman" w:eastAsia="Calibri" w:hAnsi="Times New Roman" w:cs="Times New Roman"/>
          <w:sz w:val="24"/>
          <w:szCs w:val="24"/>
          <w:lang w:bidi="ar-SA"/>
        </w:rPr>
        <w:t xml:space="preserve">of </w:t>
      </w:r>
      <w:r w:rsidRPr="00B65257">
        <w:rPr>
          <w:rFonts w:ascii="Times New Roman" w:hAnsi="Times New Roman" w:cs="Times New Roman"/>
          <w:sz w:val="24"/>
          <w:szCs w:val="24"/>
          <w:lang w:bidi="ar-SA"/>
        </w:rPr>
        <w:t xml:space="preserve">levofloxacin </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62.2%</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28)</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i.e.</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quinolones and fluoroquinolones. </w:t>
      </w:r>
      <w:r w:rsidRPr="00B65257">
        <w:rPr>
          <w:rFonts w:ascii="Times New Roman" w:eastAsia="Times New Roman" w:hAnsi="Times New Roman" w:cs="Times New Roman"/>
          <w:sz w:val="24"/>
          <w:szCs w:val="24"/>
        </w:rPr>
        <w:t>Colistin (97.8%) and polymyxin B (88.9%) were the most effective antibiotics, followed by tetracycline (57.8%). Resistance to meropenem and imipenem was observed in 25 (55.56%) isolates, which were considered potential carbapenemase producers (Fig 2).</w:t>
      </w:r>
    </w:p>
    <w:p w:rsidR="00FF1C21" w:rsidRPr="00B65257" w:rsidRDefault="00595131" w:rsidP="00FF1C21">
      <w:pPr>
        <w:tabs>
          <w:tab w:val="left" w:pos="2100"/>
        </w:tabs>
        <w:spacing w:line="360" w:lineRule="auto"/>
        <w:jc w:val="both"/>
        <w:rPr>
          <w:rFonts w:ascii="Times New Roman" w:hAnsi="Times New Roman" w:cs="Times New Roman"/>
          <w:sz w:val="24"/>
          <w:szCs w:val="24"/>
          <w:lang w:bidi="ar-SA"/>
        </w:rPr>
      </w:pPr>
      <w:r w:rsidRPr="00B65257">
        <w:rPr>
          <w:rFonts w:ascii="Times New Roman" w:hAnsi="Times New Roman" w:cs="Times New Roman"/>
          <w:sz w:val="24"/>
          <w:szCs w:val="24"/>
          <w:lang w:bidi="ar-SA"/>
        </w:rPr>
        <w:lastRenderedPageBreak/>
        <w:t xml:space="preserve"> </w:t>
      </w:r>
      <w:r w:rsidRPr="00B65257">
        <w:rPr>
          <w:rFonts w:ascii="Times New Roman" w:hAnsi="Times New Roman" w:cs="Times New Roman"/>
          <w:noProof/>
          <w:sz w:val="24"/>
          <w:szCs w:val="24"/>
        </w:rPr>
        <w:drawing>
          <wp:inline distT="0" distB="0" distL="0" distR="0">
            <wp:extent cx="4853940" cy="3276600"/>
            <wp:effectExtent l="0" t="0" r="381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F1C21" w:rsidRPr="00B65257" w:rsidRDefault="00595131" w:rsidP="00FF1C21">
      <w:pPr>
        <w:tabs>
          <w:tab w:val="left" w:pos="2100"/>
        </w:tabs>
        <w:spacing w:line="360" w:lineRule="auto"/>
        <w:jc w:val="center"/>
        <w:rPr>
          <w:rFonts w:ascii="Times New Roman" w:hAnsi="Times New Roman" w:cs="Times New Roman"/>
          <w:b/>
          <w:bCs/>
          <w:i/>
          <w:iCs/>
          <w:sz w:val="24"/>
          <w:szCs w:val="24"/>
          <w:lang w:bidi="ar-SA"/>
        </w:rPr>
      </w:pPr>
      <w:r w:rsidRPr="00B65257">
        <w:rPr>
          <w:rFonts w:ascii="Times New Roman" w:hAnsi="Times New Roman" w:cs="Times New Roman"/>
          <w:b/>
          <w:bCs/>
          <w:sz w:val="24"/>
          <w:szCs w:val="24"/>
          <w:lang w:bidi="ar-SA"/>
        </w:rPr>
        <w:t xml:space="preserve">Fig 2: Antibiotic susceptibility pattern of the isolated </w:t>
      </w:r>
      <w:r w:rsidRPr="00B65257">
        <w:rPr>
          <w:rFonts w:ascii="Times New Roman" w:hAnsi="Times New Roman" w:cs="Times New Roman"/>
          <w:b/>
          <w:bCs/>
          <w:i/>
          <w:iCs/>
          <w:sz w:val="24"/>
          <w:szCs w:val="24"/>
          <w:lang w:bidi="ar-SA"/>
        </w:rPr>
        <w:t>K. pneumoniae</w:t>
      </w:r>
    </w:p>
    <w:p w:rsidR="00FF1C21" w:rsidRPr="00B65257" w:rsidRDefault="00FF1C21" w:rsidP="00FF1C21">
      <w:pPr>
        <w:tabs>
          <w:tab w:val="left" w:pos="2100"/>
        </w:tabs>
        <w:spacing w:line="360" w:lineRule="auto"/>
        <w:jc w:val="center"/>
        <w:rPr>
          <w:rFonts w:ascii="Times New Roman" w:hAnsi="Times New Roman" w:cs="Times New Roman"/>
          <w:i/>
          <w:iCs/>
          <w:sz w:val="24"/>
          <w:szCs w:val="24"/>
          <w:lang w:bidi="ar-SA"/>
        </w:rPr>
      </w:pPr>
    </w:p>
    <w:p w:rsidR="00FF1C21" w:rsidRPr="00B65257" w:rsidRDefault="00595131" w:rsidP="00FF1C21">
      <w:pPr>
        <w:keepNext/>
        <w:keepLines/>
        <w:spacing w:before="240" w:after="240" w:line="360" w:lineRule="auto"/>
        <w:jc w:val="both"/>
        <w:outlineLvl w:val="1"/>
        <w:rPr>
          <w:rFonts w:ascii="Times New Roman" w:eastAsiaTheme="majorEastAsia" w:hAnsi="Times New Roman" w:cs="Times New Roman"/>
          <w:b/>
          <w:bCs/>
          <w:sz w:val="28"/>
          <w:szCs w:val="28"/>
          <w:lang w:val="en-GB" w:bidi="ar-SA"/>
        </w:rPr>
      </w:pPr>
      <w:r w:rsidRPr="00B65257">
        <w:rPr>
          <w:rFonts w:ascii="Times New Roman" w:eastAsiaTheme="majorEastAsia" w:hAnsi="Times New Roman" w:cs="Times New Roman"/>
          <w:b/>
          <w:bCs/>
          <w:sz w:val="28"/>
          <w:szCs w:val="26"/>
          <w:lang w:bidi="ar-SA"/>
        </w:rPr>
        <w:t xml:space="preserve">Distribution of </w:t>
      </w:r>
      <w:r w:rsidRPr="00B65257">
        <w:rPr>
          <w:rFonts w:ascii="Times New Roman" w:eastAsia="Times New Roman" w:hAnsi="Times New Roman" w:cs="Times New Roman"/>
          <w:b/>
          <w:bCs/>
          <w:sz w:val="28"/>
          <w:szCs w:val="26"/>
          <w:lang w:bidi="ar-SA"/>
        </w:rPr>
        <w:t>multidrug-</w:t>
      </w:r>
      <w:bookmarkStart w:id="7" w:name="_Toc160141063"/>
      <w:r w:rsidRPr="00B65257">
        <w:rPr>
          <w:rFonts w:ascii="Times New Roman" w:eastAsiaTheme="majorEastAsia" w:hAnsi="Times New Roman" w:cs="Times New Roman"/>
          <w:b/>
          <w:bCs/>
          <w:sz w:val="28"/>
          <w:szCs w:val="26"/>
          <w:lang w:bidi="ar-SA"/>
        </w:rPr>
        <w:t xml:space="preserve">resistant </w:t>
      </w:r>
      <w:r w:rsidRPr="00B65257">
        <w:rPr>
          <w:rFonts w:ascii="Times New Roman" w:eastAsiaTheme="majorEastAsia" w:hAnsi="Times New Roman" w:cs="Times New Roman"/>
          <w:b/>
          <w:bCs/>
          <w:i/>
          <w:iCs/>
          <w:sz w:val="28"/>
          <w:szCs w:val="26"/>
          <w:lang w:bidi="ar-SA"/>
        </w:rPr>
        <w:t>K. pneumoniae</w:t>
      </w:r>
      <w:r w:rsidRPr="00B65257">
        <w:rPr>
          <w:rFonts w:ascii="Times New Roman" w:eastAsiaTheme="majorEastAsia" w:hAnsi="Times New Roman" w:cs="Times New Roman"/>
          <w:b/>
          <w:bCs/>
          <w:sz w:val="28"/>
          <w:szCs w:val="28"/>
          <w:lang w:bidi="ar-SA"/>
        </w:rPr>
        <w:t xml:space="preserve"> isolates</w:t>
      </w:r>
      <w:bookmarkEnd w:id="7"/>
    </w:p>
    <w:p w:rsidR="002F692D" w:rsidRPr="00B65257" w:rsidRDefault="00595131" w:rsidP="002F692D">
      <w:pPr>
        <w:tabs>
          <w:tab w:val="left" w:pos="2100"/>
        </w:tabs>
        <w:spacing w:after="240" w:line="360" w:lineRule="auto"/>
        <w:jc w:val="both"/>
        <w:rPr>
          <w:rFonts w:ascii="Times New Roman" w:hAnsi="Times New Roman" w:cs="Times New Roman"/>
          <w:sz w:val="24"/>
          <w:szCs w:val="24"/>
          <w:lang w:bidi="ar-SA"/>
        </w:rPr>
      </w:pPr>
      <w:r w:rsidRPr="00B65257">
        <w:rPr>
          <w:rFonts w:ascii="Times New Roman" w:eastAsia="Calibri" w:hAnsi="Times New Roman" w:cs="Times New Roman"/>
          <w:sz w:val="24"/>
          <w:szCs w:val="24"/>
          <w:lang w:bidi="ar-SA"/>
        </w:rPr>
        <w:t>Among the</w:t>
      </w:r>
      <w:r w:rsidRPr="00B65257">
        <w:rPr>
          <w:rFonts w:ascii="Times New Roman" w:hAnsi="Times New Roman" w:cs="Times New Roman"/>
          <w:sz w:val="24"/>
          <w:szCs w:val="24"/>
          <w:lang w:bidi="ar-SA"/>
        </w:rPr>
        <w:t xml:space="preserve"> 45 </w:t>
      </w:r>
      <w:r w:rsidRPr="00B65257">
        <w:rPr>
          <w:rFonts w:ascii="Times New Roman" w:hAnsi="Times New Roman" w:cs="Times New Roman"/>
          <w:i/>
          <w:iCs/>
          <w:sz w:val="24"/>
          <w:szCs w:val="24"/>
          <w:lang w:bidi="ar-SA"/>
        </w:rPr>
        <w:t>K. pneumoniae</w:t>
      </w:r>
      <w:r w:rsidRPr="00B65257">
        <w:rPr>
          <w:rFonts w:ascii="Times New Roman" w:hAnsi="Times New Roman" w:cs="Times New Roman"/>
          <w:sz w:val="24"/>
          <w:szCs w:val="24"/>
          <w:lang w:bidi="ar-SA"/>
        </w:rPr>
        <w:t xml:space="preserve"> isolates, 68.8% (31) were </w:t>
      </w:r>
      <w:r w:rsidRPr="00B65257">
        <w:rPr>
          <w:rFonts w:ascii="Times New Roman" w:eastAsia="Times New Roman" w:hAnsi="Times New Roman" w:cs="Times New Roman"/>
          <w:sz w:val="24"/>
          <w:szCs w:val="24"/>
        </w:rPr>
        <w:t>multidrug resistant (MDR), indicating resistance to at least three classes of antibiotics (Fig. 3).</w:t>
      </w:r>
    </w:p>
    <w:p w:rsidR="002F692D" w:rsidRPr="00B65257" w:rsidRDefault="002F692D" w:rsidP="00FF1C21">
      <w:pPr>
        <w:keepNext/>
        <w:keepLines/>
        <w:spacing w:before="240" w:after="240" w:line="360" w:lineRule="auto"/>
        <w:jc w:val="both"/>
        <w:outlineLvl w:val="1"/>
        <w:rPr>
          <w:rFonts w:ascii="Times New Roman" w:eastAsiaTheme="majorEastAsia" w:hAnsi="Times New Roman" w:cs="Times New Roman"/>
          <w:b/>
          <w:bCs/>
          <w:sz w:val="28"/>
          <w:szCs w:val="28"/>
          <w:lang w:val="en-GB" w:bidi="ar-SA"/>
        </w:rPr>
      </w:pPr>
    </w:p>
    <w:p w:rsidR="00FF1C21" w:rsidRPr="00B65257" w:rsidRDefault="00595131" w:rsidP="00FF1C21">
      <w:pPr>
        <w:tabs>
          <w:tab w:val="left" w:pos="2100"/>
        </w:tabs>
        <w:spacing w:line="360" w:lineRule="auto"/>
        <w:jc w:val="both"/>
        <w:rPr>
          <w:rFonts w:ascii="Times New Roman" w:hAnsi="Times New Roman" w:cs="Times New Roman"/>
          <w:sz w:val="24"/>
          <w:szCs w:val="24"/>
          <w:lang w:bidi="ar-SA"/>
        </w:rPr>
      </w:pPr>
      <w:r w:rsidRPr="00B65257">
        <w:rPr>
          <w:rFonts w:ascii="Times New Roman" w:hAnsi="Times New Roman" w:cs="Times New Roman"/>
          <w:sz w:val="24"/>
          <w:szCs w:val="24"/>
          <w:lang w:bidi="ar-SA"/>
        </w:rPr>
        <w:t xml:space="preserve"> </w:t>
      </w:r>
      <w:r w:rsidRPr="00B65257">
        <w:rPr>
          <w:rFonts w:ascii="Times New Roman" w:hAnsi="Times New Roman" w:cs="Times New Roman"/>
          <w:noProof/>
          <w:sz w:val="24"/>
          <w:szCs w:val="24"/>
        </w:rPr>
        <w:drawing>
          <wp:inline distT="0" distB="0" distL="0" distR="0">
            <wp:extent cx="3985260" cy="2849880"/>
            <wp:effectExtent l="0" t="0" r="15240" b="762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F1C21" w:rsidRPr="00B65257" w:rsidRDefault="00595131" w:rsidP="00F1169B">
      <w:pPr>
        <w:tabs>
          <w:tab w:val="left" w:pos="2100"/>
        </w:tabs>
        <w:spacing w:line="360" w:lineRule="auto"/>
        <w:rPr>
          <w:rFonts w:ascii="Times New Roman" w:hAnsi="Times New Roman" w:cs="Times New Roman"/>
          <w:b/>
          <w:bCs/>
          <w:sz w:val="24"/>
          <w:szCs w:val="24"/>
          <w:lang w:bidi="ar-SA"/>
        </w:rPr>
      </w:pPr>
      <w:r w:rsidRPr="00B65257">
        <w:rPr>
          <w:rFonts w:ascii="Times New Roman" w:hAnsi="Times New Roman" w:cs="Times New Roman"/>
          <w:b/>
          <w:bCs/>
          <w:sz w:val="24"/>
          <w:szCs w:val="24"/>
          <w:lang w:bidi="ar-SA"/>
        </w:rPr>
        <w:t xml:space="preserve">             Fig 3: Distribution of </w:t>
      </w:r>
      <w:r w:rsidRPr="00B65257">
        <w:rPr>
          <w:rFonts w:ascii="Times New Roman" w:eastAsia="Calibri" w:hAnsi="Times New Roman" w:cs="Times New Roman"/>
          <w:b/>
          <w:bCs/>
          <w:sz w:val="24"/>
          <w:szCs w:val="24"/>
          <w:lang w:bidi="ar-SA"/>
        </w:rPr>
        <w:t>multidrug-</w:t>
      </w:r>
      <w:r w:rsidRPr="00B65257">
        <w:rPr>
          <w:rFonts w:ascii="Times New Roman" w:hAnsi="Times New Roman" w:cs="Times New Roman"/>
          <w:b/>
          <w:bCs/>
          <w:sz w:val="24"/>
          <w:szCs w:val="24"/>
          <w:lang w:bidi="ar-SA"/>
        </w:rPr>
        <w:t xml:space="preserve">resistant </w:t>
      </w:r>
      <w:r w:rsidRPr="00B65257">
        <w:rPr>
          <w:rFonts w:ascii="Times New Roman" w:hAnsi="Times New Roman" w:cs="Times New Roman"/>
          <w:b/>
          <w:bCs/>
          <w:i/>
          <w:iCs/>
          <w:sz w:val="24"/>
          <w:szCs w:val="24"/>
          <w:lang w:bidi="ar-SA"/>
        </w:rPr>
        <w:t>K. pneumoniae</w:t>
      </w:r>
      <w:r w:rsidRPr="00B65257">
        <w:rPr>
          <w:rFonts w:ascii="Times New Roman" w:hAnsi="Times New Roman" w:cs="Times New Roman"/>
          <w:b/>
          <w:bCs/>
          <w:sz w:val="24"/>
          <w:szCs w:val="24"/>
          <w:lang w:bidi="ar-SA"/>
        </w:rPr>
        <w:t xml:space="preserve"> isolates</w:t>
      </w:r>
    </w:p>
    <w:p w:rsidR="002F692D" w:rsidRPr="00B65257" w:rsidRDefault="00595131" w:rsidP="002F692D">
      <w:pPr>
        <w:spacing w:before="100" w:beforeAutospacing="1" w:after="100" w:afterAutospacing="1" w:line="360" w:lineRule="auto"/>
        <w:jc w:val="both"/>
        <w:outlineLvl w:val="1"/>
        <w:rPr>
          <w:rFonts w:ascii="Times New Roman" w:eastAsia="Times New Roman" w:hAnsi="Times New Roman" w:cs="Times New Roman"/>
          <w:b/>
          <w:bCs/>
          <w:sz w:val="28"/>
          <w:szCs w:val="28"/>
        </w:rPr>
      </w:pPr>
      <w:r w:rsidRPr="00B65257">
        <w:rPr>
          <w:rFonts w:ascii="Times New Roman" w:eastAsia="Times New Roman" w:hAnsi="Times New Roman" w:cs="Times New Roman"/>
          <w:b/>
          <w:bCs/>
          <w:sz w:val="28"/>
          <w:szCs w:val="28"/>
        </w:rPr>
        <w:t>Carbapenemase production and phenotypic confirmation</w:t>
      </w:r>
    </w:p>
    <w:p w:rsidR="002F692D" w:rsidRPr="00B65257" w:rsidRDefault="00D56A3E" w:rsidP="00AD66E4">
      <w:pPr>
        <w:tabs>
          <w:tab w:val="left" w:pos="2100"/>
        </w:tabs>
        <w:spacing w:after="240"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Phenotypic confirmation of carbapenemase production was carried out </w:t>
      </w:r>
      <w:r w:rsidR="00595131" w:rsidRPr="00B65257">
        <w:rPr>
          <w:rFonts w:ascii="Times New Roman" w:eastAsia="Times New Roman" w:hAnsi="Times New Roman" w:cs="Times New Roman"/>
          <w:sz w:val="24"/>
          <w:szCs w:val="24"/>
        </w:rPr>
        <w:t>via</w:t>
      </w:r>
      <w:r w:rsidRPr="00B65257">
        <w:rPr>
          <w:rFonts w:ascii="Times New Roman" w:eastAsia="Times New Roman" w:hAnsi="Times New Roman" w:cs="Times New Roman"/>
          <w:sz w:val="24"/>
          <w:szCs w:val="24"/>
        </w:rPr>
        <w:t xml:space="preserve"> the modified carbapenem inactivation method (mCIM). Among the 25 carbapenemase-producing isolates, 14</w:t>
      </w:r>
      <w:r w:rsidR="00595131" w:rsidRPr="00B65257">
        <w:rPr>
          <w:rFonts w:ascii="Times New Roman" w:eastAsia="Times New Roman" w:hAnsi="Times New Roman" w:cs="Times New Roman"/>
          <w:sz w:val="24"/>
          <w:szCs w:val="24"/>
        </w:rPr>
        <w:t xml:space="preserve"> </w:t>
      </w:r>
      <w:r w:rsidRPr="00B65257">
        <w:rPr>
          <w:rFonts w:ascii="Times New Roman" w:eastAsia="Times New Roman" w:hAnsi="Times New Roman" w:cs="Times New Roman"/>
          <w:sz w:val="24"/>
          <w:szCs w:val="24"/>
        </w:rPr>
        <w:t xml:space="preserve">(56%) were confirmed phenotypically as carbapenemase producers. Thus, the overall prevalence of confirmed carbapenemase producers was 31.11% (14/45). These findings </w:t>
      </w:r>
      <w:r w:rsidR="00595131" w:rsidRPr="00B65257">
        <w:rPr>
          <w:rFonts w:ascii="Times New Roman" w:eastAsia="Times New Roman" w:hAnsi="Times New Roman" w:cs="Times New Roman"/>
          <w:sz w:val="24"/>
          <w:szCs w:val="24"/>
        </w:rPr>
        <w:t>revealed</w:t>
      </w:r>
      <w:r w:rsidRPr="00B65257">
        <w:rPr>
          <w:rFonts w:ascii="Times New Roman" w:eastAsia="Times New Roman" w:hAnsi="Times New Roman" w:cs="Times New Roman"/>
          <w:sz w:val="24"/>
          <w:szCs w:val="24"/>
        </w:rPr>
        <w:t xml:space="preserve"> </w:t>
      </w:r>
      <w:r w:rsidR="00595131" w:rsidRPr="00B65257">
        <w:rPr>
          <w:rFonts w:ascii="Times New Roman" w:eastAsia="Times New Roman" w:hAnsi="Times New Roman" w:cs="Times New Roman"/>
          <w:sz w:val="24"/>
          <w:szCs w:val="24"/>
        </w:rPr>
        <w:t xml:space="preserve">a significant association between the frequency of multidrug-resistant </w:t>
      </w:r>
      <w:r w:rsidR="00595131" w:rsidRPr="00B65257">
        <w:rPr>
          <w:rFonts w:ascii="Times New Roman" w:eastAsia="Times New Roman" w:hAnsi="Times New Roman" w:cs="Times New Roman"/>
          <w:i/>
          <w:iCs/>
          <w:sz w:val="24"/>
          <w:szCs w:val="24"/>
        </w:rPr>
        <w:t>K. pneumoniae</w:t>
      </w:r>
      <w:r w:rsidR="00595131" w:rsidRPr="00B65257">
        <w:rPr>
          <w:rFonts w:ascii="Times New Roman" w:eastAsia="Times New Roman" w:hAnsi="Times New Roman" w:cs="Times New Roman"/>
          <w:sz w:val="24"/>
          <w:szCs w:val="24"/>
        </w:rPr>
        <w:t xml:space="preserve"> and the phenotype of carbapenemase producers (Table 1).</w:t>
      </w:r>
    </w:p>
    <w:p w:rsidR="00CB23F5" w:rsidRPr="00B65257" w:rsidRDefault="00595131" w:rsidP="00CB23F5">
      <w:pPr>
        <w:tabs>
          <w:tab w:val="left" w:pos="2100"/>
        </w:tabs>
        <w:spacing w:line="360" w:lineRule="auto"/>
        <w:jc w:val="both"/>
        <w:rPr>
          <w:rFonts w:ascii="Times New Roman" w:hAnsi="Times New Roman" w:cs="Times New Roman"/>
          <w:b/>
          <w:bCs/>
          <w:sz w:val="23"/>
          <w:szCs w:val="23"/>
          <w:lang w:bidi="ar-SA"/>
        </w:rPr>
      </w:pPr>
      <w:r w:rsidRPr="00B65257">
        <w:rPr>
          <w:rFonts w:ascii="Times New Roman" w:hAnsi="Times New Roman" w:cs="Times New Roman"/>
          <w:b/>
          <w:bCs/>
          <w:sz w:val="23"/>
          <w:szCs w:val="23"/>
          <w:lang w:bidi="ar-SA"/>
        </w:rPr>
        <w:t xml:space="preserve">Table 1: MDR and carbapenemase production </w:t>
      </w:r>
      <w:r w:rsidRPr="00B65257">
        <w:rPr>
          <w:rFonts w:ascii="Times New Roman" w:eastAsia="Calibri" w:hAnsi="Times New Roman" w:cs="Times New Roman"/>
          <w:b/>
          <w:bCs/>
          <w:sz w:val="23"/>
          <w:szCs w:val="23"/>
          <w:lang w:bidi="ar-SA"/>
        </w:rPr>
        <w:t>profiles</w:t>
      </w:r>
      <w:r w:rsidRPr="00B65257">
        <w:rPr>
          <w:rFonts w:ascii="Times New Roman" w:hAnsi="Times New Roman" w:cs="Times New Roman"/>
          <w:b/>
          <w:bCs/>
          <w:sz w:val="23"/>
          <w:szCs w:val="23"/>
          <w:lang w:bidi="ar-SA"/>
        </w:rPr>
        <w:t xml:space="preserve"> of </w:t>
      </w:r>
      <w:r w:rsidRPr="00B65257">
        <w:rPr>
          <w:rFonts w:ascii="Times New Roman" w:hAnsi="Times New Roman" w:cs="Times New Roman"/>
          <w:b/>
          <w:bCs/>
          <w:i/>
          <w:sz w:val="23"/>
          <w:szCs w:val="23"/>
          <w:lang w:bidi="ar-SA"/>
        </w:rPr>
        <w:t>K. pneumoniae</w:t>
      </w:r>
      <w:r w:rsidRPr="00B65257">
        <w:rPr>
          <w:rFonts w:ascii="Times New Roman" w:hAnsi="Times New Roman" w:cs="Times New Roman"/>
          <w:b/>
          <w:bCs/>
          <w:sz w:val="23"/>
          <w:szCs w:val="23"/>
          <w:lang w:bidi="ar-SA"/>
        </w:rPr>
        <w:t xml:space="preserve"> isolates</w:t>
      </w:r>
    </w:p>
    <w:tbl>
      <w:tblPr>
        <w:tblStyle w:val="TableGrid"/>
        <w:tblW w:w="7910" w:type="dxa"/>
        <w:tblInd w:w="732" w:type="dxa"/>
        <w:tblLook w:val="04A0" w:firstRow="1" w:lastRow="0" w:firstColumn="1" w:lastColumn="0" w:noHBand="0" w:noVBand="1"/>
      </w:tblPr>
      <w:tblGrid>
        <w:gridCol w:w="2806"/>
        <w:gridCol w:w="1419"/>
        <w:gridCol w:w="1262"/>
        <w:gridCol w:w="1166"/>
        <w:gridCol w:w="1257"/>
      </w:tblGrid>
      <w:tr w:rsidR="0094417F" w:rsidRPr="00B65257" w:rsidTr="00CB23F5">
        <w:tc>
          <w:tcPr>
            <w:tcW w:w="2806" w:type="dxa"/>
            <w:tcBorders>
              <w:left w:val="nil"/>
              <w:bottom w:val="single" w:sz="4" w:space="0" w:color="auto"/>
              <w:right w:val="nil"/>
            </w:tcBorders>
          </w:tcPr>
          <w:p w:rsidR="00CB23F5" w:rsidRPr="00B65257" w:rsidRDefault="00595131" w:rsidP="005E66B9">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Isolates</w:t>
            </w:r>
          </w:p>
        </w:tc>
        <w:tc>
          <w:tcPr>
            <w:tcW w:w="1419" w:type="dxa"/>
            <w:tcBorders>
              <w:left w:val="nil"/>
              <w:bottom w:val="single" w:sz="4" w:space="0" w:color="auto"/>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MDR</w:t>
            </w:r>
          </w:p>
        </w:tc>
        <w:tc>
          <w:tcPr>
            <w:tcW w:w="1262" w:type="dxa"/>
            <w:tcBorders>
              <w:left w:val="nil"/>
              <w:bottom w:val="single" w:sz="4" w:space="0" w:color="auto"/>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Non-MDR</w:t>
            </w:r>
          </w:p>
        </w:tc>
        <w:tc>
          <w:tcPr>
            <w:tcW w:w="1166" w:type="dxa"/>
            <w:tcBorders>
              <w:left w:val="nil"/>
              <w:bottom w:val="single" w:sz="4" w:space="0" w:color="auto"/>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Total</w:t>
            </w:r>
          </w:p>
        </w:tc>
        <w:tc>
          <w:tcPr>
            <w:tcW w:w="1257" w:type="dxa"/>
            <w:tcBorders>
              <w:left w:val="nil"/>
              <w:bottom w:val="single" w:sz="4" w:space="0" w:color="auto"/>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P value*</w:t>
            </w:r>
          </w:p>
        </w:tc>
      </w:tr>
      <w:tr w:rsidR="0094417F" w:rsidRPr="00B65257" w:rsidTr="00CB23F5">
        <w:tc>
          <w:tcPr>
            <w:tcW w:w="2806" w:type="dxa"/>
            <w:tcBorders>
              <w:top w:val="single" w:sz="4" w:space="0" w:color="auto"/>
              <w:left w:val="nil"/>
              <w:bottom w:val="nil"/>
              <w:right w:val="nil"/>
            </w:tcBorders>
          </w:tcPr>
          <w:p w:rsidR="00CB23F5" w:rsidRPr="00B65257" w:rsidRDefault="00595131" w:rsidP="005E66B9">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Carbapenemase producers</w:t>
            </w:r>
          </w:p>
        </w:tc>
        <w:tc>
          <w:tcPr>
            <w:tcW w:w="1419" w:type="dxa"/>
            <w:tcBorders>
              <w:top w:val="single" w:sz="4" w:space="0" w:color="auto"/>
              <w:left w:val="nil"/>
              <w:bottom w:val="nil"/>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14 (45.16% )</w:t>
            </w:r>
          </w:p>
        </w:tc>
        <w:tc>
          <w:tcPr>
            <w:tcW w:w="1262" w:type="dxa"/>
            <w:tcBorders>
              <w:top w:val="single" w:sz="4" w:space="0" w:color="auto"/>
              <w:left w:val="nil"/>
              <w:bottom w:val="nil"/>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0 (0.0%)</w:t>
            </w:r>
          </w:p>
        </w:tc>
        <w:tc>
          <w:tcPr>
            <w:tcW w:w="1166" w:type="dxa"/>
            <w:tcBorders>
              <w:top w:val="single" w:sz="4" w:space="0" w:color="auto"/>
              <w:left w:val="nil"/>
              <w:bottom w:val="nil"/>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14 (31.1%)</w:t>
            </w:r>
          </w:p>
        </w:tc>
        <w:tc>
          <w:tcPr>
            <w:tcW w:w="1257" w:type="dxa"/>
            <w:tcBorders>
              <w:top w:val="single" w:sz="4" w:space="0" w:color="auto"/>
              <w:left w:val="nil"/>
              <w:bottom w:val="nil"/>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0.002</w:t>
            </w:r>
          </w:p>
        </w:tc>
      </w:tr>
      <w:tr w:rsidR="0094417F" w:rsidRPr="00B65257" w:rsidTr="00CB23F5">
        <w:tc>
          <w:tcPr>
            <w:tcW w:w="2806" w:type="dxa"/>
            <w:tcBorders>
              <w:top w:val="nil"/>
              <w:left w:val="nil"/>
              <w:bottom w:val="single" w:sz="4" w:space="0" w:color="auto"/>
              <w:right w:val="nil"/>
            </w:tcBorders>
          </w:tcPr>
          <w:p w:rsidR="00CB23F5" w:rsidRPr="00B65257" w:rsidRDefault="00595131" w:rsidP="005E66B9">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Noncarbapenemase producers</w:t>
            </w:r>
          </w:p>
        </w:tc>
        <w:tc>
          <w:tcPr>
            <w:tcW w:w="1419" w:type="dxa"/>
            <w:tcBorders>
              <w:top w:val="nil"/>
              <w:left w:val="nil"/>
              <w:bottom w:val="single" w:sz="4" w:space="0" w:color="auto"/>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17(54.83%)</w:t>
            </w:r>
          </w:p>
        </w:tc>
        <w:tc>
          <w:tcPr>
            <w:tcW w:w="1262" w:type="dxa"/>
            <w:tcBorders>
              <w:top w:val="nil"/>
              <w:left w:val="nil"/>
              <w:bottom w:val="single" w:sz="4" w:space="0" w:color="auto"/>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14 (100%)</w:t>
            </w:r>
          </w:p>
        </w:tc>
        <w:tc>
          <w:tcPr>
            <w:tcW w:w="1166" w:type="dxa"/>
            <w:tcBorders>
              <w:top w:val="nil"/>
              <w:left w:val="nil"/>
              <w:bottom w:val="single" w:sz="4" w:space="0" w:color="auto"/>
              <w:right w:val="nil"/>
            </w:tcBorders>
          </w:tcPr>
          <w:p w:rsidR="00CB23F5" w:rsidRPr="00B65257" w:rsidRDefault="00595131" w:rsidP="005E66B9">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31(68.88%)</w:t>
            </w:r>
          </w:p>
        </w:tc>
        <w:tc>
          <w:tcPr>
            <w:tcW w:w="1257" w:type="dxa"/>
            <w:tcBorders>
              <w:top w:val="nil"/>
              <w:left w:val="nil"/>
              <w:bottom w:val="single" w:sz="4" w:space="0" w:color="auto"/>
              <w:right w:val="nil"/>
            </w:tcBorders>
          </w:tcPr>
          <w:p w:rsidR="00CB23F5" w:rsidRPr="00B65257" w:rsidRDefault="00CB23F5" w:rsidP="005E66B9">
            <w:pPr>
              <w:tabs>
                <w:tab w:val="left" w:pos="2100"/>
              </w:tabs>
              <w:spacing w:after="160" w:line="360" w:lineRule="auto"/>
              <w:jc w:val="center"/>
              <w:rPr>
                <w:rFonts w:ascii="Times New Roman" w:hAnsi="Times New Roman" w:cs="Times New Roman"/>
                <w:sz w:val="20"/>
                <w:lang w:bidi="ar-SA"/>
              </w:rPr>
            </w:pPr>
          </w:p>
        </w:tc>
      </w:tr>
      <w:tr w:rsidR="0094417F" w:rsidRPr="00B65257" w:rsidTr="00CB23F5">
        <w:tc>
          <w:tcPr>
            <w:tcW w:w="2806" w:type="dxa"/>
            <w:tcBorders>
              <w:top w:val="single" w:sz="4" w:space="0" w:color="auto"/>
              <w:left w:val="nil"/>
              <w:right w:val="nil"/>
            </w:tcBorders>
          </w:tcPr>
          <w:p w:rsidR="00CB23F5" w:rsidRPr="00B65257" w:rsidRDefault="00595131" w:rsidP="005E66B9">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Total</w:t>
            </w:r>
          </w:p>
        </w:tc>
        <w:tc>
          <w:tcPr>
            <w:tcW w:w="1419" w:type="dxa"/>
            <w:tcBorders>
              <w:top w:val="single" w:sz="4" w:space="0" w:color="auto"/>
              <w:left w:val="nil"/>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31(100%)</w:t>
            </w:r>
          </w:p>
        </w:tc>
        <w:tc>
          <w:tcPr>
            <w:tcW w:w="1262" w:type="dxa"/>
            <w:tcBorders>
              <w:top w:val="single" w:sz="4" w:space="0" w:color="auto"/>
              <w:left w:val="nil"/>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14 (100%)</w:t>
            </w:r>
          </w:p>
        </w:tc>
        <w:tc>
          <w:tcPr>
            <w:tcW w:w="1166" w:type="dxa"/>
            <w:tcBorders>
              <w:top w:val="single" w:sz="4" w:space="0" w:color="auto"/>
              <w:left w:val="nil"/>
              <w:right w:val="nil"/>
            </w:tcBorders>
          </w:tcPr>
          <w:p w:rsidR="00CB23F5" w:rsidRPr="00B65257" w:rsidRDefault="00595131" w:rsidP="005E66B9">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45 (100%)</w:t>
            </w:r>
          </w:p>
        </w:tc>
        <w:tc>
          <w:tcPr>
            <w:tcW w:w="1257" w:type="dxa"/>
            <w:tcBorders>
              <w:top w:val="single" w:sz="4" w:space="0" w:color="auto"/>
              <w:left w:val="nil"/>
              <w:right w:val="nil"/>
            </w:tcBorders>
          </w:tcPr>
          <w:p w:rsidR="00CB23F5" w:rsidRPr="00B65257" w:rsidRDefault="00CB23F5" w:rsidP="005E66B9">
            <w:pPr>
              <w:tabs>
                <w:tab w:val="left" w:pos="2100"/>
              </w:tabs>
              <w:spacing w:after="160" w:line="360" w:lineRule="auto"/>
              <w:jc w:val="center"/>
              <w:rPr>
                <w:rFonts w:ascii="Times New Roman" w:hAnsi="Times New Roman" w:cs="Times New Roman"/>
                <w:sz w:val="20"/>
                <w:lang w:bidi="ar-SA"/>
              </w:rPr>
            </w:pPr>
          </w:p>
        </w:tc>
      </w:tr>
    </w:tbl>
    <w:p w:rsidR="00CB23F5" w:rsidRPr="00B65257" w:rsidRDefault="00595131" w:rsidP="00CB23F5">
      <w:pPr>
        <w:tabs>
          <w:tab w:val="left" w:pos="2100"/>
        </w:tabs>
        <w:spacing w:line="360" w:lineRule="auto"/>
        <w:jc w:val="both"/>
        <w:rPr>
          <w:rFonts w:ascii="Times New Roman" w:hAnsi="Times New Roman" w:cs="Times New Roman"/>
          <w:b/>
          <w:bCs/>
          <w:sz w:val="20"/>
          <w:lang w:bidi="ar-SA"/>
        </w:rPr>
      </w:pPr>
      <w:r w:rsidRPr="00B65257">
        <w:rPr>
          <w:rFonts w:ascii="Times New Roman" w:hAnsi="Times New Roman" w:cs="Times New Roman"/>
          <w:b/>
          <w:bCs/>
          <w:sz w:val="20"/>
          <w:lang w:bidi="ar-SA"/>
        </w:rPr>
        <w:t xml:space="preserve">               * Chi-square test</w:t>
      </w:r>
    </w:p>
    <w:p w:rsidR="002F692D" w:rsidRPr="00B65257" w:rsidRDefault="00595131" w:rsidP="002F692D">
      <w:pPr>
        <w:spacing w:before="100" w:beforeAutospacing="1" w:after="100" w:afterAutospacing="1" w:line="360" w:lineRule="auto"/>
        <w:jc w:val="both"/>
        <w:outlineLvl w:val="1"/>
        <w:rPr>
          <w:rFonts w:ascii="Times New Roman" w:eastAsia="Times New Roman" w:hAnsi="Times New Roman" w:cs="Times New Roman"/>
          <w:b/>
          <w:bCs/>
          <w:sz w:val="28"/>
          <w:szCs w:val="28"/>
        </w:rPr>
      </w:pPr>
      <w:r w:rsidRPr="00B65257">
        <w:rPr>
          <w:rFonts w:ascii="Times New Roman" w:eastAsia="Times New Roman" w:hAnsi="Times New Roman" w:cs="Times New Roman"/>
          <w:b/>
          <w:bCs/>
          <w:sz w:val="28"/>
          <w:szCs w:val="28"/>
        </w:rPr>
        <w:lastRenderedPageBreak/>
        <w:t>Prevalence of carbapenemase and efflux pump genes</w:t>
      </w:r>
    </w:p>
    <w:p w:rsidR="00006AB4" w:rsidRPr="00B65257" w:rsidRDefault="00595131" w:rsidP="002F692D">
      <w:pPr>
        <w:spacing w:before="100" w:beforeAutospacing="1" w:after="100" w:afterAutospacing="1" w:line="360" w:lineRule="auto"/>
        <w:jc w:val="both"/>
        <w:outlineLvl w:val="1"/>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PCR-based molecular detection revealed the presence of carbapenemase genes in the phenotypically confirmed isolates. The </w:t>
      </w:r>
      <w:r w:rsidRPr="00B65257">
        <w:rPr>
          <w:rFonts w:ascii="Times New Roman" w:eastAsia="Times New Roman" w:hAnsi="Times New Roman" w:cs="Times New Roman"/>
          <w:i/>
          <w:iCs/>
          <w:sz w:val="24"/>
          <w:szCs w:val="24"/>
        </w:rPr>
        <w:t>bla</w:t>
      </w:r>
      <w:r w:rsidRPr="00B65257">
        <w:rPr>
          <w:rFonts w:ascii="Times New Roman" w:eastAsia="Times New Roman" w:hAnsi="Times New Roman" w:cs="Times New Roman"/>
          <w:sz w:val="24"/>
          <w:szCs w:val="24"/>
          <w:vertAlign w:val="subscript"/>
        </w:rPr>
        <w:t xml:space="preserve">KPC </w:t>
      </w:r>
      <w:r w:rsidRPr="00B65257">
        <w:rPr>
          <w:rFonts w:ascii="Times New Roman" w:eastAsia="Times New Roman" w:hAnsi="Times New Roman" w:cs="Times New Roman"/>
          <w:sz w:val="24"/>
          <w:szCs w:val="24"/>
        </w:rPr>
        <w:t>and bla</w:t>
      </w:r>
      <w:r w:rsidRPr="00B65257">
        <w:rPr>
          <w:rFonts w:ascii="Times New Roman" w:eastAsia="Times New Roman" w:hAnsi="Times New Roman" w:cs="Times New Roman"/>
          <w:sz w:val="24"/>
          <w:szCs w:val="24"/>
          <w:vertAlign w:val="subscript"/>
        </w:rPr>
        <w:t>OXA-48</w:t>
      </w:r>
      <w:r w:rsidRPr="00B65257">
        <w:rPr>
          <w:rFonts w:ascii="Times New Roman" w:eastAsia="Times New Roman" w:hAnsi="Times New Roman" w:cs="Times New Roman"/>
          <w:sz w:val="24"/>
          <w:szCs w:val="24"/>
        </w:rPr>
        <w:t xml:space="preserve"> genes were detected in 2 (14.28%) isolates each. The prevalence of the efflux pump genes </w:t>
      </w:r>
      <w:r w:rsidRPr="00B65257">
        <w:rPr>
          <w:rFonts w:ascii="Times New Roman" w:eastAsia="Times New Roman" w:hAnsi="Times New Roman" w:cs="Times New Roman"/>
          <w:i/>
          <w:iCs/>
          <w:sz w:val="24"/>
          <w:szCs w:val="24"/>
        </w:rPr>
        <w:t>acrA</w:t>
      </w:r>
      <w:r w:rsidRPr="00B65257">
        <w:rPr>
          <w:rFonts w:ascii="Times New Roman" w:eastAsia="Times New Roman" w:hAnsi="Times New Roman" w:cs="Times New Roman"/>
          <w:sz w:val="24"/>
          <w:szCs w:val="24"/>
        </w:rPr>
        <w:t xml:space="preserve"> and </w:t>
      </w:r>
      <w:r w:rsidRPr="00B65257">
        <w:rPr>
          <w:rFonts w:ascii="Times New Roman" w:eastAsia="Times New Roman" w:hAnsi="Times New Roman" w:cs="Times New Roman"/>
          <w:i/>
          <w:iCs/>
          <w:sz w:val="24"/>
          <w:szCs w:val="24"/>
        </w:rPr>
        <w:t xml:space="preserve">acrB </w:t>
      </w:r>
      <w:r w:rsidRPr="00B65257">
        <w:rPr>
          <w:rFonts w:ascii="Times New Roman" w:eastAsia="Times New Roman" w:hAnsi="Times New Roman" w:cs="Times New Roman"/>
          <w:sz w:val="24"/>
          <w:szCs w:val="24"/>
        </w:rPr>
        <w:t xml:space="preserve">was significantly greater, with </w:t>
      </w:r>
      <w:r w:rsidRPr="00B65257">
        <w:rPr>
          <w:rFonts w:ascii="Times New Roman" w:eastAsia="Times New Roman" w:hAnsi="Times New Roman" w:cs="Times New Roman"/>
          <w:i/>
          <w:iCs/>
          <w:sz w:val="24"/>
          <w:szCs w:val="24"/>
        </w:rPr>
        <w:t xml:space="preserve">acrA </w:t>
      </w:r>
      <w:r w:rsidRPr="00B65257">
        <w:rPr>
          <w:rFonts w:ascii="Times New Roman" w:eastAsia="Times New Roman" w:hAnsi="Times New Roman" w:cs="Times New Roman"/>
          <w:sz w:val="24"/>
          <w:szCs w:val="24"/>
        </w:rPr>
        <w:t xml:space="preserve">detected in 10 (71.42%) isolates and </w:t>
      </w:r>
      <w:r w:rsidRPr="00B65257">
        <w:rPr>
          <w:rFonts w:ascii="Times New Roman" w:eastAsia="Times New Roman" w:hAnsi="Times New Roman" w:cs="Times New Roman"/>
          <w:i/>
          <w:iCs/>
          <w:sz w:val="24"/>
          <w:szCs w:val="24"/>
        </w:rPr>
        <w:t>acrB</w:t>
      </w:r>
      <w:r w:rsidRPr="00B65257">
        <w:rPr>
          <w:rFonts w:ascii="Times New Roman" w:eastAsia="Times New Roman" w:hAnsi="Times New Roman" w:cs="Times New Roman"/>
          <w:sz w:val="24"/>
          <w:szCs w:val="24"/>
        </w:rPr>
        <w:t xml:space="preserve"> detected in 13 (92.85%) isolates.</w:t>
      </w:r>
      <w:r w:rsidR="00AB18BC" w:rsidRPr="00B65257">
        <w:rPr>
          <w:rFonts w:ascii="Times New Roman" w:hAnsi="Times New Roman" w:cs="Times New Roman"/>
          <w:sz w:val="23"/>
          <w:szCs w:val="23"/>
        </w:rPr>
        <w:t xml:space="preserve"> </w:t>
      </w:r>
      <w:r w:rsidR="00AB18BC" w:rsidRPr="00B65257">
        <w:rPr>
          <w:rFonts w:ascii="Times New Roman" w:hAnsi="Times New Roman" w:cs="Times New Roman"/>
          <w:sz w:val="24"/>
          <w:szCs w:val="24"/>
        </w:rPr>
        <w:t xml:space="preserve">Among </w:t>
      </w:r>
      <w:r w:rsidRPr="00B65257">
        <w:rPr>
          <w:rFonts w:ascii="Times New Roman" w:eastAsia="Calibri" w:hAnsi="Times New Roman" w:cs="Times New Roman"/>
          <w:sz w:val="24"/>
          <w:szCs w:val="24"/>
        </w:rPr>
        <w:t xml:space="preserve">the </w:t>
      </w:r>
      <w:r w:rsidR="00AB18BC" w:rsidRPr="00B65257">
        <w:rPr>
          <w:rFonts w:ascii="Times New Roman" w:hAnsi="Times New Roman" w:cs="Times New Roman"/>
          <w:sz w:val="24"/>
          <w:szCs w:val="24"/>
        </w:rPr>
        <w:t>14 carbapenemase</w:t>
      </w:r>
      <w:r w:rsidRPr="00B65257">
        <w:rPr>
          <w:rFonts w:ascii="Times New Roman" w:eastAsia="Calibri" w:hAnsi="Times New Roman" w:cs="Times New Roman"/>
          <w:sz w:val="24"/>
          <w:szCs w:val="24"/>
        </w:rPr>
        <w:t>-</w:t>
      </w:r>
      <w:r w:rsidR="00AB18BC" w:rsidRPr="00B65257">
        <w:rPr>
          <w:rFonts w:ascii="Times New Roman" w:hAnsi="Times New Roman" w:cs="Times New Roman"/>
          <w:sz w:val="24"/>
          <w:szCs w:val="24"/>
        </w:rPr>
        <w:t xml:space="preserve">confirmed isolates, efflux pump genes (either </w:t>
      </w:r>
      <w:r w:rsidR="00AB18BC" w:rsidRPr="00B65257">
        <w:rPr>
          <w:rFonts w:ascii="Times New Roman" w:hAnsi="Times New Roman" w:cs="Times New Roman"/>
          <w:i/>
          <w:iCs/>
          <w:sz w:val="24"/>
          <w:szCs w:val="24"/>
        </w:rPr>
        <w:t xml:space="preserve">acrA </w:t>
      </w:r>
      <w:r w:rsidR="00AB18BC" w:rsidRPr="00B65257">
        <w:rPr>
          <w:rFonts w:ascii="Times New Roman" w:hAnsi="Times New Roman" w:cs="Times New Roman"/>
          <w:sz w:val="24"/>
          <w:szCs w:val="24"/>
        </w:rPr>
        <w:t xml:space="preserve">or </w:t>
      </w:r>
      <w:r w:rsidR="00AB18BC" w:rsidRPr="00B65257">
        <w:rPr>
          <w:rFonts w:ascii="Times New Roman" w:hAnsi="Times New Roman" w:cs="Times New Roman"/>
          <w:i/>
          <w:iCs/>
          <w:sz w:val="24"/>
          <w:szCs w:val="24"/>
        </w:rPr>
        <w:t>acrB</w:t>
      </w:r>
      <w:r w:rsidR="00AB18BC" w:rsidRPr="00B65257">
        <w:rPr>
          <w:rFonts w:ascii="Times New Roman" w:hAnsi="Times New Roman" w:cs="Times New Roman"/>
          <w:sz w:val="24"/>
          <w:szCs w:val="24"/>
        </w:rPr>
        <w:t xml:space="preserve">) </w:t>
      </w:r>
      <w:r w:rsidRPr="00B65257">
        <w:rPr>
          <w:rFonts w:ascii="Times New Roman" w:eastAsia="Calibri" w:hAnsi="Times New Roman" w:cs="Times New Roman"/>
          <w:sz w:val="24"/>
          <w:szCs w:val="24"/>
        </w:rPr>
        <w:t>were</w:t>
      </w:r>
      <w:r w:rsidR="00AB18BC" w:rsidRPr="00B65257">
        <w:rPr>
          <w:rFonts w:ascii="Times New Roman" w:hAnsi="Times New Roman" w:cs="Times New Roman"/>
          <w:sz w:val="24"/>
          <w:szCs w:val="24"/>
        </w:rPr>
        <w:t xml:space="preserve"> found in all the isolates (100%) confirmed </w:t>
      </w:r>
      <w:r w:rsidRPr="00B65257">
        <w:rPr>
          <w:rFonts w:ascii="Times New Roman" w:eastAsia="Calibri" w:hAnsi="Times New Roman" w:cs="Times New Roman"/>
          <w:sz w:val="24"/>
          <w:szCs w:val="24"/>
        </w:rPr>
        <w:t>to be</w:t>
      </w:r>
      <w:r w:rsidR="00AB18BC" w:rsidRPr="00B65257">
        <w:rPr>
          <w:rFonts w:ascii="Times New Roman" w:hAnsi="Times New Roman" w:cs="Times New Roman"/>
          <w:sz w:val="24"/>
          <w:szCs w:val="24"/>
        </w:rPr>
        <w:t xml:space="preserve"> carbapenem resistant (Table 2).</w:t>
      </w:r>
    </w:p>
    <w:p w:rsidR="00B95EE2" w:rsidRPr="00B65257" w:rsidRDefault="00595131" w:rsidP="00B95EE2">
      <w:pPr>
        <w:tabs>
          <w:tab w:val="left" w:pos="2100"/>
        </w:tabs>
        <w:spacing w:line="360" w:lineRule="auto"/>
        <w:jc w:val="center"/>
        <w:rPr>
          <w:rFonts w:ascii="Times New Roman" w:eastAsia="Times New Roman" w:hAnsi="Times New Roman" w:cs="Times New Roman"/>
          <w:b/>
          <w:bCs/>
          <w:sz w:val="24"/>
          <w:szCs w:val="24"/>
        </w:rPr>
      </w:pPr>
      <w:r w:rsidRPr="00B65257">
        <w:rPr>
          <w:rFonts w:ascii="Times New Roman" w:eastAsia="Times New Roman" w:hAnsi="Times New Roman" w:cs="Times New Roman"/>
          <w:b/>
          <w:bCs/>
          <w:sz w:val="24"/>
          <w:szCs w:val="24"/>
        </w:rPr>
        <w:t>Table 2: Prevalence of efflux genes among carbapenemase producers</w:t>
      </w:r>
    </w:p>
    <w:tbl>
      <w:tblPr>
        <w:tblStyle w:val="TableGrid1"/>
        <w:tblW w:w="7966" w:type="dxa"/>
        <w:tblInd w:w="702" w:type="dxa"/>
        <w:tblLook w:val="04A0" w:firstRow="1" w:lastRow="0" w:firstColumn="1" w:lastColumn="0" w:noHBand="0" w:noVBand="1"/>
      </w:tblPr>
      <w:tblGrid>
        <w:gridCol w:w="1580"/>
        <w:gridCol w:w="2154"/>
        <w:gridCol w:w="2018"/>
        <w:gridCol w:w="1207"/>
        <w:gridCol w:w="1007"/>
      </w:tblGrid>
      <w:tr w:rsidR="0094417F" w:rsidRPr="00B65257" w:rsidTr="00B95EE2">
        <w:trPr>
          <w:trHeight w:val="1042"/>
        </w:trPr>
        <w:tc>
          <w:tcPr>
            <w:tcW w:w="1580" w:type="dxa"/>
            <w:tcBorders>
              <w:left w:val="nil"/>
              <w:bottom w:val="single" w:sz="4" w:space="0" w:color="auto"/>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Isolates</w:t>
            </w:r>
          </w:p>
        </w:tc>
        <w:tc>
          <w:tcPr>
            <w:tcW w:w="2154" w:type="dxa"/>
            <w:tcBorders>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Carbapenemase producers</w:t>
            </w:r>
          </w:p>
        </w:tc>
        <w:tc>
          <w:tcPr>
            <w:tcW w:w="2018" w:type="dxa"/>
            <w:tcBorders>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Noncarbapenemase producers</w:t>
            </w:r>
          </w:p>
        </w:tc>
        <w:tc>
          <w:tcPr>
            <w:tcW w:w="1207" w:type="dxa"/>
            <w:tcBorders>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Total</w:t>
            </w:r>
          </w:p>
        </w:tc>
        <w:tc>
          <w:tcPr>
            <w:tcW w:w="1007" w:type="dxa"/>
            <w:tcBorders>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P value*</w:t>
            </w:r>
          </w:p>
        </w:tc>
      </w:tr>
      <w:tr w:rsidR="0094417F" w:rsidRPr="00B65257" w:rsidTr="00B95EE2">
        <w:trPr>
          <w:trHeight w:val="616"/>
        </w:trPr>
        <w:tc>
          <w:tcPr>
            <w:tcW w:w="1580" w:type="dxa"/>
            <w:tcBorders>
              <w:left w:val="nil"/>
              <w:bottom w:val="nil"/>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eastAsia="Times New Roman" w:hAnsi="Times New Roman" w:cs="Times New Roman"/>
                <w:sz w:val="20"/>
              </w:rPr>
              <w:t>Efflux genes</w:t>
            </w:r>
          </w:p>
        </w:tc>
        <w:tc>
          <w:tcPr>
            <w:tcW w:w="2154" w:type="dxa"/>
            <w:tcBorders>
              <w:left w:val="nil"/>
              <w:bottom w:val="nil"/>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 xml:space="preserve">          14 (100%)</w:t>
            </w:r>
          </w:p>
        </w:tc>
        <w:tc>
          <w:tcPr>
            <w:tcW w:w="2018" w:type="dxa"/>
            <w:tcBorders>
              <w:left w:val="nil"/>
              <w:bottom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21 (67.74%)</w:t>
            </w:r>
          </w:p>
        </w:tc>
        <w:tc>
          <w:tcPr>
            <w:tcW w:w="1207" w:type="dxa"/>
            <w:tcBorders>
              <w:left w:val="nil"/>
              <w:bottom w:val="nil"/>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35(77.77%)</w:t>
            </w:r>
          </w:p>
        </w:tc>
        <w:tc>
          <w:tcPr>
            <w:tcW w:w="1007" w:type="dxa"/>
            <w:tcBorders>
              <w:left w:val="nil"/>
              <w:bottom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0.01</w:t>
            </w:r>
          </w:p>
        </w:tc>
      </w:tr>
      <w:tr w:rsidR="0094417F" w:rsidRPr="00B65257" w:rsidTr="00B95EE2">
        <w:trPr>
          <w:trHeight w:val="1027"/>
        </w:trPr>
        <w:tc>
          <w:tcPr>
            <w:tcW w:w="1580" w:type="dxa"/>
            <w:tcBorders>
              <w:top w:val="nil"/>
              <w:left w:val="nil"/>
              <w:bottom w:val="single" w:sz="4" w:space="0" w:color="auto"/>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eastAsia="Times New Roman" w:hAnsi="Times New Roman" w:cs="Times New Roman"/>
                <w:sz w:val="20"/>
              </w:rPr>
              <w:t>Non efflux genes</w:t>
            </w:r>
          </w:p>
        </w:tc>
        <w:tc>
          <w:tcPr>
            <w:tcW w:w="2154" w:type="dxa"/>
            <w:tcBorders>
              <w:top w:val="nil"/>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0 (0.0%)</w:t>
            </w:r>
          </w:p>
        </w:tc>
        <w:tc>
          <w:tcPr>
            <w:tcW w:w="2018" w:type="dxa"/>
            <w:tcBorders>
              <w:top w:val="nil"/>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10 (32.25%)</w:t>
            </w:r>
          </w:p>
        </w:tc>
        <w:tc>
          <w:tcPr>
            <w:tcW w:w="1207" w:type="dxa"/>
            <w:tcBorders>
              <w:top w:val="nil"/>
              <w:left w:val="nil"/>
              <w:bottom w:val="single" w:sz="4" w:space="0" w:color="auto"/>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10(22.22%)</w:t>
            </w:r>
          </w:p>
        </w:tc>
        <w:tc>
          <w:tcPr>
            <w:tcW w:w="1007" w:type="dxa"/>
            <w:tcBorders>
              <w:top w:val="nil"/>
              <w:left w:val="nil"/>
              <w:bottom w:val="single" w:sz="4" w:space="0" w:color="auto"/>
              <w:right w:val="nil"/>
            </w:tcBorders>
          </w:tcPr>
          <w:p w:rsidR="00B95EE2" w:rsidRPr="00B65257" w:rsidRDefault="00B95EE2" w:rsidP="00B95EE2">
            <w:pPr>
              <w:tabs>
                <w:tab w:val="left" w:pos="2100"/>
              </w:tabs>
              <w:spacing w:after="160" w:line="360" w:lineRule="auto"/>
              <w:jc w:val="center"/>
              <w:rPr>
                <w:rFonts w:ascii="Times New Roman" w:hAnsi="Times New Roman" w:cs="Times New Roman"/>
                <w:sz w:val="20"/>
                <w:lang w:bidi="ar-SA"/>
              </w:rPr>
            </w:pPr>
          </w:p>
        </w:tc>
      </w:tr>
      <w:tr w:rsidR="0094417F" w:rsidRPr="00B65257" w:rsidTr="00B95EE2">
        <w:trPr>
          <w:trHeight w:val="616"/>
        </w:trPr>
        <w:tc>
          <w:tcPr>
            <w:tcW w:w="1580" w:type="dxa"/>
            <w:tcBorders>
              <w:left w:val="nil"/>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Total</w:t>
            </w:r>
          </w:p>
        </w:tc>
        <w:tc>
          <w:tcPr>
            <w:tcW w:w="2154" w:type="dxa"/>
            <w:tcBorders>
              <w:left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14 (100%)</w:t>
            </w:r>
          </w:p>
        </w:tc>
        <w:tc>
          <w:tcPr>
            <w:tcW w:w="2018" w:type="dxa"/>
            <w:tcBorders>
              <w:left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31 (100%)</w:t>
            </w:r>
          </w:p>
        </w:tc>
        <w:tc>
          <w:tcPr>
            <w:tcW w:w="1207" w:type="dxa"/>
            <w:tcBorders>
              <w:left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45 (100%)</w:t>
            </w:r>
          </w:p>
        </w:tc>
        <w:tc>
          <w:tcPr>
            <w:tcW w:w="1007" w:type="dxa"/>
            <w:tcBorders>
              <w:left w:val="nil"/>
              <w:right w:val="nil"/>
            </w:tcBorders>
          </w:tcPr>
          <w:p w:rsidR="00B95EE2" w:rsidRPr="00B65257" w:rsidRDefault="00B95EE2" w:rsidP="00B95EE2">
            <w:pPr>
              <w:tabs>
                <w:tab w:val="left" w:pos="2100"/>
              </w:tabs>
              <w:spacing w:after="160" w:line="360" w:lineRule="auto"/>
              <w:jc w:val="center"/>
              <w:rPr>
                <w:rFonts w:ascii="Times New Roman" w:hAnsi="Times New Roman" w:cs="Times New Roman"/>
                <w:sz w:val="20"/>
                <w:lang w:bidi="ar-SA"/>
              </w:rPr>
            </w:pPr>
          </w:p>
        </w:tc>
      </w:tr>
    </w:tbl>
    <w:p w:rsidR="00B95EE2" w:rsidRPr="00B65257" w:rsidRDefault="00595131" w:rsidP="00B95EE2">
      <w:pPr>
        <w:tabs>
          <w:tab w:val="left" w:pos="2100"/>
        </w:tabs>
        <w:spacing w:line="360" w:lineRule="auto"/>
        <w:rPr>
          <w:rFonts w:ascii="Times New Roman" w:eastAsia="Times New Roman" w:hAnsi="Times New Roman" w:cs="Times New Roman"/>
          <w:b/>
          <w:bCs/>
          <w:sz w:val="20"/>
        </w:rPr>
      </w:pPr>
      <w:r w:rsidRPr="00B65257">
        <w:rPr>
          <w:rFonts w:ascii="Times New Roman" w:eastAsia="Times New Roman" w:hAnsi="Times New Roman" w:cs="Times New Roman"/>
          <w:b/>
          <w:bCs/>
          <w:sz w:val="20"/>
        </w:rPr>
        <w:t xml:space="preserve">              *Chi-square test</w:t>
      </w:r>
    </w:p>
    <w:p w:rsidR="00B95EE2" w:rsidRPr="00B65257" w:rsidRDefault="00595131" w:rsidP="00B95EE2">
      <w:pPr>
        <w:keepNext/>
        <w:keepLines/>
        <w:spacing w:before="240" w:after="240" w:line="360" w:lineRule="auto"/>
        <w:jc w:val="both"/>
        <w:outlineLvl w:val="1"/>
        <w:rPr>
          <w:rFonts w:ascii="Times New Roman" w:eastAsia="Times New Roman" w:hAnsi="Times New Roman" w:cs="Times New Roman"/>
          <w:b/>
          <w:bCs/>
          <w:sz w:val="28"/>
          <w:szCs w:val="26"/>
          <w:lang w:val="en-GB"/>
        </w:rPr>
      </w:pPr>
      <w:r w:rsidRPr="00B65257">
        <w:rPr>
          <w:rFonts w:ascii="Times New Roman" w:eastAsia="Times New Roman" w:hAnsi="Times New Roman" w:cs="Times New Roman"/>
          <w:b/>
          <w:bCs/>
          <w:sz w:val="28"/>
          <w:szCs w:val="26"/>
        </w:rPr>
        <w:t>Distribution of MDR and efflux</w:t>
      </w:r>
      <w:bookmarkStart w:id="8" w:name="_Toc160141070"/>
      <w:r w:rsidRPr="00B65257">
        <w:rPr>
          <w:rFonts w:ascii="Times New Roman" w:eastAsia="Times New Roman" w:hAnsi="Times New Roman" w:cs="Times New Roman"/>
          <w:b/>
          <w:bCs/>
          <w:sz w:val="28"/>
          <w:szCs w:val="26"/>
        </w:rPr>
        <w:t xml:space="preserve"> genes in isolates</w:t>
      </w:r>
      <w:bookmarkEnd w:id="8"/>
    </w:p>
    <w:p w:rsidR="00B95EE2" w:rsidRPr="00B65257" w:rsidRDefault="00595131" w:rsidP="00B95EE2">
      <w:pPr>
        <w:tabs>
          <w:tab w:val="left" w:pos="2100"/>
        </w:tabs>
        <w:spacing w:after="240" w:line="360" w:lineRule="auto"/>
        <w:jc w:val="both"/>
        <w:rPr>
          <w:rFonts w:ascii="Times New Roman" w:eastAsia="Times New Roman" w:hAnsi="Times New Roman" w:cs="Times New Roman"/>
          <w:sz w:val="24"/>
          <w:szCs w:val="24"/>
        </w:rPr>
      </w:pPr>
      <w:r w:rsidRPr="00B65257">
        <w:rPr>
          <w:rFonts w:ascii="Times New Roman" w:eastAsia="Calibri" w:hAnsi="Times New Roman" w:cs="Times New Roman"/>
          <w:sz w:val="24"/>
          <w:szCs w:val="24"/>
          <w:lang w:bidi="ar-SA"/>
        </w:rPr>
        <w:t>Among the</w:t>
      </w:r>
      <w:r w:rsidRPr="00B65257">
        <w:rPr>
          <w:rFonts w:ascii="Times New Roman" w:hAnsi="Times New Roman" w:cs="Times New Roman"/>
          <w:sz w:val="24"/>
          <w:szCs w:val="24"/>
          <w:lang w:bidi="ar-SA"/>
        </w:rPr>
        <w:t xml:space="preserve"> 45 </w:t>
      </w:r>
      <w:r w:rsidRPr="00B65257">
        <w:rPr>
          <w:rFonts w:ascii="Times New Roman" w:hAnsi="Times New Roman" w:cs="Times New Roman"/>
          <w:i/>
          <w:iCs/>
          <w:sz w:val="24"/>
          <w:szCs w:val="24"/>
          <w:lang w:bidi="ar-SA"/>
        </w:rPr>
        <w:t>K. pneumoniae</w:t>
      </w:r>
      <w:r w:rsidRPr="00B65257">
        <w:rPr>
          <w:rFonts w:ascii="Times New Roman" w:hAnsi="Times New Roman" w:cs="Times New Roman"/>
          <w:sz w:val="24"/>
          <w:szCs w:val="24"/>
          <w:lang w:bidi="ar-SA"/>
        </w:rPr>
        <w:t xml:space="preserve"> isolates, 68.8% (31) were </w:t>
      </w:r>
      <w:r w:rsidRPr="00B65257">
        <w:rPr>
          <w:rFonts w:ascii="Times New Roman" w:eastAsia="Calibri" w:hAnsi="Times New Roman" w:cs="Times New Roman"/>
          <w:sz w:val="24"/>
          <w:szCs w:val="24"/>
          <w:lang w:bidi="ar-SA"/>
        </w:rPr>
        <w:t>multidrug</w:t>
      </w:r>
      <w:r w:rsidRPr="00B65257">
        <w:rPr>
          <w:rFonts w:ascii="Times New Roman" w:hAnsi="Times New Roman" w:cs="Times New Roman"/>
          <w:sz w:val="24"/>
          <w:szCs w:val="24"/>
          <w:lang w:bidi="ar-SA"/>
        </w:rPr>
        <w:t xml:space="preserve"> resistant. All the MDR isolates of </w:t>
      </w:r>
      <w:r w:rsidRPr="00B65257">
        <w:rPr>
          <w:rFonts w:ascii="Times New Roman" w:hAnsi="Times New Roman" w:cs="Times New Roman"/>
          <w:i/>
          <w:iCs/>
          <w:sz w:val="24"/>
          <w:szCs w:val="24"/>
          <w:lang w:bidi="ar-SA"/>
        </w:rPr>
        <w:t>K. pneumoniae</w:t>
      </w:r>
      <w:r w:rsidRPr="00B65257">
        <w:rPr>
          <w:rFonts w:ascii="Times New Roman" w:hAnsi="Times New Roman" w:cs="Times New Roman"/>
          <w:sz w:val="24"/>
          <w:szCs w:val="24"/>
          <w:lang w:bidi="ar-SA"/>
        </w:rPr>
        <w:t xml:space="preserve"> were efflux </w:t>
      </w:r>
      <w:r w:rsidRPr="00B65257">
        <w:rPr>
          <w:rFonts w:ascii="Times New Roman" w:eastAsia="Calibri" w:hAnsi="Times New Roman" w:cs="Times New Roman"/>
          <w:sz w:val="24"/>
          <w:szCs w:val="24"/>
          <w:lang w:bidi="ar-SA"/>
        </w:rPr>
        <w:t>gene</w:t>
      </w:r>
      <w:r w:rsidRPr="00B65257">
        <w:rPr>
          <w:rFonts w:ascii="Times New Roman" w:hAnsi="Times New Roman" w:cs="Times New Roman"/>
          <w:sz w:val="24"/>
          <w:szCs w:val="24"/>
          <w:lang w:bidi="ar-SA"/>
        </w:rPr>
        <w:t xml:space="preserve"> producers. </w:t>
      </w:r>
      <w:r w:rsidRPr="00B65257">
        <w:rPr>
          <w:rFonts w:ascii="Times New Roman" w:eastAsia="Times New Roman" w:hAnsi="Times New Roman" w:cs="Times New Roman"/>
          <w:sz w:val="24"/>
          <w:szCs w:val="24"/>
        </w:rPr>
        <w:t>There was a significant association between the frequencies of MDR and efflux genes in the isolates (Table 3).</w:t>
      </w:r>
    </w:p>
    <w:p w:rsidR="00B95EE2" w:rsidRPr="00B65257" w:rsidRDefault="00595131" w:rsidP="00B95EE2">
      <w:pPr>
        <w:tabs>
          <w:tab w:val="left" w:pos="2100"/>
        </w:tabs>
        <w:spacing w:line="360" w:lineRule="auto"/>
        <w:jc w:val="both"/>
        <w:rPr>
          <w:rFonts w:ascii="Times New Roman" w:hAnsi="Times New Roman" w:cs="Times New Roman"/>
          <w:b/>
          <w:bCs/>
          <w:sz w:val="24"/>
          <w:szCs w:val="24"/>
          <w:lang w:bidi="ar-SA"/>
        </w:rPr>
      </w:pPr>
      <w:r w:rsidRPr="00B65257">
        <w:rPr>
          <w:rFonts w:ascii="Times New Roman" w:hAnsi="Times New Roman" w:cs="Times New Roman"/>
          <w:b/>
          <w:bCs/>
          <w:sz w:val="24"/>
          <w:szCs w:val="24"/>
          <w:lang w:bidi="ar-SA"/>
        </w:rPr>
        <w:t xml:space="preserve">Table 3: Prevalence of MDR and efflux genes </w:t>
      </w:r>
      <w:r w:rsidRPr="00B65257">
        <w:rPr>
          <w:rFonts w:ascii="Times New Roman" w:eastAsia="Calibri" w:hAnsi="Times New Roman" w:cs="Times New Roman"/>
          <w:b/>
          <w:bCs/>
          <w:sz w:val="24"/>
          <w:szCs w:val="24"/>
          <w:lang w:bidi="ar-SA"/>
        </w:rPr>
        <w:t>in</w:t>
      </w:r>
      <w:r w:rsidRPr="00B65257">
        <w:rPr>
          <w:rFonts w:ascii="Times New Roman" w:hAnsi="Times New Roman" w:cs="Times New Roman"/>
          <w:b/>
          <w:bCs/>
          <w:sz w:val="24"/>
          <w:szCs w:val="24"/>
          <w:lang w:bidi="ar-SA"/>
        </w:rPr>
        <w:t xml:space="preserve"> </w:t>
      </w:r>
      <w:r w:rsidRPr="00B65257">
        <w:rPr>
          <w:rFonts w:ascii="Times New Roman" w:hAnsi="Times New Roman" w:cs="Times New Roman"/>
          <w:b/>
          <w:bCs/>
          <w:i/>
          <w:iCs/>
          <w:sz w:val="24"/>
          <w:szCs w:val="24"/>
          <w:lang w:bidi="ar-SA"/>
        </w:rPr>
        <w:t>K.</w:t>
      </w:r>
      <w:r w:rsidRPr="00B65257">
        <w:rPr>
          <w:rFonts w:ascii="Times New Roman" w:eastAsia="Calibri" w:hAnsi="Times New Roman" w:cs="Times New Roman"/>
          <w:b/>
          <w:bCs/>
          <w:i/>
          <w:iCs/>
          <w:sz w:val="24"/>
          <w:szCs w:val="24"/>
          <w:lang w:bidi="ar-SA"/>
        </w:rPr>
        <w:t xml:space="preserve"> </w:t>
      </w:r>
      <w:r w:rsidRPr="00B65257">
        <w:rPr>
          <w:rFonts w:ascii="Times New Roman" w:hAnsi="Times New Roman" w:cs="Times New Roman"/>
          <w:b/>
          <w:bCs/>
          <w:i/>
          <w:iCs/>
          <w:sz w:val="24"/>
          <w:szCs w:val="24"/>
          <w:lang w:bidi="ar-SA"/>
        </w:rPr>
        <w:t>pneumoniae</w:t>
      </w:r>
    </w:p>
    <w:tbl>
      <w:tblPr>
        <w:tblStyle w:val="TableGrid1"/>
        <w:tblW w:w="0" w:type="auto"/>
        <w:tblLook w:val="04A0" w:firstRow="1" w:lastRow="0" w:firstColumn="1" w:lastColumn="0" w:noHBand="0" w:noVBand="1"/>
      </w:tblPr>
      <w:tblGrid>
        <w:gridCol w:w="2563"/>
        <w:gridCol w:w="1111"/>
        <w:gridCol w:w="1481"/>
        <w:gridCol w:w="1203"/>
        <w:gridCol w:w="1229"/>
      </w:tblGrid>
      <w:tr w:rsidR="0094417F" w:rsidRPr="00B65257" w:rsidTr="005E66B9">
        <w:tc>
          <w:tcPr>
            <w:tcW w:w="3505" w:type="dxa"/>
            <w:tcBorders>
              <w:left w:val="nil"/>
              <w:bottom w:val="single" w:sz="4" w:space="0" w:color="auto"/>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Isolates</w:t>
            </w:r>
          </w:p>
        </w:tc>
        <w:tc>
          <w:tcPr>
            <w:tcW w:w="1170" w:type="dxa"/>
            <w:tcBorders>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MDR</w:t>
            </w:r>
          </w:p>
        </w:tc>
        <w:tc>
          <w:tcPr>
            <w:tcW w:w="1800" w:type="dxa"/>
            <w:tcBorders>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Non-MDR</w:t>
            </w:r>
          </w:p>
        </w:tc>
        <w:tc>
          <w:tcPr>
            <w:tcW w:w="1350" w:type="dxa"/>
            <w:tcBorders>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Total</w:t>
            </w:r>
          </w:p>
        </w:tc>
        <w:tc>
          <w:tcPr>
            <w:tcW w:w="1525" w:type="dxa"/>
            <w:tcBorders>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P value*</w:t>
            </w:r>
          </w:p>
        </w:tc>
      </w:tr>
      <w:tr w:rsidR="0094417F" w:rsidRPr="00B65257" w:rsidTr="005E66B9">
        <w:tc>
          <w:tcPr>
            <w:tcW w:w="3505" w:type="dxa"/>
            <w:tcBorders>
              <w:left w:val="nil"/>
              <w:bottom w:val="nil"/>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Efflux genes</w:t>
            </w:r>
          </w:p>
        </w:tc>
        <w:tc>
          <w:tcPr>
            <w:tcW w:w="1170" w:type="dxa"/>
            <w:tcBorders>
              <w:left w:val="nil"/>
              <w:bottom w:val="nil"/>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31(100%)</w:t>
            </w:r>
          </w:p>
        </w:tc>
        <w:tc>
          <w:tcPr>
            <w:tcW w:w="1800" w:type="dxa"/>
            <w:tcBorders>
              <w:left w:val="nil"/>
              <w:bottom w:val="nil"/>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 xml:space="preserve">    4 (28.57%)</w:t>
            </w:r>
          </w:p>
        </w:tc>
        <w:tc>
          <w:tcPr>
            <w:tcW w:w="1350" w:type="dxa"/>
            <w:tcBorders>
              <w:left w:val="nil"/>
              <w:bottom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35 (77.77%)</w:t>
            </w:r>
          </w:p>
        </w:tc>
        <w:tc>
          <w:tcPr>
            <w:tcW w:w="1525" w:type="dxa"/>
            <w:tcBorders>
              <w:left w:val="nil"/>
              <w:bottom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&lt; 0.05</w:t>
            </w:r>
          </w:p>
        </w:tc>
      </w:tr>
      <w:tr w:rsidR="0094417F" w:rsidRPr="00B65257" w:rsidTr="005E66B9">
        <w:tc>
          <w:tcPr>
            <w:tcW w:w="3505" w:type="dxa"/>
            <w:tcBorders>
              <w:top w:val="nil"/>
              <w:left w:val="nil"/>
              <w:bottom w:val="single" w:sz="4" w:space="0" w:color="auto"/>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lastRenderedPageBreak/>
              <w:t>Nonefflux genes</w:t>
            </w:r>
          </w:p>
        </w:tc>
        <w:tc>
          <w:tcPr>
            <w:tcW w:w="1170" w:type="dxa"/>
            <w:tcBorders>
              <w:top w:val="nil"/>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0 (0.0%)</w:t>
            </w:r>
          </w:p>
        </w:tc>
        <w:tc>
          <w:tcPr>
            <w:tcW w:w="1800" w:type="dxa"/>
            <w:tcBorders>
              <w:top w:val="nil"/>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10 (71.42%</w:t>
            </w:r>
          </w:p>
        </w:tc>
        <w:tc>
          <w:tcPr>
            <w:tcW w:w="1350" w:type="dxa"/>
            <w:tcBorders>
              <w:top w:val="nil"/>
              <w:left w:val="nil"/>
              <w:bottom w:val="single" w:sz="4" w:space="0" w:color="auto"/>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10 (22.22%)</w:t>
            </w:r>
          </w:p>
        </w:tc>
        <w:tc>
          <w:tcPr>
            <w:tcW w:w="1525" w:type="dxa"/>
            <w:tcBorders>
              <w:top w:val="nil"/>
              <w:left w:val="nil"/>
              <w:bottom w:val="single" w:sz="4" w:space="0" w:color="auto"/>
              <w:right w:val="nil"/>
            </w:tcBorders>
          </w:tcPr>
          <w:p w:rsidR="00B95EE2" w:rsidRPr="00B65257" w:rsidRDefault="00B95EE2" w:rsidP="00B95EE2">
            <w:pPr>
              <w:tabs>
                <w:tab w:val="left" w:pos="2100"/>
              </w:tabs>
              <w:spacing w:after="160" w:line="360" w:lineRule="auto"/>
              <w:jc w:val="center"/>
              <w:rPr>
                <w:rFonts w:ascii="Times New Roman" w:hAnsi="Times New Roman" w:cs="Times New Roman"/>
                <w:sz w:val="20"/>
                <w:lang w:bidi="ar-SA"/>
              </w:rPr>
            </w:pPr>
          </w:p>
        </w:tc>
      </w:tr>
      <w:tr w:rsidR="0094417F" w:rsidRPr="00B65257" w:rsidTr="005E66B9">
        <w:tc>
          <w:tcPr>
            <w:tcW w:w="3505" w:type="dxa"/>
            <w:tcBorders>
              <w:left w:val="nil"/>
              <w:right w:val="nil"/>
            </w:tcBorders>
          </w:tcPr>
          <w:p w:rsidR="00B95EE2" w:rsidRPr="00B65257" w:rsidRDefault="00595131" w:rsidP="00B95EE2">
            <w:pPr>
              <w:tabs>
                <w:tab w:val="left" w:pos="2100"/>
              </w:tabs>
              <w:spacing w:after="160" w:line="360" w:lineRule="auto"/>
              <w:rPr>
                <w:rFonts w:ascii="Times New Roman" w:hAnsi="Times New Roman" w:cs="Times New Roman"/>
                <w:sz w:val="20"/>
                <w:lang w:bidi="ar-SA"/>
              </w:rPr>
            </w:pPr>
            <w:r w:rsidRPr="00B65257">
              <w:rPr>
                <w:rFonts w:ascii="Times New Roman" w:hAnsi="Times New Roman" w:cs="Times New Roman"/>
                <w:sz w:val="20"/>
                <w:lang w:bidi="ar-SA"/>
              </w:rPr>
              <w:t>Total</w:t>
            </w:r>
          </w:p>
        </w:tc>
        <w:tc>
          <w:tcPr>
            <w:tcW w:w="1170" w:type="dxa"/>
            <w:tcBorders>
              <w:left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31 (100%)</w:t>
            </w:r>
          </w:p>
        </w:tc>
        <w:tc>
          <w:tcPr>
            <w:tcW w:w="1800" w:type="dxa"/>
            <w:tcBorders>
              <w:left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14 (100%)</w:t>
            </w:r>
          </w:p>
        </w:tc>
        <w:tc>
          <w:tcPr>
            <w:tcW w:w="1350" w:type="dxa"/>
            <w:tcBorders>
              <w:left w:val="nil"/>
              <w:right w:val="nil"/>
            </w:tcBorders>
          </w:tcPr>
          <w:p w:rsidR="00B95EE2" w:rsidRPr="00B65257" w:rsidRDefault="00595131" w:rsidP="00B95EE2">
            <w:pPr>
              <w:tabs>
                <w:tab w:val="left" w:pos="2100"/>
              </w:tabs>
              <w:spacing w:after="160" w:line="360" w:lineRule="auto"/>
              <w:jc w:val="center"/>
              <w:rPr>
                <w:rFonts w:ascii="Times New Roman" w:hAnsi="Times New Roman" w:cs="Times New Roman"/>
                <w:sz w:val="20"/>
                <w:lang w:bidi="ar-SA"/>
              </w:rPr>
            </w:pPr>
            <w:r w:rsidRPr="00B65257">
              <w:rPr>
                <w:rFonts w:ascii="Times New Roman" w:hAnsi="Times New Roman" w:cs="Times New Roman"/>
                <w:sz w:val="20"/>
                <w:lang w:bidi="ar-SA"/>
              </w:rPr>
              <w:t>45 (100%)</w:t>
            </w:r>
          </w:p>
        </w:tc>
        <w:tc>
          <w:tcPr>
            <w:tcW w:w="1525" w:type="dxa"/>
            <w:tcBorders>
              <w:left w:val="nil"/>
              <w:right w:val="nil"/>
            </w:tcBorders>
          </w:tcPr>
          <w:p w:rsidR="00B95EE2" w:rsidRPr="00B65257" w:rsidRDefault="00B95EE2" w:rsidP="00B95EE2">
            <w:pPr>
              <w:tabs>
                <w:tab w:val="left" w:pos="2100"/>
              </w:tabs>
              <w:spacing w:after="160" w:line="360" w:lineRule="auto"/>
              <w:jc w:val="center"/>
              <w:rPr>
                <w:rFonts w:ascii="Times New Roman" w:hAnsi="Times New Roman" w:cs="Times New Roman"/>
                <w:sz w:val="20"/>
                <w:lang w:bidi="ar-SA"/>
              </w:rPr>
            </w:pPr>
          </w:p>
        </w:tc>
      </w:tr>
    </w:tbl>
    <w:p w:rsidR="00B95EE2" w:rsidRPr="00B65257" w:rsidRDefault="00595131" w:rsidP="00B95EE2">
      <w:pPr>
        <w:tabs>
          <w:tab w:val="left" w:pos="2100"/>
        </w:tabs>
        <w:spacing w:line="360" w:lineRule="auto"/>
        <w:jc w:val="both"/>
        <w:rPr>
          <w:rFonts w:ascii="Times New Roman" w:hAnsi="Times New Roman" w:cs="Times New Roman"/>
          <w:b/>
          <w:bCs/>
          <w:sz w:val="20"/>
          <w:lang w:bidi="ar-SA"/>
        </w:rPr>
      </w:pPr>
      <w:r w:rsidRPr="00B65257">
        <w:rPr>
          <w:rFonts w:ascii="Times New Roman" w:hAnsi="Times New Roman" w:cs="Times New Roman"/>
          <w:b/>
          <w:bCs/>
          <w:sz w:val="20"/>
          <w:lang w:bidi="ar-SA"/>
        </w:rPr>
        <w:t>* Chi-square test</w:t>
      </w:r>
    </w:p>
    <w:p w:rsidR="00B95EE2" w:rsidRPr="00B65257" w:rsidRDefault="00B95EE2" w:rsidP="002F692D">
      <w:pPr>
        <w:spacing w:before="100" w:beforeAutospacing="1" w:after="100" w:afterAutospacing="1" w:line="360" w:lineRule="auto"/>
        <w:jc w:val="both"/>
        <w:outlineLvl w:val="1"/>
        <w:rPr>
          <w:rFonts w:ascii="Times New Roman" w:eastAsia="Times New Roman" w:hAnsi="Times New Roman" w:cs="Times New Roman"/>
          <w:sz w:val="24"/>
          <w:szCs w:val="24"/>
        </w:rPr>
      </w:pPr>
    </w:p>
    <w:p w:rsidR="002F692D" w:rsidRPr="00B65257" w:rsidRDefault="00595131" w:rsidP="002F692D">
      <w:pPr>
        <w:spacing w:before="100" w:beforeAutospacing="1" w:after="100" w:afterAutospacing="1" w:line="360" w:lineRule="auto"/>
        <w:jc w:val="both"/>
        <w:outlineLvl w:val="1"/>
        <w:rPr>
          <w:rFonts w:ascii="Times New Roman" w:eastAsia="Times New Roman" w:hAnsi="Times New Roman" w:cs="Times New Roman"/>
          <w:b/>
          <w:bCs/>
          <w:sz w:val="28"/>
          <w:szCs w:val="28"/>
        </w:rPr>
      </w:pPr>
      <w:r w:rsidRPr="00B65257">
        <w:rPr>
          <w:rFonts w:ascii="Times New Roman" w:eastAsia="Times New Roman" w:hAnsi="Times New Roman" w:cs="Times New Roman"/>
          <w:b/>
          <w:bCs/>
          <w:sz w:val="28"/>
          <w:szCs w:val="28"/>
        </w:rPr>
        <w:t>Association of Efflux Pump Genes with Multidrug Resistance</w:t>
      </w:r>
    </w:p>
    <w:p w:rsidR="00FF1C21" w:rsidRPr="00B65257" w:rsidRDefault="00595131" w:rsidP="00E61F83">
      <w:pPr>
        <w:spacing w:before="100" w:beforeAutospacing="1" w:after="100" w:afterAutospacing="1" w:line="360" w:lineRule="auto"/>
        <w:jc w:val="both"/>
        <w:outlineLvl w:val="1"/>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A strong association was observed between the presence of efflux pump genes and multidrug resistance (MDR). Among the 31 MDR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isolates, 26 (83.87%) harbored the acrB gene, whereas 19 (61.29%) carried the acrA gene. These findings suggest that the AcrAB efflux pump plays a critical role in conferring resistance to multiple antibiotics, including carbapenems, in these isolates.</w:t>
      </w:r>
    </w:p>
    <w:p w:rsidR="00FF1C21" w:rsidRPr="00B65257" w:rsidRDefault="00595131" w:rsidP="00FF1C21">
      <w:pPr>
        <w:tabs>
          <w:tab w:val="left" w:pos="2100"/>
        </w:tabs>
        <w:spacing w:line="360" w:lineRule="auto"/>
        <w:jc w:val="center"/>
        <w:rPr>
          <w:rFonts w:ascii="Times New Roman" w:hAnsi="Times New Roman" w:cs="Times New Roman"/>
          <w:b/>
          <w:bCs/>
          <w:sz w:val="24"/>
          <w:szCs w:val="24"/>
          <w:lang w:bidi="ar-SA"/>
        </w:rPr>
      </w:pPr>
      <w:r w:rsidRPr="00B65257">
        <w:rPr>
          <w:rFonts w:ascii="Times New Roman" w:hAnsi="Times New Roman" w:cs="Times New Roman"/>
          <w:noProof/>
          <w:szCs w:val="22"/>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1912620</wp:posOffset>
                </wp:positionV>
                <wp:extent cx="1898650" cy="822960"/>
                <wp:effectExtent l="0" t="0" r="2540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650" cy="822960"/>
                        </a:xfrm>
                        <a:prstGeom prst="rect">
                          <a:avLst/>
                        </a:prstGeom>
                        <a:solidFill>
                          <a:srgbClr val="FFFFFF"/>
                        </a:solidFill>
                        <a:ln w="9525">
                          <a:solidFill>
                            <a:sysClr val="window" lastClr="FFFFFF"/>
                          </a:solidFill>
                          <a:miter lim="800000"/>
                          <a:headEnd/>
                          <a:tailEnd/>
                        </a:ln>
                      </wps:spPr>
                      <wps:txbx>
                        <w:txbxContent>
                          <w:p w:rsidR="00CA4EAD" w:rsidRPr="00EB31B4" w:rsidRDefault="00CA4EAD" w:rsidP="00FF1C21">
                            <w:pPr>
                              <w:spacing w:after="0"/>
                              <w:rPr>
                                <w:rFonts w:ascii="Times New Roman" w:hAnsi="Times New Roman" w:cs="Times New Roman"/>
                                <w:sz w:val="20"/>
                              </w:rPr>
                            </w:pPr>
                            <w:r w:rsidRPr="00EB31B4">
                              <w:rPr>
                                <w:rFonts w:ascii="Times New Roman" w:hAnsi="Times New Roman" w:cs="Times New Roman"/>
                                <w:sz w:val="20"/>
                              </w:rPr>
                              <w:t>B</w:t>
                            </w:r>
                            <w:r w:rsidRPr="00EB31B4">
                              <w:rPr>
                                <w:rFonts w:ascii="Times New Roman" w:hAnsi="Times New Roman" w:cs="Times New Roman"/>
                                <w:sz w:val="20"/>
                                <w:vertAlign w:val="subscript"/>
                              </w:rPr>
                              <w:t>1</w:t>
                            </w:r>
                            <w:r w:rsidRPr="00EB31B4">
                              <w:rPr>
                                <w:rFonts w:ascii="Times New Roman" w:hAnsi="Times New Roman" w:cs="Times New Roman"/>
                                <w:sz w:val="20"/>
                              </w:rPr>
                              <w:t>, B</w:t>
                            </w:r>
                            <w:r w:rsidRPr="00EB31B4">
                              <w:rPr>
                                <w:rFonts w:ascii="Times New Roman" w:hAnsi="Times New Roman" w:cs="Times New Roman"/>
                                <w:sz w:val="20"/>
                                <w:vertAlign w:val="subscript"/>
                              </w:rPr>
                              <w:t>2</w:t>
                            </w:r>
                            <w:r w:rsidRPr="00EB31B4">
                              <w:rPr>
                                <w:rFonts w:ascii="Times New Roman" w:hAnsi="Times New Roman" w:cs="Times New Roman"/>
                                <w:sz w:val="20"/>
                              </w:rPr>
                              <w:t>, B</w:t>
                            </w:r>
                            <w:r w:rsidRPr="00EB31B4">
                              <w:rPr>
                                <w:rFonts w:ascii="Times New Roman" w:hAnsi="Times New Roman" w:cs="Times New Roman"/>
                                <w:sz w:val="20"/>
                                <w:vertAlign w:val="subscript"/>
                              </w:rPr>
                              <w:t>5</w:t>
                            </w:r>
                            <w:r w:rsidRPr="00EB31B4">
                              <w:rPr>
                                <w:rFonts w:ascii="Times New Roman" w:hAnsi="Times New Roman" w:cs="Times New Roman"/>
                                <w:sz w:val="20"/>
                              </w:rPr>
                              <w:t>, B</w:t>
                            </w:r>
                            <w:r w:rsidRPr="00EB31B4">
                              <w:rPr>
                                <w:rFonts w:ascii="Times New Roman" w:hAnsi="Times New Roman" w:cs="Times New Roman"/>
                                <w:sz w:val="20"/>
                                <w:vertAlign w:val="subscript"/>
                              </w:rPr>
                              <w:t>8</w:t>
                            </w:r>
                            <w:r w:rsidRPr="00EB31B4">
                              <w:rPr>
                                <w:rFonts w:ascii="Times New Roman" w:hAnsi="Times New Roman" w:cs="Times New Roman"/>
                                <w:sz w:val="20"/>
                              </w:rPr>
                              <w:t>, B</w:t>
                            </w:r>
                            <w:r w:rsidRPr="00EB31B4">
                              <w:rPr>
                                <w:rFonts w:ascii="Times New Roman" w:hAnsi="Times New Roman" w:cs="Times New Roman"/>
                                <w:sz w:val="20"/>
                                <w:vertAlign w:val="subscript"/>
                              </w:rPr>
                              <w:t>9</w:t>
                            </w:r>
                            <w:r w:rsidRPr="00EB31B4">
                              <w:rPr>
                                <w:rFonts w:ascii="Times New Roman" w:hAnsi="Times New Roman" w:cs="Times New Roman"/>
                                <w:sz w:val="20"/>
                              </w:rPr>
                              <w:t>, B</w:t>
                            </w:r>
                            <w:r w:rsidRPr="00EB31B4">
                              <w:rPr>
                                <w:rFonts w:ascii="Times New Roman" w:hAnsi="Times New Roman" w:cs="Times New Roman"/>
                                <w:sz w:val="20"/>
                                <w:vertAlign w:val="subscript"/>
                              </w:rPr>
                              <w:t>11</w:t>
                            </w:r>
                            <w:r w:rsidRPr="00EB31B4">
                              <w:rPr>
                                <w:rFonts w:ascii="Times New Roman" w:hAnsi="Times New Roman" w:cs="Times New Roman"/>
                                <w:sz w:val="20"/>
                              </w:rPr>
                              <w:t>, B</w:t>
                            </w:r>
                            <w:r w:rsidRPr="00EB31B4">
                              <w:rPr>
                                <w:rFonts w:ascii="Times New Roman" w:hAnsi="Times New Roman" w:cs="Times New Roman"/>
                                <w:sz w:val="20"/>
                                <w:vertAlign w:val="subscript"/>
                              </w:rPr>
                              <w:t>14</w:t>
                            </w:r>
                            <w:r w:rsidRPr="00EB31B4">
                              <w:rPr>
                                <w:rFonts w:ascii="Times New Roman" w:hAnsi="Times New Roman" w:cs="Times New Roman"/>
                                <w:sz w:val="20"/>
                              </w:rPr>
                              <w:t>: Urine</w:t>
                            </w:r>
                          </w:p>
                          <w:p w:rsidR="00CA4EAD" w:rsidRDefault="00CA4EAD" w:rsidP="00FF1C21">
                            <w:pPr>
                              <w:spacing w:after="0"/>
                              <w:rPr>
                                <w:rFonts w:ascii="Times New Roman" w:hAnsi="Times New Roman" w:cs="Times New Roman"/>
                                <w:sz w:val="20"/>
                              </w:rPr>
                            </w:pPr>
                            <w:r w:rsidRPr="00EB31B4">
                              <w:rPr>
                                <w:rFonts w:ascii="Times New Roman" w:hAnsi="Times New Roman" w:cs="Times New Roman"/>
                                <w:sz w:val="20"/>
                              </w:rPr>
                              <w:t>B</w:t>
                            </w:r>
                            <w:r w:rsidRPr="00EB31B4">
                              <w:rPr>
                                <w:rFonts w:ascii="Times New Roman" w:hAnsi="Times New Roman" w:cs="Times New Roman"/>
                                <w:sz w:val="20"/>
                                <w:vertAlign w:val="subscript"/>
                              </w:rPr>
                              <w:t>3</w:t>
                            </w:r>
                            <w:r w:rsidRPr="00EB31B4">
                              <w:rPr>
                                <w:rFonts w:ascii="Times New Roman" w:hAnsi="Times New Roman" w:cs="Times New Roman"/>
                                <w:sz w:val="20"/>
                              </w:rPr>
                              <w:t>, B</w:t>
                            </w:r>
                            <w:r w:rsidRPr="00EB31B4">
                              <w:rPr>
                                <w:rFonts w:ascii="Times New Roman" w:hAnsi="Times New Roman" w:cs="Times New Roman"/>
                                <w:sz w:val="20"/>
                                <w:vertAlign w:val="subscript"/>
                              </w:rPr>
                              <w:t>6</w:t>
                            </w:r>
                            <w:r w:rsidRPr="00EB31B4">
                              <w:rPr>
                                <w:rFonts w:ascii="Times New Roman" w:hAnsi="Times New Roman" w:cs="Times New Roman"/>
                                <w:sz w:val="20"/>
                              </w:rPr>
                              <w:t>, B</w:t>
                            </w:r>
                            <w:r w:rsidRPr="00EB31B4">
                              <w:rPr>
                                <w:rFonts w:ascii="Times New Roman" w:hAnsi="Times New Roman" w:cs="Times New Roman"/>
                                <w:sz w:val="20"/>
                                <w:vertAlign w:val="subscript"/>
                              </w:rPr>
                              <w:t>12</w:t>
                            </w:r>
                            <w:r w:rsidRPr="00EB31B4">
                              <w:rPr>
                                <w:rFonts w:ascii="Times New Roman" w:hAnsi="Times New Roman" w:cs="Times New Roman"/>
                                <w:sz w:val="20"/>
                              </w:rPr>
                              <w:t>, B</w:t>
                            </w:r>
                            <w:r w:rsidRPr="00EB31B4">
                              <w:rPr>
                                <w:rFonts w:ascii="Times New Roman" w:hAnsi="Times New Roman" w:cs="Times New Roman"/>
                                <w:sz w:val="20"/>
                                <w:vertAlign w:val="subscript"/>
                              </w:rPr>
                              <w:t>13</w:t>
                            </w:r>
                            <w:r w:rsidRPr="00EB31B4">
                              <w:rPr>
                                <w:rFonts w:ascii="Times New Roman" w:hAnsi="Times New Roman" w:cs="Times New Roman"/>
                                <w:sz w:val="20"/>
                              </w:rPr>
                              <w:t>: Sputum</w:t>
                            </w:r>
                          </w:p>
                          <w:p w:rsidR="00CA4EAD" w:rsidRPr="00EB31B4" w:rsidRDefault="00CA4EAD" w:rsidP="00FF1C21">
                            <w:pPr>
                              <w:spacing w:after="0"/>
                              <w:rPr>
                                <w:rFonts w:ascii="Times New Roman" w:hAnsi="Times New Roman" w:cs="Times New Roman"/>
                                <w:sz w:val="20"/>
                              </w:rPr>
                            </w:pPr>
                            <w:r w:rsidRPr="00EB31B4">
                              <w:rPr>
                                <w:rFonts w:ascii="Times New Roman" w:hAnsi="Times New Roman" w:cs="Times New Roman"/>
                                <w:sz w:val="20"/>
                              </w:rPr>
                              <w:t>B7, B10: Pus</w:t>
                            </w:r>
                          </w:p>
                          <w:p w:rsidR="00CA4EAD" w:rsidRPr="00EB31B4" w:rsidRDefault="00CA4EAD" w:rsidP="00FF1C21">
                            <w:pPr>
                              <w:spacing w:after="0"/>
                              <w:rPr>
                                <w:rFonts w:ascii="Times New Roman" w:hAnsi="Times New Roman" w:cs="Times New Roman"/>
                                <w:sz w:val="20"/>
                              </w:rPr>
                            </w:pPr>
                            <w:r w:rsidRPr="00EB31B4">
                              <w:rPr>
                                <w:rFonts w:ascii="Times New Roman" w:hAnsi="Times New Roman" w:cs="Times New Roman"/>
                                <w:sz w:val="20"/>
                              </w:rPr>
                              <w:t>B</w:t>
                            </w:r>
                            <w:r w:rsidRPr="00EB31B4">
                              <w:rPr>
                                <w:rFonts w:ascii="Times New Roman" w:hAnsi="Times New Roman" w:cs="Times New Roman"/>
                                <w:sz w:val="20"/>
                                <w:vertAlign w:val="subscript"/>
                              </w:rPr>
                              <w:t>4</w:t>
                            </w:r>
                            <w:r w:rsidRPr="00EB31B4">
                              <w:rPr>
                                <w:rFonts w:ascii="Times New Roman" w:hAnsi="Times New Roman" w:cs="Times New Roman"/>
                                <w:sz w:val="20"/>
                              </w:rPr>
                              <w:t>: Blood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50.6pt;width:149.5pt;height:64.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" strokecolor="window">
                <v:textbox>
                  <w:txbxContent>
                    <w:p w:rsidR="00CA4EAD" w:rsidRPr="00EB31B4" w:rsidRDefault="00CA4EAD" w:rsidP="00FF1C21">
                      <w:pPr>
                        <w:spacing w:after="0"/>
                        <w:rPr>
                          <w:rFonts w:ascii="Times New Roman" w:hAnsi="Times New Roman" w:cs="Times New Roman"/>
                          <w:sz w:val="20"/>
                        </w:rPr>
                      </w:pPr>
                      <w:r w:rsidRPr="00EB31B4">
                        <w:rPr>
                          <w:rFonts w:ascii="Times New Roman" w:hAnsi="Times New Roman" w:cs="Times New Roman"/>
                          <w:sz w:val="20"/>
                        </w:rPr>
                        <w:t>B</w:t>
                      </w:r>
                      <w:r w:rsidRPr="00EB31B4">
                        <w:rPr>
                          <w:rFonts w:ascii="Times New Roman" w:hAnsi="Times New Roman" w:cs="Times New Roman"/>
                          <w:sz w:val="20"/>
                          <w:vertAlign w:val="subscript"/>
                        </w:rPr>
                        <w:t>1</w:t>
                      </w:r>
                      <w:r w:rsidRPr="00EB31B4">
                        <w:rPr>
                          <w:rFonts w:ascii="Times New Roman" w:hAnsi="Times New Roman" w:cs="Times New Roman"/>
                          <w:sz w:val="20"/>
                        </w:rPr>
                        <w:t>, B</w:t>
                      </w:r>
                      <w:r w:rsidRPr="00EB31B4">
                        <w:rPr>
                          <w:rFonts w:ascii="Times New Roman" w:hAnsi="Times New Roman" w:cs="Times New Roman"/>
                          <w:sz w:val="20"/>
                          <w:vertAlign w:val="subscript"/>
                        </w:rPr>
                        <w:t>2</w:t>
                      </w:r>
                      <w:r w:rsidRPr="00EB31B4">
                        <w:rPr>
                          <w:rFonts w:ascii="Times New Roman" w:hAnsi="Times New Roman" w:cs="Times New Roman"/>
                          <w:sz w:val="20"/>
                        </w:rPr>
                        <w:t>, B</w:t>
                      </w:r>
                      <w:r w:rsidRPr="00EB31B4">
                        <w:rPr>
                          <w:rFonts w:ascii="Times New Roman" w:hAnsi="Times New Roman" w:cs="Times New Roman"/>
                          <w:sz w:val="20"/>
                          <w:vertAlign w:val="subscript"/>
                        </w:rPr>
                        <w:t>5</w:t>
                      </w:r>
                      <w:r w:rsidRPr="00EB31B4">
                        <w:rPr>
                          <w:rFonts w:ascii="Times New Roman" w:hAnsi="Times New Roman" w:cs="Times New Roman"/>
                          <w:sz w:val="20"/>
                        </w:rPr>
                        <w:t>, B</w:t>
                      </w:r>
                      <w:r w:rsidRPr="00EB31B4">
                        <w:rPr>
                          <w:rFonts w:ascii="Times New Roman" w:hAnsi="Times New Roman" w:cs="Times New Roman"/>
                          <w:sz w:val="20"/>
                          <w:vertAlign w:val="subscript"/>
                        </w:rPr>
                        <w:t>8</w:t>
                      </w:r>
                      <w:r w:rsidRPr="00EB31B4">
                        <w:rPr>
                          <w:rFonts w:ascii="Times New Roman" w:hAnsi="Times New Roman" w:cs="Times New Roman"/>
                          <w:sz w:val="20"/>
                        </w:rPr>
                        <w:t>, B</w:t>
                      </w:r>
                      <w:r w:rsidRPr="00EB31B4">
                        <w:rPr>
                          <w:rFonts w:ascii="Times New Roman" w:hAnsi="Times New Roman" w:cs="Times New Roman"/>
                          <w:sz w:val="20"/>
                          <w:vertAlign w:val="subscript"/>
                        </w:rPr>
                        <w:t>9</w:t>
                      </w:r>
                      <w:r w:rsidRPr="00EB31B4">
                        <w:rPr>
                          <w:rFonts w:ascii="Times New Roman" w:hAnsi="Times New Roman" w:cs="Times New Roman"/>
                          <w:sz w:val="20"/>
                        </w:rPr>
                        <w:t>, B</w:t>
                      </w:r>
                      <w:r w:rsidRPr="00EB31B4">
                        <w:rPr>
                          <w:rFonts w:ascii="Times New Roman" w:hAnsi="Times New Roman" w:cs="Times New Roman"/>
                          <w:sz w:val="20"/>
                          <w:vertAlign w:val="subscript"/>
                        </w:rPr>
                        <w:t>11</w:t>
                      </w:r>
                      <w:r w:rsidRPr="00EB31B4">
                        <w:rPr>
                          <w:rFonts w:ascii="Times New Roman" w:hAnsi="Times New Roman" w:cs="Times New Roman"/>
                          <w:sz w:val="20"/>
                        </w:rPr>
                        <w:t>, B</w:t>
                      </w:r>
                      <w:r w:rsidRPr="00EB31B4">
                        <w:rPr>
                          <w:rFonts w:ascii="Times New Roman" w:hAnsi="Times New Roman" w:cs="Times New Roman"/>
                          <w:sz w:val="20"/>
                          <w:vertAlign w:val="subscript"/>
                        </w:rPr>
                        <w:t>14</w:t>
                      </w:r>
                      <w:r w:rsidRPr="00EB31B4">
                        <w:rPr>
                          <w:rFonts w:ascii="Times New Roman" w:hAnsi="Times New Roman" w:cs="Times New Roman"/>
                          <w:sz w:val="20"/>
                        </w:rPr>
                        <w:t>: Urine</w:t>
                      </w:r>
                    </w:p>
                    <w:p w:rsidR="00CA4EAD" w:rsidRDefault="00CA4EAD" w:rsidP="00FF1C21">
                      <w:pPr>
                        <w:spacing w:after="0"/>
                        <w:rPr>
                          <w:rFonts w:ascii="Times New Roman" w:hAnsi="Times New Roman" w:cs="Times New Roman"/>
                          <w:sz w:val="20"/>
                        </w:rPr>
                      </w:pPr>
                      <w:r w:rsidRPr="00EB31B4">
                        <w:rPr>
                          <w:rFonts w:ascii="Times New Roman" w:hAnsi="Times New Roman" w:cs="Times New Roman"/>
                          <w:sz w:val="20"/>
                        </w:rPr>
                        <w:t>B</w:t>
                      </w:r>
                      <w:r w:rsidRPr="00EB31B4">
                        <w:rPr>
                          <w:rFonts w:ascii="Times New Roman" w:hAnsi="Times New Roman" w:cs="Times New Roman"/>
                          <w:sz w:val="20"/>
                          <w:vertAlign w:val="subscript"/>
                        </w:rPr>
                        <w:t>3</w:t>
                      </w:r>
                      <w:r w:rsidRPr="00EB31B4">
                        <w:rPr>
                          <w:rFonts w:ascii="Times New Roman" w:hAnsi="Times New Roman" w:cs="Times New Roman"/>
                          <w:sz w:val="20"/>
                        </w:rPr>
                        <w:t>, B</w:t>
                      </w:r>
                      <w:r w:rsidRPr="00EB31B4">
                        <w:rPr>
                          <w:rFonts w:ascii="Times New Roman" w:hAnsi="Times New Roman" w:cs="Times New Roman"/>
                          <w:sz w:val="20"/>
                          <w:vertAlign w:val="subscript"/>
                        </w:rPr>
                        <w:t>6</w:t>
                      </w:r>
                      <w:r w:rsidRPr="00EB31B4">
                        <w:rPr>
                          <w:rFonts w:ascii="Times New Roman" w:hAnsi="Times New Roman" w:cs="Times New Roman"/>
                          <w:sz w:val="20"/>
                        </w:rPr>
                        <w:t>, B</w:t>
                      </w:r>
                      <w:r w:rsidRPr="00EB31B4">
                        <w:rPr>
                          <w:rFonts w:ascii="Times New Roman" w:hAnsi="Times New Roman" w:cs="Times New Roman"/>
                          <w:sz w:val="20"/>
                          <w:vertAlign w:val="subscript"/>
                        </w:rPr>
                        <w:t>12</w:t>
                      </w:r>
                      <w:r w:rsidRPr="00EB31B4">
                        <w:rPr>
                          <w:rFonts w:ascii="Times New Roman" w:hAnsi="Times New Roman" w:cs="Times New Roman"/>
                          <w:sz w:val="20"/>
                        </w:rPr>
                        <w:t>, B</w:t>
                      </w:r>
                      <w:r w:rsidRPr="00EB31B4">
                        <w:rPr>
                          <w:rFonts w:ascii="Times New Roman" w:hAnsi="Times New Roman" w:cs="Times New Roman"/>
                          <w:sz w:val="20"/>
                          <w:vertAlign w:val="subscript"/>
                        </w:rPr>
                        <w:t>13</w:t>
                      </w:r>
                      <w:r w:rsidRPr="00EB31B4">
                        <w:rPr>
                          <w:rFonts w:ascii="Times New Roman" w:hAnsi="Times New Roman" w:cs="Times New Roman"/>
                          <w:sz w:val="20"/>
                        </w:rPr>
                        <w:t>: Sputum</w:t>
                      </w:r>
                    </w:p>
                    <w:p w:rsidR="00CA4EAD" w:rsidRPr="00EB31B4" w:rsidRDefault="00CA4EAD" w:rsidP="00FF1C21">
                      <w:pPr>
                        <w:spacing w:after="0"/>
                        <w:rPr>
                          <w:rFonts w:ascii="Times New Roman" w:hAnsi="Times New Roman" w:cs="Times New Roman"/>
                          <w:sz w:val="20"/>
                        </w:rPr>
                      </w:pPr>
                      <w:r w:rsidRPr="00EB31B4">
                        <w:rPr>
                          <w:rFonts w:ascii="Times New Roman" w:hAnsi="Times New Roman" w:cs="Times New Roman"/>
                          <w:sz w:val="20"/>
                        </w:rPr>
                        <w:t>B7, B10: Pus</w:t>
                      </w:r>
                    </w:p>
                    <w:p w:rsidR="00CA4EAD" w:rsidRPr="00EB31B4" w:rsidRDefault="00CA4EAD" w:rsidP="00FF1C21">
                      <w:pPr>
                        <w:spacing w:after="0"/>
                        <w:rPr>
                          <w:rFonts w:ascii="Times New Roman" w:hAnsi="Times New Roman" w:cs="Times New Roman"/>
                          <w:sz w:val="20"/>
                        </w:rPr>
                      </w:pPr>
                      <w:r w:rsidRPr="00EB31B4">
                        <w:rPr>
                          <w:rFonts w:ascii="Times New Roman" w:hAnsi="Times New Roman" w:cs="Times New Roman"/>
                          <w:sz w:val="20"/>
                        </w:rPr>
                        <w:t>B</w:t>
                      </w:r>
                      <w:r w:rsidRPr="00EB31B4">
                        <w:rPr>
                          <w:rFonts w:ascii="Times New Roman" w:hAnsi="Times New Roman" w:cs="Times New Roman"/>
                          <w:sz w:val="20"/>
                          <w:vertAlign w:val="subscript"/>
                        </w:rPr>
                        <w:t>4</w:t>
                      </w:r>
                      <w:r w:rsidRPr="00EB31B4">
                        <w:rPr>
                          <w:rFonts w:ascii="Times New Roman" w:hAnsi="Times New Roman" w:cs="Times New Roman"/>
                          <w:sz w:val="20"/>
                        </w:rPr>
                        <w:t>: Blood</w:t>
                      </w:r>
                    </w:p>
                  </w:txbxContent>
                </v:textbox>
                <w10:wrap anchorx="margin"/>
              </v:shape>
            </w:pict>
          </mc:Fallback>
        </mc:AlternateContent>
      </w:r>
      <w:r w:rsidRPr="00B65257">
        <w:rPr>
          <w:rFonts w:ascii="Times New Roman" w:hAnsi="Times New Roman" w:cs="Times New Roman"/>
          <w:b/>
          <w:bCs/>
          <w:noProof/>
          <w:sz w:val="24"/>
          <w:szCs w:val="24"/>
        </w:rPr>
        <w:drawing>
          <wp:inline distT="0" distB="0" distL="0" distR="0">
            <wp:extent cx="4381500" cy="264223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3"/>
                    <a:stretch>
                      <a:fillRect/>
                    </a:stretch>
                  </pic:blipFill>
                  <pic:spPr>
                    <a:xfrm>
                      <a:off x="0" y="0"/>
                      <a:ext cx="4381500" cy="2642235"/>
                    </a:xfrm>
                    <a:prstGeom prst="rect">
                      <a:avLst/>
                    </a:prstGeom>
                  </pic:spPr>
                </pic:pic>
              </a:graphicData>
            </a:graphic>
          </wp:inline>
        </w:drawing>
      </w:r>
    </w:p>
    <w:p w:rsidR="00FF1C21" w:rsidRPr="00B65257" w:rsidRDefault="00595131" w:rsidP="00FF1C21">
      <w:pPr>
        <w:tabs>
          <w:tab w:val="left" w:pos="2100"/>
        </w:tabs>
        <w:spacing w:before="240" w:line="360" w:lineRule="auto"/>
        <w:jc w:val="center"/>
        <w:rPr>
          <w:rFonts w:ascii="Times New Roman" w:hAnsi="Times New Roman" w:cs="Times New Roman"/>
          <w:b/>
          <w:bCs/>
          <w:sz w:val="20"/>
          <w:lang w:bidi="ar-SA"/>
        </w:rPr>
      </w:pPr>
      <w:r w:rsidRPr="00B65257">
        <w:rPr>
          <w:rFonts w:ascii="Times New Roman" w:hAnsi="Times New Roman" w:cs="Times New Roman"/>
          <w:b/>
          <w:bCs/>
          <w:sz w:val="24"/>
          <w:szCs w:val="24"/>
          <w:lang w:bidi="ar-SA"/>
        </w:rPr>
        <w:t xml:space="preserve"> </w:t>
      </w:r>
      <w:r w:rsidRPr="00B65257">
        <w:rPr>
          <w:rFonts w:ascii="Times New Roman" w:hAnsi="Times New Roman" w:cs="Times New Roman"/>
          <w:b/>
          <w:bCs/>
          <w:sz w:val="20"/>
          <w:lang w:bidi="ar-SA"/>
        </w:rPr>
        <w:t>Fig</w:t>
      </w:r>
      <w:r w:rsidRPr="00B65257">
        <w:rPr>
          <w:rFonts w:ascii="Times New Roman" w:eastAsia="Calibri" w:hAnsi="Times New Roman" w:cs="Times New Roman"/>
          <w:b/>
          <w:bCs/>
          <w:sz w:val="20"/>
          <w:lang w:bidi="ar-SA"/>
        </w:rPr>
        <w:t>.</w:t>
      </w:r>
      <w:r w:rsidRPr="00B65257">
        <w:rPr>
          <w:rFonts w:ascii="Times New Roman" w:hAnsi="Times New Roman" w:cs="Times New Roman"/>
          <w:b/>
          <w:bCs/>
          <w:sz w:val="20"/>
          <w:lang w:bidi="ar-SA"/>
        </w:rPr>
        <w:t xml:space="preserve"> 4: Venn diagram showing </w:t>
      </w:r>
      <w:r w:rsidRPr="00B65257">
        <w:rPr>
          <w:rFonts w:ascii="Times New Roman" w:eastAsia="Calibri" w:hAnsi="Times New Roman" w:cs="Times New Roman"/>
          <w:b/>
          <w:bCs/>
          <w:sz w:val="20"/>
          <w:lang w:bidi="ar-SA"/>
        </w:rPr>
        <w:t>the distributions</w:t>
      </w:r>
      <w:r w:rsidRPr="00B65257">
        <w:rPr>
          <w:rFonts w:ascii="Times New Roman" w:hAnsi="Times New Roman" w:cs="Times New Roman"/>
          <w:b/>
          <w:bCs/>
          <w:sz w:val="20"/>
          <w:lang w:bidi="ar-SA"/>
        </w:rPr>
        <w:t xml:space="preserve"> of carbapenemase </w:t>
      </w:r>
      <w:r w:rsidRPr="00B65257">
        <w:rPr>
          <w:rFonts w:ascii="Times New Roman" w:eastAsia="Calibri" w:hAnsi="Times New Roman" w:cs="Times New Roman"/>
          <w:b/>
          <w:bCs/>
          <w:sz w:val="20"/>
          <w:lang w:bidi="ar-SA"/>
        </w:rPr>
        <w:t xml:space="preserve">activity </w:t>
      </w:r>
      <w:r w:rsidRPr="00B65257">
        <w:rPr>
          <w:rFonts w:ascii="Times New Roman" w:hAnsi="Times New Roman" w:cs="Times New Roman"/>
          <w:b/>
          <w:bCs/>
          <w:sz w:val="20"/>
          <w:lang w:bidi="ar-SA"/>
        </w:rPr>
        <w:t>and efflux</w:t>
      </w:r>
      <w:r w:rsidRPr="00B65257">
        <w:rPr>
          <w:rFonts w:ascii="Times New Roman" w:eastAsia="Calibri" w:hAnsi="Times New Roman" w:cs="Times New Roman"/>
          <w:b/>
          <w:bCs/>
          <w:sz w:val="20"/>
          <w:lang w:bidi="ar-SA"/>
        </w:rPr>
        <w:t>.</w:t>
      </w:r>
    </w:p>
    <w:p w:rsidR="00FF1C21" w:rsidRPr="00B65257" w:rsidRDefault="00595131" w:rsidP="00FF1C21">
      <w:pPr>
        <w:tabs>
          <w:tab w:val="left" w:pos="2100"/>
        </w:tabs>
        <w:spacing w:before="240" w:line="360" w:lineRule="auto"/>
        <w:jc w:val="center"/>
        <w:rPr>
          <w:rFonts w:ascii="Times New Roman" w:hAnsi="Times New Roman" w:cs="Times New Roman"/>
          <w:b/>
          <w:bCs/>
          <w:sz w:val="20"/>
          <w:lang w:bidi="ar-SA"/>
        </w:rPr>
      </w:pPr>
      <w:r w:rsidRPr="00B65257">
        <w:rPr>
          <w:rFonts w:ascii="Times New Roman" w:hAnsi="Times New Roman" w:cs="Times New Roman"/>
          <w:b/>
          <w:bCs/>
          <w:sz w:val="20"/>
          <w:lang w:bidi="ar-SA"/>
        </w:rPr>
        <w:t>genes among phenotypically confirmed carbapenemase producers</w:t>
      </w:r>
    </w:p>
    <w:p w:rsidR="00FF1C21" w:rsidRPr="00B65257" w:rsidRDefault="00595131" w:rsidP="00E6399D">
      <w:pPr>
        <w:tabs>
          <w:tab w:val="left" w:pos="2100"/>
        </w:tabs>
        <w:spacing w:before="240" w:line="360" w:lineRule="auto"/>
        <w:jc w:val="both"/>
        <w:rPr>
          <w:rFonts w:ascii="Times New Roman" w:hAnsi="Times New Roman" w:cs="Times New Roman"/>
          <w:sz w:val="24"/>
          <w:szCs w:val="24"/>
          <w:lang w:bidi="ar-SA"/>
        </w:rPr>
      </w:pPr>
      <w:r w:rsidRPr="00B65257">
        <w:rPr>
          <w:rFonts w:ascii="Times New Roman" w:eastAsia="Calibri" w:hAnsi="Times New Roman" w:cs="Times New Roman"/>
          <w:sz w:val="24"/>
          <w:szCs w:val="24"/>
          <w:lang w:bidi="ar-SA"/>
        </w:rPr>
        <w:t>Among the</w:t>
      </w:r>
      <w:r w:rsidRPr="00B65257">
        <w:rPr>
          <w:rFonts w:ascii="Times New Roman" w:hAnsi="Times New Roman" w:cs="Times New Roman"/>
          <w:sz w:val="24"/>
          <w:szCs w:val="24"/>
          <w:lang w:bidi="ar-SA"/>
        </w:rPr>
        <w:t xml:space="preserve"> 14 phenotypically confirmed carbapenemase producers, carapenemase and efflux genes </w:t>
      </w:r>
      <w:r w:rsidRPr="00B65257">
        <w:rPr>
          <w:rFonts w:ascii="Times New Roman" w:eastAsia="Calibri" w:hAnsi="Times New Roman" w:cs="Times New Roman"/>
          <w:sz w:val="24"/>
          <w:szCs w:val="24"/>
          <w:lang w:bidi="ar-SA"/>
        </w:rPr>
        <w:t xml:space="preserve">coexisted </w:t>
      </w:r>
      <w:r w:rsidRPr="00B65257">
        <w:rPr>
          <w:rFonts w:ascii="Times New Roman" w:hAnsi="Times New Roman" w:cs="Times New Roman"/>
          <w:sz w:val="24"/>
          <w:szCs w:val="24"/>
          <w:lang w:bidi="ar-SA"/>
        </w:rPr>
        <w:t xml:space="preserve">in 28. </w:t>
      </w:r>
      <w:r w:rsidRPr="00B65257">
        <w:rPr>
          <w:rFonts w:ascii="Times New Roman" w:eastAsia="Calibri" w:hAnsi="Times New Roman" w:cs="Times New Roman"/>
          <w:sz w:val="24"/>
          <w:szCs w:val="24"/>
          <w:lang w:bidi="ar-SA"/>
        </w:rPr>
        <w:t>In total, 57%</w:t>
      </w:r>
      <w:r w:rsidRPr="00B65257">
        <w:rPr>
          <w:rFonts w:ascii="Times New Roman" w:hAnsi="Times New Roman" w:cs="Times New Roman"/>
          <w:sz w:val="24"/>
          <w:szCs w:val="24"/>
          <w:lang w:bidi="ar-SA"/>
        </w:rPr>
        <w:t xml:space="preserve"> (n=4) </w:t>
      </w:r>
      <w:r w:rsidRPr="00B65257">
        <w:rPr>
          <w:rFonts w:ascii="Times New Roman" w:eastAsia="Calibri" w:hAnsi="Times New Roman" w:cs="Times New Roman"/>
          <w:sz w:val="24"/>
          <w:szCs w:val="24"/>
          <w:lang w:bidi="ar-SA"/>
        </w:rPr>
        <w:t xml:space="preserve">of the </w:t>
      </w:r>
      <w:r w:rsidRPr="00B65257">
        <w:rPr>
          <w:rFonts w:ascii="Times New Roman" w:hAnsi="Times New Roman" w:cs="Times New Roman"/>
          <w:sz w:val="24"/>
          <w:szCs w:val="24"/>
          <w:lang w:bidi="ar-SA"/>
        </w:rPr>
        <w:t xml:space="preserve">isolates </w:t>
      </w:r>
      <w:r w:rsidRPr="00B65257">
        <w:rPr>
          <w:rFonts w:ascii="Times New Roman" w:eastAsia="Calibri" w:hAnsi="Times New Roman" w:cs="Times New Roman"/>
          <w:sz w:val="24"/>
          <w:szCs w:val="24"/>
          <w:lang w:bidi="ar-SA"/>
        </w:rPr>
        <w:t>were resistant to carbapenem, whereas the</w:t>
      </w:r>
      <w:r w:rsidRPr="00B65257">
        <w:rPr>
          <w:rFonts w:ascii="Times New Roman" w:hAnsi="Times New Roman" w:cs="Times New Roman"/>
          <w:sz w:val="24"/>
          <w:szCs w:val="24"/>
          <w:lang w:bidi="ar-SA"/>
        </w:rPr>
        <w:t xml:space="preserve"> other factor responsible for carbapenem resistance </w:t>
      </w:r>
      <w:r w:rsidRPr="00B65257">
        <w:rPr>
          <w:rFonts w:ascii="Times New Roman" w:eastAsia="Calibri" w:hAnsi="Times New Roman" w:cs="Times New Roman"/>
          <w:sz w:val="24"/>
          <w:szCs w:val="24"/>
          <w:lang w:bidi="ar-SA"/>
        </w:rPr>
        <w:t>was the</w:t>
      </w:r>
      <w:r w:rsidRPr="00B65257">
        <w:rPr>
          <w:rFonts w:ascii="Times New Roman" w:hAnsi="Times New Roman" w:cs="Times New Roman"/>
          <w:sz w:val="24"/>
          <w:szCs w:val="24"/>
          <w:lang w:bidi="ar-SA"/>
        </w:rPr>
        <w:t xml:space="preserve"> efflux gene </w:t>
      </w:r>
      <w:r w:rsidRPr="00B65257">
        <w:rPr>
          <w:rFonts w:ascii="Times New Roman" w:hAnsi="Times New Roman" w:cs="Times New Roman"/>
          <w:i/>
          <w:iCs/>
          <w:sz w:val="24"/>
          <w:szCs w:val="24"/>
          <w:lang w:bidi="ar-SA"/>
        </w:rPr>
        <w:t>acrA</w:t>
      </w:r>
      <w:r w:rsidRPr="00B65257">
        <w:rPr>
          <w:rFonts w:ascii="Times New Roman" w:hAnsi="Times New Roman" w:cs="Times New Roman"/>
          <w:sz w:val="24"/>
          <w:szCs w:val="24"/>
          <w:lang w:bidi="ar-SA"/>
        </w:rPr>
        <w:t xml:space="preserve"> and/or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efflux gene </w:t>
      </w:r>
      <w:r w:rsidR="006A4F45" w:rsidRPr="00B65257">
        <w:rPr>
          <w:rFonts w:ascii="Times New Roman" w:hAnsi="Times New Roman" w:cs="Times New Roman"/>
          <w:i/>
          <w:iCs/>
          <w:sz w:val="24"/>
          <w:szCs w:val="24"/>
          <w:lang w:bidi="ar-SA"/>
        </w:rPr>
        <w:t>acrB</w:t>
      </w:r>
      <w:r w:rsidRPr="00B65257">
        <w:rPr>
          <w:rFonts w:ascii="Times New Roman" w:eastAsia="Calibri" w:hAnsi="Times New Roman" w:cs="Times New Roman"/>
          <w:i/>
          <w:iCs/>
          <w:sz w:val="24"/>
          <w:szCs w:val="24"/>
          <w:lang w:bidi="ar-SA"/>
        </w:rPr>
        <w:t xml:space="preserve"> in 71.42% (n=10) of the isolates</w:t>
      </w:r>
      <w:r w:rsidRPr="00B65257">
        <w:rPr>
          <w:rFonts w:ascii="Times New Roman" w:hAnsi="Times New Roman" w:cs="Times New Roman"/>
          <w:sz w:val="24"/>
          <w:szCs w:val="24"/>
          <w:lang w:bidi="ar-SA"/>
        </w:rPr>
        <w:t>. Among these 10 isolates</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highest number of </w:t>
      </w:r>
      <w:r w:rsidRPr="00B65257">
        <w:rPr>
          <w:rFonts w:ascii="Times New Roman" w:hAnsi="Times New Roman" w:cs="Times New Roman"/>
          <w:sz w:val="24"/>
          <w:szCs w:val="24"/>
          <w:lang w:bidi="ar-SA"/>
        </w:rPr>
        <w:lastRenderedPageBreak/>
        <w:t xml:space="preserve">efflux genes associated </w:t>
      </w:r>
      <w:r w:rsidRPr="00B65257">
        <w:rPr>
          <w:rFonts w:ascii="Times New Roman" w:eastAsia="Calibri" w:hAnsi="Times New Roman" w:cs="Times New Roman"/>
          <w:sz w:val="24"/>
          <w:szCs w:val="24"/>
          <w:lang w:bidi="ar-SA"/>
        </w:rPr>
        <w:t xml:space="preserve">with </w:t>
      </w:r>
      <w:r w:rsidRPr="00B65257">
        <w:rPr>
          <w:rFonts w:ascii="Times New Roman" w:hAnsi="Times New Roman" w:cs="Times New Roman"/>
          <w:sz w:val="24"/>
          <w:szCs w:val="24"/>
          <w:lang w:bidi="ar-SA"/>
        </w:rPr>
        <w:t xml:space="preserve">carbapenem </w:t>
      </w:r>
      <w:r w:rsidRPr="00B65257">
        <w:rPr>
          <w:rFonts w:ascii="Times New Roman" w:eastAsia="Calibri" w:hAnsi="Times New Roman" w:cs="Times New Roman"/>
          <w:sz w:val="24"/>
          <w:szCs w:val="24"/>
          <w:lang w:bidi="ar-SA"/>
        </w:rPr>
        <w:t>resistance</w:t>
      </w:r>
      <w:r w:rsidRPr="00B65257">
        <w:rPr>
          <w:rFonts w:ascii="Times New Roman" w:hAnsi="Times New Roman" w:cs="Times New Roman"/>
          <w:sz w:val="24"/>
          <w:szCs w:val="24"/>
          <w:lang w:bidi="ar-SA"/>
        </w:rPr>
        <w:t xml:space="preserve"> was observed in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urine </w:t>
      </w:r>
      <w:r w:rsidRPr="00B65257">
        <w:rPr>
          <w:rFonts w:ascii="Times New Roman" w:eastAsia="Calibri" w:hAnsi="Times New Roman" w:cs="Times New Roman"/>
          <w:sz w:val="24"/>
          <w:szCs w:val="24"/>
          <w:lang w:bidi="ar-SA"/>
        </w:rPr>
        <w:t>samples,</w:t>
      </w:r>
      <w:r w:rsidRPr="00B65257">
        <w:rPr>
          <w:rFonts w:ascii="Times New Roman" w:hAnsi="Times New Roman" w:cs="Times New Roman"/>
          <w:sz w:val="24"/>
          <w:szCs w:val="24"/>
          <w:lang w:bidi="ar-SA"/>
        </w:rPr>
        <w:t xml:space="preserve"> i.e.</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70% (7/10)</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followed by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sputum </w:t>
      </w:r>
      <w:r w:rsidRPr="00B65257">
        <w:rPr>
          <w:rFonts w:ascii="Times New Roman" w:eastAsia="Calibri" w:hAnsi="Times New Roman" w:cs="Times New Roman"/>
          <w:sz w:val="24"/>
          <w:szCs w:val="24"/>
          <w:lang w:bidi="ar-SA"/>
        </w:rPr>
        <w:t>samples (20%</w:t>
      </w:r>
      <w:r w:rsidRPr="00B65257">
        <w:rPr>
          <w:rFonts w:ascii="Times New Roman" w:hAnsi="Times New Roman" w:cs="Times New Roman"/>
          <w:sz w:val="24"/>
          <w:szCs w:val="24"/>
          <w:lang w:bidi="ar-SA"/>
        </w:rPr>
        <w:t xml:space="preserve"> (2/10)</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and pus </w:t>
      </w:r>
      <w:r w:rsidRPr="00B65257">
        <w:rPr>
          <w:rFonts w:ascii="Times New Roman" w:eastAsia="Calibri" w:hAnsi="Times New Roman" w:cs="Times New Roman"/>
          <w:sz w:val="24"/>
          <w:szCs w:val="24"/>
          <w:lang w:bidi="ar-SA"/>
        </w:rPr>
        <w:t>samples (</w:t>
      </w:r>
      <w:r w:rsidRPr="00B65257">
        <w:rPr>
          <w:rFonts w:ascii="Times New Roman" w:hAnsi="Times New Roman" w:cs="Times New Roman"/>
          <w:sz w:val="24"/>
          <w:szCs w:val="24"/>
          <w:lang w:bidi="ar-SA"/>
        </w:rPr>
        <w:t>10% (1/10)</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Similarly, </w:t>
      </w:r>
      <w:r w:rsidRPr="00B65257">
        <w:rPr>
          <w:rFonts w:ascii="Times New Roman" w:eastAsia="Calibri" w:hAnsi="Times New Roman" w:cs="Times New Roman"/>
          <w:sz w:val="24"/>
          <w:szCs w:val="24"/>
          <w:lang w:bidi="ar-SA"/>
        </w:rPr>
        <w:t>100%</w:t>
      </w:r>
      <w:r w:rsidRPr="00B65257">
        <w:rPr>
          <w:rFonts w:ascii="Times New Roman" w:hAnsi="Times New Roman" w:cs="Times New Roman"/>
          <w:sz w:val="24"/>
          <w:szCs w:val="24"/>
          <w:lang w:bidi="ar-SA"/>
        </w:rPr>
        <w:t xml:space="preserve"> of carbapenemase producers were isolated from inpatients</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50% from </w:t>
      </w:r>
      <w:r w:rsidRPr="00B65257">
        <w:rPr>
          <w:rFonts w:ascii="Times New Roman" w:eastAsia="Calibri" w:hAnsi="Times New Roman" w:cs="Times New Roman"/>
          <w:sz w:val="24"/>
          <w:szCs w:val="24"/>
          <w:lang w:bidi="ar-SA"/>
        </w:rPr>
        <w:t>males</w:t>
      </w:r>
      <w:r w:rsidRPr="00B65257">
        <w:rPr>
          <w:rFonts w:ascii="Times New Roman" w:hAnsi="Times New Roman" w:cs="Times New Roman"/>
          <w:sz w:val="24"/>
          <w:szCs w:val="24"/>
          <w:lang w:bidi="ar-SA"/>
        </w:rPr>
        <w:t xml:space="preserve"> (n=7) and 50% from females (n=7). All these carbapenemase producers were multidrug resistant.</w:t>
      </w:r>
    </w:p>
    <w:p w:rsidR="00E6399D" w:rsidRPr="00B65257" w:rsidRDefault="00595131" w:rsidP="00E6399D">
      <w:pPr>
        <w:keepNext/>
        <w:keepLines/>
        <w:spacing w:before="240" w:after="0" w:line="360" w:lineRule="auto"/>
        <w:jc w:val="center"/>
        <w:outlineLvl w:val="0"/>
        <w:rPr>
          <w:rFonts w:ascii="Times New Roman" w:eastAsiaTheme="majorEastAsia" w:hAnsi="Times New Roman" w:cs="Times New Roman"/>
          <w:b/>
          <w:bCs/>
          <w:sz w:val="32"/>
          <w:szCs w:val="32"/>
          <w:lang w:bidi="ar-SA"/>
        </w:rPr>
      </w:pPr>
      <w:bookmarkStart w:id="9" w:name="_Toc160141073"/>
      <w:bookmarkStart w:id="10" w:name="_Toc160141075"/>
      <w:r w:rsidRPr="00B65257">
        <w:rPr>
          <w:rFonts w:ascii="Times New Roman" w:eastAsiaTheme="majorEastAsia" w:hAnsi="Times New Roman" w:cs="Times New Roman"/>
          <w:b/>
          <w:bCs/>
          <w:sz w:val="32"/>
          <w:szCs w:val="32"/>
          <w:lang w:bidi="ar-SA"/>
        </w:rPr>
        <w:t>DISCUSSION</w:t>
      </w:r>
      <w:bookmarkEnd w:id="9"/>
    </w:p>
    <w:p w:rsidR="00F068DB" w:rsidRPr="00B65257" w:rsidRDefault="00595131" w:rsidP="00F068DB">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This study aimed to explore the prevalence and mechanisms of carbapenem resistance, with a focus on the role of the efflux pump (AcrAB) in </w:t>
      </w:r>
      <w:r w:rsidR="00566096" w:rsidRPr="00B65257">
        <w:rPr>
          <w:rFonts w:ascii="Times New Roman" w:eastAsia="Times New Roman" w:hAnsi="Times New Roman" w:cs="Times New Roman"/>
          <w:i/>
          <w:iCs/>
          <w:sz w:val="24"/>
          <w:szCs w:val="24"/>
        </w:rPr>
        <w:t>K.</w:t>
      </w:r>
      <w:r w:rsidRPr="00B65257">
        <w:rPr>
          <w:rFonts w:ascii="Times New Roman" w:eastAsia="Times New Roman" w:hAnsi="Times New Roman" w:cs="Times New Roman"/>
          <w:i/>
          <w:iCs/>
          <w:sz w:val="24"/>
          <w:szCs w:val="24"/>
        </w:rPr>
        <w:t xml:space="preserve"> pneumoniae</w:t>
      </w:r>
      <w:r w:rsidRPr="00B65257">
        <w:rPr>
          <w:rFonts w:ascii="Times New Roman" w:eastAsia="Times New Roman" w:hAnsi="Times New Roman" w:cs="Times New Roman"/>
          <w:sz w:val="24"/>
          <w:szCs w:val="24"/>
        </w:rPr>
        <w:t xml:space="preserve"> isolates obtained from clinical samples. The study revealed that of 304 bacterial isolates, 45 (14.8%) were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a pathogen known for its role in nosocomial infections and multidrug resistance. The overall prevalence of gram-negative bacteria was consistent with studies from similar clinical settings, such as those by Thapa et al. (2021) and Yadav et al. (2018), where gram-negative organisms outnumbered gram-positive organisms. The predominance of </w:t>
      </w:r>
      <w:r w:rsidRPr="00B65257">
        <w:rPr>
          <w:rFonts w:ascii="Times New Roman" w:eastAsia="Times New Roman" w:hAnsi="Times New Roman" w:cs="Times New Roman"/>
          <w:i/>
          <w:iCs/>
          <w:sz w:val="24"/>
          <w:szCs w:val="24"/>
        </w:rPr>
        <w:t>Acinetobacter</w:t>
      </w:r>
      <w:r w:rsidRPr="00B65257">
        <w:rPr>
          <w:rFonts w:ascii="Times New Roman" w:eastAsia="Times New Roman" w:hAnsi="Times New Roman" w:cs="Times New Roman"/>
          <w:sz w:val="24"/>
          <w:szCs w:val="24"/>
        </w:rPr>
        <w:t xml:space="preserve"> spp. and </w:t>
      </w:r>
      <w:r w:rsidRPr="00B65257">
        <w:rPr>
          <w:rFonts w:ascii="Times New Roman" w:eastAsia="Times New Roman" w:hAnsi="Times New Roman" w:cs="Times New Roman"/>
          <w:i/>
          <w:iCs/>
          <w:sz w:val="24"/>
          <w:szCs w:val="24"/>
        </w:rPr>
        <w:t>E. coli</w:t>
      </w:r>
      <w:r w:rsidRPr="00B65257">
        <w:rPr>
          <w:rFonts w:ascii="Times New Roman" w:eastAsia="Times New Roman" w:hAnsi="Times New Roman" w:cs="Times New Roman"/>
          <w:sz w:val="24"/>
          <w:szCs w:val="24"/>
        </w:rPr>
        <w:t xml:space="preserve"> was also in line with findings by Karki et al. (2021), suggesting that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continues to be a significant contributor to infections in clinical environments.</w:t>
      </w:r>
    </w:p>
    <w:p w:rsidR="00F068DB" w:rsidRPr="00B65257" w:rsidRDefault="00595131" w:rsidP="00F068DB">
      <w:pPr>
        <w:tabs>
          <w:tab w:val="left" w:pos="2100"/>
        </w:tabs>
        <w:spacing w:line="360" w:lineRule="auto"/>
        <w:jc w:val="both"/>
        <w:rPr>
          <w:rFonts w:ascii="Times New Roman" w:hAnsi="Times New Roman" w:cs="Times New Roman"/>
          <w:bCs/>
          <w:color w:val="000000" w:themeColor="text1"/>
          <w:sz w:val="24"/>
          <w:szCs w:val="24"/>
          <w:lang w:bidi="ar-SA"/>
        </w:rPr>
      </w:pPr>
      <w:r w:rsidRPr="00B65257">
        <w:rPr>
          <w:rFonts w:ascii="Times New Roman" w:eastAsia="Times New Roman" w:hAnsi="Times New Roman" w:cs="Times New Roman"/>
          <w:sz w:val="24"/>
          <w:szCs w:val="24"/>
        </w:rPr>
        <w:t xml:space="preserve">The resistance patterns of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revealed alarmingly high levels of multidrug resistance (MDR), with 68.8% of the isolates being classified as MDR. The resistance to ciprofloxacin (68.8%) and levofloxacin (62.2%) highlights the reduced efficacy of quinolones and fluoroquinolones, which are widely used as first-line treatments. This pattern aligns with global reports of increasing resistance to these drug classes </w:t>
      </w:r>
      <w:r w:rsidRPr="00B65257">
        <w:rPr>
          <w:rFonts w:ascii="Times New Roman" w:eastAsia="Times New Roman" w:hAnsi="Times New Roman" w:cs="Times New Roman"/>
          <w:sz w:val="24"/>
          <w:szCs w:val="24"/>
        </w:rPr>
        <w:fldChar w:fldCharType="begin" w:fldLock="1"/>
      </w:r>
      <w:r w:rsidR="005E66B9" w:rsidRPr="00B65257">
        <w:rPr>
          <w:rFonts w:ascii="Times New Roman" w:eastAsia="Times New Roman" w:hAnsi="Times New Roman" w:cs="Times New Roman"/>
          <w:sz w:val="24"/>
          <w:szCs w:val="24"/>
        </w:rPr>
        <w:instrText>ADDIN CSL_CITATION {"citationItems":[{"id":"ITEM-1","itemData":{"DOI":"10.5812/jkums.106135","ISSN":"2588-2562","abstract":"Background: Klebsiella pneumoniae is an important opportunistic enteric bacterial strain, which is a major cause of pneumonia and urinary tract infection. Antimicrobial resistance is an increasingly severe threat to the Global Public Health, requiring immediate action across governmental sectors and communities. Objectives: The present study aimed to determine the sensitivity pattern of K. pneumonia isolated from various clinical specimens for common antibiotics in Duhok City, Iraq. Methods: This study was conducted in Duhok City during January 2017-February 2019 on 130 clinical samples of urine, blood, sputum, wound swabs, central venous lines, and oral swabs. K. pneumoniae strains were confirmed and tested in terms of susceptibility to various antimicrobial drugs using the VITEK-2 compact system. Results: In total, 130 positive K. pneumoniae cultures from various clinical samples were examined. The isolates were more predominant in the females (n = 99; 76.2%) compared to males (n = 31; 23.8%). The antibiotic resistance rate of K. pneumoniae varied among different isolate clinical sample sources. Overall, high resistance rates were recorded for ampicillin (96.9%), ceftriaxone (65.8%), and cefepime (60.8%). However, ertapenem (93.8%) and imipenem (82.3%) showed the highest susceptibility rate against the isolates. Conclusions: According to the results, K. pneumoniae isolated from various clinical specimens varied in terms of the antibiotic susceptibility pattern with high resistance to common antibiotics, particularly ampicillin. Ertapenem and imipenem were the most effective antibiotics against the isolates. Our findings could help physicians and clinicians to select appropriate antimicrobial therapies in the region.","author":[{"dropping-particle":"","family":"Naqid","given":"Ibrahim Abdulqader","non-dropping-particle":"","parse-names":false,"suffix":""},{"dropping-particle":"","family":"Hussein","given":"Nawfal Rasheed","non-dropping-particle":"","parse-names":false,"suffix":""},{"dropping-particle":"","family":"Balatay","given":"Amer A","non-dropping-particle":"","parse-names":false,"suffix":""},{"dropping-particle":"","family":"Saeed","given":"Kurdistan Abdullah","non-dropping-particle":"","parse-names":false,"suffix":""},{"dropping-particle":"","family":"Ahmed","given":"Hiba A","non-dropping-particle":"","parse-names":false,"suffix":""}],"container-title":"Journal of Kermanshah University of Medical Sciences","id":"ITEM-1","issue":"2","issued":{"date-parts":[["2020","8","2"]]},"publisher":"Briefland","title":"The Antimicrobial Resistance Pattern of Klebsiella pneumonia Isolated from the Clinical Specimens in Duhok City in Kurdistan Region of Iraq","type":"article-journal","volume":"24"},"uris":["http://www.mendeley.com/documents/?uuid=832a50cf-5e3a-3b90-9c1f-e44cd356aa31"]},{"id":"ITEM-2","itemData":{"DOI":"10.1186/s41182-021-00368-2","ISBN":"9813786957","ISSN":"13494147","abstract":"Aim: Although carbapenem is the last-resort drug for treating drug-resistant Gram-negative bacterial infections, prevalence of carbapenem-resistant bacteria has substantially increased worldwide owing to irrational use of antibiotics particularly in developing countries like Nepal. Therefore, this study was aimed to determine the prevalence of carbapenemase-producing K. pneumoniae and to detect the carbapenemase genes (blaNDM-2 and blaOXA-48) in at a tertiary care hospital in Nepal. Materials and methods: A hospital-based cross-sectional study was carried out from June 2018 to January 2019 at the Microbiology Laboratory of Annapurna Neurological Institute and Allied Sciences, Kathmandu, Nepal. Different clinical samples were collected and cultured in appropriate growth media. Biochemical tests were performed for the identification of K. pneumoniae. Antibiotic susceptibility testing (AST) was performed by the Kirby–Bauer disc diffusion method. The modified Hodge test (MHT) was performed to detect carbapenemase producers. The plasmid was extracted by the modified alkaline hydrolysis method. Carbapenemase-producing K. pneumoniae were further confirmed by detecting blaNDM-2 and blaOXA-48 genes by PCR using specific forward and reverse primers followed by gel electrophoresis. Results: Out of the total 720 samples, 38.9% (280/720) were culture positive. K. pneumoniae was the most predominant isolate 31.4% (88/280). Of 88 K. pneumoniae isolates, 56.8% (50/88) were multi-drug resistant (MDR), and 51.1% (45/88) were MHT positive. Colistin showed the highest sensitivity (100%; 88/88), followed by tigecycline (86.4%; 76/88). blaNDM-2 and blaOXA-48 genes were detected in 24.4% (11/45) and 15.5% (7/45) of carbapenemase-producing K. pneumoniae isolates, respectively. Conclusion: The rate of MDR and carbapenemase production was high in the K. pneumoniae isolates. Colistin and tigecycline could be the drug of choice for the empirical treatments of MDR and carbapenemase-producing K. pneumoniae. Our study provides a better understanding of antibiotic resistance threat and enables physicians to select the most appropriate antibiotics.","author":[{"dropping-particle":"","family":"Pyakurel","given":"Susil","non-dropping-particle":"","parse-names":false,"suffix":""},{"dropping-particle":"","family":"Ansari","given":"Mehraj","non-dropping-particle":"","parse-names":false,"suffix":""},{"dropping-particle":"","family":"Kattel","given":"Smriti","non-dropping-particle":"","parse-names":false,"suffix":""},{"dropping-particle":"","family":"Rai","given":"Ganesh","non-dropping-particle":"","parse-names":false,"suffix":""},{"dropping-particle":"","family":"Shrestha","given":"Prasha","non-dropping-particle":"","parse-names":false,"suffix":""},{"dropping-particle":"","family":"Rai","given":"Kul Raj","non-dropping-particle":"","parse-names":false,"suffix":""},{"dropping-particle":"","family":"Sah","given":"Anil Kumar","non-dropping-particle":"","parse-names":false,"suffix":""},{"dropping-particle":"","family":"Rai","given":"Shiba Kumar","non-dropping-particle":"","parse-names":false,"suffix":""}],"container-title":"Tropical Medicine and Health","id":"ITEM-2","issue":"1","issued":{"date-parts":[["2021"]]},"page":"290-296","title":"Prevalence of carbapenemase-producing Klebsiella pneumoniae at a tertiary care hospital in Kathmandu, Nepal","type":"article-journal","volume":"49"},"uris":["http://www.mendeley.com/documents/?uuid=e17c6e90-fc0d-4df1-91d6-45ee60521f98"]}],"mendeley":{"formattedCitation":"(7,29)","plainTextFormattedCitation":"(7,29)","previouslyFormattedCitation":"(7,29)"},"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5E66B9" w:rsidRPr="00B65257">
        <w:rPr>
          <w:rFonts w:ascii="Times New Roman" w:eastAsia="Times New Roman" w:hAnsi="Times New Roman" w:cs="Times New Roman"/>
          <w:noProof/>
          <w:sz w:val="24"/>
          <w:szCs w:val="24"/>
        </w:rPr>
        <w:t>(7,29)</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Additionally, colistin and polymyxin remained the most effective antibiotics, with sensitivities of 97.8% and 88.9%, respectively, in agreement with other findings </w:t>
      </w:r>
      <w:r w:rsidRPr="00B65257">
        <w:rPr>
          <w:rFonts w:ascii="Times New Roman" w:eastAsia="Times New Roman" w:hAnsi="Times New Roman" w:cs="Times New Roman"/>
          <w:sz w:val="24"/>
          <w:szCs w:val="24"/>
        </w:rPr>
        <w:fldChar w:fldCharType="begin" w:fldLock="1"/>
      </w:r>
      <w:r w:rsidR="005E66B9" w:rsidRPr="00B65257">
        <w:rPr>
          <w:rFonts w:ascii="Times New Roman" w:eastAsia="Times New Roman" w:hAnsi="Times New Roman" w:cs="Times New Roman"/>
          <w:sz w:val="24"/>
          <w:szCs w:val="24"/>
        </w:rPr>
        <w:instrText>ADDIN CSL_CITATION {"citationItems":[{"id":"ITEM-1","itemData":{"DOI":"10.1186/s41182-021-00368-2","ISBN":"9813786957","ISSN":"13494147","abstract":"Aim: Although carbapenem is the last-resort drug for treating drug-resistant Gram-negative bacterial infections, prevalence of carbapenem-resistant bacteria has substantially increased worldwide owing to irrational use of antibiotics particularly in developing countries like Nepal. Therefore, this study was aimed to determine the prevalence of carbapenemase-producing K. pneumoniae and to detect the carbapenemase genes (blaNDM-2 and blaOXA-48) in at a tertiary care hospital in Nepal. Materials and methods: A hospital-based cross-sectional study was carried out from June 2018 to January 2019 at the Microbiology Laboratory of Annapurna Neurological Institute and Allied Sciences, Kathmandu, Nepal. Different clinical samples were collected and cultured in appropriate growth media. Biochemical tests were performed for the identification of K. pneumoniae. Antibiotic susceptibility testing (AST) was performed by the Kirby–Bauer disc diffusion method. The modified Hodge test (MHT) was performed to detect carbapenemase producers. The plasmid was extracted by the modified alkaline hydrolysis method. Carbapenemase-producing K. pneumoniae were further confirmed by detecting blaNDM-2 and blaOXA-48 genes by PCR using specific forward and reverse primers followed by gel electrophoresis. Results: Out of the total 720 samples, 38.9% (280/720) were culture positive. K. pneumoniae was the most predominant isolate 31.4% (88/280). Of 88 K. pneumoniae isolates, 56.8% (50/88) were multi-drug resistant (MDR), and 51.1% (45/88) were MHT positive. Colistin showed the highest sensitivity (100%; 88/88), followed by tigecycline (86.4%; 76/88). blaNDM-2 and blaOXA-48 genes were detected in 24.4% (11/45) and 15.5% (7/45) of carbapenemase-producing K. pneumoniae isolates, respectively. Conclusion: The rate of MDR and carbapenemase production was high in the K. pneumoniae isolates. Colistin and tigecycline could be the drug of choice for the empirical treatments of MDR and carbapenemase-producing K. pneumoniae. Our study provides a better understanding of antibiotic resistance threat and enables physicians to select the most appropriate antibiotics.","author":[{"dropping-particle":"","family":"Pyakurel","given":"Susil","non-dropping-particle":"","parse-names":false,"suffix":""},{"dropping-particle":"","family":"Ansari","given":"Mehraj","non-dropping-particle":"","parse-names":false,"suffix":""},{"dropping-particle":"","family":"Kattel","given":"Smriti","non-dropping-particle":"","parse-names":false,"suffix":""},{"dropping-particle":"","family":"Rai","given":"Ganesh","non-dropping-particle":"","parse-names":false,"suffix":""},{"dropping-particle":"","family":"Shrestha","given":"Prasha","non-dropping-particle":"","parse-names":false,"suffix":""},{"dropping-particle":"","family":"Rai","given":"Kul Raj","non-dropping-particle":"","parse-names":false,"suffix":""},{"dropping-particle":"","family":"Sah","given":"Anil Kumar","non-dropping-particle":"","parse-names":false,"suffix":""},{"dropping-particle":"","family":"Rai","given":"Shiba Kumar","non-dropping-particle":"","parse-names":false,"suffix":""}],"container-title":"Tropical Medicine and Health","id":"ITEM-1","issue":"1","issued":{"date-parts":[["2021"]]},"page":"290-296","title":"Prevalence of carbapenemase-producing Klebsiella pneumoniae at a tertiary care hospital in Kathmandu, Nepal","type":"article-journal","volume":"49"},"uris":["http://www.mendeley.com/documents/?uuid=e17c6e90-fc0d-4df1-91d6-45ee60521f98"]},{"id":"ITEM-2","itemData":{"DOI":"10.1093/cid/ciab767","ISSN":"15376591","PMID":"34850832","abstract":"Background: Carbapenem-resistant Klebsiella pneumoniae (CRKP) is a threat to public health in India because of its high dissemination, mortality, and limited treatment options. Its genomic variability is reflected in the diversity of sequence types, virulence factors, and antimicrobial resistance (AMR) mechanisms. This study aims to characterize the clonal relationships and genetic mechanisms of resistance and virulence in CRKP isolates in India. Materials and Methods: We characterized 344 retrospective K. pneumoniae clinical isolates collected from 8 centers across India collected in 2013-2019. Susceptibility to antibiotics was tested with VITEK 2. Capsular types, multilocus sequence type, virulence genes, AMR determinants, plasmid replicon types, and a single-nucleotide polymorphism phylogeny were inferred from their whole genome sequences. Results: Phylogenetic analysis of the 325 Klebsiella isolates that passed quality control revealed 3 groups: K. pneumoniae sensu stricto (n = 307), K. quasipneumoniae (n = 17), and K. variicola (n = 1). Sequencing and capsular diversity analysis of the 307 K. pneumoniae sensu stricto isolates revealed 28 sequence types, 26 K-locus types, and 11 O-locus types, with ST231, KL51, and O1V2 being predominant. blaOXA-48-like and blaNDM-1/5 were present in 73.2% and 24.4% of isolates, respectively. The major plasmid replicon types associated with carbapenase genes were IncF (51.0%) and Col group (35.0%). Conclusion: Our study documents for the first time the genetic diversity of K and O antigens circulating in India. The results demonstrate the practical applicability of genomic surveillance and its utility in tracking the population dynamics of CRKP. It alerts us to the urgency for longitudinal surveillance of these transmissible lineages.","author":[{"dropping-particle":"","family":"Nagaraj","given":"Geetha","non-dropping-particle":"","parse-names":false,"suffix":""},{"dropping-particle":"","family":"Shamanna","given":"Varun","non-dropping-particle":"","parse-names":false,"suffix":""},{"dropping-particle":"","family":"Govindan","given":"Vandana","non-dropping-particle":"","parse-names":false,"suffix":""},{"dropping-particle":"","family":"Rose","given":"Steffimole","non-dropping-particle":"","parse-names":false,"suffix":""},{"dropping-particle":"","family":"Sravani","given":"D.","non-dropping-particle":"","parse-names":false,"suffix":""},{"dropping-particle":"","family":"Akshata","given":"K. P.","non-dropping-particle":"","parse-names":false,"suffix":""},{"dropping-particle":"","family":"Shincy","given":"M. R.","non-dropping-particle":"","parse-names":false,"suffix":""},{"dropping-particle":"","family":"Venkatesha","given":"V. T.","non-dropping-particle":"","parse-names":false,"suffix":""},{"dropping-particle":"","family":"Abrudan","given":"Monica","non-dropping-particle":"","parse-names":false,"suffix":""},{"dropping-particle":"","family":"Argimón","given":"Silvia","non-dropping-particle":"","parse-names":false,"suffix":""},{"dropping-particle":"","family":"Kekre","given":"Mihir","non-dropping-particle":"","parse-names":false,"suffix":""},{"dropping-particle":"","family":"Underwood","given":"Anthony","non-dropping-particle":"","parse-names":false,"suffix":""},{"dropping-particle":"","family":"Aanensen","given":"David M.","non-dropping-particle":"","parse-names":false,"suffix":""},{"dropping-particle":"","family":"Ravikumar","given":"K. L.","non-dropping-particle":"","parse-names":false,"suffix":""},{"dropping-particle":"","family":"Abudahab","given":"Khalil","non-dropping-particle":"","parse-names":false,"suffix":""},{"dropping-particle":"","family":"Harste","given":"Harry","non-dropping-particle":"","parse-names":false,"suffix":""},{"dropping-particle":"","family":"Muddyman","given":"Dawn","non-dropping-particle":"","parse-names":false,"suffix":""},{"dropping-particle":"","family":"Taylor","given":"Ben","non-dropping-particle":"","parse-names":false,"suffix":""},{"dropping-particle":"","family":"Wheeler","given":"Nicole","non-dropping-particle":"","parse-names":false,"suffix":""},{"dropping-particle":"","family":"David","given":"Sophia","non-dropping-particle":"","parse-names":false,"suffix":""},{"dropping-particle":"","family":"Donado-Godoy","given":"Pilar","non-dropping-particle":"","parse-names":false,"suffix":""},{"dropping-particle":"","family":"Bernal","given":"Johan Fabian","non-dropping-particle":"","parse-names":false,"suffix":""},{"dropping-particle":"","family":"Arevalo","given":"Alejandra","non-dropping-particle":"","parse-names":false,"suffix":""},{"dropping-particle":"","family":"Valencia","given":"Maria Fernanda","non-dropping-particle":"","parse-names":false,"suffix":""},{"dropping-particle":"","family":"Osma Castro","given":"Erik C.D.","non-dropping-particle":"","parse-names":false,"suffix":""},{"dropping-particle":"","family":"Ravishankar","given":"K. N.","non-dropping-particle":"","parse-names":false,"suffix":""},{"dropping-particle":"","family":"Okeke","given":"Iruka N.","non-dropping-particle":"","parse-names":false,"suffix":""},{"dropping-particle":"","family":"Oaikhena","given":"Anderson O.","non-dropping-particle":"","parse-names":false,"suffix":""},{"dropping-particle":"","family":"Afolayan","given":"Ayorinde O.","non-dropping-particle":"","parse-names":false,"suffix":""},{"dropping-particle":"","family":"Ajiboye","given":"Jolaade J.","non-dropping-particle":"","parse-names":false,"suffix":""},{"dropping-particle":"","family":"Odih","given":"Erkison Ewomazino","non-dropping-particle":"","parse-names":false,"suffix":""},{"dropping-particle":"","family":"Carlos","given":"Celia","non-dropping-particle":"","parse-names":false,"suffix":""},{"dropping-particle":"","family":"Lagrada","given":"Marietta L.","non-dropping-particle":"","parse-names":false,"suffix":""},{"dropping-particle":"V.","family":"Macaranas","given":"Polle Krystle","non-dropping-particle":"","parse-names":false,"suffix":""},{"dropping-particle":"","family":"Olorosa","given":"Agnettah M.","non-dropping-particle":"","parse-names":false,"suffix":""},{"dropping-particle":"","family":"Gayeta","given":"June M.","non-dropping-particle":"","parse-names":false,"suffix":""},{"dropping-particle":"","family":"Herrera","given":"Elmer M.","non-dropping-particle":"","parse-names":false,"suffix":""}],"container-title":"Clinical Infectious Diseases","id":"ITEM-2","issued":{"date-parts":[["2021","12","1"]]},"page":"S300-S307","publisher":"Oxford University Press","title":"High-Resolution Genomic Profiling of Carbapenem-Resistant Klebsiella pneumoniae Isolates: A Multicentric Retrospective Indian Study","type":"article-journal","volume":"73"},"uris":["http://www.mendeley.com/documents/?uuid=85768385-6f3f-32c6-a617-ab456f271388"]}],"mendeley":{"formattedCitation":"(7,31)","plainTextFormattedCitation":"(7,31)","previouslyFormattedCitation":"(7,31)"},"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5E66B9" w:rsidRPr="00B65257">
        <w:rPr>
          <w:rFonts w:ascii="Times New Roman" w:eastAsia="Times New Roman" w:hAnsi="Times New Roman" w:cs="Times New Roman"/>
          <w:noProof/>
          <w:sz w:val="24"/>
          <w:szCs w:val="24"/>
        </w:rPr>
        <w:t>(7,31)</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However, emerging colistin resistance, as suggested by studies such as Ayoub Moubareck (2020), is a growing concern, with some regions reporting resistance due to misuse and overreliance on last-line antibiotics.</w:t>
      </w:r>
    </w:p>
    <w:p w:rsidR="00F068DB" w:rsidRPr="00B65257" w:rsidRDefault="00595131" w:rsidP="00F068DB">
      <w:pPr>
        <w:tabs>
          <w:tab w:val="left" w:pos="2100"/>
        </w:tabs>
        <w:spacing w:line="360" w:lineRule="auto"/>
        <w:jc w:val="both"/>
        <w:rPr>
          <w:rFonts w:ascii="Times New Roman" w:hAnsi="Times New Roman" w:cs="Times New Roman"/>
          <w:sz w:val="24"/>
          <w:szCs w:val="24"/>
          <w:lang w:bidi="ar-SA"/>
        </w:rPr>
      </w:pPr>
      <w:r w:rsidRPr="00B65257">
        <w:rPr>
          <w:rFonts w:ascii="Times New Roman" w:hAnsi="Times New Roman" w:cs="Times New Roman"/>
          <w:bCs/>
          <w:color w:val="000000" w:themeColor="text1"/>
          <w:sz w:val="24"/>
          <w:szCs w:val="24"/>
          <w:lang w:bidi="ar-SA"/>
        </w:rPr>
        <w:t xml:space="preserve">Among all the </w:t>
      </w:r>
      <w:r w:rsidRPr="00B65257">
        <w:rPr>
          <w:rFonts w:ascii="Times New Roman" w:hAnsi="Times New Roman" w:cs="Times New Roman"/>
          <w:bCs/>
          <w:i/>
          <w:iCs/>
          <w:color w:val="000000" w:themeColor="text1"/>
          <w:sz w:val="24"/>
          <w:szCs w:val="24"/>
          <w:lang w:bidi="ar-SA"/>
        </w:rPr>
        <w:t>K. pneumoniae</w:t>
      </w:r>
      <w:r w:rsidRPr="00B65257">
        <w:rPr>
          <w:rFonts w:ascii="Times New Roman" w:hAnsi="Times New Roman" w:cs="Times New Roman"/>
          <w:bCs/>
          <w:color w:val="000000" w:themeColor="text1"/>
          <w:sz w:val="24"/>
          <w:szCs w:val="24"/>
          <w:lang w:bidi="ar-SA"/>
        </w:rPr>
        <w:t xml:space="preserve"> </w:t>
      </w:r>
      <w:r w:rsidRPr="00B65257">
        <w:rPr>
          <w:rFonts w:ascii="Times New Roman" w:eastAsia="Calibri" w:hAnsi="Times New Roman" w:cs="Times New Roman"/>
          <w:bCs/>
          <w:color w:val="000000"/>
          <w:sz w:val="24"/>
          <w:szCs w:val="24"/>
          <w:lang w:bidi="ar-SA"/>
        </w:rPr>
        <w:t xml:space="preserve">isolates </w:t>
      </w:r>
      <w:r w:rsidRPr="00B65257">
        <w:rPr>
          <w:rFonts w:ascii="Times New Roman" w:hAnsi="Times New Roman" w:cs="Times New Roman"/>
          <w:bCs/>
          <w:color w:val="000000" w:themeColor="text1"/>
          <w:sz w:val="24"/>
          <w:szCs w:val="24"/>
          <w:lang w:bidi="ar-SA"/>
        </w:rPr>
        <w:t xml:space="preserve">isolated in this study, 68.8% (31) were multidrug resistant (MDR). This finding was somewhat consistent </w:t>
      </w:r>
      <w:r w:rsidRPr="00B65257">
        <w:rPr>
          <w:rFonts w:ascii="Times New Roman" w:eastAsia="Calibri" w:hAnsi="Times New Roman" w:cs="Times New Roman"/>
          <w:bCs/>
          <w:color w:val="000000"/>
          <w:sz w:val="24"/>
          <w:szCs w:val="24"/>
          <w:lang w:bidi="ar-SA"/>
        </w:rPr>
        <w:t>with</w:t>
      </w:r>
      <w:r w:rsidRPr="00B65257">
        <w:rPr>
          <w:rFonts w:ascii="Times New Roman" w:hAnsi="Times New Roman" w:cs="Times New Roman"/>
          <w:bCs/>
          <w:color w:val="000000" w:themeColor="text1"/>
          <w:sz w:val="24"/>
          <w:szCs w:val="24"/>
          <w:lang w:bidi="ar-SA"/>
        </w:rPr>
        <w:t xml:space="preserve"> the study conducted by Saud et al. (2022)</w:t>
      </w:r>
      <w:r w:rsidRPr="00B65257">
        <w:rPr>
          <w:rFonts w:ascii="Times New Roman" w:eastAsia="Calibri" w:hAnsi="Times New Roman" w:cs="Times New Roman"/>
          <w:bCs/>
          <w:color w:val="000000"/>
          <w:sz w:val="24"/>
          <w:szCs w:val="24"/>
          <w:lang w:bidi="ar-SA"/>
        </w:rPr>
        <w:t>,</w:t>
      </w:r>
      <w:r w:rsidRPr="00B65257">
        <w:rPr>
          <w:rFonts w:ascii="Times New Roman" w:hAnsi="Times New Roman" w:cs="Times New Roman"/>
          <w:bCs/>
          <w:color w:val="000000" w:themeColor="text1"/>
          <w:sz w:val="24"/>
          <w:szCs w:val="24"/>
          <w:lang w:bidi="ar-SA"/>
        </w:rPr>
        <w:t xml:space="preserve"> in which </w:t>
      </w:r>
      <w:r w:rsidRPr="00B65257">
        <w:rPr>
          <w:rFonts w:ascii="Times New Roman" w:eastAsia="Calibri" w:hAnsi="Times New Roman" w:cs="Times New Roman"/>
          <w:bCs/>
          <w:color w:val="000000"/>
          <w:sz w:val="24"/>
          <w:szCs w:val="24"/>
          <w:lang w:bidi="ar-SA"/>
        </w:rPr>
        <w:t xml:space="preserve">the </w:t>
      </w:r>
      <w:r w:rsidRPr="00B65257">
        <w:rPr>
          <w:rFonts w:ascii="Times New Roman" w:hAnsi="Times New Roman" w:cs="Times New Roman"/>
          <w:bCs/>
          <w:color w:val="000000" w:themeColor="text1"/>
          <w:sz w:val="24"/>
          <w:szCs w:val="24"/>
          <w:lang w:bidi="ar-SA"/>
        </w:rPr>
        <w:t xml:space="preserve">MDR was </w:t>
      </w:r>
      <w:r w:rsidRPr="00B65257">
        <w:rPr>
          <w:rFonts w:ascii="Times New Roman" w:eastAsia="Calibri" w:hAnsi="Times New Roman" w:cs="Times New Roman"/>
          <w:bCs/>
          <w:color w:val="000000"/>
          <w:sz w:val="24"/>
          <w:szCs w:val="24"/>
          <w:lang w:bidi="ar-SA"/>
        </w:rPr>
        <w:t>60%, whereas</w:t>
      </w:r>
      <w:r w:rsidRPr="00B65257">
        <w:rPr>
          <w:rFonts w:ascii="Times New Roman" w:hAnsi="Times New Roman" w:cs="Times New Roman"/>
          <w:bCs/>
          <w:color w:val="000000" w:themeColor="text1"/>
          <w:sz w:val="24"/>
          <w:szCs w:val="24"/>
          <w:lang w:bidi="ar-SA"/>
        </w:rPr>
        <w:t xml:space="preserve"> in </w:t>
      </w:r>
      <w:r w:rsidRPr="00B65257">
        <w:rPr>
          <w:rFonts w:ascii="Times New Roman" w:hAnsi="Times New Roman" w:cs="Times New Roman"/>
          <w:bCs/>
          <w:color w:val="000000" w:themeColor="text1"/>
          <w:sz w:val="24"/>
          <w:szCs w:val="24"/>
          <w:lang w:bidi="ar-SA"/>
        </w:rPr>
        <w:lastRenderedPageBreak/>
        <w:t>a study undertaken by Gurung et al. (2020)</w:t>
      </w:r>
      <w:r w:rsidRPr="00B65257">
        <w:rPr>
          <w:rFonts w:ascii="Times New Roman" w:eastAsia="Calibri" w:hAnsi="Times New Roman" w:cs="Times New Roman"/>
          <w:bCs/>
          <w:color w:val="000000"/>
          <w:sz w:val="24"/>
          <w:szCs w:val="24"/>
          <w:lang w:bidi="ar-SA"/>
        </w:rPr>
        <w:t>,</w:t>
      </w:r>
      <w:r w:rsidRPr="00B65257">
        <w:rPr>
          <w:rFonts w:ascii="Times New Roman" w:hAnsi="Times New Roman" w:cs="Times New Roman"/>
          <w:bCs/>
          <w:color w:val="000000" w:themeColor="text1"/>
          <w:sz w:val="24"/>
          <w:szCs w:val="24"/>
          <w:lang w:bidi="ar-SA"/>
        </w:rPr>
        <w:t xml:space="preserve"> the value for MDR </w:t>
      </w:r>
      <w:r w:rsidRPr="00B65257">
        <w:rPr>
          <w:rFonts w:ascii="Times New Roman" w:hAnsi="Times New Roman" w:cs="Times New Roman"/>
          <w:bCs/>
          <w:i/>
          <w:iCs/>
          <w:color w:val="000000" w:themeColor="text1"/>
          <w:sz w:val="24"/>
          <w:szCs w:val="24"/>
          <w:lang w:bidi="ar-SA"/>
        </w:rPr>
        <w:t>K. pneumoniae</w:t>
      </w:r>
      <w:r w:rsidRPr="00B65257">
        <w:rPr>
          <w:rFonts w:ascii="Times New Roman" w:hAnsi="Times New Roman" w:cs="Times New Roman"/>
          <w:bCs/>
          <w:color w:val="000000" w:themeColor="text1"/>
          <w:sz w:val="24"/>
          <w:szCs w:val="24"/>
          <w:lang w:bidi="ar-SA"/>
        </w:rPr>
        <w:t xml:space="preserve"> was </w:t>
      </w:r>
      <w:r w:rsidRPr="00B65257">
        <w:rPr>
          <w:rFonts w:ascii="Times New Roman" w:eastAsia="Calibri" w:hAnsi="Times New Roman" w:cs="Times New Roman"/>
          <w:bCs/>
          <w:color w:val="000000"/>
          <w:sz w:val="24"/>
          <w:szCs w:val="24"/>
          <w:lang w:bidi="ar-SA"/>
        </w:rPr>
        <w:t>much</w:t>
      </w:r>
      <w:r w:rsidRPr="00B65257">
        <w:rPr>
          <w:rFonts w:ascii="Times New Roman" w:hAnsi="Times New Roman" w:cs="Times New Roman"/>
          <w:bCs/>
          <w:color w:val="000000" w:themeColor="text1"/>
          <w:sz w:val="24"/>
          <w:szCs w:val="24"/>
          <w:lang w:bidi="ar-SA"/>
        </w:rPr>
        <w:t xml:space="preserve"> lower</w:t>
      </w:r>
      <w:r w:rsidRPr="00B65257">
        <w:rPr>
          <w:rFonts w:ascii="Times New Roman" w:eastAsia="Calibri" w:hAnsi="Times New Roman" w:cs="Times New Roman"/>
          <w:bCs/>
          <w:color w:val="000000"/>
          <w:sz w:val="24"/>
          <w:szCs w:val="24"/>
          <w:lang w:bidi="ar-SA"/>
        </w:rPr>
        <w:t>,</w:t>
      </w:r>
      <w:r w:rsidRPr="00B65257">
        <w:rPr>
          <w:rFonts w:ascii="Times New Roman" w:hAnsi="Times New Roman" w:cs="Times New Roman"/>
          <w:bCs/>
          <w:color w:val="000000" w:themeColor="text1"/>
          <w:sz w:val="24"/>
          <w:szCs w:val="24"/>
          <w:lang w:bidi="ar-SA"/>
        </w:rPr>
        <w:t xml:space="preserve"> i.e.</w:t>
      </w:r>
      <w:r w:rsidRPr="00B65257">
        <w:rPr>
          <w:rFonts w:ascii="Times New Roman" w:eastAsia="Calibri" w:hAnsi="Times New Roman" w:cs="Times New Roman"/>
          <w:bCs/>
          <w:color w:val="000000"/>
          <w:sz w:val="24"/>
          <w:szCs w:val="24"/>
          <w:lang w:bidi="ar-SA"/>
        </w:rPr>
        <w:t>,</w:t>
      </w:r>
      <w:r w:rsidRPr="00B65257">
        <w:rPr>
          <w:rFonts w:ascii="Times New Roman" w:hAnsi="Times New Roman" w:cs="Times New Roman"/>
          <w:bCs/>
          <w:color w:val="000000" w:themeColor="text1"/>
          <w:sz w:val="24"/>
          <w:szCs w:val="24"/>
          <w:lang w:bidi="ar-SA"/>
        </w:rPr>
        <w:t xml:space="preserve"> 29.</w:t>
      </w:r>
      <w:r w:rsidRPr="00B65257">
        <w:rPr>
          <w:rFonts w:ascii="Times New Roman" w:eastAsia="Calibri" w:hAnsi="Times New Roman" w:cs="Times New Roman"/>
          <w:bCs/>
          <w:color w:val="000000"/>
          <w:sz w:val="24"/>
          <w:szCs w:val="24"/>
          <w:lang w:bidi="ar-SA"/>
        </w:rPr>
        <w:t>7%</w:t>
      </w:r>
      <w:r w:rsidRPr="00B65257">
        <w:rPr>
          <w:rFonts w:ascii="Times New Roman" w:hAnsi="Times New Roman" w:cs="Times New Roman"/>
          <w:bCs/>
          <w:color w:val="000000" w:themeColor="text1"/>
          <w:sz w:val="24"/>
          <w:szCs w:val="24"/>
          <w:lang w:bidi="ar-SA"/>
        </w:rPr>
        <w:t xml:space="preserve">. </w:t>
      </w:r>
      <w:r w:rsidRPr="00B65257">
        <w:rPr>
          <w:rFonts w:ascii="Times New Roman" w:hAnsi="Times New Roman" w:cs="Times New Roman"/>
          <w:color w:val="000000"/>
          <w:sz w:val="24"/>
          <w:szCs w:val="24"/>
          <w:lang w:bidi="ar-SA"/>
        </w:rPr>
        <w:t xml:space="preserve">However, in some of the studies in Nepal, </w:t>
      </w:r>
      <w:r w:rsidRPr="00B65257">
        <w:rPr>
          <w:rFonts w:ascii="Times New Roman" w:eastAsia="Calibri" w:hAnsi="Times New Roman" w:cs="Times New Roman"/>
          <w:color w:val="000000"/>
          <w:sz w:val="24"/>
          <w:szCs w:val="24"/>
          <w:lang w:bidi="ar-SA"/>
        </w:rPr>
        <w:t xml:space="preserve">a </w:t>
      </w:r>
      <w:r w:rsidRPr="00B65257">
        <w:rPr>
          <w:rFonts w:ascii="Times New Roman" w:hAnsi="Times New Roman" w:cs="Times New Roman"/>
          <w:color w:val="000000"/>
          <w:sz w:val="24"/>
          <w:szCs w:val="24"/>
          <w:lang w:bidi="ar-SA"/>
        </w:rPr>
        <w:t xml:space="preserve">high prevalence of </w:t>
      </w:r>
      <w:r w:rsidRPr="00B65257">
        <w:rPr>
          <w:rFonts w:ascii="Times New Roman" w:hAnsi="Times New Roman" w:cs="Times New Roman"/>
          <w:i/>
          <w:iCs/>
          <w:color w:val="000000"/>
          <w:sz w:val="24"/>
          <w:szCs w:val="24"/>
          <w:lang w:bidi="ar-SA"/>
        </w:rPr>
        <w:t>K.</w:t>
      </w:r>
      <w:r w:rsidRPr="00B65257">
        <w:rPr>
          <w:rFonts w:ascii="Times New Roman" w:hAnsi="Times New Roman" w:cs="Times New Roman"/>
          <w:i/>
          <w:iCs/>
          <w:sz w:val="24"/>
          <w:szCs w:val="24"/>
          <w:lang w:bidi="ar-SA"/>
        </w:rPr>
        <w:t xml:space="preserve"> pneumoniae </w:t>
      </w:r>
      <w:r w:rsidRPr="00B65257">
        <w:rPr>
          <w:rFonts w:ascii="Times New Roman" w:hAnsi="Times New Roman" w:cs="Times New Roman"/>
          <w:sz w:val="24"/>
          <w:szCs w:val="24"/>
          <w:lang w:bidi="ar-SA"/>
        </w:rPr>
        <w:t xml:space="preserve">has been </w:t>
      </w:r>
      <w:r w:rsidRPr="00B65257">
        <w:rPr>
          <w:rFonts w:ascii="Times New Roman" w:eastAsia="Calibri" w:hAnsi="Times New Roman" w:cs="Times New Roman"/>
          <w:sz w:val="24"/>
          <w:szCs w:val="24"/>
          <w:lang w:bidi="ar-SA"/>
        </w:rPr>
        <w:t>reported</w:t>
      </w:r>
      <w:r w:rsidRPr="00B65257">
        <w:rPr>
          <w:rFonts w:ascii="Times New Roman" w:hAnsi="Times New Roman" w:cs="Times New Roman"/>
          <w:sz w:val="24"/>
          <w:szCs w:val="24"/>
          <w:lang w:bidi="ar-SA"/>
        </w:rPr>
        <w:t xml:space="preserve">, with pathogen MDR patterns reaching 64%, which is an alarming scenario </w:t>
      </w:r>
      <w:r w:rsidRPr="00B65257">
        <w:rPr>
          <w:rFonts w:ascii="Times New Roman" w:hAnsi="Times New Roman" w:cs="Times New Roman"/>
          <w:sz w:val="24"/>
          <w:szCs w:val="24"/>
          <w:lang w:bidi="ar-SA"/>
        </w:rPr>
        <w:fldChar w:fldCharType="begin" w:fldLock="1"/>
      </w:r>
      <w:r w:rsidR="005E66B9" w:rsidRPr="00B65257">
        <w:rPr>
          <w:rFonts w:ascii="Times New Roman" w:hAnsi="Times New Roman" w:cs="Times New Roman"/>
          <w:sz w:val="24"/>
          <w:szCs w:val="24"/>
          <w:lang w:bidi="ar-SA"/>
        </w:rPr>
        <w:instrText>ADDIN CSL_CITATION {"citationItems":[{"id":"ITEM-1","itemData":{"DOI":"10.1155/2022/5309350","ISSN":"16879694","abstract":"Background. Multidrug-resistant Klebsiella pneumoniae (MDR-KP) are becoming increasingly common over the world. The focus of this research was to get a quantitative assessment of K. pneumoniae and their multidrug resistance (MDR) profile in Nepal. Methods. Three electronic databases: PubMed, Google Scholar, and Research4Life were used to search publications specifying K. pneumoniae infections and/or their MDR status from January 2015 to October 2021. Preferred Reporting Items for Systematic Reviews and Meta-Analysis (PRISMA) guidelines was followed for the review, and R language 4.1.1 was used for analysis. Depending upon heterogeneity of data, we used random model for pooled data to examine the prevalence of the organism and the multidrug resistance. Results. Evaluation included 16 studies, and the pooled estimation of K. pneumoniae in total clinical samples was 3% (95% CI; 0.01-0.05). In the meta-analysis, 14 studies were combined for determining the prevalence of K. pneumoniae in total positive clinical isolates which was 16% (95% CI: 0.11-0.20), while from 12 research studies, MDR status in the pathogen was found to be 64% (95% CI, 0.53-0.74). Conclusion. The MDR status of K. pneumoniae as well as the prevalence of the bacteria in Nepal was analyzed which showed alarming situation about administration of antibiotics and indicated choosing and developing reliable antibiotic strategies.","author":[{"dropping-particle":"","family":"Odari","given":"Ranjeeta","non-dropping-particle":"","parse-names":false,"suffix":""},{"dropping-particle":"","family":"Dawadi","given":"Prabin","non-dropping-particle":"","parse-names":false,"suffix":""}],"container-title":"Journal of Tropical Medicine","id":"ITEM-1","issued":{"date-parts":[["2022"]]},"publisher":"Hindawi Limited","title":"Prevalence of Multidrug-Resistant Klebsiella pneumoniae Clinical Isolates in Nepal","type":"article","volume":"2022"},"uris":["http://www.mendeley.com/documents/?uuid=fb29fc4a-f9ba-3c43-9f29-481fd4bd301a"]}],"mendeley":{"formattedCitation":"(32)","plainTextFormattedCitation":"(32)","previouslyFormattedCitation":"(32)"},"properties":{"noteIndex":0},"schema":"https://github.com/citation-style-language/schema/raw/master/csl-citation.json"}</w:instrText>
      </w:r>
      <w:r w:rsidRPr="00B65257">
        <w:rPr>
          <w:rFonts w:ascii="Times New Roman" w:hAnsi="Times New Roman" w:cs="Times New Roman"/>
          <w:sz w:val="24"/>
          <w:szCs w:val="24"/>
          <w:lang w:bidi="ar-SA"/>
        </w:rPr>
        <w:fldChar w:fldCharType="separate"/>
      </w:r>
      <w:r w:rsidR="005E66B9" w:rsidRPr="00B65257">
        <w:rPr>
          <w:rFonts w:ascii="Times New Roman" w:hAnsi="Times New Roman" w:cs="Times New Roman"/>
          <w:noProof/>
          <w:sz w:val="24"/>
          <w:szCs w:val="24"/>
          <w:lang w:bidi="ar-SA"/>
        </w:rPr>
        <w:t>(32)</w:t>
      </w:r>
      <w:r w:rsidRPr="00B65257">
        <w:rPr>
          <w:rFonts w:ascii="Times New Roman" w:hAnsi="Times New Roman" w:cs="Times New Roman"/>
          <w:sz w:val="24"/>
          <w:szCs w:val="24"/>
          <w:lang w:bidi="ar-SA"/>
        </w:rPr>
        <w:fldChar w:fldCharType="end"/>
      </w:r>
      <w:r w:rsidRPr="00B65257">
        <w:rPr>
          <w:rFonts w:ascii="Times New Roman" w:hAnsi="Times New Roman" w:cs="Times New Roman"/>
          <w:color w:val="000000"/>
          <w:sz w:val="24"/>
          <w:szCs w:val="24"/>
          <w:lang w:bidi="ar-SA"/>
        </w:rPr>
        <w:t>.</w:t>
      </w:r>
      <w:r w:rsidRPr="00B65257">
        <w:rPr>
          <w:rFonts w:ascii="Times New Roman" w:eastAsia="Calibri" w:hAnsi="Times New Roman" w:cs="Times New Roman"/>
          <w:sz w:val="24"/>
          <w:szCs w:val="24"/>
        </w:rPr>
        <w:t xml:space="preserve"> Therefore</w:t>
      </w:r>
      <w:r w:rsidRPr="00B65257">
        <w:rPr>
          <w:rFonts w:ascii="Times New Roman" w:hAnsi="Times New Roman" w:cs="Times New Roman"/>
          <w:sz w:val="24"/>
          <w:szCs w:val="24"/>
        </w:rPr>
        <w:t xml:space="preserve">, the concerned authorities must remain cautious to prevent worsening of the present situation of AMR. In </w:t>
      </w:r>
      <w:r w:rsidRPr="00B65257">
        <w:rPr>
          <w:rFonts w:ascii="Times New Roman" w:hAnsi="Times New Roman" w:cs="Times New Roman"/>
          <w:i/>
          <w:iCs/>
          <w:sz w:val="24"/>
          <w:szCs w:val="24"/>
        </w:rPr>
        <w:t>K. pneumoniae</w:t>
      </w:r>
      <w:r w:rsidRPr="00B65257">
        <w:rPr>
          <w:rFonts w:ascii="Times New Roman" w:eastAsia="Calibri" w:hAnsi="Times New Roman" w:cs="Times New Roman"/>
          <w:i/>
          <w:iCs/>
          <w:sz w:val="24"/>
          <w:szCs w:val="24"/>
        </w:rPr>
        <w:t>,</w:t>
      </w:r>
      <w:r w:rsidRPr="00B65257">
        <w:rPr>
          <w:rFonts w:ascii="Times New Roman" w:hAnsi="Times New Roman" w:cs="Times New Roman"/>
          <w:i/>
          <w:iCs/>
          <w:sz w:val="24"/>
          <w:szCs w:val="24"/>
        </w:rPr>
        <w:t xml:space="preserve"> </w:t>
      </w:r>
      <w:r w:rsidRPr="00B65257">
        <w:rPr>
          <w:rFonts w:ascii="Times New Roman" w:hAnsi="Times New Roman" w:cs="Times New Roman"/>
          <w:sz w:val="24"/>
          <w:szCs w:val="24"/>
        </w:rPr>
        <w:t>resistance</w:t>
      </w:r>
      <w:r w:rsidRPr="00B65257">
        <w:rPr>
          <w:rFonts w:ascii="Times New Roman" w:hAnsi="Times New Roman" w:cs="Times New Roman"/>
          <w:i/>
          <w:iCs/>
          <w:sz w:val="24"/>
          <w:szCs w:val="24"/>
        </w:rPr>
        <w:t xml:space="preserve"> </w:t>
      </w:r>
      <w:r w:rsidRPr="00B65257">
        <w:rPr>
          <w:rFonts w:ascii="Times New Roman" w:eastAsia="Calibri" w:hAnsi="Times New Roman" w:cs="Times New Roman"/>
          <w:sz w:val="24"/>
          <w:szCs w:val="24"/>
        </w:rPr>
        <w:t>to</w:t>
      </w:r>
      <w:r w:rsidRPr="00B65257">
        <w:rPr>
          <w:rFonts w:ascii="Times New Roman" w:hAnsi="Times New Roman" w:cs="Times New Roman"/>
          <w:sz w:val="24"/>
          <w:szCs w:val="24"/>
        </w:rPr>
        <w:t xml:space="preserve"> multiple drugs</w:t>
      </w:r>
      <w:r w:rsidRPr="00B65257">
        <w:rPr>
          <w:rFonts w:ascii="Times New Roman" w:hAnsi="Times New Roman" w:cs="Times New Roman"/>
          <w:i/>
          <w:iCs/>
          <w:sz w:val="24"/>
          <w:szCs w:val="24"/>
        </w:rPr>
        <w:t xml:space="preserve"> </w:t>
      </w:r>
      <w:r w:rsidRPr="00B65257">
        <w:rPr>
          <w:rFonts w:ascii="Times New Roman" w:hAnsi="Times New Roman" w:cs="Times New Roman"/>
          <w:sz w:val="24"/>
          <w:szCs w:val="24"/>
        </w:rPr>
        <w:t xml:space="preserve">is due to the possession and production of various resistance and virulence genes, integrons, </w:t>
      </w:r>
      <w:r w:rsidRPr="00B65257">
        <w:rPr>
          <w:rFonts w:ascii="Times New Roman" w:eastAsia="Calibri" w:hAnsi="Times New Roman" w:cs="Times New Roman"/>
          <w:sz w:val="24"/>
          <w:szCs w:val="24"/>
        </w:rPr>
        <w:t xml:space="preserve">the </w:t>
      </w:r>
      <w:r w:rsidRPr="00B65257">
        <w:rPr>
          <w:rFonts w:ascii="Times New Roman" w:hAnsi="Times New Roman" w:cs="Times New Roman"/>
          <w:sz w:val="24"/>
          <w:szCs w:val="24"/>
        </w:rPr>
        <w:t xml:space="preserve">synthesis of toxins and </w:t>
      </w:r>
      <w:r w:rsidRPr="00B65257">
        <w:rPr>
          <w:rFonts w:ascii="Times New Roman" w:eastAsia="Calibri" w:hAnsi="Times New Roman" w:cs="Times New Roman"/>
          <w:sz w:val="24"/>
          <w:szCs w:val="24"/>
        </w:rPr>
        <w:t xml:space="preserve">the </w:t>
      </w:r>
      <w:r w:rsidRPr="00B65257">
        <w:rPr>
          <w:rFonts w:ascii="Times New Roman" w:hAnsi="Times New Roman" w:cs="Times New Roman"/>
          <w:sz w:val="24"/>
          <w:szCs w:val="24"/>
        </w:rPr>
        <w:t>mechanism of efflux pumps (Firoozeh et al., 2019; Li et al., 2013;</w:t>
      </w:r>
      <w:r w:rsidRPr="00B65257">
        <w:rPr>
          <w:rFonts w:ascii="Times New Roman" w:hAnsi="Times New Roman" w:cs="Times New Roman"/>
          <w:color w:val="000000"/>
          <w:sz w:val="24"/>
          <w:szCs w:val="24"/>
          <w:shd w:val="clear" w:color="auto" w:fill="FFFFFF"/>
          <w:lang w:bidi="ar-SA"/>
        </w:rPr>
        <w:t xml:space="preserve"> Dehnamaki et al., 2020</w:t>
      </w:r>
      <w:r w:rsidRPr="00B65257">
        <w:rPr>
          <w:rFonts w:ascii="Times New Roman" w:hAnsi="Times New Roman" w:cs="Times New Roman"/>
          <w:sz w:val="24"/>
          <w:szCs w:val="24"/>
        </w:rPr>
        <w:t>).</w:t>
      </w:r>
      <w:r w:rsidRPr="00B65257">
        <w:rPr>
          <w:rFonts w:ascii="Times New Roman" w:hAnsi="Times New Roman" w:cs="Times New Roman"/>
          <w:szCs w:val="22"/>
          <w:lang w:bidi="ar-SA"/>
        </w:rPr>
        <w:t xml:space="preserve"> </w:t>
      </w:r>
      <w:r w:rsidRPr="00B65257">
        <w:rPr>
          <w:rFonts w:ascii="Times New Roman" w:eastAsia="Calibri" w:hAnsi="Times New Roman" w:cs="Times New Roman"/>
          <w:szCs w:val="22"/>
          <w:lang w:bidi="ar-SA"/>
        </w:rPr>
        <w:t>Additionally</w:t>
      </w:r>
      <w:r w:rsidRPr="00B65257">
        <w:rPr>
          <w:rFonts w:ascii="Times New Roman" w:hAnsi="Times New Roman" w:cs="Times New Roman"/>
          <w:szCs w:val="22"/>
          <w:lang w:bidi="ar-SA"/>
        </w:rPr>
        <w:t>, the r</w:t>
      </w:r>
      <w:r w:rsidRPr="00B65257">
        <w:rPr>
          <w:rFonts w:ascii="Times New Roman" w:hAnsi="Times New Roman" w:cs="Times New Roman"/>
          <w:sz w:val="24"/>
          <w:szCs w:val="24"/>
        </w:rPr>
        <w:t xml:space="preserve">educed permeability of bacterial membranes and </w:t>
      </w:r>
      <w:r w:rsidRPr="00B65257">
        <w:rPr>
          <w:rFonts w:ascii="Times New Roman" w:eastAsia="Calibri" w:hAnsi="Times New Roman" w:cs="Times New Roman"/>
          <w:sz w:val="24"/>
          <w:szCs w:val="24"/>
        </w:rPr>
        <w:t>the</w:t>
      </w:r>
      <w:r w:rsidRPr="00B65257">
        <w:rPr>
          <w:rFonts w:ascii="Times New Roman" w:hAnsi="Times New Roman" w:cs="Times New Roman"/>
          <w:sz w:val="24"/>
          <w:szCs w:val="24"/>
        </w:rPr>
        <w:t xml:space="preserve"> overexpression of multidrug efflux pumps alone </w:t>
      </w:r>
      <w:r w:rsidRPr="00B65257">
        <w:rPr>
          <w:rFonts w:ascii="Times New Roman" w:eastAsia="Calibri" w:hAnsi="Times New Roman" w:cs="Times New Roman"/>
          <w:sz w:val="24"/>
          <w:szCs w:val="24"/>
        </w:rPr>
        <w:t>have the</w:t>
      </w:r>
      <w:r w:rsidRPr="00B65257">
        <w:rPr>
          <w:rFonts w:ascii="Times New Roman" w:hAnsi="Times New Roman" w:cs="Times New Roman"/>
          <w:sz w:val="24"/>
          <w:szCs w:val="24"/>
        </w:rPr>
        <w:t xml:space="preserve"> ability to cause MDR </w:t>
      </w:r>
      <w:r w:rsidRPr="00B65257">
        <w:rPr>
          <w:rFonts w:ascii="Times New Roman" w:hAnsi="Times New Roman" w:cs="Times New Roman"/>
          <w:sz w:val="24"/>
          <w:szCs w:val="24"/>
        </w:rPr>
        <w:fldChar w:fldCharType="begin" w:fldLock="1"/>
      </w:r>
      <w:r w:rsidR="005E66B9" w:rsidRPr="00B65257">
        <w:rPr>
          <w:rFonts w:ascii="Times New Roman" w:hAnsi="Times New Roman" w:cs="Times New Roman"/>
          <w:sz w:val="24"/>
          <w:szCs w:val="24"/>
        </w:rPr>
        <w:instrText>ADDIN CSL_CITATION {"citationItems":[{"id":"ITEM-1","itemData":{"DOI":"10.3390/antibiotics10070774","ISSN":"20796382","abstract":"The rise in multidrug resistance (MDR) is one of the greatest threats to human health worldwide. MDR in bacterial pathogens is a major challenge in healthcare, as bacterial infections are becoming untreatable by commercially available antibiotics. One of the main causes of MDR is the over-expression of intrinsic and acquired multidrug efflux pumps, belonging to the resistance-nodulation-division (RND) superfamily, which can efflux a wide range of structurally different antibiotics. Besides over-expression, however, recent amino acid substitutions within the pumps themselves—causing an increased drug efflux efficiency—are causing additional worry. In this review, we take a closer look at clinically, environmentally and laboratory-evolved Gram-negative bacterial strains and their decreased drug sensitivity as a result of mutations directly in the RND-type pumps themselves (from Escherichia coli, Salmonella enterica, Neisseria gonorrhoeae, Pseudomonas aeruginosa, Acinetobacter baumannii and Legionella pneumophila). We also focus on the evolution of the efflux pumps by comparing hundreds of efflux pumps to determine where conservation is concentrated and where differences in amino acids can shed light on the broad and even broadening drug recognition. Knowledge of conservation, as well as of novel gain-of-function efflux pump mutations, is essential for the development of novel antibiotics and efflux pump inhibitors.","author":[{"dropping-particle":"","family":"Zwama","given":"Martijn","non-dropping-particle":"","parse-names":false,"suffix":""},{"dropping-particle":"","family":"Nishino","given":"Kunihiko","non-dropping-particle":"","parse-names":false,"suffix":""}],"container-title":"Antibiotics","id":"ITEM-1","issue":"7","issued":{"date-parts":[["2021"]]},"page":"1-32","title":"Ever-adapting rnd efflux pumps in gram-negative multidrug-resistant pathogens: A race against time","type":"article-journal","volume":"10"},"uris":["http://www.mendeley.com/documents/?uuid=e0b23cfa-bb46-428d-a49c-d2ccf95be8e6"]}],"mendeley":{"formattedCitation":"(33)","plainTextFormattedCitation":"(33)","previouslyFormattedCitation":"(33)"},"properties":{"noteIndex":0},"schema":"https://github.com/citation-style-language/schema/raw/master/csl-citation.json"}</w:instrText>
      </w:r>
      <w:r w:rsidRPr="00B65257">
        <w:rPr>
          <w:rFonts w:ascii="Times New Roman" w:hAnsi="Times New Roman" w:cs="Times New Roman"/>
          <w:sz w:val="24"/>
          <w:szCs w:val="24"/>
        </w:rPr>
        <w:fldChar w:fldCharType="separate"/>
      </w:r>
      <w:r w:rsidR="005E66B9" w:rsidRPr="00B65257">
        <w:rPr>
          <w:rFonts w:ascii="Times New Roman" w:hAnsi="Times New Roman" w:cs="Times New Roman"/>
          <w:noProof/>
          <w:sz w:val="24"/>
          <w:szCs w:val="24"/>
        </w:rPr>
        <w:t>(33)</w:t>
      </w:r>
      <w:r w:rsidRPr="00B65257">
        <w:rPr>
          <w:rFonts w:ascii="Times New Roman" w:hAnsi="Times New Roman" w:cs="Times New Roman"/>
          <w:sz w:val="24"/>
          <w:szCs w:val="24"/>
        </w:rPr>
        <w:fldChar w:fldCharType="end"/>
      </w:r>
      <w:r w:rsidRPr="00B65257">
        <w:rPr>
          <w:rFonts w:ascii="Times New Roman" w:hAnsi="Times New Roman" w:cs="Times New Roman"/>
          <w:sz w:val="24"/>
          <w:szCs w:val="24"/>
        </w:rPr>
        <w:t xml:space="preserve">. </w:t>
      </w:r>
      <w:r w:rsidRPr="00B65257">
        <w:rPr>
          <w:rFonts w:ascii="Times New Roman" w:eastAsia="Calibri" w:hAnsi="Times New Roman" w:cs="Times New Roman"/>
          <w:sz w:val="24"/>
          <w:szCs w:val="24"/>
        </w:rPr>
        <w:t>Owing</w:t>
      </w:r>
      <w:r w:rsidRPr="00B65257">
        <w:rPr>
          <w:rFonts w:ascii="Times New Roman" w:hAnsi="Times New Roman" w:cs="Times New Roman"/>
          <w:sz w:val="24"/>
          <w:szCs w:val="24"/>
        </w:rPr>
        <w:t xml:space="preserve"> to </w:t>
      </w:r>
      <w:r w:rsidRPr="00B65257">
        <w:rPr>
          <w:rFonts w:ascii="Times New Roman" w:eastAsia="Calibri" w:hAnsi="Times New Roman" w:cs="Times New Roman"/>
          <w:sz w:val="24"/>
          <w:szCs w:val="24"/>
        </w:rPr>
        <w:t>the increasing</w:t>
      </w:r>
      <w:r w:rsidRPr="00B65257">
        <w:rPr>
          <w:rFonts w:ascii="Times New Roman" w:hAnsi="Times New Roman" w:cs="Times New Roman"/>
          <w:sz w:val="24"/>
          <w:szCs w:val="24"/>
        </w:rPr>
        <w:t xml:space="preserve"> prevalence of such resistant strains causing infections, the efficacy of existing antibiotics is declining. </w:t>
      </w:r>
      <w:r w:rsidRPr="00B65257">
        <w:rPr>
          <w:rFonts w:ascii="Times New Roman" w:eastAsia="Calibri" w:hAnsi="Times New Roman" w:cs="Times New Roman"/>
          <w:sz w:val="24"/>
          <w:szCs w:val="24"/>
        </w:rPr>
        <w:t>The therapeutic options</w:t>
      </w:r>
      <w:r w:rsidRPr="00B65257">
        <w:rPr>
          <w:rFonts w:ascii="Times New Roman" w:hAnsi="Times New Roman" w:cs="Times New Roman"/>
          <w:sz w:val="24"/>
          <w:szCs w:val="24"/>
        </w:rPr>
        <w:t xml:space="preserve"> for antibiotic-resistant organisms are notably </w:t>
      </w:r>
      <w:r w:rsidRPr="00B65257">
        <w:rPr>
          <w:rFonts w:ascii="Times New Roman" w:eastAsia="Calibri" w:hAnsi="Times New Roman" w:cs="Times New Roman"/>
          <w:sz w:val="24"/>
          <w:szCs w:val="24"/>
        </w:rPr>
        <w:t>limited</w:t>
      </w:r>
      <w:r w:rsidRPr="00B65257">
        <w:rPr>
          <w:rFonts w:ascii="Times New Roman" w:hAnsi="Times New Roman" w:cs="Times New Roman"/>
          <w:sz w:val="24"/>
          <w:szCs w:val="24"/>
        </w:rPr>
        <w:t xml:space="preserve">, given that these organisms frequently exhibit a multidrug-resistant phenotype </w:t>
      </w:r>
      <w:r w:rsidRPr="00B65257">
        <w:rPr>
          <w:rFonts w:ascii="Times New Roman" w:hAnsi="Times New Roman" w:cs="Times New Roman"/>
          <w:sz w:val="24"/>
          <w:szCs w:val="24"/>
        </w:rPr>
        <w:fldChar w:fldCharType="begin" w:fldLock="1"/>
      </w:r>
      <w:r w:rsidR="005E66B9" w:rsidRPr="00B65257">
        <w:rPr>
          <w:rFonts w:ascii="Times New Roman" w:hAnsi="Times New Roman" w:cs="Times New Roman"/>
          <w:sz w:val="24"/>
          <w:szCs w:val="24"/>
        </w:rPr>
        <w:instrText>ADDIN CSL_CITATION {"citationItems":[{"id":"ITEM-1","itemData":{"DOI":"10.18054/pb.2016.118.1.3160","ISSN":"00315362","abstract":"Background and Purpose: Klebsiella pneumoniae and Klebsiella oxytoca are the two most common pathogens causing nosocomial infections in humans and are of great concern for developing multidrug resistance. In the present study, K. pneumoniae and K. oxytoca from clinical samples were evaluated for their antibiotic sensitivity patterns against commonly used antibiotics and production of extended-spectrum beta-lactamase (ESBL). Materials and Methods: The isolates were obtained from tracheal swabs, sputum, wound swabs, pus, blood and urine samples of hospitalized patients. Klebsiella pneumoniae and Klebsiella oxytoca were identified by cultural and biochemical methods. Antibiotic sensitivity test was performed by modified Kirby-Bauer disc diffusion technique. ESBL production in Klebsiella spp. was confirmed by double disc synergy test. Results and Conclusion: Out of 500 clinical isolates, 120 were found positive for Klebsiella among which 108 were K. pneumoniae and 12 were K. oxytoca based on indole test. Prevalence rate of Klebsiella was found more prominent in males aged over 50 years, mostly in urine samples. Overall resistance pattern of Klebsiella isolates to Ampicillin, Amoxicillin, Ceftriaxone, Ciprofloxacin, Co-trimoxazole, Gentamicin, Nalidixic acid, Tetracycline was 100%, 90%, 45%, 40%, 45%, 25%, 50%, 35% respectively. Multidrug resistance was found more common in K. pneumoniae (56%) than in K. oxytoca (50%). Prevalence rate of ESBL producing Klebsiella was found 45% among which K. pneumoniae (50%) were found more prominent than K. oxytoca (25%). All the ESBL producing Klebsiella isolates were found to be multidrug resistant, showing 100% resistance to Ampicillin, Amoxicillin, Ceftriaxone and Ciprofloxacin.","author":[{"dropping-particle":"","family":"Chakraborty","given":"Sourav","non-dropping-particle":"","parse-names":false,"suffix":""},{"dropping-particle":"","family":"Mohsina","given":"Kaniz","non-dropping-particle":"","parse-names":false,"suffix":""},{"dropping-particle":"","family":"Sarker","given":"Palash Kumar","non-dropping-particle":"","parse-names":false,"suffix":""},{"dropping-particle":"","family":"Zahangir Alam","given":"Md","non-dropping-particle":"","parse-names":false,"suffix":""},{"dropping-particle":"","family":"Abdul Karim","given":"M. Ismail","non-dropping-particle":"","parse-names":false,"suffix":""},{"dropping-particle":"","family":"Abu Sayem","given":"S. M.","non-dropping-particle":"","parse-names":false,"suffix":""}],"container-title":"Periodicum Biologorum","id":"ITEM-1","issue":"1","issued":{"date-parts":[["2016"]]},"page":"53-58","title":"Prevalence, antibiotic susceptibility profiles and ESBL production in Klebsiella pneumoniae and Klebsiella oxytoca among hospitalized patients","type":"article-journal","volume":"118"},"uris":["http://www.mendeley.com/documents/?uuid=0842eb39-13b3-418e-aa48-787a042e697a"]}],"mendeley":{"formattedCitation":"(34)","plainTextFormattedCitation":"(34)","previouslyFormattedCitation":"(34)"},"properties":{"noteIndex":0},"schema":"https://github.com/citation-style-language/schema/raw/master/csl-citation.json"}</w:instrText>
      </w:r>
      <w:r w:rsidRPr="00B65257">
        <w:rPr>
          <w:rFonts w:ascii="Times New Roman" w:hAnsi="Times New Roman" w:cs="Times New Roman"/>
          <w:sz w:val="24"/>
          <w:szCs w:val="24"/>
        </w:rPr>
        <w:fldChar w:fldCharType="separate"/>
      </w:r>
      <w:r w:rsidR="005E66B9" w:rsidRPr="00B65257">
        <w:rPr>
          <w:rFonts w:ascii="Times New Roman" w:hAnsi="Times New Roman" w:cs="Times New Roman"/>
          <w:noProof/>
          <w:sz w:val="24"/>
          <w:szCs w:val="24"/>
        </w:rPr>
        <w:t>(34)</w:t>
      </w:r>
      <w:r w:rsidRPr="00B65257">
        <w:rPr>
          <w:rFonts w:ascii="Times New Roman" w:hAnsi="Times New Roman" w:cs="Times New Roman"/>
          <w:sz w:val="24"/>
          <w:szCs w:val="24"/>
        </w:rPr>
        <w:fldChar w:fldCharType="end"/>
      </w:r>
      <w:r w:rsidRPr="00B65257">
        <w:rPr>
          <w:rFonts w:ascii="Times New Roman" w:hAnsi="Times New Roman" w:cs="Times New Roman"/>
          <w:sz w:val="24"/>
          <w:szCs w:val="24"/>
          <w:lang w:bidi="ar-SA"/>
        </w:rPr>
        <w:t xml:space="preserve">. </w:t>
      </w:r>
      <w:r w:rsidRPr="00B65257">
        <w:rPr>
          <w:rFonts w:ascii="Times New Roman" w:eastAsia="Calibri" w:hAnsi="Times New Roman" w:cs="Times New Roman"/>
          <w:sz w:val="24"/>
          <w:szCs w:val="24"/>
          <w:lang w:bidi="ar-SA"/>
        </w:rPr>
        <w:t>Therefore</w:t>
      </w:r>
      <w:r w:rsidRPr="00B65257">
        <w:rPr>
          <w:rFonts w:ascii="Times New Roman" w:hAnsi="Times New Roman" w:cs="Times New Roman"/>
          <w:sz w:val="24"/>
          <w:szCs w:val="24"/>
          <w:lang w:bidi="ar-SA"/>
        </w:rPr>
        <w:t>, combination therapy with different antibiotics</w:t>
      </w:r>
      <w:r w:rsidRPr="00B65257">
        <w:rPr>
          <w:rFonts w:ascii="Times New Roman" w:eastAsia="Calibri" w:hAnsi="Times New Roman" w:cs="Times New Roman"/>
          <w:sz w:val="24"/>
          <w:szCs w:val="24"/>
          <w:lang w:bidi="ar-SA"/>
        </w:rPr>
        <w:t>, such as</w:t>
      </w:r>
      <w:r w:rsidRPr="00B65257">
        <w:rPr>
          <w:rFonts w:ascii="Times New Roman" w:hAnsi="Times New Roman" w:cs="Times New Roman"/>
          <w:sz w:val="24"/>
          <w:szCs w:val="24"/>
          <w:lang w:bidi="ar-SA"/>
        </w:rPr>
        <w:t xml:space="preserve"> carbapenems, tetracyclines, polymyxins, and fosfomycin</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is commonly recommended to delay resistance in </w:t>
      </w:r>
      <w:r w:rsidRPr="00B65257">
        <w:rPr>
          <w:rFonts w:ascii="Times New Roman" w:hAnsi="Times New Roman" w:cs="Times New Roman"/>
          <w:i/>
          <w:iCs/>
          <w:sz w:val="24"/>
          <w:szCs w:val="24"/>
          <w:lang w:bidi="ar-SA"/>
        </w:rPr>
        <w:t>K. pneumoniae</w:t>
      </w:r>
      <w:r w:rsidRPr="00B65257">
        <w:rPr>
          <w:rFonts w:ascii="Times New Roman" w:hAnsi="Times New Roman" w:cs="Times New Roman"/>
          <w:sz w:val="24"/>
          <w:szCs w:val="24"/>
          <w:lang w:bidi="ar-SA"/>
        </w:rPr>
        <w:t xml:space="preserve"> due to increasing AMR and CRKP cases </w:t>
      </w:r>
      <w:r w:rsidRPr="00B65257">
        <w:rPr>
          <w:rFonts w:ascii="Times New Roman" w:hAnsi="Times New Roman" w:cs="Times New Roman"/>
          <w:sz w:val="24"/>
          <w:szCs w:val="24"/>
          <w:lang w:bidi="ar-SA"/>
        </w:rPr>
        <w:fldChar w:fldCharType="begin" w:fldLock="1"/>
      </w:r>
      <w:r w:rsidR="005E66B9" w:rsidRPr="00B65257">
        <w:rPr>
          <w:rFonts w:ascii="Times New Roman" w:hAnsi="Times New Roman" w:cs="Times New Roman"/>
          <w:sz w:val="24"/>
          <w:szCs w:val="24"/>
          <w:lang w:bidi="ar-SA"/>
        </w:rPr>
        <w:instrText>ADDIN CSL_CITATION {"citationItems":[{"id":"ITEM-1","itemData":{"DOI":"10.1515/med-2023-0707","ISSN":"23915463","abstract":"Klebsiella pneumoniae is an important multidrug-resistant (MDR) pathogen that can cause a range of infections in hospitalized patients. With the growing use of antibiotics, MDR K. pneumoniae is more prevalent, posing additional difficulties and obstacles in clinical therapy. To provide a valuable reference to deeply understand K. pneumoniae, and also to provide the theoretical basis for clinical prevention of such bacteria infections, the antibiotic resistance and mechanism of K. pneumoniae are discussed in this article. We conducted a literature review on antibiotic resistance of K. pneumoniae. We ran a thorough literature search of PubMed, Web of Science, and Scopus, among other databases. We also thoroughly searched the literature listed in the papers. We searched all antibiotic resistance mechanisms and genes of seven important antibiotics used to treat K. pneumoniae infections. Antibiotics such as β-lactams, aminoglycosides, and quinolones are used in the treatment of K. pneumoniae infection. With both chromosomal and plasmid-encoded ARGs, this pathogen has diverse resistance genes. Carbapenem resistance genes, enlarged-spectrum β-lactamase genes, and AmpC genes are the most often β-lactamase resistance genes. K. pneumoniae is a major contributor to antibiotic resistance worldwide. Understanding K. pneumoniae antibiotic resistance mechanisms and molecular characteristics will be important for the design of targeted prevention and novel control strategies against this pathogen.","author":[{"dropping-particle":"","family":"Li","given":"Yanping","non-dropping-particle":"","parse-names":false,"suffix":""},{"dropping-particle":"","family":"Kumar","given":"Suresh","non-dropping-particle":"","parse-names":false,"suffix":""},{"dropping-particle":"","family":"Zhang","given":"Lihu","non-dropping-particle":"","parse-names":false,"suffix":""},{"dropping-particle":"","family":"Wu","given":"Hongjie","non-dropping-particle":"","parse-names":false,"suffix":""},{"dropping-particle":"","family":"Wu","given":"Hongyan","non-dropping-particle":"","parse-names":false,"suffix":""}],"container-title":"Open Medicine (Poland)","id":"ITEM-1","issue":"1","issued":{"date-parts":[["2023"]]},"page":"1-12","title":"Characteristics of antibiotic resistance mechanisms and genes of Klebsiella pneumoniae","type":"article-journal","volume":"18"},"uris":["http://www.mendeley.com/documents/?uuid=6904b6e0-77e5-4b87-bc2e-2d4b1f616b0e"]}],"mendeley":{"formattedCitation":"(35)","plainTextFormattedCitation":"(35)","previouslyFormattedCitation":"(35)"},"properties":{"noteIndex":0},"schema":"https://github.com/citation-style-language/schema/raw/master/csl-citation.json"}</w:instrText>
      </w:r>
      <w:r w:rsidRPr="00B65257">
        <w:rPr>
          <w:rFonts w:ascii="Times New Roman" w:hAnsi="Times New Roman" w:cs="Times New Roman"/>
          <w:sz w:val="24"/>
          <w:szCs w:val="24"/>
          <w:lang w:bidi="ar-SA"/>
        </w:rPr>
        <w:fldChar w:fldCharType="separate"/>
      </w:r>
      <w:r w:rsidR="005E66B9" w:rsidRPr="00B65257">
        <w:rPr>
          <w:rFonts w:ascii="Times New Roman" w:hAnsi="Times New Roman" w:cs="Times New Roman"/>
          <w:noProof/>
          <w:sz w:val="24"/>
          <w:szCs w:val="24"/>
          <w:lang w:bidi="ar-SA"/>
        </w:rPr>
        <w:t>(35)</w:t>
      </w:r>
      <w:r w:rsidRPr="00B65257">
        <w:rPr>
          <w:rFonts w:ascii="Times New Roman" w:hAnsi="Times New Roman" w:cs="Times New Roman"/>
          <w:sz w:val="24"/>
          <w:szCs w:val="24"/>
          <w:lang w:bidi="ar-SA"/>
        </w:rPr>
        <w:fldChar w:fldCharType="end"/>
      </w:r>
      <w:r w:rsidRPr="00B65257">
        <w:rPr>
          <w:rFonts w:ascii="Times New Roman" w:hAnsi="Times New Roman" w:cs="Times New Roman"/>
          <w:sz w:val="24"/>
          <w:szCs w:val="24"/>
          <w:lang w:bidi="ar-SA"/>
        </w:rPr>
        <w:t>.</w:t>
      </w:r>
    </w:p>
    <w:p w:rsidR="00F068DB" w:rsidRPr="00B65257" w:rsidRDefault="00595131" w:rsidP="00F068DB">
      <w:pPr>
        <w:tabs>
          <w:tab w:val="left" w:pos="2100"/>
        </w:tabs>
        <w:spacing w:line="360" w:lineRule="auto"/>
        <w:jc w:val="both"/>
        <w:rPr>
          <w:rFonts w:ascii="Times New Roman" w:hAnsi="Times New Roman" w:cs="Times New Roman"/>
          <w:sz w:val="24"/>
          <w:szCs w:val="24"/>
          <w:lang w:bidi="ar-SA"/>
        </w:rPr>
      </w:pPr>
      <w:r w:rsidRPr="00B65257">
        <w:rPr>
          <w:rFonts w:ascii="Times New Roman" w:eastAsia="Times New Roman" w:hAnsi="Times New Roman" w:cs="Times New Roman"/>
          <w:sz w:val="24"/>
          <w:szCs w:val="24"/>
        </w:rPr>
        <w:t xml:space="preserve">Carbapenem resistance remains a critical issue, with 56% (14) of 25 screened carbapenem-resistant isolates confirmed to be carbapenemase producers via the mCIM method, which is more accurate than traditional methods such as the modified Hodge test </w:t>
      </w:r>
      <w:r w:rsidRPr="00B65257">
        <w:rPr>
          <w:rFonts w:ascii="Times New Roman" w:eastAsia="Times New Roman" w:hAnsi="Times New Roman" w:cs="Times New Roman"/>
          <w:sz w:val="24"/>
          <w:szCs w:val="24"/>
        </w:rPr>
        <w:fldChar w:fldCharType="begin" w:fldLock="1"/>
      </w:r>
      <w:r w:rsidR="005E66B9" w:rsidRPr="00B65257">
        <w:rPr>
          <w:rFonts w:ascii="Times New Roman" w:eastAsia="Times New Roman" w:hAnsi="Times New Roman" w:cs="Times New Roman"/>
          <w:sz w:val="24"/>
          <w:szCs w:val="24"/>
        </w:rPr>
        <w:instrText>ADDIN CSL_CITATION {"citationItems":[{"id":"ITEM-1","itemData":{"DOI":"10.1371/journal.pone.0267657","ISSN":"19326203","PMID":"35476721","abstract":"Background Infections caused by Klebsiella pneumoniae have been difficult to control because of the worldwide emergence of carbapenem-resistant isolates mainly due to carbapenemase production. Information regarding carbapenemase-producing K. pneumoniae is still scarce in Ethiopia. Therefore, the current study aimed to determine the prevalence of carbapenemase-producing K. pneumoniae and to assess the occurrence of blaNDM and blaKPC carbapenemase genes. Methods A cross-sectional study was conducted from September 2018 to February 2019 at Tikur Anbessa Specialized Hospital, Addis Ababa, Ethiopia. A total of 132 non-duplicate K. pneumoniae isolates were studied. Phenotypic confirmation of carbapenemase production was done by modified Carbapenem Inactivation Method (mCIM). Multiplex PCR was performed for the detection of carbapenemase-encoding genes blaKPC, and blaNDM. Results Out of the total 132 K. pneumoniae isolates, 39 (29.6%) were non-susceptible to one or more carbapenems. The prevalence of carbapenemase-producing isolates from the total was 28 (21.2%) with mCIM of which the most dominant gene was blaNDM 26 (92.9%) and one isolate carried blaKPC concomitantly. Carbapenemase-producing K. pneumoniae isolates were 100% non-susceptible to half of the antimicrobials used in the study, including meropenem and ertapenem. Previous use of carbapenems was associated with carbapenemase production (P = 0.004). Conclusions The prevalence of carbapenemase-producing K. pneumoniae isolates was worrying in the study area. To our knowledge, the study described the emergence of blaNDM and blaKPC gene carrying K. pneumoniae in Ethiopia for the first time. Further large-scale molecular-based studies, including other carbapenemase genes and sequencing of K. pneumoniae, are warranted to have a clear awareness about the presence of antimicrobial resistance high-risk clones in Ethiopia.","author":[{"dropping-particle":"","family":"Awoke","given":"Tewachew","non-dropping-particle":"","parse-names":false,"suffix":""},{"dropping-particle":"","family":"Teka","given":"Brhanu","non-dropping-particle":"","parse-names":false,"suffix":""},{"dropping-particle":"","family":"Aseffa","given":"Abraham","non-dropping-particle":"","parse-names":false,"suffix":""},{"dropping-particle":"","family":"Sebre","given":"Shemse","non-dropping-particle":"","parse-names":false,"suffix":""},{"dropping-particle":"","family":"Seman","given":"Aminu","non-dropping-particle":"","parse-names":false,"suffix":""},{"dropping-particle":"","family":"Yeshitela","given":"Biruk","non-dropping-particle":"","parse-names":false,"suffix":""},{"dropping-particle":"","family":"Abebe","given":"Tamrat","non-dropping-particle":"","parse-names":false,"suffix":""},{"dropping-particle":"","family":"Mihret","given":"Adane","non-dropping-particle":"","parse-names":false,"suffix":""}],"container-title":"PLoS ONE","id":"ITEM-1","issue":"4 April","issued":{"date-parts":[["2022","4","1"]]},"publisher":"Public Library of Science","title":"Detection of blaKPC and blaNDM carbapenemase genes among Klebsiella pneumoniae isolates in Addis Ababa, Ethiopia: Dominance of blaNDM","type":"article-journal","volume":"17"},"uris":["http://www.mendeley.com/documents/?uuid=e2283c3b-e2e1-3c6a-abcf-8bc73449f167"]},{"id":"ITEM-2","itemData":{"DOI":"10.3389/fmed.2022.759214","ISSN":"2296858X","abstract":"Objective: We aim to analyze the distribution of Klebsiella pneumoniae in different specimen sources and its antibiotic resistance trends from the Antimicrobial Resistant Investigation Network of Sichuan Province (ARINSP) between 2017 and 2020. Methods: According to the monitoring scheme, each participating hospital identified the bacteria and performed antimicrobial susceptibility tests using approved procedures. The data of non-repetitive isolates collected from outpatients and inpatients were submitted to ARINSP. The WHONET 5.6 software was used to analyze the results according to the Clinical and Laboratory Standards Institute (CLSI). Results: Between 2017 and 2020, 833,408 non-repetitive clinical isolates of bacteria were isolated in total. The bacterial strains isolated from sputum and broncho-alveolar lavage accounted for 48.7, 56.4, 49.2, and 43.7% from 2017 to 2020 respectively, among all sources. The number of Klebsiella pneumoniae isolates from sputum and broncho-alveolar lavage increased from 18,809 in 2018, 19,742 in 2019, to 19,376 in 2020, playing a predominant role among all specimens. Meropenem-resistant K. pneumoniae occurrences (5.7% in 2017, 7.3% in 2018, 8.0% in 2019, and 7.5% in 2020) remained highest among carbapenems, and increased slightly over time. The resistance rate to tigecycline remained lowest, and declined from 2.4% in 2017, to 0.4% in 2018, and from 0.7% in 2019, to 0.6% in 2020. Conclusion: The overall resistance rates of Klebsiella pneumoniae to carbapenems increased in Sichuan Province, giving a significant challenge to control K. pneumoniae related infections. Tigecycline has retained activity to against K. pneumoniae. Ongoing surveillance is essential. It can help for implementing intervention programs to reduce the occurrence of antimicrobial resistance and to provide with a rational use of antimicrobials.","author":[{"dropping-particle":"","family":"Zhang","given":"Jie","non-dropping-particle":"","parse-names":false,"suffix":""},{"dropping-particle":"","family":"Li","given":"Dan","non-dropping-particle":"","parse-names":false,"suffix":""},{"dropping-particle":"","family":"Huang","given":"Xiangning","non-dropping-particle":"","parse-names":false,"suffix":""},{"dropping-particle":"","family":"Long","given":"Shanshan","non-dropping-particle":"","parse-names":false,"suffix":""},{"dropping-particle":"","family":"Yu","given":"Hua","non-dropping-particle":"","parse-names":false,"suffix":""}],"container-title":"Frontiers in Medicine","id":"ITEM-2","issued":{"date-parts":[["2022","2","15"]]},"publisher":"Frontiers Media S.A.","title":"The Distribution of K. pneumoniae in Different Specimen Sources and Its Antibiotic Resistance Trends in Sichuan, China From 2017 to 2020","type":"article-journal","volume":"9"},"uris":["http://www.mendeley.com/documents/?uuid=f8fb0702-9149-3832-ba70-7d6d53c12dc7"]}],"mendeley":{"formattedCitation":"(19,36)","plainTextFormattedCitation":"(19,36)","previouslyFormattedCitation":"(19,36)"},"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5E66B9" w:rsidRPr="00B65257">
        <w:rPr>
          <w:rFonts w:ascii="Times New Roman" w:eastAsia="Times New Roman" w:hAnsi="Times New Roman" w:cs="Times New Roman"/>
          <w:noProof/>
          <w:sz w:val="24"/>
          <w:szCs w:val="24"/>
        </w:rPr>
        <w:t>(19,36)</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The carbapenemase production rate of 31.11% in this study was higher than that reported in studies from other hospitals in Nepal </w:t>
      </w:r>
      <w:r w:rsidRPr="00B65257">
        <w:rPr>
          <w:rFonts w:ascii="Times New Roman" w:eastAsia="Times New Roman" w:hAnsi="Times New Roman" w:cs="Times New Roman"/>
          <w:sz w:val="24"/>
          <w:szCs w:val="24"/>
        </w:rPr>
        <w:fldChar w:fldCharType="begin" w:fldLock="1"/>
      </w:r>
      <w:r w:rsidR="005E66B9" w:rsidRPr="00B65257">
        <w:rPr>
          <w:rFonts w:ascii="Times New Roman" w:eastAsia="Times New Roman" w:hAnsi="Times New Roman" w:cs="Times New Roman"/>
          <w:sz w:val="24"/>
          <w:szCs w:val="24"/>
        </w:rPr>
        <w:instrText>ADDIN CSL_CITATION {"citationItems":[{"id":"ITEM-1","itemData":{"DOI":"10.2147/IDR.S259967","ISSN":"11786973","abstract":"Introduction: Resistance to carbapenem in Gram-negative bacteria is attributable to their ability to produce carbapenemase enzymes. The main objective of this study was to detect the presence of blaOXA-48 genes in carbapenem-resistant uropathogenic Escherichia coli and Klebsiella pneumoniae isolated from urine samples from patients attending Alka Hospital, Jawalakhel, Lalitpur, Nepal. Methods: A total of 1013 mid-stream urine samples were collected from patients with suspected urinary tract infection (UTI) between April and September 2018. The identified isolates underwent antibiotic susceptibility testing using the modified Kirby–Bauer disc-diffusion method. Phenotypic carbapenemase production was confirmed by the modified Hodge test, and the blaOXA-48 gene was detected using conventional polymerase chain reaction. Results: Out of 1013 urine samples, 15.2% (154/1013) had bacterial growth. Among the isolates, 91.5% (141/154) were Gram-negative bacteria, and E. coli was the most common bacterial isolate (62.9%; 97/154), followed by K. pneumoniae 15.6% (24/154). Among 121 bacterial isolates (97 E. coli isolates and 24 K. pneumoniae isolates), 70.3% (52/121) were multidrug-resistant E. coli and 29.7% (22/121) were multidrug-resistant K. pneumoniae. In addition, 9.1% (11/121) were carbapenem resistant (both imipenem and meropenem resis-tant). Development of multidrug resistance and development of carbapenem resistance were significantly associated (p&lt;0.05). Of the 11 carbapenem-resistant isolates, only seven were carbapenemase producers; of these, 28.6% (2/7) were E. coli, 72.4% (5/7) were K. pneumoniae and 42.8% (3/7) had the blaOXA-48 gene. Of the three bacterial isolates with the blaOXA-48 gene, 33.3% (1/3) were E. coli and 66.7% (2/3) were K. pneumoniae. Conclusion: One in ten isolates of E. coli and K. pneumoniae were carbapenem resistant. Among carbapenem-resistant isolates, one-third of E. coli and two-thirds of K. pneumoniae had the blaOXA-48 gene. OXA-48 serves as a potential agent to map the distribution of resistance among clinical isolates.","author":[{"dropping-particle":"","family":"Gurung","given":"Sushma","non-dropping-particle":"","parse-names":false,"suffix":""},{"dropping-particle":"","family":"Kafle","given":"Sonali","non-dropping-particle":"","parse-names":false,"suffix":""},{"dropping-particle":"","family":"Dhungel","given":"Binod","non-dropping-particle":"","parse-names":false,"suffix":""},{"dropping-particle":"","family":"Adhikari","given":"Nabaraj","non-dropping-particle":"","parse-names":false,"suffix":""},{"dropping-particle":"","family":"Shrestha","given":"Upendra Thapa","non-dropping-particle":"","parse-names":false,"suffix":""},{"dropping-particle":"","family":"Adhikari","given":"Bipin","non-dropping-particle":"","parse-names":false,"suffix":""},{"dropping-particle":"","family":"Banjara","given":"Megha Raj","non-dropping-particle":"","parse-names":false,"suffix":""},{"dropping-particle":"","family":"Rijal","given":"Komal Raj","non-dropping-particle":"","parse-names":false,"suffix":""},{"dropping-particle":"","family":"Ghimire","given":"Prakash","non-dropping-particle":"","parse-names":false,"suffix":""}],"container-title":"Infection and Drug Resistance","id":"ITEM-1","issued":{"date-parts":[["2020"]]},"page":"2311-2321","title":"Detection of oxa-48 gene in carbapenem-resistant escherichia coli and klebsiella pneumoniae from urine samples","type":"article-journal","volume":"13"},"uris":["http://www.mendeley.com/documents/?uuid=d4d4011d-dc34-4811-9258-7ef9e8c923a3"]}],"mendeley":{"formattedCitation":"(24)","plainTextFormattedCitation":"(24)","previouslyFormattedCitation":"(24)"},"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5E66B9" w:rsidRPr="00B65257">
        <w:rPr>
          <w:rFonts w:ascii="Times New Roman" w:eastAsia="Times New Roman" w:hAnsi="Times New Roman" w:cs="Times New Roman"/>
          <w:noProof/>
          <w:sz w:val="24"/>
          <w:szCs w:val="24"/>
        </w:rPr>
        <w:t>(24)</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highlighting the growing presence of carbapenem-resistant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(CRKP). The detection of the </w:t>
      </w:r>
      <w:r w:rsidRPr="00B65257">
        <w:rPr>
          <w:rFonts w:ascii="Times New Roman" w:eastAsia="Times New Roman" w:hAnsi="Times New Roman" w:cs="Times New Roman"/>
          <w:i/>
          <w:iCs/>
          <w:sz w:val="24"/>
          <w:szCs w:val="24"/>
        </w:rPr>
        <w:t>bla</w:t>
      </w:r>
      <w:r w:rsidRPr="00B65257">
        <w:rPr>
          <w:rFonts w:ascii="Times New Roman" w:eastAsia="Times New Roman" w:hAnsi="Times New Roman" w:cs="Times New Roman"/>
          <w:sz w:val="24"/>
          <w:szCs w:val="24"/>
          <w:vertAlign w:val="subscript"/>
        </w:rPr>
        <w:t>KPC</w:t>
      </w:r>
      <w:r w:rsidRPr="00B65257">
        <w:rPr>
          <w:rFonts w:ascii="Times New Roman" w:eastAsia="Times New Roman" w:hAnsi="Times New Roman" w:cs="Times New Roman"/>
          <w:sz w:val="24"/>
          <w:szCs w:val="24"/>
        </w:rPr>
        <w:t xml:space="preserve"> (14.28%) and </w:t>
      </w:r>
      <w:r w:rsidRPr="00B65257">
        <w:rPr>
          <w:rFonts w:ascii="Times New Roman" w:eastAsia="Times New Roman" w:hAnsi="Times New Roman" w:cs="Times New Roman"/>
          <w:i/>
          <w:iCs/>
          <w:sz w:val="24"/>
          <w:szCs w:val="24"/>
        </w:rPr>
        <w:t>bla</w:t>
      </w:r>
      <w:r w:rsidRPr="00B65257">
        <w:rPr>
          <w:rFonts w:ascii="Times New Roman" w:eastAsia="Times New Roman" w:hAnsi="Times New Roman" w:cs="Times New Roman"/>
          <w:sz w:val="24"/>
          <w:szCs w:val="24"/>
          <w:vertAlign w:val="subscript"/>
        </w:rPr>
        <w:t>OXA-48</w:t>
      </w:r>
      <w:r w:rsidRPr="00B65257">
        <w:rPr>
          <w:rFonts w:ascii="Times New Roman" w:eastAsia="Times New Roman" w:hAnsi="Times New Roman" w:cs="Times New Roman"/>
          <w:sz w:val="24"/>
          <w:szCs w:val="24"/>
        </w:rPr>
        <w:t xml:space="preserve"> (14.28%) genes is comparable to results from previous studies in Nepal and Ethiopia </w:t>
      </w:r>
      <w:r w:rsidRPr="00B65257">
        <w:rPr>
          <w:rFonts w:ascii="Times New Roman" w:eastAsia="Times New Roman" w:hAnsi="Times New Roman" w:cs="Times New Roman"/>
          <w:sz w:val="24"/>
          <w:szCs w:val="24"/>
        </w:rPr>
        <w:fldChar w:fldCharType="begin" w:fldLock="1"/>
      </w:r>
      <w:r w:rsidR="005562A9" w:rsidRPr="00B65257">
        <w:rPr>
          <w:rFonts w:ascii="Times New Roman" w:eastAsia="Times New Roman" w:hAnsi="Times New Roman" w:cs="Times New Roman"/>
          <w:sz w:val="24"/>
          <w:szCs w:val="24"/>
        </w:rPr>
        <w:instrText>ADDIN CSL_CITATION {"citationItems":[{"id":"ITEM-1","itemData":{"author":[{"dropping-particle":"","family":"Baral","given":"Rakshya","non-dropping-particle":"","parse-names":false,"suffix":""},{"dropping-particle":"","family":"Manandhar","given":"Sarita","non-dropping-particle":"","parse-names":false,"suffix":""}],"id":"ITEM-1","issued":{"date-parts":[["2023"]]},"page":"1-12","title":"Detection of bla kpc gene among carbapenemase producing Klebsiella pneumoniae isolated from different clinical specimens at tertiary care hospital of Nepal","type":"article-journal"},"uris":["http://www.mendeley.com/documents/?uuid=8c76845f-7e2c-4deb-b1ae-87d24ba3ed10"]},{"id":"ITEM-2","itemData":{"DOI":"10.1371/journal.pone.0267657","ISSN":"19326203","PMID":"35476721","abstract":"Background Infections caused by Klebsiella pneumoniae have been difficult to control because of the worldwide emergence of carbapenem-resistant isolates mainly due to carbapenemase production. Information regarding carbapenemase-producing K. pneumoniae is still scarce in Ethiopia. Therefore, the current study aimed to determine the prevalence of carbapenemase-producing K. pneumoniae and to assess the occurrence of blaNDM and blaKPC carbapenemase genes. Methods A cross-sectional study was conducted from September 2018 to February 2019 at Tikur Anbessa Specialized Hospital, Addis Ababa, Ethiopia. A total of 132 non-duplicate K. pneumoniae isolates were studied. Phenotypic confirmation of carbapenemase production was done by modified Carbapenem Inactivation Method (mCIM). Multiplex PCR was performed for the detection of carbapenemase-encoding genes blaKPC, and blaNDM. Results Out of the total 132 K. pneumoniae isolates, 39 (29.6%) were non-susceptible to one or more carbapenems. The prevalence of carbapenemase-producing isolates from the total was 28 (21.2%) with mCIM of which the most dominant gene was blaNDM 26 (92.9%) and one isolate carried blaKPC concomitantly. Carbapenemase-producing K. pneumoniae isolates were 100% non-susceptible to half of the antimicrobials used in the study, including meropenem and ertapenem. Previous use of carbapenems was associated with carbapenemase production (P = 0.004). Conclusions The prevalence of carbapenemase-producing K. pneumoniae isolates was worrying in the study area. To our knowledge, the study described the emergence of blaNDM and blaKPC gene carrying K. pneumoniae in Ethiopia for the first time. Further large-scale molecular-based studies, including other carbapenemase genes and sequencing of K. pneumoniae, are warranted to have a clear awareness about the presence of antimicrobial resistance high-risk clones in Ethiopia.","author":[{"dropping-particle":"","family":"Awoke","given":"Tewachew","non-dropping-particle":"","parse-names":false,"suffix":""},{"dropping-particle":"","family":"Teka","given":"Brhanu","non-dropping-particle":"","parse-names":false,"suffix":""},{"dropping-particle":"","family":"Aseffa","given":"Abraham","non-dropping-particle":"","parse-names":false,"suffix":""},{"dropping-particle":"","family":"Sebre","given":"Shemse","non-dropping-particle":"","parse-names":false,"suffix":""},{"dropping-particle":"","family":"Seman","given":"Aminu","non-dropping-particle":"","parse-names":false,"suffix":""},{"dropping-particle":"","family":"Yeshitela","given":"Biruk","non-dropping-particle":"","parse-names":false,"suffix":""},{"dropping-particle":"","family":"Abebe","given":"Tamrat","non-dropping-particle":"","parse-names":false,"suffix":""},{"dropping-particle":"","family":"Mihret","given":"Adane","non-dropping-particle":"","parse-names":false,"suffix":""}],"container-title":"PLoS ONE","id":"ITEM-2","issue":"4 April","issued":{"date-parts":[["2022","4","1"]]},"publisher":"Public Library of Science","title":"Detection of blaKPC and blaNDM carbapenemase genes among Klebsiella pneumoniae isolates in Addis Ababa, Ethiopia: Dominance of blaNDM","type":"article-journal","volume":"17"},"uris":["http://www.mendeley.com/documents/?uuid=e2283c3b-e2e1-3c6a-abcf-8bc73449f167"]}],"mendeley":{"formattedCitation":"(19,37)","plainTextFormattedCitation":"(19,37)","previouslyFormattedCitation":"(19,37)"},"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11656F" w:rsidRPr="00B65257">
        <w:rPr>
          <w:rFonts w:ascii="Times New Roman" w:eastAsia="Times New Roman" w:hAnsi="Times New Roman" w:cs="Times New Roman"/>
          <w:noProof/>
          <w:sz w:val="24"/>
          <w:szCs w:val="24"/>
        </w:rPr>
        <w:t>(19,37)</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although variations in sample sizes and geographical antibiotic use patterns may account for slight differences.</w:t>
      </w:r>
      <w:r w:rsidRPr="00B65257">
        <w:rPr>
          <w:rFonts w:ascii="Times New Roman" w:eastAsia="Times New Roman" w:hAnsi="Times New Roman" w:cs="Times New Roman"/>
          <w:bCs/>
          <w:color w:val="000000" w:themeColor="text1"/>
          <w:sz w:val="24"/>
          <w:szCs w:val="24"/>
        </w:rPr>
        <w:t xml:space="preserve"> </w:t>
      </w:r>
      <w:r w:rsidRPr="00B65257">
        <w:rPr>
          <w:rFonts w:ascii="Times New Roman" w:eastAsia="Times New Roman" w:hAnsi="Times New Roman" w:cs="Times New Roman"/>
          <w:sz w:val="24"/>
          <w:szCs w:val="24"/>
        </w:rPr>
        <w:t xml:space="preserve">Apart from carbapenemase genes, a significant finding of this study was the high prevalence of the AcrAB efflux pump system, with 71.42% of carbapenemase-confirmed isolates harboring the </w:t>
      </w:r>
      <w:r w:rsidRPr="00B65257">
        <w:rPr>
          <w:rFonts w:ascii="Times New Roman" w:eastAsia="Times New Roman" w:hAnsi="Times New Roman" w:cs="Times New Roman"/>
          <w:i/>
          <w:iCs/>
          <w:sz w:val="24"/>
          <w:szCs w:val="24"/>
        </w:rPr>
        <w:t>acrA</w:t>
      </w:r>
      <w:r w:rsidRPr="00B65257">
        <w:rPr>
          <w:rFonts w:ascii="Times New Roman" w:eastAsia="Times New Roman" w:hAnsi="Times New Roman" w:cs="Times New Roman"/>
          <w:sz w:val="24"/>
          <w:szCs w:val="24"/>
        </w:rPr>
        <w:t xml:space="preserve"> gene and 92.85% carrying the </w:t>
      </w:r>
      <w:r w:rsidRPr="00B65257">
        <w:rPr>
          <w:rFonts w:ascii="Times New Roman" w:eastAsia="Times New Roman" w:hAnsi="Times New Roman" w:cs="Times New Roman"/>
          <w:i/>
          <w:iCs/>
          <w:sz w:val="24"/>
          <w:szCs w:val="24"/>
        </w:rPr>
        <w:t>acrB</w:t>
      </w:r>
      <w:r w:rsidRPr="00B65257">
        <w:rPr>
          <w:rFonts w:ascii="Times New Roman" w:eastAsia="Times New Roman" w:hAnsi="Times New Roman" w:cs="Times New Roman"/>
          <w:sz w:val="24"/>
          <w:szCs w:val="24"/>
        </w:rPr>
        <w:t xml:space="preserve"> gene. This high occurrence suggests that the AcrAB efflux pump plays a critical role in mediating carbapenem resistance, particularly in isolates that are also MDR. Similar observations were made by </w:t>
      </w:r>
      <w:r w:rsidRPr="00B65257">
        <w:rPr>
          <w:rFonts w:ascii="Times New Roman" w:eastAsia="Times New Roman" w:hAnsi="Times New Roman" w:cs="Times New Roman"/>
          <w:sz w:val="24"/>
          <w:szCs w:val="24"/>
        </w:rPr>
        <w:lastRenderedPageBreak/>
        <w:t xml:space="preserve">Razavi et al. (2020), where the presence of efflux pump genes contributed to drug resistance. In addition to carbapenem resistance, the AcrAB efflux system confers resistance to other antibiotics, such as fluoroquinolones, tetracyclines, and β-lactams </w:t>
      </w:r>
      <w:r w:rsidRPr="00B65257">
        <w:rPr>
          <w:rFonts w:ascii="Times New Roman" w:eastAsia="Times New Roman" w:hAnsi="Times New Roman" w:cs="Times New Roman"/>
          <w:sz w:val="24"/>
          <w:szCs w:val="24"/>
        </w:rPr>
        <w:fldChar w:fldCharType="begin" w:fldLock="1"/>
      </w:r>
      <w:r w:rsidR="005562A9" w:rsidRPr="00B65257">
        <w:rPr>
          <w:rFonts w:ascii="Times New Roman" w:eastAsia="Times New Roman" w:hAnsi="Times New Roman" w:cs="Times New Roman"/>
          <w:sz w:val="24"/>
          <w:szCs w:val="24"/>
        </w:rPr>
        <w:instrText>ADDIN CSL_CITATION {"citationItems":[{"id":"ITEM-1","itemData":{"DOI":"10.3205/dgkh000215","ISSN":"2196-5226","PMID":"24327941","abstract":"Resistance to fluoroquinolones has been recently increased among bacterial strains isolated from outpatients. Multidrug-resistant K. pneumoniae is one of the major organisms isolated from burn patients and the AcrAB efflux pump is the principal pump contributing to the intrinsic resistance in K. pneumoniae against multiple antimicrobial agents including ciprofloxacin and other fluoroquinolones. Fifty-two K. pneumoniae isolated from burn patients in Shahid Motahari hospital and confirmed by conventional biochemical tests. Antimicrobial susceptibility testing was done according to CLSI 2011 guidelines, to determine the antimicrobial resistance pattern of isolates. AcrA gene was detected among ciprofloxacin-resistant isolates by PCR assay. MICs to ciprofloxacin were measured with and without carbonyl cyanide 3-chlorophenylhydrazone (CCCP). Forty out of the 52 K. pneumoniae isolated from burn patients in Shahid Motahari hospital were resistant to ciprofloxacin according to breakpoint of CLSI guideline. PCR assay for acrA gene demonstrated that all ciprofloxacin-resistant isolates harbored acrA gene coding the membrane fusion protein AcrA and is a part of AcrAB efflux system. Among these isolates, 19 strains (47.5%) showed 2 to 32 fold reduction in MICs after using CCCP as an efflux pump inhibitor. The other 21 strains (52.5%) showed no disparity in MICs before and after using CCCP. In conclusion, the AcrAB efflux system is one of the principal mechanisms contribute in ciprofloxacin resistance among K. pneumoniae isolates but there are some other mechanisms interfere with ciprofloxacin resistance such as mutation in target proteins of DNA gyrase of topoisomerase IV enzymes. Die Resistenz gegen Fluorchinolone ist in letzter Zeit bei von ambulanten Patienten isolierten Bakterienstämmen angestiegen. Multiresistente K. pneumoniae gehören zu den wichtigsten von Patienten mit Verbrennungen isolierten Mikroorganismen und die AcrAB-Effluxpumpe ist die hauptsächliche Effluxpumpe, die für die intrinsische Resistenz von K. pneumoniae gegen mehrere antimikrobielle Wirkstoffe einschließlich Ciprofloxacin und andere Fluorchinolone verantwortlich ist. Im Shahid Motahari Krankenhaus wurden 52 K. pneumoniae-Isolate von Patienten mit Verbrennungen durch konventionelle biochemische Tests bestätigt. Die antimikrobielle Empfindlichkeit der Isolate wurde gemäß der CLSI Guideline (2011) getestet. Bei Isolaten mit Ciprofloxacinresistenz wurde das acrA-Gen mit einem PCR-Assay bestim…","author":[{"dropping-particle":"","family":"Pakzad","given":"Iraj","non-dropping-particle":"","parse-names":false,"suffix":""},{"dropping-particle":"","family":"Zayyen Karin","given":"Maasoume","non-dropping-particle":"","parse-names":false,"suffix":""},{"dropping-particle":"","family":"Taherikalani","given":"Morovat","non-dropping-particle":"","parse-names":false,"suffix":""},{"dropping-particle":"","family":"Boustanshenas","given":"Mina","non-dropping-particle":"","parse-names":false,"suffix":""},{"dropping-particle":"","family":"Lari","given":"Abdolaziz Rastegar","non-dropping-particle":"","parse-names":false,"suffix":""}],"container-title":"GMS hygiene and infection control","id":"ITEM-1","issue":"2","issued":{"date-parts":[["2013"]]},"page":"Doc15","title":"Contribution of AcrAB efflux pump to ciprofloxacin resistance in Klebsiella pneumoniae isolated from burn patients.","type":"article-journal","volume":"8"},"uris":["http://www.mendeley.com/documents/?uuid=e9194961-1cf8-4bf6-8a46-3ced3bebe4b3"]},{"id":"ITEM-2","itemData":{"DOI":"10.1055/s-0041-1731914","ISSN":"2582-4287","abstract":"Nosocomial infections caused by Klebsiella species are characterized by high rates of morbidity and mortality. The emergence of the multidrug-resistant (MDR) and extensive drug-resistant (XDR) Gram-negative bacteria reduces the antibiotic efficacy in the treatment of infections caused by the microorganisms. Management of these infections is often difficult, due to the high frequency of strains resistant to multiple antimicrobial agents. Multidrug efflux pumps play a major role as a mechanism of antimicrobial resistance in Gram-negative pathogens. Efflux systems are significant in conferring intrinsic and acquired resistance to the bacteria. The emergence of increasing drug resistance among Klebsiella pneumoniae nosocomial isolates has limited the therapeutic options for treatment of these infections and hence there is a constant quest for an alternative. In this review, we discuss various resistance mechanisms, focusing on efflux pumps and related genes in conferring resistance to Klebsiella. The role of various efflux pump inhibitors (EPIs) in restoring the antibacterial activity has also been discussed. In specific, antisense oligonucleotides as alternative therapeutics in combatting efflux-mediated resistance in Klebsiella species have focused upon.","author":[{"dropping-particle":"","family":"Ashwath","given":"Priyanka","non-dropping-particle":"","parse-names":false,"suffix":""},{"dropping-particle":"","family":"Sannejal","given":"Akhila Dharnappa","non-dropping-particle":"","parse-names":false,"suffix":""}],"container-title":"Journal of Health and Allied Sciences NU","id":"ITEM-2","issue":"01","issued":{"date-parts":[["2022","1"]]},"page":"24-31","publisher":"Georg Thieme Verlag KG","title":"The Action of Efflux Pump Genes in Conferring Drug Resistance to Klebsiella Species and Their Inhibition","type":"article-journal","volume":"12"},"uris":["http://www.mendeley.com/documents/?uuid=1e7d0507-6b93-3a56-ab75-b66b9d1ad129"]}],"mendeley":{"formattedCitation":"(13,38)","plainTextFormattedCitation":"(13,38)","previouslyFormattedCitation":"(13,38)"},"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11656F" w:rsidRPr="00B65257">
        <w:rPr>
          <w:rFonts w:ascii="Times New Roman" w:eastAsia="Times New Roman" w:hAnsi="Times New Roman" w:cs="Times New Roman"/>
          <w:noProof/>
          <w:sz w:val="24"/>
          <w:szCs w:val="24"/>
        </w:rPr>
        <w:t>(13,38)</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The coexistence of carbapenemase and efflux genes in 28.57% of the isolates further underscores the complexity of resistance mechanisms in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as previously highlighted by studies </w:t>
      </w:r>
      <w:r w:rsidRPr="00B65257">
        <w:rPr>
          <w:rFonts w:ascii="Times New Roman" w:eastAsia="Times New Roman" w:hAnsi="Times New Roman" w:cs="Times New Roman"/>
          <w:sz w:val="24"/>
          <w:szCs w:val="24"/>
        </w:rPr>
        <w:fldChar w:fldCharType="begin" w:fldLock="1"/>
      </w:r>
      <w:r w:rsidR="005562A9" w:rsidRPr="00B65257">
        <w:rPr>
          <w:rFonts w:ascii="Times New Roman" w:eastAsia="Times New Roman" w:hAnsi="Times New Roman" w:cs="Times New Roman"/>
          <w:sz w:val="24"/>
          <w:szCs w:val="24"/>
        </w:rPr>
        <w:instrText>ADDIN CSL_CITATION {"citationItems":[{"id":"ITEM-1","itemData":{"DOI":"10.29196/jubpas.v31i2.4665","ISSN":"1992-0652","abstract":"Background: Multidrug-resistant efflux pumps are one of the most significant methods by which bacteria can evade the effects of numerous antimicrobials. The aim of this study was to determine the prevalence of multidrug-resistant MDR, extremely drug-resistant XDR, and pan-drug-resistant PDR K. pneumoniae phenotypes in clinical isolates, as well as to examine the detection and prevalence of efflux pump genes ompK35, ompK36, tolC, and acrAB in multidrug-resistant K. pneumoniae strains.\r Materials and Methods: This study was conducted on 60 isolates of K. pneumoniae collected from different clinical samples in Erbil hospitals. The frequency of MDR, XDR, and PDR K. pneumoniae phenotypes was characterized through an antibiotic susceptibility profile, and genes associated with efflux pumps and porins were detected by polymerase chain reaction (PCR) assay.\r Results: All 60 K. pneumoniae isolates were resistance to one or more classes of antibiotics tested in this study. The maximum resistance was observed with ampicillin (95%), followed by piperacillin acid (83%). Among all isolates the percentage of MDR, XDR, and PDR were (38%), (37%), and (25%) respectively. Furthermore, the distribution of efflux pump genes was acrAB (95%) and tolC (93%), while the prevalence of porin-coding genes ompK35 and ompK36 were (80%) and (82%) respectively.\r Conclusion: Prevalence of MDR, XDR, and PDR K. pneumoniae strains in Erbil city is worrisome in hospital wards. Furthermore, Genes encoding efflux pump and porins such as acrAB, tolC, ompk35, and ompK36 were highly distributed among all isolates.","author":[{"dropping-particle":"","family":"Ahmed","given":"Zainab Sherzad","non-dropping-particle":"","parse-names":false,"suffix":""},{"dropping-particle":"","family":"Mawlood","given":"Ahang Hasan","non-dropping-particle":"","parse-names":false,"suffix":""}],"container-title":"JOURNAL OF UNIVERSITY OF BABYLON for Pure and Applied Sciences","id":"ITEM-1","issue":"2","issued":{"date-parts":[["2023"]]},"page":"115-127","title":"Molecular Characterization of Efflux Pump and Porin Related Genes in Multidrug Resistance Klebsiella pneumoniae Isolates Recovered from Erbil Hospitals","type":"article-journal","volume":"31"},"uris":["http://www.mendeley.com/documents/?uuid=3b2e2b90-37e7-4ea5-b62c-c45f59f7057f"]}],"mendeley":{"formattedCitation":"(39)","plainTextFormattedCitation":"(39)","previouslyFormattedCitation":"(39)"},"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11656F" w:rsidRPr="00B65257">
        <w:rPr>
          <w:rFonts w:ascii="Times New Roman" w:eastAsia="Times New Roman" w:hAnsi="Times New Roman" w:cs="Times New Roman"/>
          <w:noProof/>
          <w:sz w:val="24"/>
          <w:szCs w:val="24"/>
        </w:rPr>
        <w:t>(39)</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w:t>
      </w:r>
    </w:p>
    <w:p w:rsidR="00F068DB" w:rsidRPr="00B65257" w:rsidRDefault="00595131" w:rsidP="00F068DB">
      <w:pPr>
        <w:tabs>
          <w:tab w:val="left" w:pos="2100"/>
        </w:tabs>
        <w:spacing w:line="360" w:lineRule="auto"/>
        <w:jc w:val="both"/>
        <w:rPr>
          <w:rFonts w:ascii="Times New Roman" w:hAnsi="Times New Roman" w:cs="Times New Roman"/>
          <w:sz w:val="24"/>
          <w:szCs w:val="24"/>
          <w:lang w:bidi="ar-SA"/>
        </w:rPr>
      </w:pPr>
      <w:r w:rsidRPr="00B65257">
        <w:rPr>
          <w:rFonts w:ascii="Times New Roman" w:eastAsia="Times New Roman" w:hAnsi="Times New Roman" w:cs="Times New Roman"/>
          <w:sz w:val="24"/>
          <w:szCs w:val="24"/>
        </w:rPr>
        <w:t xml:space="preserve">Among the 14 carbapenemase-confirmed isolates, efflux pump genes (either </w:t>
      </w:r>
      <w:r w:rsidRPr="00B65257">
        <w:rPr>
          <w:rFonts w:ascii="Times New Roman" w:eastAsia="Times New Roman" w:hAnsi="Times New Roman" w:cs="Times New Roman"/>
          <w:i/>
          <w:iCs/>
          <w:sz w:val="24"/>
          <w:szCs w:val="24"/>
        </w:rPr>
        <w:t xml:space="preserve">acrA </w:t>
      </w:r>
      <w:r w:rsidRPr="00B65257">
        <w:rPr>
          <w:rFonts w:ascii="Times New Roman" w:eastAsia="Times New Roman" w:hAnsi="Times New Roman" w:cs="Times New Roman"/>
          <w:sz w:val="24"/>
          <w:szCs w:val="24"/>
        </w:rPr>
        <w:t xml:space="preserve">or </w:t>
      </w:r>
      <w:r w:rsidRPr="00B65257">
        <w:rPr>
          <w:rFonts w:ascii="Times New Roman" w:eastAsia="Times New Roman" w:hAnsi="Times New Roman" w:cs="Times New Roman"/>
          <w:i/>
          <w:iCs/>
          <w:sz w:val="24"/>
          <w:szCs w:val="24"/>
        </w:rPr>
        <w:t>acrB</w:t>
      </w:r>
      <w:r w:rsidRPr="00B65257">
        <w:rPr>
          <w:rFonts w:ascii="Times New Roman" w:eastAsia="Times New Roman" w:hAnsi="Times New Roman" w:cs="Times New Roman"/>
          <w:sz w:val="24"/>
          <w:szCs w:val="24"/>
        </w:rPr>
        <w:t xml:space="preserve">) were found in 100% of the carbapenem-confirmed isolates. These isolates were multidrug resistant. These findings are in accordance with previous studies </w:t>
      </w:r>
      <w:r w:rsidRPr="00B65257">
        <w:rPr>
          <w:rFonts w:ascii="Times New Roman" w:eastAsia="Times New Roman" w:hAnsi="Times New Roman" w:cs="Times New Roman"/>
          <w:sz w:val="24"/>
          <w:szCs w:val="24"/>
        </w:rPr>
        <w:fldChar w:fldCharType="begin" w:fldLock="1"/>
      </w:r>
      <w:r w:rsidR="005562A9" w:rsidRPr="00B65257">
        <w:rPr>
          <w:rFonts w:ascii="Times New Roman" w:eastAsia="Times New Roman" w:hAnsi="Times New Roman" w:cs="Times New Roman"/>
          <w:sz w:val="24"/>
          <w:szCs w:val="24"/>
        </w:rPr>
        <w:instrText>ADDIN CSL_CITATION {"citationItems":[{"id":"ITEM-1","itemData":{"DOI":"10.30491/jabr.2020.120179","ISSN":"24235784","abstract":"Introduction: Infections caused by multidrug-resistant Klebsiella pneumoniae characterize a major warning throughout the world owing to enhanced mortality and treatment limitations. Efflux pumps have an important role as a mechanism of antibiotic resistance in K. pneumoniae. In the current study, the role of AcrAB and OqxAB efflux pumps to antibiotic resistance was investigated in clinical isolates of K. pneumonia. Materials and Methods: During August 2017-October 2018, 110 clinical strains of K. pneumoniae were obtained from patients referred to the hospitals in Tehran. After microbiological/biochemical identification, and antimicrobial susceptibility test was performed using the disc diffusion method. Then, the minimum inhibitory concentration of ciprofloxacin-resistant K. pneumoniae strains was measured by the broth microdilution method. For investigating the efflux pump mediated drug resistance in K. pneumoniae, the presence, and prevalence of efflux genes (acrA/acrB and oqxA/oqxB) were examined by the polymerase chain reaction (PCR) technique. Results: The results showed that resistance to ciprofloxacin, norfloxacin, gentamicin, kanamycin, cefotaxime, trimethoprim, chloramphenicol, and colistin was 19.09%, 21.81%, 10.0%, 9.09%, 44.54%, 25.45%, 11.81%, and 61.81%, respectively, in K. pneumoniae clinical isolates. The PCR technique demonstrated that the prevalence of acrA/acrB and oqxA/oqxB genes is 58 (52.72%) and 52 (47.27%), respectively. Conclusions: The results of this study reveal that the AcrAB and OqxAB efflux pumps have a major role in the antibiotic resistance of multidrug resistance K. pneumoniae isolates. Therefore, due to the easy transfer of antimicrobial resistance genes, the accurate detection of resistance genes by molecular methods is essential to control the spread of resistant strains.","author":[{"dropping-particle":"","family":"Razavi","given":"Sahar","non-dropping-particle":"","parse-names":false,"suffix":""},{"dropping-particle":"","family":"Mirnejad","given":"Reza","non-dropping-particle":"","parse-names":false,"suffix":""},{"dropping-particle":"","family":"Babapour","given":"Ebrahim","non-dropping-particle":"","parse-names":false,"suffix":""}],"container-title":"Journal of Applied Biotechnology Reports","id":"ITEM-1","issue":"4","issued":{"date-parts":[["2020"]]},"page":"251-257","publisher":"Baqiyatallah University of Medical Sciences","title":"Involvement of acrab and oqxab efflux pumps in antimicrobial resistance of clinical isolates of klebsiella pneumonia","type":"article-journal","volume":"7"},"uris":["http://www.mendeley.com/documents/?uuid=8fd5aae2-1527-308d-84bc-eb42d6821608"]},{"id":"ITEM-2","itemData":{"DOI":"10.22092/ARI.2022.358956.2342","ISSN":"20089872","PMID":"37312720","abstract":"Many infections produced by multidrug-resistant (MDR) Klebsiella pneumoniae are the main cause of death and treatment restrictions worldwide. In K. pneumoniae, the efflux pump system is dangerous in drug resistance. Therefore, this study was designed to investigate the involvement of the AcrA and AcrB efflux pumps in antibiotic resistance in Klebsiella pneumoniae isolated from wound patients. During June 2021-February 2022, 87 clinical isolates of Klebsiella pneumonia bacteria were obtained from wound samples patients consulted to the hospitals in AL-Diwaniyah province, Iraq. The disc diffusion method performed an antibiotic susceptibility test after microbiological/biochemical identification. The polymerase chain reaction (PCR) technique was used to examine efflux genes' prevalence (acrA and acrB). The results showed that resistance to Carbenicillin 72 (82.7%), Erythromycin 66 (75.8%), Rifampin 58 (66.6%), Ceftazidime 52 (59.7%), Cefotaxime 44 (50.5%), Novobiocin 38 (43.6%), Tetracycline 32 (36.7%), Ciprofloxacin 22 (25.2%), Gentamicin 16 (18.3%), Nitrofurantoin 6 (10.3%) in Klebsiella pneumoniae isolates. The PCR procedure revealed that the occurrence of the acrA and acrB genes is 55 (100%) and 55 (100%), respectively. The findings of this investigation show that the AcrA and AcrB efflux pumps play a crucial character in antibiotic resistance in multidrug-resistant Klebsiella pneumoniae bacterial isolates. As a result of the unintentional transmission of antimicrobial resistance genes, precise detection of resistance genes using molecular approaches is required to switch the extent of resistant strains.","author":[{"dropping-particle":"","family":"Abid Fazaa ALmiyah","given":"S.","non-dropping-particle":"","parse-names":false,"suffix":""}],"container-title":"Archives of Razi Institute","id":"ITEM-2","issue":"1","issued":{"date-parts":[["2023"]]},"page":"263-270","title":"Detection of AcrA and AcrB Efflux Pumps in Multidrug-Resistant Klebsiella pneumonia that Isolated from Wounds Infection Patients in Al-Diwaniyah Province","type":"article-journal","volume":"78"},"uris":["http://www.mendeley.com/documents/?uuid=1fd65537-b0b5-4cf8-bae8-3d074fa80904"]}],"mendeley":{"formattedCitation":"(12,40)","plainTextFormattedCitation":"(12,40)","previouslyFormattedCitation":"(12,40)"},"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11656F" w:rsidRPr="00B65257">
        <w:rPr>
          <w:rFonts w:ascii="Times New Roman" w:eastAsia="Times New Roman" w:hAnsi="Times New Roman" w:cs="Times New Roman"/>
          <w:noProof/>
          <w:sz w:val="24"/>
          <w:szCs w:val="24"/>
        </w:rPr>
        <w:t>(12,40)</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There was a significant association between the frequency of efflux pump genes detected in isolates and the phenotype of carbapenemase producers in this study. Some studies have suggested that the main reasons for carbapenem resistance in gram-negative bacteria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include the ability to produce carbapenemase enzymes, the overexpression of efflux pumps, porin loss, and alterations in penicillin-binding proteins</w:t>
      </w:r>
      <w:r w:rsidRPr="00B65257">
        <w:rPr>
          <w:rFonts w:ascii="Times New Roman" w:hAnsi="Times New Roman" w:cs="Times New Roman"/>
          <w:szCs w:val="22"/>
          <w:lang w:bidi="ar-SA"/>
        </w:rPr>
        <w:t xml:space="preserve"> </w:t>
      </w:r>
      <w:r w:rsidRPr="00B65257">
        <w:rPr>
          <w:rFonts w:ascii="Times New Roman" w:hAnsi="Times New Roman" w:cs="Times New Roman"/>
          <w:szCs w:val="22"/>
          <w:lang w:bidi="ar-SA"/>
        </w:rPr>
        <w:fldChar w:fldCharType="begin" w:fldLock="1"/>
      </w:r>
      <w:r w:rsidR="005562A9" w:rsidRPr="00B65257">
        <w:rPr>
          <w:rFonts w:ascii="Times New Roman" w:hAnsi="Times New Roman" w:cs="Times New Roman"/>
          <w:szCs w:val="22"/>
          <w:lang w:bidi="ar-SA"/>
        </w:rPr>
        <w:instrText>ADDIN CSL_CITATION {"citationItems":[{"id":"ITEM-1","itemData":{"DOI":"10.1128/AAC.00296-11","ISSN":"00664804","PMID":"21859938","abstract":"In this review, we summarize the current \"state of the art\" of carbapenem antibiotics and their role in our antimicrobial armamentarium. Among the β-lactams currently available, carbapenems are unique because they are relatively resistant to hydrolysis by most β-lactamases, in some cases act as \"slow substrates\" or inhibitors of β-lactamases, and still target penicillin binding proteins. This \"value-added feature\" of inhibiting β-lactamases serves as a major rationale for expansion of this class of β-lactams. We describe the initial discovery and development of the carbapenem family of β-lactams. Of the early carbapenems evaluated, thienamycin demonstrated the greatest antimicrobial activity and became the parent compound for all subsequent carbapenems. To date, more than 80 compounds with mostly improved antimicrobial properties, compared to those of thienamycin, are described in the literature. We also highlight important features of the carbapenems that are presently in clinical use: imipenem-cilastatin, meropenem, ertapenem, doripenem, panipenem-betamipron, and biapenem. In closing, we emphasize some major challenges and urge the medicinal chemist to continue development of these versatile and potent compounds, as they have served us well for more than 3 decades. Copyright © 2011, American Society for Microbiology. All Rights Reserved.","author":[{"dropping-particle":"","family":"Papp-Wallace","given":"Krisztina M.","non-dropping-particle":"","parse-names":false,"suffix":""},{"dropping-particle":"","family":"Endimiani","given":"Andrea","non-dropping-particle":"","parse-names":false,"suffix":""},{"dropping-particle":"","family":"Taracila","given":"Magdalena A.","non-dropping-particle":"","parse-names":false,"suffix":""},{"dropping-particle":"","family":"Bonomo","given":"Robert A.","non-dropping-particle":"","parse-names":false,"suffix":""}],"container-title":"Antimicrobial Agents and Chemotherapy","id":"ITEM-1","issue":"11","issued":{"date-parts":[["2011"]]},"page":"4943-4960","title":"Carbapenems: Past, present, and future","type":"article-journal","volume":"55"},"uris":["http://www.mendeley.com/documents/?uuid=15dbcc6b-55f8-426a-ba68-19b44ea84391"]}],"mendeley":{"formattedCitation":"(41)","plainTextFormattedCitation":"(41)","previouslyFormattedCitation":"(41)"},"properties":{"noteIndex":0},"schema":"https://github.com/citation-style-language/schema/raw/master/csl-citation.json"}</w:instrText>
      </w:r>
      <w:r w:rsidRPr="00B65257">
        <w:rPr>
          <w:rFonts w:ascii="Times New Roman" w:hAnsi="Times New Roman" w:cs="Times New Roman"/>
          <w:szCs w:val="22"/>
          <w:lang w:bidi="ar-SA"/>
        </w:rPr>
        <w:fldChar w:fldCharType="separate"/>
      </w:r>
      <w:r w:rsidR="0011656F" w:rsidRPr="00B65257">
        <w:rPr>
          <w:rFonts w:ascii="Times New Roman" w:hAnsi="Times New Roman" w:cs="Times New Roman"/>
          <w:noProof/>
          <w:szCs w:val="22"/>
          <w:lang w:bidi="ar-SA"/>
        </w:rPr>
        <w:t>(41)</w:t>
      </w:r>
      <w:r w:rsidRPr="00B65257">
        <w:rPr>
          <w:rFonts w:ascii="Times New Roman" w:hAnsi="Times New Roman" w:cs="Times New Roman"/>
          <w:szCs w:val="22"/>
          <w:lang w:bidi="ar-SA"/>
        </w:rPr>
        <w:fldChar w:fldCharType="end"/>
      </w:r>
      <w:r w:rsidRPr="00B65257">
        <w:rPr>
          <w:rFonts w:ascii="Times New Roman" w:eastAsia="Times New Roman" w:hAnsi="Times New Roman" w:cs="Times New Roman"/>
          <w:sz w:val="24"/>
          <w:szCs w:val="24"/>
        </w:rPr>
        <w:t xml:space="preserve">. In this study, many noncarbapenemase producers were also positive for efflux genes. The reason behind this is that the major efflux pump Acr AB is not only responsible for providing resistance to carbapenem antibiotics but also provides intrinsic resistance to fluoroquinolones, particularly ciprofloxacin, along with resistance to drugs, including tetracycline, trimethoprim, chloramphenicol, macrolides, and beta-lactams </w:t>
      </w:r>
      <w:r w:rsidRPr="00B65257">
        <w:rPr>
          <w:rFonts w:ascii="Times New Roman" w:eastAsia="Times New Roman" w:hAnsi="Times New Roman" w:cs="Times New Roman"/>
          <w:sz w:val="24"/>
          <w:szCs w:val="24"/>
        </w:rPr>
        <w:fldChar w:fldCharType="begin" w:fldLock="1"/>
      </w:r>
      <w:r w:rsidR="005562A9" w:rsidRPr="00B65257">
        <w:rPr>
          <w:rFonts w:ascii="Times New Roman" w:eastAsia="Times New Roman" w:hAnsi="Times New Roman" w:cs="Times New Roman"/>
          <w:sz w:val="24"/>
          <w:szCs w:val="24"/>
        </w:rPr>
        <w:instrText>ADDIN CSL_CITATION {"citationItems":[{"id":"ITEM-1","itemData":{"DOI":"10.3205/dgkh000215","ISSN":"2196-5226","PMID":"24327941","abstract":"Resistance to fluoroquinolones has been recently increased among bacterial strains isolated from outpatients. Multidrug-resistant K. pneumoniae is one of the major organisms isolated from burn patients and the AcrAB efflux pump is the principal pump contributing to the intrinsic resistance in K. pneumoniae against multiple antimicrobial agents including ciprofloxacin and other fluoroquinolones. Fifty-two K. pneumoniae isolated from burn patients in Shahid Motahari hospital and confirmed by conventional biochemical tests. Antimicrobial susceptibility testing was done according to CLSI 2011 guidelines, to determine the antimicrobial resistance pattern of isolates. AcrA gene was detected among ciprofloxacin-resistant isolates by PCR assay. MICs to ciprofloxacin were measured with and without carbonyl cyanide 3-chlorophenylhydrazone (CCCP). Forty out of the 52 K. pneumoniae isolated from burn patients in Shahid Motahari hospital were resistant to ciprofloxacin according to breakpoint of CLSI guideline. PCR assay for acrA gene demonstrated that all ciprofloxacin-resistant isolates harbored acrA gene coding the membrane fusion protein AcrA and is a part of AcrAB efflux system. Among these isolates, 19 strains (47.5%) showed 2 to 32 fold reduction in MICs after using CCCP as an efflux pump inhibitor. The other 21 strains (52.5%) showed no disparity in MICs before and after using CCCP. In conclusion, the AcrAB efflux system is one of the principal mechanisms contribute in ciprofloxacin resistance among K. pneumoniae isolates but there are some other mechanisms interfere with ciprofloxacin resistance such as mutation in target proteins of DNA gyrase of topoisomerase IV enzymes. Die Resistenz gegen Fluorchinolone ist in letzter Zeit bei von ambulanten Patienten isolierten Bakterienstämmen angestiegen. Multiresistente K. pneumoniae gehören zu den wichtigsten von Patienten mit Verbrennungen isolierten Mikroorganismen und die AcrAB-Effluxpumpe ist die hauptsächliche Effluxpumpe, die für die intrinsische Resistenz von K. pneumoniae gegen mehrere antimikrobielle Wirkstoffe einschließlich Ciprofloxacin und andere Fluorchinolone verantwortlich ist. Im Shahid Motahari Krankenhaus wurden 52 K. pneumoniae-Isolate von Patienten mit Verbrennungen durch konventionelle biochemische Tests bestätigt. Die antimikrobielle Empfindlichkeit der Isolate wurde gemäß der CLSI Guideline (2011) getestet. Bei Isolaten mit Ciprofloxacinresistenz wurde das acrA-Gen mit einem PCR-Assay bestim…","author":[{"dropping-particle":"","family":"Pakzad","given":"Iraj","non-dropping-particle":"","parse-names":false,"suffix":""},{"dropping-particle":"","family":"Zayyen Karin","given":"Maasoume","non-dropping-particle":"","parse-names":false,"suffix":""},{"dropping-particle":"","family":"Taherikalani","given":"Morovat","non-dropping-particle":"","parse-names":false,"suffix":""},{"dropping-particle":"","family":"Boustanshenas","given":"Mina","non-dropping-particle":"","parse-names":false,"suffix":""},{"dropping-particle":"","family":"Lari","given":"Abdolaziz Rastegar","non-dropping-particle":"","parse-names":false,"suffix":""}],"container-title":"GMS hygiene and infection control","id":"ITEM-1","issue":"2","issued":{"date-parts":[["2013"]]},"page":"Doc15","title":"Contribution of AcrAB efflux pump to ciprofloxacin resistance in Klebsiella pneumoniae isolated from burn patients.","type":"article-journal","volume":"8"},"uris":["http://www.mendeley.com/documents/?uuid=e9194961-1cf8-4bf6-8a46-3ced3bebe4b3"]},{"id":"ITEM-2","itemData":{"DOI":"10.1055/s-0041-1731914","ISSN":"2582-4287","abstract":"Nosocomial infections caused by Klebsiella species are characterized by high rates of morbidity and mortality. The emergence of the multidrug-resistant (MDR) and extensive drug-resistant (XDR) Gram-negative bacteria reduces the antibiotic efficacy in the treatment of infections caused by the microorganisms. Management of these infections is often difficult, due to the high frequency of strains resistant to multiple antimicrobial agents. Multidrug efflux pumps play a major role as a mechanism of antimicrobial resistance in Gram-negative pathogens. Efflux systems are significant in conferring intrinsic and acquired resistance to the bacteria. The emergence of increasing drug resistance among Klebsiella pneumoniae nosocomial isolates has limited the therapeutic options for treatment of these infections and hence there is a constant quest for an alternative. In this review, we discuss various resistance mechanisms, focusing on efflux pumps and related genes in conferring resistance to Klebsiella. The role of various efflux pump inhibitors (EPIs) in restoring the antibacterial activity has also been discussed. In specific, antisense oligonucleotides as alternative therapeutics in combatting efflux-mediated resistance in Klebsiella species have focused upon.","author":[{"dropping-particle":"","family":"Ashwath","given":"Priyanka","non-dropping-particle":"","parse-names":false,"suffix":""},{"dropping-particle":"","family":"Sannejal","given":"Akhila Dharnappa","non-dropping-particle":"","parse-names":false,"suffix":""}],"container-title":"Journal of Health and Allied Sciences NU","id":"ITEM-2","issue":"01","issued":{"date-parts":[["2022","1"]]},"page":"24-31","publisher":"Georg Thieme Verlag KG","title":"The Action of Efflux Pump Genes in Conferring Drug Resistance to Klebsiella Species and Their Inhibition","type":"article-journal","volume":"12"},"uris":["http://www.mendeley.com/documents/?uuid=645d5379-abb3-3c4a-88fb-b1eca9d78e4d"]}],"mendeley":{"formattedCitation":"(13,38)","plainTextFormattedCitation":"(13,38)","previouslyFormattedCitation":"(13,38)"},"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11656F" w:rsidRPr="00B65257">
        <w:rPr>
          <w:rFonts w:ascii="Times New Roman" w:eastAsia="Times New Roman" w:hAnsi="Times New Roman" w:cs="Times New Roman"/>
          <w:noProof/>
          <w:sz w:val="24"/>
          <w:szCs w:val="24"/>
        </w:rPr>
        <w:t>(13,38)</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These efflux pumps act as both virulence factors and adaptive mechanisms, providing antimicrobial resistance during infections by expelling antibiotics from bacterial cells, leading to drug resistance. In short, these systems help microbes regulate their internal environment by removing harmful substances such as metabolites, antimicrobial agents, and virulence determinants regulated by quorum sensing </w:t>
      </w:r>
      <w:r w:rsidRPr="00B65257">
        <w:rPr>
          <w:rFonts w:ascii="Times New Roman" w:eastAsia="Times New Roman" w:hAnsi="Times New Roman" w:cs="Times New Roman"/>
          <w:sz w:val="24"/>
          <w:szCs w:val="24"/>
        </w:rPr>
        <w:fldChar w:fldCharType="begin" w:fldLock="1"/>
      </w:r>
      <w:r w:rsidR="00995898" w:rsidRPr="00B65257">
        <w:rPr>
          <w:rFonts w:ascii="Times New Roman" w:eastAsia="Times New Roman" w:hAnsi="Times New Roman" w:cs="Times New Roman"/>
          <w:sz w:val="24"/>
          <w:szCs w:val="24"/>
        </w:rPr>
        <w:instrText>ADDIN CSL_CITATION {"citationItems":[{"id":"ITEM-1","itemData":{"DOI":"10.1055/s-0041-1731914","ISSN":"2582-4287","abstract":"Nosocomial infections caused by Klebsiella species are characterized by high rates of morbidity and mortality. The emergence of the multidrug-resistant (MDR) and extensive drug-resistant (XDR) Gram-negative bacteria reduces the antibiotic efficacy in the treatment of infections caused by the microorganisms. Management of these infections is often difficult, due to the high frequency of strains resistant to multiple antimicrobial agents. Multidrug efflux pumps play a major role as a mechanism of antimicrobial resistance in Gram-negative pathogens. Efflux systems are significant in conferring intrinsic and acquired resistance to the bacteria. The emergence of increasing drug resistance among Klebsiella pneumoniae nosocomial isolates has limited the therapeutic options for treatment of these infections and hence there is a constant quest for an alternative. In this review, we discuss various resistance mechanisms, focusing on efflux pumps and related genes in conferring resistance to Klebsiella. The role of various efflux pump inhibitors (EPIs) in restoring the antibacterial activity has also been discussed. In specific, antisense oligonucleotides as alternative therapeutics in combatting efflux-mediated resistance in Klebsiella species have focused upon.","author":[{"dropping-particle":"","family":"Ashwath","given":"Priyanka","non-dropping-particle":"","parse-names":false,"suffix":""},{"dropping-particle":"","family":"Sannejal","given":"Akhila Dharnappa","non-dropping-particle":"","parse-names":false,"suffix":""}],"container-title":"Journal of Health and Allied Sciences NU","id":"ITEM-1","issue":"01","issued":{"date-parts":[["2022","1"]]},"page":"24-31","publisher":"Georg Thieme Verlag KG","title":"The Action of Efflux Pump Genes in Conferring Drug Resistance to Klebsiella Species and Their Inhibition","type":"article-journal","volume":"12"},"uris":["http://www.mendeley.com/documents/?uuid=66410cd5-ec42-3c29-9ed6-a5150106d5b5"]}],"mendeley":{"formattedCitation":"(13)","plainTextFormattedCitation":"(13)","previouslyFormattedCitation":"(13)"},"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995898" w:rsidRPr="00B65257">
        <w:rPr>
          <w:rFonts w:ascii="Times New Roman" w:eastAsia="Times New Roman" w:hAnsi="Times New Roman" w:cs="Times New Roman"/>
          <w:noProof/>
          <w:sz w:val="24"/>
          <w:szCs w:val="24"/>
        </w:rPr>
        <w:t>(13)</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Interestingly, in this st</w:t>
      </w:r>
      <w:r w:rsidRPr="00B65257">
        <w:rPr>
          <w:rFonts w:ascii="Times New Roman" w:hAnsi="Times New Roman" w:cs="Times New Roman"/>
          <w:sz w:val="24"/>
          <w:szCs w:val="24"/>
          <w:lang w:bidi="ar-SA"/>
        </w:rPr>
        <w:t xml:space="preserve">udy of confirmed carbapenemase producers, carbapenemase and efflux genes </w:t>
      </w:r>
      <w:r w:rsidRPr="00B65257">
        <w:rPr>
          <w:rFonts w:ascii="Times New Roman" w:eastAsia="Calibri" w:hAnsi="Times New Roman" w:cs="Times New Roman"/>
          <w:sz w:val="24"/>
          <w:szCs w:val="24"/>
          <w:lang w:bidi="ar-SA"/>
        </w:rPr>
        <w:t xml:space="preserve">coexisted </w:t>
      </w:r>
      <w:r w:rsidRPr="00B65257">
        <w:rPr>
          <w:rFonts w:ascii="Times New Roman" w:hAnsi="Times New Roman" w:cs="Times New Roman"/>
          <w:sz w:val="24"/>
          <w:szCs w:val="24"/>
          <w:lang w:bidi="ar-SA"/>
        </w:rPr>
        <w:t>in 28.</w:t>
      </w:r>
      <w:r w:rsidRPr="00B65257">
        <w:rPr>
          <w:rFonts w:ascii="Times New Roman" w:eastAsia="Calibri" w:hAnsi="Times New Roman" w:cs="Times New Roman"/>
          <w:sz w:val="24"/>
          <w:szCs w:val="24"/>
          <w:lang w:bidi="ar-SA"/>
        </w:rPr>
        <w:t>57%</w:t>
      </w:r>
      <w:r w:rsidRPr="00B65257">
        <w:rPr>
          <w:rFonts w:ascii="Times New Roman" w:hAnsi="Times New Roman" w:cs="Times New Roman"/>
          <w:sz w:val="24"/>
          <w:szCs w:val="24"/>
          <w:lang w:bidi="ar-SA"/>
        </w:rPr>
        <w:t xml:space="preserve"> (n=4) </w:t>
      </w:r>
      <w:r w:rsidRPr="00B65257">
        <w:rPr>
          <w:rFonts w:ascii="Times New Roman" w:eastAsia="Calibri" w:hAnsi="Times New Roman" w:cs="Times New Roman"/>
          <w:sz w:val="24"/>
          <w:szCs w:val="24"/>
          <w:lang w:bidi="ar-SA"/>
        </w:rPr>
        <w:t xml:space="preserve">of the </w:t>
      </w:r>
      <w:r w:rsidRPr="00B65257">
        <w:rPr>
          <w:rFonts w:ascii="Times New Roman" w:hAnsi="Times New Roman" w:cs="Times New Roman"/>
          <w:sz w:val="24"/>
          <w:szCs w:val="24"/>
          <w:lang w:bidi="ar-SA"/>
        </w:rPr>
        <w:t>isolates</w:t>
      </w:r>
      <w:r w:rsidRPr="00B65257">
        <w:rPr>
          <w:rFonts w:ascii="Times New Roman" w:eastAsia="Calibri" w:hAnsi="Times New Roman" w:cs="Times New Roman"/>
          <w:sz w:val="24"/>
          <w:szCs w:val="24"/>
          <w:lang w:bidi="ar-SA"/>
        </w:rPr>
        <w:t>, whereas the</w:t>
      </w:r>
      <w:r w:rsidRPr="00B65257">
        <w:rPr>
          <w:rFonts w:ascii="Times New Roman" w:hAnsi="Times New Roman" w:cs="Times New Roman"/>
          <w:sz w:val="24"/>
          <w:szCs w:val="24"/>
          <w:lang w:bidi="ar-SA"/>
        </w:rPr>
        <w:t xml:space="preserve"> efflux pump was solely responsible for carbapenem resistance in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remaining isolates</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i.e.</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71.42% (n=10). Among these isolates</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highest number </w:t>
      </w:r>
      <w:r w:rsidRPr="00B65257">
        <w:rPr>
          <w:rFonts w:ascii="Times New Roman" w:eastAsia="Calibri" w:hAnsi="Times New Roman" w:cs="Times New Roman"/>
          <w:sz w:val="24"/>
          <w:szCs w:val="24"/>
          <w:lang w:bidi="ar-SA"/>
        </w:rPr>
        <w:t xml:space="preserve">of </w:t>
      </w:r>
      <w:r w:rsidRPr="00B65257">
        <w:rPr>
          <w:rFonts w:ascii="Times New Roman" w:hAnsi="Times New Roman" w:cs="Times New Roman"/>
          <w:sz w:val="24"/>
          <w:szCs w:val="24"/>
          <w:lang w:bidi="ar-SA"/>
        </w:rPr>
        <w:t xml:space="preserve">efflux genes associated with carbapenem resistance was observed in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urine </w:t>
      </w:r>
      <w:r w:rsidRPr="00B65257">
        <w:rPr>
          <w:rFonts w:ascii="Times New Roman" w:eastAsia="Calibri" w:hAnsi="Times New Roman" w:cs="Times New Roman"/>
          <w:sz w:val="24"/>
          <w:szCs w:val="24"/>
          <w:lang w:bidi="ar-SA"/>
        </w:rPr>
        <w:t>samples,</w:t>
      </w:r>
      <w:r w:rsidRPr="00B65257">
        <w:rPr>
          <w:rFonts w:ascii="Times New Roman" w:hAnsi="Times New Roman" w:cs="Times New Roman"/>
          <w:sz w:val="24"/>
          <w:szCs w:val="24"/>
          <w:lang w:bidi="ar-SA"/>
        </w:rPr>
        <w:t xml:space="preserve"> followed by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sputum and pus </w:t>
      </w:r>
      <w:r w:rsidRPr="00B65257">
        <w:rPr>
          <w:rFonts w:ascii="Times New Roman" w:eastAsia="Calibri" w:hAnsi="Times New Roman" w:cs="Times New Roman"/>
          <w:sz w:val="24"/>
          <w:szCs w:val="24"/>
          <w:lang w:bidi="ar-SA"/>
        </w:rPr>
        <w:t>samples</w:t>
      </w:r>
      <w:r w:rsidRPr="00B65257">
        <w:rPr>
          <w:rFonts w:ascii="Times New Roman" w:hAnsi="Times New Roman" w:cs="Times New Roman"/>
          <w:sz w:val="24"/>
          <w:szCs w:val="24"/>
          <w:lang w:bidi="ar-SA"/>
        </w:rPr>
        <w:t xml:space="preserve">. This was in accordance </w:t>
      </w:r>
      <w:r w:rsidRPr="00B65257">
        <w:rPr>
          <w:rFonts w:ascii="Times New Roman" w:eastAsia="Calibri" w:hAnsi="Times New Roman" w:cs="Times New Roman"/>
          <w:sz w:val="24"/>
          <w:szCs w:val="24"/>
          <w:lang w:bidi="ar-SA"/>
        </w:rPr>
        <w:t>with a</w:t>
      </w:r>
      <w:r w:rsidRPr="00B65257">
        <w:rPr>
          <w:rFonts w:ascii="Times New Roman" w:hAnsi="Times New Roman" w:cs="Times New Roman"/>
          <w:sz w:val="24"/>
          <w:szCs w:val="24"/>
          <w:lang w:bidi="ar-SA"/>
        </w:rPr>
        <w:t xml:space="preserve"> study </w:t>
      </w:r>
      <w:r w:rsidRPr="00B65257">
        <w:rPr>
          <w:rFonts w:ascii="Times New Roman" w:eastAsia="Calibri" w:hAnsi="Times New Roman" w:cs="Times New Roman"/>
          <w:sz w:val="24"/>
          <w:szCs w:val="24"/>
          <w:lang w:bidi="ar-SA"/>
        </w:rPr>
        <w:t>performed</w:t>
      </w:r>
      <w:r w:rsidRPr="00B65257">
        <w:rPr>
          <w:rFonts w:ascii="Times New Roman" w:hAnsi="Times New Roman" w:cs="Times New Roman"/>
          <w:sz w:val="24"/>
          <w:szCs w:val="24"/>
          <w:lang w:bidi="ar-SA"/>
        </w:rPr>
        <w:t xml:space="preserve"> by </w:t>
      </w:r>
      <w:r w:rsidRPr="00B65257">
        <w:rPr>
          <w:rFonts w:ascii="Times New Roman" w:hAnsi="Times New Roman" w:cs="Times New Roman"/>
          <w:sz w:val="24"/>
          <w:szCs w:val="24"/>
          <w:lang w:bidi="ar-SA"/>
        </w:rPr>
        <w:fldChar w:fldCharType="begin" w:fldLock="1"/>
      </w:r>
      <w:r w:rsidR="005562A9" w:rsidRPr="00B65257">
        <w:rPr>
          <w:rFonts w:ascii="Times New Roman" w:hAnsi="Times New Roman" w:cs="Times New Roman"/>
          <w:sz w:val="24"/>
          <w:szCs w:val="24"/>
          <w:lang w:bidi="ar-SA"/>
        </w:rPr>
        <w:instrText>ADDIN CSL_CITATION {"citationItems":[{"id":"ITEM-1","itemData":{"DOI":"10.29196/jubpas.v31i2.4665","ISSN":"1992-0652","abstract":"Background: Multidrug-resistant efflux pumps are one of the most significant methods by which bacteria can evade the effects of numerous antimicrobials. The aim of this study was to determine the prevalence of multidrug-resistant MDR, extremely drug-resistant XDR, and pan-drug-resistant PDR K. pneumoniae phenotypes in clinical isolates, as well as to examine the detection and prevalence of efflux pump genes ompK35, ompK36, tolC, and acrAB in multidrug-resistant K. pneumoniae strains.\r Materials and Methods: This study was conducted on 60 isolates of K. pneumoniae collected from different clinical samples in Erbil hospitals. The frequency of MDR, XDR, and PDR K. pneumoniae phenotypes was characterized through an antibiotic susceptibility profile, and genes associated with efflux pumps and porins were detected by polymerase chain reaction (PCR) assay.\r Results: All 60 K. pneumoniae isolates were resistance to one or more classes of antibiotics tested in this study. The maximum resistance was observed with ampicillin (95%), followed by piperacillin acid (83%). Among all isolates the percentage of MDR, XDR, and PDR were (38%), (37%), and (25%) respectively. Furthermore, the distribution of efflux pump genes was acrAB (95%) and tolC (93%), while the prevalence of porin-coding genes ompK35 and ompK36 were (80%) and (82%) respectively.\r Conclusion: Prevalence of MDR, XDR, and PDR K. pneumoniae strains in Erbil city is worrisome in hospital wards. Furthermore, Genes encoding efflux pump and porins such as acrAB, tolC, ompk35, and ompK36 were highly distributed among all isolates.","author":[{"dropping-particle":"","family":"Ahmed","given":"Zainab Sherzad","non-dropping-particle":"","parse-names":false,"suffix":""},{"dropping-particle":"","family":"Mawlood","given":"Ahang Hasan","non-dropping-particle":"","parse-names":false,"suffix":""}],"container-title":"JOURNAL OF UNIVERSITY OF BABYLON for Pure and Applied Sciences","id":"ITEM-1","issue":"2","issued":{"date-parts":[["2023"]]},"page":"115-127","title":"Molecular Characterization of Efflux Pump and Porin Related Genes in Multidrug Resistance Klebsiella pneumoniae Isolates Recovered from Erbil Hospitals","type":"article-journal","volume":"31"},"uris":["http://www.mendeley.com/documents/?uuid=3b2e2b90-37e7-4ea5-b62c-c45f59f7057f"]}],"mendeley":{"formattedCitation":"(39)","manualFormatting":"Ahmed &amp; Mawlood (2023","plainTextFormattedCitation":"(39)","previouslyFormattedCitation":"(39)"},"properties":{"noteIndex":0},"schema":"https://github.com/citation-style-language/schema/raw/master/csl-citation.json"}</w:instrText>
      </w:r>
      <w:r w:rsidRPr="00B65257">
        <w:rPr>
          <w:rFonts w:ascii="Times New Roman" w:hAnsi="Times New Roman" w:cs="Times New Roman"/>
          <w:sz w:val="24"/>
          <w:szCs w:val="24"/>
          <w:lang w:bidi="ar-SA"/>
        </w:rPr>
        <w:fldChar w:fldCharType="separate"/>
      </w:r>
      <w:r w:rsidRPr="00B65257">
        <w:rPr>
          <w:rFonts w:ascii="Times New Roman" w:hAnsi="Times New Roman" w:cs="Times New Roman"/>
          <w:noProof/>
          <w:sz w:val="24"/>
          <w:szCs w:val="24"/>
          <w:lang w:bidi="ar-SA"/>
        </w:rPr>
        <w:t>Ahmed &amp; Mawlood (2023</w:t>
      </w:r>
      <w:r w:rsidRPr="00B65257">
        <w:rPr>
          <w:rFonts w:ascii="Times New Roman" w:hAnsi="Times New Roman" w:cs="Times New Roman"/>
          <w:sz w:val="24"/>
          <w:szCs w:val="24"/>
          <w:lang w:bidi="ar-SA"/>
        </w:rPr>
        <w:fldChar w:fldCharType="end"/>
      </w:r>
      <w:r w:rsidRPr="00B65257">
        <w:rPr>
          <w:rFonts w:ascii="Times New Roman" w:hAnsi="Times New Roman" w:cs="Times New Roman"/>
          <w:sz w:val="24"/>
          <w:szCs w:val="24"/>
        </w:rPr>
        <w:t>)</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where </w:t>
      </w:r>
      <w:r w:rsidRPr="00B65257">
        <w:rPr>
          <w:rFonts w:ascii="Times New Roman" w:eastAsia="Calibri" w:hAnsi="Times New Roman" w:cs="Times New Roman"/>
          <w:sz w:val="24"/>
          <w:szCs w:val="24"/>
        </w:rPr>
        <w:t>the</w:t>
      </w:r>
      <w:r w:rsidRPr="00B65257">
        <w:rPr>
          <w:rFonts w:ascii="Times New Roman" w:hAnsi="Times New Roman" w:cs="Times New Roman"/>
          <w:sz w:val="24"/>
          <w:szCs w:val="24"/>
        </w:rPr>
        <w:t xml:space="preserve"> </w:t>
      </w:r>
      <w:r w:rsidRPr="00B65257">
        <w:rPr>
          <w:rFonts w:ascii="Times New Roman" w:hAnsi="Times New Roman" w:cs="Times New Roman"/>
          <w:i/>
          <w:iCs/>
          <w:sz w:val="24"/>
          <w:szCs w:val="24"/>
        </w:rPr>
        <w:lastRenderedPageBreak/>
        <w:t xml:space="preserve">acrAB </w:t>
      </w:r>
      <w:r w:rsidRPr="00B65257">
        <w:rPr>
          <w:rFonts w:ascii="Times New Roman" w:hAnsi="Times New Roman" w:cs="Times New Roman"/>
          <w:sz w:val="24"/>
          <w:szCs w:val="24"/>
        </w:rPr>
        <w:t>gene</w:t>
      </w:r>
      <w:r w:rsidRPr="00B65257">
        <w:rPr>
          <w:rFonts w:ascii="Times New Roman" w:eastAsia="Calibri" w:hAnsi="Times New Roman" w:cs="Times New Roman"/>
          <w:sz w:val="24"/>
          <w:szCs w:val="24"/>
        </w:rPr>
        <w:t>, encoding</w:t>
      </w:r>
      <w:r w:rsidRPr="00B65257">
        <w:rPr>
          <w:rFonts w:ascii="Times New Roman" w:hAnsi="Times New Roman" w:cs="Times New Roman"/>
          <w:sz w:val="24"/>
          <w:szCs w:val="24"/>
        </w:rPr>
        <w:t xml:space="preserve"> the efflux pump system</w:t>
      </w:r>
      <w:r w:rsidRPr="00B65257">
        <w:rPr>
          <w:rFonts w:ascii="Times New Roman" w:eastAsia="Calibri" w:hAnsi="Times New Roman" w:cs="Times New Roman"/>
          <w:sz w:val="24"/>
          <w:szCs w:val="24"/>
        </w:rPr>
        <w:t>,</w:t>
      </w:r>
      <w:r w:rsidRPr="00B65257">
        <w:rPr>
          <w:rFonts w:ascii="Times New Roman" w:hAnsi="Times New Roman" w:cs="Times New Roman"/>
          <w:sz w:val="24"/>
          <w:szCs w:val="24"/>
        </w:rPr>
        <w:t xml:space="preserve"> was </w:t>
      </w:r>
      <w:r w:rsidRPr="00B65257">
        <w:rPr>
          <w:rFonts w:ascii="Times New Roman" w:eastAsia="Calibri" w:hAnsi="Times New Roman" w:cs="Times New Roman"/>
          <w:sz w:val="24"/>
          <w:szCs w:val="24"/>
        </w:rPr>
        <w:t>detected</w:t>
      </w:r>
      <w:r w:rsidRPr="00B65257">
        <w:rPr>
          <w:rFonts w:ascii="Times New Roman" w:hAnsi="Times New Roman" w:cs="Times New Roman"/>
          <w:sz w:val="24"/>
          <w:szCs w:val="24"/>
        </w:rPr>
        <w:t xml:space="preserve"> in 100% of </w:t>
      </w:r>
      <w:r w:rsidRPr="00B65257">
        <w:rPr>
          <w:rFonts w:ascii="Times New Roman" w:eastAsia="Calibri" w:hAnsi="Times New Roman" w:cs="Times New Roman"/>
          <w:sz w:val="24"/>
          <w:szCs w:val="24"/>
        </w:rPr>
        <w:t xml:space="preserve">the </w:t>
      </w:r>
      <w:r w:rsidRPr="00B65257">
        <w:rPr>
          <w:rFonts w:ascii="Times New Roman" w:hAnsi="Times New Roman" w:cs="Times New Roman"/>
          <w:sz w:val="24"/>
          <w:szCs w:val="24"/>
        </w:rPr>
        <w:t>urine samples.</w:t>
      </w:r>
    </w:p>
    <w:p w:rsidR="00F068DB" w:rsidRPr="00B65257" w:rsidRDefault="00595131" w:rsidP="00F068DB">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The findings also indicated that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isolates from inpatients were more likely to exhibit carbapenem resistance and efflux pump activity, likely due to the increased use of invasive medical devices and immunosuppressive therapies, which create environments conducive to MDR bacteria </w:t>
      </w:r>
      <w:r w:rsidRPr="00B65257">
        <w:rPr>
          <w:rFonts w:ascii="Times New Roman" w:eastAsia="Times New Roman" w:hAnsi="Times New Roman" w:cs="Times New Roman"/>
          <w:sz w:val="24"/>
          <w:szCs w:val="24"/>
        </w:rPr>
        <w:fldChar w:fldCharType="begin" w:fldLock="1"/>
      </w:r>
      <w:r w:rsidR="005562A9" w:rsidRPr="00B65257">
        <w:rPr>
          <w:rFonts w:ascii="Times New Roman" w:eastAsia="Times New Roman" w:hAnsi="Times New Roman" w:cs="Times New Roman"/>
          <w:sz w:val="24"/>
          <w:szCs w:val="24"/>
        </w:rPr>
        <w:instrText>ADDIN CSL_CITATION {"citationItems":[{"id":"ITEM-1","itemData":{"DOI":"10.54796/njb.v10i1.229","ISSN":"20911130","abstract":"Klebsiella pneumoniae is a common opportunistic pathogen causing a wide range of infections; pneumonia, urinary tract infection, bacteremia, and liver abscesses. It infects primarily immunocompromised and immunocompetent individuals. It presents itself as an antibiotic-resistant bacterium, especially for third-generation cephalosporins and carbapenems, creating serious global challenges. Therefore, this cross-sectional study was conducted in B &amp; B Hospital, Lalitpur to screen the distribution of carbapenem resistance K. pneumoniae through ertapenem and to assess the minimum inhibitory concentration of imipenem for screened carbapenem resistance K. pneumoniae. From 3447 different clinical samples collected according to standard guidelines, K. pneumoniae was identified using standard microbiological techniques; staining and a panel of biochemical tests. The antibiotic susceptibility test of the isolates was performed by the Kirby-Bauer disc diffusion method as per CLSI 2018 guidelines. The screening of carbapenem resistance was assessed by using ertapenem disc and the MIC of imipenem for carbapenem resistance and intermediate was performed using an Epsilometer. A total of 85 K. pneumoniae were identified and their antibiotic susceptibility test revealed that ceftriaxone was the least effective antibiotic. The number of MDR, carbapenem-resistant and intermediate isolates was 51, 46, and 3, respectively. The MIC of imipenem through an Epsilometer from ertapenem resistant and intermediate revealed that 31, 5, and 13 isolates were resistant, intermediate, and sensitive respectively. These findings showed the inconsistency in the detection of carbapenem-resistant isolates in routine microbiology laboratories and further support the other tests for the detection of carbapenem resistance as suggested by CLSI.","author":[{"dropping-particle":"","family":"Saud","given":"Sarada","non-dropping-particle":"","parse-names":false,"suffix":""},{"dropping-particle":"","family":"Agrawal","given":"Ashwani","non-dropping-particle":"","parse-names":false,"suffix":""},{"dropping-particle":"","family":"Pokhrel","given":"Soniya","non-dropping-particle":"","parse-names":false,"suffix":""},{"dropping-particle":"","family":"Subedi","given":"Sushma","non-dropping-particle":"","parse-names":false,"suffix":""},{"dropping-particle":"","family":"Shrestha","given":"Sanjit","non-dropping-particle":"","parse-names":false,"suffix":""},{"dropping-particle":"","family":"Man Amatya","given":"Niroj","non-dropping-particle":"","parse-names":false,"suffix":""}],"container-title":"Nepal Journal of Biotechnology","id":"ITEM-1","issue":"1","issued":{"date-parts":[["2022","7","30"]]},"page":"40-44","publisher":"Biotechnology Society of Nepal","title":"Screening of Carbapenem Resistance Klebsiella pneumoniae and its MIC against Imipenem","type":"article-journal","volume":"10"},"uris":["http://www.mendeley.com/documents/?uuid=ed44c6d3-592f-3fc1-bf23-d3bfaffc4308"]},{"id":"ITEM-2","itemData":{"DOI":"10.1177/03000605221079761","ISSN":"14732300","PMID":"35216543","abstract":"Objective: This study analyzed the characteristics and tendencies of resistance to common antibiotics for Klebsiella pneumoniae to provide a basis for clinical treatment and prevention. Methods: A total of 71,743 isolates were collected from hospital clinical specimens following standard procedures from 2006 to 2020. Statistical analyses were conducted on laboratory test results. Results: A total of 3054 isolates of K. pneumoniae were mainly isolated from sputum (53.77%), urine (14.70%), and blood (8.42%). Isolation rates of strains in the AIDS, hepatology, and intensive care wards were 9.72%, 12.52%, and 16.45%, respectively. Resistance rates of imipenem, cefazolin, gentamicin, tobramycin, ciprofloxacin, and ceftazidime respectively increased from 2.33%, 27.91%, 16.28%, 13.95%, 18.60%, and 9.30% to 12.83%, 40.82%, 21.57%, 25.07%, 44.61%, and 17.78%, while piperacillin–tazobactam resistance decreased from 13.95% to 13.70%. Differences in resistance rates to seven antibiotics were significant among specimen types. Detection rates of carbapenem-resistant K. pneumoniae were significantly different among blood, sputum, and urine specimens, and between wards. Conclusions: The prevalence and drug resistance of K. pneumoniae showed an upward trend over time, and resistance varied according to ward and specimen source. The prevention of nosocomial infections and rational drug use must be emphasized to reduce antimicrobial resistance.","author":[{"dropping-particle":"","family":"Lin","given":"Zhezhe","non-dropping-particle":"","parse-names":false,"suffix":""},{"dropping-particle":"","family":"Yu","given":"Jianhua","non-dropping-particle":"","parse-names":false,"suffix":""},{"dropping-particle":"","family":"Liu","given":"Shourong","non-dropping-particle":"","parse-names":false,"suffix":""},{"dropping-particle":"","family":"Zhu","given":"Mingli","non-dropping-particle":"","parse-names":false,"suffix":""}],"container-title":"Journal of International Medical Research","id":"ITEM-2","issue":"2","issued":{"date-parts":[["2022","2","1"]]},"publisher":"SAGE Publications Ltd","title":"Prevalence and antibiotic resistance of Klebsiella pneumoniae in a tertiary hospital in Hangzhou, China, 2006–2020","type":"article-journal","volume":"50"},"uris":["http://www.mendeley.com/documents/?uuid=ce1c1034-e5e9-32fb-9ade-c7fb5dab43ac"]}],"mendeley":{"formattedCitation":"(4,42)","plainTextFormattedCitation":"(4,42)","previouslyFormattedCitation":"(4,42)"},"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11656F" w:rsidRPr="00B65257">
        <w:rPr>
          <w:rFonts w:ascii="Times New Roman" w:eastAsia="Times New Roman" w:hAnsi="Times New Roman" w:cs="Times New Roman"/>
          <w:noProof/>
          <w:sz w:val="24"/>
          <w:szCs w:val="24"/>
        </w:rPr>
        <w:t>(4,42)</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xml:space="preserve">. The higher detection rate of efflux genes in isolates from urine samples also aligns with research suggesting that urinary tract infections are often complicated by efflux-mediated resistance mechanisms </w:t>
      </w:r>
      <w:r w:rsidRPr="00B65257">
        <w:rPr>
          <w:rFonts w:ascii="Times New Roman" w:eastAsia="Times New Roman" w:hAnsi="Times New Roman" w:cs="Times New Roman"/>
          <w:sz w:val="24"/>
          <w:szCs w:val="24"/>
        </w:rPr>
        <w:fldChar w:fldCharType="begin" w:fldLock="1"/>
      </w:r>
      <w:r w:rsidR="005562A9" w:rsidRPr="00B65257">
        <w:rPr>
          <w:rFonts w:ascii="Times New Roman" w:eastAsia="Times New Roman" w:hAnsi="Times New Roman" w:cs="Times New Roman"/>
          <w:sz w:val="24"/>
          <w:szCs w:val="24"/>
        </w:rPr>
        <w:instrText>ADDIN CSL_CITATION {"citationItems":[{"id":"ITEM-1","itemData":{"DOI":"10.29196/jubpas.v31i2.4665","ISSN":"1992-0652","abstract":"Background: Multidrug-resistant efflux pumps are one of the most significant methods by which bacteria can evade the effects of numerous antimicrobials. The aim of this study was to determine the prevalence of multidrug-resistant MDR, extremely drug-resistant XDR, and pan-drug-resistant PDR K. pneumoniae phenotypes in clinical isolates, as well as to examine the detection and prevalence of efflux pump genes ompK35, ompK36, tolC, and acrAB in multidrug-resistant K. pneumoniae strains.\r Materials and Methods: This study was conducted on 60 isolates of K. pneumoniae collected from different clinical samples in Erbil hospitals. The frequency of MDR, XDR, and PDR K. pneumoniae phenotypes was characterized through an antibiotic susceptibility profile, and genes associated with efflux pumps and porins were detected by polymerase chain reaction (PCR) assay.\r Results: All 60 K. pneumoniae isolates were resistance to one or more classes of antibiotics tested in this study. The maximum resistance was observed with ampicillin (95%), followed by piperacillin acid (83%). Among all isolates the percentage of MDR, XDR, and PDR were (38%), (37%), and (25%) respectively. Furthermore, the distribution of efflux pump genes was acrAB (95%) and tolC (93%), while the prevalence of porin-coding genes ompK35 and ompK36 were (80%) and (82%) respectively.\r Conclusion: Prevalence of MDR, XDR, and PDR K. pneumoniae strains in Erbil city is worrisome in hospital wards. Furthermore, Genes encoding efflux pump and porins such as acrAB, tolC, ompk35, and ompK36 were highly distributed among all isolates.","author":[{"dropping-particle":"","family":"Ahmed","given":"Zainab Sherzad","non-dropping-particle":"","parse-names":false,"suffix":""},{"dropping-particle":"","family":"Mawlood","given":"Ahang Hasan","non-dropping-particle":"","parse-names":false,"suffix":""}],"container-title":"JOURNAL OF UNIVERSITY OF BABYLON for Pure and Applied Sciences","id":"ITEM-1","issue":"2","issued":{"date-parts":[["2023"]]},"page":"115-127","title":"Molecular Characterization of Efflux Pump and Porin Related Genes in Multidrug Resistance Klebsiella pneumoniae Isolates Recovered from Erbil Hospitals","type":"article-journal","volume":"31"},"uris":["http://www.mendeley.com/documents/?uuid=3b2e2b90-37e7-4ea5-b62c-c45f59f7057f"]}],"mendeley":{"formattedCitation":"(39)","plainTextFormattedCitation":"(39)","previouslyFormattedCitation":"(39)"},"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11656F" w:rsidRPr="00B65257">
        <w:rPr>
          <w:rFonts w:ascii="Times New Roman" w:eastAsia="Times New Roman" w:hAnsi="Times New Roman" w:cs="Times New Roman"/>
          <w:noProof/>
          <w:sz w:val="24"/>
          <w:szCs w:val="24"/>
        </w:rPr>
        <w:t>(39)</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w:t>
      </w:r>
    </w:p>
    <w:p w:rsidR="00F068DB" w:rsidRPr="00B65257" w:rsidRDefault="00595131" w:rsidP="00F068DB">
      <w:pPr>
        <w:spacing w:before="100" w:beforeAutospacing="1" w:after="100" w:afterAutospacing="1" w:line="360" w:lineRule="auto"/>
        <w:jc w:val="both"/>
        <w:rPr>
          <w:rFonts w:ascii="Times New Roman" w:eastAsia="Times New Roman" w:hAnsi="Times New Roman" w:cs="Times New Roman"/>
          <w:sz w:val="24"/>
          <w:szCs w:val="24"/>
        </w:rPr>
      </w:pPr>
      <w:r w:rsidRPr="00B65257">
        <w:rPr>
          <w:rFonts w:ascii="Times New Roman" w:eastAsia="Times New Roman" w:hAnsi="Times New Roman" w:cs="Times New Roman"/>
          <w:sz w:val="24"/>
          <w:szCs w:val="24"/>
        </w:rPr>
        <w:t xml:space="preserve">Overall, this study highlights the complex interplay of efflux pumps and carbapenemases in the development of resistance in </w:t>
      </w:r>
      <w:r w:rsidRPr="00B65257">
        <w:rPr>
          <w:rFonts w:ascii="Times New Roman" w:eastAsia="Times New Roman" w:hAnsi="Times New Roman" w:cs="Times New Roman"/>
          <w:i/>
          <w:iCs/>
          <w:sz w:val="24"/>
          <w:szCs w:val="24"/>
        </w:rPr>
        <w:t>K. pneumoniae</w:t>
      </w:r>
      <w:r w:rsidRPr="00B65257">
        <w:rPr>
          <w:rFonts w:ascii="Times New Roman" w:eastAsia="Times New Roman" w:hAnsi="Times New Roman" w:cs="Times New Roman"/>
          <w:sz w:val="24"/>
          <w:szCs w:val="24"/>
        </w:rPr>
        <w:t xml:space="preserve">. The significant association between the presence of efflux pump genes and MDR patterns, combined with the increasing prevalence of carbapenemase-producing isolates, has posed a major challenge for the clinical management of infections. As previously suggested by researchers </w:t>
      </w:r>
      <w:r w:rsidRPr="00B65257">
        <w:rPr>
          <w:rFonts w:ascii="Times New Roman" w:eastAsia="Times New Roman" w:hAnsi="Times New Roman" w:cs="Times New Roman"/>
          <w:sz w:val="24"/>
          <w:szCs w:val="24"/>
        </w:rPr>
        <w:fldChar w:fldCharType="begin" w:fldLock="1"/>
      </w:r>
      <w:r w:rsidR="005562A9" w:rsidRPr="00B65257">
        <w:rPr>
          <w:rFonts w:ascii="Times New Roman" w:eastAsia="Times New Roman" w:hAnsi="Times New Roman" w:cs="Times New Roman"/>
          <w:sz w:val="24"/>
          <w:szCs w:val="24"/>
        </w:rPr>
        <w:instrText>ADDIN CSL_CITATION {"citationItems":[{"id":"ITEM-1","itemData":{"DOI":"10.1128/AAC.00296-11","ISSN":"00664804","PMID":"21859938","abstract":"In this review, we summarize the current \"state of the art\" of carbapenem antibiotics and their role in our antimicrobial armamentarium. Among the β-lactams currently available, carbapenems are unique because they are relatively resistant to hydrolysis by most β-lactamases, in some cases act as \"slow substrates\" or inhibitors of β-lactamases, and still target penicillin binding proteins. This \"value-added feature\" of inhibiting β-lactamases serves as a major rationale for expansion of this class of β-lactams. We describe the initial discovery and development of the carbapenem family of β-lactams. Of the early carbapenems evaluated, thienamycin demonstrated the greatest antimicrobial activity and became the parent compound for all subsequent carbapenems. To date, more than 80 compounds with mostly improved antimicrobial properties, compared to those of thienamycin, are described in the literature. We also highlight important features of the carbapenems that are presently in clinical use: imipenem-cilastatin, meropenem, ertapenem, doripenem, panipenem-betamipron, and biapenem. In closing, we emphasize some major challenges and urge the medicinal chemist to continue development of these versatile and potent compounds, as they have served us well for more than 3 decades. Copyright © 2011, American Society for Microbiology. All Rights Reserved.","author":[{"dropping-particle":"","family":"Papp-Wallace","given":"Krisztina M.","non-dropping-particle":"","parse-names":false,"suffix":""},{"dropping-particle":"","family":"Endimiani","given":"Andrea","non-dropping-particle":"","parse-names":false,"suffix":""},{"dropping-particle":"","family":"Taracila","given":"Magdalena A.","non-dropping-particle":"","parse-names":false,"suffix":""},{"dropping-particle":"","family":"Bonomo","given":"Robert A.","non-dropping-particle":"","parse-names":false,"suffix":""}],"container-title":"Antimicrobial Agents and Chemotherapy","id":"ITEM-1","issue":"11","issued":{"date-parts":[["2011"]]},"page":"4943-4960","title":"Carbapenems: Past, present, and future","type":"article-journal","volume":"55"},"uris":["http://www.mendeley.com/documents/?uuid=15dbcc6b-55f8-426a-ba68-19b44ea84391"]},{"id":"ITEM-2","itemData":{"DOI":"10.54796/njb.v10i1.229","ISSN":"20911130","abstract":"Klebsiella pneumoniae is a common opportunistic pathogen causing a wide range of infections; pneumonia, urinary tract infection, bacteremia, and liver abscesses. It infects primarily immunocompromised and immunocompetent individuals. It presents itself as an antibiotic-resistant bacterium, especially for third-generation cephalosporins and carbapenems, creating serious global challenges. Therefore, this cross-sectional study was conducted in B &amp; B Hospital, Lalitpur to screen the distribution of carbapenem resistance K. pneumoniae through ertapenem and to assess the minimum inhibitory concentration of imipenem for screened carbapenem resistance K. pneumoniae. From 3447 different clinical samples collected according to standard guidelines, K. pneumoniae was identified using standard microbiological techniques; staining and a panel of biochemical tests. The antibiotic susceptibility test of the isolates was performed by the Kirby-Bauer disc diffusion method as per CLSI 2018 guidelines. The screening of carbapenem resistance was assessed by using ertapenem disc and the MIC of imipenem for carbapenem resistance and intermediate was performed using an Epsilometer. A total of 85 K. pneumoniae were identified and their antibiotic susceptibility test revealed that ceftriaxone was the least effective antibiotic. The number of MDR, carbapenem-resistant and intermediate isolates was 51, 46, and 3, respectively. The MIC of imipenem through an Epsilometer from ertapenem resistant and intermediate revealed that 31, 5, and 13 isolates were resistant, intermediate, and sensitive respectively. These findings showed the inconsistency in the detection of carbapenem-resistant isolates in routine microbiology laboratories and further support the other tests for the detection of carbapenem resistance as suggested by CLSI.","author":[{"dropping-particle":"","family":"Saud","given":"Sarada","non-dropping-particle":"","parse-names":false,"suffix":""},{"dropping-particle":"","family":"Agrawal","given":"Ashwani","non-dropping-particle":"","parse-names":false,"suffix":""},{"dropping-particle":"","family":"Pokhrel","given":"Soniya","non-dropping-particle":"","parse-names":false,"suffix":""},{"dropping-particle":"","family":"Subedi","given":"Sushma","non-dropping-particle":"","parse-names":false,"suffix":""},{"dropping-particle":"","family":"Shrestha","given":"Sanjit","non-dropping-particle":"","parse-names":false,"suffix":""},{"dropping-particle":"","family":"Man Amatya","given":"Niroj","non-dropping-particle":"","parse-names":false,"suffix":""}],"container-title":"Nepal Journal of Biotechnology","id":"ITEM-2","issue":"1","issued":{"date-parts":[["2022","7","30"]]},"page":"40-44","publisher":"Biotechnology Society of Nepal","title":"Screening of Carbapenem Resistance Klebsiella pneumoniae and its MIC against Imipenem","type":"article-journal","volume":"10"},"uris":["http://www.mendeley.com/documents/?uuid=ed44c6d3-592f-3fc1-bf23-d3bfaffc4308"]}],"mendeley":{"formattedCitation":"(4,41)","plainTextFormattedCitation":"(4,41)","previouslyFormattedCitation":"(4,41)"},"properties":{"noteIndex":0},"schema":"https://github.com/citation-style-language/schema/raw/master/csl-citation.json"}</w:instrText>
      </w:r>
      <w:r w:rsidRPr="00B65257">
        <w:rPr>
          <w:rFonts w:ascii="Times New Roman" w:eastAsia="Times New Roman" w:hAnsi="Times New Roman" w:cs="Times New Roman"/>
          <w:sz w:val="24"/>
          <w:szCs w:val="24"/>
        </w:rPr>
        <w:fldChar w:fldCharType="separate"/>
      </w:r>
      <w:r w:rsidR="0011656F" w:rsidRPr="00B65257">
        <w:rPr>
          <w:rFonts w:ascii="Times New Roman" w:eastAsia="Times New Roman" w:hAnsi="Times New Roman" w:cs="Times New Roman"/>
          <w:noProof/>
          <w:sz w:val="24"/>
          <w:szCs w:val="24"/>
        </w:rPr>
        <w:t>(4,41)</w:t>
      </w:r>
      <w:r w:rsidRPr="00B65257">
        <w:rPr>
          <w:rFonts w:ascii="Times New Roman" w:eastAsia="Times New Roman" w:hAnsi="Times New Roman" w:cs="Times New Roman"/>
          <w:sz w:val="24"/>
          <w:szCs w:val="24"/>
        </w:rPr>
        <w:fldChar w:fldCharType="end"/>
      </w:r>
      <w:r w:rsidRPr="00B65257">
        <w:rPr>
          <w:rFonts w:ascii="Times New Roman" w:eastAsia="Times New Roman" w:hAnsi="Times New Roman" w:cs="Times New Roman"/>
          <w:sz w:val="24"/>
          <w:szCs w:val="24"/>
        </w:rPr>
        <w:t>, strategies such as combination therapies (e.g., carbapenems with tetracyclines or colistin) may offer some hope in delaying the progression of resistance, although ongoing surveillance and strict antibiotic stewardship are paramount in curbing the spread of resistant strains.</w:t>
      </w:r>
    </w:p>
    <w:p w:rsidR="00B95EE2" w:rsidRPr="00B65257" w:rsidRDefault="00595131" w:rsidP="00B95EE2">
      <w:pPr>
        <w:keepNext/>
        <w:keepLines/>
        <w:spacing w:before="240" w:after="0" w:line="360" w:lineRule="auto"/>
        <w:outlineLvl w:val="0"/>
        <w:rPr>
          <w:rFonts w:ascii="Times New Roman" w:eastAsiaTheme="majorEastAsia" w:hAnsi="Times New Roman" w:cs="Times New Roman"/>
          <w:b/>
          <w:bCs/>
          <w:sz w:val="32"/>
          <w:szCs w:val="32"/>
          <w:lang w:bidi="ar-SA"/>
        </w:rPr>
      </w:pPr>
      <w:r w:rsidRPr="00B65257">
        <w:rPr>
          <w:rFonts w:ascii="Times New Roman" w:eastAsiaTheme="majorEastAsia" w:hAnsi="Times New Roman" w:cs="Times New Roman"/>
          <w:b/>
          <w:bCs/>
          <w:sz w:val="32"/>
          <w:szCs w:val="32"/>
          <w:lang w:bidi="ar-SA"/>
        </w:rPr>
        <w:t>CONCLUSI</w:t>
      </w:r>
      <w:bookmarkStart w:id="11" w:name="_Toc160141076"/>
      <w:bookmarkEnd w:id="10"/>
      <w:r w:rsidRPr="00B65257">
        <w:rPr>
          <w:rFonts w:ascii="Times New Roman" w:eastAsiaTheme="majorEastAsia" w:hAnsi="Times New Roman" w:cs="Times New Roman"/>
          <w:b/>
          <w:bCs/>
          <w:sz w:val="32"/>
          <w:szCs w:val="32"/>
          <w:lang w:bidi="ar-SA"/>
        </w:rPr>
        <w:t>ON</w:t>
      </w:r>
      <w:bookmarkEnd w:id="11"/>
    </w:p>
    <w:p w:rsidR="00B95EE2" w:rsidRPr="00B65257" w:rsidRDefault="00595131" w:rsidP="00B95EE2">
      <w:pPr>
        <w:tabs>
          <w:tab w:val="left" w:pos="2100"/>
        </w:tabs>
        <w:spacing w:after="240" w:line="360" w:lineRule="auto"/>
        <w:jc w:val="both"/>
        <w:rPr>
          <w:rFonts w:ascii="Times New Roman" w:hAnsi="Times New Roman" w:cs="Times New Roman"/>
          <w:sz w:val="24"/>
          <w:szCs w:val="24"/>
          <w:lang w:bidi="ar-SA"/>
        </w:rPr>
      </w:pPr>
      <w:r w:rsidRPr="00B65257">
        <w:rPr>
          <w:rFonts w:ascii="Times New Roman" w:hAnsi="Times New Roman" w:cs="Times New Roman"/>
          <w:i/>
          <w:iCs/>
          <w:sz w:val="24"/>
          <w:szCs w:val="24"/>
          <w:lang w:bidi="ar-SA"/>
        </w:rPr>
        <w:t xml:space="preserve">K. pneumoniae </w:t>
      </w:r>
      <w:r w:rsidRPr="00B65257">
        <w:rPr>
          <w:rFonts w:ascii="Times New Roman" w:hAnsi="Times New Roman" w:cs="Times New Roman"/>
          <w:sz w:val="24"/>
          <w:szCs w:val="24"/>
          <w:lang w:bidi="ar-SA"/>
        </w:rPr>
        <w:t xml:space="preserve">was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predominant gram-negative bacteria after </w:t>
      </w:r>
      <w:r w:rsidRPr="00B65257">
        <w:rPr>
          <w:rFonts w:ascii="Times New Roman" w:hAnsi="Times New Roman" w:cs="Times New Roman"/>
          <w:i/>
          <w:iCs/>
          <w:sz w:val="24"/>
          <w:szCs w:val="24"/>
          <w:lang w:bidi="ar-SA"/>
        </w:rPr>
        <w:t xml:space="preserve">Acinetobacter </w:t>
      </w:r>
      <w:r w:rsidRPr="00B65257">
        <w:rPr>
          <w:rFonts w:ascii="Times New Roman" w:hAnsi="Times New Roman" w:cs="Times New Roman"/>
          <w:sz w:val="24"/>
          <w:szCs w:val="24"/>
          <w:lang w:bidi="ar-SA"/>
        </w:rPr>
        <w:t xml:space="preserve">spp. and </w:t>
      </w:r>
      <w:r w:rsidRPr="00B65257">
        <w:rPr>
          <w:rFonts w:ascii="Times New Roman" w:hAnsi="Times New Roman" w:cs="Times New Roman"/>
          <w:i/>
          <w:iCs/>
          <w:sz w:val="24"/>
          <w:szCs w:val="24"/>
          <w:lang w:bidi="ar-SA"/>
        </w:rPr>
        <w:t>E. coli</w:t>
      </w:r>
      <w:r w:rsidRPr="00B65257">
        <w:rPr>
          <w:rFonts w:ascii="Times New Roman" w:hAnsi="Times New Roman" w:cs="Times New Roman"/>
          <w:sz w:val="24"/>
          <w:szCs w:val="24"/>
          <w:lang w:bidi="ar-SA"/>
        </w:rPr>
        <w:t xml:space="preserve">. </w:t>
      </w:r>
      <w:r w:rsidRPr="00B65257">
        <w:rPr>
          <w:rFonts w:ascii="Times New Roman" w:eastAsia="Calibri" w:hAnsi="Times New Roman" w:cs="Times New Roman"/>
          <w:sz w:val="24"/>
          <w:szCs w:val="24"/>
          <w:lang w:bidi="ar-SA"/>
        </w:rPr>
        <w:t>On the basis of</w:t>
      </w:r>
      <w:r w:rsidRPr="00B65257">
        <w:rPr>
          <w:rFonts w:ascii="Times New Roman" w:hAnsi="Times New Roman" w:cs="Times New Roman"/>
          <w:sz w:val="24"/>
          <w:szCs w:val="24"/>
          <w:lang w:bidi="ar-SA"/>
        </w:rPr>
        <w:t xml:space="preserve"> phenotypic confirmation by mCIM</w:t>
      </w:r>
      <w:r w:rsidRPr="00B65257">
        <w:rPr>
          <w:rFonts w:ascii="Times New Roman" w:eastAsia="Calibri" w:hAnsi="Times New Roman" w:cs="Times New Roman"/>
          <w:sz w:val="24"/>
          <w:szCs w:val="24"/>
          <w:lang w:bidi="ar-SA"/>
        </w:rPr>
        <w:t>,</w:t>
      </w:r>
      <w:r w:rsidRPr="00B65257">
        <w:rPr>
          <w:rFonts w:ascii="Times New Roman" w:hAnsi="Times New Roman" w:cs="Times New Roman"/>
          <w:sz w:val="24"/>
          <w:szCs w:val="24"/>
          <w:lang w:bidi="ar-SA"/>
        </w:rPr>
        <w:t xml:space="preserve"> the overall prevalence of carbapenemase producers was 31.</w:t>
      </w:r>
      <w:r w:rsidRPr="00B65257">
        <w:rPr>
          <w:rFonts w:ascii="Times New Roman" w:eastAsia="Calibri" w:hAnsi="Times New Roman" w:cs="Times New Roman"/>
          <w:sz w:val="24"/>
          <w:szCs w:val="24"/>
          <w:lang w:bidi="ar-SA"/>
        </w:rPr>
        <w:t>11%</w:t>
      </w:r>
      <w:r w:rsidRPr="00B65257">
        <w:rPr>
          <w:rFonts w:ascii="Times New Roman" w:hAnsi="Times New Roman" w:cs="Times New Roman"/>
          <w:sz w:val="24"/>
          <w:szCs w:val="24"/>
          <w:lang w:bidi="ar-SA"/>
        </w:rPr>
        <w:t xml:space="preserve"> (14/45). In this study, </w:t>
      </w:r>
      <w:r w:rsidRPr="00B65257">
        <w:rPr>
          <w:rFonts w:ascii="Times New Roman" w:eastAsia="Calibri" w:hAnsi="Times New Roman" w:cs="Times New Roman"/>
          <w:sz w:val="24"/>
          <w:szCs w:val="24"/>
          <w:lang w:bidi="ar-SA"/>
        </w:rPr>
        <w:t>polymyxin</w:t>
      </w:r>
      <w:r w:rsidRPr="00B65257">
        <w:rPr>
          <w:rFonts w:ascii="Times New Roman" w:hAnsi="Times New Roman" w:cs="Times New Roman"/>
          <w:sz w:val="24"/>
          <w:szCs w:val="24"/>
          <w:lang w:bidi="ar-SA"/>
        </w:rPr>
        <w:t xml:space="preserve"> and </w:t>
      </w:r>
      <w:r w:rsidRPr="00B65257">
        <w:rPr>
          <w:rFonts w:ascii="Times New Roman" w:eastAsia="Calibri" w:hAnsi="Times New Roman" w:cs="Times New Roman"/>
          <w:sz w:val="24"/>
          <w:szCs w:val="24"/>
          <w:lang w:bidi="ar-SA"/>
        </w:rPr>
        <w:t>colistin</w:t>
      </w:r>
      <w:r w:rsidRPr="00B65257">
        <w:rPr>
          <w:rFonts w:ascii="Times New Roman" w:hAnsi="Times New Roman" w:cs="Times New Roman"/>
          <w:sz w:val="24"/>
          <w:szCs w:val="24"/>
          <w:lang w:bidi="ar-SA"/>
        </w:rPr>
        <w:t xml:space="preserve"> were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most effective antibiotics. All </w:t>
      </w:r>
      <w:r w:rsidRPr="00B65257">
        <w:rPr>
          <w:rFonts w:ascii="Times New Roman" w:eastAsia="Calibri" w:hAnsi="Times New Roman" w:cs="Times New Roman"/>
          <w:sz w:val="24"/>
          <w:szCs w:val="24"/>
          <w:lang w:bidi="ar-SA"/>
        </w:rPr>
        <w:t>the multidrug-</w:t>
      </w:r>
      <w:r w:rsidRPr="00B65257">
        <w:rPr>
          <w:rFonts w:ascii="Times New Roman" w:hAnsi="Times New Roman" w:cs="Times New Roman"/>
          <w:sz w:val="24"/>
          <w:szCs w:val="24"/>
          <w:lang w:bidi="ar-SA"/>
        </w:rPr>
        <w:t xml:space="preserve">resistant </w:t>
      </w:r>
      <w:r w:rsidRPr="00B65257">
        <w:rPr>
          <w:rFonts w:ascii="Times New Roman" w:hAnsi="Times New Roman" w:cs="Times New Roman"/>
          <w:i/>
          <w:iCs/>
          <w:sz w:val="24"/>
          <w:szCs w:val="24"/>
          <w:lang w:bidi="ar-SA"/>
        </w:rPr>
        <w:t xml:space="preserve">K. pneumoniae </w:t>
      </w:r>
      <w:r w:rsidRPr="00B65257">
        <w:rPr>
          <w:rFonts w:ascii="Times New Roman" w:eastAsia="Calibri" w:hAnsi="Times New Roman" w:cs="Times New Roman"/>
          <w:sz w:val="24"/>
          <w:szCs w:val="24"/>
          <w:lang w:bidi="ar-SA"/>
        </w:rPr>
        <w:t>strains harbored genes encoding efflux pumps. Compared with that in outpatients, the</w:t>
      </w:r>
      <w:r w:rsidRPr="00B65257">
        <w:rPr>
          <w:rFonts w:ascii="Times New Roman" w:hAnsi="Times New Roman" w:cs="Times New Roman"/>
          <w:sz w:val="24"/>
          <w:szCs w:val="24"/>
          <w:lang w:bidi="ar-SA"/>
        </w:rPr>
        <w:t xml:space="preserve"> percentage of </w:t>
      </w:r>
      <w:r w:rsidRPr="00B65257">
        <w:rPr>
          <w:rFonts w:ascii="Times New Roman" w:hAnsi="Times New Roman" w:cs="Times New Roman"/>
          <w:i/>
          <w:iCs/>
          <w:sz w:val="24"/>
          <w:szCs w:val="24"/>
          <w:lang w:bidi="ar-SA"/>
        </w:rPr>
        <w:t>K. pneumoniae</w:t>
      </w:r>
      <w:r w:rsidRPr="00B65257">
        <w:rPr>
          <w:rFonts w:ascii="Times New Roman" w:hAnsi="Times New Roman" w:cs="Times New Roman"/>
          <w:sz w:val="24"/>
          <w:szCs w:val="24"/>
          <w:lang w:bidi="ar-SA"/>
        </w:rPr>
        <w:t xml:space="preserve"> </w:t>
      </w:r>
      <w:r w:rsidRPr="00B65257">
        <w:rPr>
          <w:rFonts w:ascii="Times New Roman" w:eastAsia="Calibri" w:hAnsi="Times New Roman" w:cs="Times New Roman"/>
          <w:sz w:val="24"/>
          <w:szCs w:val="24"/>
          <w:lang w:bidi="ar-SA"/>
        </w:rPr>
        <w:t xml:space="preserve">in inpatients was greater. Carbapenem resistance was revealed owing to the presence of the efflux pump genes </w:t>
      </w:r>
      <w:r w:rsidRPr="00B65257">
        <w:rPr>
          <w:rFonts w:ascii="Times New Roman" w:eastAsia="Calibri" w:hAnsi="Times New Roman" w:cs="Times New Roman"/>
          <w:i/>
          <w:iCs/>
          <w:sz w:val="24"/>
          <w:szCs w:val="24"/>
          <w:lang w:bidi="ar-SA"/>
        </w:rPr>
        <w:t xml:space="preserve">acrA </w:t>
      </w:r>
      <w:r w:rsidRPr="00B65257">
        <w:rPr>
          <w:rFonts w:ascii="Times New Roman" w:eastAsia="Calibri" w:hAnsi="Times New Roman" w:cs="Times New Roman"/>
          <w:sz w:val="24"/>
          <w:szCs w:val="24"/>
          <w:lang w:bidi="ar-SA"/>
        </w:rPr>
        <w:t xml:space="preserve">and </w:t>
      </w:r>
      <w:r w:rsidRPr="00B65257">
        <w:rPr>
          <w:rFonts w:ascii="Times New Roman" w:eastAsia="Calibri" w:hAnsi="Times New Roman" w:cs="Times New Roman"/>
          <w:i/>
          <w:iCs/>
          <w:sz w:val="24"/>
          <w:szCs w:val="24"/>
          <w:lang w:bidi="ar-SA"/>
        </w:rPr>
        <w:t>acrB</w:t>
      </w:r>
      <w:r w:rsidRPr="00B65257">
        <w:rPr>
          <w:rFonts w:ascii="Times New Roman" w:hAnsi="Times New Roman" w:cs="Times New Roman"/>
          <w:sz w:val="24"/>
          <w:szCs w:val="24"/>
          <w:lang w:bidi="ar-SA"/>
        </w:rPr>
        <w:t>.</w:t>
      </w:r>
    </w:p>
    <w:p w:rsidR="00573E52" w:rsidRPr="00B65257" w:rsidRDefault="00573E52" w:rsidP="00B95EE2">
      <w:pPr>
        <w:tabs>
          <w:tab w:val="left" w:pos="2100"/>
        </w:tabs>
        <w:spacing w:after="240" w:line="360" w:lineRule="auto"/>
        <w:jc w:val="both"/>
        <w:rPr>
          <w:rFonts w:ascii="Times New Roman" w:hAnsi="Times New Roman" w:cs="Times New Roman"/>
          <w:i/>
          <w:iCs/>
          <w:sz w:val="24"/>
          <w:szCs w:val="24"/>
          <w:lang w:bidi="ar-SA"/>
        </w:rPr>
      </w:pPr>
    </w:p>
    <w:p w:rsidR="005E66B9" w:rsidRPr="00B65257" w:rsidRDefault="005E66B9" w:rsidP="005E66B9">
      <w:pPr>
        <w:autoSpaceDE w:val="0"/>
        <w:autoSpaceDN w:val="0"/>
        <w:adjustRightInd w:val="0"/>
        <w:spacing w:after="240" w:line="360" w:lineRule="auto"/>
        <w:contextualSpacing/>
        <w:jc w:val="both"/>
        <w:rPr>
          <w:rFonts w:ascii="Times New Roman" w:hAnsi="Times New Roman" w:cs="Times New Roman"/>
          <w:b/>
          <w:bCs/>
          <w:szCs w:val="22"/>
          <w:lang w:bidi="ar-SA"/>
        </w:rPr>
      </w:pPr>
    </w:p>
    <w:p w:rsidR="00D17B8B" w:rsidRPr="00B65257" w:rsidRDefault="00D17B8B" w:rsidP="000650A5">
      <w:pPr>
        <w:keepNext/>
        <w:keepLines/>
        <w:spacing w:before="240" w:after="0" w:line="360" w:lineRule="auto"/>
        <w:jc w:val="center"/>
        <w:outlineLvl w:val="0"/>
        <w:rPr>
          <w:rFonts w:ascii="Times New Roman" w:eastAsiaTheme="majorEastAsia" w:hAnsi="Times New Roman" w:cs="Times New Roman"/>
          <w:b/>
          <w:bCs/>
          <w:sz w:val="24"/>
          <w:szCs w:val="24"/>
          <w:shd w:val="clear" w:color="auto" w:fill="FFFFFF"/>
          <w:lang w:bidi="ar-SA"/>
        </w:rPr>
      </w:pPr>
      <w:bookmarkStart w:id="12" w:name="_Toc160141013"/>
      <w:r w:rsidRPr="00B65257">
        <w:rPr>
          <w:rFonts w:ascii="Times New Roman" w:eastAsiaTheme="majorEastAsia" w:hAnsi="Times New Roman" w:cs="Times New Roman"/>
          <w:b/>
          <w:bCs/>
          <w:sz w:val="24"/>
          <w:szCs w:val="24"/>
          <w:shd w:val="clear" w:color="auto" w:fill="FFFFFF"/>
          <w:lang w:bidi="ar-SA"/>
        </w:rPr>
        <w:lastRenderedPageBreak/>
        <w:t>LIST OF ABBREVIATIONS</w:t>
      </w:r>
      <w:bookmarkEnd w:id="12"/>
    </w:p>
    <w:p w:rsidR="000650A5" w:rsidRPr="00B65257" w:rsidRDefault="000650A5" w:rsidP="000650A5">
      <w:pPr>
        <w:keepNext/>
        <w:keepLines/>
        <w:spacing w:before="240" w:after="0" w:line="360" w:lineRule="auto"/>
        <w:jc w:val="center"/>
        <w:outlineLvl w:val="0"/>
        <w:rPr>
          <w:rFonts w:ascii="Times New Roman" w:eastAsiaTheme="majorEastAsia" w:hAnsi="Times New Roman" w:cs="Times New Roman"/>
          <w:b/>
          <w:bCs/>
          <w:sz w:val="24"/>
          <w:szCs w:val="24"/>
          <w:shd w:val="clear" w:color="auto" w:fill="FFFFFF"/>
          <w:lang w:bidi="ar-SA"/>
        </w:rPr>
      </w:pPr>
    </w:p>
    <w:p w:rsidR="00D17B8B" w:rsidRPr="00B65257" w:rsidRDefault="00D17B8B" w:rsidP="000650A5">
      <w:pPr>
        <w:tabs>
          <w:tab w:val="left" w:pos="2100"/>
        </w:tabs>
        <w:spacing w:after="0" w:line="240" w:lineRule="auto"/>
        <w:rPr>
          <w:rFonts w:ascii="Times New Roman" w:hAnsi="Times New Roman" w:cs="Times New Roman"/>
          <w:bCs/>
          <w:sz w:val="24"/>
          <w:szCs w:val="24"/>
          <w:shd w:val="clear" w:color="auto" w:fill="FFFFFF"/>
          <w:lang w:bidi="ar-SA"/>
        </w:rPr>
      </w:pPr>
      <w:r w:rsidRPr="00B65257">
        <w:rPr>
          <w:rFonts w:ascii="Times New Roman" w:hAnsi="Times New Roman" w:cs="Times New Roman"/>
          <w:bCs/>
          <w:sz w:val="24"/>
          <w:szCs w:val="24"/>
          <w:shd w:val="clear" w:color="auto" w:fill="FFFFFF"/>
          <w:lang w:bidi="ar-SA"/>
        </w:rPr>
        <w:t>ATCC               American Type Culture Collection</w:t>
      </w:r>
    </w:p>
    <w:p w:rsidR="00D17B8B" w:rsidRPr="00B65257" w:rsidRDefault="00D17B8B" w:rsidP="000650A5">
      <w:pPr>
        <w:tabs>
          <w:tab w:val="left" w:pos="2100"/>
        </w:tabs>
        <w:spacing w:after="0" w:line="240" w:lineRule="auto"/>
        <w:rPr>
          <w:rFonts w:ascii="Times New Roman" w:hAnsi="Times New Roman" w:cs="Times New Roman"/>
          <w:bCs/>
          <w:sz w:val="24"/>
          <w:szCs w:val="24"/>
          <w:shd w:val="clear" w:color="auto" w:fill="FFFFFF"/>
          <w:lang w:bidi="ar-SA"/>
        </w:rPr>
      </w:pPr>
      <w:r w:rsidRPr="00B65257">
        <w:rPr>
          <w:rFonts w:ascii="Times New Roman" w:hAnsi="Times New Roman" w:cs="Times New Roman"/>
          <w:bCs/>
          <w:sz w:val="24"/>
          <w:szCs w:val="24"/>
          <w:shd w:val="clear" w:color="auto" w:fill="FFFFFF"/>
          <w:lang w:bidi="ar-SA"/>
        </w:rPr>
        <w:t>AMR                Antimicrobial resistance</w:t>
      </w:r>
    </w:p>
    <w:p w:rsidR="00D17B8B" w:rsidRPr="00B65257" w:rsidRDefault="00D17B8B"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CDC</w:t>
      </w:r>
      <w:r w:rsidRPr="00B65257">
        <w:rPr>
          <w:rFonts w:ascii="Times New Roman" w:hAnsi="Times New Roman" w:cs="Times New Roman"/>
          <w:sz w:val="24"/>
          <w:szCs w:val="24"/>
          <w:lang w:bidi="ar-SA"/>
        </w:rPr>
        <w:tab/>
      </w:r>
      <w:r w:rsidRPr="00B65257">
        <w:rPr>
          <w:rFonts w:ascii="Times New Roman" w:hAnsi="Times New Roman" w:cs="Times New Roman"/>
          <w:sz w:val="24"/>
          <w:szCs w:val="24"/>
          <w:lang w:bidi="ar-SA"/>
        </w:rPr>
        <w:tab/>
        <w:t>Centers for Diseases Control and Prevention</w:t>
      </w:r>
    </w:p>
    <w:p w:rsidR="00D17B8B" w:rsidRPr="00B65257" w:rsidRDefault="00D17B8B"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CLSI</w:t>
      </w:r>
      <w:r w:rsidRPr="00B65257">
        <w:rPr>
          <w:rFonts w:ascii="Times New Roman" w:hAnsi="Times New Roman" w:cs="Times New Roman"/>
          <w:sz w:val="24"/>
          <w:szCs w:val="24"/>
          <w:lang w:bidi="ar-SA"/>
        </w:rPr>
        <w:tab/>
      </w:r>
      <w:r w:rsidRPr="00B65257">
        <w:rPr>
          <w:rFonts w:ascii="Times New Roman" w:hAnsi="Times New Roman" w:cs="Times New Roman"/>
          <w:sz w:val="24"/>
          <w:szCs w:val="24"/>
          <w:lang w:bidi="ar-SA"/>
        </w:rPr>
        <w:tab/>
        <w:t>Clinical Laboratory and Standard Institute</w:t>
      </w:r>
    </w:p>
    <w:p w:rsidR="00D17B8B" w:rsidRPr="00B65257" w:rsidRDefault="000650A5"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 xml:space="preserve">AST                 </w:t>
      </w:r>
      <w:r w:rsidR="00D17B8B" w:rsidRPr="00B65257">
        <w:rPr>
          <w:rFonts w:ascii="Times New Roman" w:hAnsi="Times New Roman" w:cs="Times New Roman"/>
          <w:sz w:val="24"/>
          <w:szCs w:val="24"/>
          <w:lang w:bidi="ar-SA"/>
        </w:rPr>
        <w:t>Antibiotic susceptibility test</w:t>
      </w:r>
    </w:p>
    <w:p w:rsidR="00D17B8B" w:rsidRPr="00B65257" w:rsidRDefault="00D17B8B" w:rsidP="000650A5">
      <w:pPr>
        <w:spacing w:after="0" w:line="240" w:lineRule="auto"/>
        <w:rPr>
          <w:rFonts w:ascii="Times New Roman" w:hAnsi="Times New Roman" w:cs="Times New Roman"/>
          <w:i/>
          <w:iCs/>
          <w:sz w:val="24"/>
          <w:szCs w:val="24"/>
          <w:lang w:bidi="ar-SA"/>
        </w:rPr>
      </w:pPr>
      <w:r w:rsidRPr="00B65257">
        <w:rPr>
          <w:rFonts w:ascii="Times New Roman" w:hAnsi="Times New Roman" w:cs="Times New Roman"/>
          <w:sz w:val="24"/>
          <w:szCs w:val="24"/>
          <w:lang w:bidi="ar-SA"/>
        </w:rPr>
        <w:t xml:space="preserve">CRKP               Carbapenem-reistant </w:t>
      </w:r>
      <w:r w:rsidRPr="00B65257">
        <w:rPr>
          <w:rFonts w:ascii="Times New Roman" w:hAnsi="Times New Roman" w:cs="Times New Roman"/>
          <w:i/>
          <w:iCs/>
          <w:sz w:val="24"/>
          <w:szCs w:val="24"/>
          <w:lang w:bidi="ar-SA"/>
        </w:rPr>
        <w:t>K. pneumoniae</w:t>
      </w:r>
    </w:p>
    <w:p w:rsidR="00D17B8B" w:rsidRPr="00B65257" w:rsidRDefault="00D17B8B" w:rsidP="000650A5">
      <w:pPr>
        <w:spacing w:after="0" w:line="240" w:lineRule="auto"/>
        <w:rPr>
          <w:rFonts w:ascii="Times New Roman" w:hAnsi="Times New Roman" w:cs="Times New Roman"/>
          <w:i/>
          <w:sz w:val="24"/>
          <w:szCs w:val="24"/>
          <w:lang w:bidi="ar-SA"/>
        </w:rPr>
      </w:pPr>
      <w:r w:rsidRPr="00B65257">
        <w:rPr>
          <w:rFonts w:ascii="Times New Roman" w:hAnsi="Times New Roman" w:cs="Times New Roman"/>
          <w:sz w:val="24"/>
          <w:szCs w:val="24"/>
          <w:lang w:bidi="ar-SA"/>
        </w:rPr>
        <w:t>CoNS</w:t>
      </w:r>
      <w:r w:rsidRPr="00B65257">
        <w:rPr>
          <w:rFonts w:ascii="Times New Roman" w:hAnsi="Times New Roman" w:cs="Times New Roman"/>
          <w:sz w:val="24"/>
          <w:szCs w:val="24"/>
          <w:lang w:bidi="ar-SA"/>
        </w:rPr>
        <w:tab/>
      </w:r>
      <w:r w:rsidRPr="00B65257">
        <w:rPr>
          <w:rFonts w:ascii="Times New Roman" w:hAnsi="Times New Roman" w:cs="Times New Roman"/>
          <w:sz w:val="24"/>
          <w:szCs w:val="24"/>
          <w:lang w:bidi="ar-SA"/>
        </w:rPr>
        <w:tab/>
        <w:t xml:space="preserve">Coagulase Negative </w:t>
      </w:r>
      <w:r w:rsidRPr="00B65257">
        <w:rPr>
          <w:rFonts w:ascii="Times New Roman" w:hAnsi="Times New Roman" w:cs="Times New Roman"/>
          <w:i/>
          <w:sz w:val="24"/>
          <w:szCs w:val="24"/>
          <w:lang w:bidi="ar-SA"/>
        </w:rPr>
        <w:t>Staphylococcus</w:t>
      </w:r>
    </w:p>
    <w:p w:rsidR="00D17B8B" w:rsidRPr="00B65257" w:rsidRDefault="00D17B8B" w:rsidP="000650A5">
      <w:pPr>
        <w:spacing w:after="0" w:line="240" w:lineRule="auto"/>
        <w:rPr>
          <w:rFonts w:ascii="Times New Roman" w:hAnsi="Times New Roman" w:cs="Times New Roman"/>
          <w:color w:val="131413"/>
          <w:sz w:val="24"/>
          <w:szCs w:val="24"/>
          <w:lang w:bidi="ar-SA"/>
        </w:rPr>
      </w:pPr>
      <w:r w:rsidRPr="00B65257">
        <w:rPr>
          <w:rFonts w:ascii="Times New Roman" w:hAnsi="Times New Roman" w:cs="Times New Roman"/>
          <w:color w:val="131413"/>
          <w:sz w:val="24"/>
          <w:szCs w:val="24"/>
          <w:lang w:bidi="ar-SA"/>
        </w:rPr>
        <w:t>ESBL              Extended Spectrum β-Lactamase</w:t>
      </w:r>
    </w:p>
    <w:p w:rsidR="00D17B8B" w:rsidRPr="00B65257" w:rsidRDefault="00D17B8B" w:rsidP="000650A5">
      <w:pPr>
        <w:spacing w:after="0" w:line="240" w:lineRule="auto"/>
        <w:rPr>
          <w:rFonts w:ascii="Times New Roman" w:hAnsi="Times New Roman" w:cs="Times New Roman"/>
          <w:color w:val="131413"/>
          <w:sz w:val="24"/>
          <w:szCs w:val="24"/>
          <w:lang w:bidi="ar-SA"/>
        </w:rPr>
      </w:pPr>
      <w:r w:rsidRPr="00B65257">
        <w:rPr>
          <w:rFonts w:ascii="Times New Roman" w:hAnsi="Times New Roman" w:cs="Times New Roman"/>
          <w:color w:val="131413"/>
          <w:sz w:val="24"/>
          <w:szCs w:val="24"/>
          <w:lang w:bidi="ar-SA"/>
        </w:rPr>
        <w:t>NDM              New Dehli Metallo β-Lactamase</w:t>
      </w:r>
    </w:p>
    <w:p w:rsidR="00D17B8B" w:rsidRPr="00B65257" w:rsidRDefault="00D17B8B" w:rsidP="000650A5">
      <w:pPr>
        <w:spacing w:after="0" w:line="240" w:lineRule="auto"/>
        <w:rPr>
          <w:rFonts w:ascii="Times New Roman" w:hAnsi="Times New Roman" w:cs="Times New Roman"/>
          <w:color w:val="131413"/>
          <w:sz w:val="24"/>
          <w:szCs w:val="24"/>
          <w:lang w:bidi="ar-SA"/>
        </w:rPr>
      </w:pPr>
      <w:r w:rsidRPr="00B65257">
        <w:rPr>
          <w:rFonts w:ascii="Times New Roman" w:hAnsi="Times New Roman" w:cs="Times New Roman"/>
          <w:color w:val="131413"/>
          <w:sz w:val="24"/>
          <w:szCs w:val="24"/>
          <w:lang w:bidi="ar-SA"/>
        </w:rPr>
        <w:t>MA                  MacConkey Agar</w:t>
      </w:r>
    </w:p>
    <w:p w:rsidR="00D17B8B" w:rsidRPr="00B65257" w:rsidRDefault="00D17B8B" w:rsidP="000650A5">
      <w:pPr>
        <w:spacing w:after="0" w:line="240" w:lineRule="auto"/>
        <w:rPr>
          <w:rFonts w:ascii="Times New Roman" w:hAnsi="Times New Roman" w:cs="Times New Roman"/>
          <w:color w:val="131413"/>
          <w:sz w:val="24"/>
          <w:szCs w:val="24"/>
          <w:lang w:bidi="ar-SA"/>
        </w:rPr>
      </w:pPr>
      <w:r w:rsidRPr="00B65257">
        <w:rPr>
          <w:rFonts w:ascii="Times New Roman" w:hAnsi="Times New Roman" w:cs="Times New Roman"/>
          <w:color w:val="131413"/>
          <w:sz w:val="24"/>
          <w:szCs w:val="24"/>
          <w:lang w:bidi="ar-SA"/>
        </w:rPr>
        <w:t>BA                   Blood Agar</w:t>
      </w:r>
    </w:p>
    <w:p w:rsidR="00D17B8B" w:rsidRPr="00B65257" w:rsidRDefault="00D17B8B" w:rsidP="000650A5">
      <w:pPr>
        <w:spacing w:after="0" w:line="240" w:lineRule="auto"/>
        <w:rPr>
          <w:rFonts w:ascii="Times New Roman" w:hAnsi="Times New Roman" w:cs="Times New Roman"/>
          <w:iCs/>
          <w:sz w:val="24"/>
          <w:szCs w:val="24"/>
          <w:lang w:bidi="ar-SA"/>
        </w:rPr>
      </w:pPr>
      <w:r w:rsidRPr="00B65257">
        <w:rPr>
          <w:rFonts w:ascii="Times New Roman" w:hAnsi="Times New Roman" w:cs="Times New Roman"/>
          <w:color w:val="131413"/>
          <w:sz w:val="24"/>
          <w:szCs w:val="24"/>
          <w:lang w:bidi="ar-SA"/>
        </w:rPr>
        <w:t>CLED             Cystine Lactose Electrolyte Deficient Agar</w:t>
      </w:r>
    </w:p>
    <w:p w:rsidR="00D17B8B" w:rsidRPr="00B65257" w:rsidRDefault="00D17B8B"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MHA</w:t>
      </w:r>
      <w:r w:rsidRPr="00B65257">
        <w:rPr>
          <w:rFonts w:ascii="Times New Roman" w:hAnsi="Times New Roman" w:cs="Times New Roman"/>
          <w:sz w:val="24"/>
          <w:szCs w:val="24"/>
          <w:lang w:bidi="ar-SA"/>
        </w:rPr>
        <w:tab/>
      </w:r>
      <w:r w:rsidRPr="00B65257">
        <w:rPr>
          <w:rFonts w:ascii="Times New Roman" w:hAnsi="Times New Roman" w:cs="Times New Roman"/>
          <w:sz w:val="24"/>
          <w:szCs w:val="24"/>
          <w:lang w:bidi="ar-SA"/>
        </w:rPr>
        <w:tab/>
        <w:t>Mueller Hinton Agar</w:t>
      </w:r>
    </w:p>
    <w:p w:rsidR="00D17B8B" w:rsidRPr="00B65257" w:rsidRDefault="00D17B8B"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MDR               Multidrug Resistance</w:t>
      </w:r>
    </w:p>
    <w:p w:rsidR="00D17B8B" w:rsidRPr="00B65257" w:rsidRDefault="00D17B8B"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mCIM             Modified Carbapenem Inactivation Method</w:t>
      </w:r>
    </w:p>
    <w:p w:rsidR="00D17B8B" w:rsidRPr="00B65257" w:rsidRDefault="00D17B8B"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PCR</w:t>
      </w:r>
      <w:r w:rsidRPr="00B65257">
        <w:rPr>
          <w:rFonts w:ascii="Times New Roman" w:hAnsi="Times New Roman" w:cs="Times New Roman"/>
          <w:sz w:val="24"/>
          <w:szCs w:val="24"/>
          <w:lang w:bidi="ar-SA"/>
        </w:rPr>
        <w:tab/>
      </w:r>
      <w:r w:rsidRPr="00B65257">
        <w:rPr>
          <w:rFonts w:ascii="Times New Roman" w:hAnsi="Times New Roman" w:cs="Times New Roman"/>
          <w:sz w:val="24"/>
          <w:szCs w:val="24"/>
          <w:lang w:bidi="ar-SA"/>
        </w:rPr>
        <w:tab/>
        <w:t>Polymerase Chain Reaction</w:t>
      </w:r>
    </w:p>
    <w:p w:rsidR="00D17B8B" w:rsidRPr="00B65257" w:rsidRDefault="00D17B8B"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EDTA             Ethylenediaminetetraacetic acid (EDTA)</w:t>
      </w:r>
    </w:p>
    <w:p w:rsidR="00D17B8B" w:rsidRPr="00B65257" w:rsidRDefault="00D17B8B" w:rsidP="000650A5">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SPSS</w:t>
      </w:r>
      <w:r w:rsidRPr="00B65257">
        <w:rPr>
          <w:rFonts w:ascii="Times New Roman" w:hAnsi="Times New Roman" w:cs="Times New Roman"/>
          <w:sz w:val="24"/>
          <w:szCs w:val="24"/>
          <w:lang w:bidi="ar-SA"/>
        </w:rPr>
        <w:tab/>
        <w:t xml:space="preserve"> </w:t>
      </w:r>
      <w:r w:rsidRPr="00B65257">
        <w:rPr>
          <w:rFonts w:ascii="Times New Roman" w:hAnsi="Times New Roman" w:cs="Times New Roman"/>
          <w:sz w:val="24"/>
          <w:szCs w:val="24"/>
          <w:lang w:bidi="ar-SA"/>
        </w:rPr>
        <w:tab/>
        <w:t>Statistical Package for the Social Sciences</w:t>
      </w:r>
    </w:p>
    <w:p w:rsidR="00BF744F" w:rsidRDefault="00D17B8B" w:rsidP="00BF744F">
      <w:pPr>
        <w:spacing w:after="0" w:line="240" w:lineRule="auto"/>
        <w:rPr>
          <w:rFonts w:ascii="Times New Roman" w:hAnsi="Times New Roman" w:cs="Times New Roman"/>
          <w:sz w:val="24"/>
          <w:szCs w:val="24"/>
          <w:lang w:bidi="ar-SA"/>
        </w:rPr>
      </w:pPr>
      <w:r w:rsidRPr="00B65257">
        <w:rPr>
          <w:rFonts w:ascii="Times New Roman" w:hAnsi="Times New Roman" w:cs="Times New Roman"/>
          <w:sz w:val="24"/>
          <w:szCs w:val="24"/>
          <w:lang w:bidi="ar-SA"/>
        </w:rPr>
        <w:t>SGNHC          Sahid Gangalal National Health Center</w:t>
      </w:r>
    </w:p>
    <w:p w:rsidR="00BF744F" w:rsidRDefault="00BF744F" w:rsidP="00BF744F">
      <w:pPr>
        <w:spacing w:after="0" w:line="240" w:lineRule="auto"/>
        <w:rPr>
          <w:rFonts w:ascii="Times New Roman" w:hAnsi="Times New Roman" w:cs="Times New Roman"/>
          <w:sz w:val="24"/>
          <w:szCs w:val="24"/>
          <w:lang w:bidi="ar-SA"/>
        </w:rPr>
      </w:pPr>
    </w:p>
    <w:p w:rsidR="00BF744F" w:rsidRPr="00BF744F" w:rsidRDefault="00BF744F" w:rsidP="00BF744F">
      <w:pPr>
        <w:spacing w:after="0" w:line="240" w:lineRule="auto"/>
        <w:rPr>
          <w:rFonts w:ascii="Times New Roman" w:hAnsi="Times New Roman" w:cs="Times New Roman"/>
          <w:sz w:val="24"/>
          <w:szCs w:val="24"/>
          <w:lang w:bidi="ar-SA"/>
        </w:rPr>
      </w:pPr>
      <w:r w:rsidRPr="00B65257">
        <w:rPr>
          <w:rFonts w:ascii="Times New Roman" w:eastAsiaTheme="majorEastAsia" w:hAnsi="Times New Roman" w:cs="Times New Roman"/>
          <w:b/>
          <w:bCs/>
          <w:sz w:val="24"/>
          <w:szCs w:val="24"/>
        </w:rPr>
        <w:t>Acknowledgements</w:t>
      </w:r>
    </w:p>
    <w:p w:rsidR="00BF744F" w:rsidRPr="00B65257" w:rsidRDefault="00BF744F" w:rsidP="00BF744F">
      <w:pPr>
        <w:keepNext/>
        <w:keepLines/>
        <w:spacing w:before="240" w:after="0" w:line="360" w:lineRule="auto"/>
        <w:outlineLvl w:val="0"/>
        <w:rPr>
          <w:rFonts w:ascii="Times New Roman" w:hAnsi="Times New Roman" w:cs="Times New Roman"/>
        </w:rPr>
      </w:pPr>
      <w:r w:rsidRPr="00B65257">
        <w:rPr>
          <w:rFonts w:ascii="Times New Roman" w:eastAsiaTheme="majorEastAsia" w:hAnsi="Times New Roman" w:cs="Times New Roman"/>
          <w:sz w:val="24"/>
          <w:szCs w:val="24"/>
        </w:rPr>
        <w:t xml:space="preserve">The authors are thankful to the Central Department of Microbiology, TU and </w:t>
      </w:r>
      <w:r w:rsidRPr="00B65257">
        <w:rPr>
          <w:rFonts w:ascii="Times New Roman" w:hAnsi="Times New Roman" w:cs="Times New Roman"/>
        </w:rPr>
        <w:t xml:space="preserve">Sahid Gangalal National Heart Centre for their support. </w:t>
      </w:r>
    </w:p>
    <w:p w:rsidR="00BF744F" w:rsidRPr="00B65257" w:rsidRDefault="00BF744F" w:rsidP="00BF744F">
      <w:pPr>
        <w:keepNext/>
        <w:keepLines/>
        <w:spacing w:before="240" w:after="0" w:line="360" w:lineRule="auto"/>
        <w:outlineLvl w:val="0"/>
        <w:rPr>
          <w:rFonts w:ascii="Times New Roman" w:hAnsi="Times New Roman" w:cs="Times New Roman"/>
          <w:b/>
          <w:bCs/>
        </w:rPr>
      </w:pPr>
      <w:r w:rsidRPr="00B65257">
        <w:rPr>
          <w:rFonts w:ascii="Times New Roman" w:hAnsi="Times New Roman" w:cs="Times New Roman"/>
          <w:b/>
          <w:bCs/>
        </w:rPr>
        <w:t>Author contributions</w:t>
      </w:r>
    </w:p>
    <w:p w:rsidR="00BF744F" w:rsidRPr="00B65257" w:rsidRDefault="00BF744F" w:rsidP="00BF744F">
      <w:pPr>
        <w:keepNext/>
        <w:keepLines/>
        <w:spacing w:before="240" w:after="0" w:line="360" w:lineRule="auto"/>
        <w:outlineLvl w:val="0"/>
        <w:rPr>
          <w:rFonts w:ascii="Times New Roman" w:hAnsi="Times New Roman" w:cs="Times New Roman"/>
        </w:rPr>
      </w:pPr>
      <w:r w:rsidRPr="00B65257">
        <w:rPr>
          <w:rFonts w:ascii="Times New Roman" w:hAnsi="Times New Roman" w:cs="Times New Roman"/>
        </w:rPr>
        <w:t xml:space="preserve">BN is the one who performed the study and research under supervision of RT. BN and RT contributed to the creation of the figures and tables. MA is involved in review and supervision. BN and MC created the manuscript to which RT made final revision. </w:t>
      </w:r>
    </w:p>
    <w:p w:rsidR="00BF744F" w:rsidRPr="00B65257" w:rsidRDefault="00BF744F" w:rsidP="00BF744F">
      <w:pPr>
        <w:pStyle w:val="NormalWeb"/>
        <w:spacing w:line="360" w:lineRule="auto"/>
        <w:jc w:val="both"/>
        <w:rPr>
          <w:sz w:val="36"/>
          <w:szCs w:val="36"/>
        </w:rPr>
      </w:pPr>
      <w:r w:rsidRPr="00B65257">
        <w:rPr>
          <w:b/>
          <w:bCs/>
        </w:rPr>
        <w:t>Fundings</w:t>
      </w:r>
      <w:r w:rsidRPr="00B65257">
        <w:rPr>
          <w:sz w:val="36"/>
          <w:szCs w:val="36"/>
        </w:rPr>
        <w:t xml:space="preserve"> </w:t>
      </w:r>
      <w:r w:rsidRPr="00B65257">
        <w:t>There is no funding for this study.</w:t>
      </w:r>
    </w:p>
    <w:p w:rsidR="00BF744F" w:rsidRPr="00B65257" w:rsidRDefault="00BF744F" w:rsidP="00BF744F">
      <w:pPr>
        <w:pStyle w:val="NormalWeb"/>
        <w:spacing w:line="360" w:lineRule="auto"/>
        <w:jc w:val="both"/>
        <w:rPr>
          <w:b/>
          <w:bCs/>
          <w:sz w:val="28"/>
          <w:szCs w:val="28"/>
        </w:rPr>
      </w:pPr>
      <w:r w:rsidRPr="00B65257">
        <w:rPr>
          <w:b/>
          <w:bCs/>
          <w:sz w:val="28"/>
          <w:szCs w:val="28"/>
        </w:rPr>
        <w:t>Declarations</w:t>
      </w:r>
    </w:p>
    <w:p w:rsidR="00BF744F" w:rsidRPr="00B65257" w:rsidRDefault="00BF744F" w:rsidP="00BF744F">
      <w:pPr>
        <w:autoSpaceDE w:val="0"/>
        <w:autoSpaceDN w:val="0"/>
        <w:adjustRightInd w:val="0"/>
        <w:spacing w:after="240" w:line="360" w:lineRule="auto"/>
        <w:jc w:val="both"/>
        <w:rPr>
          <w:rFonts w:ascii="Times New Roman" w:hAnsi="Times New Roman" w:cs="Times New Roman"/>
          <w:color w:val="000000"/>
          <w:sz w:val="24"/>
          <w:szCs w:val="24"/>
          <w:lang w:bidi="ar-SA"/>
        </w:rPr>
      </w:pPr>
      <w:r w:rsidRPr="00B65257">
        <w:rPr>
          <w:rFonts w:ascii="Times New Roman" w:eastAsiaTheme="majorEastAsia" w:hAnsi="Times New Roman" w:cs="Times New Roman"/>
          <w:b/>
          <w:bCs/>
          <w:sz w:val="24"/>
          <w:szCs w:val="24"/>
          <w:lang w:bidi="ar-SA"/>
        </w:rPr>
        <w:t>Ethical approval</w:t>
      </w:r>
    </w:p>
    <w:p w:rsidR="00BF744F" w:rsidRPr="00B65257" w:rsidRDefault="00BF744F" w:rsidP="00BF744F">
      <w:pPr>
        <w:spacing w:after="240" w:line="360" w:lineRule="auto"/>
        <w:jc w:val="both"/>
        <w:rPr>
          <w:rFonts w:ascii="Times New Roman" w:hAnsi="Times New Roman" w:cs="Times New Roman"/>
          <w:sz w:val="24"/>
          <w:szCs w:val="24"/>
          <w:lang w:bidi="ar-SA"/>
        </w:rPr>
      </w:pPr>
      <w:r w:rsidRPr="00B65257">
        <w:rPr>
          <w:rFonts w:ascii="Times New Roman" w:eastAsia="Calibri" w:hAnsi="Times New Roman" w:cs="Times New Roman"/>
          <w:sz w:val="24"/>
          <w:szCs w:val="24"/>
          <w:lang w:bidi="ar-SA"/>
        </w:rPr>
        <w:t>Ethical</w:t>
      </w:r>
      <w:r w:rsidRPr="00B65257">
        <w:rPr>
          <w:rFonts w:ascii="Times New Roman" w:hAnsi="Times New Roman" w:cs="Times New Roman"/>
          <w:sz w:val="24"/>
          <w:szCs w:val="24"/>
          <w:lang w:bidi="ar-SA"/>
        </w:rPr>
        <w:t xml:space="preserve"> approval </w:t>
      </w:r>
      <w:r w:rsidRPr="00B65257">
        <w:rPr>
          <w:rFonts w:ascii="Times New Roman" w:eastAsia="Calibri" w:hAnsi="Times New Roman" w:cs="Times New Roman"/>
          <w:sz w:val="24"/>
          <w:szCs w:val="24"/>
          <w:lang w:bidi="ar-SA"/>
        </w:rPr>
        <w:t>for</w:t>
      </w:r>
      <w:r w:rsidRPr="00B65257">
        <w:rPr>
          <w:rFonts w:ascii="Times New Roman" w:hAnsi="Times New Roman" w:cs="Times New Roman"/>
          <w:sz w:val="24"/>
          <w:szCs w:val="24"/>
          <w:lang w:bidi="ar-SA"/>
        </w:rPr>
        <w:t xml:space="preserve"> this research was obtained from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Institutional Review Committee (IRC) of IOST, TU. </w:t>
      </w:r>
    </w:p>
    <w:p w:rsidR="00BF744F" w:rsidRPr="00B65257" w:rsidRDefault="00BF744F" w:rsidP="00BF744F">
      <w:pPr>
        <w:spacing w:after="240" w:line="360" w:lineRule="auto"/>
        <w:jc w:val="both"/>
        <w:rPr>
          <w:rFonts w:ascii="Times New Roman" w:hAnsi="Times New Roman" w:cs="Times New Roman"/>
          <w:b/>
          <w:bCs/>
          <w:sz w:val="24"/>
          <w:szCs w:val="24"/>
          <w:lang w:bidi="ar-SA"/>
        </w:rPr>
      </w:pPr>
      <w:r w:rsidRPr="00B65257">
        <w:rPr>
          <w:rFonts w:ascii="Times New Roman" w:hAnsi="Times New Roman" w:cs="Times New Roman"/>
          <w:b/>
          <w:bCs/>
          <w:sz w:val="24"/>
          <w:szCs w:val="24"/>
          <w:lang w:bidi="ar-SA"/>
        </w:rPr>
        <w:t>Consent for publication</w:t>
      </w:r>
    </w:p>
    <w:p w:rsidR="00BF744F" w:rsidRPr="00B65257" w:rsidRDefault="00BF744F" w:rsidP="00BF744F">
      <w:pPr>
        <w:spacing w:after="240" w:line="360" w:lineRule="auto"/>
        <w:jc w:val="both"/>
        <w:rPr>
          <w:rFonts w:ascii="Times New Roman" w:hAnsi="Times New Roman" w:cs="Times New Roman"/>
          <w:sz w:val="24"/>
          <w:szCs w:val="24"/>
          <w:lang w:bidi="ar-SA"/>
        </w:rPr>
      </w:pPr>
      <w:r w:rsidRPr="00B65257">
        <w:rPr>
          <w:rFonts w:ascii="Times New Roman" w:hAnsi="Times New Roman" w:cs="Times New Roman"/>
          <w:sz w:val="24"/>
          <w:szCs w:val="24"/>
          <w:lang w:bidi="ar-SA"/>
        </w:rPr>
        <w:lastRenderedPageBreak/>
        <w:t xml:space="preserve">Written informed consent was </w:t>
      </w:r>
      <w:r w:rsidRPr="00B65257">
        <w:rPr>
          <w:rFonts w:ascii="Times New Roman" w:eastAsia="Calibri" w:hAnsi="Times New Roman" w:cs="Times New Roman"/>
          <w:sz w:val="24"/>
          <w:szCs w:val="24"/>
          <w:lang w:bidi="ar-SA"/>
        </w:rPr>
        <w:t>obtained,</w:t>
      </w:r>
      <w:r w:rsidRPr="00B65257">
        <w:rPr>
          <w:rFonts w:ascii="Times New Roman" w:hAnsi="Times New Roman" w:cs="Times New Roman"/>
          <w:sz w:val="24"/>
          <w:szCs w:val="24"/>
          <w:lang w:bidi="ar-SA"/>
        </w:rPr>
        <w:t xml:space="preserve"> and research was conducted after approval</w:t>
      </w:r>
      <w:r w:rsidRPr="00B65257">
        <w:rPr>
          <w:rFonts w:ascii="Times New Roman" w:eastAsia="Calibri" w:hAnsi="Times New Roman" w:cs="Times New Roman"/>
          <w:sz w:val="24"/>
          <w:szCs w:val="24"/>
          <w:lang w:bidi="ar-SA"/>
        </w:rPr>
        <w:t xml:space="preserve"> was obtained</w:t>
      </w:r>
      <w:r w:rsidRPr="00B65257">
        <w:rPr>
          <w:rFonts w:ascii="Times New Roman" w:hAnsi="Times New Roman" w:cs="Times New Roman"/>
          <w:sz w:val="24"/>
          <w:szCs w:val="24"/>
          <w:lang w:bidi="ar-SA"/>
        </w:rPr>
        <w:t xml:space="preserve">. All the information and test results of the </w:t>
      </w:r>
      <w:r w:rsidRPr="00B65257">
        <w:rPr>
          <w:rFonts w:ascii="Times New Roman" w:eastAsia="Calibri" w:hAnsi="Times New Roman" w:cs="Times New Roman"/>
          <w:sz w:val="24"/>
          <w:szCs w:val="24"/>
          <w:lang w:bidi="ar-SA"/>
        </w:rPr>
        <w:t>participants</w:t>
      </w:r>
      <w:r w:rsidRPr="00B65257">
        <w:rPr>
          <w:rFonts w:ascii="Times New Roman" w:hAnsi="Times New Roman" w:cs="Times New Roman"/>
          <w:sz w:val="24"/>
          <w:szCs w:val="24"/>
          <w:lang w:bidi="ar-SA"/>
        </w:rPr>
        <w:t xml:space="preserve"> obtained from </w:t>
      </w:r>
      <w:r w:rsidRPr="00B65257">
        <w:rPr>
          <w:rFonts w:ascii="Times New Roman" w:eastAsia="Calibri" w:hAnsi="Times New Roman" w:cs="Times New Roman"/>
          <w:sz w:val="24"/>
          <w:szCs w:val="24"/>
          <w:lang w:bidi="ar-SA"/>
        </w:rPr>
        <w:t xml:space="preserve">the </w:t>
      </w:r>
      <w:r w:rsidRPr="00B65257">
        <w:rPr>
          <w:rFonts w:ascii="Times New Roman" w:hAnsi="Times New Roman" w:cs="Times New Roman"/>
          <w:sz w:val="24"/>
          <w:szCs w:val="24"/>
          <w:lang w:bidi="ar-SA"/>
        </w:rPr>
        <w:t xml:space="preserve">hospital will be kept confidential. No </w:t>
      </w:r>
      <w:r w:rsidRPr="00B65257">
        <w:rPr>
          <w:rFonts w:ascii="Times New Roman" w:eastAsia="Calibri" w:hAnsi="Times New Roman" w:cs="Times New Roman"/>
          <w:sz w:val="24"/>
          <w:szCs w:val="24"/>
          <w:lang w:bidi="ar-SA"/>
        </w:rPr>
        <w:t>humans</w:t>
      </w:r>
      <w:r w:rsidRPr="00B65257">
        <w:rPr>
          <w:rFonts w:ascii="Times New Roman" w:hAnsi="Times New Roman" w:cs="Times New Roman"/>
          <w:sz w:val="24"/>
          <w:szCs w:val="24"/>
          <w:lang w:bidi="ar-SA"/>
        </w:rPr>
        <w:t xml:space="preserve"> or </w:t>
      </w:r>
      <w:r w:rsidRPr="00B65257">
        <w:rPr>
          <w:rFonts w:ascii="Times New Roman" w:eastAsia="Calibri" w:hAnsi="Times New Roman" w:cs="Times New Roman"/>
          <w:sz w:val="24"/>
          <w:szCs w:val="24"/>
          <w:lang w:bidi="ar-SA"/>
        </w:rPr>
        <w:t>animals</w:t>
      </w:r>
      <w:r w:rsidRPr="00B65257">
        <w:rPr>
          <w:rFonts w:ascii="Times New Roman" w:hAnsi="Times New Roman" w:cs="Times New Roman"/>
          <w:sz w:val="24"/>
          <w:szCs w:val="24"/>
          <w:lang w:bidi="ar-SA"/>
        </w:rPr>
        <w:t xml:space="preserve"> were harmed during the entire research</w:t>
      </w:r>
      <w:r w:rsidRPr="00B65257">
        <w:rPr>
          <w:rFonts w:ascii="Times New Roman" w:eastAsia="Calibri" w:hAnsi="Times New Roman" w:cs="Times New Roman"/>
          <w:sz w:val="24"/>
          <w:szCs w:val="24"/>
          <w:lang w:bidi="ar-SA"/>
        </w:rPr>
        <w:t xml:space="preserve"> process</w:t>
      </w:r>
      <w:r w:rsidRPr="00B65257">
        <w:rPr>
          <w:rFonts w:ascii="Times New Roman" w:hAnsi="Times New Roman" w:cs="Times New Roman"/>
          <w:sz w:val="24"/>
          <w:szCs w:val="24"/>
          <w:lang w:bidi="ar-SA"/>
        </w:rPr>
        <w:t>.</w:t>
      </w:r>
    </w:p>
    <w:p w:rsidR="00BF744F" w:rsidRPr="00B65257" w:rsidRDefault="00BF744F" w:rsidP="00BF744F">
      <w:pPr>
        <w:pStyle w:val="NormalWeb"/>
        <w:spacing w:line="360" w:lineRule="auto"/>
        <w:jc w:val="both"/>
      </w:pPr>
      <w:r w:rsidRPr="00B65257">
        <w:rPr>
          <w:b/>
          <w:bCs/>
        </w:rPr>
        <w:t>Competing interests:</w:t>
      </w:r>
      <w:r w:rsidRPr="00B65257">
        <w:rPr>
          <w:sz w:val="28"/>
          <w:szCs w:val="28"/>
        </w:rPr>
        <w:t xml:space="preserve"> </w:t>
      </w:r>
      <w:r w:rsidRPr="00B65257">
        <w:t>The authors declare no competing interests.</w:t>
      </w:r>
    </w:p>
    <w:p w:rsidR="00BF744F" w:rsidRDefault="00BF744F" w:rsidP="000650A5">
      <w:pPr>
        <w:spacing w:after="0" w:line="240" w:lineRule="auto"/>
        <w:rPr>
          <w:rFonts w:ascii="Times New Roman" w:hAnsi="Times New Roman" w:cs="Times New Roman"/>
          <w:sz w:val="24"/>
          <w:szCs w:val="24"/>
          <w:lang w:bidi="ar-SA"/>
        </w:rPr>
      </w:pPr>
    </w:p>
    <w:p w:rsidR="00BF744F" w:rsidRDefault="00BF744F" w:rsidP="000650A5">
      <w:pPr>
        <w:spacing w:after="0" w:line="240" w:lineRule="auto"/>
        <w:rPr>
          <w:rFonts w:ascii="Times New Roman" w:hAnsi="Times New Roman" w:cs="Times New Roman"/>
          <w:sz w:val="24"/>
          <w:szCs w:val="24"/>
          <w:lang w:bidi="ar-SA"/>
        </w:rPr>
      </w:pPr>
    </w:p>
    <w:p w:rsidR="00BF744F" w:rsidRPr="00B65257" w:rsidRDefault="00BF744F" w:rsidP="000650A5">
      <w:pPr>
        <w:spacing w:after="0" w:line="240" w:lineRule="auto"/>
        <w:rPr>
          <w:rFonts w:ascii="Times New Roman" w:hAnsi="Times New Roman" w:cs="Times New Roman"/>
          <w:sz w:val="24"/>
          <w:szCs w:val="24"/>
          <w:lang w:bidi="ar-SA"/>
        </w:rPr>
      </w:pPr>
    </w:p>
    <w:p w:rsidR="00D17B8B" w:rsidRPr="00B65257" w:rsidRDefault="00D17B8B" w:rsidP="000650A5">
      <w:pPr>
        <w:spacing w:after="0" w:line="240" w:lineRule="auto"/>
        <w:rPr>
          <w:rFonts w:ascii="Times New Roman" w:hAnsi="Times New Roman" w:cs="Times New Roman"/>
          <w:b/>
          <w:sz w:val="32"/>
          <w:szCs w:val="32"/>
          <w:lang w:bidi="ar-SA"/>
        </w:rPr>
        <w:sectPr w:rsidR="00D17B8B" w:rsidRPr="00B65257" w:rsidSect="00BF744F">
          <w:footerReference w:type="default" r:id="rId14"/>
          <w:type w:val="continuous"/>
          <w:pgSz w:w="11907" w:h="16839" w:code="9"/>
          <w:pgMar w:top="1440" w:right="1440" w:bottom="1440" w:left="2880" w:header="720" w:footer="720" w:gutter="0"/>
          <w:cols w:space="720"/>
          <w:titlePg/>
          <w:docGrid w:linePitch="360"/>
        </w:sectPr>
      </w:pPr>
    </w:p>
    <w:p w:rsidR="005E66B9" w:rsidRPr="00B65257" w:rsidRDefault="005E66B9" w:rsidP="005E66B9">
      <w:pPr>
        <w:autoSpaceDE w:val="0"/>
        <w:autoSpaceDN w:val="0"/>
        <w:adjustRightInd w:val="0"/>
        <w:spacing w:after="240" w:line="360" w:lineRule="auto"/>
        <w:contextualSpacing/>
        <w:jc w:val="both"/>
        <w:rPr>
          <w:rFonts w:ascii="Times New Roman" w:hAnsi="Times New Roman" w:cs="Times New Roman"/>
          <w:b/>
          <w:bCs/>
          <w:szCs w:val="22"/>
          <w:lang w:bidi="ar-SA"/>
        </w:rPr>
      </w:pPr>
    </w:p>
    <w:p w:rsidR="005E66B9" w:rsidRPr="00B65257" w:rsidRDefault="005E66B9" w:rsidP="005E66B9">
      <w:pPr>
        <w:autoSpaceDE w:val="0"/>
        <w:autoSpaceDN w:val="0"/>
        <w:adjustRightInd w:val="0"/>
        <w:spacing w:after="240" w:line="360" w:lineRule="auto"/>
        <w:contextualSpacing/>
        <w:jc w:val="both"/>
        <w:rPr>
          <w:rFonts w:ascii="Times New Roman" w:hAnsi="Times New Roman" w:cs="Times New Roman"/>
          <w:b/>
          <w:bCs/>
          <w:szCs w:val="22"/>
          <w:lang w:bidi="ar-SA"/>
        </w:rPr>
      </w:pPr>
    </w:p>
    <w:p w:rsidR="005E66B9" w:rsidRPr="00B65257" w:rsidRDefault="005E66B9" w:rsidP="005E66B9">
      <w:pPr>
        <w:autoSpaceDE w:val="0"/>
        <w:autoSpaceDN w:val="0"/>
        <w:adjustRightInd w:val="0"/>
        <w:spacing w:after="240" w:line="360" w:lineRule="auto"/>
        <w:contextualSpacing/>
        <w:jc w:val="both"/>
        <w:rPr>
          <w:rFonts w:ascii="Times New Roman" w:hAnsi="Times New Roman" w:cs="Times New Roman"/>
          <w:b/>
          <w:bCs/>
          <w:szCs w:val="22"/>
          <w:lang w:bidi="ar-SA"/>
        </w:rPr>
      </w:pPr>
    </w:p>
    <w:p w:rsidR="005E66B9" w:rsidRPr="00B65257" w:rsidRDefault="005E66B9" w:rsidP="005E66B9">
      <w:pPr>
        <w:autoSpaceDE w:val="0"/>
        <w:autoSpaceDN w:val="0"/>
        <w:adjustRightInd w:val="0"/>
        <w:spacing w:after="240" w:line="360" w:lineRule="auto"/>
        <w:contextualSpacing/>
        <w:jc w:val="both"/>
        <w:rPr>
          <w:rFonts w:ascii="Times New Roman" w:hAnsi="Times New Roman" w:cs="Times New Roman"/>
          <w:b/>
          <w:bCs/>
          <w:szCs w:val="22"/>
          <w:lang w:bidi="ar-SA"/>
        </w:rPr>
      </w:pPr>
    </w:p>
    <w:p w:rsidR="005E66B9" w:rsidRPr="00B65257" w:rsidRDefault="005E66B9" w:rsidP="005E66B9">
      <w:pPr>
        <w:autoSpaceDE w:val="0"/>
        <w:autoSpaceDN w:val="0"/>
        <w:adjustRightInd w:val="0"/>
        <w:spacing w:after="240" w:line="360" w:lineRule="auto"/>
        <w:contextualSpacing/>
        <w:jc w:val="both"/>
        <w:rPr>
          <w:rFonts w:ascii="Times New Roman" w:hAnsi="Times New Roman" w:cs="Times New Roman"/>
          <w:b/>
          <w:bCs/>
          <w:szCs w:val="22"/>
          <w:lang w:bidi="ar-SA"/>
        </w:rPr>
      </w:pPr>
    </w:p>
    <w:p w:rsidR="005E66B9" w:rsidRPr="00B65257" w:rsidRDefault="005E66B9" w:rsidP="005E66B9">
      <w:pPr>
        <w:autoSpaceDE w:val="0"/>
        <w:autoSpaceDN w:val="0"/>
        <w:adjustRightInd w:val="0"/>
        <w:spacing w:after="240" w:line="360" w:lineRule="auto"/>
        <w:contextualSpacing/>
        <w:jc w:val="both"/>
        <w:rPr>
          <w:rFonts w:ascii="Times New Roman" w:hAnsi="Times New Roman" w:cs="Times New Roman"/>
          <w:b/>
          <w:bCs/>
          <w:szCs w:val="22"/>
          <w:lang w:bidi="ar-SA"/>
        </w:rPr>
      </w:pPr>
    </w:p>
    <w:p w:rsidR="00C81F7E" w:rsidRPr="00B65257" w:rsidRDefault="00C81F7E" w:rsidP="00C81F7E">
      <w:pPr>
        <w:autoSpaceDE w:val="0"/>
        <w:autoSpaceDN w:val="0"/>
        <w:adjustRightInd w:val="0"/>
        <w:spacing w:after="240" w:line="360" w:lineRule="auto"/>
        <w:contextualSpacing/>
        <w:jc w:val="both"/>
        <w:rPr>
          <w:rFonts w:ascii="Times New Roman" w:hAnsi="Times New Roman" w:cs="Times New Roman"/>
          <w:sz w:val="24"/>
          <w:szCs w:val="24"/>
        </w:rPr>
      </w:pPr>
    </w:p>
    <w:p w:rsidR="005562A9" w:rsidRPr="00B65257" w:rsidRDefault="00595131" w:rsidP="00551FDE">
      <w:pPr>
        <w:widowControl w:val="0"/>
        <w:autoSpaceDE w:val="0"/>
        <w:autoSpaceDN w:val="0"/>
        <w:adjustRightInd w:val="0"/>
        <w:spacing w:after="240" w:line="360" w:lineRule="auto"/>
        <w:ind w:left="640" w:hanging="640"/>
        <w:jc w:val="center"/>
        <w:rPr>
          <w:rFonts w:ascii="Times New Roman" w:hAnsi="Times New Roman" w:cs="Times New Roman"/>
          <w:b/>
          <w:bCs/>
          <w:sz w:val="32"/>
          <w:szCs w:val="32"/>
        </w:rPr>
      </w:pPr>
      <w:r w:rsidRPr="00B65257">
        <w:rPr>
          <w:rFonts w:ascii="Times New Roman" w:hAnsi="Times New Roman" w:cs="Times New Roman"/>
          <w:b/>
          <w:bCs/>
          <w:sz w:val="32"/>
          <w:szCs w:val="32"/>
        </w:rPr>
        <w:t>Bibliography</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b/>
          <w:bCs/>
          <w:sz w:val="24"/>
          <w:szCs w:val="24"/>
        </w:rPr>
        <w:fldChar w:fldCharType="begin" w:fldLock="1"/>
      </w:r>
      <w:r w:rsidRPr="00B65257">
        <w:rPr>
          <w:rFonts w:ascii="Times New Roman" w:hAnsi="Times New Roman" w:cs="Times New Roman"/>
          <w:b/>
          <w:bCs/>
          <w:sz w:val="24"/>
          <w:szCs w:val="24"/>
        </w:rPr>
        <w:instrText xml:space="preserve">ADDIN Mendeley Bibliography CSL_BIBLIOGRAPHY </w:instrText>
      </w:r>
      <w:r w:rsidRPr="00B65257">
        <w:rPr>
          <w:rFonts w:ascii="Times New Roman" w:hAnsi="Times New Roman" w:cs="Times New Roman"/>
          <w:b/>
          <w:bCs/>
          <w:sz w:val="24"/>
          <w:szCs w:val="24"/>
        </w:rPr>
        <w:fldChar w:fldCharType="separate"/>
      </w:r>
      <w:r w:rsidRPr="00B65257">
        <w:rPr>
          <w:rFonts w:ascii="Times New Roman" w:hAnsi="Times New Roman" w:cs="Times New Roman"/>
          <w:noProof/>
          <w:sz w:val="24"/>
          <w:szCs w:val="24"/>
        </w:rPr>
        <w:t>1.</w:t>
      </w:r>
      <w:r w:rsidRPr="00B65257">
        <w:rPr>
          <w:rFonts w:ascii="Times New Roman" w:hAnsi="Times New Roman" w:cs="Times New Roman"/>
          <w:noProof/>
          <w:sz w:val="24"/>
          <w:szCs w:val="24"/>
        </w:rPr>
        <w:tab/>
        <w:t>Al-Nakeeb NK, Radi J, Hamdan K, Fouad Z. Clinical and immunological effects of experimental infection with Klebsiella pneumoniae in lambs in Iraq. Al-Qadisiyah J Vet Med Sci. 2018;17(1):44–8.</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w:t>
      </w:r>
      <w:r w:rsidRPr="00B65257">
        <w:rPr>
          <w:rFonts w:ascii="Times New Roman" w:hAnsi="Times New Roman" w:cs="Times New Roman"/>
          <w:noProof/>
          <w:sz w:val="24"/>
          <w:szCs w:val="24"/>
        </w:rPr>
        <w:tab/>
        <w:t>Kuinkel S, Acharya J, Dhungel B, Adhikari S, Adhikari N, Shrestha UT, et al. Biofilm formation and phenotypic detection of esbl, mbl, kpc and ampc enzymes and their coexistence in klebsiella spp. Isolated at the national reference laboratory, kathmandu, nepal. Microbiol Res (Pavia). 2021 Aug 18;12(3):683–97.</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w:t>
      </w:r>
      <w:r w:rsidRPr="00B65257">
        <w:rPr>
          <w:rFonts w:ascii="Times New Roman" w:hAnsi="Times New Roman" w:cs="Times New Roman"/>
          <w:noProof/>
          <w:sz w:val="24"/>
          <w:szCs w:val="24"/>
        </w:rPr>
        <w:tab/>
        <w:t>Ghenea AE, Cioboată R, Drocaş AI, Țieranu EN, Vasile CM, Moroşanu A, et al. Prevalence and antimicrobial resistance of klebsiella strains isolated from a county hospital in romania. Antibiotics. 2021 Jul 1;10(7).</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4.</w:t>
      </w:r>
      <w:r w:rsidRPr="00B65257">
        <w:rPr>
          <w:rFonts w:ascii="Times New Roman" w:hAnsi="Times New Roman" w:cs="Times New Roman"/>
          <w:noProof/>
          <w:sz w:val="24"/>
          <w:szCs w:val="24"/>
        </w:rPr>
        <w:tab/>
        <w:t xml:space="preserve">Saud S, Agrawal A, Pokhrel S, Subedi S, Shrestha S, Man Amatya N. Screening of Carbapenem Resistance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and its MIC against Imipenem. Nepal J Biotechnol. 2022 Jul 30;10(1):40–4.</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5.</w:t>
      </w:r>
      <w:r w:rsidRPr="00B65257">
        <w:rPr>
          <w:rFonts w:ascii="Times New Roman" w:hAnsi="Times New Roman" w:cs="Times New Roman"/>
          <w:noProof/>
          <w:sz w:val="24"/>
          <w:szCs w:val="24"/>
        </w:rPr>
        <w:tab/>
        <w:t xml:space="preserve">Dehnamaki M, Ghane M, Babaeekhou L. Detection of OqxAB and QepA Efflux Pumps and Their Association with Antibiotic Resistance in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Isolated From Urinary Tract Infection. Int J Infect. 2020 Oct 26;7(4).</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6.</w:t>
      </w:r>
      <w:r w:rsidRPr="00B65257">
        <w:rPr>
          <w:rFonts w:ascii="Times New Roman" w:hAnsi="Times New Roman" w:cs="Times New Roman"/>
          <w:noProof/>
          <w:sz w:val="24"/>
          <w:szCs w:val="24"/>
        </w:rPr>
        <w:tab/>
        <w:t xml:space="preserve">Spadar A, Phelan J, Elias R, Modesto A, Caneiras C, Marques C, et al. Genomic epidemiological analysis of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from Portuguese hospitals reveals insights into circulating antimicrobial resistance. Sci Rep. 2022 Dec 1;12(1).</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lastRenderedPageBreak/>
        <w:t>7.</w:t>
      </w:r>
      <w:r w:rsidRPr="00B65257">
        <w:rPr>
          <w:rFonts w:ascii="Times New Roman" w:hAnsi="Times New Roman" w:cs="Times New Roman"/>
          <w:noProof/>
          <w:sz w:val="24"/>
          <w:szCs w:val="24"/>
        </w:rPr>
        <w:tab/>
        <w:t xml:space="preserve">Pyakurel S, Ansari M, Kattel S, Rai G, Shrestha P, Rai KR, et al. Prevalence of carbapenemase-producing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at a tertiary care hospital in Kathmandu, Nepal. Trop Med Health. 2021;49(1):290–6.</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8.</w:t>
      </w:r>
      <w:r w:rsidRPr="00B65257">
        <w:rPr>
          <w:rFonts w:ascii="Times New Roman" w:hAnsi="Times New Roman" w:cs="Times New Roman"/>
          <w:noProof/>
          <w:sz w:val="24"/>
          <w:szCs w:val="24"/>
        </w:rPr>
        <w:tab/>
        <w:t xml:space="preserve">Reyes J, Aguilar AC, Caicedo A. Carbapenem-resistant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Microbiology key points for clinical practice. Vol. 12, International Journal of General Medicine. Dove Medical Press Ltd.; 2019. p. 437–46.</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9.</w:t>
      </w:r>
      <w:r w:rsidRPr="00B65257">
        <w:rPr>
          <w:rFonts w:ascii="Times New Roman" w:hAnsi="Times New Roman" w:cs="Times New Roman"/>
          <w:noProof/>
          <w:sz w:val="24"/>
          <w:szCs w:val="24"/>
        </w:rPr>
        <w:tab/>
        <w:t xml:space="preserve">Pitout JDD, Nordmann P, Poirel L. Carbapenemase-producing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a key pathogen set for global nosocomial dominance. Antimicrob Agents Chemother. 2015;59(10):5873–84.</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10.</w:t>
      </w:r>
      <w:r w:rsidRPr="00B65257">
        <w:rPr>
          <w:rFonts w:ascii="Times New Roman" w:hAnsi="Times New Roman" w:cs="Times New Roman"/>
          <w:noProof/>
          <w:sz w:val="24"/>
          <w:szCs w:val="24"/>
        </w:rPr>
        <w:tab/>
        <w:t xml:space="preserve">Muraya A, Kyany’a C, Kiyaga S, Smith HJ, Kibet C, Martin MJ, et al. Antimicrobial Resistance and Virulence Characteristics of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Isolates in Kenya by Whole‐Genome Sequencing. Pathogens. 2022 May 1;11(5).</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11.</w:t>
      </w:r>
      <w:r w:rsidRPr="00B65257">
        <w:rPr>
          <w:rFonts w:ascii="Times New Roman" w:hAnsi="Times New Roman" w:cs="Times New Roman"/>
          <w:noProof/>
          <w:sz w:val="24"/>
          <w:szCs w:val="24"/>
        </w:rPr>
        <w:tab/>
        <w:t xml:space="preserve">Karki D, Dhungel B, Bhandari S, Kunwar A, Joshi PR, Shrestha B, et al. Antibiotic resistance and detection of plasmid mediated colistin resistance mcr-1 gene among </w:t>
      </w:r>
      <w:r w:rsidRPr="00B65257">
        <w:rPr>
          <w:rFonts w:ascii="Times New Roman" w:hAnsi="Times New Roman" w:cs="Times New Roman"/>
          <w:i/>
          <w:iCs/>
          <w:noProof/>
          <w:sz w:val="24"/>
          <w:szCs w:val="24"/>
        </w:rPr>
        <w:t>Escherichia coli</w:t>
      </w:r>
      <w:r w:rsidRPr="00B65257">
        <w:rPr>
          <w:rFonts w:ascii="Times New Roman" w:hAnsi="Times New Roman" w:cs="Times New Roman"/>
          <w:noProof/>
          <w:sz w:val="24"/>
          <w:szCs w:val="24"/>
        </w:rPr>
        <w:t xml:space="preserve"> and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isolated from clinical samples. Gut Pathog. 2021 Dec;13(1).</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12.</w:t>
      </w:r>
      <w:r w:rsidRPr="00B65257">
        <w:rPr>
          <w:rFonts w:ascii="Times New Roman" w:hAnsi="Times New Roman" w:cs="Times New Roman"/>
          <w:noProof/>
          <w:sz w:val="24"/>
          <w:szCs w:val="24"/>
        </w:rPr>
        <w:tab/>
        <w:t>Razavi S, Mirnejad R, Babapour E. Involvement of acrab and oqxab efflux pumps in antimicrobial resistance of clinical isolates of klebsiella pneumonia. J Appl Biotechnol Reports. 2020;7(4):251–7.</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13.</w:t>
      </w:r>
      <w:r w:rsidRPr="00B65257">
        <w:rPr>
          <w:rFonts w:ascii="Times New Roman" w:hAnsi="Times New Roman" w:cs="Times New Roman"/>
          <w:noProof/>
          <w:sz w:val="24"/>
          <w:szCs w:val="24"/>
        </w:rPr>
        <w:tab/>
        <w:t>Ashwath P, Sannejal AD. The Action of Efflux Pump Genes in Conferring Drug Resistance to Klebsiella Species and Their Inhibition. J Heal Allied Sci NU. 2022 Jan;12(01):24–31.</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14.</w:t>
      </w:r>
      <w:r w:rsidRPr="00B65257">
        <w:rPr>
          <w:rFonts w:ascii="Times New Roman" w:hAnsi="Times New Roman" w:cs="Times New Roman"/>
          <w:noProof/>
          <w:sz w:val="24"/>
          <w:szCs w:val="24"/>
        </w:rPr>
        <w:tab/>
        <w:t xml:space="preserve">Thapa S, Adhikari N, Shah AK, Lamichhane I, Dhungel B, Shrestha UT, et al. Detection of NDM-1 and VIM Genes in Carbapenem-Resistant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Isolates from a Tertiary Health-Care Center in Kathmandu, Nepal. Chemotherapy. 2021 Dec 1;66:199–209.</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15.</w:t>
      </w:r>
      <w:r w:rsidRPr="00B65257">
        <w:rPr>
          <w:rFonts w:ascii="Times New Roman" w:hAnsi="Times New Roman" w:cs="Times New Roman"/>
          <w:noProof/>
          <w:sz w:val="24"/>
          <w:szCs w:val="24"/>
        </w:rPr>
        <w:tab/>
        <w:t xml:space="preserve">Swathi CH, Chikala R, Ratnakar KS, Sritharan V. A structural, epidemiological &amp; genetic </w:t>
      </w:r>
      <w:r w:rsidRPr="00B65257">
        <w:rPr>
          <w:rFonts w:ascii="Times New Roman" w:hAnsi="Times New Roman" w:cs="Times New Roman"/>
          <w:noProof/>
          <w:sz w:val="24"/>
          <w:szCs w:val="24"/>
        </w:rPr>
        <w:lastRenderedPageBreak/>
        <w:t xml:space="preserve">overview of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carbapenemases (KPCs). Vol. 144, Indian Journal of Medical Research. Indian Council of Medical Research; 2016. p. 21–31.</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16.</w:t>
      </w:r>
      <w:r w:rsidRPr="00B65257">
        <w:rPr>
          <w:rFonts w:ascii="Times New Roman" w:hAnsi="Times New Roman" w:cs="Times New Roman"/>
          <w:noProof/>
          <w:sz w:val="24"/>
          <w:szCs w:val="24"/>
        </w:rPr>
        <w:tab/>
        <w:t xml:space="preserve">Tzouvelekis LS, Markogiannakis A, Psichogiou M, Tassios PT, Daikos GL. Carbapenemases in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and other Enterobacteriaceae: An evolving crisis of global dimensions. Clin Microbiol Rev. 2012 Oct;25(4):682–707.</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17.</w:t>
      </w:r>
      <w:r w:rsidRPr="00B65257">
        <w:rPr>
          <w:rFonts w:ascii="Times New Roman" w:hAnsi="Times New Roman" w:cs="Times New Roman"/>
          <w:noProof/>
          <w:sz w:val="24"/>
          <w:szCs w:val="24"/>
        </w:rPr>
        <w:tab/>
        <w:t xml:space="preserve">Giakkoupi P, Papagiannitsis CC, Miriagou V, Pappa O, Polemis M, Tryfinopoulou K, et al. An update of the evolving epidemic of blaKPC-2-carrying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in Greece (2009-10). J Antimicrob Chemother. 2011;66(7):1510–3.</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18.</w:t>
      </w:r>
      <w:r w:rsidRPr="00B65257">
        <w:rPr>
          <w:rFonts w:ascii="Times New Roman" w:hAnsi="Times New Roman" w:cs="Times New Roman"/>
          <w:noProof/>
          <w:sz w:val="24"/>
          <w:szCs w:val="24"/>
        </w:rPr>
        <w:tab/>
        <w:t>Cuzon G, Naas T, Truong H, Villegas MV, Wisell KT, Carmeli Y, et al. Worldwide diversity of klebsiella pneumoniae that produces β-lactamase blaKPC-2 Gene. Emerg Infect Dis. 2010;16(9):1349–56.</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19.</w:t>
      </w:r>
      <w:r w:rsidRPr="00B65257">
        <w:rPr>
          <w:rFonts w:ascii="Times New Roman" w:hAnsi="Times New Roman" w:cs="Times New Roman"/>
          <w:noProof/>
          <w:sz w:val="24"/>
          <w:szCs w:val="24"/>
        </w:rPr>
        <w:tab/>
        <w:t xml:space="preserve">Awoke T, Teka B, Aseffa A, Sebre S, Seman A, Yeshitela B, et al. Detection of blaKPC and blaNDM carbapenemase genes among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isolates in Addis Ababa, Ethiopia: Dominance of blaNDM. PLoS One. 2022 Apr 1;17(4 April).</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20.</w:t>
      </w:r>
      <w:r w:rsidRPr="00B65257">
        <w:rPr>
          <w:rFonts w:ascii="Times New Roman" w:hAnsi="Times New Roman" w:cs="Times New Roman"/>
          <w:noProof/>
          <w:sz w:val="24"/>
          <w:szCs w:val="24"/>
        </w:rPr>
        <w:tab/>
        <w:t>Gurung S, Kafle S, Dhungel B, Adhikari N, Shrestha UT, Adhikari B, et al. Detection of oxa-48 gene in carbapenem-resistant escherichia coli and klebsiella pneumoniae from urine samples. Infect Drug Resist. 2020;13:2311–21.</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21.</w:t>
      </w:r>
      <w:r w:rsidRPr="00B65257">
        <w:rPr>
          <w:rFonts w:ascii="Times New Roman" w:hAnsi="Times New Roman" w:cs="Times New Roman"/>
          <w:noProof/>
          <w:sz w:val="24"/>
          <w:szCs w:val="24"/>
        </w:rPr>
        <w:tab/>
        <w:t xml:space="preserve">First report of OXA-48-producing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strains in Iran Erstbeschreibung von OXA-48-produzierenden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-Stämmen im Iran.</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22.</w:t>
      </w:r>
      <w:r w:rsidRPr="00B65257">
        <w:rPr>
          <w:rFonts w:ascii="Times New Roman" w:hAnsi="Times New Roman" w:cs="Times New Roman"/>
          <w:noProof/>
          <w:sz w:val="24"/>
          <w:szCs w:val="24"/>
        </w:rPr>
        <w:tab/>
        <w:t>Evans BA, Amyes SGB. OXA β-lactamases. Clin Microbiol Rev. 2014;27(2):241–63.</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23.</w:t>
      </w:r>
      <w:r w:rsidRPr="00B65257">
        <w:rPr>
          <w:rFonts w:ascii="Times New Roman" w:hAnsi="Times New Roman" w:cs="Times New Roman"/>
          <w:noProof/>
          <w:sz w:val="24"/>
          <w:szCs w:val="24"/>
        </w:rPr>
        <w:tab/>
        <w:t>Lascols C, Hackel M, Marshall SH, Hujer AM, Bouchillon S, Badal R, et al. Increasing prevalence and dissemination of NDM-1 metallo-β-lactamase in India: Data from the SMART study (2009). J Antimicrob Chemother. 2011;66(9):1992–7.</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24.</w:t>
      </w:r>
      <w:r w:rsidRPr="00B65257">
        <w:rPr>
          <w:rFonts w:ascii="Times New Roman" w:hAnsi="Times New Roman" w:cs="Times New Roman"/>
          <w:noProof/>
          <w:sz w:val="24"/>
          <w:szCs w:val="24"/>
        </w:rPr>
        <w:tab/>
        <w:t>Gurung S, Kafle S, Dhungel B, Adhikari N, Shrestha UT, Adhikari B, et al. Detection of oxa-48 gene in carbapenem-resistant escherichia coli and klebsiella pneumoniae from urine samples. Infect Drug Resist. 2020;13:2311–21.</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lastRenderedPageBreak/>
        <w:t>25.</w:t>
      </w:r>
      <w:r w:rsidRPr="00B65257">
        <w:rPr>
          <w:rFonts w:ascii="Times New Roman" w:hAnsi="Times New Roman" w:cs="Times New Roman"/>
          <w:noProof/>
          <w:sz w:val="24"/>
          <w:szCs w:val="24"/>
        </w:rPr>
        <w:tab/>
        <w:t xml:space="preserve">Coudeyras S, Nakusi L, Charbonnel N, Forestier C. A tripartite efflux pump involved in gastrointestinal colonization by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confers a tolerance response to inorganic acid. Infect Immun. 2008;76(10):4633–41.</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26.</w:t>
      </w:r>
      <w:r w:rsidRPr="00B65257">
        <w:rPr>
          <w:rFonts w:ascii="Times New Roman" w:hAnsi="Times New Roman" w:cs="Times New Roman"/>
          <w:noProof/>
          <w:sz w:val="24"/>
          <w:szCs w:val="24"/>
        </w:rPr>
        <w:tab/>
        <w:t xml:space="preserve">Wasfi R, Elkhatib WF, Ashour HM. Molecular typing and virulence analysis of multidrug resistant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clinical isolates recovered from Egyptian hospitals. Sci Rep [Internet]. 2016;6(December):1–11. Available from: http://dx.doi.org/10.1038/srep38929</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27.</w:t>
      </w:r>
      <w:r w:rsidRPr="00B65257">
        <w:rPr>
          <w:rFonts w:ascii="Times New Roman" w:hAnsi="Times New Roman" w:cs="Times New Roman"/>
          <w:noProof/>
          <w:sz w:val="24"/>
          <w:szCs w:val="24"/>
        </w:rPr>
        <w:tab/>
        <w:t>Abbas H, Shaker G, Khattab R, Askoura M. a New Role of Metformin As an Efflux Pump Inhibitor in Klebsiella Pneumonia. J Microbiol Biotechnol Food Sci. 2021;11(1):1–8.</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28.</w:t>
      </w:r>
      <w:r w:rsidRPr="00B65257">
        <w:rPr>
          <w:rFonts w:ascii="Times New Roman" w:hAnsi="Times New Roman" w:cs="Times New Roman"/>
          <w:noProof/>
          <w:sz w:val="24"/>
          <w:szCs w:val="24"/>
        </w:rPr>
        <w:tab/>
        <w:t>Ferreira RL, Da Silva BCM, Rezende GS, Nakamura-Silva R, Pitondo-Silva A, Campanini EB, et al. High prevalence of multidrug-resistant klebsiella pneumoniae harboring several virulence and β-lactamase encoding genes in a brazilian intensive care unit. Front Microbiol. 2019;10(JAN).</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29.</w:t>
      </w:r>
      <w:r w:rsidRPr="00B65257">
        <w:rPr>
          <w:rFonts w:ascii="Times New Roman" w:hAnsi="Times New Roman" w:cs="Times New Roman"/>
          <w:noProof/>
          <w:sz w:val="24"/>
          <w:szCs w:val="24"/>
        </w:rPr>
        <w:tab/>
        <w:t>Naqid IA, Hussein NR, Balatay AA, Saeed KA, Ahmed HA. The Antimicrobial Resistance Pattern of Klebsiella pneumonia Isolated from the Clinical Specimens in Duhok City in Kurdistan Region of Iraq. J Kermanshah Univ Med Sci. 2020 Aug 2;24(2).</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30.</w:t>
      </w:r>
      <w:r w:rsidRPr="00B65257">
        <w:rPr>
          <w:rFonts w:ascii="Times New Roman" w:hAnsi="Times New Roman" w:cs="Times New Roman"/>
          <w:noProof/>
          <w:sz w:val="24"/>
          <w:szCs w:val="24"/>
        </w:rPr>
        <w:tab/>
        <w:t>Dilhari A, Sampath A, Gunasekara C, Fernando N, Weerasekara D, Sissons C, et al. Evaluation of the impact of six different DNA extraction methods for the representation of the microbial community associated with human chronic wound infections using a gel-based DNA profiling method. AMB Express. 2017 Dec;7(1).</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31.</w:t>
      </w:r>
      <w:r w:rsidRPr="00B65257">
        <w:rPr>
          <w:rFonts w:ascii="Times New Roman" w:hAnsi="Times New Roman" w:cs="Times New Roman"/>
          <w:noProof/>
          <w:sz w:val="24"/>
          <w:szCs w:val="24"/>
        </w:rPr>
        <w:tab/>
        <w:t xml:space="preserve">Nagaraj G, Shamanna V, Govindan V, Rose S, Sravani D, Akshata KP, et al. High-Resolution Genomic Profiling of Carbapenem-Resistant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Isolates: A Multicentric Retrospective Indian Study. Clin Infect Dis. 2021 Dec 1;73:S300–7.</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32.</w:t>
      </w:r>
      <w:r w:rsidRPr="00B65257">
        <w:rPr>
          <w:rFonts w:ascii="Times New Roman" w:hAnsi="Times New Roman" w:cs="Times New Roman"/>
          <w:noProof/>
          <w:sz w:val="24"/>
          <w:szCs w:val="24"/>
        </w:rPr>
        <w:tab/>
        <w:t xml:space="preserve">Odari R, Dawadi P. Prevalence of Multidrug-Resistant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Clinical Isolates in Nepal. Vol. 2022, Journal of Tropical Medicine. Hindawi Limited; 2022.</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33.</w:t>
      </w:r>
      <w:r w:rsidRPr="00B65257">
        <w:rPr>
          <w:rFonts w:ascii="Times New Roman" w:hAnsi="Times New Roman" w:cs="Times New Roman"/>
          <w:noProof/>
          <w:sz w:val="24"/>
          <w:szCs w:val="24"/>
        </w:rPr>
        <w:tab/>
        <w:t>Zwama M, Nishino K. Ever-adapting rnd efflux pumps in gram-negative multidrug-resistant pathogens: A race against time. Antibiotics. 2021;10(7):1–32.</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lastRenderedPageBreak/>
        <w:t>34.</w:t>
      </w:r>
      <w:r w:rsidRPr="00B65257">
        <w:rPr>
          <w:rFonts w:ascii="Times New Roman" w:hAnsi="Times New Roman" w:cs="Times New Roman"/>
          <w:noProof/>
          <w:sz w:val="24"/>
          <w:szCs w:val="24"/>
        </w:rPr>
        <w:tab/>
        <w:t xml:space="preserve">Chakraborty S, Mohsina K, Sarker PK, Zahangir Alam M, Abdul Karim MI, Abu Sayem SM. Prevalence, antibiotic susceptibility profiles and ESBL production in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and </w:t>
      </w:r>
      <w:r w:rsidRPr="00B65257">
        <w:rPr>
          <w:rFonts w:ascii="Times New Roman" w:hAnsi="Times New Roman" w:cs="Times New Roman"/>
          <w:i/>
          <w:iCs/>
          <w:noProof/>
          <w:sz w:val="24"/>
          <w:szCs w:val="24"/>
        </w:rPr>
        <w:t>Klebsiella oxytoca</w:t>
      </w:r>
      <w:r w:rsidRPr="00B65257">
        <w:rPr>
          <w:rFonts w:ascii="Times New Roman" w:hAnsi="Times New Roman" w:cs="Times New Roman"/>
          <w:noProof/>
          <w:sz w:val="24"/>
          <w:szCs w:val="24"/>
        </w:rPr>
        <w:t xml:space="preserve"> among hospitalized patients. Period Biol. 2016;118(1):53–8.</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35.</w:t>
      </w:r>
      <w:r w:rsidRPr="00B65257">
        <w:rPr>
          <w:rFonts w:ascii="Times New Roman" w:hAnsi="Times New Roman" w:cs="Times New Roman"/>
          <w:noProof/>
          <w:sz w:val="24"/>
          <w:szCs w:val="24"/>
        </w:rPr>
        <w:tab/>
        <w:t xml:space="preserve">Li Y, Kumar S, Zhang L, Wu H, Wu H. Characteristics of antibiotic resistance mechanisms and genes of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Open Med. 2023;18(1):1–12.</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36.</w:t>
      </w:r>
      <w:r w:rsidRPr="00B65257">
        <w:rPr>
          <w:rFonts w:ascii="Times New Roman" w:hAnsi="Times New Roman" w:cs="Times New Roman"/>
          <w:noProof/>
          <w:sz w:val="24"/>
          <w:szCs w:val="24"/>
        </w:rPr>
        <w:tab/>
        <w:t xml:space="preserve">Zhang J, Li D, Huang X, Long S, Yu H. The Distribution of </w:t>
      </w:r>
      <w:r w:rsidRPr="00B65257">
        <w:rPr>
          <w:rFonts w:ascii="Times New Roman" w:hAnsi="Times New Roman" w:cs="Times New Roman"/>
          <w:i/>
          <w:iCs/>
          <w:noProof/>
          <w:sz w:val="24"/>
          <w:szCs w:val="24"/>
        </w:rPr>
        <w:t>K. pneumoniae</w:t>
      </w:r>
      <w:r w:rsidRPr="00B65257">
        <w:rPr>
          <w:rFonts w:ascii="Times New Roman" w:hAnsi="Times New Roman" w:cs="Times New Roman"/>
          <w:noProof/>
          <w:sz w:val="24"/>
          <w:szCs w:val="24"/>
        </w:rPr>
        <w:t xml:space="preserve"> in Different Specimen Sources and Its Antibiotic Resistance Trends in Sichuan, China From 2017 to 2020. Front Med. 2022 Feb 15;9.</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37.</w:t>
      </w:r>
      <w:r w:rsidRPr="00B65257">
        <w:rPr>
          <w:rFonts w:ascii="Times New Roman" w:hAnsi="Times New Roman" w:cs="Times New Roman"/>
          <w:noProof/>
          <w:sz w:val="24"/>
          <w:szCs w:val="24"/>
        </w:rPr>
        <w:tab/>
        <w:t xml:space="preserve">Baral R, Manandhar S. Detection of bla kpc gene among carbapenemase producing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isolated from different clinical specimens at tertiary care hospital of Nepal. 2023;1–12.</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38.</w:t>
      </w:r>
      <w:r w:rsidRPr="00B65257">
        <w:rPr>
          <w:rFonts w:ascii="Times New Roman" w:hAnsi="Times New Roman" w:cs="Times New Roman"/>
          <w:noProof/>
          <w:sz w:val="24"/>
          <w:szCs w:val="24"/>
        </w:rPr>
        <w:tab/>
        <w:t xml:space="preserve">Pakzad I, Zayyen Karin M, Taherikalani M, Boustanshenas M, Lari AR. Contribution of AcrAB efflux pump to ciprofloxacin resistance in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isolated from burn patients. GMS Hyg Infect Control [Internet]. 2013;8(2):Doc15. Available from: http://www.ncbi.nlm.nih.gov/pubmed/24327941%0Ahttp://www.pubmedcentral.nih.gov/articlerender.fcgi?artid=PMC3850228</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39.</w:t>
      </w:r>
      <w:r w:rsidRPr="00B65257">
        <w:rPr>
          <w:rFonts w:ascii="Times New Roman" w:hAnsi="Times New Roman" w:cs="Times New Roman"/>
          <w:noProof/>
          <w:sz w:val="24"/>
          <w:szCs w:val="24"/>
        </w:rPr>
        <w:tab/>
        <w:t xml:space="preserve">Ahmed ZS, Mawlood AH. Molecular Characterization of Efflux Pump and Porin Related Genes in Multidrug Resistance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Isolates Recovered from Erbil Hospitals. J Univ BABYLON Pure Appl Sci. 2023;31(2):115–27.</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40.</w:t>
      </w:r>
      <w:r w:rsidRPr="00B65257">
        <w:rPr>
          <w:rFonts w:ascii="Times New Roman" w:hAnsi="Times New Roman" w:cs="Times New Roman"/>
          <w:noProof/>
          <w:sz w:val="24"/>
          <w:szCs w:val="24"/>
        </w:rPr>
        <w:tab/>
        <w:t>Abid Fazaa ALmiyah S. Detection of AcrA and AcrB Efflux Pumps in Multidrug-Resistant Klebsiella pneumonia that Isolated from Wounds Infection Patients in Al-Diwaniyah Province. Arch Razi Inst. 2023;78(1):263–70.</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41.</w:t>
      </w:r>
      <w:r w:rsidRPr="00B65257">
        <w:rPr>
          <w:rFonts w:ascii="Times New Roman" w:hAnsi="Times New Roman" w:cs="Times New Roman"/>
          <w:noProof/>
          <w:sz w:val="24"/>
          <w:szCs w:val="24"/>
        </w:rPr>
        <w:tab/>
        <w:t>Papp-Wallace KM, Endimiani A, Taracila MA, Bonomo RA. Carbapenems: Past, present, and future. Antimicrob Agents Chemother. 2011;55(11):4943–60.</w:t>
      </w:r>
    </w:p>
    <w:p w:rsidR="005E66B9" w:rsidRPr="00B65257" w:rsidRDefault="00595131" w:rsidP="005E66B9">
      <w:pPr>
        <w:widowControl w:val="0"/>
        <w:autoSpaceDE w:val="0"/>
        <w:autoSpaceDN w:val="0"/>
        <w:adjustRightInd w:val="0"/>
        <w:spacing w:after="240" w:line="360" w:lineRule="auto"/>
        <w:ind w:left="640" w:hanging="640"/>
        <w:rPr>
          <w:rFonts w:ascii="Times New Roman" w:hAnsi="Times New Roman" w:cs="Times New Roman"/>
          <w:noProof/>
          <w:sz w:val="24"/>
          <w:szCs w:val="24"/>
        </w:rPr>
      </w:pPr>
      <w:r w:rsidRPr="00B65257">
        <w:rPr>
          <w:rFonts w:ascii="Times New Roman" w:hAnsi="Times New Roman" w:cs="Times New Roman"/>
          <w:noProof/>
          <w:sz w:val="24"/>
          <w:szCs w:val="24"/>
        </w:rPr>
        <w:t>42.</w:t>
      </w:r>
      <w:r w:rsidRPr="00B65257">
        <w:rPr>
          <w:rFonts w:ascii="Times New Roman" w:hAnsi="Times New Roman" w:cs="Times New Roman"/>
          <w:noProof/>
          <w:sz w:val="24"/>
          <w:szCs w:val="24"/>
        </w:rPr>
        <w:tab/>
        <w:t xml:space="preserve">Lin Z, Yu J, Liu S, Zhu M. Prevalence and antibiotic resistance of </w:t>
      </w:r>
      <w:r w:rsidRPr="00B65257">
        <w:rPr>
          <w:rFonts w:ascii="Times New Roman" w:hAnsi="Times New Roman" w:cs="Times New Roman"/>
          <w:i/>
          <w:iCs/>
          <w:noProof/>
          <w:sz w:val="24"/>
          <w:szCs w:val="24"/>
        </w:rPr>
        <w:t>Klebsiella pneumoniae</w:t>
      </w:r>
      <w:r w:rsidRPr="00B65257">
        <w:rPr>
          <w:rFonts w:ascii="Times New Roman" w:hAnsi="Times New Roman" w:cs="Times New Roman"/>
          <w:noProof/>
          <w:sz w:val="24"/>
          <w:szCs w:val="24"/>
        </w:rPr>
        <w:t xml:space="preserve"> in a tertiary hospital in Hangzhou, China, 2006–2020. J Int Med Res. 2022 Feb 1;50(2).</w:t>
      </w:r>
    </w:p>
    <w:p w:rsidR="00706D4C" w:rsidRPr="00B65257" w:rsidRDefault="00595131" w:rsidP="00BF744F">
      <w:pPr>
        <w:widowControl w:val="0"/>
        <w:autoSpaceDE w:val="0"/>
        <w:autoSpaceDN w:val="0"/>
        <w:adjustRightInd w:val="0"/>
        <w:spacing w:after="240" w:line="360" w:lineRule="auto"/>
        <w:rPr>
          <w:rFonts w:ascii="Times New Roman" w:hAnsi="Times New Roman" w:cs="Times New Roman"/>
        </w:rPr>
      </w:pPr>
      <w:r w:rsidRPr="00B65257">
        <w:rPr>
          <w:rFonts w:ascii="Times New Roman" w:hAnsi="Times New Roman" w:cs="Times New Roman"/>
          <w:b/>
          <w:bCs/>
          <w:sz w:val="24"/>
          <w:szCs w:val="24"/>
        </w:rPr>
        <w:lastRenderedPageBreak/>
        <w:fldChar w:fldCharType="end"/>
      </w:r>
    </w:p>
    <w:sectPr w:rsidR="00706D4C" w:rsidRPr="00B65257" w:rsidSect="00177FAA">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054" w:rsidRDefault="00733054" w:rsidP="004C23EC">
      <w:pPr>
        <w:spacing w:after="0" w:line="240" w:lineRule="auto"/>
      </w:pPr>
      <w:r>
        <w:separator/>
      </w:r>
    </w:p>
  </w:endnote>
  <w:endnote w:type="continuationSeparator" w:id="0">
    <w:p w:rsidR="00733054" w:rsidRDefault="00733054" w:rsidP="004C2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1619995"/>
      <w:docPartObj>
        <w:docPartGallery w:val="Page Numbers (Bottom of Page)"/>
        <w:docPartUnique/>
      </w:docPartObj>
    </w:sdtPr>
    <w:sdtEndPr>
      <w:rPr>
        <w:noProof/>
      </w:rPr>
    </w:sdtEndPr>
    <w:sdtContent>
      <w:p w:rsidR="00CA4EAD" w:rsidRDefault="00CA4EAD">
        <w:pPr>
          <w:pStyle w:val="Footer"/>
          <w:jc w:val="center"/>
        </w:pPr>
        <w:r>
          <w:fldChar w:fldCharType="begin"/>
        </w:r>
        <w:r>
          <w:instrText xml:space="preserve"> PAGE   \* MERGEFORMAT </w:instrText>
        </w:r>
        <w:r>
          <w:fldChar w:fldCharType="separate"/>
        </w:r>
        <w:r w:rsidR="00FE7731">
          <w:rPr>
            <w:noProof/>
          </w:rPr>
          <w:t>6</w:t>
        </w:r>
        <w:r>
          <w:rPr>
            <w:noProof/>
          </w:rPr>
          <w:fldChar w:fldCharType="end"/>
        </w:r>
      </w:p>
    </w:sdtContent>
  </w:sdt>
  <w:p w:rsidR="00CA4EAD" w:rsidRDefault="00CA4E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404357"/>
      <w:docPartObj>
        <w:docPartGallery w:val="Page Numbers (Bottom of Page)"/>
        <w:docPartUnique/>
      </w:docPartObj>
    </w:sdtPr>
    <w:sdtEndPr>
      <w:rPr>
        <w:noProof/>
      </w:rPr>
    </w:sdtEndPr>
    <w:sdtContent>
      <w:p w:rsidR="00CA4EAD" w:rsidRDefault="00CA4EAD">
        <w:pPr>
          <w:pStyle w:val="Footer"/>
          <w:jc w:val="center"/>
        </w:pPr>
        <w:r>
          <w:fldChar w:fldCharType="begin"/>
        </w:r>
        <w:r>
          <w:instrText xml:space="preserve"> PAGE   \* MERGEFORMAT </w:instrText>
        </w:r>
        <w:r>
          <w:fldChar w:fldCharType="separate"/>
        </w:r>
        <w:r w:rsidR="00FE7731">
          <w:rPr>
            <w:noProof/>
          </w:rPr>
          <w:t>7</w:t>
        </w:r>
        <w:r>
          <w:rPr>
            <w:noProof/>
          </w:rPr>
          <w:fldChar w:fldCharType="end"/>
        </w:r>
      </w:p>
    </w:sdtContent>
  </w:sdt>
  <w:p w:rsidR="00CA4EAD" w:rsidRDefault="00CA4EAD" w:rsidP="00BF744F">
    <w:pPr>
      <w:pStyle w:val="Footer"/>
      <w:tabs>
        <w:tab w:val="clear" w:pos="4680"/>
        <w:tab w:val="clear" w:pos="9360"/>
        <w:tab w:val="left" w:pos="312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7223722"/>
      <w:docPartObj>
        <w:docPartGallery w:val="Page Numbers (Bottom of Page)"/>
        <w:docPartUnique/>
      </w:docPartObj>
    </w:sdtPr>
    <w:sdtEndPr>
      <w:rPr>
        <w:noProof/>
      </w:rPr>
    </w:sdtEndPr>
    <w:sdtContent>
      <w:p w:rsidR="00CA4EAD" w:rsidRDefault="00CA4EAD">
        <w:pPr>
          <w:pStyle w:val="Footer"/>
          <w:jc w:val="center"/>
        </w:pPr>
        <w:r>
          <w:fldChar w:fldCharType="begin"/>
        </w:r>
        <w:r>
          <w:instrText xml:space="preserve"> PAGE   \* MERGEFORMAT </w:instrText>
        </w:r>
        <w:r>
          <w:fldChar w:fldCharType="separate"/>
        </w:r>
        <w:r w:rsidR="00FE7731">
          <w:rPr>
            <w:noProof/>
          </w:rPr>
          <w:t>8</w:t>
        </w:r>
        <w:r>
          <w:rPr>
            <w:noProof/>
          </w:rPr>
          <w:fldChar w:fldCharType="end"/>
        </w:r>
      </w:p>
    </w:sdtContent>
  </w:sdt>
  <w:p w:rsidR="00CA4EAD" w:rsidRDefault="00CA4EAD" w:rsidP="00BF74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054" w:rsidRDefault="00733054" w:rsidP="004C23EC">
      <w:pPr>
        <w:spacing w:after="0" w:line="240" w:lineRule="auto"/>
      </w:pPr>
      <w:r>
        <w:separator/>
      </w:r>
    </w:p>
  </w:footnote>
  <w:footnote w:type="continuationSeparator" w:id="0">
    <w:p w:rsidR="00733054" w:rsidRDefault="00733054" w:rsidP="004C23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5CAC"/>
    <w:multiLevelType w:val="multilevel"/>
    <w:tmpl w:val="0552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016E07"/>
    <w:multiLevelType w:val="hybridMultilevel"/>
    <w:tmpl w:val="079C5804"/>
    <w:lvl w:ilvl="0" w:tplc="E04A2458">
      <w:start w:val="1"/>
      <w:numFmt w:val="decimal"/>
      <w:lvlText w:val="%1."/>
      <w:lvlJc w:val="left"/>
      <w:pPr>
        <w:ind w:left="720" w:hanging="360"/>
      </w:pPr>
      <w:rPr>
        <w:rFonts w:hint="default"/>
      </w:rPr>
    </w:lvl>
    <w:lvl w:ilvl="1" w:tplc="A1F0EA4E" w:tentative="1">
      <w:start w:val="1"/>
      <w:numFmt w:val="lowerLetter"/>
      <w:lvlText w:val="%2."/>
      <w:lvlJc w:val="left"/>
      <w:pPr>
        <w:ind w:left="1440" w:hanging="360"/>
      </w:pPr>
    </w:lvl>
    <w:lvl w:ilvl="2" w:tplc="5544934A" w:tentative="1">
      <w:start w:val="1"/>
      <w:numFmt w:val="lowerRoman"/>
      <w:lvlText w:val="%3."/>
      <w:lvlJc w:val="right"/>
      <w:pPr>
        <w:ind w:left="2160" w:hanging="180"/>
      </w:pPr>
    </w:lvl>
    <w:lvl w:ilvl="3" w:tplc="2AEAB8B8" w:tentative="1">
      <w:start w:val="1"/>
      <w:numFmt w:val="decimal"/>
      <w:lvlText w:val="%4."/>
      <w:lvlJc w:val="left"/>
      <w:pPr>
        <w:ind w:left="2880" w:hanging="360"/>
      </w:pPr>
    </w:lvl>
    <w:lvl w:ilvl="4" w:tplc="1AEE84AC" w:tentative="1">
      <w:start w:val="1"/>
      <w:numFmt w:val="lowerLetter"/>
      <w:lvlText w:val="%5."/>
      <w:lvlJc w:val="left"/>
      <w:pPr>
        <w:ind w:left="3600" w:hanging="360"/>
      </w:pPr>
    </w:lvl>
    <w:lvl w:ilvl="5" w:tplc="5D804AA8" w:tentative="1">
      <w:start w:val="1"/>
      <w:numFmt w:val="lowerRoman"/>
      <w:lvlText w:val="%6."/>
      <w:lvlJc w:val="right"/>
      <w:pPr>
        <w:ind w:left="4320" w:hanging="180"/>
      </w:pPr>
    </w:lvl>
    <w:lvl w:ilvl="6" w:tplc="A3C2CCDE" w:tentative="1">
      <w:start w:val="1"/>
      <w:numFmt w:val="decimal"/>
      <w:lvlText w:val="%7."/>
      <w:lvlJc w:val="left"/>
      <w:pPr>
        <w:ind w:left="5040" w:hanging="360"/>
      </w:pPr>
    </w:lvl>
    <w:lvl w:ilvl="7" w:tplc="1C88F020" w:tentative="1">
      <w:start w:val="1"/>
      <w:numFmt w:val="lowerLetter"/>
      <w:lvlText w:val="%8."/>
      <w:lvlJc w:val="left"/>
      <w:pPr>
        <w:ind w:left="5760" w:hanging="360"/>
      </w:pPr>
    </w:lvl>
    <w:lvl w:ilvl="8" w:tplc="A7E448F2"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28B"/>
    <w:rsid w:val="00006AB4"/>
    <w:rsid w:val="000343D4"/>
    <w:rsid w:val="00035F6D"/>
    <w:rsid w:val="00036F8D"/>
    <w:rsid w:val="0005528B"/>
    <w:rsid w:val="00062695"/>
    <w:rsid w:val="000650A5"/>
    <w:rsid w:val="00073C26"/>
    <w:rsid w:val="0008616B"/>
    <w:rsid w:val="000B4D84"/>
    <w:rsid w:val="0011656F"/>
    <w:rsid w:val="00120286"/>
    <w:rsid w:val="00131966"/>
    <w:rsid w:val="001520BA"/>
    <w:rsid w:val="00177FAA"/>
    <w:rsid w:val="001C23F6"/>
    <w:rsid w:val="00244844"/>
    <w:rsid w:val="00251CA9"/>
    <w:rsid w:val="00272C36"/>
    <w:rsid w:val="002C286F"/>
    <w:rsid w:val="002D0B10"/>
    <w:rsid w:val="002E47E7"/>
    <w:rsid w:val="002F692D"/>
    <w:rsid w:val="003405D4"/>
    <w:rsid w:val="00357EF4"/>
    <w:rsid w:val="0037001A"/>
    <w:rsid w:val="003A561F"/>
    <w:rsid w:val="003E5451"/>
    <w:rsid w:val="003E7D4C"/>
    <w:rsid w:val="00434940"/>
    <w:rsid w:val="00463437"/>
    <w:rsid w:val="004800FC"/>
    <w:rsid w:val="00493120"/>
    <w:rsid w:val="004A70DC"/>
    <w:rsid w:val="004C23EC"/>
    <w:rsid w:val="004C4199"/>
    <w:rsid w:val="00533B16"/>
    <w:rsid w:val="00551FDE"/>
    <w:rsid w:val="005562A9"/>
    <w:rsid w:val="005653E4"/>
    <w:rsid w:val="00566096"/>
    <w:rsid w:val="00573E52"/>
    <w:rsid w:val="005741A7"/>
    <w:rsid w:val="00595131"/>
    <w:rsid w:val="005B2A53"/>
    <w:rsid w:val="005C4F88"/>
    <w:rsid w:val="005D02AF"/>
    <w:rsid w:val="005D6B08"/>
    <w:rsid w:val="005E66B9"/>
    <w:rsid w:val="00637B0E"/>
    <w:rsid w:val="006735AD"/>
    <w:rsid w:val="0068542E"/>
    <w:rsid w:val="006A4F45"/>
    <w:rsid w:val="00706D4C"/>
    <w:rsid w:val="00733054"/>
    <w:rsid w:val="007566C7"/>
    <w:rsid w:val="00774A0D"/>
    <w:rsid w:val="007865A3"/>
    <w:rsid w:val="007868B5"/>
    <w:rsid w:val="00796495"/>
    <w:rsid w:val="007C309F"/>
    <w:rsid w:val="007D2E93"/>
    <w:rsid w:val="008102D7"/>
    <w:rsid w:val="008376D4"/>
    <w:rsid w:val="0089774C"/>
    <w:rsid w:val="008C11D0"/>
    <w:rsid w:val="009121C6"/>
    <w:rsid w:val="0091759D"/>
    <w:rsid w:val="00920AC7"/>
    <w:rsid w:val="0092556E"/>
    <w:rsid w:val="0094417F"/>
    <w:rsid w:val="0099009F"/>
    <w:rsid w:val="00992D37"/>
    <w:rsid w:val="00995898"/>
    <w:rsid w:val="009D6A5E"/>
    <w:rsid w:val="009F3097"/>
    <w:rsid w:val="00A03B3C"/>
    <w:rsid w:val="00A23C0D"/>
    <w:rsid w:val="00A8431B"/>
    <w:rsid w:val="00AB18BC"/>
    <w:rsid w:val="00AD5BF2"/>
    <w:rsid w:val="00AD66E4"/>
    <w:rsid w:val="00AF53F3"/>
    <w:rsid w:val="00B02090"/>
    <w:rsid w:val="00B46DDF"/>
    <w:rsid w:val="00B65257"/>
    <w:rsid w:val="00B95EE2"/>
    <w:rsid w:val="00BE36BE"/>
    <w:rsid w:val="00BF744F"/>
    <w:rsid w:val="00C15AA6"/>
    <w:rsid w:val="00C81F7E"/>
    <w:rsid w:val="00CA4EAD"/>
    <w:rsid w:val="00CB23F5"/>
    <w:rsid w:val="00CB6F03"/>
    <w:rsid w:val="00CE0E94"/>
    <w:rsid w:val="00CE7BDB"/>
    <w:rsid w:val="00D17B8B"/>
    <w:rsid w:val="00D2595F"/>
    <w:rsid w:val="00D40E6D"/>
    <w:rsid w:val="00D50A80"/>
    <w:rsid w:val="00D56A3E"/>
    <w:rsid w:val="00D77943"/>
    <w:rsid w:val="00D90D29"/>
    <w:rsid w:val="00D91880"/>
    <w:rsid w:val="00DA6BB3"/>
    <w:rsid w:val="00DB02CA"/>
    <w:rsid w:val="00DD4130"/>
    <w:rsid w:val="00E54277"/>
    <w:rsid w:val="00E61F83"/>
    <w:rsid w:val="00E6399D"/>
    <w:rsid w:val="00E71E01"/>
    <w:rsid w:val="00EB31B4"/>
    <w:rsid w:val="00EC02C9"/>
    <w:rsid w:val="00ED0DDB"/>
    <w:rsid w:val="00F030C2"/>
    <w:rsid w:val="00F04727"/>
    <w:rsid w:val="00F068DB"/>
    <w:rsid w:val="00F1169B"/>
    <w:rsid w:val="00F661F3"/>
    <w:rsid w:val="00F8248D"/>
    <w:rsid w:val="00F912AD"/>
    <w:rsid w:val="00F92C31"/>
    <w:rsid w:val="00FE7731"/>
    <w:rsid w:val="00FF1C21"/>
    <w:rsid w:val="00FF4B5B"/>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746396-493F-4BD1-AA5D-C2BA66E95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US" w:eastAsia="en-US" w:bidi="ne-NP"/>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C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95E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0E9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E0E94"/>
    <w:rPr>
      <w:i/>
      <w:iCs/>
    </w:rPr>
  </w:style>
  <w:style w:type="paragraph" w:customStyle="1" w:styleId="Default">
    <w:name w:val="Default"/>
    <w:rsid w:val="007865A3"/>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18"/>
    </w:rPr>
  </w:style>
  <w:style w:type="character" w:customStyle="1" w:styleId="CommentTextChar">
    <w:name w:val="Comment Text Char"/>
    <w:basedOn w:val="DefaultParagraphFont"/>
    <w:link w:val="CommentText"/>
    <w:uiPriority w:val="99"/>
    <w:semiHidden/>
    <w:rPr>
      <w:sz w:val="20"/>
      <w:szCs w:val="18"/>
    </w:rPr>
  </w:style>
  <w:style w:type="paragraph" w:styleId="BalloonText">
    <w:name w:val="Balloon Text"/>
    <w:basedOn w:val="Normal"/>
    <w:link w:val="BalloonTextChar"/>
    <w:uiPriority w:val="99"/>
    <w:semiHidden/>
    <w:unhideWhenUsed/>
    <w:rsid w:val="00595131"/>
    <w:pPr>
      <w:spacing w:after="0" w:line="240" w:lineRule="auto"/>
    </w:pPr>
    <w:rPr>
      <w:rFonts w:ascii="Segoe UI" w:hAnsi="Segoe UI" w:cs="Segoe UI"/>
      <w:sz w:val="18"/>
      <w:szCs w:val="16"/>
    </w:rPr>
  </w:style>
  <w:style w:type="character" w:customStyle="1" w:styleId="BalloonTextChar">
    <w:name w:val="Balloon Text Char"/>
    <w:basedOn w:val="DefaultParagraphFont"/>
    <w:link w:val="BalloonText"/>
    <w:uiPriority w:val="99"/>
    <w:semiHidden/>
    <w:rsid w:val="00595131"/>
    <w:rPr>
      <w:rFonts w:ascii="Segoe UI" w:hAnsi="Segoe UI" w:cs="Segoe UI"/>
      <w:sz w:val="18"/>
      <w:szCs w:val="16"/>
    </w:rPr>
  </w:style>
  <w:style w:type="paragraph" w:styleId="CommentSubject">
    <w:name w:val="annotation subject"/>
    <w:basedOn w:val="CommentText"/>
    <w:next w:val="CommentText"/>
    <w:link w:val="CommentSubjectChar"/>
    <w:uiPriority w:val="99"/>
    <w:semiHidden/>
    <w:unhideWhenUsed/>
    <w:rsid w:val="00595131"/>
    <w:rPr>
      <w:b/>
      <w:bCs/>
    </w:rPr>
  </w:style>
  <w:style w:type="character" w:customStyle="1" w:styleId="CommentSubjectChar">
    <w:name w:val="Comment Subject Char"/>
    <w:basedOn w:val="CommentTextChar"/>
    <w:link w:val="CommentSubject"/>
    <w:uiPriority w:val="99"/>
    <w:semiHidden/>
    <w:rsid w:val="00595131"/>
    <w:rPr>
      <w:b/>
      <w:bCs/>
      <w:sz w:val="20"/>
      <w:szCs w:val="18"/>
    </w:rPr>
  </w:style>
  <w:style w:type="paragraph" w:styleId="Header">
    <w:name w:val="header"/>
    <w:basedOn w:val="Normal"/>
    <w:link w:val="HeaderChar"/>
    <w:uiPriority w:val="99"/>
    <w:unhideWhenUsed/>
    <w:rsid w:val="004C2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3EC"/>
  </w:style>
  <w:style w:type="paragraph" w:styleId="Footer">
    <w:name w:val="footer"/>
    <w:basedOn w:val="Normal"/>
    <w:link w:val="FooterChar"/>
    <w:uiPriority w:val="99"/>
    <w:unhideWhenUsed/>
    <w:rsid w:val="004C2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3EC"/>
  </w:style>
  <w:style w:type="table" w:customStyle="1" w:styleId="TableGrid2">
    <w:name w:val="Table Grid2"/>
    <w:basedOn w:val="TableNormal"/>
    <w:next w:val="TableGrid"/>
    <w:uiPriority w:val="59"/>
    <w:rsid w:val="00DA6B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2"/>
            </a:solidFill>
            <a:ln>
              <a:noFill/>
            </a:ln>
            <a:effectLst/>
          </c:spPr>
          <c:invertIfNegative val="0"/>
          <c:dLbls>
            <c:dLbl>
              <c:idx val="0"/>
              <c:tx>
                <c:rich>
                  <a:bodyPr/>
                  <a:lstStyle/>
                  <a:p>
                    <a:r>
                      <a:rPr lang="en-US"/>
                      <a:t> 19.7%     </a:t>
                    </a:r>
                  </a:p>
                </c:rich>
              </c:tx>
              <c:dLblPos val="outEnd"/>
              <c:showLegendKey val="0"/>
              <c:showVal val="1"/>
              <c:showCatName val="0"/>
              <c:showSerName val="0"/>
              <c:showPercent val="0"/>
              <c:showBubbleSize val="0"/>
              <c:extLst>
                <c:ext xmlns:c15="http://schemas.microsoft.com/office/drawing/2012/chart" uri="{CE6537A1-D6FC-4f65-9D91-7224C49458BB}"/>
              </c:extLst>
            </c:dLbl>
            <c:dLbl>
              <c:idx val="1"/>
              <c:tx>
                <c:rich>
                  <a:bodyPr/>
                  <a:lstStyle/>
                  <a:p>
                    <a:fld id="{F4706458-660A-4B86-BB40-163CFE59E548}"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2"/>
              <c:tx>
                <c:rich>
                  <a:bodyPr/>
                  <a:lstStyle/>
                  <a:p>
                    <a:fld id="{8E955BA9-F394-4CF1-A1D5-32149431E58F}"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3"/>
              <c:tx>
                <c:rich>
                  <a:bodyPr/>
                  <a:lstStyle/>
                  <a:p>
                    <a:fld id="{195707D8-AFC3-4919-89C9-F393ED3AAE0F}"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4"/>
              <c:tx>
                <c:rich>
                  <a:bodyPr/>
                  <a:lstStyle/>
                  <a:p>
                    <a:fld id="{FF7BBE5B-2637-4BBF-B372-08365C45F2C8}"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5"/>
              <c:tx>
                <c:rich>
                  <a:bodyPr/>
                  <a:lstStyle/>
                  <a:p>
                    <a:fld id="{B0E90CC8-DA90-4EBD-8B8B-EDB9E0E7F06E}"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6"/>
              <c:tx>
                <c:rich>
                  <a:bodyPr/>
                  <a:lstStyle/>
                  <a:p>
                    <a:fld id="{C9F80158-E8E1-4805-A594-2714C8D1BE91}"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7"/>
              <c:tx>
                <c:rich>
                  <a:bodyPr/>
                  <a:lstStyle/>
                  <a:p>
                    <a:fld id="{41FDCA46-7668-42F1-A8C5-7D279870C553}"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8"/>
              <c:tx>
                <c:rich>
                  <a:bodyPr/>
                  <a:lstStyle/>
                  <a:p>
                    <a:fld id="{4D418694-34A9-4C57-8C81-2CC10CE1C95E}"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9"/>
              <c:tx>
                <c:rich>
                  <a:bodyPr/>
                  <a:lstStyle/>
                  <a:p>
                    <a:r>
                      <a:rPr lang="en-US"/>
                      <a:t>5.2%</a:t>
                    </a:r>
                  </a:p>
                </c:rich>
              </c:tx>
              <c:dLblPos val="outEnd"/>
              <c:showLegendKey val="0"/>
              <c:showVal val="1"/>
              <c:showCatName val="0"/>
              <c:showSerName val="0"/>
              <c:showPercent val="0"/>
              <c:showBubbleSize val="0"/>
              <c:extLst>
                <c:ext xmlns:c15="http://schemas.microsoft.com/office/drawing/2012/chart" uri="{CE6537A1-D6FC-4f65-9D91-7224C49458BB}"/>
              </c:extLst>
            </c:dLbl>
            <c:dLbl>
              <c:idx val="10"/>
              <c:tx>
                <c:rich>
                  <a:bodyPr/>
                  <a:lstStyle/>
                  <a:p>
                    <a:fld id="{ECF319DD-F46B-484C-8B5D-6A1308E0F5CB}"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Sheet1!$A$1:$A$11</c:f>
              <c:strCache>
                <c:ptCount val="11"/>
                <c:pt idx="0">
                  <c:v>Acinetobacter spp.</c:v>
                </c:pt>
                <c:pt idx="1">
                  <c:v>K. pneumoniae</c:v>
                </c:pt>
                <c:pt idx="2">
                  <c:v>K. oxytoca</c:v>
                </c:pt>
                <c:pt idx="3">
                  <c:v>E. coli</c:v>
                </c:pt>
                <c:pt idx="4">
                  <c:v>P. aeruginosa</c:v>
                </c:pt>
                <c:pt idx="5">
                  <c:v>Enterococcus sp.</c:v>
                </c:pt>
                <c:pt idx="6">
                  <c:v>Citrobacterspp.</c:v>
                </c:pt>
                <c:pt idx="7">
                  <c:v>Proteus spp.</c:v>
                </c:pt>
                <c:pt idx="8">
                  <c:v>S. aureus</c:v>
                </c:pt>
                <c:pt idx="9">
                  <c:v>Enterococcus spp.</c:v>
                </c:pt>
                <c:pt idx="10">
                  <c:v>CONS</c:v>
                </c:pt>
              </c:strCache>
            </c:strRef>
          </c:cat>
          <c:val>
            <c:numRef>
              <c:f>Sheet1!$B$1:$B$11</c:f>
              <c:numCache>
                <c:formatCode>General</c:formatCode>
                <c:ptCount val="11"/>
                <c:pt idx="0">
                  <c:v>19.7</c:v>
                </c:pt>
                <c:pt idx="1">
                  <c:v>14.8</c:v>
                </c:pt>
                <c:pt idx="2">
                  <c:v>1.3</c:v>
                </c:pt>
                <c:pt idx="3">
                  <c:v>18.399999999999999</c:v>
                </c:pt>
                <c:pt idx="4">
                  <c:v>4.3</c:v>
                </c:pt>
                <c:pt idx="5">
                  <c:v>0.6</c:v>
                </c:pt>
                <c:pt idx="6">
                  <c:v>0.3</c:v>
                </c:pt>
                <c:pt idx="7">
                  <c:v>1</c:v>
                </c:pt>
                <c:pt idx="8">
                  <c:v>25</c:v>
                </c:pt>
                <c:pt idx="9">
                  <c:v>5.2</c:v>
                </c:pt>
                <c:pt idx="10">
                  <c:v>9.1999999999999993</c:v>
                </c:pt>
              </c:numCache>
            </c:numRef>
          </c:val>
        </c:ser>
        <c:dLbls>
          <c:dLblPos val="outEnd"/>
          <c:showLegendKey val="0"/>
          <c:showVal val="1"/>
          <c:showCatName val="0"/>
          <c:showSerName val="0"/>
          <c:showPercent val="0"/>
          <c:showBubbleSize val="0"/>
        </c:dLbls>
        <c:gapWidth val="239"/>
        <c:overlap val="-7"/>
        <c:axId val="373216424"/>
        <c:axId val="373217992"/>
      </c:barChart>
      <c:catAx>
        <c:axId val="37321642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200" b="0" i="1"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3217992"/>
        <c:crosses val="autoZero"/>
        <c:auto val="1"/>
        <c:lblAlgn val="ctr"/>
        <c:lblOffset val="100"/>
        <c:noMultiLvlLbl val="0"/>
      </c:catAx>
      <c:valAx>
        <c:axId val="373217992"/>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3216424"/>
        <c:crosses val="autoZero"/>
        <c:crossBetween val="between"/>
      </c:valAx>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Sheet1!$B$1</c:f>
              <c:strCache>
                <c:ptCount val="1"/>
                <c:pt idx="0">
                  <c:v>Susceptible (%)</c:v>
                </c:pt>
              </c:strCache>
            </c:strRef>
          </c:tx>
          <c:spPr>
            <a:solidFill>
              <a:schemeClr val="tx2">
                <a:lumMod val="40000"/>
                <a:lumOff val="60000"/>
              </a:schemeClr>
            </a:solidFill>
            <a:ln>
              <a:noFill/>
            </a:ln>
            <a:effectLst/>
          </c:spPr>
          <c:invertIfNegative val="0"/>
          <c:dLbls>
            <c:dLbl>
              <c:idx val="8"/>
              <c:layout>
                <c:manualLayout>
                  <c:x val="-2.7457440966501922E-3"/>
                  <c:y val="0"/>
                </c:manualLayout>
              </c:layout>
              <c:dLblPos val="ctr"/>
              <c:showLegendKey val="0"/>
              <c:showVal val="1"/>
              <c:showCatName val="0"/>
              <c:showSerName val="0"/>
              <c:showPercent val="0"/>
              <c:showBubbleSize val="0"/>
              <c:extLst>
                <c:ext xmlns:c15="http://schemas.microsoft.com/office/drawing/2012/chart" uri="{CE6537A1-D6FC-4f65-9D91-7224C49458BB}"/>
              </c:extLst>
            </c:dLbl>
            <c:dLbl>
              <c:idx val="9"/>
              <c:layout>
                <c:manualLayout>
                  <c:x val="8.2372322899505763E-3"/>
                  <c:y val="0"/>
                </c:manualLayout>
              </c:layout>
              <c:dLblPos val="ctr"/>
              <c:showLegendKey val="0"/>
              <c:showVal val="1"/>
              <c:showCatName val="0"/>
              <c:showSerName val="0"/>
              <c:showPercent val="0"/>
              <c:showBubbleSize val="0"/>
              <c:extLst>
                <c:ext xmlns:c15="http://schemas.microsoft.com/office/drawing/2012/chart" uri="{CE6537A1-D6FC-4f65-9D91-7224C49458BB}"/>
              </c:extLst>
            </c:dLbl>
            <c:dLbl>
              <c:idx val="10"/>
              <c:layout>
                <c:manualLayout>
                  <c:x val="8.2372322899506769E-3"/>
                  <c:y val="3.8051750380517502E-3"/>
                </c:manualLayout>
              </c:layout>
              <c:dLblPos val="ctr"/>
              <c:showLegendKey val="0"/>
              <c:showVal val="1"/>
              <c:showCatName val="0"/>
              <c:showSerName val="0"/>
              <c:showPercent val="0"/>
              <c:showBubbleSize val="0"/>
              <c:extLst>
                <c:ext xmlns:c15="http://schemas.microsoft.com/office/drawing/2012/chart" uri="{CE6537A1-D6FC-4f65-9D91-7224C49458BB}"/>
              </c:extLst>
            </c:dLbl>
            <c:dLbl>
              <c:idx val="11"/>
              <c:layout>
                <c:manualLayout>
                  <c:x val="1.0982976386600668E-2"/>
                  <c:y val="3.8051750380516808E-3"/>
                </c:manualLayout>
              </c:layout>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Sheet1!$A$2:$A$13</c:f>
              <c:strCache>
                <c:ptCount val="12"/>
                <c:pt idx="0">
                  <c:v>Doxycycline</c:v>
                </c:pt>
                <c:pt idx="1">
                  <c:v>Gentamycin</c:v>
                </c:pt>
                <c:pt idx="2">
                  <c:v>Cotrimoxazole</c:v>
                </c:pt>
                <c:pt idx="3">
                  <c:v>Ciprofloxacin</c:v>
                </c:pt>
                <c:pt idx="4">
                  <c:v>Levofloxacin</c:v>
                </c:pt>
                <c:pt idx="5">
                  <c:v>Aztreonam</c:v>
                </c:pt>
                <c:pt idx="6">
                  <c:v>Pipera/tazo</c:v>
                </c:pt>
                <c:pt idx="7">
                  <c:v>Ceftriaxone</c:v>
                </c:pt>
                <c:pt idx="8">
                  <c:v>Imipenem</c:v>
                </c:pt>
                <c:pt idx="9">
                  <c:v>Meropenem</c:v>
                </c:pt>
                <c:pt idx="10">
                  <c:v>Polymyxin</c:v>
                </c:pt>
                <c:pt idx="11">
                  <c:v>Colistin</c:v>
                </c:pt>
              </c:strCache>
            </c:strRef>
          </c:cat>
          <c:val>
            <c:numRef>
              <c:f>Sheet1!$B$2:$B$13</c:f>
              <c:numCache>
                <c:formatCode>0\%</c:formatCode>
                <c:ptCount val="12"/>
                <c:pt idx="0">
                  <c:v>57.8</c:v>
                </c:pt>
                <c:pt idx="1">
                  <c:v>53.3</c:v>
                </c:pt>
                <c:pt idx="2">
                  <c:v>46.7</c:v>
                </c:pt>
                <c:pt idx="3">
                  <c:v>31.4</c:v>
                </c:pt>
                <c:pt idx="4">
                  <c:v>37.799999999999997</c:v>
                </c:pt>
                <c:pt idx="5">
                  <c:v>44.4</c:v>
                </c:pt>
                <c:pt idx="6">
                  <c:v>40</c:v>
                </c:pt>
                <c:pt idx="7">
                  <c:v>44.4</c:v>
                </c:pt>
                <c:pt idx="8">
                  <c:v>44.4</c:v>
                </c:pt>
                <c:pt idx="9">
                  <c:v>51.1</c:v>
                </c:pt>
                <c:pt idx="10">
                  <c:v>97.8</c:v>
                </c:pt>
                <c:pt idx="11">
                  <c:v>88.9</c:v>
                </c:pt>
              </c:numCache>
            </c:numRef>
          </c:val>
        </c:ser>
        <c:ser>
          <c:idx val="1"/>
          <c:order val="1"/>
          <c:tx>
            <c:strRef>
              <c:f>Sheet1!$C$1</c:f>
              <c:strCache>
                <c:ptCount val="1"/>
                <c:pt idx="0">
                  <c:v>Resistant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0">
                <a:spAutoFit/>
              </a:bodyPr>
              <a:lstStyle/>
              <a:p>
                <a:pPr algn="ct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Sheet1!$A$2:$A$13</c:f>
              <c:strCache>
                <c:ptCount val="12"/>
                <c:pt idx="0">
                  <c:v>Doxycycline</c:v>
                </c:pt>
                <c:pt idx="1">
                  <c:v>Gentamycin</c:v>
                </c:pt>
                <c:pt idx="2">
                  <c:v>Cotrimoxazole</c:v>
                </c:pt>
                <c:pt idx="3">
                  <c:v>Ciprofloxacin</c:v>
                </c:pt>
                <c:pt idx="4">
                  <c:v>Levofloxacin</c:v>
                </c:pt>
                <c:pt idx="5">
                  <c:v>Aztreonam</c:v>
                </c:pt>
                <c:pt idx="6">
                  <c:v>Pipera/tazo</c:v>
                </c:pt>
                <c:pt idx="7">
                  <c:v>Ceftriaxone</c:v>
                </c:pt>
                <c:pt idx="8">
                  <c:v>Imipenem</c:v>
                </c:pt>
                <c:pt idx="9">
                  <c:v>Meropenem</c:v>
                </c:pt>
                <c:pt idx="10">
                  <c:v>Polymyxin</c:v>
                </c:pt>
                <c:pt idx="11">
                  <c:v>Colistin</c:v>
                </c:pt>
              </c:strCache>
            </c:strRef>
          </c:cat>
          <c:val>
            <c:numRef>
              <c:f>Sheet1!$C$2:$C$13</c:f>
              <c:numCache>
                <c:formatCode>0\%</c:formatCode>
                <c:ptCount val="12"/>
                <c:pt idx="0">
                  <c:v>42.2</c:v>
                </c:pt>
                <c:pt idx="1">
                  <c:v>46.7</c:v>
                </c:pt>
                <c:pt idx="2">
                  <c:v>53.3</c:v>
                </c:pt>
                <c:pt idx="3">
                  <c:v>68.8</c:v>
                </c:pt>
                <c:pt idx="4">
                  <c:v>62.2</c:v>
                </c:pt>
                <c:pt idx="5">
                  <c:v>55.6</c:v>
                </c:pt>
                <c:pt idx="6">
                  <c:v>60</c:v>
                </c:pt>
                <c:pt idx="7">
                  <c:v>55.6</c:v>
                </c:pt>
                <c:pt idx="8">
                  <c:v>55.6</c:v>
                </c:pt>
                <c:pt idx="9">
                  <c:v>48.9</c:v>
                </c:pt>
                <c:pt idx="10">
                  <c:v>2.2000000000000002</c:v>
                </c:pt>
                <c:pt idx="11">
                  <c:v>11.1</c:v>
                </c:pt>
              </c:numCache>
            </c:numRef>
          </c:val>
        </c:ser>
        <c:dLbls>
          <c:dLblPos val="ctr"/>
          <c:showLegendKey val="0"/>
          <c:showVal val="1"/>
          <c:showCatName val="0"/>
          <c:showSerName val="0"/>
          <c:showPercent val="0"/>
          <c:showBubbleSize val="0"/>
        </c:dLbls>
        <c:gapWidth val="100"/>
        <c:overlap val="100"/>
        <c:axId val="373216816"/>
        <c:axId val="373213288"/>
      </c:barChart>
      <c:catAx>
        <c:axId val="37321681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3213288"/>
        <c:crosses val="autoZero"/>
        <c:auto val="1"/>
        <c:lblAlgn val="ctr"/>
        <c:lblOffset val="100"/>
        <c:noMultiLvlLbl val="0"/>
      </c:catAx>
      <c:valAx>
        <c:axId val="373213288"/>
        <c:scaling>
          <c:orientation val="minMax"/>
          <c:max val="100"/>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3216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4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8320084989376328"/>
          <c:y val="0.14988684197494181"/>
          <c:w val="0.81679915010623672"/>
          <c:h val="0.68646808299905904"/>
        </c:manualLayout>
      </c:layout>
      <c:pie3DChart>
        <c:varyColors val="1"/>
        <c:ser>
          <c:idx val="0"/>
          <c:order val="0"/>
          <c:spPr>
            <a:solidFill>
              <a:srgbClr val="1F497D">
                <a:lumMod val="40000"/>
                <a:lumOff val="60000"/>
              </a:srgbClr>
            </a:solidFill>
          </c:spPr>
          <c:dPt>
            <c:idx val="0"/>
            <c:bubble3D val="0"/>
            <c:spPr>
              <a:solidFill>
                <a:srgbClr val="F79646"/>
              </a:solidFill>
              <a:ln w="25400">
                <a:solidFill>
                  <a:schemeClr val="lt1"/>
                </a:solidFill>
              </a:ln>
              <a:effectLst/>
              <a:scene3d>
                <a:camera prst="orthographicFront"/>
                <a:lightRig rig="threePt" dir="t"/>
              </a:scene3d>
              <a:sp3d contourW="25400">
                <a:bevelT w="12700" h="12700"/>
                <a:contourClr>
                  <a:schemeClr val="lt1"/>
                </a:contourClr>
              </a:sp3d>
            </c:spPr>
          </c:dPt>
          <c:dPt>
            <c:idx val="1"/>
            <c:bubble3D val="0"/>
            <c:spPr>
              <a:solidFill>
                <a:srgbClr val="1F497D">
                  <a:lumMod val="40000"/>
                  <a:lumOff val="60000"/>
                </a:srgbClr>
              </a:solidFill>
              <a:ln w="25400">
                <a:solidFill>
                  <a:schemeClr val="lt1"/>
                </a:solidFill>
              </a:ln>
              <a:effectLst/>
              <a:scene3d>
                <a:camera prst="orthographicFront"/>
                <a:lightRig rig="threePt" dir="t"/>
              </a:scene3d>
              <a:sp3d contourW="25400">
                <a:bevelT w="127000" h="25400"/>
                <a:bevelB w="38100" h="165100"/>
                <a:contourClr>
                  <a:schemeClr val="lt1"/>
                </a:contourClr>
              </a:sp3d>
            </c:spPr>
          </c:dPt>
          <c:dLbls>
            <c:dLbl>
              <c:idx val="0"/>
              <c:layout>
                <c:manualLayout>
                  <c:x val="-0.18753127380177093"/>
                  <c:y val="-0.26726460616375203"/>
                </c:manualLayout>
              </c:layout>
              <c:tx>
                <c:rich>
                  <a:bodyPr rot="0" spcFirstLastPara="1" vertOverflow="ellipsis" vert="horz" wrap="square" lIns="38100" tIns="19050" rIns="38100" bIns="19050" anchor="ctr" anchorCtr="1"/>
                  <a:lstStyle/>
                  <a:p>
                    <a:pPr>
                      <a:defRPr sz="1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fld id="{437DE0A4-E067-4C94-B02B-A63A7F349DCD}" type="VALUE">
                      <a:rPr lang="en-US" sz="1200" dirty="0">
                        <a:latin typeface="Times New Roman" panose="02020603050405020304" pitchFamily="18" charset="0"/>
                        <a:cs typeface="Times New Roman" panose="02020603050405020304" pitchFamily="18" charset="0"/>
                      </a:rPr>
                      <a:pPr>
                        <a:defRPr sz="1800">
                          <a:latin typeface="Times New Roman" panose="02020603050405020304" pitchFamily="18" charset="0"/>
                          <a:cs typeface="Times New Roman" panose="02020603050405020304" pitchFamily="18" charset="0"/>
                        </a:defRPr>
                      </a:pPr>
                      <a:t>[VALUE]</a:t>
                    </a:fld>
                    <a:endParaRPr lang="en-US"/>
                  </a:p>
                </c:rich>
              </c:tx>
              <c:spPr>
                <a:solidFill>
                  <a:sysClr val="window" lastClr="FFFFFF"/>
                </a:solidFill>
                <a:ln>
                  <a:noFill/>
                </a:ln>
                <a:effectLst/>
              </c:spPr>
              <c:txPr>
                <a:bodyPr rot="0" spcFirstLastPara="1" vertOverflow="ellipsis" vert="horz" wrap="square" lIns="38100" tIns="19050" rIns="38100" bIns="19050" anchor="ctr" anchorCtr="1"/>
                <a:lstStyle/>
                <a:p>
                  <a:pPr>
                    <a:defRPr sz="1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15:layout>
                    <c:manualLayout>
                      <c:w val="0.14179426185493541"/>
                      <c:h val="8.7789661319073078E-2"/>
                    </c:manualLayout>
                  </c15:layout>
                  <c15:dlblFieldTable/>
                  <c15:showDataLabelsRange val="0"/>
                </c:ext>
              </c:extLst>
            </c:dLbl>
            <c:dLbl>
              <c:idx val="1"/>
              <c:layout>
                <c:manualLayout>
                  <c:x val="0.23752356722377507"/>
                  <c:y val="5.7233717878288425E-2"/>
                </c:manualLayout>
              </c:layout>
              <c:tx>
                <c:rich>
                  <a:bodyPr rot="0" spcFirstLastPara="1" vertOverflow="ellipsis" vert="horz" wrap="square" lIns="38100" tIns="19050" rIns="38100" bIns="19050" anchor="ctr" anchorCtr="1">
                    <a:spAutoFit/>
                  </a:bodyPr>
                  <a:lstStyle/>
                  <a:p>
                    <a:pPr>
                      <a:defRPr sz="1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fld id="{FCAF1340-5FEF-408E-87A3-CA0C90AF0550}" type="VALUE">
                      <a:rPr lang="en-US" sz="1200" smtClean="0">
                        <a:latin typeface="Times New Roman" panose="02020603050405020304" pitchFamily="18" charset="0"/>
                        <a:cs typeface="Times New Roman" panose="02020603050405020304" pitchFamily="18" charset="0"/>
                      </a:rPr>
                      <a:pPr>
                        <a:defRPr sz="1800">
                          <a:latin typeface="Times New Roman" panose="02020603050405020304" pitchFamily="18" charset="0"/>
                          <a:cs typeface="Times New Roman" panose="02020603050405020304" pitchFamily="18" charset="0"/>
                        </a:defRPr>
                      </a:pPr>
                      <a:t>[VALUE]</a:t>
                    </a:fld>
                    <a:endParaRPr lang="en-US"/>
                  </a:p>
                </c:rich>
              </c:tx>
              <c:spPr>
                <a:solidFill>
                  <a:sysClr val="window" lastClr="FFFFFF"/>
                </a:solidFill>
                <a:ln>
                  <a:noFill/>
                </a:ln>
                <a:effectLst/>
              </c:spPr>
              <c:txPr>
                <a:bodyPr rot="0" spcFirstLastPara="1" vertOverflow="ellipsis" vert="horz" wrap="square" lIns="38100" tIns="19050" rIns="38100" bIns="19050" anchor="ctr" anchorCtr="1">
                  <a:spAutoFit/>
                </a:bodyPr>
                <a:lstStyle/>
                <a:p>
                  <a:pPr>
                    <a:defRPr sz="1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18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Sheet1!$A$16:$A$17</c:f>
              <c:strCache>
                <c:ptCount val="2"/>
                <c:pt idx="0">
                  <c:v>MDR</c:v>
                </c:pt>
                <c:pt idx="1">
                  <c:v>Non-MDR</c:v>
                </c:pt>
              </c:strCache>
            </c:strRef>
          </c:cat>
          <c:val>
            <c:numRef>
              <c:f>Sheet1!$B$16:$B$17</c:f>
              <c:numCache>
                <c:formatCode>0.00%</c:formatCode>
                <c:ptCount val="2"/>
                <c:pt idx="0">
                  <c:v>0.68799999999999994</c:v>
                </c:pt>
                <c:pt idx="1">
                  <c:v>0.31109999999999999</c:v>
                </c:pt>
              </c:numCache>
            </c:numRef>
          </c:val>
        </c:ser>
        <c:dLbls>
          <c:dLblPos val="bestFit"/>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0.23096719691865833"/>
          <c:y val="0.8179039025231335"/>
          <c:w val="0.5755032063454194"/>
          <c:h val="0.132676809943494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85654-740B-4B53-8BDD-10EE83F67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24</Pages>
  <Words>27579</Words>
  <Characters>157201</Characters>
  <Application>Microsoft Office Word</Application>
  <DocSecurity>0</DocSecurity>
  <Lines>1310</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DELL</cp:lastModifiedBy>
  <cp:revision>14</cp:revision>
  <dcterms:created xsi:type="dcterms:W3CDTF">2025-02-28T16:35:00Z</dcterms:created>
  <dcterms:modified xsi:type="dcterms:W3CDTF">2025-09-07T17:23:00Z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1">
    <vt:filetime>2024-12-12T16:34:08Z</vt:filetime>
  </property>
  <property fmtid="{D5CDD505-2E9C-101B-9397-08002B2CF9AE}" pid="3" name="Mendeley Citation Style_1">
    <vt:lpwstr>http://www.zotero.org/styles/vancouver</vt:lpwstr>
  </property>
  <property fmtid="{D5CDD505-2E9C-101B-9397-08002B2CF9AE}" pid="4" name="Mendeley Document_1">
    <vt:lpwstr>True</vt:lpwstr>
  </property>
  <property fmtid="{D5CDD505-2E9C-101B-9397-08002B2CF9AE}" pid="5" name="Mendeley Recent Style Id 0_1">
    <vt:lpwstr>http://www.zotero.org/styles/american-medical-association</vt:lpwstr>
  </property>
  <property fmtid="{D5CDD505-2E9C-101B-9397-08002B2CF9AE}" pid="6" name="Mendeley Recent Style Id 1_1">
    <vt:lpwstr>http://www.zotero.org/styles/american-political-science-association</vt:lpwstr>
  </property>
  <property fmtid="{D5CDD505-2E9C-101B-9397-08002B2CF9AE}" pid="7" name="Mendeley Recent Style Id 2_1">
    <vt:lpwstr>http://www.zotero.org/styles/apa</vt:lpwstr>
  </property>
  <property fmtid="{D5CDD505-2E9C-101B-9397-08002B2CF9AE}" pid="8" name="Mendeley Recent Style Id 3_1">
    <vt:lpwstr>http://www.zotero.org/styles/american-sociological-association</vt:lpwstr>
  </property>
  <property fmtid="{D5CDD505-2E9C-101B-9397-08002B2CF9AE}" pid="9" name="Mendeley Recent Style Id 4_1">
    <vt:lpwstr>http://www.zotero.org/styles/chicago-author-date</vt:lpwstr>
  </property>
  <property fmtid="{D5CDD505-2E9C-101B-9397-08002B2CF9AE}" pid="10" name="Mendeley Recent Style Id 5_1">
    <vt:lpwstr>http://www.zotero.org/styles/harvard-cite-them-right</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http://www.zotero.org/styles/vancouver</vt:lpwstr>
  </property>
  <property fmtid="{D5CDD505-2E9C-101B-9397-08002B2CF9AE}" pid="15" name="Mendeley Recent Style Name 0_1">
    <vt:lpwstr>American Medical Association 11th edition</vt:lpwstr>
  </property>
  <property fmtid="{D5CDD505-2E9C-101B-9397-08002B2CF9AE}" pid="16" name="Mendeley Recent Style Name 1_1">
    <vt:lpwstr>American Political Science Association</vt:lpwstr>
  </property>
  <property fmtid="{D5CDD505-2E9C-101B-9397-08002B2CF9AE}" pid="17" name="Mendeley Recent Style Name 2_1">
    <vt:lpwstr>American Psychological Association 7th edition</vt:lpwstr>
  </property>
  <property fmtid="{D5CDD505-2E9C-101B-9397-08002B2CF9AE}" pid="18" name="Mendeley Recent Style Name 3_1">
    <vt:lpwstr>American Sociological Association 6th edition</vt:lpwstr>
  </property>
  <property fmtid="{D5CDD505-2E9C-101B-9397-08002B2CF9AE}" pid="19" name="Mendeley Recent Style Name 4_1">
    <vt:lpwstr>Chicago Manual of Style 17th edition (author-date)</vt:lpwstr>
  </property>
  <property fmtid="{D5CDD505-2E9C-101B-9397-08002B2CF9AE}" pid="20" name="Mendeley Recent Style Name 5_1">
    <vt:lpwstr>Cite Them Right 12th edition - Harvard</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9th edition</vt:lpwstr>
  </property>
  <property fmtid="{D5CDD505-2E9C-101B-9397-08002B2CF9AE}" pid="24" name="Mendeley Recent Style Name 9_1">
    <vt:lpwstr>Vancouver</vt:lpwstr>
  </property>
  <property fmtid="{D5CDD505-2E9C-101B-9397-08002B2CF9AE}" pid="25" name="Mendeley Unique User Id_1">
    <vt:lpwstr>782e7ed9-3ad3-3675-98cb-9654ddccd252</vt:lpwstr>
  </property>
</Properties>
</file>