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A38C" w14:textId="77777777" w:rsidR="00A00456" w:rsidRPr="00123B2F" w:rsidRDefault="00A00456" w:rsidP="00A00456">
      <w:pPr>
        <w:rPr>
          <w:rFonts w:asciiTheme="majorBidi" w:hAnsiTheme="majorBidi" w:cstheme="majorBidi"/>
          <w:b/>
          <w:bCs/>
        </w:rPr>
      </w:pPr>
      <w:r w:rsidRPr="00123B2F">
        <w:rPr>
          <w:rFonts w:asciiTheme="majorBidi" w:hAnsiTheme="majorBidi" w:cstheme="majorBidi"/>
          <w:b/>
          <w:bCs/>
        </w:rPr>
        <w:t>4.4 Comparative Table of APF Control Strategies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2"/>
        <w:gridCol w:w="1879"/>
        <w:gridCol w:w="2095"/>
        <w:gridCol w:w="1652"/>
        <w:gridCol w:w="2012"/>
      </w:tblGrid>
      <w:tr w:rsidR="00A00456" w:rsidRPr="00123B2F" w14:paraId="7040F1CD" w14:textId="77777777" w:rsidTr="00B322C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2513A4" w14:textId="77777777" w:rsidR="00A00456" w:rsidRPr="00123B2F" w:rsidRDefault="00A00456" w:rsidP="00B322C0">
            <w:pPr>
              <w:rPr>
                <w:rFonts w:asciiTheme="majorBidi" w:hAnsiTheme="majorBidi" w:cstheme="majorBidi"/>
                <w:b/>
                <w:bCs/>
              </w:rPr>
            </w:pPr>
            <w:r w:rsidRPr="00123B2F">
              <w:rPr>
                <w:rFonts w:asciiTheme="majorBidi" w:hAnsiTheme="majorBidi" w:cstheme="majorBidi"/>
                <w:b/>
                <w:bCs/>
              </w:rPr>
              <w:t>Control Method</w:t>
            </w:r>
          </w:p>
        </w:tc>
        <w:tc>
          <w:tcPr>
            <w:tcW w:w="0" w:type="auto"/>
            <w:vAlign w:val="center"/>
            <w:hideMark/>
          </w:tcPr>
          <w:p w14:paraId="146F55FE" w14:textId="77777777" w:rsidR="00A00456" w:rsidRPr="00123B2F" w:rsidRDefault="00A00456" w:rsidP="00B322C0">
            <w:pPr>
              <w:rPr>
                <w:rFonts w:asciiTheme="majorBidi" w:hAnsiTheme="majorBidi" w:cstheme="majorBidi"/>
                <w:b/>
                <w:bCs/>
              </w:rPr>
            </w:pPr>
            <w:r w:rsidRPr="00123B2F">
              <w:rPr>
                <w:rFonts w:asciiTheme="majorBidi" w:hAnsiTheme="majorBidi" w:cstheme="majorBidi"/>
                <w:b/>
                <w:bCs/>
              </w:rPr>
              <w:t>Key Feature</w:t>
            </w:r>
          </w:p>
        </w:tc>
        <w:tc>
          <w:tcPr>
            <w:tcW w:w="0" w:type="auto"/>
            <w:vAlign w:val="center"/>
            <w:hideMark/>
          </w:tcPr>
          <w:p w14:paraId="0E42BBD5" w14:textId="77777777" w:rsidR="00A00456" w:rsidRPr="00123B2F" w:rsidRDefault="00A00456" w:rsidP="00B322C0">
            <w:pPr>
              <w:rPr>
                <w:rFonts w:asciiTheme="majorBidi" w:hAnsiTheme="majorBidi" w:cstheme="majorBidi"/>
                <w:b/>
                <w:bCs/>
              </w:rPr>
            </w:pPr>
            <w:r w:rsidRPr="00123B2F">
              <w:rPr>
                <w:rFonts w:asciiTheme="majorBidi" w:hAnsiTheme="majorBidi" w:cstheme="majorBidi"/>
                <w:b/>
                <w:bCs/>
              </w:rPr>
              <w:t>Advantages</w:t>
            </w:r>
          </w:p>
        </w:tc>
        <w:tc>
          <w:tcPr>
            <w:tcW w:w="0" w:type="auto"/>
            <w:vAlign w:val="center"/>
            <w:hideMark/>
          </w:tcPr>
          <w:p w14:paraId="312C8397" w14:textId="77777777" w:rsidR="00A00456" w:rsidRPr="00123B2F" w:rsidRDefault="00A00456" w:rsidP="00B322C0">
            <w:pPr>
              <w:rPr>
                <w:rFonts w:asciiTheme="majorBidi" w:hAnsiTheme="majorBidi" w:cstheme="majorBidi"/>
                <w:b/>
                <w:bCs/>
              </w:rPr>
            </w:pPr>
            <w:r w:rsidRPr="00123B2F">
              <w:rPr>
                <w:rFonts w:asciiTheme="majorBidi" w:hAnsiTheme="majorBidi" w:cstheme="majorBidi"/>
                <w:b/>
                <w:bCs/>
              </w:rPr>
              <w:t>Limitations</w:t>
            </w:r>
          </w:p>
        </w:tc>
        <w:tc>
          <w:tcPr>
            <w:tcW w:w="0" w:type="auto"/>
            <w:vAlign w:val="center"/>
            <w:hideMark/>
          </w:tcPr>
          <w:p w14:paraId="13C10DF3" w14:textId="77777777" w:rsidR="00A00456" w:rsidRPr="00123B2F" w:rsidRDefault="00A00456" w:rsidP="00B322C0">
            <w:pPr>
              <w:rPr>
                <w:rFonts w:asciiTheme="majorBidi" w:hAnsiTheme="majorBidi" w:cstheme="majorBidi"/>
                <w:b/>
                <w:bCs/>
              </w:rPr>
            </w:pPr>
            <w:r w:rsidRPr="00123B2F">
              <w:rPr>
                <w:rFonts w:asciiTheme="majorBidi" w:hAnsiTheme="majorBidi" w:cstheme="majorBidi"/>
                <w:b/>
                <w:bCs/>
              </w:rPr>
              <w:t>Typical Application</w:t>
            </w:r>
          </w:p>
        </w:tc>
      </w:tr>
      <w:tr w:rsidR="00A00456" w:rsidRPr="00123B2F" w14:paraId="45CDA039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92D1A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SRF / p–q Theory</w:t>
            </w:r>
          </w:p>
        </w:tc>
        <w:tc>
          <w:tcPr>
            <w:tcW w:w="0" w:type="auto"/>
            <w:vAlign w:val="center"/>
            <w:hideMark/>
          </w:tcPr>
          <w:p w14:paraId="5793FA03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Synchronous frame transformation</w:t>
            </w:r>
          </w:p>
        </w:tc>
        <w:tc>
          <w:tcPr>
            <w:tcW w:w="0" w:type="auto"/>
            <w:vAlign w:val="center"/>
            <w:hideMark/>
          </w:tcPr>
          <w:p w14:paraId="62EB2E70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Simple, widely used</w:t>
            </w:r>
          </w:p>
        </w:tc>
        <w:tc>
          <w:tcPr>
            <w:tcW w:w="0" w:type="auto"/>
            <w:vAlign w:val="center"/>
            <w:hideMark/>
          </w:tcPr>
          <w:p w14:paraId="7361675C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Sensitive to unbalanced voltages</w:t>
            </w:r>
          </w:p>
        </w:tc>
        <w:tc>
          <w:tcPr>
            <w:tcW w:w="0" w:type="auto"/>
            <w:vAlign w:val="center"/>
            <w:hideMark/>
          </w:tcPr>
          <w:p w14:paraId="7AC72B1B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Shunt APF in balanced industrial loads</w:t>
            </w:r>
          </w:p>
        </w:tc>
      </w:tr>
      <w:tr w:rsidR="00A00456" w:rsidRPr="00123B2F" w14:paraId="67BCF89B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87675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Hysteresis Control</w:t>
            </w:r>
          </w:p>
        </w:tc>
        <w:tc>
          <w:tcPr>
            <w:tcW w:w="0" w:type="auto"/>
            <w:vAlign w:val="center"/>
            <w:hideMark/>
          </w:tcPr>
          <w:p w14:paraId="1A3558D9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Band-limited current regulation</w:t>
            </w:r>
          </w:p>
        </w:tc>
        <w:tc>
          <w:tcPr>
            <w:tcW w:w="0" w:type="auto"/>
            <w:vAlign w:val="center"/>
            <w:hideMark/>
          </w:tcPr>
          <w:p w14:paraId="0B9E3781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Fast dynamic response</w:t>
            </w:r>
          </w:p>
        </w:tc>
        <w:tc>
          <w:tcPr>
            <w:tcW w:w="0" w:type="auto"/>
            <w:vAlign w:val="center"/>
            <w:hideMark/>
          </w:tcPr>
          <w:p w14:paraId="4FC40BF5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Variable switching frequency</w:t>
            </w:r>
          </w:p>
        </w:tc>
        <w:tc>
          <w:tcPr>
            <w:tcW w:w="0" w:type="auto"/>
            <w:vAlign w:val="center"/>
            <w:hideMark/>
          </w:tcPr>
          <w:p w14:paraId="2F0B8368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Low/medium power APFs</w:t>
            </w:r>
          </w:p>
        </w:tc>
      </w:tr>
      <w:tr w:rsidR="00A00456" w:rsidRPr="00123B2F" w14:paraId="1F1C80E4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A4B9E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Model Predictive Control (MPC)</w:t>
            </w:r>
          </w:p>
        </w:tc>
        <w:tc>
          <w:tcPr>
            <w:tcW w:w="0" w:type="auto"/>
            <w:vAlign w:val="center"/>
            <w:hideMark/>
          </w:tcPr>
          <w:p w14:paraId="5553C929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Predicts future response</w:t>
            </w:r>
          </w:p>
        </w:tc>
        <w:tc>
          <w:tcPr>
            <w:tcW w:w="0" w:type="auto"/>
            <w:vAlign w:val="center"/>
            <w:hideMark/>
          </w:tcPr>
          <w:p w14:paraId="0A58FECB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Accurate, fast, handles constraints</w:t>
            </w:r>
          </w:p>
        </w:tc>
        <w:tc>
          <w:tcPr>
            <w:tcW w:w="0" w:type="auto"/>
            <w:vAlign w:val="center"/>
            <w:hideMark/>
          </w:tcPr>
          <w:p w14:paraId="13335D82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High computation, needs model</w:t>
            </w:r>
          </w:p>
        </w:tc>
        <w:tc>
          <w:tcPr>
            <w:tcW w:w="0" w:type="auto"/>
            <w:vAlign w:val="center"/>
            <w:hideMark/>
          </w:tcPr>
          <w:p w14:paraId="3496FAB3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Medium/high power APFs, renewable microgrids</w:t>
            </w:r>
          </w:p>
        </w:tc>
      </w:tr>
      <w:tr w:rsidR="00A00456" w:rsidRPr="00123B2F" w14:paraId="177C79FD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978D5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Repetitive / Resonant</w:t>
            </w:r>
          </w:p>
        </w:tc>
        <w:tc>
          <w:tcPr>
            <w:tcW w:w="0" w:type="auto"/>
            <w:vAlign w:val="center"/>
            <w:hideMark/>
          </w:tcPr>
          <w:p w14:paraId="6BED3A39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Targets periodic disturbances</w:t>
            </w:r>
          </w:p>
        </w:tc>
        <w:tc>
          <w:tcPr>
            <w:tcW w:w="0" w:type="auto"/>
            <w:vAlign w:val="center"/>
            <w:hideMark/>
          </w:tcPr>
          <w:p w14:paraId="06DF9B6A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Excellent harmonic suppression</w:t>
            </w:r>
          </w:p>
        </w:tc>
        <w:tc>
          <w:tcPr>
            <w:tcW w:w="0" w:type="auto"/>
            <w:vAlign w:val="center"/>
            <w:hideMark/>
          </w:tcPr>
          <w:p w14:paraId="4B59EAFA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Limited to periodic harmonics</w:t>
            </w:r>
          </w:p>
        </w:tc>
        <w:tc>
          <w:tcPr>
            <w:tcW w:w="0" w:type="auto"/>
            <w:vAlign w:val="center"/>
            <w:hideMark/>
          </w:tcPr>
          <w:p w14:paraId="53985EDF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Industrial harmonics mitigation</w:t>
            </w:r>
          </w:p>
        </w:tc>
      </w:tr>
      <w:tr w:rsidR="00A00456" w:rsidRPr="00123B2F" w14:paraId="676C36BC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0A4BF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LADRC</w:t>
            </w:r>
          </w:p>
        </w:tc>
        <w:tc>
          <w:tcPr>
            <w:tcW w:w="0" w:type="auto"/>
            <w:vAlign w:val="center"/>
            <w:hideMark/>
          </w:tcPr>
          <w:p w14:paraId="1F9CF1F4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Active disturbance rejection</w:t>
            </w:r>
          </w:p>
        </w:tc>
        <w:tc>
          <w:tcPr>
            <w:tcW w:w="0" w:type="auto"/>
            <w:vAlign w:val="center"/>
            <w:hideMark/>
          </w:tcPr>
          <w:p w14:paraId="62FAEAD1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Robust under unbalanced/fault conditions</w:t>
            </w:r>
          </w:p>
        </w:tc>
        <w:tc>
          <w:tcPr>
            <w:tcW w:w="0" w:type="auto"/>
            <w:vAlign w:val="center"/>
            <w:hideMark/>
          </w:tcPr>
          <w:p w14:paraId="4F0F3136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Observer tuning complexity</w:t>
            </w:r>
          </w:p>
        </w:tc>
        <w:tc>
          <w:tcPr>
            <w:tcW w:w="0" w:type="auto"/>
            <w:vAlign w:val="center"/>
            <w:hideMark/>
          </w:tcPr>
          <w:p w14:paraId="14DFC3EE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Sensitive load APFs</w:t>
            </w:r>
          </w:p>
        </w:tc>
      </w:tr>
      <w:tr w:rsidR="00A00456" w:rsidRPr="00123B2F" w14:paraId="7B093763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CA9C2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Fuzzy Logic</w:t>
            </w:r>
          </w:p>
        </w:tc>
        <w:tc>
          <w:tcPr>
            <w:tcW w:w="0" w:type="auto"/>
            <w:vAlign w:val="center"/>
            <w:hideMark/>
          </w:tcPr>
          <w:p w14:paraId="72893AAF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Rule-based adaptive control</w:t>
            </w:r>
          </w:p>
        </w:tc>
        <w:tc>
          <w:tcPr>
            <w:tcW w:w="0" w:type="auto"/>
            <w:vAlign w:val="center"/>
            <w:hideMark/>
          </w:tcPr>
          <w:p w14:paraId="159D4928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Nonlinear load compensation</w:t>
            </w:r>
          </w:p>
        </w:tc>
        <w:tc>
          <w:tcPr>
            <w:tcW w:w="0" w:type="auto"/>
            <w:vAlign w:val="center"/>
            <w:hideMark/>
          </w:tcPr>
          <w:p w14:paraId="4E0C477E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Complex rule base</w:t>
            </w:r>
          </w:p>
        </w:tc>
        <w:tc>
          <w:tcPr>
            <w:tcW w:w="0" w:type="auto"/>
            <w:vAlign w:val="center"/>
            <w:hideMark/>
          </w:tcPr>
          <w:p w14:paraId="481F7CF2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Adaptive compensation in time-varying loads</w:t>
            </w:r>
          </w:p>
        </w:tc>
      </w:tr>
      <w:tr w:rsidR="00A00456" w:rsidRPr="00123B2F" w14:paraId="1FAA8835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ECB40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ANN-Based Control</w:t>
            </w:r>
          </w:p>
        </w:tc>
        <w:tc>
          <w:tcPr>
            <w:tcW w:w="0" w:type="auto"/>
            <w:vAlign w:val="center"/>
            <w:hideMark/>
          </w:tcPr>
          <w:p w14:paraId="05E81A83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Machine learning reference generation</w:t>
            </w:r>
          </w:p>
        </w:tc>
        <w:tc>
          <w:tcPr>
            <w:tcW w:w="0" w:type="auto"/>
            <w:vAlign w:val="center"/>
            <w:hideMark/>
          </w:tcPr>
          <w:p w14:paraId="344DD946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Self-learning, adaptive</w:t>
            </w:r>
          </w:p>
        </w:tc>
        <w:tc>
          <w:tcPr>
            <w:tcW w:w="0" w:type="auto"/>
            <w:vAlign w:val="center"/>
            <w:hideMark/>
          </w:tcPr>
          <w:p w14:paraId="2995296C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Needs training data</w:t>
            </w:r>
          </w:p>
        </w:tc>
        <w:tc>
          <w:tcPr>
            <w:tcW w:w="0" w:type="auto"/>
            <w:vAlign w:val="center"/>
            <w:hideMark/>
          </w:tcPr>
          <w:p w14:paraId="5A62E9A7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Smart grids, microgrids, AI-enabled APFs</w:t>
            </w:r>
          </w:p>
        </w:tc>
      </w:tr>
      <w:tr w:rsidR="00A00456" w:rsidRPr="00123B2F" w14:paraId="16B507B5" w14:textId="77777777" w:rsidTr="00B322C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8193E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Metaheuristic Optimization</w:t>
            </w:r>
          </w:p>
        </w:tc>
        <w:tc>
          <w:tcPr>
            <w:tcW w:w="0" w:type="auto"/>
            <w:vAlign w:val="center"/>
            <w:hideMark/>
          </w:tcPr>
          <w:p w14:paraId="3F2D3E02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PSO, GA, Cuttlefish</w:t>
            </w:r>
          </w:p>
        </w:tc>
        <w:tc>
          <w:tcPr>
            <w:tcW w:w="0" w:type="auto"/>
            <w:vAlign w:val="center"/>
            <w:hideMark/>
          </w:tcPr>
          <w:p w14:paraId="45B0AE84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Optimized parameters, better performance</w:t>
            </w:r>
          </w:p>
        </w:tc>
        <w:tc>
          <w:tcPr>
            <w:tcW w:w="0" w:type="auto"/>
            <w:vAlign w:val="center"/>
            <w:hideMark/>
          </w:tcPr>
          <w:p w14:paraId="2623C4FD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Computation heavy</w:t>
            </w:r>
          </w:p>
        </w:tc>
        <w:tc>
          <w:tcPr>
            <w:tcW w:w="0" w:type="auto"/>
            <w:vAlign w:val="center"/>
            <w:hideMark/>
          </w:tcPr>
          <w:p w14:paraId="4548D8E1" w14:textId="77777777" w:rsidR="00A00456" w:rsidRPr="00123B2F" w:rsidRDefault="00A00456" w:rsidP="00B322C0">
            <w:pPr>
              <w:rPr>
                <w:rFonts w:asciiTheme="majorBidi" w:hAnsiTheme="majorBidi" w:cstheme="majorBidi"/>
              </w:rPr>
            </w:pPr>
            <w:r w:rsidRPr="00123B2F">
              <w:rPr>
                <w:rFonts w:asciiTheme="majorBidi" w:hAnsiTheme="majorBidi" w:cstheme="majorBidi"/>
              </w:rPr>
              <w:t>Reference current extraction, parameter tuning</w:t>
            </w:r>
          </w:p>
        </w:tc>
      </w:tr>
    </w:tbl>
    <w:p w14:paraId="4378AB6F" w14:textId="77777777" w:rsidR="00B25919" w:rsidRDefault="00B25919"/>
    <w:sectPr w:rsidR="00B259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B2"/>
    <w:rsid w:val="005578B2"/>
    <w:rsid w:val="00A00456"/>
    <w:rsid w:val="00A9319B"/>
    <w:rsid w:val="00B25919"/>
    <w:rsid w:val="00D2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4122B6-7FBE-467E-927F-5E0B7796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456"/>
  </w:style>
  <w:style w:type="paragraph" w:styleId="Heading1">
    <w:name w:val="heading 1"/>
    <w:basedOn w:val="Normal"/>
    <w:next w:val="Normal"/>
    <w:link w:val="Heading1Char"/>
    <w:uiPriority w:val="9"/>
    <w:qFormat/>
    <w:rsid w:val="00557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8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8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8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8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8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8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8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8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8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8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8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8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Surque Amjad Ali Khan</dc:creator>
  <cp:keywords/>
  <dc:description/>
  <cp:lastModifiedBy>Surque Amjad Ali Khan</cp:lastModifiedBy>
  <cp:revision>2</cp:revision>
  <dcterms:created xsi:type="dcterms:W3CDTF">2025-09-30T07:37:00Z</dcterms:created>
  <dcterms:modified xsi:type="dcterms:W3CDTF">2025-09-30T07:38:00Z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2025-09-30T07:38:02Z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dc2b733b-a224-4576-9839-d0ca720b0032</vt:lpwstr>
  </property>
  <property fmtid="{D5CDD505-2E9C-101B-9397-08002B2CF9AE}" pid="7" name="MSIP_Label_defa4170-0d19-0005-0004-bc88714345d2_ActionId">
    <vt:lpwstr>3482eb44-21b7-46b3-9705-e1145ba05e11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