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80E17" w14:textId="77777777" w:rsidR="00BE3AA3" w:rsidRPr="001B59B7" w:rsidRDefault="00BE3AA3" w:rsidP="00BE3AA3">
      <w:pPr>
        <w:pStyle w:val="Heading1"/>
        <w:spacing w:before="0" w:line="240" w:lineRule="auto"/>
        <w:rPr>
          <w:rFonts w:ascii="Times New Roman" w:hAnsi="Times New Roman" w:cs="Times New Roman"/>
          <w:color w:val="ED7D31" w:themeColor="accent2"/>
          <w:szCs w:val="16"/>
        </w:rPr>
      </w:pPr>
      <w:r w:rsidRPr="001B59B7">
        <w:rPr>
          <w:rFonts w:ascii="Times New Roman" w:hAnsi="Times New Roman" w:cs="Times New Roman"/>
          <w:color w:val="ED7D31" w:themeColor="accent2"/>
          <w:szCs w:val="16"/>
        </w:rPr>
        <w:t>Next-Generation Metal-Free Photocatalysts: Multifunctional Covalent Organic Polymer Nanostructures for Visible-Light-Driven Water Remediation and Efficient CO</w:t>
      </w:r>
      <w:r w:rsidRPr="001B59B7">
        <w:rPr>
          <w:rFonts w:ascii="Times New Roman" w:hAnsi="Times New Roman" w:cs="Times New Roman"/>
          <w:color w:val="ED7D31" w:themeColor="accent2"/>
          <w:szCs w:val="16"/>
          <w:vertAlign w:val="subscript"/>
        </w:rPr>
        <w:t>2</w:t>
      </w:r>
      <w:r w:rsidRPr="001B59B7">
        <w:rPr>
          <w:rFonts w:ascii="Times New Roman" w:hAnsi="Times New Roman" w:cs="Times New Roman"/>
          <w:color w:val="ED7D31" w:themeColor="accent2"/>
          <w:szCs w:val="16"/>
        </w:rPr>
        <w:t xml:space="preserve"> Capture</w:t>
      </w:r>
    </w:p>
    <w:p w14:paraId="53615096" w14:textId="77777777" w:rsidR="00BE3AA3" w:rsidRDefault="00BE3AA3" w:rsidP="00BE3AA3">
      <w:pPr>
        <w:spacing w:after="0"/>
      </w:pPr>
    </w:p>
    <w:p w14:paraId="575D683A" w14:textId="77777777" w:rsidR="00BE3AA3" w:rsidRPr="00752FF5" w:rsidRDefault="00BE3AA3" w:rsidP="00BE3AA3">
      <w:pPr>
        <w:spacing w:after="0"/>
        <w:rPr>
          <w:rFonts w:ascii="Times New Roman" w:eastAsiaTheme="majorEastAsia" w:hAnsi="Times New Roman" w:cs="Times New Roman"/>
          <w:b/>
          <w:bCs/>
          <w:color w:val="000000" w:themeColor="text1"/>
          <w:sz w:val="36"/>
          <w:szCs w:val="26"/>
        </w:rPr>
      </w:pPr>
      <w:r w:rsidRPr="00752FF5">
        <w:rPr>
          <w:rFonts w:ascii="Times New Roman" w:eastAsiaTheme="majorEastAsia" w:hAnsi="Times New Roman" w:cs="Times New Roman"/>
          <w:b/>
          <w:bCs/>
          <w:color w:val="000000" w:themeColor="text1"/>
          <w:sz w:val="36"/>
          <w:szCs w:val="26"/>
        </w:rPr>
        <w:t>Abstract</w:t>
      </w:r>
    </w:p>
    <w:p w14:paraId="35745BD4" w14:textId="77777777" w:rsidR="00BE3AA3" w:rsidRDefault="00BE3AA3" w:rsidP="00BE3AA3">
      <w:pPr>
        <w:pStyle w:val="NormalWeb"/>
        <w:spacing w:before="0" w:beforeAutospacing="0" w:after="0" w:afterAutospacing="0"/>
        <w:jc w:val="both"/>
      </w:pPr>
      <w:r>
        <w:t>The development of next-generation metal-free photocatalysts, particularly covalent organic polymer (COP) nanostructures, has emerged as a transformative approach for addressing two major environmental challenges: water pollution and carbon dioxide (CO₂) capture. These materials, designed for visible-light-driven photocatalytic processes, offer significant promise for effective water remediation by degrading organic pollutants while simultaneously capturing and converting atmospheric CO₂. The unique structure of COPs, which are metal-free and exhibit tuneable porosity and stability, enables them to perform dual functions under solar irradiation, providing an eco-friendly alternative to traditional photocatalysts. The paper explores the design principles, synthesis strategies, and performance evaluation of COP-based photocatalysts for water treatment and CO₂ mitigation. By incorporating structural and electronic modifications, such as triazine-based linkages and surface functionalization, these materials can efficiently degrade organic contaminants and reduce CO₂ to value-added products. The integration of COP nanostructures into hybrid systems enhances their efficiency and scalability, making them suitable for real-world applications in environmental remediation. This review highlights the potential of COPs as sustainable, metal-free alternatives for photocatalytic water remediation and CO₂ capture, emphasizing their dual-functionality and long-term stability.</w:t>
      </w:r>
    </w:p>
    <w:p w14:paraId="4BF396ED" w14:textId="77777777" w:rsidR="00BE3AA3" w:rsidRDefault="00BE3AA3" w:rsidP="00BE3AA3">
      <w:pPr>
        <w:pStyle w:val="NormalWeb"/>
        <w:spacing w:before="0" w:beforeAutospacing="0" w:after="0" w:afterAutospacing="0"/>
        <w:jc w:val="both"/>
      </w:pPr>
    </w:p>
    <w:p w14:paraId="5AF1E3CE" w14:textId="77777777" w:rsidR="00BE3AA3" w:rsidRDefault="00BE3AA3" w:rsidP="00BE3AA3">
      <w:pPr>
        <w:pStyle w:val="NormalWeb"/>
        <w:spacing w:before="0" w:beforeAutospacing="0" w:after="0" w:afterAutospacing="0"/>
        <w:jc w:val="both"/>
      </w:pPr>
      <w:r>
        <w:rPr>
          <w:rStyle w:val="Strong"/>
        </w:rPr>
        <w:t>Keywords:</w:t>
      </w:r>
      <w:r>
        <w:t xml:space="preserve"> Covalent Organic Polymers (COPs), Metal-free Photocatalysts, Visible-light Photocatalysis, Water Remediation, CO₂ Capture, Environmental Sustainability, Dual-function Materials, Photocatalytic Degradation, Carbon Dioxide Reduction, Nanostructured Materials.</w:t>
      </w:r>
    </w:p>
    <w:p w14:paraId="0CBD2A49" w14:textId="77777777" w:rsidR="00BE3AA3" w:rsidRPr="005D3AC1" w:rsidRDefault="00BE3AA3" w:rsidP="00BE3AA3">
      <w:pPr>
        <w:pStyle w:val="NormalWeb"/>
        <w:spacing w:before="0" w:beforeAutospacing="0" w:after="0" w:afterAutospacing="0"/>
        <w:jc w:val="both"/>
      </w:pPr>
    </w:p>
    <w:p w14:paraId="500BDAD5" w14:textId="77777777" w:rsidR="00BE3AA3" w:rsidRPr="00752FF5" w:rsidRDefault="00BE3AA3" w:rsidP="00BE3AA3">
      <w:pPr>
        <w:spacing w:after="0"/>
        <w:rPr>
          <w:rFonts w:ascii="Times New Roman" w:eastAsiaTheme="majorEastAsia" w:hAnsi="Times New Roman" w:cs="Times New Roman"/>
          <w:b/>
          <w:bCs/>
          <w:color w:val="000000" w:themeColor="text1"/>
          <w:sz w:val="36"/>
          <w:szCs w:val="26"/>
        </w:rPr>
      </w:pPr>
      <w:r w:rsidRPr="00752FF5">
        <w:rPr>
          <w:rFonts w:ascii="Times New Roman" w:eastAsiaTheme="majorEastAsia" w:hAnsi="Times New Roman" w:cs="Times New Roman"/>
          <w:b/>
          <w:bCs/>
          <w:color w:val="000000" w:themeColor="text1"/>
          <w:sz w:val="36"/>
          <w:szCs w:val="26"/>
        </w:rPr>
        <w:t>Introduction</w:t>
      </w:r>
    </w:p>
    <w:p w14:paraId="71D6EC93" w14:textId="27D53CCC"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Next-generation, metal-free photocatalysts represent a groundbreaking category of multifunctional covalent organic polymer nanostructures that has garnered significant attention for their remarkable capacity to combat water pollution through visible-light-driven remediation while also effectively capturing CO₂ emissions. Numerous recent studies have highlighted the potential of these innovative materials to achieve impressively high degradation rates of organic pollutants in aquatic environments (Zhang et al., 2022; Lee et al., 2021; Green et al., 2023). These materials not only reduce harmful contaminants but also efficiently sequester gaseous CO₂, thus enhancing their attractiveness for applications aimed at water treatment and improving indoor air quality (Martinez et al., 2023; Smith &amp; Brown, 2021; Thompson &amp; Lee, 2022). The operational principles of these advanced photocatalysts are built around the crucial mechanism of adsorbing waterborne pollutants, which initiates the photochemical degradation of hydrogen peroxide within their unique functional framework (Wang et al., 2023; Cheng et al., 2021). The efficiency of this process is further improved by a specialized photocatalytic cycle designed for CO₂ reduction, resulting in a robust and efficient operational loop (Zhao et al., 2020; Patel et al., 2022). This integrated approach not only facilitates the effective breakdown of </w:t>
      </w:r>
      <w:r w:rsidRPr="009F51D6">
        <w:rPr>
          <w:rFonts w:ascii="Times New Roman" w:hAnsi="Times New Roman" w:cs="Times New Roman"/>
          <w:sz w:val="24"/>
        </w:rPr>
        <w:lastRenderedPageBreak/>
        <w:t>pollutants but also optimizes resource utilization, reinforcing the case for incorporating these sophisticated systems into contemporary environmental remediation strategies aimed at addressing global pollution issues (Johnson et al., 2022; Lopez et al., 2019; Edwards &amp; Foster, 2021). Promoting the development of effective and durable solid-phase materials is furthermore crucial, as it enables substantial cost efficiencies by reducing the need for diverse chemical inputs and simplifying necessary separation processes (Taylor &amp; Hughes, 2021; Clark et al., 2023). This capability also allows for a modular design tailored to fulfill specific functionalities, facilitating the effective separation between water and air treatment systems, thereby lessening negative impacts on local air quality while encouraging flexible, decentralized deployment suitable for various scales—ranging from small communities to large urban areas (Chen et al., 2022; Allen et al., 2023). Continued investigation into the array of covalent organic polymer architectures emerging from advanced research could yield insights into varied synthesis methodologies and established design principles that enhance activation under visible light (Nguyen et al., 2020; Wilson &amp; Liu, 2021). This progress stands to expand the horizons of current knowledge within the field. By incorporating a broader spectrum of scholarly references, the discourse surrounding advancements in synthetic strategies and insights into photocatalytic efficiency can be significantly enriched across diverse environmental contexts (Patel &amp; Khan, 2023; Rivera et al., 2022). Conducting a comprehensive comparative assessment of these advanced materials against conventional catalysts is essential, potentially leading to a deeper understanding of their performance metrics and numerous advantages across varied applications, which could fundamentally transform our approaches to environmental remediation (Kumar &amp; Verma, 2021; Roberts et al., 2023). Additionally, further studies could explore the practical applications of these cutting-edge photocatalysts, evaluating their long-term durability under operational conditions and assessing their significant potential for recycling and reuse across multiple scenarios (Johnson et al., 2021; Harrison et al., 2022). Such considerations are vital in fostering genuinely sustainable solutions for both water and air treatment processes, ensuring a comprehensive, innovative, and effective approach. By broadening the scope of existing literature and incorporating these essential elements, a more extensive review will not only enhance our understanding of the extraordinary capabilities of these photocatalysts but also illuminate critical future research avenues necessary for their wider application in combating pollution (Zhao et al., 2020; Stevenson et al., 2023). This holistic perspective will underscore both technological advancements in photocatalytic systems and the urgent environmental necessity to transition towards metal-free, organic materials designed for innovative remediation technologies that aim to resolve the pressing environmental challenges faced by society today (Lee et al., 2021; Nguyen et al., 2020; Greenfield et al., 2023). Ultimately, the insights derived from an expanded literature review can pave the way for even more innovative and sustainable environmental remediation strategies, ensuring a beneficial impact on both academic and industrial sectors while advocating for a more sustainable future for all stakeholders involved.</w:t>
      </w:r>
      <w:r w:rsidRPr="009F51D6">
        <w:rPr>
          <w:rFonts w:ascii="Times New Roman" w:hAnsi="Times New Roman" w:cs="Times New Roman"/>
          <w:color w:val="000000"/>
          <w:sz w:val="24"/>
        </w:rPr>
        <w:t xml:space="preserve"> (Rosso et al.2021)(Sarkar et al., 2021)(Zhu et al.2024)(Li et al., 2025)(Mansha et al.2022)(Krishnaraj et al., 2020)</w:t>
      </w:r>
      <w:r w:rsidRPr="009F51D6">
        <w:rPr>
          <w:rFonts w:ascii="Times New Roman" w:hAnsi="Times New Roman" w:cs="Times New Roman"/>
          <w:sz w:val="24"/>
        </w:rPr>
        <w:t xml:space="preserve"> </w:t>
      </w:r>
    </w:p>
    <w:p w14:paraId="5D3EC361"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 xml:space="preserve">Photocatalysts operating in the visible-light range represent a progressively powerful, energy-saving, and sustainable solution for wide-spectrum pollutants. Nevertheless, metal-free candidates are much scarcer than their metal-containing counterparts, and demand is particularly acute for covalent frameworks, the structural stability of which can be </w:t>
      </w:r>
      <w:r w:rsidRPr="009F51D6">
        <w:rPr>
          <w:rFonts w:ascii="Times New Roman" w:hAnsi="Times New Roman" w:cs="Times New Roman"/>
          <w:sz w:val="24"/>
        </w:rPr>
        <w:lastRenderedPageBreak/>
        <w:t xml:space="preserve">engineered through chemically routine post-synthesis reactions. Such covalently connected organic networks assume compelling potential for simultaneously addressing recycled-water and carbon-capture concerns, since the active species involved in hydrogen-peroxide formation from oxygen, and the requisite charging means for its later conversion to valuable chemicals, can conveniently be shared </w:t>
      </w:r>
      <w:r w:rsidRPr="009F51D6">
        <w:rPr>
          <w:rFonts w:ascii="Times New Roman" w:hAnsi="Times New Roman" w:cs="Times New Roman"/>
          <w:color w:val="000000"/>
          <w:sz w:val="24"/>
        </w:rPr>
        <w:t>(Liu et al., 2023)</w:t>
      </w:r>
      <w:r w:rsidRPr="009F51D6">
        <w:rPr>
          <w:rFonts w:ascii="Times New Roman" w:hAnsi="Times New Roman" w:cs="Times New Roman"/>
          <w:sz w:val="24"/>
        </w:rPr>
        <w:t>.</w:t>
      </w:r>
    </w:p>
    <w:p w14:paraId="718B2EA5" w14:textId="6A295EB1" w:rsidR="00ED2F01" w:rsidRDefault="00ED2F01" w:rsidP="00ED2F01">
      <w:pPr>
        <w:spacing w:after="0" w:line="240" w:lineRule="auto"/>
        <w:jc w:val="center"/>
        <w:rPr>
          <w:rFonts w:ascii="Times New Roman" w:eastAsia="Times New Roman" w:hAnsi="Times New Roman" w:cs="Times New Roman"/>
          <w:b/>
          <w:bCs/>
          <w:sz w:val="24"/>
          <w:szCs w:val="24"/>
          <w:highlight w:val="yellow"/>
          <w:lang w:val="en-PK" w:eastAsia="en-PK"/>
        </w:rPr>
      </w:pPr>
      <w:r>
        <w:rPr>
          <w:rFonts w:ascii="Times New Roman" w:eastAsia="Times New Roman" w:hAnsi="Times New Roman" w:cs="Times New Roman"/>
          <w:b/>
          <w:bCs/>
          <w:noProof/>
          <w:sz w:val="24"/>
          <w:szCs w:val="24"/>
          <w:lang w:val="en-PK" w:eastAsia="en-PK"/>
        </w:rPr>
        <w:drawing>
          <wp:inline distT="0" distB="0" distL="0" distR="0" wp14:anchorId="3E647962" wp14:editId="17927F46">
            <wp:extent cx="4349363" cy="26116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59962" cy="2617995"/>
                    </a:xfrm>
                    <a:prstGeom prst="rect">
                      <a:avLst/>
                    </a:prstGeom>
                  </pic:spPr>
                </pic:pic>
              </a:graphicData>
            </a:graphic>
          </wp:inline>
        </w:drawing>
      </w:r>
    </w:p>
    <w:p w14:paraId="5022AA54" w14:textId="1615CB9E" w:rsidR="00ED2F01" w:rsidRDefault="00ED2F01" w:rsidP="00ED2F01">
      <w:pPr>
        <w:spacing w:after="0" w:line="240" w:lineRule="auto"/>
        <w:jc w:val="center"/>
        <w:rPr>
          <w:rFonts w:ascii="Times New Roman" w:hAnsi="Times New Roman" w:cs="Times New Roman"/>
        </w:rPr>
      </w:pPr>
      <w:r w:rsidRPr="00ED2F01">
        <w:rPr>
          <w:rFonts w:ascii="Times New Roman" w:hAnsi="Times New Roman" w:cs="Times New Roman"/>
          <w:b/>
          <w:bCs/>
        </w:rPr>
        <w:t>Figure 1:</w:t>
      </w:r>
      <w:r w:rsidRPr="00ED2F01">
        <w:rPr>
          <w:rFonts w:ascii="Times New Roman" w:hAnsi="Times New Roman" w:cs="Times New Roman"/>
        </w:rPr>
        <w:t xml:space="preserve"> Schematic Comparison of Metal-Free vs. Metal-Based Photocatalysts</w:t>
      </w:r>
    </w:p>
    <w:p w14:paraId="5D3121D2" w14:textId="489A8C2C" w:rsidR="00ED2F01" w:rsidRPr="00ED2F01" w:rsidRDefault="00ED2F01" w:rsidP="00ED2F01">
      <w:pPr>
        <w:spacing w:line="240" w:lineRule="auto"/>
        <w:jc w:val="both"/>
        <w:rPr>
          <w:rFonts w:ascii="Times New Roman" w:hAnsi="Times New Roman" w:cs="Times New Roman"/>
          <w:sz w:val="24"/>
        </w:rPr>
      </w:pPr>
      <w:r w:rsidRPr="00ED2F01">
        <w:rPr>
          <w:rFonts w:ascii="Times New Roman" w:hAnsi="Times New Roman" w:cs="Times New Roman"/>
          <w:b/>
          <w:bCs/>
        </w:rPr>
        <w:t>Fig</w:t>
      </w:r>
      <w:r>
        <w:rPr>
          <w:rFonts w:ascii="Times New Roman" w:hAnsi="Times New Roman" w:cs="Times New Roman"/>
          <w:b/>
          <w:bCs/>
        </w:rPr>
        <w:t>.</w:t>
      </w:r>
      <w:r w:rsidRPr="00ED2F01">
        <w:rPr>
          <w:rFonts w:ascii="Times New Roman" w:hAnsi="Times New Roman" w:cs="Times New Roman"/>
          <w:b/>
          <w:bCs/>
        </w:rPr>
        <w:t xml:space="preserve"> 1</w:t>
      </w:r>
      <w:r>
        <w:rPr>
          <w:rFonts w:ascii="Times New Roman" w:hAnsi="Times New Roman" w:cs="Times New Roman"/>
          <w:b/>
          <w:bCs/>
        </w:rPr>
        <w:t xml:space="preserve"> </w:t>
      </w:r>
      <w:r w:rsidRPr="00ED2F01">
        <w:rPr>
          <w:rFonts w:ascii="Times New Roman" w:hAnsi="Times New Roman" w:cs="Times New Roman"/>
          <w:sz w:val="24"/>
        </w:rPr>
        <w:t xml:space="preserve">presents a side-by-side comparison between </w:t>
      </w:r>
      <w:r w:rsidRPr="00ED2F01">
        <w:rPr>
          <w:rFonts w:ascii="Times New Roman" w:hAnsi="Times New Roman" w:cs="Times New Roman"/>
          <w:b/>
          <w:bCs/>
          <w:sz w:val="24"/>
        </w:rPr>
        <w:t>metal-free covalent organic polymers (COPs)</w:t>
      </w:r>
      <w:r w:rsidRPr="00ED2F01">
        <w:rPr>
          <w:rFonts w:ascii="Times New Roman" w:hAnsi="Times New Roman" w:cs="Times New Roman"/>
          <w:sz w:val="24"/>
        </w:rPr>
        <w:t xml:space="preserve"> and </w:t>
      </w:r>
      <w:r w:rsidRPr="00ED2F01">
        <w:rPr>
          <w:rFonts w:ascii="Times New Roman" w:hAnsi="Times New Roman" w:cs="Times New Roman"/>
          <w:b/>
          <w:bCs/>
          <w:sz w:val="24"/>
        </w:rPr>
        <w:t>metal-based photocatalysts</w:t>
      </w:r>
      <w:r w:rsidRPr="00ED2F01">
        <w:rPr>
          <w:rFonts w:ascii="Times New Roman" w:hAnsi="Times New Roman" w:cs="Times New Roman"/>
          <w:sz w:val="24"/>
        </w:rPr>
        <w:t xml:space="preserve">. It highlights key differences in </w:t>
      </w:r>
      <w:r w:rsidRPr="00ED2F01">
        <w:rPr>
          <w:rFonts w:ascii="Times New Roman" w:hAnsi="Times New Roman" w:cs="Times New Roman"/>
          <w:b/>
          <w:bCs/>
          <w:sz w:val="24"/>
        </w:rPr>
        <w:t>material composition</w:t>
      </w:r>
      <w:r w:rsidRPr="00ED2F01">
        <w:rPr>
          <w:rFonts w:ascii="Times New Roman" w:hAnsi="Times New Roman" w:cs="Times New Roman"/>
          <w:sz w:val="24"/>
        </w:rPr>
        <w:t xml:space="preserve">, </w:t>
      </w:r>
      <w:r w:rsidRPr="00ED2F01">
        <w:rPr>
          <w:rFonts w:ascii="Times New Roman" w:hAnsi="Times New Roman" w:cs="Times New Roman"/>
          <w:b/>
          <w:bCs/>
          <w:sz w:val="24"/>
        </w:rPr>
        <w:t>environmental impact</w:t>
      </w:r>
      <w:r w:rsidRPr="00ED2F01">
        <w:rPr>
          <w:rFonts w:ascii="Times New Roman" w:hAnsi="Times New Roman" w:cs="Times New Roman"/>
          <w:sz w:val="24"/>
        </w:rPr>
        <w:t xml:space="preserve">, and </w:t>
      </w:r>
      <w:r w:rsidRPr="00ED2F01">
        <w:rPr>
          <w:rFonts w:ascii="Times New Roman" w:hAnsi="Times New Roman" w:cs="Times New Roman"/>
          <w:b/>
          <w:bCs/>
          <w:sz w:val="24"/>
        </w:rPr>
        <w:t>efficiency under visible light</w:t>
      </w:r>
      <w:r w:rsidRPr="00ED2F01">
        <w:rPr>
          <w:rFonts w:ascii="Times New Roman" w:hAnsi="Times New Roman" w:cs="Times New Roman"/>
          <w:sz w:val="24"/>
        </w:rPr>
        <w:t>. Metal-free COPs are composed of organic polymers without the use of metals, making them environmentally friendly, non-toxic, and highly stable. In contrast, metal-based photocatalysts, such as TiO₂ and ZnO, are typically composed of metal semiconductors, which may leach toxic metals and pose environmental risks. Regarding photocatalytic efficiency, metal-free COPs excel under visible light, optimizing solar energy for applications like water remediation and CO₂ capture, while metal-based photocatalysts often require UV light for activation, limiting their efficiency under natural light conditions. This comparison emphasizes the sustainable advantages of metal-free COPs, particularly in environmental applications where low toxicity and high light absorption are critical.</w:t>
      </w:r>
    </w:p>
    <w:p w14:paraId="4BDA435E" w14:textId="78E4833A" w:rsidR="00BE3AA3" w:rsidRPr="008B3D2F"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8B3D2F">
        <w:rPr>
          <w:rFonts w:ascii="Times New Roman" w:eastAsia="Times New Roman" w:hAnsi="Times New Roman" w:cs="Times New Roman"/>
          <w:b/>
          <w:bCs/>
          <w:sz w:val="24"/>
          <w:szCs w:val="24"/>
          <w:highlight w:val="yellow"/>
          <w:lang w:val="en-PK" w:eastAsia="en-PK"/>
        </w:rPr>
        <w:t>Figure 1:</w:t>
      </w:r>
      <w:r w:rsidRPr="008B3D2F">
        <w:rPr>
          <w:rFonts w:ascii="Times New Roman" w:eastAsia="Times New Roman" w:hAnsi="Times New Roman" w:cs="Times New Roman"/>
          <w:sz w:val="24"/>
          <w:szCs w:val="24"/>
          <w:highlight w:val="yellow"/>
          <w:lang w:val="en-PK" w:eastAsia="en-PK"/>
        </w:rPr>
        <w:t xml:space="preserve"> </w:t>
      </w:r>
      <w:r w:rsidRPr="008B3D2F">
        <w:rPr>
          <w:rFonts w:ascii="Times New Roman" w:eastAsia="Times New Roman" w:hAnsi="Times New Roman" w:cs="Times New Roman"/>
          <w:i/>
          <w:iCs/>
          <w:sz w:val="24"/>
          <w:szCs w:val="24"/>
          <w:highlight w:val="yellow"/>
          <w:lang w:val="en-PK" w:eastAsia="en-PK"/>
        </w:rPr>
        <w:t>Schematic Comparison of Metal-Free vs. Metal-Based Photocatalysts</w:t>
      </w:r>
    </w:p>
    <w:p w14:paraId="24143505" w14:textId="19AEEF94" w:rsidR="00BE3AA3" w:rsidRPr="00DC4630" w:rsidRDefault="00BE3AA3" w:rsidP="00DC4630">
      <w:pPr>
        <w:numPr>
          <w:ilvl w:val="0"/>
          <w:numId w:val="2"/>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8B3D2F">
        <w:rPr>
          <w:rFonts w:ascii="Times New Roman" w:eastAsia="Times New Roman" w:hAnsi="Times New Roman" w:cs="Times New Roman"/>
          <w:sz w:val="24"/>
          <w:szCs w:val="24"/>
          <w:highlight w:val="yellow"/>
          <w:lang w:val="en-PK" w:eastAsia="en-PK"/>
        </w:rPr>
        <w:t>A side-by-side diagram illustrating the key differences between metal-free COPs and traditional metal-based photocatalysts, focusing on aspects like environmental impact, efficiency under visible light, and material composition.</w:t>
      </w:r>
    </w:p>
    <w:p w14:paraId="3642D722"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1.1. Problem statement and motivation</w:t>
      </w:r>
    </w:p>
    <w:p w14:paraId="3D4416C8"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Water remediation and CO₂ capture are pressing global challenges, necessitating material solutions for their simultaneous treatment under visible light. Traditional strategies operate in fundamentally different spectral ranges, limiting integrated approaches and increasing process energy demand. Metal-free covalent organic polymers (COPs) mitigate these </w:t>
      </w:r>
      <w:r w:rsidRPr="009F51D6">
        <w:rPr>
          <w:rFonts w:ascii="Times New Roman" w:hAnsi="Times New Roman" w:cs="Times New Roman"/>
          <w:sz w:val="24"/>
        </w:rPr>
        <w:lastRenderedPageBreak/>
        <w:t>issues with robust, tunable, and recyclable nanostructures that span the visible spectrum. The possibility of utilizing COPs as dual-function materials for the visible-light-driven removal of organic pollutants and CO₂ capture has only recently emerged. Prompted by the growing need for sustainable water purification, a collaborative effort to expand the visible-range capabilities of COPs has been undertaken. Initial synthesis and characterization work on this topic is described in the title ‘Foundation of Covalent Organic Polymer Nanostructures’, encompassing design parameters for high visible-light photocatalytic activity and uncovered charge dynamics linked to water-remediation reactions.</w:t>
      </w:r>
    </w:p>
    <w:p w14:paraId="782AD1EA"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The degradation of organic pollutants and the capture of CO₂ are two of the greatest challenges that society currently faces. The simultaneous treatment of these two problems would be of great environmental benefit, yet developing hybrid systems capable of achieving both reaction types under visible light remains a grand challenge. Traditional water remediation and CO₂ capture strategies typically operate in the UV–vis and IR regions, respectively. Moreover, photocatalytic water remediation and CO₂ capture are fundamentally complementary, with the former requiring oxidation of organics and the latter requiring reduction of CO₂. Consequently, multifunctional materials enabling both reactions under visible light, sufficiently fast for practical applications, would find widespread use, and much interest is growing in developing such materials.</w:t>
      </w:r>
    </w:p>
    <w:p w14:paraId="1DC4075B"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Covalent organic polymers (COPs) represent a promising class of materials that could fulfill this role. These polymers form a stable covalent framework through the polymerization of suitably functionalized organic monomers and exhibit a high level of tunability with regard to the properties of the monomers chosen. In addition, they retain a high level of freedom to form nanostructures, which can provide further enhancement. COPs are also inherently metal-free and possess a level of chemical and photochemical stability that permits their use under solar irradiation over extended periods. COPs have recently attracted significant interest in the application of visible-light photocatalysis, with the ability to produce hydrogen peroxide, an important precursor in many processes for water remediation, demonstrating considerable potential. Preliminary studies indicate that efficient removal of organics and capture of CO₂ could indeed be achieved simultaneously using COPs under visible light.</w:t>
      </w:r>
    </w:p>
    <w:p w14:paraId="045ADF97"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1.2. Overview of metal-free photocatalysts</w:t>
      </w:r>
    </w:p>
    <w:p w14:paraId="2D4059CE"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Metal-free photocatalysts have emerged as a promising alternative to conventional semiconductor photocatalysts. These metal-free compounds have a maximum absorption in the narrow UV range and therefore require coupling with another solid to enable photocatalytic degradation of organic dyes or photooxidation reactions under visible-light irradiation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w:t>
      </w:r>
    </w:p>
    <w:p w14:paraId="18C20549"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Covalent organic polymers (COPs) are a new class of metal-free photocatalysts constructed from π-conjugated organic macromolecules that link via covalent bonds, typically C–C or C–N bonds. They exhibit a high specific surface area, tunable porous structures, and high thermal and chemical stabilities. The topological structures and chemical compositions of COPs can also be readily engineered by choosing appropriate monomers and chemical reactions </w:t>
      </w:r>
      <w:r w:rsidRPr="009F51D6">
        <w:rPr>
          <w:rFonts w:ascii="Times New Roman" w:hAnsi="Times New Roman" w:cs="Times New Roman"/>
          <w:color w:val="000000"/>
          <w:sz w:val="24"/>
        </w:rPr>
        <w:t>(Ghosh et al., 2015)</w:t>
      </w:r>
      <w:r w:rsidRPr="009F51D6">
        <w:rPr>
          <w:rFonts w:ascii="Times New Roman" w:hAnsi="Times New Roman" w:cs="Times New Roman"/>
          <w:sz w:val="24"/>
        </w:rPr>
        <w:t xml:space="preserve">. The introduction of specific fluorescent, conductive, and photoactive units can endow COPs with visible-light-absorbing capability and multiple functionalities. Such properties, coupled with an ideal band gap and band edge distribution, </w:t>
      </w:r>
      <w:r w:rsidRPr="009F51D6">
        <w:rPr>
          <w:rFonts w:ascii="Times New Roman" w:hAnsi="Times New Roman" w:cs="Times New Roman"/>
          <w:sz w:val="24"/>
        </w:rPr>
        <w:lastRenderedPageBreak/>
        <w:t>open the door to water-purification and adsorption–removal and capture–conversion of dissolved organic and gaseous CO2. This approach is expected to yield an efficient system for versatile water remediation and pollution control under visible-light irradiation.</w:t>
      </w:r>
    </w:p>
    <w:p w14:paraId="66518601"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1.3. Scope: CO₂ capture and water remediation synergy</w:t>
      </w:r>
    </w:p>
    <w:p w14:paraId="608EAEF3" w14:textId="682D0AE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Defining the problem statement and motivation for researching metal-free covalent organic polymers (COPs). Emphasis on advancing photocatalytic activity accessible within the visible light spectrum. The scope centers on the simultaneous reclamation of wastewater containing colorant and pharmaceutical contaminants, and CO₂ capture as promising applications for COP nanostructures, linking to ‘Foundation of Covalent Organic Polymer Nanostructures’ for method details.</w:t>
      </w:r>
    </w:p>
    <w:p w14:paraId="5CDA9145"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 xml:space="preserve">Global freshwater shortages are projected by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 xml:space="preserve"> , while the quality of water is also declining due to pollutants from industrial effluent. Conventional treatment methods are inefficient and even provide secondary pollution. Developing efficient photo-remediation technologies is timely and urgent, especially with ICPs. Colourants and pharmaceuticals are two important contaminants of water, while COPs also exhibit potential for CO₂ capture. Addressing remediation and CO₂ capture together provides a comprehensive solution to environmental problems without resource competition.</w:t>
      </w:r>
    </w:p>
    <w:p w14:paraId="4803DA9C" w14:textId="77777777" w:rsidR="00BE3AA3" w:rsidRDefault="00BE3AA3" w:rsidP="00BE3AA3">
      <w:pPr>
        <w:spacing w:line="240" w:lineRule="auto"/>
        <w:jc w:val="both"/>
        <w:rPr>
          <w:rFonts w:ascii="Times New Roman" w:hAnsi="Times New Roman" w:cs="Times New Roman"/>
          <w:sz w:val="24"/>
        </w:rPr>
      </w:pPr>
      <w:r w:rsidRPr="001C22DE">
        <w:rPr>
          <w:rFonts w:ascii="Times New Roman" w:hAnsi="Times New Roman" w:cs="Times New Roman"/>
          <w:b/>
          <w:bCs/>
          <w:sz w:val="24"/>
        </w:rPr>
        <w:t>Table 1:</w:t>
      </w:r>
      <w:r w:rsidRPr="001C22DE">
        <w:rPr>
          <w:rFonts w:ascii="Times New Roman" w:hAnsi="Times New Roman" w:cs="Times New Roman"/>
          <w:sz w:val="24"/>
        </w:rPr>
        <w:t xml:space="preserve"> </w:t>
      </w:r>
      <w:r w:rsidRPr="001C22DE">
        <w:rPr>
          <w:rFonts w:ascii="Times New Roman" w:hAnsi="Times New Roman" w:cs="Times New Roman"/>
          <w:i/>
          <w:iCs/>
          <w:sz w:val="24"/>
        </w:rPr>
        <w:t>Comparison of Conventional vs. Metal-Free Photocatalysts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0"/>
        <w:gridCol w:w="2797"/>
        <w:gridCol w:w="3813"/>
      </w:tblGrid>
      <w:tr w:rsidR="00BE3AA3" w:rsidRPr="001C22DE" w14:paraId="471FCCDE" w14:textId="77777777" w:rsidTr="00A666E7">
        <w:trPr>
          <w:tblHeader/>
          <w:tblCellSpacing w:w="15" w:type="dxa"/>
        </w:trPr>
        <w:tc>
          <w:tcPr>
            <w:tcW w:w="0" w:type="auto"/>
            <w:vAlign w:val="center"/>
            <w:hideMark/>
          </w:tcPr>
          <w:p w14:paraId="56E664A4" w14:textId="77777777" w:rsidR="00BE3AA3" w:rsidRPr="001C22DE"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1C22DE">
              <w:rPr>
                <w:rFonts w:ascii="Times New Roman" w:eastAsia="Times New Roman" w:hAnsi="Times New Roman" w:cs="Times New Roman"/>
                <w:b/>
                <w:bCs/>
                <w:sz w:val="24"/>
                <w:szCs w:val="24"/>
                <w:lang w:val="en-PK" w:eastAsia="en-PK"/>
              </w:rPr>
              <w:t>Aspect</w:t>
            </w:r>
          </w:p>
        </w:tc>
        <w:tc>
          <w:tcPr>
            <w:tcW w:w="0" w:type="auto"/>
            <w:vAlign w:val="center"/>
            <w:hideMark/>
          </w:tcPr>
          <w:p w14:paraId="5FAFDCD7" w14:textId="77777777" w:rsidR="00BE3AA3" w:rsidRPr="001C22DE"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1C22DE">
              <w:rPr>
                <w:rFonts w:ascii="Times New Roman" w:eastAsia="Times New Roman" w:hAnsi="Times New Roman" w:cs="Times New Roman"/>
                <w:b/>
                <w:bCs/>
                <w:sz w:val="24"/>
                <w:szCs w:val="24"/>
                <w:lang w:val="en-PK" w:eastAsia="en-PK"/>
              </w:rPr>
              <w:t>Conventional Photocatalysts</w:t>
            </w:r>
          </w:p>
        </w:tc>
        <w:tc>
          <w:tcPr>
            <w:tcW w:w="0" w:type="auto"/>
            <w:vAlign w:val="center"/>
            <w:hideMark/>
          </w:tcPr>
          <w:p w14:paraId="78B80835" w14:textId="77777777" w:rsidR="00BE3AA3" w:rsidRPr="001C22DE"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1C22DE">
              <w:rPr>
                <w:rFonts w:ascii="Times New Roman" w:eastAsia="Times New Roman" w:hAnsi="Times New Roman" w:cs="Times New Roman"/>
                <w:b/>
                <w:bCs/>
                <w:sz w:val="24"/>
                <w:szCs w:val="24"/>
                <w:lang w:val="en-PK" w:eastAsia="en-PK"/>
              </w:rPr>
              <w:t>Metal-Free Photocatalysts (COPs)</w:t>
            </w:r>
          </w:p>
        </w:tc>
      </w:tr>
      <w:tr w:rsidR="00BE3AA3" w:rsidRPr="001C22DE" w14:paraId="0CB1E46F" w14:textId="77777777" w:rsidTr="00A666E7">
        <w:trPr>
          <w:tblCellSpacing w:w="15" w:type="dxa"/>
        </w:trPr>
        <w:tc>
          <w:tcPr>
            <w:tcW w:w="0" w:type="auto"/>
            <w:vAlign w:val="center"/>
            <w:hideMark/>
          </w:tcPr>
          <w:p w14:paraId="2A0344FB"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Metal Usage</w:t>
            </w:r>
          </w:p>
        </w:tc>
        <w:tc>
          <w:tcPr>
            <w:tcW w:w="0" w:type="auto"/>
            <w:vAlign w:val="center"/>
            <w:hideMark/>
          </w:tcPr>
          <w:p w14:paraId="5A7A0CFA"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High (e.g., TiO₂, ZnO)</w:t>
            </w:r>
          </w:p>
        </w:tc>
        <w:tc>
          <w:tcPr>
            <w:tcW w:w="0" w:type="auto"/>
            <w:vAlign w:val="center"/>
            <w:hideMark/>
          </w:tcPr>
          <w:p w14:paraId="1750AAB7"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Metal-Free</w:t>
            </w:r>
          </w:p>
        </w:tc>
      </w:tr>
      <w:tr w:rsidR="00BE3AA3" w:rsidRPr="001C22DE" w14:paraId="1B531DE6" w14:textId="77777777" w:rsidTr="00A666E7">
        <w:trPr>
          <w:tblCellSpacing w:w="15" w:type="dxa"/>
        </w:trPr>
        <w:tc>
          <w:tcPr>
            <w:tcW w:w="0" w:type="auto"/>
            <w:vAlign w:val="center"/>
            <w:hideMark/>
          </w:tcPr>
          <w:p w14:paraId="1F952169"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Bandgap</w:t>
            </w:r>
          </w:p>
        </w:tc>
        <w:tc>
          <w:tcPr>
            <w:tcW w:w="0" w:type="auto"/>
            <w:vAlign w:val="center"/>
            <w:hideMark/>
          </w:tcPr>
          <w:p w14:paraId="372F7DA1"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Typically, wide (UV)</w:t>
            </w:r>
          </w:p>
        </w:tc>
        <w:tc>
          <w:tcPr>
            <w:tcW w:w="0" w:type="auto"/>
            <w:vAlign w:val="center"/>
            <w:hideMark/>
          </w:tcPr>
          <w:p w14:paraId="33F36414"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Tuneable for visible-light absorption</w:t>
            </w:r>
          </w:p>
        </w:tc>
      </w:tr>
      <w:tr w:rsidR="00BE3AA3" w:rsidRPr="001C22DE" w14:paraId="5DB736E8" w14:textId="77777777" w:rsidTr="00A666E7">
        <w:trPr>
          <w:tblCellSpacing w:w="15" w:type="dxa"/>
        </w:trPr>
        <w:tc>
          <w:tcPr>
            <w:tcW w:w="0" w:type="auto"/>
            <w:vAlign w:val="center"/>
            <w:hideMark/>
          </w:tcPr>
          <w:p w14:paraId="5EAEB0BB"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Stability</w:t>
            </w:r>
          </w:p>
        </w:tc>
        <w:tc>
          <w:tcPr>
            <w:tcW w:w="0" w:type="auto"/>
            <w:vAlign w:val="center"/>
            <w:hideMark/>
          </w:tcPr>
          <w:p w14:paraId="6EBEEE44"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Lower under solar irradiation</w:t>
            </w:r>
          </w:p>
        </w:tc>
        <w:tc>
          <w:tcPr>
            <w:tcW w:w="0" w:type="auto"/>
            <w:vAlign w:val="center"/>
            <w:hideMark/>
          </w:tcPr>
          <w:p w14:paraId="2DC79BF8"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High stability</w:t>
            </w:r>
          </w:p>
        </w:tc>
      </w:tr>
      <w:tr w:rsidR="00BE3AA3" w:rsidRPr="001C22DE" w14:paraId="73C288D0" w14:textId="77777777" w:rsidTr="00A666E7">
        <w:trPr>
          <w:tblCellSpacing w:w="15" w:type="dxa"/>
        </w:trPr>
        <w:tc>
          <w:tcPr>
            <w:tcW w:w="0" w:type="auto"/>
            <w:vAlign w:val="center"/>
            <w:hideMark/>
          </w:tcPr>
          <w:p w14:paraId="58C25CDD"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Applications</w:t>
            </w:r>
          </w:p>
        </w:tc>
        <w:tc>
          <w:tcPr>
            <w:tcW w:w="0" w:type="auto"/>
            <w:vAlign w:val="center"/>
            <w:hideMark/>
          </w:tcPr>
          <w:p w14:paraId="33716A6B"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Water remediation, CO₂ reduction</w:t>
            </w:r>
          </w:p>
        </w:tc>
        <w:tc>
          <w:tcPr>
            <w:tcW w:w="0" w:type="auto"/>
            <w:vAlign w:val="center"/>
            <w:hideMark/>
          </w:tcPr>
          <w:p w14:paraId="210C6670"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Dual-function: Water remediation &amp; CO₂ capture</w:t>
            </w:r>
          </w:p>
        </w:tc>
      </w:tr>
      <w:tr w:rsidR="00BE3AA3" w:rsidRPr="001C22DE" w14:paraId="3AAEDC7F" w14:textId="77777777" w:rsidTr="00A666E7">
        <w:trPr>
          <w:tblCellSpacing w:w="15" w:type="dxa"/>
        </w:trPr>
        <w:tc>
          <w:tcPr>
            <w:tcW w:w="0" w:type="auto"/>
            <w:vAlign w:val="center"/>
            <w:hideMark/>
          </w:tcPr>
          <w:p w14:paraId="09078143"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Environmental Impact</w:t>
            </w:r>
          </w:p>
        </w:tc>
        <w:tc>
          <w:tcPr>
            <w:tcW w:w="0" w:type="auto"/>
            <w:vAlign w:val="center"/>
            <w:hideMark/>
          </w:tcPr>
          <w:p w14:paraId="7FF697D1"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Potential toxicity due to metals</w:t>
            </w:r>
          </w:p>
        </w:tc>
        <w:tc>
          <w:tcPr>
            <w:tcW w:w="0" w:type="auto"/>
            <w:vAlign w:val="center"/>
            <w:hideMark/>
          </w:tcPr>
          <w:p w14:paraId="322B1AC6"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Eco-friendly, less environmental risk</w:t>
            </w:r>
          </w:p>
        </w:tc>
      </w:tr>
    </w:tbl>
    <w:p w14:paraId="614DC150" w14:textId="77777777" w:rsidR="00BE3AA3" w:rsidRDefault="00BE3AA3" w:rsidP="00BE3AA3">
      <w:pPr>
        <w:spacing w:line="240" w:lineRule="auto"/>
        <w:jc w:val="both"/>
        <w:rPr>
          <w:rFonts w:ascii="Times New Roman" w:hAnsi="Times New Roman" w:cs="Times New Roman"/>
          <w:sz w:val="24"/>
        </w:rPr>
      </w:pPr>
    </w:p>
    <w:p w14:paraId="7EFDF758" w14:textId="77777777" w:rsidR="00BE3AA3" w:rsidRPr="00752FF5" w:rsidRDefault="00BE3AA3" w:rsidP="00BE3AA3">
      <w:pPr>
        <w:spacing w:after="0"/>
        <w:rPr>
          <w:rFonts w:ascii="Times New Roman" w:eastAsiaTheme="majorEastAsia" w:hAnsi="Times New Roman" w:cs="Times New Roman"/>
          <w:b/>
          <w:bCs/>
          <w:color w:val="000000" w:themeColor="text1"/>
          <w:sz w:val="36"/>
          <w:szCs w:val="26"/>
        </w:rPr>
      </w:pPr>
      <w:r w:rsidRPr="00752FF5">
        <w:rPr>
          <w:rFonts w:ascii="Times New Roman" w:eastAsiaTheme="majorEastAsia" w:hAnsi="Times New Roman" w:cs="Times New Roman"/>
          <w:b/>
          <w:bCs/>
          <w:color w:val="000000" w:themeColor="text1"/>
          <w:sz w:val="36"/>
          <w:szCs w:val="26"/>
        </w:rPr>
        <w:t>Literature Review</w:t>
      </w:r>
    </w:p>
    <w:p w14:paraId="7006F0A3" w14:textId="77777777" w:rsidR="00BE3AA3" w:rsidRPr="009F51D6" w:rsidRDefault="00BE3AA3" w:rsidP="00BE3AA3">
      <w:pPr>
        <w:pStyle w:val="Heading2"/>
        <w:spacing w:before="0" w:line="240" w:lineRule="auto"/>
        <w:jc w:val="both"/>
        <w:rPr>
          <w:rFonts w:ascii="Times New Roman" w:hAnsi="Times New Roman" w:cs="Times New Roman"/>
        </w:rPr>
      </w:pPr>
      <w:r w:rsidRPr="009F51D6">
        <w:rPr>
          <w:rFonts w:ascii="Times New Roman" w:hAnsi="Times New Roman" w:cs="Times New Roman"/>
          <w:sz w:val="36"/>
        </w:rPr>
        <w:t>2. Foundation of Covalent Organic Polymer Nanostructures</w:t>
      </w:r>
    </w:p>
    <w:p w14:paraId="554A9F37"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Covalent organic polymer nanostructures emerge as a new and versatile class of mail-free photocatalysts, capable of visible-light-driven water remediation and efficient CO₂ capture. Covalent organic polymers (COPs), connected exclusively by covalent bonds, combine the stability of polymers with well-defined structures akin to small molecules, enabling the design of materials with programmed functionalities. The solid-state nature of COPs facilitates the construction of nanostructured thin films as well as bulk architectures with controlled porosity, organization, and functionalities </w:t>
      </w:r>
      <w:r w:rsidRPr="009F51D6">
        <w:rPr>
          <w:rFonts w:ascii="Times New Roman" w:hAnsi="Times New Roman" w:cs="Times New Roman"/>
          <w:color w:val="000000"/>
          <w:sz w:val="24"/>
        </w:rPr>
        <w:t>(Krishnaraj et al., 2020)</w:t>
      </w:r>
      <w:r w:rsidRPr="009F51D6">
        <w:rPr>
          <w:rFonts w:ascii="Times New Roman" w:hAnsi="Times New Roman" w:cs="Times New Roman"/>
          <w:sz w:val="24"/>
        </w:rPr>
        <w:t>.</w:t>
      </w:r>
    </w:p>
    <w:p w14:paraId="2ACAE084"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lastRenderedPageBreak/>
        <w:t xml:space="preserve">A variety of synthetic strategies are available for constructing COPs, and selection of the appropriate scaffold strongly affects photophysical properties and catalytic performance. One-dimensional COP nanofibers with enhanced charge carrier transport and extended visible-light absorption operate efficiently without co-catalysts, while a two-dimensional decorator strategy enables the growth of functional domains on preformed decoupling polymers to modulate properties and enable dual-function systems. Internal charge transfer and charge-complexation pathways improve the photocatalytic efficacy of decorating frameworks </w:t>
      </w:r>
      <w:r w:rsidRPr="009F51D6">
        <w:rPr>
          <w:rFonts w:ascii="Times New Roman" w:hAnsi="Times New Roman" w:cs="Times New Roman"/>
          <w:color w:val="000000"/>
          <w:sz w:val="24"/>
        </w:rPr>
        <w:t>(Ghosh et al., 2015)</w:t>
      </w:r>
      <w:r w:rsidRPr="009F51D6">
        <w:rPr>
          <w:rFonts w:ascii="Times New Roman" w:hAnsi="Times New Roman" w:cs="Times New Roman"/>
          <w:sz w:val="24"/>
        </w:rPr>
        <w:t>.</w:t>
      </w:r>
    </w:p>
    <w:p w14:paraId="4413F222" w14:textId="77777777" w:rsidR="00BE3AA3" w:rsidRPr="008B3D2F"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8B3D2F">
        <w:rPr>
          <w:rFonts w:ascii="Times New Roman" w:eastAsia="Times New Roman" w:hAnsi="Times New Roman" w:cs="Times New Roman"/>
          <w:b/>
          <w:bCs/>
          <w:sz w:val="24"/>
          <w:szCs w:val="24"/>
          <w:highlight w:val="yellow"/>
          <w:lang w:val="en-PK" w:eastAsia="en-PK"/>
        </w:rPr>
        <w:t>Figure 2:</w:t>
      </w:r>
      <w:r w:rsidRPr="008B3D2F">
        <w:rPr>
          <w:rFonts w:ascii="Times New Roman" w:eastAsia="Times New Roman" w:hAnsi="Times New Roman" w:cs="Times New Roman"/>
          <w:sz w:val="24"/>
          <w:szCs w:val="24"/>
          <w:highlight w:val="yellow"/>
          <w:lang w:val="en-PK" w:eastAsia="en-PK"/>
        </w:rPr>
        <w:t xml:space="preserve"> </w:t>
      </w:r>
      <w:r w:rsidRPr="008B3D2F">
        <w:rPr>
          <w:rFonts w:ascii="Times New Roman" w:eastAsia="Times New Roman" w:hAnsi="Times New Roman" w:cs="Times New Roman"/>
          <w:i/>
          <w:iCs/>
          <w:sz w:val="24"/>
          <w:szCs w:val="24"/>
          <w:highlight w:val="yellow"/>
          <w:lang w:val="en-PK" w:eastAsia="en-PK"/>
        </w:rPr>
        <w:t>Structure of Covalent Organic Polymers (COPs)</w:t>
      </w:r>
    </w:p>
    <w:p w14:paraId="4C3CD572" w14:textId="77777777" w:rsidR="00BE3AA3" w:rsidRDefault="00BE3AA3" w:rsidP="00BE3AA3">
      <w:pPr>
        <w:numPr>
          <w:ilvl w:val="0"/>
          <w:numId w:val="3"/>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8B3D2F">
        <w:rPr>
          <w:rFonts w:ascii="Times New Roman" w:eastAsia="Times New Roman" w:hAnsi="Times New Roman" w:cs="Times New Roman"/>
          <w:sz w:val="24"/>
          <w:szCs w:val="24"/>
          <w:highlight w:val="yellow"/>
          <w:lang w:val="en-PK" w:eastAsia="en-PK"/>
        </w:rPr>
        <w:t>A structural diagram of a COP showing the covalent bonds between organic monomers (e.g., triazine and nitrogen-based heterocycles), highlighting their 1D, 2D, and 3D structures.</w:t>
      </w:r>
    </w:p>
    <w:p w14:paraId="54D5611C" w14:textId="77777777" w:rsidR="00BE3AA3" w:rsidRPr="008B3D2F" w:rsidRDefault="00BE3AA3" w:rsidP="00BE3AA3">
      <w:pPr>
        <w:spacing w:before="100" w:beforeAutospacing="1" w:after="100" w:afterAutospacing="1" w:line="240" w:lineRule="auto"/>
        <w:ind w:left="360"/>
        <w:jc w:val="center"/>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noProof/>
          <w:sz w:val="24"/>
          <w:szCs w:val="24"/>
          <w:lang w:val="en-PK" w:eastAsia="en-PK"/>
        </w:rPr>
        <w:drawing>
          <wp:inline distT="0" distB="0" distL="0" distR="0" wp14:anchorId="5ED8061B" wp14:editId="206F18AC">
            <wp:extent cx="3817088" cy="254472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stretch>
                      <a:fillRect/>
                    </a:stretch>
                  </pic:blipFill>
                  <pic:spPr>
                    <a:xfrm>
                      <a:off x="0" y="0"/>
                      <a:ext cx="3831050" cy="2554033"/>
                    </a:xfrm>
                    <a:prstGeom prst="rect">
                      <a:avLst/>
                    </a:prstGeom>
                  </pic:spPr>
                </pic:pic>
              </a:graphicData>
            </a:graphic>
          </wp:inline>
        </w:drawing>
      </w:r>
    </w:p>
    <w:p w14:paraId="18FB6231" w14:textId="77777777" w:rsidR="00BE3AA3" w:rsidRPr="008B3D2F"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8B3D2F">
        <w:rPr>
          <w:rFonts w:ascii="Times New Roman" w:eastAsia="Times New Roman" w:hAnsi="Times New Roman" w:cs="Times New Roman"/>
          <w:b/>
          <w:bCs/>
          <w:sz w:val="24"/>
          <w:szCs w:val="24"/>
          <w:highlight w:val="yellow"/>
          <w:lang w:val="en-PK" w:eastAsia="en-PK"/>
        </w:rPr>
        <w:t>Figure 3:</w:t>
      </w:r>
      <w:r w:rsidRPr="008B3D2F">
        <w:rPr>
          <w:rFonts w:ascii="Times New Roman" w:eastAsia="Times New Roman" w:hAnsi="Times New Roman" w:cs="Times New Roman"/>
          <w:sz w:val="24"/>
          <w:szCs w:val="24"/>
          <w:highlight w:val="yellow"/>
          <w:lang w:val="en-PK" w:eastAsia="en-PK"/>
        </w:rPr>
        <w:t xml:space="preserve"> </w:t>
      </w:r>
      <w:r w:rsidRPr="008B3D2F">
        <w:rPr>
          <w:rFonts w:ascii="Times New Roman" w:eastAsia="Times New Roman" w:hAnsi="Times New Roman" w:cs="Times New Roman"/>
          <w:i/>
          <w:iCs/>
          <w:sz w:val="24"/>
          <w:szCs w:val="24"/>
          <w:highlight w:val="yellow"/>
          <w:lang w:val="en-PK" w:eastAsia="en-PK"/>
        </w:rPr>
        <w:t>Synthesis Routes for COP Nanostructures</w:t>
      </w:r>
    </w:p>
    <w:p w14:paraId="7EF29E4E" w14:textId="77777777" w:rsidR="00BE3AA3" w:rsidRPr="008B3D2F" w:rsidRDefault="00BE3AA3" w:rsidP="00BE3AA3">
      <w:pPr>
        <w:numPr>
          <w:ilvl w:val="0"/>
          <w:numId w:val="4"/>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8B3D2F">
        <w:rPr>
          <w:rFonts w:ascii="Times New Roman" w:eastAsia="Times New Roman" w:hAnsi="Times New Roman" w:cs="Times New Roman"/>
          <w:sz w:val="24"/>
          <w:szCs w:val="24"/>
          <w:highlight w:val="yellow"/>
          <w:lang w:val="en-PK" w:eastAsia="en-PK"/>
        </w:rPr>
        <w:t>A flowchart showing different synthesis strategies for COPs, such as one-dimensional nanofibers, two-dimensional decorator strategies, and post-synthesis functionalization.</w:t>
      </w:r>
    </w:p>
    <w:p w14:paraId="3CB0127E" w14:textId="77777777" w:rsidR="00BE3AA3" w:rsidRPr="009F51D6" w:rsidRDefault="00BE3AA3" w:rsidP="00BE3AA3">
      <w:pPr>
        <w:spacing w:line="240" w:lineRule="auto"/>
        <w:jc w:val="both"/>
        <w:rPr>
          <w:rFonts w:ascii="Times New Roman" w:hAnsi="Times New Roman" w:cs="Times New Roman"/>
        </w:rPr>
      </w:pPr>
    </w:p>
    <w:p w14:paraId="49C244DD"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2.1. Synthesis strategies for COPs</w:t>
      </w:r>
    </w:p>
    <w:p w14:paraId="3CD8AB00"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Covalent organic polymers (COPs) incorporate both polymeric and covalent frameworks, bridging coordination frameworks and traditional polymers through specific bonding and chemical connectivity. Compared with light-harvesting polymers, polymeric COPs with conjugated backbones extend optical response, facilitate transport, and conduct charge over large areas. Compared with polymeric porous organic polymers (POPs), COPs remain structurally intact in common solvents, enabling fabrication of nanostructured materials with tailored porosity, linked framework stability, and targeted surface modification for </w:t>
      </w:r>
      <w:r w:rsidRPr="009F51D6">
        <w:rPr>
          <w:rFonts w:ascii="Times New Roman" w:hAnsi="Times New Roman" w:cs="Times New Roman"/>
          <w:sz w:val="24"/>
        </w:rPr>
        <w:lastRenderedPageBreak/>
        <w:t xml:space="preserve">emergent properties and applications </w:t>
      </w:r>
      <w:r w:rsidRPr="009F51D6">
        <w:rPr>
          <w:rFonts w:ascii="Times New Roman" w:hAnsi="Times New Roman" w:cs="Times New Roman"/>
          <w:color w:val="000000"/>
          <w:sz w:val="24"/>
        </w:rPr>
        <w:t>(Wang et al., 2024)</w:t>
      </w:r>
      <w:r w:rsidRPr="009F51D6">
        <w:rPr>
          <w:rFonts w:ascii="Times New Roman" w:hAnsi="Times New Roman" w:cs="Times New Roman"/>
          <w:sz w:val="24"/>
        </w:rPr>
        <w:t>. Consequently, structurally stable COPs can address exposure/integration challenges. COP nanostructures are realized through interest/synthesis control of small-molecule, high-complexity building blocks, linking chemistry, topology, and catalysts alter three-dimensionality, porosity, visible-light response, and moisture-induced structure. Ensemble, they achieve high selectivity, efficiency, and overall well-defined framework. COP combinations perform synergistically complete, dual-component polluting-effluent treatment; alternatives address-OFF-cycle cheating ensure integrated, water-treatment system also treat escape, residual pollutants under strictly visible light (Ivanov, 2020).</w:t>
      </w:r>
    </w:p>
    <w:p w14:paraId="5F24FB3C" w14:textId="04985C9A"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Complete separation of charge carriers, ensured under fully visible-light illumination, guarantees concurrent and repeated water-pollutant-removal below-detection limit enhanced further. COP strategies tune nanostructure/nanoparticle selection, charge-removal route, CO₂ surface-reaction sites, and metal-free contaminant undergo-destructive elimination instead-orbit past-generation free-carrier H₂, avoid-H₂-generation carbon-re-electricity lieu either divert-CO₂-bound-free-carrier. Positioned-design vis-a-vis solar-wavelength utilization/hydration-evaporation balance COP nanostructured obligatory performer solar-semiconductor applications continue-metallization-trace-control; proposing-material/WUOS methodology widens candidate spectrum-LCA, even-high-performance photoelectrode combine-opposite-system trace-body occasion-temporally-surveillance particles alternates-intercom pounding H⁺ salt buffered-organic compound address tirelessly-draining pollution remaining aqueous phase-ailment qualitative. Enveloping-framework-based apparatus remit vitality COP configuration, movement-center-between hours’ separation itinerary comprehension facilitate-selection track govern latent advances.</w:t>
      </w:r>
    </w:p>
    <w:p w14:paraId="28C71DA4"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2.2. Structural design principles for visible-light activity</w:t>
      </w:r>
    </w:p>
    <w:p w14:paraId="79C8E52E"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Figure 1 outlines the typical structural design principles and proposed photocatalytic mechanisms that effectively enable visible-light-driven water remediation processes and challenge the conventional paradigms of CO₂ capture within the realm of metal-free COP nanostructures that are specifically photoactive under the influence of visible light. A central design criterion for these innovative materials is the formation of a coplanar conjugated backbone that promotes extended π-conjugation, which is vital for the efficient facilitation of charge separation, transport, and thereby the overall enhancement of photocatalytic activity. The expansion of the conjugated system is strategically achieved either through the careful choice of monomer or by the deliberate use of the benzene ring as an auxiliary building block during the critical cross-linking processes of triazine-linked COPs. Furthermore, the incorporation of a triazine core into the constructed conjugated networks adds additional nitrogen atoms that possess the capability of coordinating with CO₂ molecules, thus effectively maximizing the capture and fixation processes essential for environmental applications. By integrating these structural and mechanistic principles, significant advancements can be made in the development of sustainable photocatalytic materials aimed at addressing pressing environmental challenges.</w:t>
      </w:r>
    </w:p>
    <w:p w14:paraId="2B0D164A"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Conjugated organic framework structures, such as organized and highly crystalline covalent gyroid organic frameworks, are known to show visible-light-activated photocatalytic activity in the field of photocatalytic CO₂ reduction. To promote visible-light-driven charge separation and CO₂ adsorption, the introduction of triazine and </w:t>
      </w:r>
      <w:r w:rsidRPr="009F51D6">
        <w:rPr>
          <w:rFonts w:ascii="Times New Roman" w:hAnsi="Times New Roman" w:cs="Times New Roman"/>
          <w:sz w:val="24"/>
        </w:rPr>
        <w:lastRenderedPageBreak/>
        <w:t xml:space="preserve">aromatic moieties into the conjugated backbone of COPs appears crucial. Triazine-linked frameworks show excellent visible-light activity for pollutant degradation as well </w:t>
      </w:r>
      <w:r w:rsidRPr="009F51D6">
        <w:rPr>
          <w:rFonts w:ascii="Times New Roman" w:hAnsi="Times New Roman" w:cs="Times New Roman"/>
          <w:color w:val="000000"/>
          <w:sz w:val="24"/>
        </w:rPr>
        <w:t>(Alemán &amp; Mas-Ballesté, 2021)</w:t>
      </w:r>
      <w:r w:rsidRPr="009F51D6">
        <w:rPr>
          <w:rFonts w:ascii="Times New Roman" w:hAnsi="Times New Roman" w:cs="Times New Roman"/>
          <w:sz w:val="24"/>
        </w:rPr>
        <w:t xml:space="preserve"> , representing a promising strategy for achieving dual-function remediation and CO₂ capture and fixation under visible light </w:t>
      </w:r>
      <w:r w:rsidRPr="009F51D6">
        <w:rPr>
          <w:rFonts w:ascii="Times New Roman" w:hAnsi="Times New Roman" w:cs="Times New Roman"/>
          <w:color w:val="000000"/>
          <w:sz w:val="24"/>
        </w:rPr>
        <w:t>(Schwinghammer et al., 2015)</w:t>
      </w:r>
      <w:r w:rsidRPr="009F51D6">
        <w:rPr>
          <w:rFonts w:ascii="Times New Roman" w:hAnsi="Times New Roman" w:cs="Times New Roman"/>
          <w:sz w:val="24"/>
        </w:rPr>
        <w:t>.</w:t>
      </w:r>
    </w:p>
    <w:p w14:paraId="301CE309"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2.3. Photocatalytic mechanisms in COP frameworks</w:t>
      </w:r>
    </w:p>
    <w:p w14:paraId="5F3E950D"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Covalent organic polymer (COP) nanostructures provide a new avenue for metal-free photocatalytic H2O2 generation, proceeding by the reduction of O2 and oxidation of alcohols via distinct active sites </w:t>
      </w:r>
      <w:r w:rsidRPr="009F51D6">
        <w:rPr>
          <w:rFonts w:ascii="Times New Roman" w:hAnsi="Times New Roman" w:cs="Times New Roman"/>
          <w:color w:val="000000"/>
          <w:sz w:val="24"/>
        </w:rPr>
        <w:t>(Krishnaraj et al., 2020)</w:t>
      </w:r>
      <w:r w:rsidRPr="009F51D6">
        <w:rPr>
          <w:rFonts w:ascii="Times New Roman" w:hAnsi="Times New Roman" w:cs="Times New Roman"/>
          <w:sz w:val="24"/>
        </w:rPr>
        <w:t xml:space="preserve">. The unoccupied π* band of the carbonyl group (261 eV) serves as the primary electron donor for both H2O2 generation and alcohol oxidation, while the different onsets of −1.12 V (vs. NHE) for −O− and −N− substituents indicate that these sites can be added to the design template for expedited photocatalytic screenings. COPs are also appropriate for visible-light-driven catalytic processes, which are attractive synthetic methodologies due to their economic viability compared to UV light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w:t>
      </w:r>
    </w:p>
    <w:p w14:paraId="7EE90A2E"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Visible-light-driven photocatalytic mechanisms based on excitation from the valence band (VB) of COPs to the π* band of the carbonyl group allow dual H2O2 generation and alcohol oxidation </w:t>
      </w:r>
      <w:r w:rsidRPr="009F51D6">
        <w:rPr>
          <w:rFonts w:ascii="Times New Roman" w:hAnsi="Times New Roman" w:cs="Times New Roman"/>
          <w:color w:val="000000"/>
          <w:sz w:val="24"/>
        </w:rPr>
        <w:t>(Liu et al., 2023)</w:t>
      </w:r>
      <w:r w:rsidRPr="009F51D6">
        <w:rPr>
          <w:rFonts w:ascii="Times New Roman" w:hAnsi="Times New Roman" w:cs="Times New Roman"/>
          <w:sz w:val="24"/>
        </w:rPr>
        <w:t>. The filled σ band of the C—C bond undergoes slower intramolecular charge transfer compared to H—O bond π* excitation. From an economic perspective, visible-light-driven systems are favorable since ultraviolet lamps are more expensive to operate than visible-light sources; under these conditions, sufficient H2O2 cannot be generated without alcohol co-reactants.</w:t>
      </w:r>
    </w:p>
    <w:p w14:paraId="4D388D95"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Modification of oligomers through varying the π-linkage group or changing the terminal group can facilitate screening for optimal structures. Furthermore, systematization of H2O2 generation pathways such as the assignation of energy level diagrams to different links or terminal groups is still lacking and therefore merits investigation. With regard to −N−-linked COPs, light switching from −N− to π* only occurs at an −O− active site. Optimization for −O−, the COP structure exhibiting the highest photocurrent, could be pursued.</w:t>
      </w:r>
    </w:p>
    <w:p w14:paraId="0D9C652C" w14:textId="77777777" w:rsidR="00BE3AA3" w:rsidRDefault="00BE3AA3" w:rsidP="00BE3AA3">
      <w:pPr>
        <w:spacing w:line="240" w:lineRule="auto"/>
        <w:jc w:val="both"/>
        <w:rPr>
          <w:rFonts w:ascii="Times New Roman" w:hAnsi="Times New Roman" w:cs="Times New Roman"/>
          <w:sz w:val="24"/>
        </w:rPr>
      </w:pPr>
      <w:r w:rsidRPr="001C22DE">
        <w:rPr>
          <w:rFonts w:ascii="Times New Roman" w:hAnsi="Times New Roman" w:cs="Times New Roman"/>
          <w:b/>
          <w:bCs/>
          <w:sz w:val="24"/>
        </w:rPr>
        <w:t>Table 2:</w:t>
      </w:r>
      <w:r w:rsidRPr="001C22DE">
        <w:rPr>
          <w:rFonts w:ascii="Times New Roman" w:hAnsi="Times New Roman" w:cs="Times New Roman"/>
          <w:sz w:val="24"/>
        </w:rPr>
        <w:t xml:space="preserve"> </w:t>
      </w:r>
      <w:r w:rsidRPr="001C22DE">
        <w:rPr>
          <w:rFonts w:ascii="Times New Roman" w:hAnsi="Times New Roman" w:cs="Times New Roman"/>
          <w:i/>
          <w:iCs/>
          <w:sz w:val="24"/>
        </w:rPr>
        <w:t>Synthesis Strategies for COP Nanostructures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86"/>
        <w:gridCol w:w="3233"/>
        <w:gridCol w:w="2911"/>
      </w:tblGrid>
      <w:tr w:rsidR="00BE3AA3" w:rsidRPr="001C22DE" w14:paraId="265DF650" w14:textId="77777777" w:rsidTr="00A666E7">
        <w:trPr>
          <w:tblHeader/>
          <w:tblCellSpacing w:w="15" w:type="dxa"/>
        </w:trPr>
        <w:tc>
          <w:tcPr>
            <w:tcW w:w="0" w:type="auto"/>
            <w:vAlign w:val="center"/>
            <w:hideMark/>
          </w:tcPr>
          <w:p w14:paraId="43E20CDF" w14:textId="77777777" w:rsidR="00BE3AA3" w:rsidRPr="001C22DE"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1C22DE">
              <w:rPr>
                <w:rFonts w:ascii="Times New Roman" w:eastAsia="Times New Roman" w:hAnsi="Times New Roman" w:cs="Times New Roman"/>
                <w:b/>
                <w:bCs/>
                <w:sz w:val="24"/>
                <w:szCs w:val="24"/>
                <w:lang w:val="en-PK" w:eastAsia="en-PK"/>
              </w:rPr>
              <w:t>Synthesis Method</w:t>
            </w:r>
          </w:p>
        </w:tc>
        <w:tc>
          <w:tcPr>
            <w:tcW w:w="0" w:type="auto"/>
            <w:vAlign w:val="center"/>
            <w:hideMark/>
          </w:tcPr>
          <w:p w14:paraId="52149037" w14:textId="77777777" w:rsidR="00BE3AA3" w:rsidRPr="001C22DE"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1C22DE">
              <w:rPr>
                <w:rFonts w:ascii="Times New Roman" w:eastAsia="Times New Roman" w:hAnsi="Times New Roman" w:cs="Times New Roman"/>
                <w:b/>
                <w:bCs/>
                <w:sz w:val="24"/>
                <w:szCs w:val="24"/>
                <w:lang w:val="en-PK" w:eastAsia="en-PK"/>
              </w:rPr>
              <w:t>Description</w:t>
            </w:r>
          </w:p>
        </w:tc>
        <w:tc>
          <w:tcPr>
            <w:tcW w:w="0" w:type="auto"/>
            <w:vAlign w:val="center"/>
            <w:hideMark/>
          </w:tcPr>
          <w:p w14:paraId="79ED7993" w14:textId="77777777" w:rsidR="00BE3AA3" w:rsidRPr="001C22DE"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1C22DE">
              <w:rPr>
                <w:rFonts w:ascii="Times New Roman" w:eastAsia="Times New Roman" w:hAnsi="Times New Roman" w:cs="Times New Roman"/>
                <w:b/>
                <w:bCs/>
                <w:sz w:val="24"/>
                <w:szCs w:val="24"/>
                <w:lang w:val="en-PK" w:eastAsia="en-PK"/>
              </w:rPr>
              <w:t>Key Benefits</w:t>
            </w:r>
          </w:p>
        </w:tc>
      </w:tr>
      <w:tr w:rsidR="00BE3AA3" w:rsidRPr="001C22DE" w14:paraId="031D4B31" w14:textId="77777777" w:rsidTr="00A666E7">
        <w:trPr>
          <w:tblCellSpacing w:w="15" w:type="dxa"/>
        </w:trPr>
        <w:tc>
          <w:tcPr>
            <w:tcW w:w="0" w:type="auto"/>
            <w:vAlign w:val="center"/>
            <w:hideMark/>
          </w:tcPr>
          <w:p w14:paraId="7DBF22EA"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One-Dimensional Nanofibers</w:t>
            </w:r>
          </w:p>
        </w:tc>
        <w:tc>
          <w:tcPr>
            <w:tcW w:w="0" w:type="auto"/>
            <w:vAlign w:val="center"/>
            <w:hideMark/>
          </w:tcPr>
          <w:p w14:paraId="28AB72A1"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Polymerization of functionalized monomers to form nanofibers</w:t>
            </w:r>
          </w:p>
        </w:tc>
        <w:tc>
          <w:tcPr>
            <w:tcW w:w="0" w:type="auto"/>
            <w:vAlign w:val="center"/>
            <w:hideMark/>
          </w:tcPr>
          <w:p w14:paraId="54595BA2"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Enhanced charge carrier transport and visible-light absorption</w:t>
            </w:r>
          </w:p>
        </w:tc>
      </w:tr>
      <w:tr w:rsidR="00BE3AA3" w:rsidRPr="001C22DE" w14:paraId="53FFAE12" w14:textId="77777777" w:rsidTr="00A666E7">
        <w:trPr>
          <w:tblCellSpacing w:w="15" w:type="dxa"/>
        </w:trPr>
        <w:tc>
          <w:tcPr>
            <w:tcW w:w="0" w:type="auto"/>
            <w:vAlign w:val="center"/>
            <w:hideMark/>
          </w:tcPr>
          <w:p w14:paraId="15DA5B83"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Two-Dimensional Decorator Strategy</w:t>
            </w:r>
          </w:p>
        </w:tc>
        <w:tc>
          <w:tcPr>
            <w:tcW w:w="0" w:type="auto"/>
            <w:vAlign w:val="center"/>
            <w:hideMark/>
          </w:tcPr>
          <w:p w14:paraId="74F579B8"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Functional domains on preformed polymers</w:t>
            </w:r>
          </w:p>
        </w:tc>
        <w:tc>
          <w:tcPr>
            <w:tcW w:w="0" w:type="auto"/>
            <w:vAlign w:val="center"/>
            <w:hideMark/>
          </w:tcPr>
          <w:p w14:paraId="084B837B"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Tailored properties for dual-function systems</w:t>
            </w:r>
          </w:p>
        </w:tc>
      </w:tr>
      <w:tr w:rsidR="00BE3AA3" w:rsidRPr="001C22DE" w14:paraId="543D758F" w14:textId="77777777" w:rsidTr="00A666E7">
        <w:trPr>
          <w:tblCellSpacing w:w="15" w:type="dxa"/>
        </w:trPr>
        <w:tc>
          <w:tcPr>
            <w:tcW w:w="0" w:type="auto"/>
            <w:vAlign w:val="center"/>
            <w:hideMark/>
          </w:tcPr>
          <w:p w14:paraId="12C5BEB6"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Post-synthesis Functionalization</w:t>
            </w:r>
          </w:p>
        </w:tc>
        <w:tc>
          <w:tcPr>
            <w:tcW w:w="0" w:type="auto"/>
            <w:vAlign w:val="center"/>
            <w:hideMark/>
          </w:tcPr>
          <w:p w14:paraId="4731FB3F"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Addition of functional groups after synthesis</w:t>
            </w:r>
          </w:p>
        </w:tc>
        <w:tc>
          <w:tcPr>
            <w:tcW w:w="0" w:type="auto"/>
            <w:vAlign w:val="center"/>
            <w:hideMark/>
          </w:tcPr>
          <w:p w14:paraId="63808364"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Tunable porosity and catalytic efficiency</w:t>
            </w:r>
          </w:p>
        </w:tc>
      </w:tr>
    </w:tbl>
    <w:p w14:paraId="54D3CDCF" w14:textId="77777777" w:rsidR="00BE3AA3" w:rsidRPr="009F51D6" w:rsidRDefault="00BE3AA3" w:rsidP="00BE3AA3">
      <w:pPr>
        <w:spacing w:line="240" w:lineRule="auto"/>
        <w:jc w:val="both"/>
        <w:rPr>
          <w:rFonts w:ascii="Times New Roman" w:hAnsi="Times New Roman" w:cs="Times New Roman"/>
        </w:rPr>
      </w:pPr>
    </w:p>
    <w:p w14:paraId="5C8B5663" w14:textId="77777777" w:rsidR="00BE3AA3" w:rsidRPr="009F51D6" w:rsidRDefault="00BE3AA3" w:rsidP="00BE3AA3">
      <w:pPr>
        <w:pStyle w:val="Heading2"/>
        <w:spacing w:before="0" w:line="240" w:lineRule="auto"/>
        <w:jc w:val="both"/>
        <w:rPr>
          <w:rFonts w:ascii="Times New Roman" w:hAnsi="Times New Roman" w:cs="Times New Roman"/>
        </w:rPr>
      </w:pPr>
      <w:r w:rsidRPr="009F51D6">
        <w:rPr>
          <w:rFonts w:ascii="Times New Roman" w:hAnsi="Times New Roman" w:cs="Times New Roman"/>
          <w:sz w:val="36"/>
        </w:rPr>
        <w:lastRenderedPageBreak/>
        <w:t>3. Visible-Light-Driven Photocatalysis in COPs</w:t>
      </w:r>
    </w:p>
    <w:p w14:paraId="687E0C26"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Recently, covalent organic polymers (COPs) have emerged as promising metal-free photocatalysts for visible-light-driven photocatalytic water remediation. The bandgap of COPs has been adjusted through structural engineering to enable the generation of fitness redox potentials for organic pollutant degradation in aqueous solutions under visible Light irradiation. Additionally, owing to the intrinsic porous structure brought about by the covalent linkages and the construction of nanostructured COPs, exciton diffusion to the catalytic sites is facilitated, as is the transfer of redox species in both the bulk and under attainable-light-density irradiation conditions. COPs that fully integrate visible-light harvesting and redox activity have been synthesized, enabling the first instance of visible-light-driven photocatalytic water remediation without metal additives </w:t>
      </w:r>
      <w:r w:rsidRPr="009F51D6">
        <w:rPr>
          <w:rFonts w:ascii="Times New Roman" w:hAnsi="Times New Roman" w:cs="Times New Roman"/>
          <w:color w:val="000000"/>
          <w:sz w:val="24"/>
        </w:rPr>
        <w:t>(Ghosh et al., 2015)</w:t>
      </w:r>
      <w:r w:rsidRPr="009F51D6">
        <w:rPr>
          <w:rFonts w:ascii="Times New Roman" w:hAnsi="Times New Roman" w:cs="Times New Roman"/>
          <w:sz w:val="24"/>
        </w:rPr>
        <w:t xml:space="preserve">. Visible-light-harvesting COPs with tailored band structures have been conceived to extend the functional reach to further redox activity in gas-phase CO2-associated photocatalytic transformation and tackle the problem of water-affluent contamination concurrently. The simultaneous transformation of water, waste gas, and waste liquid into valuable chemicals under visible-light irradiation with metal-free, covalently linked polymer frameworks is thus feasible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w:t>
      </w:r>
    </w:p>
    <w:p w14:paraId="46A4F521"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Covalent linkages confer diversified structures and redox activity to COPs, while rationalized structural design connects visible-light absorption, charge separation, and catalytic active sites. These design principles that underpin enabling visible-light-driven, dual-functional COP nanostructures for water remediation, concurrent CO2 fixation, and the targeted generation of solar fuels, such as methanol and formaldehyde from CO2, form the basis of what follows.</w:t>
      </w:r>
    </w:p>
    <w:p w14:paraId="415CDF56" w14:textId="77777777" w:rsidR="00BE3AA3" w:rsidRDefault="00BE3AA3" w:rsidP="00BE3AA3">
      <w:pPr>
        <w:spacing w:line="240" w:lineRule="auto"/>
        <w:jc w:val="both"/>
        <w:rPr>
          <w:rFonts w:ascii="Times New Roman" w:hAnsi="Times New Roman" w:cs="Times New Roman"/>
          <w:sz w:val="24"/>
        </w:rPr>
      </w:pPr>
      <w:r w:rsidRPr="001C22DE">
        <w:rPr>
          <w:rFonts w:ascii="Times New Roman" w:hAnsi="Times New Roman" w:cs="Times New Roman"/>
          <w:b/>
          <w:bCs/>
          <w:sz w:val="24"/>
        </w:rPr>
        <w:t>Table 3:</w:t>
      </w:r>
      <w:r w:rsidRPr="001C22DE">
        <w:rPr>
          <w:rFonts w:ascii="Times New Roman" w:hAnsi="Times New Roman" w:cs="Times New Roman"/>
          <w:sz w:val="24"/>
        </w:rPr>
        <w:t xml:space="preserve"> </w:t>
      </w:r>
      <w:r w:rsidRPr="001C22DE">
        <w:rPr>
          <w:rFonts w:ascii="Times New Roman" w:hAnsi="Times New Roman" w:cs="Times New Roman"/>
          <w:i/>
          <w:iCs/>
          <w:sz w:val="24"/>
        </w:rPr>
        <w:t>Performance Metrics for Visible-Light-Driven Water Remediation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2"/>
        <w:gridCol w:w="2494"/>
        <w:gridCol w:w="2347"/>
        <w:gridCol w:w="1767"/>
      </w:tblGrid>
      <w:tr w:rsidR="00BE3AA3" w:rsidRPr="001C22DE" w14:paraId="6D73D329" w14:textId="77777777" w:rsidTr="00A666E7">
        <w:trPr>
          <w:tblHeader/>
          <w:tblCellSpacing w:w="15" w:type="dxa"/>
        </w:trPr>
        <w:tc>
          <w:tcPr>
            <w:tcW w:w="0" w:type="auto"/>
            <w:vAlign w:val="center"/>
            <w:hideMark/>
          </w:tcPr>
          <w:p w14:paraId="22F0B2BF" w14:textId="77777777" w:rsidR="00BE3AA3" w:rsidRPr="001C22DE"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1C22DE">
              <w:rPr>
                <w:rFonts w:ascii="Times New Roman" w:eastAsia="Times New Roman" w:hAnsi="Times New Roman" w:cs="Times New Roman"/>
                <w:b/>
                <w:bCs/>
                <w:sz w:val="24"/>
                <w:szCs w:val="24"/>
                <w:lang w:val="en-PK" w:eastAsia="en-PK"/>
              </w:rPr>
              <w:t>Contaminant</w:t>
            </w:r>
          </w:p>
        </w:tc>
        <w:tc>
          <w:tcPr>
            <w:tcW w:w="0" w:type="auto"/>
            <w:vAlign w:val="center"/>
            <w:hideMark/>
          </w:tcPr>
          <w:p w14:paraId="07060E53" w14:textId="77777777" w:rsidR="00BE3AA3" w:rsidRPr="001C22DE"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1C22DE">
              <w:rPr>
                <w:rFonts w:ascii="Times New Roman" w:eastAsia="Times New Roman" w:hAnsi="Times New Roman" w:cs="Times New Roman"/>
                <w:b/>
                <w:bCs/>
                <w:sz w:val="24"/>
                <w:szCs w:val="24"/>
                <w:lang w:val="en-PK" w:eastAsia="en-PK"/>
              </w:rPr>
              <w:t>Degradation Efficiency (%)</w:t>
            </w:r>
          </w:p>
        </w:tc>
        <w:tc>
          <w:tcPr>
            <w:tcW w:w="0" w:type="auto"/>
            <w:vAlign w:val="center"/>
            <w:hideMark/>
          </w:tcPr>
          <w:p w14:paraId="0E603DD4" w14:textId="77777777" w:rsidR="00BE3AA3" w:rsidRPr="001C22DE"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1C22DE">
              <w:rPr>
                <w:rFonts w:ascii="Times New Roman" w:eastAsia="Times New Roman" w:hAnsi="Times New Roman" w:cs="Times New Roman"/>
                <w:b/>
                <w:bCs/>
                <w:sz w:val="24"/>
                <w:szCs w:val="24"/>
                <w:lang w:val="en-PK" w:eastAsia="en-PK"/>
              </w:rPr>
              <w:t>Material Used (COP Type)</w:t>
            </w:r>
          </w:p>
        </w:tc>
        <w:tc>
          <w:tcPr>
            <w:tcW w:w="0" w:type="auto"/>
            <w:vAlign w:val="center"/>
            <w:hideMark/>
          </w:tcPr>
          <w:p w14:paraId="1D309FEC" w14:textId="77777777" w:rsidR="00BE3AA3" w:rsidRPr="001C22DE"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1C22DE">
              <w:rPr>
                <w:rFonts w:ascii="Times New Roman" w:eastAsia="Times New Roman" w:hAnsi="Times New Roman" w:cs="Times New Roman"/>
                <w:b/>
                <w:bCs/>
                <w:sz w:val="24"/>
                <w:szCs w:val="24"/>
                <w:lang w:val="en-PK" w:eastAsia="en-PK"/>
              </w:rPr>
              <w:t>Reference</w:t>
            </w:r>
          </w:p>
        </w:tc>
      </w:tr>
      <w:tr w:rsidR="00BE3AA3" w:rsidRPr="001C22DE" w14:paraId="3E8B6A4F" w14:textId="77777777" w:rsidTr="00A666E7">
        <w:trPr>
          <w:tblCellSpacing w:w="15" w:type="dxa"/>
        </w:trPr>
        <w:tc>
          <w:tcPr>
            <w:tcW w:w="0" w:type="auto"/>
            <w:vAlign w:val="center"/>
            <w:hideMark/>
          </w:tcPr>
          <w:p w14:paraId="0F78AF1A"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Methylene Blue (MB)</w:t>
            </w:r>
          </w:p>
        </w:tc>
        <w:tc>
          <w:tcPr>
            <w:tcW w:w="0" w:type="auto"/>
            <w:vAlign w:val="center"/>
            <w:hideMark/>
          </w:tcPr>
          <w:p w14:paraId="23E23ECE"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85%</w:t>
            </w:r>
          </w:p>
        </w:tc>
        <w:tc>
          <w:tcPr>
            <w:tcW w:w="0" w:type="auto"/>
            <w:vAlign w:val="center"/>
            <w:hideMark/>
          </w:tcPr>
          <w:p w14:paraId="39902DD1"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COP266</w:t>
            </w:r>
          </w:p>
        </w:tc>
        <w:tc>
          <w:tcPr>
            <w:tcW w:w="0" w:type="auto"/>
            <w:vAlign w:val="center"/>
            <w:hideMark/>
          </w:tcPr>
          <w:p w14:paraId="6B3A819E"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Wang et al., 2024</w:t>
            </w:r>
          </w:p>
        </w:tc>
      </w:tr>
      <w:tr w:rsidR="00BE3AA3" w:rsidRPr="001C22DE" w14:paraId="28D5B8E7" w14:textId="77777777" w:rsidTr="00A666E7">
        <w:trPr>
          <w:tblCellSpacing w:w="15" w:type="dxa"/>
        </w:trPr>
        <w:tc>
          <w:tcPr>
            <w:tcW w:w="0" w:type="auto"/>
            <w:vAlign w:val="center"/>
            <w:hideMark/>
          </w:tcPr>
          <w:p w14:paraId="057A1F5C"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Rhodamine B (RhB)</w:t>
            </w:r>
          </w:p>
        </w:tc>
        <w:tc>
          <w:tcPr>
            <w:tcW w:w="0" w:type="auto"/>
            <w:vAlign w:val="center"/>
            <w:hideMark/>
          </w:tcPr>
          <w:p w14:paraId="3911CAEA"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92%</w:t>
            </w:r>
          </w:p>
        </w:tc>
        <w:tc>
          <w:tcPr>
            <w:tcW w:w="0" w:type="auto"/>
            <w:vAlign w:val="center"/>
            <w:hideMark/>
          </w:tcPr>
          <w:p w14:paraId="7AA23936"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COP300</w:t>
            </w:r>
          </w:p>
        </w:tc>
        <w:tc>
          <w:tcPr>
            <w:tcW w:w="0" w:type="auto"/>
            <w:vAlign w:val="center"/>
            <w:hideMark/>
          </w:tcPr>
          <w:p w14:paraId="3C79D463"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Liu et al., 2023</w:t>
            </w:r>
          </w:p>
        </w:tc>
      </w:tr>
      <w:tr w:rsidR="00BE3AA3" w:rsidRPr="001C22DE" w14:paraId="5A6C785A" w14:textId="77777777" w:rsidTr="00A666E7">
        <w:trPr>
          <w:tblCellSpacing w:w="15" w:type="dxa"/>
        </w:trPr>
        <w:tc>
          <w:tcPr>
            <w:tcW w:w="0" w:type="auto"/>
            <w:vAlign w:val="center"/>
            <w:hideMark/>
          </w:tcPr>
          <w:p w14:paraId="2A232EB7"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Phenol</w:t>
            </w:r>
          </w:p>
        </w:tc>
        <w:tc>
          <w:tcPr>
            <w:tcW w:w="0" w:type="auto"/>
            <w:vAlign w:val="center"/>
            <w:hideMark/>
          </w:tcPr>
          <w:p w14:paraId="22C3F02F"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78%</w:t>
            </w:r>
          </w:p>
        </w:tc>
        <w:tc>
          <w:tcPr>
            <w:tcW w:w="0" w:type="auto"/>
            <w:vAlign w:val="center"/>
            <w:hideMark/>
          </w:tcPr>
          <w:p w14:paraId="51E1FC69"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COP266</w:t>
            </w:r>
          </w:p>
        </w:tc>
        <w:tc>
          <w:tcPr>
            <w:tcW w:w="0" w:type="auto"/>
            <w:vAlign w:val="center"/>
            <w:hideMark/>
          </w:tcPr>
          <w:p w14:paraId="659D30F8"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Patel &amp; Khan, 2023</w:t>
            </w:r>
          </w:p>
        </w:tc>
      </w:tr>
    </w:tbl>
    <w:p w14:paraId="0E5201DF" w14:textId="77777777" w:rsidR="00BE3AA3" w:rsidRPr="009F51D6" w:rsidRDefault="00BE3AA3" w:rsidP="00BE3AA3">
      <w:pPr>
        <w:spacing w:line="240" w:lineRule="auto"/>
        <w:jc w:val="both"/>
        <w:rPr>
          <w:rFonts w:ascii="Times New Roman" w:hAnsi="Times New Roman" w:cs="Times New Roman"/>
        </w:rPr>
      </w:pPr>
    </w:p>
    <w:p w14:paraId="7B1E6E12"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3.1. Band structure engineering and light harvesting</w:t>
      </w:r>
    </w:p>
    <w:p w14:paraId="5971B33B"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Utilizing modular 1,3,5-triazine monomers linked via amidation enables tailored band structures for candidate covalent organic polymers (COPs) featuring visible-light activity. Bandgap narrowing is achieved through protonation and copolymerization with flexible oxygen-containing linkers. Tailor-made absorbers incorporating long-chain aliphatic segments facilitate visible-light harvesting by extending the optical response into the red region. Surface modification enhances light trapping, effectively increasing the molar absorptivity.</w:t>
      </w:r>
    </w:p>
    <w:p w14:paraId="79F5C0A9"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lastRenderedPageBreak/>
        <w:t>Appropriate band structure engineering ensures the participation of visible light in catalytic processes, and the incorporation of long-chain chiral segments promotes orbital hybridization, reducing the band gap (Eg) and material performance during optical degradation. The deep insights reveal that a high separation efficiency of the photogenerated charge carriers, an effective length of the electron transport chain for rapid interfacial electron transfer, and the rational construction of active sites determine the photodegradation capability under visible-light irradiation.</w:t>
      </w:r>
    </w:p>
    <w:p w14:paraId="63ED189D"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3.2. Charge separation and transport in COPs</w:t>
      </w:r>
    </w:p>
    <w:p w14:paraId="19D63DBE"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Covalent organic polymers (COPs), which constitute a family of emerging porous polymeric materials, offer advantages over metal-based photocatalysts for sustainable photocatalytic applications such as visible-light-driven water remediation and CO2 capture. COPs combine tunable property features with metal-free capability; their covalent structures provide high stability and amenable functionality for chemical modifications </w:t>
      </w:r>
      <w:r w:rsidRPr="009F51D6">
        <w:rPr>
          <w:rFonts w:ascii="Times New Roman" w:hAnsi="Times New Roman" w:cs="Times New Roman"/>
          <w:color w:val="000000"/>
          <w:sz w:val="24"/>
        </w:rPr>
        <w:t>(Krishnaraj et al., 2020)</w:t>
      </w:r>
      <w:r w:rsidRPr="009F51D6">
        <w:rPr>
          <w:rFonts w:ascii="Times New Roman" w:hAnsi="Times New Roman" w:cs="Times New Roman"/>
          <w:sz w:val="24"/>
        </w:rPr>
        <w:t>. The formation of well-defined nanoscale structures further enhances the performance of COP-based photocatalysts by lowering the barrier to charge separation and transport substantially.</w:t>
      </w:r>
    </w:p>
    <w:p w14:paraId="4B0B5B6B"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 xml:space="preserve">The visible-light-driven transformations investigated fall into two distinct but potent categories: the remediation of water contaminated with organic pollutants and the separation or transformation of environmentally pervasive CO2 </w:t>
      </w:r>
      <w:r w:rsidRPr="009F51D6">
        <w:rPr>
          <w:rFonts w:ascii="Times New Roman" w:hAnsi="Times New Roman" w:cs="Times New Roman"/>
          <w:color w:val="000000"/>
          <w:sz w:val="24"/>
        </w:rPr>
        <w:t>(Venkatesh et al., 2022)</w:t>
      </w:r>
      <w:r w:rsidRPr="009F51D6">
        <w:rPr>
          <w:rFonts w:ascii="Times New Roman" w:hAnsi="Times New Roman" w:cs="Times New Roman"/>
          <w:sz w:val="24"/>
        </w:rPr>
        <w:t>. Nanostructured COP photocatalysts effect the former, whereas COP nanostructures capture CO2 and promote its catalytic reduction through either formic acid or methanol to provide high solar-to-chemical conversions. Such combinations of water processing and CO2 mitigation recycle rich carbon sources while alleviating the environmental burden of excess CO2, thus consolidating the broad-spectrum, metal-free applicability of COPs and full usage of the visible solar spectrum for the: Second observation: It can well-serve to other problems.</w:t>
      </w:r>
    </w:p>
    <w:p w14:paraId="0DBEF6F5" w14:textId="77777777" w:rsidR="00BE3AA3" w:rsidRPr="00AF63C2"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b/>
          <w:bCs/>
          <w:sz w:val="24"/>
          <w:szCs w:val="24"/>
          <w:highlight w:val="yellow"/>
          <w:lang w:val="en-PK" w:eastAsia="en-PK"/>
        </w:rPr>
        <w:t>Figure 4:</w:t>
      </w:r>
      <w:r w:rsidRPr="00AF63C2">
        <w:rPr>
          <w:rFonts w:ascii="Times New Roman" w:eastAsia="Times New Roman" w:hAnsi="Times New Roman" w:cs="Times New Roman"/>
          <w:sz w:val="24"/>
          <w:szCs w:val="24"/>
          <w:highlight w:val="yellow"/>
          <w:lang w:val="en-PK" w:eastAsia="en-PK"/>
        </w:rPr>
        <w:t xml:space="preserve"> </w:t>
      </w:r>
      <w:r w:rsidRPr="00AF63C2">
        <w:rPr>
          <w:rFonts w:ascii="Times New Roman" w:eastAsia="Times New Roman" w:hAnsi="Times New Roman" w:cs="Times New Roman"/>
          <w:i/>
          <w:iCs/>
          <w:sz w:val="24"/>
          <w:szCs w:val="24"/>
          <w:highlight w:val="yellow"/>
          <w:lang w:val="en-PK" w:eastAsia="en-PK"/>
        </w:rPr>
        <w:t>Energy Band Diagram of COPs for Visible-Light Photocatalysis</w:t>
      </w:r>
    </w:p>
    <w:p w14:paraId="7214DBBC" w14:textId="77777777" w:rsidR="00BE3AA3" w:rsidRPr="00AF63C2" w:rsidRDefault="00BE3AA3" w:rsidP="00BE3AA3">
      <w:pPr>
        <w:numPr>
          <w:ilvl w:val="0"/>
          <w:numId w:val="5"/>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sz w:val="24"/>
          <w:szCs w:val="24"/>
          <w:highlight w:val="yellow"/>
          <w:lang w:val="en-PK" w:eastAsia="en-PK"/>
        </w:rPr>
        <w:t>A graph illustrating the energy levels of COPs, including the conduction band, valence band, and bandgap, demonstrating how visible light excitation drives photocatalysis in COPs.</w:t>
      </w:r>
    </w:p>
    <w:p w14:paraId="253EA71F" w14:textId="77777777" w:rsidR="00BE3AA3" w:rsidRPr="009F51D6" w:rsidRDefault="00BE3AA3" w:rsidP="00BE3AA3">
      <w:pPr>
        <w:spacing w:line="240" w:lineRule="auto"/>
        <w:jc w:val="both"/>
        <w:rPr>
          <w:rFonts w:ascii="Times New Roman" w:hAnsi="Times New Roman" w:cs="Times New Roman"/>
        </w:rPr>
      </w:pPr>
    </w:p>
    <w:p w14:paraId="6F9E126C"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3.3. Active sites and reaction pathways for water remediation</w:t>
      </w:r>
    </w:p>
    <w:p w14:paraId="1E35A1FD"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Pollution of water resources is a pressing global problem. Electrochemical and adsorption-based methods have been developed to selectively remove contaminants such as heavy metals </w:t>
      </w:r>
      <w:r w:rsidRPr="009F51D6">
        <w:rPr>
          <w:rFonts w:ascii="Times New Roman" w:hAnsi="Times New Roman" w:cs="Times New Roman"/>
          <w:color w:val="000000"/>
          <w:sz w:val="24"/>
        </w:rPr>
        <w:t>(Ghosh et al., 2015)</w:t>
      </w:r>
      <w:r w:rsidRPr="009F51D6">
        <w:rPr>
          <w:rFonts w:ascii="Times New Roman" w:hAnsi="Times New Roman" w:cs="Times New Roman"/>
          <w:sz w:val="24"/>
        </w:rPr>
        <w:t xml:space="preserve"> and persistent organic pollutants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 xml:space="preserve"> , but these approaches are limited by their high energy consumption, secondary pollution, and material waste. Accordingly, a highly efficient, low-cost, and metal-free photocatalytic process has gained enormous attention for water remediation. The COP nanostructures exhibit an effective photocatalytic activity under visible-light irradiation via a redox process to degrade organic contaminants. Many design choices </w:t>
      </w:r>
      <w:r w:rsidRPr="009F51D6">
        <w:rPr>
          <w:rFonts w:ascii="Times New Roman" w:hAnsi="Times New Roman" w:cs="Times New Roman"/>
          <w:sz w:val="24"/>
        </w:rPr>
        <w:lastRenderedPageBreak/>
        <w:t>further facilitate such wastewater treatment and combine it with simultaneous CO₂ capture under visible-light irradiation.</w:t>
      </w:r>
    </w:p>
    <w:p w14:paraId="0A9417FE"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 xml:space="preserve">Active sites and reaction pathways are critical to identifying visible-light-driven water remediation characteristics; these pathways are elucidated by monitoring the degradation of targeted contaminants. The degradation processes of several organic dyes, phenolic substances, and other pollutants are well characterized. For example, methylene blue (MB) degradation involves hydrogen peroxide (H₂O₂) adsorption on C═O, with subsequent MB adsorption on the COP active site markers. For phenolic contaminants, the aromatic structure is oxidized; after the alkyl-substituted hydroxyl group undergoes removal, subsequent ring-opening reactions occur </w:t>
      </w:r>
      <w:r w:rsidRPr="009F51D6">
        <w:rPr>
          <w:rFonts w:ascii="Times New Roman" w:hAnsi="Times New Roman" w:cs="Times New Roman"/>
          <w:color w:val="000000"/>
          <w:sz w:val="24"/>
        </w:rPr>
        <w:t>(Bakhtian et al., 2022)</w:t>
      </w:r>
      <w:r w:rsidRPr="009F51D6">
        <w:rPr>
          <w:rFonts w:ascii="Times New Roman" w:hAnsi="Times New Roman" w:cs="Times New Roman"/>
          <w:sz w:val="24"/>
        </w:rPr>
        <w:t>.</w:t>
      </w:r>
    </w:p>
    <w:p w14:paraId="6E691DC6" w14:textId="77777777" w:rsidR="00BE3AA3" w:rsidRPr="00AF63C2"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b/>
          <w:bCs/>
          <w:sz w:val="24"/>
          <w:szCs w:val="24"/>
          <w:highlight w:val="yellow"/>
          <w:lang w:val="en-PK" w:eastAsia="en-PK"/>
        </w:rPr>
        <w:t>Figure 5:</w:t>
      </w:r>
      <w:r w:rsidRPr="00AF63C2">
        <w:rPr>
          <w:rFonts w:ascii="Times New Roman" w:eastAsia="Times New Roman" w:hAnsi="Times New Roman" w:cs="Times New Roman"/>
          <w:sz w:val="24"/>
          <w:szCs w:val="24"/>
          <w:highlight w:val="yellow"/>
          <w:lang w:val="en-PK" w:eastAsia="en-PK"/>
        </w:rPr>
        <w:t xml:space="preserve"> </w:t>
      </w:r>
      <w:r w:rsidRPr="00AF63C2">
        <w:rPr>
          <w:rFonts w:ascii="Times New Roman" w:eastAsia="Times New Roman" w:hAnsi="Times New Roman" w:cs="Times New Roman"/>
          <w:i/>
          <w:iCs/>
          <w:sz w:val="24"/>
          <w:szCs w:val="24"/>
          <w:highlight w:val="yellow"/>
          <w:lang w:val="en-PK" w:eastAsia="en-PK"/>
        </w:rPr>
        <w:t>Mechanism of Visible-Light Photocatalysis in COPs for Water Remediation</w:t>
      </w:r>
    </w:p>
    <w:p w14:paraId="51A81F1A" w14:textId="77777777" w:rsidR="00BE3AA3" w:rsidRPr="00AF63C2" w:rsidRDefault="00BE3AA3" w:rsidP="00BE3AA3">
      <w:pPr>
        <w:numPr>
          <w:ilvl w:val="0"/>
          <w:numId w:val="6"/>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sz w:val="24"/>
          <w:szCs w:val="24"/>
          <w:highlight w:val="yellow"/>
          <w:lang w:val="en-PK" w:eastAsia="en-PK"/>
        </w:rPr>
        <w:t>A step-by-step diagram showing the process of pollutant degradation in water using COPs under visible light, including light absorption, charge separation, and reaction with organic contaminants.</w:t>
      </w:r>
    </w:p>
    <w:p w14:paraId="39BE111F" w14:textId="77777777" w:rsidR="00BE3AA3" w:rsidRPr="00214C29" w:rsidRDefault="00BE3AA3" w:rsidP="00BE3AA3">
      <w:pPr>
        <w:spacing w:line="240" w:lineRule="auto"/>
        <w:jc w:val="both"/>
        <w:rPr>
          <w:rFonts w:ascii="Times New Roman" w:hAnsi="Times New Roman" w:cs="Times New Roman"/>
          <w:sz w:val="24"/>
        </w:rPr>
      </w:pPr>
    </w:p>
    <w:p w14:paraId="4BA3A296" w14:textId="77777777" w:rsidR="00BE3AA3" w:rsidRDefault="00BE3AA3" w:rsidP="00BE3AA3">
      <w:pPr>
        <w:spacing w:line="240" w:lineRule="auto"/>
        <w:jc w:val="both"/>
        <w:rPr>
          <w:rFonts w:ascii="Times New Roman" w:hAnsi="Times New Roman" w:cs="Times New Roman"/>
          <w:sz w:val="24"/>
        </w:rPr>
      </w:pPr>
      <w:r w:rsidRPr="00CB66A5">
        <w:rPr>
          <w:rFonts w:ascii="Times New Roman" w:hAnsi="Times New Roman" w:cs="Times New Roman"/>
          <w:b/>
          <w:bCs/>
          <w:sz w:val="24"/>
        </w:rPr>
        <w:t>Table 4:</w:t>
      </w:r>
      <w:r w:rsidRPr="00CB66A5">
        <w:rPr>
          <w:rFonts w:ascii="Times New Roman" w:hAnsi="Times New Roman" w:cs="Times New Roman"/>
          <w:sz w:val="24"/>
        </w:rPr>
        <w:t xml:space="preserve"> </w:t>
      </w:r>
      <w:r w:rsidRPr="00CB66A5">
        <w:rPr>
          <w:rFonts w:ascii="Times New Roman" w:hAnsi="Times New Roman" w:cs="Times New Roman"/>
          <w:i/>
          <w:iCs/>
          <w:sz w:val="24"/>
        </w:rPr>
        <w:t>Bandgap and Light-Harvesting Capabilities of COPs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82"/>
        <w:gridCol w:w="1501"/>
        <w:gridCol w:w="3341"/>
        <w:gridCol w:w="1582"/>
      </w:tblGrid>
      <w:tr w:rsidR="00BE3AA3" w:rsidRPr="001C22DE" w14:paraId="3F362FF5" w14:textId="77777777" w:rsidTr="00A666E7">
        <w:trPr>
          <w:tblHeader/>
          <w:tblCellSpacing w:w="15" w:type="dxa"/>
        </w:trPr>
        <w:tc>
          <w:tcPr>
            <w:tcW w:w="0" w:type="auto"/>
            <w:vAlign w:val="center"/>
            <w:hideMark/>
          </w:tcPr>
          <w:p w14:paraId="5FA1238A" w14:textId="77777777" w:rsidR="00BE3AA3" w:rsidRPr="001C22DE"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1C22DE">
              <w:rPr>
                <w:rFonts w:ascii="Times New Roman" w:eastAsia="Times New Roman" w:hAnsi="Times New Roman" w:cs="Times New Roman"/>
                <w:b/>
                <w:bCs/>
                <w:sz w:val="24"/>
                <w:szCs w:val="24"/>
                <w:lang w:val="en-PK" w:eastAsia="en-PK"/>
              </w:rPr>
              <w:t>COP Type</w:t>
            </w:r>
          </w:p>
        </w:tc>
        <w:tc>
          <w:tcPr>
            <w:tcW w:w="0" w:type="auto"/>
            <w:vAlign w:val="center"/>
            <w:hideMark/>
          </w:tcPr>
          <w:p w14:paraId="43DD572C" w14:textId="77777777" w:rsidR="00BE3AA3" w:rsidRPr="001C22DE"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1C22DE">
              <w:rPr>
                <w:rFonts w:ascii="Times New Roman" w:eastAsia="Times New Roman" w:hAnsi="Times New Roman" w:cs="Times New Roman"/>
                <w:b/>
                <w:bCs/>
                <w:sz w:val="24"/>
                <w:szCs w:val="24"/>
                <w:lang w:val="en-PK" w:eastAsia="en-PK"/>
              </w:rPr>
              <w:t>Bandgap (eV)</w:t>
            </w:r>
          </w:p>
        </w:tc>
        <w:tc>
          <w:tcPr>
            <w:tcW w:w="0" w:type="auto"/>
            <w:vAlign w:val="center"/>
            <w:hideMark/>
          </w:tcPr>
          <w:p w14:paraId="1D661E5C" w14:textId="77777777" w:rsidR="00BE3AA3" w:rsidRPr="001C22DE"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1C22DE">
              <w:rPr>
                <w:rFonts w:ascii="Times New Roman" w:eastAsia="Times New Roman" w:hAnsi="Times New Roman" w:cs="Times New Roman"/>
                <w:b/>
                <w:bCs/>
                <w:sz w:val="24"/>
                <w:szCs w:val="24"/>
                <w:lang w:val="en-PK" w:eastAsia="en-PK"/>
              </w:rPr>
              <w:t>Visible Light Absorption Range</w:t>
            </w:r>
          </w:p>
        </w:tc>
        <w:tc>
          <w:tcPr>
            <w:tcW w:w="0" w:type="auto"/>
            <w:vAlign w:val="center"/>
            <w:hideMark/>
          </w:tcPr>
          <w:p w14:paraId="71A76E0F" w14:textId="77777777" w:rsidR="00BE3AA3" w:rsidRPr="001C22DE"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1C22DE">
              <w:rPr>
                <w:rFonts w:ascii="Times New Roman" w:eastAsia="Times New Roman" w:hAnsi="Times New Roman" w:cs="Times New Roman"/>
                <w:b/>
                <w:bCs/>
                <w:sz w:val="24"/>
                <w:szCs w:val="24"/>
                <w:lang w:val="en-PK" w:eastAsia="en-PK"/>
              </w:rPr>
              <w:t>Efficiency (%)</w:t>
            </w:r>
          </w:p>
        </w:tc>
      </w:tr>
      <w:tr w:rsidR="00BE3AA3" w:rsidRPr="001C22DE" w14:paraId="18B93F18" w14:textId="77777777" w:rsidTr="00A666E7">
        <w:trPr>
          <w:tblCellSpacing w:w="15" w:type="dxa"/>
        </w:trPr>
        <w:tc>
          <w:tcPr>
            <w:tcW w:w="0" w:type="auto"/>
            <w:vAlign w:val="center"/>
            <w:hideMark/>
          </w:tcPr>
          <w:p w14:paraId="1CDAA33F"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COP266</w:t>
            </w:r>
          </w:p>
        </w:tc>
        <w:tc>
          <w:tcPr>
            <w:tcW w:w="0" w:type="auto"/>
            <w:vAlign w:val="center"/>
            <w:hideMark/>
          </w:tcPr>
          <w:p w14:paraId="0AB5682E"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1.72</w:t>
            </w:r>
          </w:p>
        </w:tc>
        <w:tc>
          <w:tcPr>
            <w:tcW w:w="0" w:type="auto"/>
            <w:vAlign w:val="center"/>
            <w:hideMark/>
          </w:tcPr>
          <w:p w14:paraId="6C6A5A57"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400-700 nm</w:t>
            </w:r>
          </w:p>
        </w:tc>
        <w:tc>
          <w:tcPr>
            <w:tcW w:w="0" w:type="auto"/>
            <w:vAlign w:val="center"/>
            <w:hideMark/>
          </w:tcPr>
          <w:p w14:paraId="4718AD32"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90%</w:t>
            </w:r>
          </w:p>
        </w:tc>
      </w:tr>
      <w:tr w:rsidR="00BE3AA3" w:rsidRPr="001C22DE" w14:paraId="7B923157" w14:textId="77777777" w:rsidTr="00A666E7">
        <w:trPr>
          <w:tblCellSpacing w:w="15" w:type="dxa"/>
        </w:trPr>
        <w:tc>
          <w:tcPr>
            <w:tcW w:w="0" w:type="auto"/>
            <w:vAlign w:val="center"/>
            <w:hideMark/>
          </w:tcPr>
          <w:p w14:paraId="15B62CBA"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COP300</w:t>
            </w:r>
          </w:p>
        </w:tc>
        <w:tc>
          <w:tcPr>
            <w:tcW w:w="0" w:type="auto"/>
            <w:vAlign w:val="center"/>
            <w:hideMark/>
          </w:tcPr>
          <w:p w14:paraId="08DE871B"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1.95</w:t>
            </w:r>
          </w:p>
        </w:tc>
        <w:tc>
          <w:tcPr>
            <w:tcW w:w="0" w:type="auto"/>
            <w:vAlign w:val="center"/>
            <w:hideMark/>
          </w:tcPr>
          <w:p w14:paraId="5BF1DEBD"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450-750 nm</w:t>
            </w:r>
          </w:p>
        </w:tc>
        <w:tc>
          <w:tcPr>
            <w:tcW w:w="0" w:type="auto"/>
            <w:vAlign w:val="center"/>
            <w:hideMark/>
          </w:tcPr>
          <w:p w14:paraId="68FAE0E2" w14:textId="77777777" w:rsidR="00BE3AA3" w:rsidRPr="001C22DE" w:rsidRDefault="00BE3AA3" w:rsidP="00A666E7">
            <w:pPr>
              <w:spacing w:after="0" w:line="240" w:lineRule="auto"/>
              <w:rPr>
                <w:rFonts w:ascii="Times New Roman" w:eastAsia="Times New Roman" w:hAnsi="Times New Roman" w:cs="Times New Roman"/>
                <w:sz w:val="24"/>
                <w:szCs w:val="24"/>
                <w:lang w:val="en-PK" w:eastAsia="en-PK"/>
              </w:rPr>
            </w:pPr>
            <w:r w:rsidRPr="001C22DE">
              <w:rPr>
                <w:rFonts w:ascii="Times New Roman" w:eastAsia="Times New Roman" w:hAnsi="Times New Roman" w:cs="Times New Roman"/>
                <w:sz w:val="24"/>
                <w:szCs w:val="24"/>
                <w:lang w:val="en-PK" w:eastAsia="en-PK"/>
              </w:rPr>
              <w:t>87%</w:t>
            </w:r>
          </w:p>
        </w:tc>
      </w:tr>
    </w:tbl>
    <w:p w14:paraId="327BBE62" w14:textId="77777777" w:rsidR="00BE3AA3" w:rsidRPr="009F51D6" w:rsidRDefault="00BE3AA3" w:rsidP="00BE3AA3">
      <w:pPr>
        <w:spacing w:line="240" w:lineRule="auto"/>
        <w:jc w:val="both"/>
        <w:rPr>
          <w:rFonts w:ascii="Times New Roman" w:hAnsi="Times New Roman" w:cs="Times New Roman"/>
        </w:rPr>
      </w:pPr>
    </w:p>
    <w:p w14:paraId="50437F1B" w14:textId="77777777" w:rsidR="00BE3AA3" w:rsidRPr="009F51D6" w:rsidRDefault="00BE3AA3" w:rsidP="00BE3AA3">
      <w:pPr>
        <w:pStyle w:val="Heading2"/>
        <w:spacing w:before="0" w:line="240" w:lineRule="auto"/>
        <w:rPr>
          <w:rFonts w:ascii="Times New Roman" w:hAnsi="Times New Roman" w:cs="Times New Roman"/>
        </w:rPr>
      </w:pPr>
      <w:r w:rsidRPr="009F51D6">
        <w:rPr>
          <w:rFonts w:ascii="Times New Roman" w:hAnsi="Times New Roman" w:cs="Times New Roman"/>
          <w:sz w:val="36"/>
        </w:rPr>
        <w:t>4. CO₂ Capture and Conversion with COP Nanostructures</w:t>
      </w:r>
    </w:p>
    <w:p w14:paraId="48700FEA"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Covalent organic polymers (COPs) also act as versatile platforms for CO₂ capture, enabling dual-function water remediation and CO₂ mitigation under visible-light irradiation. Low-energy visible light is absorbed by COPs, and the polymer backbone and end-capped functional groups provide active sites for ammonium-ion removal from wastewater. COP nanostructures can consequently be integrated into systems that pair efficient CO₂ capture and CO₂ reduction with sunlight-driven water remediation.</w:t>
      </w:r>
    </w:p>
    <w:p w14:paraId="0E1F6D6F"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Four different capture mechanisms have been identified for CO₂ control—namely hydrogen-bonding, Lewis acid–base interaction, π–π stacking, and dipole interaction. Following capture, COPs facilitate photoreduction of the CO₂ molecule through readily available pathways leading to hydrocarbons or alcohols as main products. A combination of experimental characterization and theoretical modelling has revealed that PROM and GO–COP systems offer enhanced CO₂ photoreduction performance compared with corresponding bulk materials, a feature attributed to prolonged charge-carrier lifetime, reduced recombination, and lower energy barriers for activation. These insights furthermore extend to CO₂ conversion and retention during simultaneous water remediation, broadening the applicability of COP nanostructures.</w:t>
      </w:r>
    </w:p>
    <w:p w14:paraId="66B6049A" w14:textId="59D3DE46"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lastRenderedPageBreak/>
        <w:t xml:space="preserve">Photocatalytic CO₂ reduction proceeds primarily through a two-electron pathway, intermediates such as hydroxymethyl format or formic acid reported to form at low reaction times. The predominant surface groups responsible for CO₂ conversion within a COP structure depend on composition. For several COPs, carbonyl, imine, and aromatic groups are crucial taking on electrowinning significance in light of competition with water-remediation reactions taking place at neighboring nitrogen sites. Together with charge transfer dynamics and photocatalytic mechanisms for water remediation, these properties demonstrate the multipurpose character of COP nanostructures, achieving visible-light-driven removal of ammonium ions and carbon dioxide while concurrently guiding the implementation of cross-coupling processes for conversion of light into storable chemical energy </w:t>
      </w:r>
      <w:r w:rsidRPr="009F51D6">
        <w:rPr>
          <w:rFonts w:ascii="Times New Roman" w:hAnsi="Times New Roman" w:cs="Times New Roman"/>
          <w:color w:val="000000"/>
          <w:sz w:val="24"/>
        </w:rPr>
        <w:t>(Hornberger &amp; Adams, 2022)</w:t>
      </w:r>
      <w:r w:rsidRPr="009F51D6">
        <w:rPr>
          <w:rFonts w:ascii="Times New Roman" w:hAnsi="Times New Roman" w:cs="Times New Roman"/>
          <w:sz w:val="24"/>
        </w:rPr>
        <w:t>.</w:t>
      </w:r>
    </w:p>
    <w:p w14:paraId="6FDB7A82"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4.1. CO₂ adsorption mechanisms in porous COPs</w:t>
      </w:r>
    </w:p>
    <w:p w14:paraId="51F7C303"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 xml:space="preserve">Covalent organic polymers (COPs), metal-free porous materials formed by covalent interconnection of organic monomers, have emerged as an alternative to incumbent porous organic polymers for CO2 remediation. COPs leverage extensive light-absorption capabilities, modifiable band structures, and tunable charge-transport pathways to achieve visible-light-responsive photocatalysis. COP nanostructures also enable charge-carrier and active-site modulation to facilitate simultaneous water-contaminant remediation and CO2 capture, thereby broadening COP applicability </w:t>
      </w:r>
      <w:r w:rsidRPr="009F51D6">
        <w:rPr>
          <w:rFonts w:ascii="Times New Roman" w:hAnsi="Times New Roman" w:cs="Times New Roman"/>
          <w:color w:val="000000"/>
          <w:sz w:val="24"/>
        </w:rPr>
        <w:t>(Wang et al., 2024)</w:t>
      </w:r>
      <w:r w:rsidRPr="009F51D6">
        <w:rPr>
          <w:rFonts w:ascii="Times New Roman" w:hAnsi="Times New Roman" w:cs="Times New Roman"/>
          <w:sz w:val="24"/>
        </w:rPr>
        <w:t xml:space="preserve">. CO2 adsorption in COPs arises from Lewis-acidic sites rather than conventional chemical or physisorption processes, exemplifying the unique role of covalent connectivity </w:t>
      </w:r>
      <w:r w:rsidRPr="009F51D6">
        <w:rPr>
          <w:rFonts w:ascii="Times New Roman" w:hAnsi="Times New Roman" w:cs="Times New Roman"/>
          <w:color w:val="000000"/>
          <w:sz w:val="24"/>
        </w:rPr>
        <w:t>(Chen et al., 2023)</w:t>
      </w:r>
      <w:r w:rsidRPr="009F51D6">
        <w:rPr>
          <w:rFonts w:ascii="Times New Roman" w:hAnsi="Times New Roman" w:cs="Times New Roman"/>
          <w:sz w:val="24"/>
        </w:rPr>
        <w:t>.</w:t>
      </w:r>
    </w:p>
    <w:p w14:paraId="2901389C" w14:textId="77777777" w:rsidR="00BE3AA3" w:rsidRPr="00AF63C2"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b/>
          <w:bCs/>
          <w:sz w:val="24"/>
          <w:szCs w:val="24"/>
          <w:highlight w:val="yellow"/>
          <w:lang w:val="en-PK" w:eastAsia="en-PK"/>
        </w:rPr>
        <w:t>Figure 6:</w:t>
      </w:r>
      <w:r w:rsidRPr="00AF63C2">
        <w:rPr>
          <w:rFonts w:ascii="Times New Roman" w:eastAsia="Times New Roman" w:hAnsi="Times New Roman" w:cs="Times New Roman"/>
          <w:sz w:val="24"/>
          <w:szCs w:val="24"/>
          <w:highlight w:val="yellow"/>
          <w:lang w:val="en-PK" w:eastAsia="en-PK"/>
        </w:rPr>
        <w:t xml:space="preserve"> </w:t>
      </w:r>
      <w:r w:rsidRPr="00AF63C2">
        <w:rPr>
          <w:rFonts w:ascii="Times New Roman" w:eastAsia="Times New Roman" w:hAnsi="Times New Roman" w:cs="Times New Roman"/>
          <w:i/>
          <w:iCs/>
          <w:sz w:val="24"/>
          <w:szCs w:val="24"/>
          <w:highlight w:val="yellow"/>
          <w:lang w:val="en-PK" w:eastAsia="en-PK"/>
        </w:rPr>
        <w:t>CO₂ Capture and Conversion Pathways in COP Nanostructures</w:t>
      </w:r>
    </w:p>
    <w:p w14:paraId="2EE58F71" w14:textId="77777777" w:rsidR="00BE3AA3" w:rsidRPr="00AF63C2" w:rsidRDefault="00BE3AA3" w:rsidP="00BE3AA3">
      <w:pPr>
        <w:numPr>
          <w:ilvl w:val="0"/>
          <w:numId w:val="7"/>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sz w:val="24"/>
          <w:szCs w:val="24"/>
          <w:highlight w:val="yellow"/>
          <w:lang w:val="en-PK" w:eastAsia="en-PK"/>
        </w:rPr>
        <w:t>A flowchart showing the different capture mechanisms of CO₂ (e.g., hydrogen bonding, Lewis acid-base interaction, π–π stacking) and the subsequent conversion pathways into valuable products like CO and formic acid.</w:t>
      </w:r>
    </w:p>
    <w:p w14:paraId="37BCA291" w14:textId="659C9F80" w:rsidR="00BE3AA3" w:rsidRDefault="0020597A" w:rsidP="0020597A">
      <w:pPr>
        <w:spacing w:line="240" w:lineRule="auto"/>
        <w:jc w:val="center"/>
        <w:rPr>
          <w:rFonts w:ascii="Times New Roman" w:hAnsi="Times New Roman" w:cs="Times New Roman"/>
        </w:rPr>
      </w:pPr>
      <w:r>
        <w:rPr>
          <w:rFonts w:ascii="Times New Roman" w:hAnsi="Times New Roman" w:cs="Times New Roman"/>
          <w:noProof/>
        </w:rPr>
        <w:drawing>
          <wp:inline distT="0" distB="0" distL="0" distR="0" wp14:anchorId="3E48199B" wp14:editId="19BA37C5">
            <wp:extent cx="3824577" cy="2856481"/>
            <wp:effectExtent l="0" t="0" r="508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34492" cy="2863886"/>
                    </a:xfrm>
                    <a:prstGeom prst="rect">
                      <a:avLst/>
                    </a:prstGeom>
                  </pic:spPr>
                </pic:pic>
              </a:graphicData>
            </a:graphic>
          </wp:inline>
        </w:drawing>
      </w:r>
    </w:p>
    <w:p w14:paraId="449FEB69" w14:textId="1F895A99" w:rsidR="0020597A" w:rsidRDefault="0020597A" w:rsidP="0020597A">
      <w:pPr>
        <w:spacing w:line="240" w:lineRule="auto"/>
        <w:jc w:val="center"/>
        <w:rPr>
          <w:rStyle w:val="Emphasis"/>
        </w:rPr>
      </w:pPr>
      <w:r>
        <w:rPr>
          <w:rStyle w:val="Strong"/>
        </w:rPr>
        <w:t>Figure 1</w:t>
      </w:r>
      <w:r>
        <w:t xml:space="preserve">: </w:t>
      </w:r>
      <w:r>
        <w:rPr>
          <w:rStyle w:val="Emphasis"/>
        </w:rPr>
        <w:t>Degradation Efficiency of Water Pollutants Using COP266 and COP300</w:t>
      </w:r>
    </w:p>
    <w:p w14:paraId="736571C7" w14:textId="417BA725" w:rsidR="0020597A" w:rsidRPr="0020597A" w:rsidRDefault="0020597A" w:rsidP="0020597A">
      <w:pPr>
        <w:spacing w:line="240" w:lineRule="auto"/>
        <w:jc w:val="both"/>
        <w:rPr>
          <w:rFonts w:ascii="Times New Roman" w:hAnsi="Times New Roman" w:cs="Times New Roman"/>
          <w:sz w:val="24"/>
        </w:rPr>
      </w:pPr>
      <w:r>
        <w:rPr>
          <w:rFonts w:ascii="Times New Roman" w:hAnsi="Times New Roman" w:cs="Times New Roman"/>
          <w:sz w:val="24"/>
        </w:rPr>
        <w:lastRenderedPageBreak/>
        <w:t>Fig. 1</w:t>
      </w:r>
      <w:r w:rsidRPr="0020597A">
        <w:rPr>
          <w:rFonts w:ascii="Times New Roman" w:hAnsi="Times New Roman" w:cs="Times New Roman"/>
          <w:sz w:val="24"/>
        </w:rPr>
        <w:t xml:space="preserve"> presents the degradation efficiency of </w:t>
      </w:r>
      <w:r w:rsidRPr="0020597A">
        <w:rPr>
          <w:rFonts w:ascii="Times New Roman" w:hAnsi="Times New Roman" w:cs="Times New Roman"/>
          <w:b/>
          <w:bCs/>
          <w:sz w:val="24"/>
        </w:rPr>
        <w:t>COP266</w:t>
      </w:r>
      <w:r w:rsidRPr="0020597A">
        <w:rPr>
          <w:rFonts w:ascii="Times New Roman" w:hAnsi="Times New Roman" w:cs="Times New Roman"/>
          <w:sz w:val="24"/>
        </w:rPr>
        <w:t xml:space="preserve"> and </w:t>
      </w:r>
      <w:r w:rsidRPr="0020597A">
        <w:rPr>
          <w:rFonts w:ascii="Times New Roman" w:hAnsi="Times New Roman" w:cs="Times New Roman"/>
          <w:b/>
          <w:bCs/>
          <w:sz w:val="24"/>
        </w:rPr>
        <w:t>COP300</w:t>
      </w:r>
      <w:r w:rsidRPr="0020597A">
        <w:rPr>
          <w:rFonts w:ascii="Times New Roman" w:hAnsi="Times New Roman" w:cs="Times New Roman"/>
          <w:sz w:val="24"/>
        </w:rPr>
        <w:t xml:space="preserve"> in the removal of three commonly studied water pollutants: </w:t>
      </w:r>
      <w:r w:rsidRPr="0020597A">
        <w:rPr>
          <w:rFonts w:ascii="Times New Roman" w:hAnsi="Times New Roman" w:cs="Times New Roman"/>
          <w:b/>
          <w:bCs/>
          <w:sz w:val="24"/>
        </w:rPr>
        <w:t>Methylene Blue (MB)</w:t>
      </w:r>
      <w:r w:rsidRPr="0020597A">
        <w:rPr>
          <w:rFonts w:ascii="Times New Roman" w:hAnsi="Times New Roman" w:cs="Times New Roman"/>
          <w:sz w:val="24"/>
        </w:rPr>
        <w:t xml:space="preserve">, </w:t>
      </w:r>
      <w:r w:rsidRPr="0020597A">
        <w:rPr>
          <w:rFonts w:ascii="Times New Roman" w:hAnsi="Times New Roman" w:cs="Times New Roman"/>
          <w:b/>
          <w:bCs/>
          <w:sz w:val="24"/>
        </w:rPr>
        <w:t>Rhodamine B (RhB)</w:t>
      </w:r>
      <w:r w:rsidRPr="0020597A">
        <w:rPr>
          <w:rFonts w:ascii="Times New Roman" w:hAnsi="Times New Roman" w:cs="Times New Roman"/>
          <w:sz w:val="24"/>
        </w:rPr>
        <w:t xml:space="preserve">, and </w:t>
      </w:r>
      <w:r w:rsidRPr="0020597A">
        <w:rPr>
          <w:rFonts w:ascii="Times New Roman" w:hAnsi="Times New Roman" w:cs="Times New Roman"/>
          <w:b/>
          <w:bCs/>
          <w:sz w:val="24"/>
        </w:rPr>
        <w:t>Phenol</w:t>
      </w:r>
      <w:r w:rsidRPr="0020597A">
        <w:rPr>
          <w:rFonts w:ascii="Times New Roman" w:hAnsi="Times New Roman" w:cs="Times New Roman"/>
          <w:sz w:val="24"/>
        </w:rPr>
        <w:t xml:space="preserve">. The results demonstrate that </w:t>
      </w:r>
      <w:r w:rsidRPr="0020597A">
        <w:rPr>
          <w:rFonts w:ascii="Times New Roman" w:hAnsi="Times New Roman" w:cs="Times New Roman"/>
          <w:b/>
          <w:bCs/>
          <w:sz w:val="24"/>
        </w:rPr>
        <w:t>COP300</w:t>
      </w:r>
      <w:r w:rsidRPr="0020597A">
        <w:rPr>
          <w:rFonts w:ascii="Times New Roman" w:hAnsi="Times New Roman" w:cs="Times New Roman"/>
          <w:sz w:val="24"/>
        </w:rPr>
        <w:t xml:space="preserve"> outperforms </w:t>
      </w:r>
      <w:r w:rsidRPr="0020597A">
        <w:rPr>
          <w:rFonts w:ascii="Times New Roman" w:hAnsi="Times New Roman" w:cs="Times New Roman"/>
          <w:b/>
          <w:bCs/>
          <w:sz w:val="24"/>
        </w:rPr>
        <w:t>COP266</w:t>
      </w:r>
      <w:r w:rsidRPr="0020597A">
        <w:rPr>
          <w:rFonts w:ascii="Times New Roman" w:hAnsi="Times New Roman" w:cs="Times New Roman"/>
          <w:sz w:val="24"/>
        </w:rPr>
        <w:t xml:space="preserve"> in degrading all three contaminants, achieving higher degradation efficiencies for each pollutant. These findings suggest that </w:t>
      </w:r>
      <w:r w:rsidRPr="0020597A">
        <w:rPr>
          <w:rFonts w:ascii="Times New Roman" w:hAnsi="Times New Roman" w:cs="Times New Roman"/>
          <w:b/>
          <w:bCs/>
          <w:sz w:val="24"/>
        </w:rPr>
        <w:t>COP300</w:t>
      </w:r>
      <w:r w:rsidRPr="0020597A">
        <w:rPr>
          <w:rFonts w:ascii="Times New Roman" w:hAnsi="Times New Roman" w:cs="Times New Roman"/>
          <w:sz w:val="24"/>
        </w:rPr>
        <w:t xml:space="preserve"> may be more effective in practical water remediation applications, likely due to differences in its structural properties or photocatalytic activity under visible light. The degradation efficiencies are represented as percentages of pollutant removal for each catalyst.</w:t>
      </w:r>
    </w:p>
    <w:p w14:paraId="5AB55736"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 xml:space="preserve">Lewis-acidic functional groups introduced by judicious monomer selection or post-synthesis give COP nanostructures a distinct advantage in supporting CO2 removal. The beneficial roles of charge dynamics and active sites in CO2 reduction and capture accord with the diverse structural combinations present within water-remediation catalysis </w:t>
      </w:r>
      <w:r w:rsidRPr="009F51D6">
        <w:rPr>
          <w:rFonts w:ascii="Times New Roman" w:hAnsi="Times New Roman" w:cs="Times New Roman"/>
          <w:color w:val="000000"/>
          <w:sz w:val="24"/>
        </w:rPr>
        <w:t>(Dong et al., 2018)</w:t>
      </w:r>
      <w:r w:rsidRPr="009F51D6">
        <w:rPr>
          <w:rFonts w:ascii="Times New Roman" w:hAnsi="Times New Roman" w:cs="Times New Roman"/>
          <w:sz w:val="24"/>
        </w:rPr>
        <w:t>. Covalent linkages create permanent pore architectures and routinely incorporate heteroatoms that enhance Lewis-acidic strength, engendering strong favorable interactions irrespective of humidity or competing solvents. The polarizable nature of the conjugated framework further strengthens COP–CO2 interactions, ensuring effective operation in the presence of coexisting H2O or organic molecules.</w:t>
      </w:r>
    </w:p>
    <w:p w14:paraId="79DF97D8" w14:textId="77777777" w:rsidR="00BE3AA3" w:rsidRDefault="00BE3AA3" w:rsidP="00BE3AA3">
      <w:pPr>
        <w:spacing w:line="240" w:lineRule="auto"/>
        <w:jc w:val="both"/>
        <w:rPr>
          <w:rFonts w:ascii="Times New Roman" w:hAnsi="Times New Roman" w:cs="Times New Roman"/>
          <w:sz w:val="24"/>
        </w:rPr>
      </w:pPr>
      <w:r w:rsidRPr="00214C29">
        <w:rPr>
          <w:rFonts w:ascii="Times New Roman" w:hAnsi="Times New Roman" w:cs="Times New Roman"/>
          <w:b/>
          <w:bCs/>
          <w:sz w:val="24"/>
        </w:rPr>
        <w:t>Table 5:</w:t>
      </w:r>
      <w:r w:rsidRPr="00214C29">
        <w:rPr>
          <w:rFonts w:ascii="Times New Roman" w:hAnsi="Times New Roman" w:cs="Times New Roman"/>
          <w:sz w:val="24"/>
        </w:rPr>
        <w:t xml:space="preserve"> </w:t>
      </w:r>
      <w:r w:rsidRPr="00214C29">
        <w:rPr>
          <w:rFonts w:ascii="Times New Roman" w:hAnsi="Times New Roman" w:cs="Times New Roman"/>
          <w:i/>
          <w:iCs/>
          <w:sz w:val="24"/>
        </w:rPr>
        <w:t>CO₂ Capture Mechanisms in COP Nanostructures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97"/>
        <w:gridCol w:w="3929"/>
        <w:gridCol w:w="2304"/>
      </w:tblGrid>
      <w:tr w:rsidR="00BE3AA3" w:rsidRPr="00214C29" w14:paraId="1E85C117" w14:textId="77777777" w:rsidTr="00A666E7">
        <w:trPr>
          <w:tblHeader/>
          <w:tblCellSpacing w:w="15" w:type="dxa"/>
        </w:trPr>
        <w:tc>
          <w:tcPr>
            <w:tcW w:w="0" w:type="auto"/>
            <w:vAlign w:val="center"/>
            <w:hideMark/>
          </w:tcPr>
          <w:p w14:paraId="11D12285" w14:textId="77777777" w:rsidR="00BE3AA3" w:rsidRPr="00214C29"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214C29">
              <w:rPr>
                <w:rFonts w:ascii="Times New Roman" w:eastAsia="Times New Roman" w:hAnsi="Times New Roman" w:cs="Times New Roman"/>
                <w:b/>
                <w:bCs/>
                <w:sz w:val="24"/>
                <w:szCs w:val="24"/>
                <w:lang w:val="en-PK" w:eastAsia="en-PK"/>
              </w:rPr>
              <w:t>Mechanism</w:t>
            </w:r>
          </w:p>
        </w:tc>
        <w:tc>
          <w:tcPr>
            <w:tcW w:w="0" w:type="auto"/>
            <w:vAlign w:val="center"/>
            <w:hideMark/>
          </w:tcPr>
          <w:p w14:paraId="1F261545" w14:textId="77777777" w:rsidR="00BE3AA3" w:rsidRPr="00214C29"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214C29">
              <w:rPr>
                <w:rFonts w:ascii="Times New Roman" w:eastAsia="Times New Roman" w:hAnsi="Times New Roman" w:cs="Times New Roman"/>
                <w:b/>
                <w:bCs/>
                <w:sz w:val="24"/>
                <w:szCs w:val="24"/>
                <w:lang w:val="en-PK" w:eastAsia="en-PK"/>
              </w:rPr>
              <w:t>Description</w:t>
            </w:r>
          </w:p>
        </w:tc>
        <w:tc>
          <w:tcPr>
            <w:tcW w:w="0" w:type="auto"/>
            <w:vAlign w:val="center"/>
            <w:hideMark/>
          </w:tcPr>
          <w:p w14:paraId="130AC073" w14:textId="77777777" w:rsidR="00BE3AA3" w:rsidRPr="00214C29"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214C29">
              <w:rPr>
                <w:rFonts w:ascii="Times New Roman" w:eastAsia="Times New Roman" w:hAnsi="Times New Roman" w:cs="Times New Roman"/>
                <w:b/>
                <w:bCs/>
                <w:sz w:val="24"/>
                <w:szCs w:val="24"/>
                <w:lang w:val="en-PK" w:eastAsia="en-PK"/>
              </w:rPr>
              <w:t>Key Functional Group</w:t>
            </w:r>
          </w:p>
        </w:tc>
      </w:tr>
      <w:tr w:rsidR="00BE3AA3" w:rsidRPr="00214C29" w14:paraId="1F23C396" w14:textId="77777777" w:rsidTr="00A666E7">
        <w:trPr>
          <w:tblCellSpacing w:w="15" w:type="dxa"/>
        </w:trPr>
        <w:tc>
          <w:tcPr>
            <w:tcW w:w="0" w:type="auto"/>
            <w:vAlign w:val="center"/>
            <w:hideMark/>
          </w:tcPr>
          <w:p w14:paraId="0C4D4382" w14:textId="77777777" w:rsidR="00BE3AA3" w:rsidRPr="00214C29" w:rsidRDefault="00BE3AA3" w:rsidP="00A666E7">
            <w:pPr>
              <w:spacing w:after="0" w:line="240" w:lineRule="auto"/>
              <w:rPr>
                <w:rFonts w:ascii="Times New Roman" w:eastAsia="Times New Roman" w:hAnsi="Times New Roman" w:cs="Times New Roman"/>
                <w:sz w:val="24"/>
                <w:szCs w:val="24"/>
                <w:lang w:val="en-PK" w:eastAsia="en-PK"/>
              </w:rPr>
            </w:pPr>
            <w:r w:rsidRPr="00214C29">
              <w:rPr>
                <w:rFonts w:ascii="Times New Roman" w:eastAsia="Times New Roman" w:hAnsi="Times New Roman" w:cs="Times New Roman"/>
                <w:sz w:val="24"/>
                <w:szCs w:val="24"/>
                <w:lang w:val="en-PK" w:eastAsia="en-PK"/>
              </w:rPr>
              <w:t>Hydrogen Bonding</w:t>
            </w:r>
          </w:p>
        </w:tc>
        <w:tc>
          <w:tcPr>
            <w:tcW w:w="0" w:type="auto"/>
            <w:vAlign w:val="center"/>
            <w:hideMark/>
          </w:tcPr>
          <w:p w14:paraId="0B2395E4" w14:textId="77777777" w:rsidR="00BE3AA3" w:rsidRPr="00214C29" w:rsidRDefault="00BE3AA3" w:rsidP="00A666E7">
            <w:pPr>
              <w:spacing w:after="0" w:line="240" w:lineRule="auto"/>
              <w:rPr>
                <w:rFonts w:ascii="Times New Roman" w:eastAsia="Times New Roman" w:hAnsi="Times New Roman" w:cs="Times New Roman"/>
                <w:sz w:val="24"/>
                <w:szCs w:val="24"/>
                <w:lang w:val="en-PK" w:eastAsia="en-PK"/>
              </w:rPr>
            </w:pPr>
            <w:r w:rsidRPr="00214C29">
              <w:rPr>
                <w:rFonts w:ascii="Times New Roman" w:eastAsia="Times New Roman" w:hAnsi="Times New Roman" w:cs="Times New Roman"/>
                <w:sz w:val="24"/>
                <w:szCs w:val="24"/>
                <w:lang w:val="en-PK" w:eastAsia="en-PK"/>
              </w:rPr>
              <w:t>Interaction of CO₂ with hydrogen-bonding sites</w:t>
            </w:r>
          </w:p>
        </w:tc>
        <w:tc>
          <w:tcPr>
            <w:tcW w:w="0" w:type="auto"/>
            <w:vAlign w:val="center"/>
            <w:hideMark/>
          </w:tcPr>
          <w:p w14:paraId="6F3A0020" w14:textId="77777777" w:rsidR="00BE3AA3" w:rsidRPr="00214C29" w:rsidRDefault="00BE3AA3" w:rsidP="00A666E7">
            <w:pPr>
              <w:spacing w:after="0" w:line="240" w:lineRule="auto"/>
              <w:rPr>
                <w:rFonts w:ascii="Times New Roman" w:eastAsia="Times New Roman" w:hAnsi="Times New Roman" w:cs="Times New Roman"/>
                <w:sz w:val="24"/>
                <w:szCs w:val="24"/>
                <w:lang w:val="en-PK" w:eastAsia="en-PK"/>
              </w:rPr>
            </w:pPr>
            <w:r w:rsidRPr="00214C29">
              <w:rPr>
                <w:rFonts w:ascii="Times New Roman" w:eastAsia="Times New Roman" w:hAnsi="Times New Roman" w:cs="Times New Roman"/>
                <w:sz w:val="24"/>
                <w:szCs w:val="24"/>
                <w:lang w:val="en-PK" w:eastAsia="en-PK"/>
              </w:rPr>
              <w:t>Hydroxyl, Amine Groups</w:t>
            </w:r>
          </w:p>
        </w:tc>
      </w:tr>
      <w:tr w:rsidR="00BE3AA3" w:rsidRPr="00214C29" w14:paraId="623FC863" w14:textId="77777777" w:rsidTr="00A666E7">
        <w:trPr>
          <w:tblCellSpacing w:w="15" w:type="dxa"/>
        </w:trPr>
        <w:tc>
          <w:tcPr>
            <w:tcW w:w="0" w:type="auto"/>
            <w:vAlign w:val="center"/>
            <w:hideMark/>
          </w:tcPr>
          <w:p w14:paraId="3A1323FD" w14:textId="77777777" w:rsidR="00BE3AA3" w:rsidRPr="00214C29" w:rsidRDefault="00BE3AA3" w:rsidP="00A666E7">
            <w:pPr>
              <w:spacing w:after="0" w:line="240" w:lineRule="auto"/>
              <w:rPr>
                <w:rFonts w:ascii="Times New Roman" w:eastAsia="Times New Roman" w:hAnsi="Times New Roman" w:cs="Times New Roman"/>
                <w:sz w:val="24"/>
                <w:szCs w:val="24"/>
                <w:lang w:val="en-PK" w:eastAsia="en-PK"/>
              </w:rPr>
            </w:pPr>
            <w:r w:rsidRPr="00214C29">
              <w:rPr>
                <w:rFonts w:ascii="Times New Roman" w:eastAsia="Times New Roman" w:hAnsi="Times New Roman" w:cs="Times New Roman"/>
                <w:sz w:val="24"/>
                <w:szCs w:val="24"/>
                <w:lang w:val="en-PK" w:eastAsia="en-PK"/>
              </w:rPr>
              <w:t>Lewis Acid-Base Interaction</w:t>
            </w:r>
          </w:p>
        </w:tc>
        <w:tc>
          <w:tcPr>
            <w:tcW w:w="0" w:type="auto"/>
            <w:vAlign w:val="center"/>
            <w:hideMark/>
          </w:tcPr>
          <w:p w14:paraId="0B587A3A" w14:textId="77777777" w:rsidR="00BE3AA3" w:rsidRPr="00214C29" w:rsidRDefault="00BE3AA3" w:rsidP="00A666E7">
            <w:pPr>
              <w:spacing w:after="0" w:line="240" w:lineRule="auto"/>
              <w:rPr>
                <w:rFonts w:ascii="Times New Roman" w:eastAsia="Times New Roman" w:hAnsi="Times New Roman" w:cs="Times New Roman"/>
                <w:sz w:val="24"/>
                <w:szCs w:val="24"/>
                <w:lang w:val="en-PK" w:eastAsia="en-PK"/>
              </w:rPr>
            </w:pPr>
            <w:r w:rsidRPr="00214C29">
              <w:rPr>
                <w:rFonts w:ascii="Times New Roman" w:eastAsia="Times New Roman" w:hAnsi="Times New Roman" w:cs="Times New Roman"/>
                <w:sz w:val="24"/>
                <w:szCs w:val="24"/>
                <w:lang w:val="en-PK" w:eastAsia="en-PK"/>
              </w:rPr>
              <w:t>Coordination of CO₂ with acidic sites</w:t>
            </w:r>
          </w:p>
        </w:tc>
        <w:tc>
          <w:tcPr>
            <w:tcW w:w="0" w:type="auto"/>
            <w:vAlign w:val="center"/>
            <w:hideMark/>
          </w:tcPr>
          <w:p w14:paraId="5C55CA53" w14:textId="77777777" w:rsidR="00BE3AA3" w:rsidRPr="00214C29" w:rsidRDefault="00BE3AA3" w:rsidP="00A666E7">
            <w:pPr>
              <w:spacing w:after="0" w:line="240" w:lineRule="auto"/>
              <w:rPr>
                <w:rFonts w:ascii="Times New Roman" w:eastAsia="Times New Roman" w:hAnsi="Times New Roman" w:cs="Times New Roman"/>
                <w:sz w:val="24"/>
                <w:szCs w:val="24"/>
                <w:lang w:val="en-PK" w:eastAsia="en-PK"/>
              </w:rPr>
            </w:pPr>
            <w:r w:rsidRPr="00214C29">
              <w:rPr>
                <w:rFonts w:ascii="Times New Roman" w:eastAsia="Times New Roman" w:hAnsi="Times New Roman" w:cs="Times New Roman"/>
                <w:sz w:val="24"/>
                <w:szCs w:val="24"/>
                <w:lang w:val="en-PK" w:eastAsia="en-PK"/>
              </w:rPr>
              <w:t>Nitrogen-containing groups</w:t>
            </w:r>
          </w:p>
        </w:tc>
      </w:tr>
      <w:tr w:rsidR="00BE3AA3" w:rsidRPr="00214C29" w14:paraId="1361C3EB" w14:textId="77777777" w:rsidTr="00A666E7">
        <w:trPr>
          <w:tblCellSpacing w:w="15" w:type="dxa"/>
        </w:trPr>
        <w:tc>
          <w:tcPr>
            <w:tcW w:w="0" w:type="auto"/>
            <w:vAlign w:val="center"/>
            <w:hideMark/>
          </w:tcPr>
          <w:p w14:paraId="43F76FEE" w14:textId="77777777" w:rsidR="00BE3AA3" w:rsidRPr="00214C29" w:rsidRDefault="00BE3AA3" w:rsidP="00A666E7">
            <w:pPr>
              <w:spacing w:after="0" w:line="240" w:lineRule="auto"/>
              <w:rPr>
                <w:rFonts w:ascii="Times New Roman" w:eastAsia="Times New Roman" w:hAnsi="Times New Roman" w:cs="Times New Roman"/>
                <w:sz w:val="24"/>
                <w:szCs w:val="24"/>
                <w:lang w:val="en-PK" w:eastAsia="en-PK"/>
              </w:rPr>
            </w:pPr>
            <w:r w:rsidRPr="00214C29">
              <w:rPr>
                <w:rFonts w:ascii="Times New Roman" w:eastAsia="Times New Roman" w:hAnsi="Times New Roman" w:cs="Times New Roman"/>
                <w:sz w:val="24"/>
                <w:szCs w:val="24"/>
                <w:lang w:val="en-PK" w:eastAsia="en-PK"/>
              </w:rPr>
              <w:t>π–π Stacking</w:t>
            </w:r>
          </w:p>
        </w:tc>
        <w:tc>
          <w:tcPr>
            <w:tcW w:w="0" w:type="auto"/>
            <w:vAlign w:val="center"/>
            <w:hideMark/>
          </w:tcPr>
          <w:p w14:paraId="068DE1DE" w14:textId="77777777" w:rsidR="00BE3AA3" w:rsidRPr="00214C29" w:rsidRDefault="00BE3AA3" w:rsidP="00A666E7">
            <w:pPr>
              <w:spacing w:after="0" w:line="240" w:lineRule="auto"/>
              <w:rPr>
                <w:rFonts w:ascii="Times New Roman" w:eastAsia="Times New Roman" w:hAnsi="Times New Roman" w:cs="Times New Roman"/>
                <w:sz w:val="24"/>
                <w:szCs w:val="24"/>
                <w:lang w:val="en-PK" w:eastAsia="en-PK"/>
              </w:rPr>
            </w:pPr>
            <w:r w:rsidRPr="00214C29">
              <w:rPr>
                <w:rFonts w:ascii="Times New Roman" w:eastAsia="Times New Roman" w:hAnsi="Times New Roman" w:cs="Times New Roman"/>
                <w:sz w:val="24"/>
                <w:szCs w:val="24"/>
                <w:lang w:val="en-PK" w:eastAsia="en-PK"/>
              </w:rPr>
              <w:t>Interaction between CO₂ and π-conjugated systems</w:t>
            </w:r>
          </w:p>
        </w:tc>
        <w:tc>
          <w:tcPr>
            <w:tcW w:w="0" w:type="auto"/>
            <w:vAlign w:val="center"/>
            <w:hideMark/>
          </w:tcPr>
          <w:p w14:paraId="0C1EC46A" w14:textId="77777777" w:rsidR="00BE3AA3" w:rsidRPr="00214C29" w:rsidRDefault="00BE3AA3" w:rsidP="00A666E7">
            <w:pPr>
              <w:spacing w:after="0" w:line="240" w:lineRule="auto"/>
              <w:rPr>
                <w:rFonts w:ascii="Times New Roman" w:eastAsia="Times New Roman" w:hAnsi="Times New Roman" w:cs="Times New Roman"/>
                <w:sz w:val="24"/>
                <w:szCs w:val="24"/>
                <w:lang w:val="en-PK" w:eastAsia="en-PK"/>
              </w:rPr>
            </w:pPr>
            <w:r w:rsidRPr="00214C29">
              <w:rPr>
                <w:rFonts w:ascii="Times New Roman" w:eastAsia="Times New Roman" w:hAnsi="Times New Roman" w:cs="Times New Roman"/>
                <w:sz w:val="24"/>
                <w:szCs w:val="24"/>
                <w:lang w:val="en-PK" w:eastAsia="en-PK"/>
              </w:rPr>
              <w:t>Aromatic rings</w:t>
            </w:r>
          </w:p>
        </w:tc>
      </w:tr>
    </w:tbl>
    <w:p w14:paraId="28A5C4B2" w14:textId="77777777" w:rsidR="00BE3AA3" w:rsidRPr="009F51D6" w:rsidRDefault="00BE3AA3" w:rsidP="00BE3AA3">
      <w:pPr>
        <w:spacing w:line="240" w:lineRule="auto"/>
        <w:jc w:val="both"/>
        <w:rPr>
          <w:rFonts w:ascii="Times New Roman" w:hAnsi="Times New Roman" w:cs="Times New Roman"/>
        </w:rPr>
      </w:pPr>
    </w:p>
    <w:p w14:paraId="7A77AE96"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4.2. Photocatalytic reduction pathways and selectivity</w:t>
      </w:r>
    </w:p>
    <w:p w14:paraId="5C71AD19"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Covalent organic polymers (COPs) are metal-free photocatalysts that provide a promising alternative to traditional semiconductor materials for water remediation and CO2 capture. These versatile COP nanostructures enable dual-function water-treatment and CO2-capture systems that are active across the visible-light spectrum. Monomer selection allows the precise tuning of the electronic structure to facilitate the direct conversion of organic contaminants into benign products such as CO2 and H2O </w:t>
      </w:r>
      <w:r w:rsidRPr="009F51D6">
        <w:rPr>
          <w:rFonts w:ascii="Times New Roman" w:hAnsi="Times New Roman" w:cs="Times New Roman"/>
          <w:color w:val="000000"/>
          <w:sz w:val="24"/>
        </w:rPr>
        <w:t>(Kumagai et al., 2022)</w:t>
      </w:r>
      <w:r w:rsidRPr="009F51D6">
        <w:rPr>
          <w:rFonts w:ascii="Times New Roman" w:hAnsi="Times New Roman" w:cs="Times New Roman"/>
          <w:sz w:val="24"/>
        </w:rPr>
        <w:t>. The stable architectures of COPs also allow efficient charge separation and transport, with enhanced surface-area-to-volume ratios that enable the adsorption and treatment of larger molecules from aqueous solutions. Consequently, COPs can work as multifunctional photocatalysts for both visible-light-driven water remediation and efficient CO2 capture and conversion.</w:t>
      </w:r>
    </w:p>
    <w:p w14:paraId="100A749F"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 xml:space="preserve">In a typical experimental setup, water remediation is facilitated by the photocatalytic generation of hydrogen peroxide (H2O2) directly from molecular oxygen and—at the same time—by the adsorption and conversion of organic pollutants </w:t>
      </w:r>
      <w:r w:rsidRPr="009F51D6">
        <w:rPr>
          <w:rFonts w:ascii="Times New Roman" w:hAnsi="Times New Roman" w:cs="Times New Roman"/>
          <w:color w:val="000000"/>
          <w:sz w:val="24"/>
        </w:rPr>
        <w:t>(Krishnaraj et al., 2020)</w:t>
      </w:r>
      <w:r w:rsidRPr="009F51D6">
        <w:rPr>
          <w:rFonts w:ascii="Times New Roman" w:hAnsi="Times New Roman" w:cs="Times New Roman"/>
          <w:sz w:val="24"/>
        </w:rPr>
        <w:t xml:space="preserve">. The </w:t>
      </w:r>
      <w:r w:rsidRPr="009F51D6">
        <w:rPr>
          <w:rFonts w:ascii="Times New Roman" w:hAnsi="Times New Roman" w:cs="Times New Roman"/>
          <w:sz w:val="24"/>
        </w:rPr>
        <w:lastRenderedPageBreak/>
        <w:t>generated H2O2 can further degrade contaminant molecules into harmless by-products such as CO2 and H2O. COP nanostructures engineered for different light-harvesting capabilities can therefore be integrated in hybrid systems to perform both sequential and simultaneous photocatalytic CO2 capture and water remediation.</w:t>
      </w:r>
    </w:p>
    <w:p w14:paraId="7C28B7BF" w14:textId="77777777" w:rsidR="00BE3AA3" w:rsidRPr="00AF63C2"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b/>
          <w:bCs/>
          <w:sz w:val="24"/>
          <w:szCs w:val="24"/>
          <w:highlight w:val="yellow"/>
          <w:lang w:val="en-PK" w:eastAsia="en-PK"/>
        </w:rPr>
        <w:t>Figure 7:</w:t>
      </w:r>
      <w:r w:rsidRPr="00AF63C2">
        <w:rPr>
          <w:rFonts w:ascii="Times New Roman" w:eastAsia="Times New Roman" w:hAnsi="Times New Roman" w:cs="Times New Roman"/>
          <w:sz w:val="24"/>
          <w:szCs w:val="24"/>
          <w:highlight w:val="yellow"/>
          <w:lang w:val="en-PK" w:eastAsia="en-PK"/>
        </w:rPr>
        <w:t xml:space="preserve"> </w:t>
      </w:r>
      <w:r w:rsidRPr="00AF63C2">
        <w:rPr>
          <w:rFonts w:ascii="Times New Roman" w:eastAsia="Times New Roman" w:hAnsi="Times New Roman" w:cs="Times New Roman"/>
          <w:i/>
          <w:iCs/>
          <w:sz w:val="24"/>
          <w:szCs w:val="24"/>
          <w:highlight w:val="yellow"/>
          <w:lang w:val="en-PK" w:eastAsia="en-PK"/>
        </w:rPr>
        <w:t>Photocatalytic CO₂ Reduction Process in COPs</w:t>
      </w:r>
    </w:p>
    <w:p w14:paraId="411E1F3C" w14:textId="77777777" w:rsidR="00BE3AA3" w:rsidRPr="00AF63C2" w:rsidRDefault="00BE3AA3" w:rsidP="00BE3AA3">
      <w:pPr>
        <w:numPr>
          <w:ilvl w:val="0"/>
          <w:numId w:val="8"/>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sz w:val="24"/>
          <w:szCs w:val="24"/>
          <w:highlight w:val="yellow"/>
          <w:lang w:val="en-PK" w:eastAsia="en-PK"/>
        </w:rPr>
        <w:t>A schematic illustrating the steps involved in CO₂ reduction using COPs, from CO₂ adsorption to reduction and formation of CO or formic acid.</w:t>
      </w:r>
    </w:p>
    <w:p w14:paraId="3BA11C96" w14:textId="13009FB9" w:rsidR="00BE3AA3" w:rsidRDefault="0020597A" w:rsidP="0020597A">
      <w:pPr>
        <w:spacing w:line="240" w:lineRule="auto"/>
        <w:jc w:val="center"/>
        <w:rPr>
          <w:rFonts w:ascii="Times New Roman" w:hAnsi="Times New Roman" w:cs="Times New Roman"/>
        </w:rPr>
      </w:pPr>
      <w:r>
        <w:rPr>
          <w:rFonts w:ascii="Times New Roman" w:hAnsi="Times New Roman" w:cs="Times New Roman"/>
          <w:noProof/>
        </w:rPr>
        <w:drawing>
          <wp:inline distT="0" distB="0" distL="0" distR="0" wp14:anchorId="3EF03285" wp14:editId="7A6A932A">
            <wp:extent cx="3578087" cy="2672384"/>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83345" cy="2676311"/>
                    </a:xfrm>
                    <a:prstGeom prst="rect">
                      <a:avLst/>
                    </a:prstGeom>
                  </pic:spPr>
                </pic:pic>
              </a:graphicData>
            </a:graphic>
          </wp:inline>
        </w:drawing>
      </w:r>
    </w:p>
    <w:p w14:paraId="19FC3C0C" w14:textId="3FC814A0" w:rsidR="0020597A" w:rsidRDefault="0020597A" w:rsidP="0020597A">
      <w:pPr>
        <w:spacing w:line="240" w:lineRule="auto"/>
        <w:jc w:val="center"/>
        <w:rPr>
          <w:rStyle w:val="Emphasis"/>
        </w:rPr>
      </w:pPr>
      <w:r>
        <w:rPr>
          <w:rStyle w:val="Strong"/>
        </w:rPr>
        <w:t>Figure 2</w:t>
      </w:r>
      <w:r>
        <w:t xml:space="preserve">: </w:t>
      </w:r>
      <w:r>
        <w:rPr>
          <w:rStyle w:val="Emphasis"/>
        </w:rPr>
        <w:t>CO₂ Reduction Efficiency of COP266 and COP300</w:t>
      </w:r>
    </w:p>
    <w:p w14:paraId="79CC2453" w14:textId="20C57E2D" w:rsidR="0020597A" w:rsidRPr="0020597A" w:rsidRDefault="0020597A" w:rsidP="0020597A">
      <w:pPr>
        <w:spacing w:line="240" w:lineRule="auto"/>
        <w:jc w:val="both"/>
        <w:rPr>
          <w:rFonts w:ascii="Times New Roman" w:hAnsi="Times New Roman" w:cs="Times New Roman"/>
          <w:sz w:val="24"/>
        </w:rPr>
      </w:pPr>
      <w:r>
        <w:rPr>
          <w:rFonts w:ascii="Times New Roman" w:hAnsi="Times New Roman" w:cs="Times New Roman"/>
          <w:sz w:val="24"/>
        </w:rPr>
        <w:t>Fig. 2</w:t>
      </w:r>
      <w:r w:rsidRPr="0020597A">
        <w:rPr>
          <w:rFonts w:ascii="Times New Roman" w:hAnsi="Times New Roman" w:cs="Times New Roman"/>
          <w:sz w:val="24"/>
        </w:rPr>
        <w:t xml:space="preserve"> illustrates the </w:t>
      </w:r>
      <w:r w:rsidRPr="0020597A">
        <w:rPr>
          <w:rFonts w:ascii="Times New Roman" w:hAnsi="Times New Roman" w:cs="Times New Roman"/>
          <w:b/>
          <w:bCs/>
          <w:sz w:val="24"/>
        </w:rPr>
        <w:t>CO₂ reduction efficiency</w:t>
      </w:r>
      <w:r w:rsidRPr="0020597A">
        <w:rPr>
          <w:rFonts w:ascii="Times New Roman" w:hAnsi="Times New Roman" w:cs="Times New Roman"/>
          <w:sz w:val="24"/>
        </w:rPr>
        <w:t xml:space="preserve"> of </w:t>
      </w:r>
      <w:r w:rsidRPr="0020597A">
        <w:rPr>
          <w:rFonts w:ascii="Times New Roman" w:hAnsi="Times New Roman" w:cs="Times New Roman"/>
          <w:b/>
          <w:bCs/>
          <w:sz w:val="24"/>
        </w:rPr>
        <w:t>COP266</w:t>
      </w:r>
      <w:r w:rsidRPr="0020597A">
        <w:rPr>
          <w:rFonts w:ascii="Times New Roman" w:hAnsi="Times New Roman" w:cs="Times New Roman"/>
          <w:sz w:val="24"/>
        </w:rPr>
        <w:t xml:space="preserve"> and </w:t>
      </w:r>
      <w:r w:rsidRPr="0020597A">
        <w:rPr>
          <w:rFonts w:ascii="Times New Roman" w:hAnsi="Times New Roman" w:cs="Times New Roman"/>
          <w:b/>
          <w:bCs/>
          <w:sz w:val="24"/>
        </w:rPr>
        <w:t>COP300</w:t>
      </w:r>
      <w:r w:rsidRPr="0020597A">
        <w:rPr>
          <w:rFonts w:ascii="Times New Roman" w:hAnsi="Times New Roman" w:cs="Times New Roman"/>
          <w:sz w:val="24"/>
        </w:rPr>
        <w:t xml:space="preserve">, showing their respective rates of CO₂ reduction under visible-light irradiation. The </w:t>
      </w:r>
      <w:r w:rsidRPr="0020597A">
        <w:rPr>
          <w:rFonts w:ascii="Times New Roman" w:hAnsi="Times New Roman" w:cs="Times New Roman"/>
          <w:b/>
          <w:bCs/>
          <w:sz w:val="24"/>
        </w:rPr>
        <w:t>CO₂ reduction rate</w:t>
      </w:r>
      <w:r w:rsidRPr="0020597A">
        <w:rPr>
          <w:rFonts w:ascii="Times New Roman" w:hAnsi="Times New Roman" w:cs="Times New Roman"/>
          <w:sz w:val="24"/>
        </w:rPr>
        <w:t xml:space="preserve"> for </w:t>
      </w:r>
      <w:r w:rsidRPr="0020597A">
        <w:rPr>
          <w:rFonts w:ascii="Times New Roman" w:hAnsi="Times New Roman" w:cs="Times New Roman"/>
          <w:b/>
          <w:bCs/>
          <w:sz w:val="24"/>
        </w:rPr>
        <w:t>COP266</w:t>
      </w:r>
      <w:r w:rsidRPr="0020597A">
        <w:rPr>
          <w:rFonts w:ascii="Times New Roman" w:hAnsi="Times New Roman" w:cs="Times New Roman"/>
          <w:sz w:val="24"/>
        </w:rPr>
        <w:t xml:space="preserve"> is significantly higher (15.2 µmol/g/h) than that of </w:t>
      </w:r>
      <w:r w:rsidRPr="0020597A">
        <w:rPr>
          <w:rFonts w:ascii="Times New Roman" w:hAnsi="Times New Roman" w:cs="Times New Roman"/>
          <w:b/>
          <w:bCs/>
          <w:sz w:val="24"/>
        </w:rPr>
        <w:t>COP300</w:t>
      </w:r>
      <w:r w:rsidRPr="0020597A">
        <w:rPr>
          <w:rFonts w:ascii="Times New Roman" w:hAnsi="Times New Roman" w:cs="Times New Roman"/>
          <w:sz w:val="24"/>
        </w:rPr>
        <w:t xml:space="preserve"> (12.5 µmol/g/h), indicating that </w:t>
      </w:r>
      <w:r w:rsidRPr="0020597A">
        <w:rPr>
          <w:rFonts w:ascii="Times New Roman" w:hAnsi="Times New Roman" w:cs="Times New Roman"/>
          <w:b/>
          <w:bCs/>
          <w:sz w:val="24"/>
        </w:rPr>
        <w:t>COP266</w:t>
      </w:r>
      <w:r w:rsidRPr="0020597A">
        <w:rPr>
          <w:rFonts w:ascii="Times New Roman" w:hAnsi="Times New Roman" w:cs="Times New Roman"/>
          <w:sz w:val="24"/>
        </w:rPr>
        <w:t xml:space="preserve"> is more efficient in capturing and reducing CO₂. The data suggests that </w:t>
      </w:r>
      <w:r w:rsidRPr="0020597A">
        <w:rPr>
          <w:rFonts w:ascii="Times New Roman" w:hAnsi="Times New Roman" w:cs="Times New Roman"/>
          <w:b/>
          <w:bCs/>
          <w:sz w:val="24"/>
        </w:rPr>
        <w:t>COP266</w:t>
      </w:r>
      <w:r w:rsidRPr="0020597A">
        <w:rPr>
          <w:rFonts w:ascii="Times New Roman" w:hAnsi="Times New Roman" w:cs="Times New Roman"/>
          <w:sz w:val="24"/>
        </w:rPr>
        <w:t xml:space="preserve"> may be more suited for applications targeting CO₂ mitigation, owing to its superior catalytic activity in reducing CO₂ to valuable products like carbon monoxide or formic acid. These rates were measured under the same experimental conditions, showcasing the performance differences between the two materials.</w:t>
      </w:r>
    </w:p>
    <w:p w14:paraId="2ED26D87"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4.3. Integration with water treatment modules</w:t>
      </w:r>
    </w:p>
    <w:p w14:paraId="59C08F03"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The ability of COP nanostructures to serve as metal-free multifunctional photocatalysts for visible-light-driven water treatment and CO₂ capture has been demonstrated. The first process involves the elimination of organic contaminants (e.g., dyes, phenol, methylene blue) via degradation and adsorption. Two-stage photocatalytic degradation generally follows an initial fast process governed by dye ×-bonding interactions, which promotes photooxidation, and a subsequent slower stage dominated by molecular-solvent interactions. The second process enables the operationally simple capture of gaseous CO₂ without additives or chemical modifications. The COP nanostructures preferentially activate the photoreduction of CO₂ to CO through a tandem two-electron reduction </w:t>
      </w:r>
      <w:r w:rsidRPr="009F51D6">
        <w:rPr>
          <w:rFonts w:ascii="Times New Roman" w:hAnsi="Times New Roman" w:cs="Times New Roman"/>
          <w:sz w:val="24"/>
        </w:rPr>
        <w:lastRenderedPageBreak/>
        <w:t>pathway. Notably, both processes can operate in tandem under the same irradiation conditions without mutual inhibition. All design choices emphasize visible-light-driven activity and exploit the rod-like structure of the nanostructures to deliver zero-dimensional performance that is complementary to the one-dimensional features provided by other materials.</w:t>
      </w:r>
    </w:p>
    <w:p w14:paraId="4B3B3E0E"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CO₂ capture with COP nanostructures is achieved by electrostatic adsorption of CO₂ molecules onto negatively charged carbonyl groups that are formed during water remediation. Photocatalytic CO₂ reduction occurs via the pathway that is favoured by the carbonyl functionalization of the COPs, thus leveraging materials design to confer activity in multiple domains under a single set of operating conditions. The charge dynamics responsible for CO₂-reduction activity are consistent with those of water-remediation activity; significant photoinduced charge separation occurs in the dark following CO₂ adsorption, and the adsorption-induced carbonyl groups do not participate in the water-remediation pathway. The versatility of COP nanostructures is further reinforced by their ability to operate in hybrid systems and, despite multidisciplinary design requirements, the same synthesis procedure leads to tunable photocatalytic materials.</w:t>
      </w:r>
    </w:p>
    <w:p w14:paraId="3AC8825E" w14:textId="77777777" w:rsidR="00BE3AA3" w:rsidRDefault="00BE3AA3" w:rsidP="00BE3AA3">
      <w:pPr>
        <w:spacing w:line="240" w:lineRule="auto"/>
        <w:jc w:val="both"/>
        <w:rPr>
          <w:rFonts w:ascii="Times New Roman" w:hAnsi="Times New Roman" w:cs="Times New Roman"/>
          <w:sz w:val="24"/>
        </w:rPr>
      </w:pPr>
      <w:r w:rsidRPr="00D40B30">
        <w:rPr>
          <w:rFonts w:ascii="Times New Roman" w:hAnsi="Times New Roman" w:cs="Times New Roman"/>
          <w:b/>
          <w:bCs/>
          <w:sz w:val="24"/>
        </w:rPr>
        <w:t>Table 6:</w:t>
      </w:r>
      <w:r w:rsidRPr="00D40B30">
        <w:rPr>
          <w:rFonts w:ascii="Times New Roman" w:hAnsi="Times New Roman" w:cs="Times New Roman"/>
          <w:sz w:val="24"/>
        </w:rPr>
        <w:t xml:space="preserve"> </w:t>
      </w:r>
      <w:r w:rsidRPr="00D40B30">
        <w:rPr>
          <w:rFonts w:ascii="Times New Roman" w:hAnsi="Times New Roman" w:cs="Times New Roman"/>
          <w:i/>
          <w:iCs/>
          <w:sz w:val="24"/>
        </w:rPr>
        <w:t>CO₂ Reduction Efficiency of Various COPs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8"/>
        <w:gridCol w:w="2846"/>
        <w:gridCol w:w="2655"/>
        <w:gridCol w:w="2001"/>
      </w:tblGrid>
      <w:tr w:rsidR="00BE3AA3" w:rsidRPr="00D40B30" w14:paraId="022CE2A2" w14:textId="77777777" w:rsidTr="00A666E7">
        <w:trPr>
          <w:tblHeader/>
          <w:tblCellSpacing w:w="15" w:type="dxa"/>
        </w:trPr>
        <w:tc>
          <w:tcPr>
            <w:tcW w:w="0" w:type="auto"/>
            <w:vAlign w:val="center"/>
            <w:hideMark/>
          </w:tcPr>
          <w:p w14:paraId="393E1D7A" w14:textId="77777777" w:rsidR="00BE3AA3" w:rsidRPr="00D40B30"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D40B30">
              <w:rPr>
                <w:rFonts w:ascii="Times New Roman" w:eastAsia="Times New Roman" w:hAnsi="Times New Roman" w:cs="Times New Roman"/>
                <w:b/>
                <w:bCs/>
                <w:sz w:val="24"/>
                <w:szCs w:val="24"/>
                <w:lang w:val="en-PK" w:eastAsia="en-PK"/>
              </w:rPr>
              <w:t>COP Type</w:t>
            </w:r>
          </w:p>
        </w:tc>
        <w:tc>
          <w:tcPr>
            <w:tcW w:w="0" w:type="auto"/>
            <w:vAlign w:val="center"/>
            <w:hideMark/>
          </w:tcPr>
          <w:p w14:paraId="1EFD962F" w14:textId="77777777" w:rsidR="00BE3AA3" w:rsidRPr="00D40B30"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D40B30">
              <w:rPr>
                <w:rFonts w:ascii="Times New Roman" w:eastAsia="Times New Roman" w:hAnsi="Times New Roman" w:cs="Times New Roman"/>
                <w:b/>
                <w:bCs/>
                <w:sz w:val="24"/>
                <w:szCs w:val="24"/>
                <w:lang w:val="en-PK" w:eastAsia="en-PK"/>
              </w:rPr>
              <w:t>CO₂ Reduction Rate (µmol/g/h)</w:t>
            </w:r>
          </w:p>
        </w:tc>
        <w:tc>
          <w:tcPr>
            <w:tcW w:w="0" w:type="auto"/>
            <w:vAlign w:val="center"/>
            <w:hideMark/>
          </w:tcPr>
          <w:p w14:paraId="017739C8" w14:textId="77777777" w:rsidR="00BE3AA3" w:rsidRPr="00D40B30"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D40B30">
              <w:rPr>
                <w:rFonts w:ascii="Times New Roman" w:eastAsia="Times New Roman" w:hAnsi="Times New Roman" w:cs="Times New Roman"/>
                <w:b/>
                <w:bCs/>
                <w:sz w:val="24"/>
                <w:szCs w:val="24"/>
                <w:lang w:val="en-PK" w:eastAsia="en-PK"/>
              </w:rPr>
              <w:t>Product (CO or Formic Acid)</w:t>
            </w:r>
          </w:p>
        </w:tc>
        <w:tc>
          <w:tcPr>
            <w:tcW w:w="0" w:type="auto"/>
            <w:vAlign w:val="center"/>
            <w:hideMark/>
          </w:tcPr>
          <w:p w14:paraId="55F063AE" w14:textId="77777777" w:rsidR="00BE3AA3" w:rsidRPr="00D40B30"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D40B30">
              <w:rPr>
                <w:rFonts w:ascii="Times New Roman" w:eastAsia="Times New Roman" w:hAnsi="Times New Roman" w:cs="Times New Roman"/>
                <w:b/>
                <w:bCs/>
                <w:sz w:val="24"/>
                <w:szCs w:val="24"/>
                <w:lang w:val="en-PK" w:eastAsia="en-PK"/>
              </w:rPr>
              <w:t>Reference</w:t>
            </w:r>
          </w:p>
        </w:tc>
      </w:tr>
      <w:tr w:rsidR="00BE3AA3" w:rsidRPr="00D40B30" w14:paraId="7B355DB4" w14:textId="77777777" w:rsidTr="00A666E7">
        <w:trPr>
          <w:tblCellSpacing w:w="15" w:type="dxa"/>
        </w:trPr>
        <w:tc>
          <w:tcPr>
            <w:tcW w:w="0" w:type="auto"/>
            <w:vAlign w:val="center"/>
            <w:hideMark/>
          </w:tcPr>
          <w:p w14:paraId="0EFF0652"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COP266</w:t>
            </w:r>
          </w:p>
        </w:tc>
        <w:tc>
          <w:tcPr>
            <w:tcW w:w="0" w:type="auto"/>
            <w:vAlign w:val="center"/>
            <w:hideMark/>
          </w:tcPr>
          <w:p w14:paraId="68A2245F"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15.2</w:t>
            </w:r>
          </w:p>
        </w:tc>
        <w:tc>
          <w:tcPr>
            <w:tcW w:w="0" w:type="auto"/>
            <w:vAlign w:val="center"/>
            <w:hideMark/>
          </w:tcPr>
          <w:p w14:paraId="2F5A4447"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CO</w:t>
            </w:r>
          </w:p>
        </w:tc>
        <w:tc>
          <w:tcPr>
            <w:tcW w:w="0" w:type="auto"/>
            <w:vAlign w:val="center"/>
            <w:hideMark/>
          </w:tcPr>
          <w:p w14:paraId="34FA239F"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Krishnaraj et al., 2020</w:t>
            </w:r>
          </w:p>
        </w:tc>
      </w:tr>
      <w:tr w:rsidR="00BE3AA3" w:rsidRPr="00D40B30" w14:paraId="20358455" w14:textId="77777777" w:rsidTr="00A666E7">
        <w:trPr>
          <w:tblCellSpacing w:w="15" w:type="dxa"/>
        </w:trPr>
        <w:tc>
          <w:tcPr>
            <w:tcW w:w="0" w:type="auto"/>
            <w:vAlign w:val="center"/>
            <w:hideMark/>
          </w:tcPr>
          <w:p w14:paraId="4958C584"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COP300</w:t>
            </w:r>
          </w:p>
        </w:tc>
        <w:tc>
          <w:tcPr>
            <w:tcW w:w="0" w:type="auto"/>
            <w:vAlign w:val="center"/>
            <w:hideMark/>
          </w:tcPr>
          <w:p w14:paraId="6D9E2DFF"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12.5</w:t>
            </w:r>
          </w:p>
        </w:tc>
        <w:tc>
          <w:tcPr>
            <w:tcW w:w="0" w:type="auto"/>
            <w:vAlign w:val="center"/>
            <w:hideMark/>
          </w:tcPr>
          <w:p w14:paraId="68576FB1"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Formic Acid</w:t>
            </w:r>
          </w:p>
        </w:tc>
        <w:tc>
          <w:tcPr>
            <w:tcW w:w="0" w:type="auto"/>
            <w:vAlign w:val="center"/>
            <w:hideMark/>
          </w:tcPr>
          <w:p w14:paraId="7D64D468"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Liu et al., 2023</w:t>
            </w:r>
          </w:p>
        </w:tc>
      </w:tr>
    </w:tbl>
    <w:p w14:paraId="40226FBE" w14:textId="77777777" w:rsidR="00BE3AA3" w:rsidRDefault="00BE3AA3" w:rsidP="00BE3AA3">
      <w:pPr>
        <w:spacing w:line="240" w:lineRule="auto"/>
        <w:jc w:val="both"/>
        <w:rPr>
          <w:rFonts w:ascii="Times New Roman" w:hAnsi="Times New Roman" w:cs="Times New Roman"/>
          <w:sz w:val="24"/>
        </w:rPr>
      </w:pPr>
    </w:p>
    <w:p w14:paraId="0425B514" w14:textId="77777777" w:rsidR="00BE3AA3" w:rsidRPr="00752FF5" w:rsidRDefault="00BE3AA3" w:rsidP="00BE3AA3">
      <w:pPr>
        <w:spacing w:after="0"/>
        <w:rPr>
          <w:rFonts w:ascii="Times New Roman" w:eastAsiaTheme="majorEastAsia" w:hAnsi="Times New Roman" w:cs="Times New Roman"/>
          <w:b/>
          <w:bCs/>
          <w:color w:val="000000" w:themeColor="text1"/>
          <w:sz w:val="36"/>
          <w:szCs w:val="26"/>
        </w:rPr>
      </w:pPr>
      <w:r w:rsidRPr="00752FF5">
        <w:rPr>
          <w:rFonts w:ascii="Times New Roman" w:eastAsiaTheme="majorEastAsia" w:hAnsi="Times New Roman" w:cs="Times New Roman"/>
          <w:b/>
          <w:bCs/>
          <w:color w:val="000000" w:themeColor="text1"/>
          <w:sz w:val="36"/>
          <w:szCs w:val="26"/>
        </w:rPr>
        <w:t>Research Methodology</w:t>
      </w:r>
    </w:p>
    <w:p w14:paraId="35A066B4" w14:textId="77777777" w:rsidR="00BE3AA3" w:rsidRPr="009F51D6" w:rsidRDefault="00BE3AA3" w:rsidP="00BE3AA3">
      <w:pPr>
        <w:pStyle w:val="Heading2"/>
        <w:spacing w:before="0" w:line="240" w:lineRule="auto"/>
        <w:jc w:val="both"/>
        <w:rPr>
          <w:rFonts w:ascii="Times New Roman" w:hAnsi="Times New Roman" w:cs="Times New Roman"/>
        </w:rPr>
      </w:pPr>
      <w:r w:rsidRPr="009F51D6">
        <w:rPr>
          <w:rFonts w:ascii="Times New Roman" w:hAnsi="Times New Roman" w:cs="Times New Roman"/>
          <w:sz w:val="36"/>
        </w:rPr>
        <w:t>5. Materials Design and Synthesis</w:t>
      </w:r>
    </w:p>
    <w:p w14:paraId="6590E832"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On the path toward a sustainable future, visible-light-mediated photocatalytic degradation of persisting pollutants in aquatic systems and carbon dioxide (CO₂) capture represent strategic actions to reduce pollution in the environment. Covalent organic polymer (COP) nanostructures fulfill these dual functions based on covalently linked organic moieties that define their electron band structure and influence the lifetime of excited charge carriers. To engineer the nanostructures effectively, attention to materials design and synthesis directly links the selections made to photocatalytic water remediation and CO₂ capture already considered.</w:t>
      </w:r>
    </w:p>
    <w:p w14:paraId="0328BA15" w14:textId="5AC8EA6C"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The selection of monomer building blocks and the design of linking chemistries determine the available conjugation length of the COPs, their solid-state electronic conductivities, and the nature of surface functionalization that can later be introduced. P- and d-block elements serve as linkers to bridge the COP moieties while simultaneously providing metallic coordination sites to harvest metals for practical hybridization with catalytically active nanosized components. Both macrocyclic and achiral acyclic pre-organized monomers facilitate a certain degree of nano structuration of the final polymer after endpoint-coupling polymerization, thus controlling the effective conjugation length of the </w:t>
      </w:r>
      <w:r w:rsidRPr="009F51D6">
        <w:rPr>
          <w:rFonts w:ascii="Times New Roman" w:hAnsi="Times New Roman" w:cs="Times New Roman"/>
          <w:sz w:val="24"/>
        </w:rPr>
        <w:lastRenderedPageBreak/>
        <w:t>COP at the nanometer scale. Quantitative gravimetric or fluorescence methods closely monitor the precursor reaction to assess and optimize the extent of pre-organization throughout the, invariably complex, COP synthesis, enabling the rational exploitation of covalent organic frameworks (COFs), being a subclass of the COPs, to produce large amounts of hydrogen peroxide and, also, a very moderate selectivity for CO₂ capture. Certain structural features conspicuously determine the possibility of integrating, in a single photocatalytic material, the two distinct domains of action: remediation of aqueous media contaminated with hazardous organics and simultaneously the capture of gaseous CO₂.</w:t>
      </w:r>
    </w:p>
    <w:p w14:paraId="4C776B07" w14:textId="7645B71B"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The subsequent introduction of surface functionalities, such as acid–base, coordination, or redox sites, plays a fundamental complementary role. COP structures that utilize bipyridine linking chemistries reportedly incorporate a very low concentration of iron ions, behaving like ferrocene upon photoirradiation at 365 nm, while retention of both visible-light-driven H₂O₂ formation and ºOH evolution occurs. In COP materials synthesized from 1,3,5-tris(4-aminophenyl)-benzene, the polymers exhibit the same extensive visible-light-resonant absorption bands at 1.72 eV. A zero-order reaction for organics under irradiation wavelengths ≥410 nm in the presence of CO₂—and the relative photodegradation rate kinetics of phenol and dichloro-acetic acids versus 4-nitrophenol—point to a material still active for aqueous decontamination of urgent public health concern. Structural traits therefore govern the conversion paths of the COPs, steering toward one or the other function, with practical repercussions assessed on an environmental basis </w:t>
      </w:r>
      <w:r w:rsidRPr="009F51D6">
        <w:rPr>
          <w:rFonts w:ascii="Times New Roman" w:hAnsi="Times New Roman" w:cs="Times New Roman"/>
          <w:color w:val="000000"/>
          <w:sz w:val="24"/>
        </w:rPr>
        <w:t>(Krishnaraj et al., 2020)</w:t>
      </w:r>
      <w:r w:rsidRPr="009F51D6">
        <w:rPr>
          <w:rFonts w:ascii="Times New Roman" w:hAnsi="Times New Roman" w:cs="Times New Roman"/>
          <w:sz w:val="24"/>
        </w:rPr>
        <w:t>.</w:t>
      </w:r>
    </w:p>
    <w:p w14:paraId="1C51DC9D"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5.1. Monomer selection and linkage chemistry</w:t>
      </w:r>
    </w:p>
    <w:p w14:paraId="0B894130"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Covalent organic polymers (COPs) comprise a new class of metal-free photocatalysts consisting of periodic frameworks that are entirely composed of light elements (C, H, N and O). Their general properties can be tuned through winning strategies of monomer selection and linkage chemistry, linking and the hierarchical arrangement of functional moieties installed on the surfaces of nanostructures. An effective approach for enhancing visible-light-driven photocatalytic activities is the combination of structural engineering and flexible synthesis. Superior performances in water remediation and CO₂ capture were demonstrated by several COP nanostructures. Structural design is one of the most important factors to consider for the construction of efficient metal-free catalysts. Their porous structure also makes them good candidates for CO₂ capture, and they can enable dual-function CO₂ capture and water remediation under visible light.</w:t>
      </w:r>
    </w:p>
    <w:p w14:paraId="2B969339"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 xml:space="preserve">Excellent visible-light harvesting and charge transport properties are acquired using carefully selected monomers such as triazine, nitrogen-rich heterocycle, and multifunctional moieties for linkage reactions. Different nanostructures can be obtained using a few couplings of same or different monomers, including covalent organic frameworks, two-dimensional nanosheets, nanowires, and zero-dimensional nanoparticles. The synthesis of these hierarchical metal-free photocatalysts has proceeded through either non-ionic or ionic polymerization of triazine-and/or nitrogen-rich heterocyclic based monomers. Active sites like unsaturated C═N bonds that favour water remediation can be easily integrated into the metal-free frameworks during the synthesis. The systems selected for discussion exhibit diverse morphologies that influence charge dynamics and operative active sites. Triazine-based covalent organic polymers and triazine-and-meso-phenyl </w:t>
      </w:r>
      <w:r w:rsidRPr="009F51D6">
        <w:rPr>
          <w:rFonts w:ascii="Times New Roman" w:hAnsi="Times New Roman" w:cs="Times New Roman"/>
          <w:sz w:val="24"/>
        </w:rPr>
        <w:lastRenderedPageBreak/>
        <w:t>oligomers have been encapsulated and surface-decorated, a strategy that provides not only enhanced visible-light-driven activity but also control over the nature of the metal-free co-catalysts. Design choices enable these frameworks both to harvest visible-light energy effectively and to perform water remediation under these wavelengths, linking them to the cross-reference ‘Foundation of Covalent Organic Polymer Nanostructures’.</w:t>
      </w:r>
    </w:p>
    <w:p w14:paraId="4A9AC1CE" w14:textId="77777777" w:rsidR="00BE3AA3" w:rsidRPr="00AF63C2"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b/>
          <w:bCs/>
          <w:sz w:val="24"/>
          <w:szCs w:val="24"/>
          <w:highlight w:val="yellow"/>
          <w:lang w:val="en-PK" w:eastAsia="en-PK"/>
        </w:rPr>
        <w:t>Figure 8:</w:t>
      </w:r>
      <w:r w:rsidRPr="00AF63C2">
        <w:rPr>
          <w:rFonts w:ascii="Times New Roman" w:eastAsia="Times New Roman" w:hAnsi="Times New Roman" w:cs="Times New Roman"/>
          <w:sz w:val="24"/>
          <w:szCs w:val="24"/>
          <w:highlight w:val="yellow"/>
          <w:lang w:val="en-PK" w:eastAsia="en-PK"/>
        </w:rPr>
        <w:t xml:space="preserve"> </w:t>
      </w:r>
      <w:r w:rsidRPr="00AF63C2">
        <w:rPr>
          <w:rFonts w:ascii="Times New Roman" w:eastAsia="Times New Roman" w:hAnsi="Times New Roman" w:cs="Times New Roman"/>
          <w:i/>
          <w:iCs/>
          <w:sz w:val="24"/>
          <w:szCs w:val="24"/>
          <w:highlight w:val="yellow"/>
          <w:lang w:val="en-PK" w:eastAsia="en-PK"/>
        </w:rPr>
        <w:t>Monomer Selection for COP Synthesis</w:t>
      </w:r>
    </w:p>
    <w:p w14:paraId="2E09DC58" w14:textId="77777777" w:rsidR="00BE3AA3" w:rsidRPr="00AF63C2" w:rsidRDefault="00BE3AA3" w:rsidP="00BE3AA3">
      <w:pPr>
        <w:numPr>
          <w:ilvl w:val="0"/>
          <w:numId w:val="9"/>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sz w:val="24"/>
          <w:szCs w:val="24"/>
          <w:highlight w:val="yellow"/>
          <w:lang w:val="en-PK" w:eastAsia="en-PK"/>
        </w:rPr>
        <w:t>A figure showing different monomers used for COP synthesis, such as triazine, nitrogen-rich heterocycles, and diarylamines, and how they affect photocatalytic activity.</w:t>
      </w:r>
    </w:p>
    <w:p w14:paraId="4B56F402" w14:textId="77777777" w:rsidR="00BE3AA3" w:rsidRPr="009F51D6" w:rsidRDefault="00BE3AA3" w:rsidP="00BE3AA3">
      <w:pPr>
        <w:spacing w:line="240" w:lineRule="auto"/>
        <w:jc w:val="both"/>
        <w:rPr>
          <w:rFonts w:ascii="Times New Roman" w:hAnsi="Times New Roman" w:cs="Times New Roman"/>
        </w:rPr>
      </w:pPr>
    </w:p>
    <w:p w14:paraId="61DBDAF9" w14:textId="17FC3726"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5.2. Nano structuring and surface functionalization</w:t>
      </w:r>
    </w:p>
    <w:p w14:paraId="4A6C7206"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COP nanostructures can be meticulously designed to facilitate visible-light-driven water remediation while simultaneously enabling efficient capture of CO₂, thereby addressing two critically pressing environmental issues. A cocatalyst-free dual-functional arrangement for light-driven Cr(VI) abatement as well as CO₂ adsorption and reduction employs an optimized COP featuring well-defined nanostructures, which are synthesized through a precise copolymerization process involving hexahydroxytriphenylene and melamine. The process of visible-light-only Cr(VI) reduction occurs through the action of molecular electron donors present at surface sites that are adept at generating H₂O₂, p-hydroxybenzaldehyde, and –OH radicals at the aqueous-tertiary amine interface; these reactive anchor species play a crucial role in promoting both direct organic degradation and indirect oxidant-based detoxification. This dual action leads to remarkably efficient Cr(VI) conversion rates. The significance of nanostructuring in this context cannot be overstated, as it minimizes exposure to corrosive acids encountered during reactions while maximizing both edge access and overall surface area available for the reactions to occur (Figure 10). </w:t>
      </w:r>
      <w:r w:rsidRPr="009F51D6">
        <w:rPr>
          <w:rFonts w:ascii="Times New Roman" w:hAnsi="Times New Roman" w:cs="Times New Roman"/>
          <w:color w:val="000000"/>
          <w:sz w:val="24"/>
        </w:rPr>
        <w:t>(Bakhtian et al., 2022)</w:t>
      </w:r>
      <w:r w:rsidRPr="009F51D6">
        <w:rPr>
          <w:rFonts w:ascii="Times New Roman" w:hAnsi="Times New Roman" w:cs="Times New Roman"/>
          <w:sz w:val="24"/>
        </w:rPr>
        <w:t xml:space="preserve"> </w:t>
      </w:r>
    </w:p>
    <w:p w14:paraId="3D5F3BC7"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 xml:space="preserve">A second COP nanostructure supports an even broader spectrum of visible-light-assisted water local remediation at more positive potentials, pairing anion-exchangeable surface tetrabutylammonium with mixed-edge-exposed hexagonal turbostratic domains and three-dimensional porous architecture. In this cross-linked flexible COP, site-selective anion exchange and extended π-conjugation via phenyl linkages improve light capture while minimizing acido-basic coupling with water. Charge-separating educts such as n-butyl alcohol initiate sequential pathways to generate strategic absorbates in tandem with undemanding CO₂ capture and photocatalytic reduction </w:t>
      </w:r>
      <w:r w:rsidRPr="009F51D6">
        <w:rPr>
          <w:rFonts w:ascii="Times New Roman" w:hAnsi="Times New Roman" w:cs="Times New Roman"/>
          <w:color w:val="000000"/>
          <w:sz w:val="24"/>
        </w:rPr>
        <w:t>(Szewczyk et al., 2024)</w:t>
      </w:r>
      <w:r w:rsidRPr="009F51D6">
        <w:rPr>
          <w:rFonts w:ascii="Times New Roman" w:hAnsi="Times New Roman" w:cs="Times New Roman"/>
          <w:sz w:val="24"/>
        </w:rPr>
        <w:t xml:space="preserve">. COP design choices highlight the interplay between structural features and functional properties: molecular coordination controls potential and selectivity, covalent cross-linking restores defect-facilitated non-visibility, and 3D porous architecture enhances both kinetic and thermodynamic access to equilibrated phase transformation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w:t>
      </w:r>
    </w:p>
    <w:p w14:paraId="098514D7" w14:textId="77777777" w:rsidR="00BE3AA3" w:rsidRDefault="00BE3AA3" w:rsidP="00BE3AA3">
      <w:pPr>
        <w:spacing w:line="240" w:lineRule="auto"/>
        <w:jc w:val="both"/>
        <w:rPr>
          <w:rFonts w:ascii="Times New Roman" w:hAnsi="Times New Roman" w:cs="Times New Roman"/>
          <w:sz w:val="24"/>
        </w:rPr>
      </w:pPr>
      <w:r w:rsidRPr="00D40B30">
        <w:rPr>
          <w:rFonts w:ascii="Times New Roman" w:hAnsi="Times New Roman" w:cs="Times New Roman"/>
          <w:b/>
          <w:bCs/>
          <w:sz w:val="24"/>
        </w:rPr>
        <w:t>Table 7:</w:t>
      </w:r>
      <w:r w:rsidRPr="00D40B30">
        <w:rPr>
          <w:rFonts w:ascii="Times New Roman" w:hAnsi="Times New Roman" w:cs="Times New Roman"/>
          <w:sz w:val="24"/>
        </w:rPr>
        <w:t xml:space="preserve"> </w:t>
      </w:r>
      <w:r w:rsidRPr="00D40B30">
        <w:rPr>
          <w:rFonts w:ascii="Times New Roman" w:hAnsi="Times New Roman" w:cs="Times New Roman"/>
          <w:i/>
          <w:iCs/>
          <w:sz w:val="24"/>
        </w:rPr>
        <w:t>Monomer Selection for COP Synthesis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17"/>
        <w:gridCol w:w="1810"/>
        <w:gridCol w:w="3903"/>
      </w:tblGrid>
      <w:tr w:rsidR="00BE3AA3" w:rsidRPr="00D40B30" w14:paraId="6C637875" w14:textId="77777777" w:rsidTr="00A666E7">
        <w:trPr>
          <w:tblHeader/>
          <w:tblCellSpacing w:w="15" w:type="dxa"/>
        </w:trPr>
        <w:tc>
          <w:tcPr>
            <w:tcW w:w="0" w:type="auto"/>
            <w:vAlign w:val="center"/>
            <w:hideMark/>
          </w:tcPr>
          <w:p w14:paraId="517D43E3" w14:textId="77777777" w:rsidR="00BE3AA3" w:rsidRPr="00D40B30"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D40B30">
              <w:rPr>
                <w:rFonts w:ascii="Times New Roman" w:eastAsia="Times New Roman" w:hAnsi="Times New Roman" w:cs="Times New Roman"/>
                <w:b/>
                <w:bCs/>
                <w:sz w:val="24"/>
                <w:szCs w:val="24"/>
                <w:lang w:val="en-PK" w:eastAsia="en-PK"/>
              </w:rPr>
              <w:lastRenderedPageBreak/>
              <w:t>Monomer</w:t>
            </w:r>
          </w:p>
        </w:tc>
        <w:tc>
          <w:tcPr>
            <w:tcW w:w="0" w:type="auto"/>
            <w:vAlign w:val="center"/>
            <w:hideMark/>
          </w:tcPr>
          <w:p w14:paraId="4DA235C1" w14:textId="77777777" w:rsidR="00BE3AA3" w:rsidRPr="00D40B30"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D40B30">
              <w:rPr>
                <w:rFonts w:ascii="Times New Roman" w:eastAsia="Times New Roman" w:hAnsi="Times New Roman" w:cs="Times New Roman"/>
                <w:b/>
                <w:bCs/>
                <w:sz w:val="24"/>
                <w:szCs w:val="24"/>
                <w:lang w:val="en-PK" w:eastAsia="en-PK"/>
              </w:rPr>
              <w:t>Functional Group(s)</w:t>
            </w:r>
          </w:p>
        </w:tc>
        <w:tc>
          <w:tcPr>
            <w:tcW w:w="0" w:type="auto"/>
            <w:vAlign w:val="center"/>
            <w:hideMark/>
          </w:tcPr>
          <w:p w14:paraId="62F5023B" w14:textId="77777777" w:rsidR="00BE3AA3" w:rsidRPr="00D40B30"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D40B30">
              <w:rPr>
                <w:rFonts w:ascii="Times New Roman" w:eastAsia="Times New Roman" w:hAnsi="Times New Roman" w:cs="Times New Roman"/>
                <w:b/>
                <w:bCs/>
                <w:sz w:val="24"/>
                <w:szCs w:val="24"/>
                <w:lang w:val="en-PK" w:eastAsia="en-PK"/>
              </w:rPr>
              <w:t>Influence on Photocatalytic Activity</w:t>
            </w:r>
          </w:p>
        </w:tc>
      </w:tr>
      <w:tr w:rsidR="00BE3AA3" w:rsidRPr="00D40B30" w14:paraId="2488F193" w14:textId="77777777" w:rsidTr="00A666E7">
        <w:trPr>
          <w:tblCellSpacing w:w="15" w:type="dxa"/>
        </w:trPr>
        <w:tc>
          <w:tcPr>
            <w:tcW w:w="0" w:type="auto"/>
            <w:vAlign w:val="center"/>
            <w:hideMark/>
          </w:tcPr>
          <w:p w14:paraId="3F111757"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Triazine-Based</w:t>
            </w:r>
          </w:p>
        </w:tc>
        <w:tc>
          <w:tcPr>
            <w:tcW w:w="0" w:type="auto"/>
            <w:vAlign w:val="center"/>
            <w:hideMark/>
          </w:tcPr>
          <w:p w14:paraId="0DB941BF"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Triazine Rings</w:t>
            </w:r>
          </w:p>
        </w:tc>
        <w:tc>
          <w:tcPr>
            <w:tcW w:w="0" w:type="auto"/>
            <w:vAlign w:val="center"/>
            <w:hideMark/>
          </w:tcPr>
          <w:p w14:paraId="171BE766"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Enhances visible-light activity, facilitates CO₂ capture</w:t>
            </w:r>
          </w:p>
        </w:tc>
      </w:tr>
      <w:tr w:rsidR="00BE3AA3" w:rsidRPr="00D40B30" w14:paraId="7671C82C" w14:textId="77777777" w:rsidTr="00A666E7">
        <w:trPr>
          <w:tblCellSpacing w:w="15" w:type="dxa"/>
        </w:trPr>
        <w:tc>
          <w:tcPr>
            <w:tcW w:w="0" w:type="auto"/>
            <w:vAlign w:val="center"/>
            <w:hideMark/>
          </w:tcPr>
          <w:p w14:paraId="34A84CC0"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Nitrogen-Rich Heterocyclic Monomers</w:t>
            </w:r>
          </w:p>
        </w:tc>
        <w:tc>
          <w:tcPr>
            <w:tcW w:w="0" w:type="auto"/>
            <w:vAlign w:val="center"/>
            <w:hideMark/>
          </w:tcPr>
          <w:p w14:paraId="37952C01"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Nitrogen Atoms</w:t>
            </w:r>
          </w:p>
        </w:tc>
        <w:tc>
          <w:tcPr>
            <w:tcW w:w="0" w:type="auto"/>
            <w:vAlign w:val="center"/>
            <w:hideMark/>
          </w:tcPr>
          <w:p w14:paraId="70C5FC6D"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Improves electron donation and stability under light</w:t>
            </w:r>
          </w:p>
        </w:tc>
      </w:tr>
      <w:tr w:rsidR="00BE3AA3" w:rsidRPr="00D40B30" w14:paraId="13FA23F6" w14:textId="77777777" w:rsidTr="00A666E7">
        <w:trPr>
          <w:tblCellSpacing w:w="15" w:type="dxa"/>
        </w:trPr>
        <w:tc>
          <w:tcPr>
            <w:tcW w:w="0" w:type="auto"/>
            <w:vAlign w:val="center"/>
            <w:hideMark/>
          </w:tcPr>
          <w:p w14:paraId="06193374"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Diarylamine</w:t>
            </w:r>
          </w:p>
        </w:tc>
        <w:tc>
          <w:tcPr>
            <w:tcW w:w="0" w:type="auto"/>
            <w:vAlign w:val="center"/>
            <w:hideMark/>
          </w:tcPr>
          <w:p w14:paraId="0FD7992C"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Amine Groups</w:t>
            </w:r>
          </w:p>
        </w:tc>
        <w:tc>
          <w:tcPr>
            <w:tcW w:w="0" w:type="auto"/>
            <w:vAlign w:val="center"/>
            <w:hideMark/>
          </w:tcPr>
          <w:p w14:paraId="5D1BF105" w14:textId="77777777" w:rsidR="00BE3AA3" w:rsidRPr="00D40B30" w:rsidRDefault="00BE3AA3" w:rsidP="00A666E7">
            <w:pPr>
              <w:spacing w:after="0" w:line="240" w:lineRule="auto"/>
              <w:rPr>
                <w:rFonts w:ascii="Times New Roman" w:eastAsia="Times New Roman" w:hAnsi="Times New Roman" w:cs="Times New Roman"/>
                <w:sz w:val="24"/>
                <w:szCs w:val="24"/>
                <w:lang w:val="en-PK" w:eastAsia="en-PK"/>
              </w:rPr>
            </w:pPr>
            <w:r w:rsidRPr="00D40B30">
              <w:rPr>
                <w:rFonts w:ascii="Times New Roman" w:eastAsia="Times New Roman" w:hAnsi="Times New Roman" w:cs="Times New Roman"/>
                <w:sz w:val="24"/>
                <w:szCs w:val="24"/>
                <w:lang w:val="en-PK" w:eastAsia="en-PK"/>
              </w:rPr>
              <w:t>Supports H₂O₂ generation for water remediation</w:t>
            </w:r>
          </w:p>
        </w:tc>
      </w:tr>
    </w:tbl>
    <w:p w14:paraId="7E42515B" w14:textId="77777777" w:rsidR="00BE3AA3" w:rsidRPr="009F51D6" w:rsidRDefault="00BE3AA3" w:rsidP="00BE3AA3">
      <w:pPr>
        <w:spacing w:line="240" w:lineRule="auto"/>
        <w:jc w:val="both"/>
        <w:rPr>
          <w:rFonts w:ascii="Times New Roman" w:hAnsi="Times New Roman" w:cs="Times New Roman"/>
        </w:rPr>
      </w:pPr>
    </w:p>
    <w:p w14:paraId="51380AB7"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5.3. Scalability and processability</w:t>
      </w:r>
    </w:p>
    <w:p w14:paraId="6DFFF5A7"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Scalability and Processability (scalability and processability).</w:t>
      </w:r>
    </w:p>
    <w:p w14:paraId="0F800C72"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High internal surface area, tunable chemical properties, and ready functionalizability make cobalt-free covalent organic polymers (COPs) exceptionally attractive for the field of environmental remediation. The beneficial attributes of these materials allow them to play a significant role in the removal of pollutants from water and air. One of the notable strategies involves the encapsulation of COPs in alginate or carboxymethyl cellulose hydrogels, which leads to the production of monoliths with open pores and interconnecting networks. These features are essential for ensuring efficient fluid transport, which is crucial for maximizing the interaction between pollutants and the materials used for purification. The scalable methodologies being developed and refined in this area are paving the way toward real-world applicability, which is a critical milestone for any emerging technology. Furthermore, the solution processability of these innovative materials allows for techniques such as spin-coating, spray-coating, or ink-jetting of water-remediating COPs as thin films onto various substrates. This flexibility in application methods highlights the versatility of COPs in practical uses and expands their potential reach in environmental applications.</w:t>
      </w:r>
    </w:p>
    <w:p w14:paraId="3E6A1FCC" w14:textId="77777777" w:rsidR="00BE3AA3" w:rsidRPr="00AF63C2"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b/>
          <w:bCs/>
          <w:sz w:val="24"/>
          <w:szCs w:val="24"/>
          <w:highlight w:val="yellow"/>
          <w:lang w:val="en-PK" w:eastAsia="en-PK"/>
        </w:rPr>
        <w:t>Figure 9:</w:t>
      </w:r>
      <w:r w:rsidRPr="00AF63C2">
        <w:rPr>
          <w:rFonts w:ascii="Times New Roman" w:eastAsia="Times New Roman" w:hAnsi="Times New Roman" w:cs="Times New Roman"/>
          <w:sz w:val="24"/>
          <w:szCs w:val="24"/>
          <w:highlight w:val="yellow"/>
          <w:lang w:val="en-PK" w:eastAsia="en-PK"/>
        </w:rPr>
        <w:t xml:space="preserve"> </w:t>
      </w:r>
      <w:r w:rsidRPr="00AF63C2">
        <w:rPr>
          <w:rFonts w:ascii="Times New Roman" w:eastAsia="Times New Roman" w:hAnsi="Times New Roman" w:cs="Times New Roman"/>
          <w:i/>
          <w:iCs/>
          <w:sz w:val="24"/>
          <w:szCs w:val="24"/>
          <w:highlight w:val="yellow"/>
          <w:lang w:val="en-PK" w:eastAsia="en-PK"/>
        </w:rPr>
        <w:t>Structural Design Principles for Visible-Light Activity in COPs</w:t>
      </w:r>
    </w:p>
    <w:p w14:paraId="0852994C" w14:textId="77777777" w:rsidR="00BE3AA3" w:rsidRPr="00AF63C2" w:rsidRDefault="00BE3AA3" w:rsidP="00BE3AA3">
      <w:pPr>
        <w:numPr>
          <w:ilvl w:val="0"/>
          <w:numId w:val="10"/>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sz w:val="24"/>
          <w:szCs w:val="24"/>
          <w:highlight w:val="yellow"/>
          <w:lang w:val="en-PK" w:eastAsia="en-PK"/>
        </w:rPr>
        <w:t>A diagram showing the importance of the conjugated backbone and triazine core in COPs, and how these features enable visible-light activity and CO₂ capture.</w:t>
      </w:r>
    </w:p>
    <w:p w14:paraId="63CFB753" w14:textId="77777777" w:rsidR="00BE3AA3" w:rsidRPr="009F51D6" w:rsidRDefault="00BE3AA3" w:rsidP="00BE3AA3">
      <w:pPr>
        <w:spacing w:line="240" w:lineRule="auto"/>
        <w:jc w:val="both"/>
        <w:rPr>
          <w:rFonts w:ascii="Times New Roman" w:hAnsi="Times New Roman" w:cs="Times New Roman"/>
        </w:rPr>
      </w:pPr>
    </w:p>
    <w:p w14:paraId="32B8C644"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Nanostructured conjugated organic polymers (COPs) featuring visible-light-induced photoactivity have been meticulously prepared by selecting appropriate monomers and linkages, building upon foundational research aimed at creating advanced two-dimensional structures. These sophisticated polymeric networks, which are primarily based on strongly donating groups such as sulfonate, diarylamine, or triarylamine units, demonstrate remarkable charge-transfer and light-harvesting efficiencies. The extensive π-conjugation inherent in these materials effectively lowers charge localization, thereby significantly enhancing the kinetics of charge transfer. Additionally, the selection of suitable linkers facilitates the self-assembly of these structures into either porous nanosheet or nanosponge architectures, which are highly compatible with a diverse range of substrates, enabling their application in various technological fields.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 xml:space="preserve"> </w:t>
      </w:r>
    </w:p>
    <w:p w14:paraId="759AF3BE"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lastRenderedPageBreak/>
        <w:t>Efforts to design metal-free, covalent-coordination-framework, water-remediating systems utilizing COP nanostructures span synthetic strategies, structural attributes, and scalability/solution-processability considerations. These design choices, alongside charge dynamics, also influence CO₂-capture pathways and water-remediation modules.</w:t>
      </w:r>
    </w:p>
    <w:p w14:paraId="5485C672" w14:textId="77777777" w:rsidR="00BE3AA3" w:rsidRPr="009F51D6" w:rsidRDefault="00BE3AA3" w:rsidP="00BE3AA3">
      <w:pPr>
        <w:pStyle w:val="Heading2"/>
        <w:spacing w:before="0" w:line="240" w:lineRule="auto"/>
        <w:jc w:val="both"/>
        <w:rPr>
          <w:rFonts w:ascii="Times New Roman" w:hAnsi="Times New Roman" w:cs="Times New Roman"/>
        </w:rPr>
      </w:pPr>
      <w:r w:rsidRPr="009F51D6">
        <w:rPr>
          <w:rFonts w:ascii="Times New Roman" w:hAnsi="Times New Roman" w:cs="Times New Roman"/>
          <w:sz w:val="36"/>
        </w:rPr>
        <w:t>6. Characterization and Performance Evaluation</w:t>
      </w:r>
    </w:p>
    <w:p w14:paraId="2B1AD829"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Characterization consists of spectroscopic and structural methods to probe material features relevant to photocatalytic and CO₂ capture performance. For water remediation assessment, visible-light photodegradation of dyes such as methylene blue (MB, λexc = 664 nm) and rhodamine B (RhB, λexc = 554 nm) evaluates pollutant removal, while chemical oxygen demand (COD) reduction quantifies organic degradation </w:t>
      </w:r>
      <w:r w:rsidRPr="009F51D6">
        <w:rPr>
          <w:rFonts w:ascii="Times New Roman" w:hAnsi="Times New Roman" w:cs="Times New Roman"/>
          <w:color w:val="000000"/>
          <w:sz w:val="24"/>
        </w:rPr>
        <w:t>(Sherif Badreldin, 2019)</w:t>
      </w:r>
      <w:r w:rsidRPr="009F51D6">
        <w:rPr>
          <w:rFonts w:ascii="Times New Roman" w:hAnsi="Times New Roman" w:cs="Times New Roman"/>
          <w:sz w:val="24"/>
        </w:rPr>
        <w:t>. The turnover number (TON) of CO₂ capture under ambient conditions is also determined.</w:t>
      </w:r>
    </w:p>
    <w:p w14:paraId="3FE36114"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To clarify the functions underpinning activity trends, traceable points for spectroscopic and performance measurements are proposed, linking to design principles and charge dynamics described previously.</w:t>
      </w:r>
    </w:p>
    <w:p w14:paraId="11102159"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6.1. Spectroscopic and structural characterization</w:t>
      </w:r>
    </w:p>
    <w:p w14:paraId="32DC0815"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Nanostructured covalent organic polymers (COPs) represent an intriguing and largely untapped resource as metal-free catalysts for the improvement of efficient visible-light-driven water remediation processes and CO2 capture technologies. Traditionally, a wide array of polymeric materials has been systematically explored for their photocatalytic capabilities under visible light and for their potential in CO2 conversion applications. However, numerous materials in this category show limited activity when exposed to light from standard commercial sources. Furthermore, the simultaneous pursuit of water purification and CO2 utilization using polymeric materials has not been extensively undertaken, indicating a significant gap in research and application in this promising field.</w:t>
      </w:r>
    </w:p>
    <w:p w14:paraId="3E2EE2AC"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Nanostructured Covalent Organic Polymers (COPs) effectively fulfill the crucial design criteria established for visible-light photocatalysts that also mediate the simultaneous processes of water remediation and CO2 capture. By employing a straightforward, one-step polymerization technique, triazine-based COPs with tunable structural characteristics and porosity can be efficiently prepared. The incorporation of high nitrogen content significantly enhances the electron-donor characteristics of these materials, effectively suppressing undesirable recombination processes that can hinder performance, while simultaneously promoting efficient charge separation. Additionally, the presence of abundant nitrogen-containing active sites greatly supports a diverse range of photocatalytic reactions. These strategically designed elements enable the effective degradation of harmful organic pollutants present in water and facilitate the selective conversion of CO2 into CO, even under the illumination of commercially available lamps, making these materials exceptionally valuable for environmental applications.</w:t>
      </w:r>
    </w:p>
    <w:p w14:paraId="27BAC08B"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6.2. Photocatalytic activity metrics for water remediation</w:t>
      </w:r>
    </w:p>
    <w:p w14:paraId="42796917"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 xml:space="preserve">The photocatalytic degradation of target organic compounds from water represents a pivotal aspect of environmental remediation efforts in our modern world. Photocatalysis facilitates the mineralization process of these organic pollutants, transforming them into harmless end-products by harnessing the potential of solar energy in combination with the </w:t>
      </w:r>
      <w:r w:rsidRPr="009F51D6">
        <w:rPr>
          <w:rFonts w:ascii="Times New Roman" w:hAnsi="Times New Roman" w:cs="Times New Roman"/>
          <w:sz w:val="24"/>
        </w:rPr>
        <w:lastRenderedPageBreak/>
        <w:t xml:space="preserve">presence of an effective photocatalyst. Over the course of recent studies, a considerable number of covalent organic polymer (COP) nanostructures have been evaluated for their visible-light-driven photocatalytic performance, although the efficiencies associated with select COPs, particularly those that encompass various structural attributes, remain largely uncharted territory. As part of these extensive investigations, thorough photodegradation assessments have been conducted to determine the efficacy of COP266 and COP300-based visible-light photocatalysts in removing hazardous organic pollutants from contaminated water sources. The target organic contaminants, chosen for their challenging low biodegradability and elevated toxicity levels, include options such as methyl orange (MO), methylene blue (MB), rhodamine B (RB), 4-nitrophenol (4-NP), and phenol, each requiring careful scrutiny for effective water purification. In particular, for the innovative hybrid system integrating CAS–BOC@COP266 to enable dual N2–CO2 sorption methodologies, the overlapped photodegradation of C–N and C–C bonds plays a crucial role in furthering advanced purification efforts. Additionally, the CO2 adsorption potential was meticulously evaluated across various materials including CAS–BOC@COP266, COP266, and COP300, shedding light on the pressing necessity for this supplemental approach in tackling challenges related to climate change and its myriad impacts on our environment.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 xml:space="preserve"> </w:t>
      </w:r>
    </w:p>
    <w:p w14:paraId="46C173F7" w14:textId="77777777" w:rsidR="00BE3AA3" w:rsidRPr="00AF63C2"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b/>
          <w:bCs/>
          <w:sz w:val="24"/>
          <w:szCs w:val="24"/>
          <w:highlight w:val="yellow"/>
          <w:lang w:val="en-PK" w:eastAsia="en-PK"/>
        </w:rPr>
        <w:t>Figure 10:</w:t>
      </w:r>
      <w:r w:rsidRPr="00AF63C2">
        <w:rPr>
          <w:rFonts w:ascii="Times New Roman" w:eastAsia="Times New Roman" w:hAnsi="Times New Roman" w:cs="Times New Roman"/>
          <w:sz w:val="24"/>
          <w:szCs w:val="24"/>
          <w:highlight w:val="yellow"/>
          <w:lang w:val="en-PK" w:eastAsia="en-PK"/>
        </w:rPr>
        <w:t xml:space="preserve"> </w:t>
      </w:r>
      <w:r w:rsidRPr="00AF63C2">
        <w:rPr>
          <w:rFonts w:ascii="Times New Roman" w:eastAsia="Times New Roman" w:hAnsi="Times New Roman" w:cs="Times New Roman"/>
          <w:i/>
          <w:iCs/>
          <w:sz w:val="24"/>
          <w:szCs w:val="24"/>
          <w:highlight w:val="yellow"/>
          <w:lang w:val="en-PK" w:eastAsia="en-PK"/>
        </w:rPr>
        <w:t>Photocatalytic Performance of COPs for Water Remediation</w:t>
      </w:r>
    </w:p>
    <w:p w14:paraId="068AB80E" w14:textId="77777777" w:rsidR="00BE3AA3" w:rsidRPr="00AF63C2" w:rsidRDefault="00BE3AA3" w:rsidP="00BE3AA3">
      <w:pPr>
        <w:numPr>
          <w:ilvl w:val="0"/>
          <w:numId w:val="11"/>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sz w:val="24"/>
          <w:szCs w:val="24"/>
          <w:highlight w:val="yellow"/>
          <w:lang w:val="en-PK" w:eastAsia="en-PK"/>
        </w:rPr>
        <w:t>A bar chart comparing the degradation efficiency of various COPs (COP266, COP300, etc.) for different organic pollutants such as methylene blue, rhodamine B, and phenol.</w:t>
      </w:r>
    </w:p>
    <w:p w14:paraId="12C3A517" w14:textId="77777777" w:rsidR="00BE3AA3" w:rsidRPr="009F51D6" w:rsidRDefault="00BE3AA3" w:rsidP="00BE3AA3">
      <w:pPr>
        <w:spacing w:line="240" w:lineRule="auto"/>
        <w:jc w:val="both"/>
        <w:rPr>
          <w:rFonts w:ascii="Times New Roman" w:hAnsi="Times New Roman" w:cs="Times New Roman"/>
        </w:rPr>
      </w:pPr>
    </w:p>
    <w:p w14:paraId="76A11913"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 xml:space="preserve">Due to ever-increasing anthropogenic activities and growing populations, industrialisation continues to develop at an alarming rate, giving rise to excessive disposal from factories, residences, and pharmaceuticals. It is essential to address dangerous contaminants that inevitably pollute water sources, as these trace hazardous substances pose a substantial risk not merely to aquatic ecosystems but also to humans. One of the inevitable solutions to tackle emerging contaminants is via photocatalysis, which efficiently employs solar energy for remediation by harnessing metals or metal-free materials that largely contribute to environmental sustainability. Water pollution is among the most dangerous forms of contamination, leading to unsafe drinking resources and deteriorating living conditions. Particularly from tetracyclines, antibiotics, and heteroaromatic organic compounds, methyl orange (MO), methylene blue (MB), rhodamine B (RB), 4-nitrophenol (4-NP), and phenol are one of the most commonly discussed contaminants in photocatalytic water-purification systems </w:t>
      </w:r>
      <w:r w:rsidRPr="009F51D6">
        <w:rPr>
          <w:rFonts w:ascii="Times New Roman" w:hAnsi="Times New Roman" w:cs="Times New Roman"/>
          <w:color w:val="000000"/>
          <w:sz w:val="24"/>
        </w:rPr>
        <w:t>(Park et al., 2023)</w:t>
      </w:r>
      <w:r w:rsidRPr="009F51D6">
        <w:rPr>
          <w:rFonts w:ascii="Times New Roman" w:hAnsi="Times New Roman" w:cs="Times New Roman"/>
          <w:sz w:val="24"/>
        </w:rPr>
        <w:t>.</w:t>
      </w:r>
    </w:p>
    <w:p w14:paraId="1D4BF72C" w14:textId="77777777" w:rsidR="00BE3AA3" w:rsidRDefault="00BE3AA3" w:rsidP="00BE3AA3">
      <w:pPr>
        <w:spacing w:line="240" w:lineRule="auto"/>
        <w:jc w:val="both"/>
        <w:rPr>
          <w:rFonts w:ascii="Times New Roman" w:hAnsi="Times New Roman" w:cs="Times New Roman"/>
          <w:sz w:val="24"/>
        </w:rPr>
      </w:pPr>
      <w:r w:rsidRPr="008251E1">
        <w:rPr>
          <w:rFonts w:ascii="Times New Roman" w:hAnsi="Times New Roman" w:cs="Times New Roman"/>
          <w:b/>
          <w:bCs/>
          <w:sz w:val="24"/>
        </w:rPr>
        <w:t>Table 8:</w:t>
      </w:r>
      <w:r w:rsidRPr="008251E1">
        <w:rPr>
          <w:rFonts w:ascii="Times New Roman" w:hAnsi="Times New Roman" w:cs="Times New Roman"/>
          <w:sz w:val="24"/>
        </w:rPr>
        <w:t xml:space="preserve"> </w:t>
      </w:r>
      <w:r w:rsidRPr="008251E1">
        <w:rPr>
          <w:rFonts w:ascii="Times New Roman" w:hAnsi="Times New Roman" w:cs="Times New Roman"/>
          <w:i/>
          <w:iCs/>
          <w:sz w:val="24"/>
        </w:rPr>
        <w:t>Photocatalytic Activity for Water Remediation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28"/>
        <w:gridCol w:w="2920"/>
        <w:gridCol w:w="1500"/>
        <w:gridCol w:w="1849"/>
      </w:tblGrid>
      <w:tr w:rsidR="00BE3AA3" w:rsidRPr="008251E1" w14:paraId="2932D7AF" w14:textId="77777777" w:rsidTr="00A666E7">
        <w:trPr>
          <w:tblHeader/>
          <w:tblCellSpacing w:w="15" w:type="dxa"/>
        </w:trPr>
        <w:tc>
          <w:tcPr>
            <w:tcW w:w="0" w:type="auto"/>
            <w:vAlign w:val="center"/>
            <w:hideMark/>
          </w:tcPr>
          <w:p w14:paraId="065623D6" w14:textId="77777777" w:rsidR="00BE3AA3" w:rsidRPr="008251E1"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8251E1">
              <w:rPr>
                <w:rFonts w:ascii="Times New Roman" w:eastAsia="Times New Roman" w:hAnsi="Times New Roman" w:cs="Times New Roman"/>
                <w:b/>
                <w:bCs/>
                <w:sz w:val="24"/>
                <w:szCs w:val="24"/>
                <w:lang w:val="en-PK" w:eastAsia="en-PK"/>
              </w:rPr>
              <w:t>Contaminant</w:t>
            </w:r>
          </w:p>
        </w:tc>
        <w:tc>
          <w:tcPr>
            <w:tcW w:w="0" w:type="auto"/>
            <w:vAlign w:val="center"/>
            <w:hideMark/>
          </w:tcPr>
          <w:p w14:paraId="31A97BD8" w14:textId="77777777" w:rsidR="00BE3AA3" w:rsidRPr="008251E1"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8251E1">
              <w:rPr>
                <w:rFonts w:ascii="Times New Roman" w:eastAsia="Times New Roman" w:hAnsi="Times New Roman" w:cs="Times New Roman"/>
                <w:b/>
                <w:bCs/>
                <w:sz w:val="24"/>
                <w:szCs w:val="24"/>
                <w:lang w:val="en-PK" w:eastAsia="en-PK"/>
              </w:rPr>
              <w:t>Photodegradation Rate (%)</w:t>
            </w:r>
          </w:p>
        </w:tc>
        <w:tc>
          <w:tcPr>
            <w:tcW w:w="0" w:type="auto"/>
            <w:vAlign w:val="center"/>
            <w:hideMark/>
          </w:tcPr>
          <w:p w14:paraId="4E00E2A9" w14:textId="77777777" w:rsidR="00BE3AA3" w:rsidRPr="008251E1"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8251E1">
              <w:rPr>
                <w:rFonts w:ascii="Times New Roman" w:eastAsia="Times New Roman" w:hAnsi="Times New Roman" w:cs="Times New Roman"/>
                <w:b/>
                <w:bCs/>
                <w:sz w:val="24"/>
                <w:szCs w:val="24"/>
                <w:lang w:val="en-PK" w:eastAsia="en-PK"/>
              </w:rPr>
              <w:t>Catalyst Used</w:t>
            </w:r>
          </w:p>
        </w:tc>
        <w:tc>
          <w:tcPr>
            <w:tcW w:w="0" w:type="auto"/>
            <w:vAlign w:val="center"/>
            <w:hideMark/>
          </w:tcPr>
          <w:p w14:paraId="13045B64" w14:textId="77777777" w:rsidR="00BE3AA3" w:rsidRPr="008251E1"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8251E1">
              <w:rPr>
                <w:rFonts w:ascii="Times New Roman" w:eastAsia="Times New Roman" w:hAnsi="Times New Roman" w:cs="Times New Roman"/>
                <w:b/>
                <w:bCs/>
                <w:sz w:val="24"/>
                <w:szCs w:val="24"/>
                <w:lang w:val="en-PK" w:eastAsia="en-PK"/>
              </w:rPr>
              <w:t>Reference</w:t>
            </w:r>
          </w:p>
        </w:tc>
      </w:tr>
      <w:tr w:rsidR="00BE3AA3" w:rsidRPr="008251E1" w14:paraId="2818A6BB" w14:textId="77777777" w:rsidTr="00A666E7">
        <w:trPr>
          <w:tblCellSpacing w:w="15" w:type="dxa"/>
        </w:trPr>
        <w:tc>
          <w:tcPr>
            <w:tcW w:w="0" w:type="auto"/>
            <w:vAlign w:val="center"/>
            <w:hideMark/>
          </w:tcPr>
          <w:p w14:paraId="1E890B93"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Methylene Blue (MB)</w:t>
            </w:r>
          </w:p>
        </w:tc>
        <w:tc>
          <w:tcPr>
            <w:tcW w:w="0" w:type="auto"/>
            <w:vAlign w:val="center"/>
            <w:hideMark/>
          </w:tcPr>
          <w:p w14:paraId="0A8DC652"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89%</w:t>
            </w:r>
          </w:p>
        </w:tc>
        <w:tc>
          <w:tcPr>
            <w:tcW w:w="0" w:type="auto"/>
            <w:vAlign w:val="center"/>
            <w:hideMark/>
          </w:tcPr>
          <w:p w14:paraId="7BFDE8F0"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COP266</w:t>
            </w:r>
          </w:p>
        </w:tc>
        <w:tc>
          <w:tcPr>
            <w:tcW w:w="0" w:type="auto"/>
            <w:vAlign w:val="center"/>
            <w:hideMark/>
          </w:tcPr>
          <w:p w14:paraId="56DE4562"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Ghosh et al., 2023</w:t>
            </w:r>
          </w:p>
        </w:tc>
      </w:tr>
      <w:tr w:rsidR="00BE3AA3" w:rsidRPr="008251E1" w14:paraId="18DEC847" w14:textId="77777777" w:rsidTr="00A666E7">
        <w:trPr>
          <w:tblCellSpacing w:w="15" w:type="dxa"/>
        </w:trPr>
        <w:tc>
          <w:tcPr>
            <w:tcW w:w="0" w:type="auto"/>
            <w:vAlign w:val="center"/>
            <w:hideMark/>
          </w:tcPr>
          <w:p w14:paraId="54C11D83"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Rhodamine B (RhB)</w:t>
            </w:r>
          </w:p>
        </w:tc>
        <w:tc>
          <w:tcPr>
            <w:tcW w:w="0" w:type="auto"/>
            <w:vAlign w:val="center"/>
            <w:hideMark/>
          </w:tcPr>
          <w:p w14:paraId="0F9612AB"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95%</w:t>
            </w:r>
          </w:p>
        </w:tc>
        <w:tc>
          <w:tcPr>
            <w:tcW w:w="0" w:type="auto"/>
            <w:vAlign w:val="center"/>
            <w:hideMark/>
          </w:tcPr>
          <w:p w14:paraId="0B56E910"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COP300</w:t>
            </w:r>
          </w:p>
        </w:tc>
        <w:tc>
          <w:tcPr>
            <w:tcW w:w="0" w:type="auto"/>
            <w:vAlign w:val="center"/>
            <w:hideMark/>
          </w:tcPr>
          <w:p w14:paraId="2037D478"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Patel et al., 2023</w:t>
            </w:r>
          </w:p>
        </w:tc>
      </w:tr>
      <w:tr w:rsidR="00BE3AA3" w:rsidRPr="008251E1" w14:paraId="4050EB31" w14:textId="77777777" w:rsidTr="00A666E7">
        <w:trPr>
          <w:tblCellSpacing w:w="15" w:type="dxa"/>
        </w:trPr>
        <w:tc>
          <w:tcPr>
            <w:tcW w:w="0" w:type="auto"/>
            <w:vAlign w:val="center"/>
            <w:hideMark/>
          </w:tcPr>
          <w:p w14:paraId="35B6069D"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lastRenderedPageBreak/>
              <w:t>Phenol</w:t>
            </w:r>
          </w:p>
        </w:tc>
        <w:tc>
          <w:tcPr>
            <w:tcW w:w="0" w:type="auto"/>
            <w:vAlign w:val="center"/>
            <w:hideMark/>
          </w:tcPr>
          <w:p w14:paraId="23287F11"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81%</w:t>
            </w:r>
          </w:p>
        </w:tc>
        <w:tc>
          <w:tcPr>
            <w:tcW w:w="0" w:type="auto"/>
            <w:vAlign w:val="center"/>
            <w:hideMark/>
          </w:tcPr>
          <w:p w14:paraId="639F7455"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COP300</w:t>
            </w:r>
          </w:p>
        </w:tc>
        <w:tc>
          <w:tcPr>
            <w:tcW w:w="0" w:type="auto"/>
            <w:vAlign w:val="center"/>
            <w:hideMark/>
          </w:tcPr>
          <w:p w14:paraId="773ED3D1"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Wang et al., 2024</w:t>
            </w:r>
          </w:p>
        </w:tc>
      </w:tr>
    </w:tbl>
    <w:p w14:paraId="7B5B90C9" w14:textId="77777777" w:rsidR="00BE3AA3" w:rsidRPr="009F51D6" w:rsidRDefault="00BE3AA3" w:rsidP="00BE3AA3">
      <w:pPr>
        <w:spacing w:line="240" w:lineRule="auto"/>
        <w:jc w:val="both"/>
        <w:rPr>
          <w:rFonts w:ascii="Times New Roman" w:hAnsi="Times New Roman" w:cs="Times New Roman"/>
        </w:rPr>
      </w:pPr>
    </w:p>
    <w:p w14:paraId="02CE74FF"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6.3. CO₂ capture efficiency and turnover numbers</w:t>
      </w:r>
    </w:p>
    <w:p w14:paraId="456B056C"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Covalent organic polymers (COPs) represent a revolutionary and promising class of metal-free photocatalysts that have significant potential in the fabrication of advanced composite materials. These materials can be developed without any compromise to their optical, electronic, or mechanical properties, which is particularly crucial for a variety of applications. Different types of COPs exhibit unique charge dynamics as well as distinct catalytic functionalities, which opens up numerous avenues for multi-functional applications. Notable among these applications are the efficient processes of visible-light-driven photocatalytic water remediation and CO2 capture, both of which are vital for addressing pressing environmental challenges. The continuous evolution of covalent organic polymers and innovative design strategies is an area of active exploration, aimed specifically at achieving diversified functionalities. Emphasis is placed on applications such as CO2 capture. When this function is effectively integrated with water treatment processes, it significantly contributes to dual-purpose environmental remediation, thereby enhancing the efficacy of both applications. Notably, COPs retain highly polar nitrogen functionalities even after undergoing CO2 capture, which allows these materials to maintain their utility in water treatment applications. In the pursuit of identifying effective materials, four representative COP candidates have been synthesized through this strategy, showcasing varied topologies and differing reaction pathways for producing single-component materials. The growing interest in COPs is indicative of their expanding role in the field, and innovative new designs can further enhance these structures, endowing them with additional promising functionalities while also ensuring straightforward synthesis processes. This progress will undoubtedly facilitate the advancement of environmentally sustainable technologies aimed at mitigating the impacts of pollution and resource depletion.</w:t>
      </w:r>
    </w:p>
    <w:p w14:paraId="35BBCF36" w14:textId="77777777" w:rsidR="00BE3AA3" w:rsidRPr="00AF63C2"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b/>
          <w:bCs/>
          <w:sz w:val="24"/>
          <w:szCs w:val="24"/>
          <w:highlight w:val="yellow"/>
          <w:lang w:val="en-PK" w:eastAsia="en-PK"/>
        </w:rPr>
        <w:t>Figure 11:</w:t>
      </w:r>
      <w:r w:rsidRPr="00AF63C2">
        <w:rPr>
          <w:rFonts w:ascii="Times New Roman" w:eastAsia="Times New Roman" w:hAnsi="Times New Roman" w:cs="Times New Roman"/>
          <w:sz w:val="24"/>
          <w:szCs w:val="24"/>
          <w:highlight w:val="yellow"/>
          <w:lang w:val="en-PK" w:eastAsia="en-PK"/>
        </w:rPr>
        <w:t xml:space="preserve"> </w:t>
      </w:r>
      <w:r w:rsidRPr="00AF63C2">
        <w:rPr>
          <w:rFonts w:ascii="Times New Roman" w:eastAsia="Times New Roman" w:hAnsi="Times New Roman" w:cs="Times New Roman"/>
          <w:i/>
          <w:iCs/>
          <w:sz w:val="24"/>
          <w:szCs w:val="24"/>
          <w:highlight w:val="yellow"/>
          <w:lang w:val="en-PK" w:eastAsia="en-PK"/>
        </w:rPr>
        <w:t>Charge Separation and Transport in COPs Under Visible Light</w:t>
      </w:r>
    </w:p>
    <w:p w14:paraId="01092655" w14:textId="77777777" w:rsidR="00BE3AA3" w:rsidRPr="00AF63C2" w:rsidRDefault="00BE3AA3" w:rsidP="00BE3AA3">
      <w:pPr>
        <w:numPr>
          <w:ilvl w:val="0"/>
          <w:numId w:val="12"/>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sz w:val="24"/>
          <w:szCs w:val="24"/>
          <w:highlight w:val="yellow"/>
          <w:lang w:val="en-PK" w:eastAsia="en-PK"/>
        </w:rPr>
        <w:t>A diagram illustrating the charge separation mechanism in COPs when exposed to visible light, showing the movement of electrons and holes and their roles in the photocatalytic process.</w:t>
      </w:r>
    </w:p>
    <w:p w14:paraId="57104AF1" w14:textId="77777777" w:rsidR="00BE3AA3" w:rsidRPr="009F51D6" w:rsidRDefault="00BE3AA3" w:rsidP="00BE3AA3">
      <w:pPr>
        <w:spacing w:line="240" w:lineRule="auto"/>
        <w:jc w:val="both"/>
        <w:rPr>
          <w:rFonts w:ascii="Times New Roman" w:hAnsi="Times New Roman" w:cs="Times New Roman"/>
        </w:rPr>
      </w:pPr>
    </w:p>
    <w:p w14:paraId="2717E502" w14:textId="77777777" w:rsidR="00BE3AA3" w:rsidRPr="009F51D6" w:rsidRDefault="00BE3AA3" w:rsidP="00BE3AA3">
      <w:pPr>
        <w:pStyle w:val="Heading2"/>
        <w:spacing w:before="0" w:line="240" w:lineRule="auto"/>
        <w:jc w:val="both"/>
        <w:rPr>
          <w:rFonts w:ascii="Times New Roman" w:hAnsi="Times New Roman" w:cs="Times New Roman"/>
        </w:rPr>
      </w:pPr>
      <w:r w:rsidRPr="009F51D6">
        <w:rPr>
          <w:rFonts w:ascii="Times New Roman" w:hAnsi="Times New Roman" w:cs="Times New Roman"/>
          <w:sz w:val="36"/>
        </w:rPr>
        <w:t>7. Stability, Durability, and Reusability</w:t>
      </w:r>
    </w:p>
    <w:p w14:paraId="5AB93A6B"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Chemical and photostability are crucial for long-term photocatalytic performance under solar irradiation. Extensive characterizations demonstrate that COP nanostructures featuring flexible and pore-filling architectures offer a highly covalent yet resilient framework that ensures efficient H₂O₂ production even after prolonged photocatalysis under visible light </w:t>
      </w:r>
      <w:r w:rsidRPr="009F51D6">
        <w:rPr>
          <w:rFonts w:ascii="Times New Roman" w:hAnsi="Times New Roman" w:cs="Times New Roman"/>
          <w:color w:val="000000"/>
          <w:sz w:val="24"/>
        </w:rPr>
        <w:t>(Krishnaraj et al., 2020)</w:t>
      </w:r>
      <w:r w:rsidRPr="009F51D6">
        <w:rPr>
          <w:rFonts w:ascii="Times New Roman" w:hAnsi="Times New Roman" w:cs="Times New Roman"/>
          <w:sz w:val="24"/>
        </w:rPr>
        <w:t xml:space="preserve"> ; </w:t>
      </w:r>
      <w:r w:rsidRPr="009F51D6">
        <w:rPr>
          <w:rFonts w:ascii="Times New Roman" w:hAnsi="Times New Roman" w:cs="Times New Roman"/>
          <w:color w:val="000000"/>
          <w:sz w:val="24"/>
        </w:rPr>
        <w:t>(Wang et al., 2024)</w:t>
      </w:r>
      <w:r w:rsidRPr="009F51D6">
        <w:rPr>
          <w:rFonts w:ascii="Times New Roman" w:hAnsi="Times New Roman" w:cs="Times New Roman"/>
          <w:sz w:val="24"/>
        </w:rPr>
        <w:t xml:space="preserve">. Photocatalysts that capture and convert CO₂ into value-added products without significant deactivation over multiple cycles have been designed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 xml:space="preserve">. Curbing CO₂ </w:t>
      </w:r>
      <w:r w:rsidRPr="009F51D6">
        <w:rPr>
          <w:rFonts w:ascii="Times New Roman" w:hAnsi="Times New Roman" w:cs="Times New Roman"/>
          <w:sz w:val="24"/>
        </w:rPr>
        <w:lastRenderedPageBreak/>
        <w:t>emissions and mitigating climate change are pressing challenges requiring collaboration across disciplines. Metal-free COP nanostructures capable of simultaneous H₂O₂ production through O₂ reduction and value-added CO₂ conversion under visible light provide two complementary retention frameworks;;.</w:t>
      </w:r>
    </w:p>
    <w:p w14:paraId="0F02F9A9" w14:textId="0463FAC5"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CRG and /S-CPAT linkers provide additional structural stability and an ideal band gap for visible-light absorption. Monomer combinations were intentionally selected to achieve multifunctional purification. These two-component designs enabling selective CO₂ conversion pathways simultaneously offer strong fixation of glasses during UV cross-linking, enhancing long-term operation. Encapsulation of catalytic species and nano structuring further maintain functionality when integrated into continuous processes. Accomplished catalyst design and material choices support stable photocatalysis and advocate for the use of COPs as multifunctional materials for advanced solar energy conversion.</w:t>
      </w:r>
    </w:p>
    <w:p w14:paraId="00307342" w14:textId="77777777" w:rsidR="00BE3AA3" w:rsidRDefault="00BE3AA3" w:rsidP="00BE3AA3">
      <w:pPr>
        <w:spacing w:line="240" w:lineRule="auto"/>
        <w:jc w:val="both"/>
        <w:rPr>
          <w:rFonts w:ascii="Times New Roman" w:hAnsi="Times New Roman" w:cs="Times New Roman"/>
          <w:sz w:val="24"/>
        </w:rPr>
      </w:pPr>
      <w:r w:rsidRPr="008251E1">
        <w:rPr>
          <w:rFonts w:ascii="Times New Roman" w:hAnsi="Times New Roman" w:cs="Times New Roman"/>
          <w:b/>
          <w:bCs/>
          <w:sz w:val="24"/>
        </w:rPr>
        <w:t>Table 9:</w:t>
      </w:r>
      <w:r w:rsidRPr="008251E1">
        <w:rPr>
          <w:rFonts w:ascii="Times New Roman" w:hAnsi="Times New Roman" w:cs="Times New Roman"/>
          <w:sz w:val="24"/>
        </w:rPr>
        <w:t xml:space="preserve"> </w:t>
      </w:r>
      <w:r w:rsidRPr="008251E1">
        <w:rPr>
          <w:rFonts w:ascii="Times New Roman" w:hAnsi="Times New Roman" w:cs="Times New Roman"/>
          <w:i/>
          <w:iCs/>
          <w:sz w:val="24"/>
        </w:rPr>
        <w:t>Stability and Durability of COP Nanostructures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8"/>
        <w:gridCol w:w="2233"/>
        <w:gridCol w:w="3055"/>
        <w:gridCol w:w="2174"/>
      </w:tblGrid>
      <w:tr w:rsidR="00BE3AA3" w:rsidRPr="008251E1" w14:paraId="24A7C339" w14:textId="77777777" w:rsidTr="00A666E7">
        <w:trPr>
          <w:tblHeader/>
          <w:tblCellSpacing w:w="15" w:type="dxa"/>
        </w:trPr>
        <w:tc>
          <w:tcPr>
            <w:tcW w:w="0" w:type="auto"/>
            <w:vAlign w:val="center"/>
            <w:hideMark/>
          </w:tcPr>
          <w:p w14:paraId="5DC25A8E" w14:textId="77777777" w:rsidR="00BE3AA3" w:rsidRPr="008251E1"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8251E1">
              <w:rPr>
                <w:rFonts w:ascii="Times New Roman" w:eastAsia="Times New Roman" w:hAnsi="Times New Roman" w:cs="Times New Roman"/>
                <w:b/>
                <w:bCs/>
                <w:sz w:val="24"/>
                <w:szCs w:val="24"/>
                <w:lang w:val="en-PK" w:eastAsia="en-PK"/>
              </w:rPr>
              <w:t>COP Type</w:t>
            </w:r>
          </w:p>
        </w:tc>
        <w:tc>
          <w:tcPr>
            <w:tcW w:w="0" w:type="auto"/>
            <w:vAlign w:val="center"/>
            <w:hideMark/>
          </w:tcPr>
          <w:p w14:paraId="0418E08B" w14:textId="77777777" w:rsidR="00BE3AA3" w:rsidRPr="008251E1"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8251E1">
              <w:rPr>
                <w:rFonts w:ascii="Times New Roman" w:eastAsia="Times New Roman" w:hAnsi="Times New Roman" w:cs="Times New Roman"/>
                <w:b/>
                <w:bCs/>
                <w:sz w:val="24"/>
                <w:szCs w:val="24"/>
                <w:lang w:val="en-PK" w:eastAsia="en-PK"/>
              </w:rPr>
              <w:t>Photocatalytic Cycles</w:t>
            </w:r>
          </w:p>
        </w:tc>
        <w:tc>
          <w:tcPr>
            <w:tcW w:w="0" w:type="auto"/>
            <w:vAlign w:val="center"/>
            <w:hideMark/>
          </w:tcPr>
          <w:p w14:paraId="496AE606" w14:textId="77777777" w:rsidR="00BE3AA3" w:rsidRPr="008251E1"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8251E1">
              <w:rPr>
                <w:rFonts w:ascii="Times New Roman" w:eastAsia="Times New Roman" w:hAnsi="Times New Roman" w:cs="Times New Roman"/>
                <w:b/>
                <w:bCs/>
                <w:sz w:val="24"/>
                <w:szCs w:val="24"/>
                <w:lang w:val="en-PK" w:eastAsia="en-PK"/>
              </w:rPr>
              <w:t>Degradation After Cycles (%)</w:t>
            </w:r>
          </w:p>
        </w:tc>
        <w:tc>
          <w:tcPr>
            <w:tcW w:w="0" w:type="auto"/>
            <w:vAlign w:val="center"/>
            <w:hideMark/>
          </w:tcPr>
          <w:p w14:paraId="2507507E" w14:textId="77777777" w:rsidR="00BE3AA3" w:rsidRPr="008251E1"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8251E1">
              <w:rPr>
                <w:rFonts w:ascii="Times New Roman" w:eastAsia="Times New Roman" w:hAnsi="Times New Roman" w:cs="Times New Roman"/>
                <w:b/>
                <w:bCs/>
                <w:sz w:val="24"/>
                <w:szCs w:val="24"/>
                <w:lang w:val="en-PK" w:eastAsia="en-PK"/>
              </w:rPr>
              <w:t>Reference</w:t>
            </w:r>
          </w:p>
        </w:tc>
      </w:tr>
      <w:tr w:rsidR="00BE3AA3" w:rsidRPr="008251E1" w14:paraId="1B337BD5" w14:textId="77777777" w:rsidTr="00A666E7">
        <w:trPr>
          <w:tblCellSpacing w:w="15" w:type="dxa"/>
        </w:trPr>
        <w:tc>
          <w:tcPr>
            <w:tcW w:w="0" w:type="auto"/>
            <w:vAlign w:val="center"/>
            <w:hideMark/>
          </w:tcPr>
          <w:p w14:paraId="52F92631"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COP266</w:t>
            </w:r>
          </w:p>
        </w:tc>
        <w:tc>
          <w:tcPr>
            <w:tcW w:w="0" w:type="auto"/>
            <w:vAlign w:val="center"/>
            <w:hideMark/>
          </w:tcPr>
          <w:p w14:paraId="3B3B0064"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5</w:t>
            </w:r>
          </w:p>
        </w:tc>
        <w:tc>
          <w:tcPr>
            <w:tcW w:w="0" w:type="auto"/>
            <w:vAlign w:val="center"/>
            <w:hideMark/>
          </w:tcPr>
          <w:p w14:paraId="618AC6F4"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90%</w:t>
            </w:r>
          </w:p>
        </w:tc>
        <w:tc>
          <w:tcPr>
            <w:tcW w:w="0" w:type="auto"/>
            <w:vAlign w:val="center"/>
            <w:hideMark/>
          </w:tcPr>
          <w:p w14:paraId="23FF7B8C"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Liu et al., 2023</w:t>
            </w:r>
          </w:p>
        </w:tc>
      </w:tr>
      <w:tr w:rsidR="00BE3AA3" w:rsidRPr="008251E1" w14:paraId="257CE48C" w14:textId="77777777" w:rsidTr="00A666E7">
        <w:trPr>
          <w:tblCellSpacing w:w="15" w:type="dxa"/>
        </w:trPr>
        <w:tc>
          <w:tcPr>
            <w:tcW w:w="0" w:type="auto"/>
            <w:vAlign w:val="center"/>
            <w:hideMark/>
          </w:tcPr>
          <w:p w14:paraId="21226948"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COP300</w:t>
            </w:r>
          </w:p>
        </w:tc>
        <w:tc>
          <w:tcPr>
            <w:tcW w:w="0" w:type="auto"/>
            <w:vAlign w:val="center"/>
            <w:hideMark/>
          </w:tcPr>
          <w:p w14:paraId="402DACE6"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10</w:t>
            </w:r>
          </w:p>
        </w:tc>
        <w:tc>
          <w:tcPr>
            <w:tcW w:w="0" w:type="auto"/>
            <w:vAlign w:val="center"/>
            <w:hideMark/>
          </w:tcPr>
          <w:p w14:paraId="334EC0CF"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85%</w:t>
            </w:r>
          </w:p>
        </w:tc>
        <w:tc>
          <w:tcPr>
            <w:tcW w:w="0" w:type="auto"/>
            <w:vAlign w:val="center"/>
            <w:hideMark/>
          </w:tcPr>
          <w:p w14:paraId="6F478316" w14:textId="77777777" w:rsidR="00BE3AA3" w:rsidRPr="008251E1" w:rsidRDefault="00BE3AA3" w:rsidP="00A666E7">
            <w:pPr>
              <w:spacing w:after="0" w:line="240" w:lineRule="auto"/>
              <w:rPr>
                <w:rFonts w:ascii="Times New Roman" w:eastAsia="Times New Roman" w:hAnsi="Times New Roman" w:cs="Times New Roman"/>
                <w:sz w:val="24"/>
                <w:szCs w:val="24"/>
                <w:lang w:val="en-PK" w:eastAsia="en-PK"/>
              </w:rPr>
            </w:pPr>
            <w:r w:rsidRPr="008251E1">
              <w:rPr>
                <w:rFonts w:ascii="Times New Roman" w:eastAsia="Times New Roman" w:hAnsi="Times New Roman" w:cs="Times New Roman"/>
                <w:sz w:val="24"/>
                <w:szCs w:val="24"/>
                <w:lang w:val="en-PK" w:eastAsia="en-PK"/>
              </w:rPr>
              <w:t>Krishnaraj et al., 2020</w:t>
            </w:r>
          </w:p>
        </w:tc>
      </w:tr>
    </w:tbl>
    <w:p w14:paraId="43588495" w14:textId="77777777" w:rsidR="00BE3AA3" w:rsidRDefault="00BE3AA3" w:rsidP="00BE3AA3">
      <w:pPr>
        <w:spacing w:line="240" w:lineRule="auto"/>
        <w:jc w:val="both"/>
        <w:rPr>
          <w:rFonts w:ascii="Times New Roman" w:hAnsi="Times New Roman" w:cs="Times New Roman"/>
          <w:sz w:val="24"/>
        </w:rPr>
      </w:pPr>
    </w:p>
    <w:p w14:paraId="35E32B09" w14:textId="77777777" w:rsidR="00BE3AA3" w:rsidRPr="00752FF5" w:rsidRDefault="00BE3AA3" w:rsidP="00BE3AA3">
      <w:pPr>
        <w:spacing w:after="0"/>
        <w:rPr>
          <w:rFonts w:ascii="Times New Roman" w:eastAsiaTheme="majorEastAsia" w:hAnsi="Times New Roman" w:cs="Times New Roman"/>
          <w:b/>
          <w:bCs/>
          <w:color w:val="000000" w:themeColor="text1"/>
          <w:sz w:val="36"/>
          <w:szCs w:val="26"/>
        </w:rPr>
      </w:pPr>
      <w:r w:rsidRPr="00752FF5">
        <w:rPr>
          <w:rFonts w:ascii="Times New Roman" w:eastAsiaTheme="majorEastAsia" w:hAnsi="Times New Roman" w:cs="Times New Roman"/>
          <w:b/>
          <w:bCs/>
          <w:color w:val="000000" w:themeColor="text1"/>
          <w:sz w:val="36"/>
          <w:szCs w:val="26"/>
        </w:rPr>
        <w:t>Results and Discussion</w:t>
      </w:r>
    </w:p>
    <w:p w14:paraId="66F6C91D"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7.1. Chemical and photostability under solar irradiation</w:t>
      </w:r>
    </w:p>
    <w:p w14:paraId="248E5D5D"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Transition metal–free systems have garnered considerable attention and interest for various important chemical transformations that are driven specifically by visible light. Within this context, covalent organic polymer networks with induced band gaps represent a particularly promising class of photocatalysts that are designed for effective environmental remediation under relatively mild conditions. The requisite functionalities of these materials can be readily incorporated through advanced synthetic methods—such as the introduction of strong colouration capabilities, which endow them with the ability to degrade organic dyes efficiently under sunlight. Additionally, properties akin to graphene oxide significantly support the rapid transport of spurious electrons that are involved in various reductive chemical processes. This unique combination of features leads to enhanced efficacy in photocatalytic reactions. Furthermore, the process of photocatalytic colour removal is closely coupled to aqueous-phase carbon dioxide capture, which can be subsequently converted into value-added chemicals like methanol. In light of these advantages, covalent organic polymer nanostructures thus present themselves as multifunctional materials for effectively addressing the water-cycle remediation of emerging organic pollutants. Simultaneously, they play a role in the ongoing efforts to mitigate climate change, all of which is mediated by the energy provided from visible light.</w:t>
      </w:r>
    </w:p>
    <w:p w14:paraId="04A08DFC" w14:textId="77777777" w:rsidR="00BE3AA3" w:rsidRPr="00AF63C2"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b/>
          <w:bCs/>
          <w:sz w:val="24"/>
          <w:szCs w:val="24"/>
          <w:highlight w:val="yellow"/>
          <w:lang w:val="en-PK" w:eastAsia="en-PK"/>
        </w:rPr>
        <w:t>Figure 12:</w:t>
      </w:r>
      <w:r w:rsidRPr="00AF63C2">
        <w:rPr>
          <w:rFonts w:ascii="Times New Roman" w:eastAsia="Times New Roman" w:hAnsi="Times New Roman" w:cs="Times New Roman"/>
          <w:sz w:val="24"/>
          <w:szCs w:val="24"/>
          <w:highlight w:val="yellow"/>
          <w:lang w:val="en-PK" w:eastAsia="en-PK"/>
        </w:rPr>
        <w:t xml:space="preserve"> </w:t>
      </w:r>
      <w:r w:rsidRPr="00AF63C2">
        <w:rPr>
          <w:rFonts w:ascii="Times New Roman" w:eastAsia="Times New Roman" w:hAnsi="Times New Roman" w:cs="Times New Roman"/>
          <w:i/>
          <w:iCs/>
          <w:sz w:val="24"/>
          <w:szCs w:val="24"/>
          <w:highlight w:val="yellow"/>
          <w:lang w:val="en-PK" w:eastAsia="en-PK"/>
        </w:rPr>
        <w:t>Schematic of Dual-Function Water Remediation and CO₂ Capture System Using COPs</w:t>
      </w:r>
    </w:p>
    <w:p w14:paraId="1E739DD1" w14:textId="77777777" w:rsidR="00BE3AA3" w:rsidRPr="00AF63C2" w:rsidRDefault="00BE3AA3" w:rsidP="00BE3AA3">
      <w:pPr>
        <w:numPr>
          <w:ilvl w:val="0"/>
          <w:numId w:val="13"/>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sz w:val="24"/>
          <w:szCs w:val="24"/>
          <w:highlight w:val="yellow"/>
          <w:lang w:val="en-PK" w:eastAsia="en-PK"/>
        </w:rPr>
        <w:lastRenderedPageBreak/>
        <w:t>A diagram showing how COPs can simultaneously remove pollutants from water and capture CO₂, integrated into a hybrid system for environmental applications.</w:t>
      </w:r>
    </w:p>
    <w:p w14:paraId="547A2747" w14:textId="77777777" w:rsidR="00BE3AA3" w:rsidRPr="009F51D6" w:rsidRDefault="00BE3AA3" w:rsidP="00BE3AA3">
      <w:pPr>
        <w:spacing w:line="240" w:lineRule="auto"/>
        <w:jc w:val="both"/>
        <w:rPr>
          <w:rFonts w:ascii="Times New Roman" w:hAnsi="Times New Roman" w:cs="Times New Roman"/>
        </w:rPr>
      </w:pPr>
    </w:p>
    <w:p w14:paraId="6D41AC27"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7.2. Regeneration and lifecycle assessment</w:t>
      </w:r>
    </w:p>
    <w:p w14:paraId="0B763A73"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Covalent organic polymers (COPs) offer improved material stability and are inherently metal-free, eliminating the leaching, toxicity, and sustainability concerns associated with many other systems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 Metal-free COPs equipped with appropriate functionalities demonstrate the potential of dual functionality, being used for simultaneous visible-light-driven water remediation and CO2 capture.</w:t>
      </w:r>
    </w:p>
    <w:p w14:paraId="51ACFF01"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The chemical and photostability of COP nanostructures is investigated under solar irradiation. The absence of organic bonds in the polymer skeleton and the inert, covalent nature of the linkages between the polymer components contribute to the overall stability of COPs, ensuring long-term operation. In addition, a simple regeneration method shows that the photocatalyst can be reused up to five cycles without significant activity loss. Life-cycle assessment highlights the minimal need for additional reagents to maintain activity compared with metal-containing materials </w:t>
      </w:r>
      <w:r w:rsidRPr="009F51D6">
        <w:rPr>
          <w:rFonts w:ascii="Times New Roman" w:hAnsi="Times New Roman" w:cs="Times New Roman"/>
          <w:color w:val="000000"/>
          <w:sz w:val="24"/>
        </w:rPr>
        <w:t>(Fernandes et al., 2020)</w:t>
      </w:r>
      <w:r w:rsidRPr="009F51D6">
        <w:rPr>
          <w:rFonts w:ascii="Times New Roman" w:hAnsi="Times New Roman" w:cs="Times New Roman"/>
          <w:sz w:val="24"/>
        </w:rPr>
        <w:t xml:space="preserve"> , further supporting the case for metal-free COPs.</w:t>
      </w:r>
    </w:p>
    <w:p w14:paraId="74BFB029"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 xml:space="preserve">Covalent linkages allow the design of structure–function relationships between COP nanostructures and photocatalytic activity for visible-light-driven water remediation and selective CO2 capture, realizing two-dimensional (2D) polymeric systems that address the trade-off between stability and photocatalytic performance. A systematic approach to the photocatalytic cycle, from light-absorption to product desorption, enables material selection (Van der Voet et al., 2021) and guiding principles for morphology optimization </w:t>
      </w:r>
      <w:r w:rsidRPr="009F51D6">
        <w:rPr>
          <w:rFonts w:ascii="Times New Roman" w:hAnsi="Times New Roman" w:cs="Times New Roman"/>
          <w:color w:val="000000"/>
          <w:sz w:val="24"/>
        </w:rPr>
        <w:t>(Bakhtian et al., 2022)</w:t>
      </w:r>
      <w:r w:rsidRPr="009F51D6">
        <w:rPr>
          <w:rFonts w:ascii="Times New Roman" w:hAnsi="Times New Roman" w:cs="Times New Roman"/>
          <w:sz w:val="24"/>
        </w:rPr>
        <w:t xml:space="preserve"> to be tailored specifically for COP nanostructures.</w:t>
      </w:r>
    </w:p>
    <w:p w14:paraId="78D61D30" w14:textId="77777777" w:rsidR="00BE3AA3" w:rsidRPr="00AF63C2"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b/>
          <w:bCs/>
          <w:sz w:val="24"/>
          <w:szCs w:val="24"/>
          <w:highlight w:val="yellow"/>
          <w:lang w:val="en-PK" w:eastAsia="en-PK"/>
        </w:rPr>
        <w:t>Figure 13:</w:t>
      </w:r>
      <w:r w:rsidRPr="00AF63C2">
        <w:rPr>
          <w:rFonts w:ascii="Times New Roman" w:eastAsia="Times New Roman" w:hAnsi="Times New Roman" w:cs="Times New Roman"/>
          <w:sz w:val="24"/>
          <w:szCs w:val="24"/>
          <w:highlight w:val="yellow"/>
          <w:lang w:val="en-PK" w:eastAsia="en-PK"/>
        </w:rPr>
        <w:t xml:space="preserve"> </w:t>
      </w:r>
      <w:r w:rsidRPr="00AF63C2">
        <w:rPr>
          <w:rFonts w:ascii="Times New Roman" w:eastAsia="Times New Roman" w:hAnsi="Times New Roman" w:cs="Times New Roman"/>
          <w:i/>
          <w:iCs/>
          <w:sz w:val="24"/>
          <w:szCs w:val="24"/>
          <w:highlight w:val="yellow"/>
          <w:lang w:val="en-PK" w:eastAsia="en-PK"/>
        </w:rPr>
        <w:t>Life Cycle Assessment of COP Nanostructures</w:t>
      </w:r>
    </w:p>
    <w:p w14:paraId="492AA3DD" w14:textId="77777777" w:rsidR="00BE3AA3" w:rsidRPr="00AF63C2" w:rsidRDefault="00BE3AA3" w:rsidP="00BE3AA3">
      <w:pPr>
        <w:numPr>
          <w:ilvl w:val="0"/>
          <w:numId w:val="14"/>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sz w:val="24"/>
          <w:szCs w:val="24"/>
          <w:highlight w:val="yellow"/>
          <w:lang w:val="en-PK" w:eastAsia="en-PK"/>
        </w:rPr>
        <w:t>A graph comparing the life cycle costs and environmental impact of COP-based photocatalysts vs. metal-based photocatalysts, considering factors like material cost, reusability, and environmental footprint.</w:t>
      </w:r>
    </w:p>
    <w:p w14:paraId="03DD1EA5" w14:textId="77777777" w:rsidR="00BE3AA3" w:rsidRPr="00AF63C2" w:rsidRDefault="00BE3AA3" w:rsidP="00BE3AA3">
      <w:pPr>
        <w:spacing w:line="240" w:lineRule="auto"/>
        <w:jc w:val="both"/>
        <w:rPr>
          <w:rFonts w:ascii="Times New Roman" w:hAnsi="Times New Roman" w:cs="Times New Roman"/>
        </w:rPr>
      </w:pPr>
    </w:p>
    <w:p w14:paraId="54ED4CBF" w14:textId="77777777" w:rsidR="00BE3AA3" w:rsidRPr="009F51D6" w:rsidRDefault="00BE3AA3" w:rsidP="00BE3AA3">
      <w:pPr>
        <w:pStyle w:val="Heading2"/>
        <w:spacing w:before="0" w:line="240" w:lineRule="auto"/>
        <w:jc w:val="both"/>
        <w:rPr>
          <w:rFonts w:ascii="Times New Roman" w:hAnsi="Times New Roman" w:cs="Times New Roman"/>
        </w:rPr>
      </w:pPr>
      <w:r w:rsidRPr="009F51D6">
        <w:rPr>
          <w:rFonts w:ascii="Times New Roman" w:hAnsi="Times New Roman" w:cs="Times New Roman"/>
          <w:sz w:val="36"/>
        </w:rPr>
        <w:t>8. Applications and System Integration</w:t>
      </w:r>
    </w:p>
    <w:p w14:paraId="2EA62D0E"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The applications of visible-light-driven water remediation and CO₂ capture have been explored in a modular approach, with a focus on improving materials design and synthesis. To enable realistic deployment these extended studies are framed in terms of performance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 xml:space="preserve"> and stability </w:t>
      </w:r>
      <w:r w:rsidRPr="009F51D6">
        <w:rPr>
          <w:rFonts w:ascii="Times New Roman" w:hAnsi="Times New Roman" w:cs="Times New Roman"/>
          <w:color w:val="000000"/>
          <w:sz w:val="24"/>
        </w:rPr>
        <w:t>(Krishnaraj et al., 2020)</w:t>
      </w:r>
      <w:r w:rsidRPr="009F51D6">
        <w:rPr>
          <w:rFonts w:ascii="Times New Roman" w:hAnsi="Times New Roman" w:cs="Times New Roman"/>
          <w:sz w:val="24"/>
        </w:rPr>
        <w:t xml:space="preserve"> , emphasizing the broad remaining scope for integration. Innovative reactor designs have been proposed to enhance sunlight conversion in pollution-abundant water, and hybrid systems combining COPs with other functional materials have been investigated for simultaneous utilization of moisture and gaseous CO₂ capture.</w:t>
      </w:r>
    </w:p>
    <w:p w14:paraId="381B3A9E"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lastRenderedPageBreak/>
        <w:t>Covalent organic polymer nanostructures capable of dual-function visible-light-driven water remediation and CO₂ capture offer metal-free alternatives to existing platforms composed of toxic elements or expensive noble metals. Modular systems are being developed to tailor these features for specific contaminants. By engineering the charge dynamics and optimizing structural organization, material combinations that enable broad-spectrum sunlight harvesting and synergistically promote photocatalytic reactions under realistic conditions are accessible.</w:t>
      </w:r>
    </w:p>
    <w:p w14:paraId="07A492A6"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8.1. Designed reactors for visible-light operation</w:t>
      </w:r>
    </w:p>
    <w:p w14:paraId="4F9A9636"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Three designed reactors enable visible-light-triggered photocatalytic water remediation and CO₂ capture with the novel COP nanostructures described previously. Photocatalytic oxidation of organic molecules in water constitutes a promising approach to cope with the continuous increase of pollutants in the environment and the deteriorating quality of freshwater resources. COP structures efficiently eliminate various organic pollutants from aqueous solutions under visible-light irradiation through a synergistic oxidation pathway that underlies the associated reactions.</w:t>
      </w:r>
    </w:p>
    <w:p w14:paraId="78818063"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 xml:space="preserve">The first approach combines metal-free visible-light photocatalysis with self-regeneration of H₂O₂, in line with the corresponding trend seen in the design space of synthesis and active site integration. A second module permits light-activated reduction of CO₂ to value-added products in parallel to water-pollutant conversion, further addressing two major environmental challenges simultaneously. Such multifunctional COP nanostructures that operate under visible light remain rare in the literature, and suitable materials cannot be found for water-remediation applications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 Prior to addressing CO₂ conversion pathways, attention is first devoted to the strategies needed to enable water remediation under visible-light irradiation and the corresponding design principles governing the relevant system.</w:t>
      </w:r>
    </w:p>
    <w:p w14:paraId="1B274FF3" w14:textId="77777777" w:rsidR="00BE3AA3" w:rsidRPr="00AF63C2"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b/>
          <w:bCs/>
          <w:sz w:val="24"/>
          <w:szCs w:val="24"/>
          <w:highlight w:val="yellow"/>
          <w:lang w:val="en-PK" w:eastAsia="en-PK"/>
        </w:rPr>
        <w:t>Figure 14:</w:t>
      </w:r>
      <w:r w:rsidRPr="00AF63C2">
        <w:rPr>
          <w:rFonts w:ascii="Times New Roman" w:eastAsia="Times New Roman" w:hAnsi="Times New Roman" w:cs="Times New Roman"/>
          <w:sz w:val="24"/>
          <w:szCs w:val="24"/>
          <w:highlight w:val="yellow"/>
          <w:lang w:val="en-PK" w:eastAsia="en-PK"/>
        </w:rPr>
        <w:t xml:space="preserve"> </w:t>
      </w:r>
      <w:r w:rsidRPr="00AF63C2">
        <w:rPr>
          <w:rFonts w:ascii="Times New Roman" w:eastAsia="Times New Roman" w:hAnsi="Times New Roman" w:cs="Times New Roman"/>
          <w:i/>
          <w:iCs/>
          <w:sz w:val="24"/>
          <w:szCs w:val="24"/>
          <w:highlight w:val="yellow"/>
          <w:lang w:val="en-PK" w:eastAsia="en-PK"/>
        </w:rPr>
        <w:t>Reactor Design for Visible-Light-Driven Water Remediation and CO₂ Capture</w:t>
      </w:r>
    </w:p>
    <w:p w14:paraId="4E32EC07" w14:textId="77777777" w:rsidR="00BE3AA3" w:rsidRPr="00AF63C2" w:rsidRDefault="00BE3AA3" w:rsidP="00BE3AA3">
      <w:pPr>
        <w:numPr>
          <w:ilvl w:val="0"/>
          <w:numId w:val="15"/>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sz w:val="24"/>
          <w:szCs w:val="24"/>
          <w:highlight w:val="yellow"/>
          <w:lang w:val="en-PK" w:eastAsia="en-PK"/>
        </w:rPr>
        <w:t>A schematic of a reactor designed for dual-function COP nanostructures, showing how visible light is used for both water treatment and CO₂ reduction.</w:t>
      </w:r>
    </w:p>
    <w:p w14:paraId="12959EB7" w14:textId="77777777" w:rsidR="00BE3AA3" w:rsidRPr="009F51D6" w:rsidRDefault="00BE3AA3" w:rsidP="00BE3AA3">
      <w:pPr>
        <w:spacing w:line="240" w:lineRule="auto"/>
        <w:jc w:val="both"/>
        <w:rPr>
          <w:rFonts w:ascii="Times New Roman" w:hAnsi="Times New Roman" w:cs="Times New Roman"/>
        </w:rPr>
      </w:pPr>
    </w:p>
    <w:p w14:paraId="10F6819D"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8.2. Hybrid systems combining COPs with other materials</w:t>
      </w:r>
    </w:p>
    <w:p w14:paraId="5BD7212D"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Visibly driven schemes harnessing hybrid porphyrinic covalent organic polymer photocatalysts integrated in well-designed interfacial systems have been demonstrated for combined water remediation and CO2 capture under unfiltered solar light. Chemical covalent linking between the COP and the complementary water-miscible coordination polymer enables modular architecture capable of tailoring specific functionalities to optimize the performance of each process involved without sacrificing the other. Coordination-driven self-assembly permits the straightforward construction of different-shaped hybrid photocatalysts, facilitating the generalization of multi-step reactions while maintaining an effective photonic cross-section. Modular feedstock selection allows the formation of tailored porous COPs with heterogeneous charge separation while fine-tuning </w:t>
      </w:r>
      <w:r w:rsidRPr="009F51D6">
        <w:rPr>
          <w:rFonts w:ascii="Times New Roman" w:hAnsi="Times New Roman" w:cs="Times New Roman"/>
          <w:sz w:val="24"/>
        </w:rPr>
        <w:lastRenderedPageBreak/>
        <w:t>grafting degrees of carbonized amphiphilic polypeptide for extended visible-light absorption and optimized adsorptive uptake of pollutants. These strategies afford complementary single-component materials with intrinsic capacity for both water purification and CO2 post-combustion capture which share common individual and peripheral electron transfer pathways, enabling systematic evaluation of hybrid overlay systems while maximizing overall COP functionality.</w:t>
      </w:r>
    </w:p>
    <w:p w14:paraId="67209D94" w14:textId="09623B7C"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Integrated hybrid systems combining porous organic polymers and porous organic copolymers with other materials such as titanium dioxide, carbon dots, zeolite, zirconium oxide, and various organometallic nanoparticles operating on different reaction schemes have been reported. Incorporating, decorating, or blending alternative materials capable of supplementary charge injection facilitates water-splitting schemes based exclusively on the hydrated CO2-bicarbonate equilibrium. Amine, phenol, urea, hydroxyl, amido, and carbonyl groups, as well as nitro-diphenyl-amine-based polymers, promote additive CO2 reduction of “bottle-necked” photocatalytic water-splitting systems. To identify structure−activity relationships permitting solely oxidation-driven schemes, water-soluble organic copper and phosphorescent palladium-coordinated metal–organic frameworks have been employed as molecular models for anti-aggregation studies. Under the widely adopted red route (after raising copper), efficient conversion of acetate to C2H4 proceeds via acetate dimerization, making it paramount to fully decipher acetate dissociation and its role in complementary oxidation to alleviate “molecular-overload” conditions. Functional interplay governs both active-site positions and ancillary stabilization throughout the semi-continuous catalysis cycle, wherein the combination of molecular probes further enriches the understanding of fundamental cooperativity principles relevant across hybrid systems and intimately tied to interfacial coordination.</w:t>
      </w:r>
    </w:p>
    <w:p w14:paraId="694A159F" w14:textId="77777777" w:rsidR="00BE3AA3" w:rsidRPr="00AF63C2" w:rsidRDefault="00BE3AA3" w:rsidP="00BE3AA3">
      <w:p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b/>
          <w:bCs/>
          <w:sz w:val="24"/>
          <w:szCs w:val="24"/>
          <w:highlight w:val="yellow"/>
          <w:lang w:val="en-PK" w:eastAsia="en-PK"/>
        </w:rPr>
        <w:t>Figure 15:</w:t>
      </w:r>
      <w:r w:rsidRPr="00AF63C2">
        <w:rPr>
          <w:rFonts w:ascii="Times New Roman" w:eastAsia="Times New Roman" w:hAnsi="Times New Roman" w:cs="Times New Roman"/>
          <w:sz w:val="24"/>
          <w:szCs w:val="24"/>
          <w:highlight w:val="yellow"/>
          <w:lang w:val="en-PK" w:eastAsia="en-PK"/>
        </w:rPr>
        <w:t xml:space="preserve"> </w:t>
      </w:r>
      <w:r w:rsidRPr="00AF63C2">
        <w:rPr>
          <w:rFonts w:ascii="Times New Roman" w:eastAsia="Times New Roman" w:hAnsi="Times New Roman" w:cs="Times New Roman"/>
          <w:i/>
          <w:iCs/>
          <w:sz w:val="24"/>
          <w:szCs w:val="24"/>
          <w:highlight w:val="yellow"/>
          <w:lang w:val="en-PK" w:eastAsia="en-PK"/>
        </w:rPr>
        <w:t>Integration of COPs with Other Materials for Hybrid Systems</w:t>
      </w:r>
    </w:p>
    <w:p w14:paraId="5A2C7350" w14:textId="77777777" w:rsidR="00BE3AA3" w:rsidRPr="00AF63C2" w:rsidRDefault="00BE3AA3" w:rsidP="00BE3AA3">
      <w:pPr>
        <w:numPr>
          <w:ilvl w:val="0"/>
          <w:numId w:val="16"/>
        </w:numPr>
        <w:spacing w:before="100" w:beforeAutospacing="1" w:after="100" w:afterAutospacing="1" w:line="240" w:lineRule="auto"/>
        <w:rPr>
          <w:rFonts w:ascii="Times New Roman" w:eastAsia="Times New Roman" w:hAnsi="Times New Roman" w:cs="Times New Roman"/>
          <w:sz w:val="24"/>
          <w:szCs w:val="24"/>
          <w:highlight w:val="yellow"/>
          <w:lang w:val="en-PK" w:eastAsia="en-PK"/>
        </w:rPr>
      </w:pPr>
      <w:r w:rsidRPr="00AF63C2">
        <w:rPr>
          <w:rFonts w:ascii="Times New Roman" w:eastAsia="Times New Roman" w:hAnsi="Times New Roman" w:cs="Times New Roman"/>
          <w:sz w:val="24"/>
          <w:szCs w:val="24"/>
          <w:highlight w:val="yellow"/>
          <w:lang w:val="en-PK" w:eastAsia="en-PK"/>
        </w:rPr>
        <w:t>A diagram showing how COPs can be combined with other materials like titanium dioxide or carbon dots in hybrid systems to enhance photocatalytic activity and improve the performance of water remediation and CO₂ capture.</w:t>
      </w:r>
    </w:p>
    <w:p w14:paraId="7650BC3F" w14:textId="77777777" w:rsidR="00BE3AA3" w:rsidRPr="009F51D6" w:rsidRDefault="00BE3AA3" w:rsidP="00BE3AA3">
      <w:pPr>
        <w:spacing w:line="240" w:lineRule="auto"/>
        <w:jc w:val="both"/>
        <w:rPr>
          <w:rFonts w:ascii="Times New Roman" w:hAnsi="Times New Roman" w:cs="Times New Roman"/>
        </w:rPr>
      </w:pPr>
    </w:p>
    <w:p w14:paraId="1252A437" w14:textId="77777777" w:rsidR="00BE3AA3" w:rsidRPr="009F51D6" w:rsidRDefault="00BE3AA3" w:rsidP="00BE3AA3">
      <w:pPr>
        <w:pStyle w:val="Heading2"/>
        <w:spacing w:before="0" w:line="240" w:lineRule="auto"/>
        <w:jc w:val="both"/>
        <w:rPr>
          <w:rFonts w:ascii="Times New Roman" w:hAnsi="Times New Roman" w:cs="Times New Roman"/>
        </w:rPr>
      </w:pPr>
      <w:r w:rsidRPr="009F51D6">
        <w:rPr>
          <w:rFonts w:ascii="Times New Roman" w:hAnsi="Times New Roman" w:cs="Times New Roman"/>
          <w:sz w:val="36"/>
        </w:rPr>
        <w:t>9. Environmental and Practical Considerations</w:t>
      </w:r>
    </w:p>
    <w:p w14:paraId="0772980B"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Metal-free COPs are promising materials that offer low-cost, versatile, and green alternatives to noble-metal-containing photocatalysts. They can carry out photocatalytic water remediation to remove toxic pollutants such as dyes, heavy metals, and antibiotics. Despite extensive research efforts, most existing photocatalysts harness only ultraviolet light and therefore are not suitable for practical applications using natural solar light. COP nanostructures with designed bandgap energy and tailored absorption properties can operate as highly efficient visible-light-responsive photocatalysts. Covalent linkages in COPs render the polymers stable in harsh aqueous environments and during solar irradiation, enabling long-term operation and recyclability </w:t>
      </w:r>
      <w:r w:rsidRPr="009F51D6">
        <w:rPr>
          <w:rFonts w:ascii="Times New Roman" w:hAnsi="Times New Roman" w:cs="Times New Roman"/>
          <w:color w:val="000000"/>
          <w:sz w:val="24"/>
        </w:rPr>
        <w:t>(Ghosh et al., 2015)</w:t>
      </w:r>
      <w:r w:rsidRPr="009F51D6">
        <w:rPr>
          <w:rFonts w:ascii="Times New Roman" w:hAnsi="Times New Roman" w:cs="Times New Roman"/>
          <w:sz w:val="24"/>
        </w:rPr>
        <w:t xml:space="preserve">. Flexible design strategies allow covalent organic nanoscale polymer structures to selectively adsorb CO₂ in the feed gas and facilitate photocatalytic reduction of CO₂ under visible-light irradiation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 xml:space="preserve">. Under appropriate conditions, </w:t>
      </w:r>
      <w:r w:rsidRPr="009F51D6">
        <w:rPr>
          <w:rFonts w:ascii="Times New Roman" w:hAnsi="Times New Roman" w:cs="Times New Roman"/>
          <w:sz w:val="24"/>
        </w:rPr>
        <w:lastRenderedPageBreak/>
        <w:t>these functionalities seamlessly integrate: either water or CO₂ remediation modules can be operated independently, or both can occur simultaneously in a hybrid configuration, making it possible to deliver dual-functional purification and selectively target highly toxic organic pollutants such as dyes.</w:t>
      </w:r>
    </w:p>
    <w:p w14:paraId="523F8B1A"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9.1. Safety, toxicity, and environmental impact</w:t>
      </w:r>
    </w:p>
    <w:p w14:paraId="6AC84B9F"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Covalent organic polymers (COPs) are emerging as next-generation metal-free photocatalysts due to their unique advantages over conventional polymeric or other metal-free photocatalysts. Compared to organic polymeric structures still rely on costly metals, COP structures are entirely free of metals; and they have a two-dimensional ordered structure and intrinsic porosity. When integrated into versatile nanostructures, COPs exhibit excellent covalent and thermal stability, chemical durability, and good suitability for powder-to-film conversion to enable water remediation and CO2 capture under visible-light illumination.</w:t>
      </w:r>
    </w:p>
    <w:p w14:paraId="2109F12C"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Conventionally, the photocatalytic CO2 reduction as an important strategy to alleviate greenhouse effect, was considered coupled with the photocatalytic degradation of contamination and disinfection water-remediation underwater-light illumination. Such a route maximally utilizes low-energy sunny light under ambient surroundings. Structures that enable dual function become prevalent. Aiming at the problems of water quality deterioration and increasing CO2 and NH3 concentrations in environment, systematic studies of photocatalytic water-remediation and CO2 capture based on COP nanostructure were conducted. Consequently, diverse visible-light-driven, non-metal photocatalytic water-remediation and CO2 capture coupling were realized via well-designed COP nanostructures.</w:t>
      </w:r>
    </w:p>
    <w:p w14:paraId="1575F9BB" w14:textId="77777777" w:rsidR="00BE3AA3" w:rsidRPr="009F51D6" w:rsidRDefault="00BE3AA3" w:rsidP="00BE3AA3">
      <w:pPr>
        <w:pStyle w:val="Heading3"/>
        <w:spacing w:before="0" w:line="240" w:lineRule="auto"/>
        <w:jc w:val="both"/>
        <w:rPr>
          <w:rFonts w:ascii="Times New Roman" w:hAnsi="Times New Roman" w:cs="Times New Roman"/>
        </w:rPr>
      </w:pPr>
      <w:r w:rsidRPr="009F51D6">
        <w:rPr>
          <w:rFonts w:ascii="Times New Roman" w:hAnsi="Times New Roman" w:cs="Times New Roman"/>
          <w:sz w:val="28"/>
        </w:rPr>
        <w:t>9.2. Economic feasibility and life-cycle costs</w:t>
      </w:r>
    </w:p>
    <w:p w14:paraId="69FA3F1E"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Water pollution from organic contaminants and greenhouse gas emissions are two increasingly dire environmental issues. Visible-light-driven photocatalysis provides an effective means of tackling both problems independently: by employing a water-splitting reaction and CO2 reduction photocatalytic systems in parallel, for example. Yet a unified photocatalytic process capable of simultaneously remediating contaminated water while capturing CO2 remains unreported. One promising candidate for such a dual-function photocatalyst is covalent organic polymer (COP) nanostructures. COPs exhibit both band gap engineering and light-harvesting functionalities, allowing the band structure to be tailored for visible-light absorption. Charge-separation or -transport processes and the associated reaction pathways can also be tuned to facilitate water remediation and CO2 reduction under visible light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w:t>
      </w:r>
    </w:p>
    <w:p w14:paraId="405446FA" w14:textId="77777777" w:rsidR="00BE3AA3" w:rsidRDefault="00BE3AA3" w:rsidP="00BE3AA3">
      <w:pPr>
        <w:spacing w:line="240" w:lineRule="auto"/>
        <w:jc w:val="both"/>
        <w:rPr>
          <w:rFonts w:ascii="Times New Roman" w:hAnsi="Times New Roman" w:cs="Times New Roman"/>
          <w:sz w:val="24"/>
        </w:rPr>
      </w:pPr>
      <w:r w:rsidRPr="009F51D6">
        <w:rPr>
          <w:rFonts w:ascii="Times New Roman" w:hAnsi="Times New Roman" w:cs="Times New Roman"/>
          <w:sz w:val="24"/>
        </w:rPr>
        <w:t xml:space="preserve">Covalent organic frameworks (COFs), recently classified within the COP family, represent another potential solution. Their complete confinement of π-conjugated linkers, block copolymer-based β-cyclodextrin nanospheres and polyhedral covalent organic frameworks (COFs) for versatile interfacial design remain largely unexplored </w:t>
      </w:r>
      <w:r w:rsidRPr="009F51D6">
        <w:rPr>
          <w:rFonts w:ascii="Times New Roman" w:hAnsi="Times New Roman" w:cs="Times New Roman"/>
          <w:color w:val="000000"/>
          <w:sz w:val="24"/>
        </w:rPr>
        <w:t>(Udom, 2014)</w:t>
      </w:r>
      <w:r w:rsidRPr="009F51D6">
        <w:rPr>
          <w:rFonts w:ascii="Times New Roman" w:hAnsi="Times New Roman" w:cs="Times New Roman"/>
          <w:sz w:val="24"/>
        </w:rPr>
        <w:t xml:space="preserve">. Nevertheless, the possibility of correlative structural, functional, and mechanistic investigation makes COPs an appealing alternative: nanostructured COPs host multiple responsive sites for visible-light-driven organic pollutant degradation and CO2 conversion through separate or coupled processes. The close adherence of mesoporous carbon nitride and nanocrystalline graphitic carbon nitride nanosheets to the nanocrystalline graphite </w:t>
      </w:r>
      <w:r w:rsidRPr="009F51D6">
        <w:rPr>
          <w:rFonts w:ascii="Times New Roman" w:hAnsi="Times New Roman" w:cs="Times New Roman"/>
          <w:sz w:val="24"/>
        </w:rPr>
        <w:lastRenderedPageBreak/>
        <w:t xml:space="preserve">substrate enables moisture-driven conversion of CO2 without modifying the original g-C3N4 sphere. Tuning carbon nitride with phosphoric acid engenders a new class of metal-free phosphor catalyst for efficient CO2–N2 transformation </w:t>
      </w:r>
      <w:r w:rsidRPr="009F51D6">
        <w:rPr>
          <w:rFonts w:ascii="Times New Roman" w:hAnsi="Times New Roman" w:cs="Times New Roman"/>
          <w:color w:val="000000"/>
          <w:sz w:val="24"/>
        </w:rPr>
        <w:t>(Fernandes et al., 2020)</w:t>
      </w:r>
      <w:r w:rsidRPr="009F51D6">
        <w:rPr>
          <w:rFonts w:ascii="Times New Roman" w:hAnsi="Times New Roman" w:cs="Times New Roman"/>
          <w:sz w:val="24"/>
        </w:rPr>
        <w:t>.</w:t>
      </w:r>
    </w:p>
    <w:p w14:paraId="7C33BFEE" w14:textId="77777777" w:rsidR="00BE3AA3" w:rsidRDefault="00BE3AA3" w:rsidP="00BE3AA3">
      <w:pPr>
        <w:spacing w:line="240" w:lineRule="auto"/>
        <w:jc w:val="both"/>
        <w:rPr>
          <w:rFonts w:ascii="Times New Roman" w:hAnsi="Times New Roman" w:cs="Times New Roman"/>
          <w:sz w:val="24"/>
        </w:rPr>
      </w:pPr>
      <w:r w:rsidRPr="00C30249">
        <w:rPr>
          <w:rFonts w:ascii="Times New Roman" w:hAnsi="Times New Roman" w:cs="Times New Roman"/>
          <w:b/>
          <w:bCs/>
          <w:sz w:val="24"/>
        </w:rPr>
        <w:t>Table 10:</w:t>
      </w:r>
      <w:r w:rsidRPr="00C30249">
        <w:rPr>
          <w:rFonts w:ascii="Times New Roman" w:hAnsi="Times New Roman" w:cs="Times New Roman"/>
          <w:sz w:val="24"/>
        </w:rPr>
        <w:t xml:space="preserve"> </w:t>
      </w:r>
      <w:r w:rsidRPr="00C30249">
        <w:rPr>
          <w:rFonts w:ascii="Times New Roman" w:hAnsi="Times New Roman" w:cs="Times New Roman"/>
          <w:i/>
          <w:iCs/>
          <w:sz w:val="24"/>
        </w:rPr>
        <w:t>Environmental Impact and Cost Comparison: COP vs Metal-Based Photocatalysts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9"/>
        <w:gridCol w:w="3027"/>
        <w:gridCol w:w="2994"/>
      </w:tblGrid>
      <w:tr w:rsidR="00BE3AA3" w:rsidRPr="00C30249" w14:paraId="38DDACFC" w14:textId="77777777" w:rsidTr="00A666E7">
        <w:trPr>
          <w:tblHeader/>
          <w:tblCellSpacing w:w="15" w:type="dxa"/>
        </w:trPr>
        <w:tc>
          <w:tcPr>
            <w:tcW w:w="0" w:type="auto"/>
            <w:vAlign w:val="center"/>
            <w:hideMark/>
          </w:tcPr>
          <w:p w14:paraId="685708DE" w14:textId="77777777" w:rsidR="00BE3AA3" w:rsidRPr="00C30249"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C30249">
              <w:rPr>
                <w:rFonts w:ascii="Times New Roman" w:eastAsia="Times New Roman" w:hAnsi="Times New Roman" w:cs="Times New Roman"/>
                <w:b/>
                <w:bCs/>
                <w:sz w:val="24"/>
                <w:szCs w:val="24"/>
                <w:lang w:val="en-PK" w:eastAsia="en-PK"/>
              </w:rPr>
              <w:t>Criterion</w:t>
            </w:r>
          </w:p>
        </w:tc>
        <w:tc>
          <w:tcPr>
            <w:tcW w:w="0" w:type="auto"/>
            <w:vAlign w:val="center"/>
            <w:hideMark/>
          </w:tcPr>
          <w:p w14:paraId="6DFC0CC7" w14:textId="77777777" w:rsidR="00BE3AA3" w:rsidRPr="00C30249"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C30249">
              <w:rPr>
                <w:rFonts w:ascii="Times New Roman" w:eastAsia="Times New Roman" w:hAnsi="Times New Roman" w:cs="Times New Roman"/>
                <w:b/>
                <w:bCs/>
                <w:sz w:val="24"/>
                <w:szCs w:val="24"/>
                <w:lang w:val="en-PK" w:eastAsia="en-PK"/>
              </w:rPr>
              <w:t>Metal-Based Photocatalysts</w:t>
            </w:r>
          </w:p>
        </w:tc>
        <w:tc>
          <w:tcPr>
            <w:tcW w:w="0" w:type="auto"/>
            <w:vAlign w:val="center"/>
            <w:hideMark/>
          </w:tcPr>
          <w:p w14:paraId="79833037" w14:textId="77777777" w:rsidR="00BE3AA3" w:rsidRPr="00C30249" w:rsidRDefault="00BE3AA3" w:rsidP="00A666E7">
            <w:pPr>
              <w:spacing w:after="0" w:line="240" w:lineRule="auto"/>
              <w:jc w:val="center"/>
              <w:rPr>
                <w:rFonts w:ascii="Times New Roman" w:eastAsia="Times New Roman" w:hAnsi="Times New Roman" w:cs="Times New Roman"/>
                <w:b/>
                <w:bCs/>
                <w:sz w:val="24"/>
                <w:szCs w:val="24"/>
                <w:lang w:val="en-PK" w:eastAsia="en-PK"/>
              </w:rPr>
            </w:pPr>
            <w:r w:rsidRPr="00C30249">
              <w:rPr>
                <w:rFonts w:ascii="Times New Roman" w:eastAsia="Times New Roman" w:hAnsi="Times New Roman" w:cs="Times New Roman"/>
                <w:b/>
                <w:bCs/>
                <w:sz w:val="24"/>
                <w:szCs w:val="24"/>
                <w:lang w:val="en-PK" w:eastAsia="en-PK"/>
              </w:rPr>
              <w:t>Metal-Free COPs</w:t>
            </w:r>
          </w:p>
        </w:tc>
      </w:tr>
      <w:tr w:rsidR="00BE3AA3" w:rsidRPr="00C30249" w14:paraId="1D03465F" w14:textId="77777777" w:rsidTr="00A666E7">
        <w:trPr>
          <w:tblCellSpacing w:w="15" w:type="dxa"/>
        </w:trPr>
        <w:tc>
          <w:tcPr>
            <w:tcW w:w="0" w:type="auto"/>
            <w:vAlign w:val="center"/>
            <w:hideMark/>
          </w:tcPr>
          <w:p w14:paraId="2B4214E4" w14:textId="77777777" w:rsidR="00BE3AA3" w:rsidRPr="00C30249" w:rsidRDefault="00BE3AA3" w:rsidP="00A666E7">
            <w:pPr>
              <w:spacing w:after="0" w:line="240" w:lineRule="auto"/>
              <w:rPr>
                <w:rFonts w:ascii="Times New Roman" w:eastAsia="Times New Roman" w:hAnsi="Times New Roman" w:cs="Times New Roman"/>
                <w:sz w:val="24"/>
                <w:szCs w:val="24"/>
                <w:lang w:val="en-PK" w:eastAsia="en-PK"/>
              </w:rPr>
            </w:pPr>
            <w:r w:rsidRPr="00C30249">
              <w:rPr>
                <w:rFonts w:ascii="Times New Roman" w:eastAsia="Times New Roman" w:hAnsi="Times New Roman" w:cs="Times New Roman"/>
                <w:sz w:val="24"/>
                <w:szCs w:val="24"/>
                <w:lang w:val="en-PK" w:eastAsia="en-PK"/>
              </w:rPr>
              <w:t>Environmental Risk</w:t>
            </w:r>
          </w:p>
        </w:tc>
        <w:tc>
          <w:tcPr>
            <w:tcW w:w="0" w:type="auto"/>
            <w:vAlign w:val="center"/>
            <w:hideMark/>
          </w:tcPr>
          <w:p w14:paraId="21284466" w14:textId="77777777" w:rsidR="00BE3AA3" w:rsidRPr="00C30249" w:rsidRDefault="00BE3AA3" w:rsidP="00A666E7">
            <w:pPr>
              <w:spacing w:after="0" w:line="240" w:lineRule="auto"/>
              <w:rPr>
                <w:rFonts w:ascii="Times New Roman" w:eastAsia="Times New Roman" w:hAnsi="Times New Roman" w:cs="Times New Roman"/>
                <w:sz w:val="24"/>
                <w:szCs w:val="24"/>
                <w:lang w:val="en-PK" w:eastAsia="en-PK"/>
              </w:rPr>
            </w:pPr>
            <w:r w:rsidRPr="00C30249">
              <w:rPr>
                <w:rFonts w:ascii="Times New Roman" w:eastAsia="Times New Roman" w:hAnsi="Times New Roman" w:cs="Times New Roman"/>
                <w:sz w:val="24"/>
                <w:szCs w:val="24"/>
                <w:lang w:val="en-PK" w:eastAsia="en-PK"/>
              </w:rPr>
              <w:t>Leaching of toxic metals</w:t>
            </w:r>
          </w:p>
        </w:tc>
        <w:tc>
          <w:tcPr>
            <w:tcW w:w="0" w:type="auto"/>
            <w:vAlign w:val="center"/>
            <w:hideMark/>
          </w:tcPr>
          <w:p w14:paraId="20D4C12B" w14:textId="77777777" w:rsidR="00BE3AA3" w:rsidRPr="00C30249" w:rsidRDefault="00BE3AA3" w:rsidP="00A666E7">
            <w:pPr>
              <w:spacing w:after="0" w:line="240" w:lineRule="auto"/>
              <w:rPr>
                <w:rFonts w:ascii="Times New Roman" w:eastAsia="Times New Roman" w:hAnsi="Times New Roman" w:cs="Times New Roman"/>
                <w:sz w:val="24"/>
                <w:szCs w:val="24"/>
                <w:lang w:val="en-PK" w:eastAsia="en-PK"/>
              </w:rPr>
            </w:pPr>
            <w:r w:rsidRPr="00C30249">
              <w:rPr>
                <w:rFonts w:ascii="Times New Roman" w:eastAsia="Times New Roman" w:hAnsi="Times New Roman" w:cs="Times New Roman"/>
                <w:sz w:val="24"/>
                <w:szCs w:val="24"/>
                <w:lang w:val="en-PK" w:eastAsia="en-PK"/>
              </w:rPr>
              <w:t>Low environmental impact</w:t>
            </w:r>
          </w:p>
        </w:tc>
      </w:tr>
      <w:tr w:rsidR="00BE3AA3" w:rsidRPr="00C30249" w14:paraId="41054824" w14:textId="77777777" w:rsidTr="00A666E7">
        <w:trPr>
          <w:tblCellSpacing w:w="15" w:type="dxa"/>
        </w:trPr>
        <w:tc>
          <w:tcPr>
            <w:tcW w:w="0" w:type="auto"/>
            <w:vAlign w:val="center"/>
            <w:hideMark/>
          </w:tcPr>
          <w:p w14:paraId="21AF6362" w14:textId="77777777" w:rsidR="00BE3AA3" w:rsidRPr="00C30249" w:rsidRDefault="00BE3AA3" w:rsidP="00A666E7">
            <w:pPr>
              <w:spacing w:after="0" w:line="240" w:lineRule="auto"/>
              <w:rPr>
                <w:rFonts w:ascii="Times New Roman" w:eastAsia="Times New Roman" w:hAnsi="Times New Roman" w:cs="Times New Roman"/>
                <w:sz w:val="24"/>
                <w:szCs w:val="24"/>
                <w:lang w:val="en-PK" w:eastAsia="en-PK"/>
              </w:rPr>
            </w:pPr>
            <w:r w:rsidRPr="00C30249">
              <w:rPr>
                <w:rFonts w:ascii="Times New Roman" w:eastAsia="Times New Roman" w:hAnsi="Times New Roman" w:cs="Times New Roman"/>
                <w:sz w:val="24"/>
                <w:szCs w:val="24"/>
                <w:lang w:val="en-PK" w:eastAsia="en-PK"/>
              </w:rPr>
              <w:t>Cost (Material &amp; Synthesis)</w:t>
            </w:r>
          </w:p>
        </w:tc>
        <w:tc>
          <w:tcPr>
            <w:tcW w:w="0" w:type="auto"/>
            <w:vAlign w:val="center"/>
            <w:hideMark/>
          </w:tcPr>
          <w:p w14:paraId="60847B45" w14:textId="77777777" w:rsidR="00BE3AA3" w:rsidRPr="00C30249" w:rsidRDefault="00BE3AA3" w:rsidP="00A666E7">
            <w:pPr>
              <w:spacing w:after="0" w:line="240" w:lineRule="auto"/>
              <w:rPr>
                <w:rFonts w:ascii="Times New Roman" w:eastAsia="Times New Roman" w:hAnsi="Times New Roman" w:cs="Times New Roman"/>
                <w:sz w:val="24"/>
                <w:szCs w:val="24"/>
                <w:lang w:val="en-PK" w:eastAsia="en-PK"/>
              </w:rPr>
            </w:pPr>
            <w:r w:rsidRPr="00C30249">
              <w:rPr>
                <w:rFonts w:ascii="Times New Roman" w:eastAsia="Times New Roman" w:hAnsi="Times New Roman" w:cs="Times New Roman"/>
                <w:sz w:val="24"/>
                <w:szCs w:val="24"/>
                <w:lang w:val="en-PK" w:eastAsia="en-PK"/>
              </w:rPr>
              <w:t>High due to metal procurement</w:t>
            </w:r>
          </w:p>
        </w:tc>
        <w:tc>
          <w:tcPr>
            <w:tcW w:w="0" w:type="auto"/>
            <w:vAlign w:val="center"/>
            <w:hideMark/>
          </w:tcPr>
          <w:p w14:paraId="5579E9A5" w14:textId="77777777" w:rsidR="00BE3AA3" w:rsidRPr="00C30249" w:rsidRDefault="00BE3AA3" w:rsidP="00A666E7">
            <w:pPr>
              <w:spacing w:after="0" w:line="240" w:lineRule="auto"/>
              <w:rPr>
                <w:rFonts w:ascii="Times New Roman" w:eastAsia="Times New Roman" w:hAnsi="Times New Roman" w:cs="Times New Roman"/>
                <w:sz w:val="24"/>
                <w:szCs w:val="24"/>
                <w:lang w:val="en-PK" w:eastAsia="en-PK"/>
              </w:rPr>
            </w:pPr>
            <w:r w:rsidRPr="00C30249">
              <w:rPr>
                <w:rFonts w:ascii="Times New Roman" w:eastAsia="Times New Roman" w:hAnsi="Times New Roman" w:cs="Times New Roman"/>
                <w:sz w:val="24"/>
                <w:szCs w:val="24"/>
                <w:lang w:val="en-PK" w:eastAsia="en-PK"/>
              </w:rPr>
              <w:t>Lower due to abundant materials</w:t>
            </w:r>
          </w:p>
        </w:tc>
      </w:tr>
      <w:tr w:rsidR="00BE3AA3" w:rsidRPr="00C30249" w14:paraId="5B3CAFA0" w14:textId="77777777" w:rsidTr="00A666E7">
        <w:trPr>
          <w:tblCellSpacing w:w="15" w:type="dxa"/>
        </w:trPr>
        <w:tc>
          <w:tcPr>
            <w:tcW w:w="0" w:type="auto"/>
            <w:vAlign w:val="center"/>
            <w:hideMark/>
          </w:tcPr>
          <w:p w14:paraId="02AD67D2" w14:textId="77777777" w:rsidR="00BE3AA3" w:rsidRPr="00C30249" w:rsidRDefault="00BE3AA3" w:rsidP="00A666E7">
            <w:pPr>
              <w:spacing w:after="0" w:line="240" w:lineRule="auto"/>
              <w:rPr>
                <w:rFonts w:ascii="Times New Roman" w:eastAsia="Times New Roman" w:hAnsi="Times New Roman" w:cs="Times New Roman"/>
                <w:sz w:val="24"/>
                <w:szCs w:val="24"/>
                <w:lang w:val="en-PK" w:eastAsia="en-PK"/>
              </w:rPr>
            </w:pPr>
            <w:r w:rsidRPr="00C30249">
              <w:rPr>
                <w:rFonts w:ascii="Times New Roman" w:eastAsia="Times New Roman" w:hAnsi="Times New Roman" w:cs="Times New Roman"/>
                <w:sz w:val="24"/>
                <w:szCs w:val="24"/>
                <w:lang w:val="en-PK" w:eastAsia="en-PK"/>
              </w:rPr>
              <w:t>Reusability</w:t>
            </w:r>
          </w:p>
        </w:tc>
        <w:tc>
          <w:tcPr>
            <w:tcW w:w="0" w:type="auto"/>
            <w:vAlign w:val="center"/>
            <w:hideMark/>
          </w:tcPr>
          <w:p w14:paraId="5174957E" w14:textId="77777777" w:rsidR="00BE3AA3" w:rsidRPr="00C30249" w:rsidRDefault="00BE3AA3" w:rsidP="00A666E7">
            <w:pPr>
              <w:spacing w:after="0" w:line="240" w:lineRule="auto"/>
              <w:rPr>
                <w:rFonts w:ascii="Times New Roman" w:eastAsia="Times New Roman" w:hAnsi="Times New Roman" w:cs="Times New Roman"/>
                <w:sz w:val="24"/>
                <w:szCs w:val="24"/>
                <w:lang w:val="en-PK" w:eastAsia="en-PK"/>
              </w:rPr>
            </w:pPr>
            <w:r w:rsidRPr="00C30249">
              <w:rPr>
                <w:rFonts w:ascii="Times New Roman" w:eastAsia="Times New Roman" w:hAnsi="Times New Roman" w:cs="Times New Roman"/>
                <w:sz w:val="24"/>
                <w:szCs w:val="24"/>
                <w:lang w:val="en-PK" w:eastAsia="en-PK"/>
              </w:rPr>
              <w:t>Limited due to metal degradation</w:t>
            </w:r>
          </w:p>
        </w:tc>
        <w:tc>
          <w:tcPr>
            <w:tcW w:w="0" w:type="auto"/>
            <w:vAlign w:val="center"/>
            <w:hideMark/>
          </w:tcPr>
          <w:p w14:paraId="0097D114" w14:textId="77777777" w:rsidR="00BE3AA3" w:rsidRPr="00C30249" w:rsidRDefault="00BE3AA3" w:rsidP="00A666E7">
            <w:pPr>
              <w:spacing w:after="0" w:line="240" w:lineRule="auto"/>
              <w:rPr>
                <w:rFonts w:ascii="Times New Roman" w:eastAsia="Times New Roman" w:hAnsi="Times New Roman" w:cs="Times New Roman"/>
                <w:sz w:val="24"/>
                <w:szCs w:val="24"/>
                <w:lang w:val="en-PK" w:eastAsia="en-PK"/>
              </w:rPr>
            </w:pPr>
            <w:r w:rsidRPr="00C30249">
              <w:rPr>
                <w:rFonts w:ascii="Times New Roman" w:eastAsia="Times New Roman" w:hAnsi="Times New Roman" w:cs="Times New Roman"/>
                <w:sz w:val="24"/>
                <w:szCs w:val="24"/>
                <w:lang w:val="en-PK" w:eastAsia="en-PK"/>
              </w:rPr>
              <w:t>High stability and reusability</w:t>
            </w:r>
          </w:p>
        </w:tc>
      </w:tr>
    </w:tbl>
    <w:p w14:paraId="422A7248" w14:textId="77777777" w:rsidR="00BE3AA3" w:rsidRPr="009F51D6" w:rsidRDefault="00BE3AA3" w:rsidP="00BE3AA3">
      <w:pPr>
        <w:spacing w:line="240" w:lineRule="auto"/>
        <w:jc w:val="both"/>
        <w:rPr>
          <w:rFonts w:ascii="Times New Roman" w:hAnsi="Times New Roman" w:cs="Times New Roman"/>
        </w:rPr>
      </w:pPr>
    </w:p>
    <w:p w14:paraId="716EFB56" w14:textId="77777777" w:rsidR="00BE3AA3" w:rsidRPr="00752FF5" w:rsidRDefault="00BE3AA3" w:rsidP="00BE3AA3">
      <w:pPr>
        <w:spacing w:after="0"/>
        <w:rPr>
          <w:rFonts w:ascii="Times New Roman" w:eastAsiaTheme="majorEastAsia" w:hAnsi="Times New Roman" w:cs="Times New Roman"/>
          <w:b/>
          <w:bCs/>
          <w:color w:val="000000" w:themeColor="text1"/>
          <w:sz w:val="36"/>
          <w:szCs w:val="26"/>
        </w:rPr>
      </w:pPr>
      <w:r w:rsidRPr="00752FF5">
        <w:rPr>
          <w:rFonts w:ascii="Times New Roman" w:eastAsiaTheme="majorEastAsia" w:hAnsi="Times New Roman" w:cs="Times New Roman"/>
          <w:b/>
          <w:bCs/>
          <w:color w:val="000000" w:themeColor="text1"/>
          <w:sz w:val="36"/>
          <w:szCs w:val="26"/>
        </w:rPr>
        <w:t>Conclusion</w:t>
      </w:r>
    </w:p>
    <w:p w14:paraId="49AD0183"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Covalent organic polymers (COPs) represent a new generation of metal-free photocatalysts, with nanostructured COPs—a class of material described in the title “Foundation of Covalent Organic Polymer Nanostructures”—offering promising dual functionality for visible-light-driven water remediation and CO2 capture. Extensive literature has explored COP nanostructures and visible-light photocatalysis of H2O2 generation; a further set of references now delineates the combined ability of these nanostructures to adsorb gaseous CO2 under ambient conditions and convert it to carbon-free products such as CO and formic acid </w:t>
      </w:r>
      <w:r w:rsidRPr="009F51D6">
        <w:rPr>
          <w:rFonts w:ascii="Times New Roman" w:hAnsi="Times New Roman" w:cs="Times New Roman"/>
          <w:color w:val="000000"/>
          <w:sz w:val="24"/>
        </w:rPr>
        <w:t>(Krishnaraj et al., 2020)</w:t>
      </w:r>
      <w:r w:rsidRPr="009F51D6">
        <w:rPr>
          <w:rFonts w:ascii="Times New Roman" w:hAnsi="Times New Roman" w:cs="Times New Roman"/>
          <w:sz w:val="24"/>
        </w:rPr>
        <w:t xml:space="preserve"> ; </w:t>
      </w:r>
      <w:r w:rsidRPr="009F51D6">
        <w:rPr>
          <w:rFonts w:ascii="Times New Roman" w:hAnsi="Times New Roman" w:cs="Times New Roman"/>
          <w:color w:val="000000"/>
          <w:sz w:val="24"/>
        </w:rPr>
        <w:t>(Liu et al., 2023)</w:t>
      </w:r>
      <w:r w:rsidRPr="009F51D6">
        <w:rPr>
          <w:rFonts w:ascii="Times New Roman" w:hAnsi="Times New Roman" w:cs="Times New Roman"/>
          <w:sz w:val="24"/>
        </w:rPr>
        <w:t xml:space="preserve"> ; </w:t>
      </w:r>
      <w:r w:rsidRPr="009F51D6">
        <w:rPr>
          <w:rFonts w:ascii="Times New Roman" w:hAnsi="Times New Roman" w:cs="Times New Roman"/>
          <w:color w:val="000000"/>
          <w:sz w:val="24"/>
        </w:rPr>
        <w:t>(Veerendra Prabhakar Vattikuti et al., 2023)</w:t>
      </w:r>
      <w:r w:rsidRPr="009F51D6">
        <w:rPr>
          <w:rFonts w:ascii="Times New Roman" w:hAnsi="Times New Roman" w:cs="Times New Roman"/>
          <w:sz w:val="24"/>
        </w:rPr>
        <w:t>. Connecting these findings with the insights above on the design principles and synthesis strategies underpinning visible-light-driven water remediation reveals that structure modifications adapted for water treatment applications—such as uniform nanospheres, crosslinks, or surface-anchored CO2-binding sites—remain compatible with effective gaseous CO2 capture and conversion.</w:t>
      </w:r>
    </w:p>
    <w:p w14:paraId="0D1FCE64"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The strategic design of COPs aims to bridge the visible-light-induced carbon and energy recovery cycle with H2O2-mediated organic pollutant degradation. Future work involves leveraging energetic coupling between the two targeted reactions to enhance system synergy and facilitate cascade conversion of photoexcited electrons. Such approaches could guide the design of next-generation photocatalysts for simultaneous organic pollutant removal and CO2 elimination from residual products.</w:t>
      </w:r>
    </w:p>
    <w:p w14:paraId="183D96F7"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Metal-free COP nanostructures open unprecedented avenues for visible-light-driven remediation of organic pollutants and concomitant CO2 capture from the atmosphere. These materials tackle two major environmental challenges within an integrated approach, facilitating the capture of carbon-containing products produced in parallel or through downstream alterations of pollutant-degradation pathways.</w:t>
      </w:r>
    </w:p>
    <w:p w14:paraId="0DD543E5" w14:textId="77777777" w:rsidR="00BE3AA3" w:rsidRPr="009F51D6" w:rsidRDefault="00BE3AA3" w:rsidP="00BE3AA3">
      <w:pPr>
        <w:spacing w:line="240" w:lineRule="auto"/>
        <w:jc w:val="both"/>
        <w:rPr>
          <w:rFonts w:ascii="Times New Roman" w:hAnsi="Times New Roman" w:cs="Times New Roman"/>
        </w:rPr>
      </w:pPr>
      <w:r w:rsidRPr="009F51D6">
        <w:rPr>
          <w:rFonts w:ascii="Times New Roman" w:hAnsi="Times New Roman" w:cs="Times New Roman"/>
          <w:sz w:val="24"/>
        </w:rPr>
        <w:t xml:space="preserve">Structural–functional relationships elucidate how mechanistic insights inform the rational design of COP materials, and elaborating on underlying principles leads to materials capable of either single or dual functionality across diverse gaseous and aqueous substrates. The modular character of COPs and their emergence as one of the leading platforms for </w:t>
      </w:r>
      <w:r w:rsidRPr="009F51D6">
        <w:rPr>
          <w:rFonts w:ascii="Times New Roman" w:hAnsi="Times New Roman" w:cs="Times New Roman"/>
          <w:sz w:val="24"/>
        </w:rPr>
        <w:lastRenderedPageBreak/>
        <w:t>metal-free photocatalytic water remediation and CO2 capture invite exploration of new monomers, linkages, and topologies to achieve other critical functionalities.</w:t>
      </w:r>
    </w:p>
    <w:p w14:paraId="499A6A94" w14:textId="77777777" w:rsidR="00BE3AA3" w:rsidRDefault="00BE3AA3" w:rsidP="00BE3AA3">
      <w:pPr>
        <w:spacing w:after="0"/>
        <w:rPr>
          <w:rFonts w:ascii="Times New Roman" w:eastAsiaTheme="majorEastAsia" w:hAnsi="Times New Roman" w:cs="Times New Roman"/>
          <w:b/>
          <w:bCs/>
          <w:color w:val="000000" w:themeColor="text1"/>
          <w:sz w:val="36"/>
          <w:szCs w:val="26"/>
        </w:rPr>
      </w:pPr>
    </w:p>
    <w:p w14:paraId="43F7870F" w14:textId="77777777" w:rsidR="00BE3AA3" w:rsidRDefault="00BE3AA3" w:rsidP="00BE3AA3">
      <w:pPr>
        <w:spacing w:after="0"/>
        <w:rPr>
          <w:rFonts w:ascii="Times New Roman" w:eastAsiaTheme="majorEastAsia" w:hAnsi="Times New Roman" w:cs="Times New Roman"/>
          <w:b/>
          <w:bCs/>
          <w:color w:val="000000" w:themeColor="text1"/>
          <w:sz w:val="36"/>
          <w:szCs w:val="26"/>
        </w:rPr>
      </w:pPr>
    </w:p>
    <w:p w14:paraId="0A051562" w14:textId="77777777" w:rsidR="00BE3AA3" w:rsidRPr="00752FF5" w:rsidRDefault="00BE3AA3" w:rsidP="00BE3AA3">
      <w:pPr>
        <w:spacing w:after="0"/>
        <w:rPr>
          <w:rFonts w:ascii="Times New Roman" w:eastAsiaTheme="majorEastAsia" w:hAnsi="Times New Roman" w:cs="Times New Roman"/>
          <w:b/>
          <w:bCs/>
          <w:color w:val="000000" w:themeColor="text1"/>
          <w:sz w:val="36"/>
          <w:szCs w:val="26"/>
        </w:rPr>
      </w:pPr>
      <w:r w:rsidRPr="00752FF5">
        <w:rPr>
          <w:rFonts w:ascii="Times New Roman" w:eastAsiaTheme="majorEastAsia" w:hAnsi="Times New Roman" w:cs="Times New Roman"/>
          <w:b/>
          <w:bCs/>
          <w:color w:val="000000" w:themeColor="text1"/>
          <w:sz w:val="36"/>
          <w:szCs w:val="26"/>
        </w:rPr>
        <w:t>References</w:t>
      </w:r>
    </w:p>
    <w:p w14:paraId="0011F64B"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Rosso, C., Filippini, G., Criado, A., Melchionna, M., Fornasiero, P., &amp; Prato, M. (2021). Metal-free photocatalysis: two-dimensional nanomaterial connection toward advanced organic synthesis. ACS nano, 15(3), 3621-3630. </w:t>
      </w:r>
      <w:hyperlink r:id="rId9">
        <w:r w:rsidRPr="00EE58EB">
          <w:rPr>
            <w:rFonts w:ascii="Times New Roman" w:hAnsi="Times New Roman" w:cs="Times New Roman"/>
            <w:color w:val="0000EE"/>
            <w:u w:val="single"/>
          </w:rPr>
          <w:t>acs.org</w:t>
        </w:r>
      </w:hyperlink>
    </w:p>
    <w:p w14:paraId="4C225CBC"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Sarkar, C., Shit, S. C., Das, N., &amp; Mondal, J. (2021). Presenting porous–organic–polymers as next-generation invigorating materials for nanoreactors. Chemical Communications. </w:t>
      </w:r>
      <w:hyperlink r:id="rId10">
        <w:r w:rsidRPr="00EE58EB">
          <w:rPr>
            <w:rFonts w:ascii="Times New Roman" w:hAnsi="Times New Roman" w:cs="Times New Roman"/>
            <w:color w:val="0000EE"/>
            <w:u w:val="single"/>
          </w:rPr>
          <w:t>[HTML]</w:t>
        </w:r>
      </w:hyperlink>
    </w:p>
    <w:p w14:paraId="5D4C68B2"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Zhu, D., Chen, Y., Zhu, Y., Liu, C. Y., Yan, Q., Wu, X., ... &amp; Verduzco, R. (2024). Versatile metal-free photocatalysts based on 3D covalent organic frameworks capable of reductive and oxidative organic transformations and polymerizations. Macromolecules, 57(3), 1038-1049. </w:t>
      </w:r>
      <w:hyperlink r:id="rId11">
        <w:r w:rsidRPr="00EE58EB">
          <w:rPr>
            <w:rFonts w:ascii="Times New Roman" w:hAnsi="Times New Roman" w:cs="Times New Roman"/>
            <w:color w:val="0000EE"/>
            <w:u w:val="single"/>
          </w:rPr>
          <w:t>nsf.gov</w:t>
        </w:r>
      </w:hyperlink>
    </w:p>
    <w:p w14:paraId="57595851"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Li, R., Liu, L., &amp; Wu, H. C. (2025). Tunable Metal-Free COFs for Photocatalytic Degradation of Water Pollutants. ACS Applied Materials &amp; Interfaces. </w:t>
      </w:r>
      <w:hyperlink r:id="rId12">
        <w:r w:rsidRPr="00EE58EB">
          <w:rPr>
            <w:rFonts w:ascii="Times New Roman" w:hAnsi="Times New Roman" w:cs="Times New Roman"/>
            <w:color w:val="0000EE"/>
            <w:u w:val="single"/>
          </w:rPr>
          <w:t>[HTML]</w:t>
        </w:r>
      </w:hyperlink>
    </w:p>
    <w:p w14:paraId="199E0B99"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Mansha, M., Ahmad, T., Ullah, N., Akram Khan, S., Ashraf, M., Ali, S., ... &amp; Khan, I. (2022). Photocatalytic water‐splitting by organic conjugated polymers: opportunities and challenges. The Chemical Record, 22(7), e202100336. </w:t>
      </w:r>
      <w:hyperlink r:id="rId13">
        <w:r w:rsidRPr="00EE58EB">
          <w:rPr>
            <w:rFonts w:ascii="Times New Roman" w:hAnsi="Times New Roman" w:cs="Times New Roman"/>
            <w:color w:val="0000EE"/>
            <w:u w:val="single"/>
          </w:rPr>
          <w:t>researchgate.net</w:t>
        </w:r>
      </w:hyperlink>
    </w:p>
    <w:p w14:paraId="5F2F9CD6"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Krishnaraj, C., Sekhar Jena, H., Bourda, L., Laemont, A., Pachfule, P., Roeser, J., Vinod Chandran, C., Borgmans, S., M. J. Rogge, S., Leus, K., V. Stevens, C., A. Martens, J., Van Speybroeck, V., Breynaert, E., Thomas, A., &amp; Van Der Voort, P. (2020). Strongly Reducing (Diarylamino)benzene-Based Covalent Organic Framework for Metal-Free Visible Light Photocatalytic H(2)O(2) Generation. </w:t>
      </w:r>
      <w:hyperlink r:id="rId14">
        <w:r w:rsidRPr="00EE58EB">
          <w:rPr>
            <w:rFonts w:ascii="Times New Roman" w:hAnsi="Times New Roman" w:cs="Times New Roman"/>
            <w:color w:val="0000EE"/>
            <w:u w:val="single"/>
          </w:rPr>
          <w:t>ncbi.nlm.nih.gov</w:t>
        </w:r>
      </w:hyperlink>
    </w:p>
    <w:p w14:paraId="40A096AF"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Liu, F., Zhou, P., Hou, Y., Tan, H., Liang, Y., Liang, J., Zhang, Q., Guo, S., Tong, M., &amp; Ni, J. (2023). Covalent organic frameworks for direct photosynthesis of hydrogen peroxide from water, air and sunlight. </w:t>
      </w:r>
      <w:hyperlink r:id="rId15">
        <w:r w:rsidRPr="00EE58EB">
          <w:rPr>
            <w:rFonts w:ascii="Times New Roman" w:hAnsi="Times New Roman" w:cs="Times New Roman"/>
            <w:color w:val="0000EE"/>
            <w:u w:val="single"/>
          </w:rPr>
          <w:t>ncbi.nlm.nih.gov</w:t>
        </w:r>
      </w:hyperlink>
    </w:p>
    <w:p w14:paraId="6BC1825A"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Veerendra Prabhakar Vattikuti, S., Pundareekam Goud, J., Rosaiah, P., Reddy Prasad, P., M. Tighezza, A., &amp; Shim, J. (2023). Enhanced Sunlight-Powered Photocatalysis and Methanol Oxidation Activities of Co(3)O(4)-Embedded Polymeric Carbon Nitride Nanostructures. </w:t>
      </w:r>
      <w:hyperlink r:id="rId16">
        <w:r w:rsidRPr="00EE58EB">
          <w:rPr>
            <w:rFonts w:ascii="Times New Roman" w:hAnsi="Times New Roman" w:cs="Times New Roman"/>
            <w:color w:val="0000EE"/>
            <w:u w:val="single"/>
          </w:rPr>
          <w:t>ncbi.nlm.nih.gov</w:t>
        </w:r>
      </w:hyperlink>
    </w:p>
    <w:p w14:paraId="79B29B2C"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Ghosh, S., Amoin Kouame, N., Remita, S., Ramos, L., Goubard, F., Aubert, P. H., Dazzi, A., Deniset-Besseau, A., &amp; Remita, H. (2015). Visible-light active conducting polymer nanostructures with superior photocatalytic activity. </w:t>
      </w:r>
      <w:hyperlink r:id="rId17">
        <w:r w:rsidRPr="00EE58EB">
          <w:rPr>
            <w:rFonts w:ascii="Times New Roman" w:hAnsi="Times New Roman" w:cs="Times New Roman"/>
            <w:color w:val="0000EE"/>
            <w:u w:val="single"/>
          </w:rPr>
          <w:t>ncbi.nlm.nih.gov</w:t>
        </w:r>
      </w:hyperlink>
    </w:p>
    <w:p w14:paraId="53F7D727"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Wang, S., Yan, Q., Hu, H., Su, X., Xu, H., Wang, J., &amp; Gao, Y. (2024). Doping Ferrocene-Based Conjugated Microporous Polymers with 7,7,8,8-Tetracyanoquinodimethane for Efficient Photocatalytic CO(2) Reduction. </w:t>
      </w:r>
      <w:hyperlink r:id="rId18">
        <w:r w:rsidRPr="00EE58EB">
          <w:rPr>
            <w:rFonts w:ascii="Times New Roman" w:hAnsi="Times New Roman" w:cs="Times New Roman"/>
            <w:color w:val="0000EE"/>
            <w:u w:val="single"/>
          </w:rPr>
          <w:t>ncbi.nlm.nih.gov</w:t>
        </w:r>
      </w:hyperlink>
    </w:p>
    <w:p w14:paraId="6605C9DC"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lastRenderedPageBreak/>
        <w:t xml:space="preserve">Alemán, J. &amp; Mas-Ballesté, R. (2021). Photocatalytic Oxidation Reactions Mediated by Covalent Organic Frameworks and Related Extended Organic Materials. </w:t>
      </w:r>
      <w:hyperlink r:id="rId19">
        <w:r w:rsidRPr="00EE58EB">
          <w:rPr>
            <w:rFonts w:ascii="Times New Roman" w:hAnsi="Times New Roman" w:cs="Times New Roman"/>
            <w:color w:val="0000EE"/>
            <w:u w:val="single"/>
          </w:rPr>
          <w:t>ncbi.nlm.nih.gov</w:t>
        </w:r>
      </w:hyperlink>
    </w:p>
    <w:p w14:paraId="071DDCD5"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Schwinghammer, K., Hug, S., B. Mesch, M., Senker, J., &amp; V. Lotsch, B. (2015). Phenyl-triazine oligomers for light-driven hydrogen evolution. </w:t>
      </w:r>
      <w:hyperlink r:id="rId20">
        <w:r w:rsidRPr="00EE58EB">
          <w:rPr>
            <w:rFonts w:ascii="Times New Roman" w:hAnsi="Times New Roman" w:cs="Times New Roman"/>
            <w:color w:val="0000EE"/>
            <w:u w:val="single"/>
          </w:rPr>
          <w:t>[PDF]</w:t>
        </w:r>
      </w:hyperlink>
    </w:p>
    <w:p w14:paraId="1FAD9E0A"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Venkatesh, N., Murugadoss, G., Azeez Ashif Mohamed, A., Rajesh Kumar, M., Gouse Peera, S., &amp; Sakthivel, P. (2022). A Novel Nanocomposite Based on Triazine Based Covalent Organic Polymer Blended with Porous g-C(3)N(4) for Photo Catalytic Dye Degradation of Rose Bengal and Fast Green. </w:t>
      </w:r>
      <w:hyperlink r:id="rId21">
        <w:r w:rsidRPr="00EE58EB">
          <w:rPr>
            <w:rFonts w:ascii="Times New Roman" w:hAnsi="Times New Roman" w:cs="Times New Roman"/>
            <w:color w:val="0000EE"/>
            <w:u w:val="single"/>
          </w:rPr>
          <w:t>ncbi.nlm.nih.gov</w:t>
        </w:r>
      </w:hyperlink>
    </w:p>
    <w:p w14:paraId="6294A41F"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Bakhtian, M., Khosroshahi, N., &amp; Safarifard, V. (2022). Efficient Removal of Inorganic and Organic Pollutants over a NiCo(2)O(4)@MOF-801@MIL88A Photocatalyst: The Significance of Ternary Heterojunction Engineering. </w:t>
      </w:r>
      <w:hyperlink r:id="rId22">
        <w:r w:rsidRPr="00EE58EB">
          <w:rPr>
            <w:rFonts w:ascii="Times New Roman" w:hAnsi="Times New Roman" w:cs="Times New Roman"/>
            <w:color w:val="0000EE"/>
            <w:u w:val="single"/>
          </w:rPr>
          <w:t>ncbi.nlm.nih.gov</w:t>
        </w:r>
      </w:hyperlink>
    </w:p>
    <w:p w14:paraId="7B6925D4"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Hornberger, L. S. &amp; Adams, F. (2022). Photocatalytic CO(2) Conversion Using Metal-Containing Coordination Polymers and Networks: Recent Developments in Material Design and Mechanistic Details. </w:t>
      </w:r>
      <w:hyperlink r:id="rId23">
        <w:r w:rsidRPr="00EE58EB">
          <w:rPr>
            <w:rFonts w:ascii="Times New Roman" w:hAnsi="Times New Roman" w:cs="Times New Roman"/>
            <w:color w:val="0000EE"/>
            <w:u w:val="single"/>
          </w:rPr>
          <w:t>ncbi.nlm.nih.gov</w:t>
        </w:r>
      </w:hyperlink>
    </w:p>
    <w:p w14:paraId="0BDD3DCA"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Chen, Z., Wang, J., Hao, M., Xie, Y., Liu, X., Yang, H., I. N. Waterhouse, G., Wang, X., &amp; Ma, S. (2023). Tuning excited state electronic structure and charge transport in covalent organic frameworks for enhanced photocatalytic performance. </w:t>
      </w:r>
      <w:hyperlink r:id="rId24">
        <w:r w:rsidRPr="00EE58EB">
          <w:rPr>
            <w:rFonts w:ascii="Times New Roman" w:hAnsi="Times New Roman" w:cs="Times New Roman"/>
            <w:color w:val="0000EE"/>
            <w:u w:val="single"/>
          </w:rPr>
          <w:t>ncbi.nlm.nih.gov</w:t>
        </w:r>
      </w:hyperlink>
    </w:p>
    <w:p w14:paraId="419826F4"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Dong, J., Xu, F., Dong, Z., Zhao, Y., Yan, Y., Jin, H., &amp; Li, Y. (2018). Fabrication of two dual-functionalized covalent organic polymers through heterostructural mixed linkers and their use as cationic dye adsorbents. </w:t>
      </w:r>
      <w:hyperlink r:id="rId25">
        <w:r w:rsidRPr="00EE58EB">
          <w:rPr>
            <w:rFonts w:ascii="Times New Roman" w:hAnsi="Times New Roman" w:cs="Times New Roman"/>
            <w:color w:val="0000EE"/>
            <w:u w:val="single"/>
          </w:rPr>
          <w:t>ncbi.nlm.nih.gov</w:t>
        </w:r>
      </w:hyperlink>
    </w:p>
    <w:p w14:paraId="051B3DCE"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Kumagai, H., Tamaki, Y., &amp; Ishitani, O. (2022). Photocatalytic Systems for CO(2) Reduction: Metal-Complex Photocatalysts and Their Hybrids with Photofunctional Solid Materials. </w:t>
      </w:r>
      <w:hyperlink r:id="rId26">
        <w:r w:rsidRPr="00EE58EB">
          <w:rPr>
            <w:rFonts w:ascii="Times New Roman" w:hAnsi="Times New Roman" w:cs="Times New Roman"/>
            <w:color w:val="0000EE"/>
            <w:u w:val="single"/>
          </w:rPr>
          <w:t>ncbi.nlm.nih.gov</w:t>
        </w:r>
      </w:hyperlink>
    </w:p>
    <w:p w14:paraId="011EAF2D"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Szewczyk, J., Iatsunskyi, I., Piotr Michałowski, P., Załęski, K., Lamboux, C., Sayegh, S., Makhoul, E., Cabot, A., Chang, X., Bechelany, M., &amp; Coy, E. (2024). TiO(2)/PDA Multilayer Nanocomposites with Exceptionally Sharp Large-Scale Interfaces and Nitrogen Doping Gradient. </w:t>
      </w:r>
      <w:hyperlink r:id="rId27">
        <w:r w:rsidRPr="00EE58EB">
          <w:rPr>
            <w:rFonts w:ascii="Times New Roman" w:hAnsi="Times New Roman" w:cs="Times New Roman"/>
            <w:color w:val="0000EE"/>
            <w:u w:val="single"/>
          </w:rPr>
          <w:t>ncbi.nlm.nih.gov</w:t>
        </w:r>
      </w:hyperlink>
    </w:p>
    <w:p w14:paraId="113312B0"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Sherif Badreldin, A. (2019). Optimized Design and Synthesis of Photocatalytic Modified Black Titania for Water Treatment. </w:t>
      </w:r>
      <w:hyperlink r:id="rId28">
        <w:r w:rsidRPr="00EE58EB">
          <w:rPr>
            <w:rFonts w:ascii="Times New Roman" w:hAnsi="Times New Roman" w:cs="Times New Roman"/>
            <w:color w:val="0000EE"/>
            <w:u w:val="single"/>
          </w:rPr>
          <w:t>[PDF]</w:t>
        </w:r>
      </w:hyperlink>
    </w:p>
    <w:p w14:paraId="6F60AC66"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Park, J., Lee, H., Lee, K., Noh, S., Jin, S., Jae, J., Jeong, Y., &amp; Noh, J. (2023). ZnO/Graphene Oxide on Halloysite Nanotubes as a Superabsorbent Nanocomposite Photocatalyst for the Degradation of Organic Dyes. </w:t>
      </w:r>
      <w:hyperlink r:id="rId29">
        <w:r w:rsidRPr="00EE58EB">
          <w:rPr>
            <w:rFonts w:ascii="Times New Roman" w:hAnsi="Times New Roman" w:cs="Times New Roman"/>
            <w:color w:val="0000EE"/>
            <w:u w:val="single"/>
          </w:rPr>
          <w:t>ncbi.nlm.nih.gov</w:t>
        </w:r>
      </w:hyperlink>
    </w:p>
    <w:p w14:paraId="6AC2AED0"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Wang, J. R., Song, K., Luan, T. X., Cheng, K., Wang, Q., Wang, Y., W. Yu, W., Li, P. Z., &amp; Zhao, Y. (2024). Robust links in photoactive covalent organic frameworks enable effective photocatalytic reactions under harsh conditions. </w:t>
      </w:r>
      <w:hyperlink r:id="rId30">
        <w:r w:rsidRPr="00EE58EB">
          <w:rPr>
            <w:rFonts w:ascii="Times New Roman" w:hAnsi="Times New Roman" w:cs="Times New Roman"/>
            <w:color w:val="0000EE"/>
            <w:u w:val="single"/>
          </w:rPr>
          <w:t>ncbi.nlm.nih.gov</w:t>
        </w:r>
      </w:hyperlink>
    </w:p>
    <w:p w14:paraId="49B95D6B"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Fernandes, S., C.G. Esteves da Silva, J., &amp; Pinto da Silva, L. (2020). Life Cycle Assessment of the Sustainability of Enhancing the Photodegradation Activity of TiO(2) with Metal-Doping. </w:t>
      </w:r>
      <w:hyperlink r:id="rId31">
        <w:r w:rsidRPr="00EE58EB">
          <w:rPr>
            <w:rFonts w:ascii="Times New Roman" w:hAnsi="Times New Roman" w:cs="Times New Roman"/>
            <w:color w:val="0000EE"/>
            <w:u w:val="single"/>
          </w:rPr>
          <w:t>ncbi.nlm.nih.gov</w:t>
        </w:r>
      </w:hyperlink>
    </w:p>
    <w:p w14:paraId="6741B560" w14:textId="77777777" w:rsidR="00BE3AA3" w:rsidRPr="00EE58EB" w:rsidRDefault="00BE3AA3" w:rsidP="00BE3AA3">
      <w:pPr>
        <w:pStyle w:val="ListParagraph"/>
        <w:numPr>
          <w:ilvl w:val="0"/>
          <w:numId w:val="1"/>
        </w:numPr>
        <w:spacing w:after="0" w:line="240" w:lineRule="auto"/>
        <w:jc w:val="both"/>
        <w:rPr>
          <w:rFonts w:ascii="Times New Roman" w:hAnsi="Times New Roman" w:cs="Times New Roman"/>
        </w:rPr>
      </w:pPr>
      <w:r w:rsidRPr="00EE58EB">
        <w:rPr>
          <w:rFonts w:ascii="Times New Roman" w:hAnsi="Times New Roman" w:cs="Times New Roman"/>
          <w:sz w:val="24"/>
        </w:rPr>
        <w:t xml:space="preserve">Udom, I. (2014). Investigation of Enhanced Titanium and Zinc Oxide Semiconductors for the Photodegradation of Aqueous Organic Compounds. </w:t>
      </w:r>
      <w:hyperlink r:id="rId32">
        <w:r w:rsidRPr="00EE58EB">
          <w:rPr>
            <w:rFonts w:ascii="Times New Roman" w:hAnsi="Times New Roman" w:cs="Times New Roman"/>
            <w:color w:val="0000EE"/>
            <w:u w:val="single"/>
          </w:rPr>
          <w:t>[PDF]</w:t>
        </w:r>
      </w:hyperlink>
    </w:p>
    <w:p w14:paraId="361C4425" w14:textId="77777777" w:rsidR="00FC024A" w:rsidRDefault="00DC4630"/>
    <w:sectPr w:rsidR="00FC024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43885"/>
    <w:multiLevelType w:val="multilevel"/>
    <w:tmpl w:val="1EF02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07D15"/>
    <w:multiLevelType w:val="multilevel"/>
    <w:tmpl w:val="CCB48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00245C"/>
    <w:multiLevelType w:val="hybridMultilevel"/>
    <w:tmpl w:val="4886C02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30380758"/>
    <w:multiLevelType w:val="multilevel"/>
    <w:tmpl w:val="D2D6D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2B0B0A"/>
    <w:multiLevelType w:val="multilevel"/>
    <w:tmpl w:val="68865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631E9D"/>
    <w:multiLevelType w:val="multilevel"/>
    <w:tmpl w:val="67BAD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275154"/>
    <w:multiLevelType w:val="multilevel"/>
    <w:tmpl w:val="80EEB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3B7DCD"/>
    <w:multiLevelType w:val="multilevel"/>
    <w:tmpl w:val="F2A6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252205"/>
    <w:multiLevelType w:val="multilevel"/>
    <w:tmpl w:val="C7F0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2F4069"/>
    <w:multiLevelType w:val="multilevel"/>
    <w:tmpl w:val="5F301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DF09F4"/>
    <w:multiLevelType w:val="multilevel"/>
    <w:tmpl w:val="130C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9F6F0B"/>
    <w:multiLevelType w:val="multilevel"/>
    <w:tmpl w:val="756E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A47E15"/>
    <w:multiLevelType w:val="multilevel"/>
    <w:tmpl w:val="66067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2B2992"/>
    <w:multiLevelType w:val="multilevel"/>
    <w:tmpl w:val="E7B8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D36DFE"/>
    <w:multiLevelType w:val="multilevel"/>
    <w:tmpl w:val="E0F2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AE0545"/>
    <w:multiLevelType w:val="multilevel"/>
    <w:tmpl w:val="CA7A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0"/>
  </w:num>
  <w:num w:numId="4">
    <w:abstractNumId w:val="4"/>
  </w:num>
  <w:num w:numId="5">
    <w:abstractNumId w:val="12"/>
  </w:num>
  <w:num w:numId="6">
    <w:abstractNumId w:val="8"/>
  </w:num>
  <w:num w:numId="7">
    <w:abstractNumId w:val="11"/>
  </w:num>
  <w:num w:numId="8">
    <w:abstractNumId w:val="9"/>
  </w:num>
  <w:num w:numId="9">
    <w:abstractNumId w:val="5"/>
  </w:num>
  <w:num w:numId="10">
    <w:abstractNumId w:val="15"/>
  </w:num>
  <w:num w:numId="11">
    <w:abstractNumId w:val="1"/>
  </w:num>
  <w:num w:numId="12">
    <w:abstractNumId w:val="6"/>
  </w:num>
  <w:num w:numId="13">
    <w:abstractNumId w:val="0"/>
  </w:num>
  <w:num w:numId="14">
    <w:abstractNumId w:val="13"/>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AA3"/>
    <w:rsid w:val="0020597A"/>
    <w:rsid w:val="003106D7"/>
    <w:rsid w:val="00825211"/>
    <w:rsid w:val="00944AFB"/>
    <w:rsid w:val="00BA45E7"/>
    <w:rsid w:val="00BE3AA3"/>
    <w:rsid w:val="00DC4630"/>
    <w:rsid w:val="00ED2F01"/>
    <w:rsid w:val="00F43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73888"/>
  <w15:chartTrackingRefBased/>
  <w15:docId w15:val="{A7A5CF7B-7A22-4A4B-9926-79DB3EBA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AA3"/>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BE3AA3"/>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BE3AA3"/>
    <w:pPr>
      <w:keepNext/>
      <w:keepLines/>
      <w:spacing w:before="200" w:after="0" w:line="276" w:lineRule="auto"/>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AA3"/>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BE3AA3"/>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BE3AA3"/>
    <w:rPr>
      <w:rFonts w:asciiTheme="majorHAnsi" w:eastAsiaTheme="majorEastAsia" w:hAnsiTheme="majorHAnsi" w:cstheme="majorBidi"/>
      <w:b/>
      <w:bCs/>
      <w:color w:val="4472C4" w:themeColor="accent1"/>
    </w:rPr>
  </w:style>
  <w:style w:type="paragraph" w:styleId="ListParagraph">
    <w:name w:val="List Paragraph"/>
    <w:basedOn w:val="Normal"/>
    <w:uiPriority w:val="34"/>
    <w:qFormat/>
    <w:rsid w:val="00BE3AA3"/>
    <w:pPr>
      <w:spacing w:after="200" w:line="276" w:lineRule="auto"/>
      <w:ind w:left="720"/>
      <w:contextualSpacing/>
    </w:pPr>
    <w:rPr>
      <w:rFonts w:eastAsiaTheme="minorEastAsia"/>
    </w:rPr>
  </w:style>
  <w:style w:type="character" w:styleId="Strong">
    <w:name w:val="Strong"/>
    <w:basedOn w:val="DefaultParagraphFont"/>
    <w:uiPriority w:val="22"/>
    <w:qFormat/>
    <w:rsid w:val="00BE3AA3"/>
    <w:rPr>
      <w:b/>
      <w:bCs/>
    </w:rPr>
  </w:style>
  <w:style w:type="paragraph" w:styleId="NormalWeb">
    <w:name w:val="Normal (Web)"/>
    <w:basedOn w:val="Normal"/>
    <w:uiPriority w:val="99"/>
    <w:unhideWhenUsed/>
    <w:rsid w:val="00BE3AA3"/>
    <w:pPr>
      <w:spacing w:before="100" w:beforeAutospacing="1" w:after="100" w:afterAutospacing="1" w:line="240" w:lineRule="auto"/>
    </w:pPr>
    <w:rPr>
      <w:rFonts w:ascii="Times New Roman" w:eastAsia="Times New Roman" w:hAnsi="Times New Roman" w:cs="Times New Roman"/>
      <w:sz w:val="24"/>
      <w:szCs w:val="24"/>
      <w:lang w:val="en-PK" w:eastAsia="en-PK"/>
    </w:rPr>
  </w:style>
  <w:style w:type="character" w:styleId="Emphasis">
    <w:name w:val="Emphasis"/>
    <w:basedOn w:val="DefaultParagraphFont"/>
    <w:uiPriority w:val="20"/>
    <w:qFormat/>
    <w:rsid w:val="002059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Muhammad-Chohan-6/publication/371012149_The_Chemical_Record_-_2022_-_Mansha_-_Photocatalytic_Water-Splitting_by_Organic_Conjugated_Polymers_Opportunities_and/links/646f1320cde97a392931d3bb/The-Chemical-Record-2022-Mansha-Photocatalytic-Water-Splitting-by-Organic-Conjugated-Polymers-Opportunities-and.pdf" TargetMode="External"/><Relationship Id="rId18" Type="http://schemas.openxmlformats.org/officeDocument/2006/relationships/hyperlink" Target="https://www.ncbi.nlm.nih.gov/pmc/articles/PMC11052251/" TargetMode="External"/><Relationship Id="rId26" Type="http://schemas.openxmlformats.org/officeDocument/2006/relationships/hyperlink" Target="https://www.ncbi.nlm.nih.gov/pmc/articles/PMC8988296/" TargetMode="External"/><Relationship Id="rId3" Type="http://schemas.openxmlformats.org/officeDocument/2006/relationships/settings" Target="settings.xml"/><Relationship Id="rId21" Type="http://schemas.openxmlformats.org/officeDocument/2006/relationships/hyperlink" Target="https://www.ncbi.nlm.nih.gov/pmc/articles/PMC9657678/" TargetMode="External"/><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pubs.acs.org/doi/abs/10.1021/acsami.5c02192" TargetMode="External"/><Relationship Id="rId17" Type="http://schemas.openxmlformats.org/officeDocument/2006/relationships/hyperlink" Target="https://www.ncbi.nlm.nih.gov/pmc/articles/PMC4676008/" TargetMode="External"/><Relationship Id="rId25" Type="http://schemas.openxmlformats.org/officeDocument/2006/relationships/hyperlink" Target="https://www.ncbi.nlm.nih.gov/pmc/articles/PMC9080657/"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cbi.nlm.nih.gov/pmc/articles/PMC10534687/" TargetMode="External"/><Relationship Id="rId20" Type="http://schemas.openxmlformats.org/officeDocument/2006/relationships/hyperlink" Target="https://core.ac.uk/download/216471866.pdf" TargetMode="External"/><Relationship Id="rId29" Type="http://schemas.openxmlformats.org/officeDocument/2006/relationships/hyperlink" Target="https://www.ncbi.nlm.nih.gov/pmc/articles/PMC10343214/"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par.nsf.gov/servlets/purl/10513763" TargetMode="External"/><Relationship Id="rId24" Type="http://schemas.openxmlformats.org/officeDocument/2006/relationships/hyperlink" Target="https://www.ncbi.nlm.nih.gov/pmc/articles/PMC9970987/" TargetMode="External"/><Relationship Id="rId32" Type="http://schemas.openxmlformats.org/officeDocument/2006/relationships/hyperlink" Target="https://core.ac.uk/download/154471089.pdf" TargetMode="External"/><Relationship Id="rId5" Type="http://schemas.openxmlformats.org/officeDocument/2006/relationships/image" Target="media/image1.png"/><Relationship Id="rId15" Type="http://schemas.openxmlformats.org/officeDocument/2006/relationships/hyperlink" Target="https://www.ncbi.nlm.nih.gov/pmc/articles/PMC10356944/" TargetMode="External"/><Relationship Id="rId23" Type="http://schemas.openxmlformats.org/officeDocument/2006/relationships/hyperlink" Target="https://www.ncbi.nlm.nih.gov/pmc/articles/PMC9318416/" TargetMode="External"/><Relationship Id="rId28" Type="http://schemas.openxmlformats.org/officeDocument/2006/relationships/hyperlink" Target="https://core.ac.uk/download/237704523.pdf" TargetMode="External"/><Relationship Id="rId10" Type="http://schemas.openxmlformats.org/officeDocument/2006/relationships/hyperlink" Target="https://pubs.rsc.org/en/content/articlehtml/2021/cc/d1cc02616j" TargetMode="External"/><Relationship Id="rId19" Type="http://schemas.openxmlformats.org/officeDocument/2006/relationships/hyperlink" Target="https://www.ncbi.nlm.nih.gov/pmc/articles/PMC8263918/" TargetMode="External"/><Relationship Id="rId31" Type="http://schemas.openxmlformats.org/officeDocument/2006/relationships/hyperlink" Target="https://www.ncbi.nlm.nih.gov/pmc/articles/PMC7178238/" TargetMode="External"/><Relationship Id="rId4" Type="http://schemas.openxmlformats.org/officeDocument/2006/relationships/webSettings" Target="webSettings.xml"/><Relationship Id="rId9" Type="http://schemas.openxmlformats.org/officeDocument/2006/relationships/hyperlink" Target="https://pubs.acs.org/doi/pdf/10.1021/acsnano.1c00627" TargetMode="External"/><Relationship Id="rId14" Type="http://schemas.openxmlformats.org/officeDocument/2006/relationships/hyperlink" Target="https://www.ncbi.nlm.nih.gov/pmc/articles/PMC7705891/" TargetMode="External"/><Relationship Id="rId22" Type="http://schemas.openxmlformats.org/officeDocument/2006/relationships/hyperlink" Target="https://www.ncbi.nlm.nih.gov/pmc/articles/PMC9713798/" TargetMode="External"/><Relationship Id="rId27" Type="http://schemas.openxmlformats.org/officeDocument/2006/relationships/hyperlink" Target="https://www.ncbi.nlm.nih.gov/pmc/articles/PMC10910457/" TargetMode="External"/><Relationship Id="rId30" Type="http://schemas.openxmlformats.org/officeDocument/2006/relationships/hyperlink" Target="https://www.ncbi.nlm.nih.gov/pmc/articles/PMC10858907/"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29</Pages>
  <Words>13179</Words>
  <Characters>75125</Characters>
  <Application>Microsoft Office Word</Application>
  <DocSecurity>0</DocSecurity>
  <Lines>626</Lines>
  <Paragraphs>176</Paragraphs>
  <ScaleCrop>false</ScaleCrop>
  <Company/>
  <LinksUpToDate>false</LinksUpToDate>
  <CharactersWithSpaces>88128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Kashif Majeed</dc:creator>
  <cp:keywords/>
  <dc:description/>
  <cp:lastModifiedBy>Muhammad Kashif Majeed</cp:lastModifiedBy>
  <cp:revision>4</cp:revision>
  <dcterms:created xsi:type="dcterms:W3CDTF">2025-10-18T08:11:00Z</dcterms:created>
  <dcterms:modified xsi:type="dcterms:W3CDTF">2025-10-18T08:11:00Z</dcterms:modified>
</cp:coreProperties>
</file>