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D74E4CD" w14:textId="77777777" w:rsidR="006D348B" w:rsidRPr="00600C09" w:rsidRDefault="006D348B" w:rsidP="00793AE5">
      <w:pPr>
        <w:rPr>
          <w:b/>
          <w:bCs/>
        </w:rPr>
      </w:pPr>
      <w:r w:rsidRPr="00600C09">
        <w:rPr>
          <w:rFonts w:ascii="Segoe UI Emoji" w:hAnsi="Segoe UI Emoji" w:cs="Segoe UI Emoji"/>
          <w:b/>
          <w:bCs/>
        </w:rPr>
        <w:t>📘</w:t>
      </w:r>
      <w:r w:rsidRPr="00600C09">
        <w:rPr>
          <w:b/>
          <w:bCs/>
        </w:rPr>
        <w:t xml:space="preserve"> Book Proposal</w:t>
      </w:r>
    </w:p>
    <w:p w14:paraId="687A72BF" w14:textId="77777777" w:rsidR="006D348B" w:rsidRPr="00600C09" w:rsidRDefault="006D348B" w:rsidP="00793AE5">
      <w:r w:rsidRPr="00600C09">
        <w:rPr>
          <w:b/>
          <w:bCs/>
        </w:rPr>
        <w:t>Proposed Title</w:t>
      </w:r>
      <w:r w:rsidRPr="00600C09">
        <w:br/>
      </w:r>
      <w:r w:rsidRPr="00600C09">
        <w:rPr>
          <w:i/>
          <w:iCs/>
        </w:rPr>
        <w:t>Islamic Security Instruments in Project Finance: Theory, Practice, Governance, and Reform</w:t>
      </w:r>
    </w:p>
    <w:p w14:paraId="3C910744" w14:textId="77777777" w:rsidR="006D348B" w:rsidRPr="00600C09" w:rsidRDefault="006D348B" w:rsidP="00793AE5">
      <w:r>
        <w:rPr>
          <w:noProof/>
        </w:rPr>
      </w:r>
      <w:r w:rsidR="006D348B">
        <w:rPr>
          <w:noProof/>
        </w:rPr>
        <w:pict w14:anchorId="10455B97">
          <v:rect id="_x0000_i1284" style="width:0;height:1.5pt" o:hralign="center" o:hrstd="t" o:hr="t" fillcolor="#a0a0a0" stroked="f"/>
        </w:pict>
      </w:r>
    </w:p>
    <w:p w14:paraId="22D09B8A" w14:textId="77777777" w:rsidR="006D348B" w:rsidRPr="00600C09" w:rsidRDefault="006D348B" w:rsidP="00793AE5">
      <w:pPr>
        <w:rPr>
          <w:b/>
          <w:bCs/>
        </w:rPr>
      </w:pPr>
      <w:r w:rsidRPr="00600C09">
        <w:rPr>
          <w:b/>
          <w:bCs/>
        </w:rPr>
        <w:t>1. Overview</w:t>
      </w:r>
    </w:p>
    <w:p w14:paraId="37EBBCD3" w14:textId="77777777" w:rsidR="006D348B" w:rsidRPr="00600C09" w:rsidRDefault="006D348B" w:rsidP="00793AE5">
      <w:r w:rsidRPr="00600C09">
        <w:t xml:space="preserve">This book offers a comprehensive examination of security instruments in Islamic project finance, bridging </w:t>
      </w:r>
      <w:r w:rsidRPr="00600C09">
        <w:rPr>
          <w:b/>
          <w:bCs/>
        </w:rPr>
        <w:t>classical Shariah principles</w:t>
      </w:r>
      <w:r w:rsidRPr="00600C09">
        <w:t xml:space="preserve"> with </w:t>
      </w:r>
      <w:r w:rsidRPr="00600C09">
        <w:rPr>
          <w:b/>
          <w:bCs/>
        </w:rPr>
        <w:t>modern financial practice</w:t>
      </w:r>
      <w:r w:rsidRPr="00600C09">
        <w:t xml:space="preserve">. It critically explores the jurisprudential foundations of </w:t>
      </w:r>
      <w:r w:rsidRPr="00600C09">
        <w:rPr>
          <w:i/>
          <w:iCs/>
        </w:rPr>
        <w:t>rahn</w:t>
      </w:r>
      <w:r w:rsidRPr="00600C09">
        <w:t xml:space="preserve"> (pledge), </w:t>
      </w:r>
      <w:r w:rsidRPr="00600C09">
        <w:rPr>
          <w:i/>
          <w:iCs/>
        </w:rPr>
        <w:t>kafālah</w:t>
      </w:r>
      <w:r w:rsidRPr="00600C09">
        <w:t xml:space="preserve"> (guarantee), </w:t>
      </w:r>
      <w:r w:rsidRPr="00600C09">
        <w:rPr>
          <w:rFonts w:ascii="Calibri" w:hAnsi="Calibri" w:cs="Calibri"/>
          <w:i/>
          <w:iCs/>
        </w:rPr>
        <w:t>ḍ</w:t>
      </w:r>
      <w:r w:rsidRPr="00600C09">
        <w:rPr>
          <w:i/>
          <w:iCs/>
        </w:rPr>
        <w:t>amān</w:t>
      </w:r>
      <w:r w:rsidRPr="00600C09">
        <w:t xml:space="preserve"> (suretyship), and </w:t>
      </w:r>
      <w:r w:rsidRPr="00600C09">
        <w:rPr>
          <w:rFonts w:ascii="Calibri" w:hAnsi="Calibri" w:cs="Calibri"/>
          <w:i/>
          <w:iCs/>
        </w:rPr>
        <w:t>ḥ</w:t>
      </w:r>
      <w:r w:rsidRPr="00600C09">
        <w:rPr>
          <w:i/>
          <w:iCs/>
        </w:rPr>
        <w:t>awālah</w:t>
      </w:r>
      <w:r w:rsidRPr="00600C09">
        <w:t xml:space="preserve"> (debt transfer), comparing them to conventional security instruments such as mortgages, charges, guarantees, and assignments.</w:t>
      </w:r>
    </w:p>
    <w:p w14:paraId="69B7AD43" w14:textId="77777777" w:rsidR="006D348B" w:rsidRPr="00600C09" w:rsidRDefault="006D348B" w:rsidP="00793AE5">
      <w:r w:rsidRPr="00600C09">
        <w:t xml:space="preserve">Through theoretical analysis, comparative evaluation, case studies, and regulatory discussion, the book demonstrates both the </w:t>
      </w:r>
      <w:r w:rsidRPr="00600C09">
        <w:rPr>
          <w:b/>
          <w:bCs/>
        </w:rPr>
        <w:t>potential and limitations</w:t>
      </w:r>
      <w:r w:rsidRPr="00600C09">
        <w:t xml:space="preserve"> of Islamic security instruments. It proposes reforms and innovations — including </w:t>
      </w:r>
      <w:r w:rsidRPr="00600C09">
        <w:rPr>
          <w:b/>
          <w:bCs/>
        </w:rPr>
        <w:t>digital rahn, smart contracts, and maqāṣid-oriented frameworks</w:t>
      </w:r>
      <w:r w:rsidRPr="00600C09">
        <w:t xml:space="preserve"> — that can enhance their effectiveness in global project finance.</w:t>
      </w:r>
    </w:p>
    <w:p w14:paraId="467ECF89" w14:textId="77777777" w:rsidR="006D348B" w:rsidRPr="00600C09" w:rsidRDefault="006D348B" w:rsidP="00793AE5">
      <w:r w:rsidRPr="00600C09">
        <w:t xml:space="preserve">The book addresses a pressing scholarly and practical question: </w:t>
      </w:r>
      <w:r w:rsidRPr="00600C09">
        <w:rPr>
          <w:i/>
          <w:iCs/>
        </w:rPr>
        <w:t>Can Islamic security instruments provide viable, enforceable, and competitive alternatives in modern project finance while remaining faithful to Shariah?</w:t>
      </w:r>
    </w:p>
    <w:p w14:paraId="09EC9FB4" w14:textId="77777777" w:rsidR="006D348B" w:rsidRPr="00600C09" w:rsidRDefault="006D348B" w:rsidP="00793AE5">
      <w:r>
        <w:rPr>
          <w:noProof/>
        </w:rPr>
      </w:r>
      <w:r w:rsidR="006D348B">
        <w:rPr>
          <w:noProof/>
        </w:rPr>
        <w:pict w14:anchorId="17326CB9">
          <v:rect id="_x0000_i1285" style="width:0;height:1.5pt" o:hralign="center" o:hrstd="t" o:hr="t" fillcolor="#a0a0a0" stroked="f"/>
        </w:pict>
      </w:r>
    </w:p>
    <w:p w14:paraId="55B76334" w14:textId="77777777" w:rsidR="006D348B" w:rsidRPr="00600C09" w:rsidRDefault="006D348B" w:rsidP="00793AE5">
      <w:pPr>
        <w:rPr>
          <w:b/>
          <w:bCs/>
        </w:rPr>
      </w:pPr>
      <w:r w:rsidRPr="00600C09">
        <w:rPr>
          <w:b/>
          <w:bCs/>
        </w:rPr>
        <w:t>2. Rationale and Contribution</w:t>
      </w:r>
    </w:p>
    <w:p w14:paraId="77659F2C" w14:textId="77777777" w:rsidR="006D348B" w:rsidRPr="00600C09" w:rsidRDefault="006D348B" w:rsidP="00793AE5">
      <w:r w:rsidRPr="00600C09">
        <w:t>Existing literature in Islamic finance often focuses on contracts (murāba</w:t>
      </w:r>
      <w:r w:rsidRPr="00600C09">
        <w:rPr>
          <w:rFonts w:ascii="Calibri" w:hAnsi="Calibri" w:cs="Calibri"/>
        </w:rPr>
        <w:t>ḥ</w:t>
      </w:r>
      <w:r w:rsidRPr="00600C09">
        <w:t>ah, ijārah, mushārakah) or on capital markets (sukuk). Security instruments — the backbone of project finance — remain underexplored. This book fills that gap by:</w:t>
      </w:r>
    </w:p>
    <w:p w14:paraId="109860A9" w14:textId="77777777" w:rsidR="006D348B" w:rsidRPr="00600C09" w:rsidRDefault="006D348B" w:rsidP="006D348B">
      <w:pPr>
        <w:numPr>
          <w:ilvl w:val="0"/>
          <w:numId w:val="326"/>
        </w:numPr>
      </w:pPr>
      <w:r w:rsidRPr="00600C09">
        <w:t xml:space="preserve">Providing the </w:t>
      </w:r>
      <w:r w:rsidRPr="00600C09">
        <w:rPr>
          <w:b/>
          <w:bCs/>
        </w:rPr>
        <w:t>first comprehensive study</w:t>
      </w:r>
      <w:r w:rsidRPr="00600C09">
        <w:t xml:space="preserve"> of Islamic security instruments in project finance.</w:t>
      </w:r>
    </w:p>
    <w:p w14:paraId="40C0E8AB" w14:textId="77777777" w:rsidR="006D348B" w:rsidRPr="00600C09" w:rsidRDefault="006D348B" w:rsidP="006D348B">
      <w:pPr>
        <w:numPr>
          <w:ilvl w:val="0"/>
          <w:numId w:val="326"/>
        </w:numPr>
      </w:pPr>
      <w:r w:rsidRPr="00600C09">
        <w:t xml:space="preserve">Introducing a </w:t>
      </w:r>
      <w:r w:rsidRPr="00600C09">
        <w:rPr>
          <w:b/>
          <w:bCs/>
        </w:rPr>
        <w:t>Compatibility Index</w:t>
      </w:r>
      <w:r w:rsidRPr="00600C09">
        <w:t xml:space="preserve"> to benchmark Islamic and conventional instruments.</w:t>
      </w:r>
    </w:p>
    <w:p w14:paraId="43AAC794" w14:textId="77777777" w:rsidR="006D348B" w:rsidRPr="00600C09" w:rsidRDefault="006D348B" w:rsidP="006D348B">
      <w:pPr>
        <w:numPr>
          <w:ilvl w:val="0"/>
          <w:numId w:val="326"/>
        </w:numPr>
      </w:pPr>
      <w:r w:rsidRPr="00600C09">
        <w:t xml:space="preserve">Integrating </w:t>
      </w:r>
      <w:r w:rsidRPr="00600C09">
        <w:rPr>
          <w:b/>
          <w:bCs/>
        </w:rPr>
        <w:t>maqāṣid al-Shariah analysis</w:t>
      </w:r>
      <w:r w:rsidRPr="00600C09">
        <w:t xml:space="preserve"> into the evaluation of financial security.</w:t>
      </w:r>
    </w:p>
    <w:p w14:paraId="09B76258" w14:textId="77777777" w:rsidR="006D348B" w:rsidRPr="00600C09" w:rsidRDefault="006D348B" w:rsidP="006D348B">
      <w:pPr>
        <w:numPr>
          <w:ilvl w:val="0"/>
          <w:numId w:val="326"/>
        </w:numPr>
      </w:pPr>
      <w:r w:rsidRPr="00600C09">
        <w:t xml:space="preserve">Drawing on </w:t>
      </w:r>
      <w:r w:rsidRPr="00600C09">
        <w:rPr>
          <w:b/>
          <w:bCs/>
        </w:rPr>
        <w:t>original case studies from Malaysia</w:t>
      </w:r>
      <w:r w:rsidRPr="00600C09">
        <w:t>, a leading hub of Islamic finance.</w:t>
      </w:r>
    </w:p>
    <w:p w14:paraId="5B447AD2" w14:textId="77777777" w:rsidR="006D348B" w:rsidRPr="00600C09" w:rsidRDefault="006D348B" w:rsidP="006D348B">
      <w:pPr>
        <w:numPr>
          <w:ilvl w:val="0"/>
          <w:numId w:val="326"/>
        </w:numPr>
      </w:pPr>
      <w:r w:rsidRPr="00600C09">
        <w:t xml:space="preserve">Offering </w:t>
      </w:r>
      <w:r w:rsidRPr="00600C09">
        <w:rPr>
          <w:b/>
          <w:bCs/>
        </w:rPr>
        <w:t>policy-relevant insights</w:t>
      </w:r>
      <w:r w:rsidRPr="00600C09">
        <w:t xml:space="preserve"> for regulators, Shariah boards, and practitioners.</w:t>
      </w:r>
    </w:p>
    <w:p w14:paraId="6D28B49C" w14:textId="77777777" w:rsidR="006D348B" w:rsidRPr="00600C09" w:rsidRDefault="006D348B" w:rsidP="00793AE5">
      <w:r>
        <w:rPr>
          <w:noProof/>
        </w:rPr>
        <w:lastRenderedPageBreak/>
      </w:r>
      <w:r w:rsidR="006D348B">
        <w:rPr>
          <w:noProof/>
        </w:rPr>
        <w:pict w14:anchorId="7F47BB30">
          <v:rect id="_x0000_i1286" style="width:0;height:1.5pt" o:hralign="center" o:hrstd="t" o:hr="t" fillcolor="#a0a0a0" stroked="f"/>
        </w:pict>
      </w:r>
    </w:p>
    <w:p w14:paraId="4DA5BB35" w14:textId="77777777" w:rsidR="006D348B" w:rsidRPr="00600C09" w:rsidRDefault="006D348B" w:rsidP="00793AE5">
      <w:pPr>
        <w:rPr>
          <w:b/>
          <w:bCs/>
        </w:rPr>
      </w:pPr>
      <w:r w:rsidRPr="00600C09">
        <w:rPr>
          <w:b/>
          <w:bCs/>
        </w:rPr>
        <w:t>3. Target Audience</w:t>
      </w:r>
    </w:p>
    <w:p w14:paraId="6A0BC7BA" w14:textId="77777777" w:rsidR="006D348B" w:rsidRPr="00600C09" w:rsidRDefault="006D348B" w:rsidP="006D348B">
      <w:pPr>
        <w:numPr>
          <w:ilvl w:val="0"/>
          <w:numId w:val="327"/>
        </w:numPr>
      </w:pPr>
      <w:r w:rsidRPr="00600C09">
        <w:rPr>
          <w:b/>
          <w:bCs/>
        </w:rPr>
        <w:t>Academic scholars</w:t>
      </w:r>
      <w:r w:rsidRPr="00600C09">
        <w:t xml:space="preserve"> in Islamic finance, banking, law, and economics.</w:t>
      </w:r>
    </w:p>
    <w:p w14:paraId="60FA24DA" w14:textId="77777777" w:rsidR="006D348B" w:rsidRPr="00600C09" w:rsidRDefault="006D348B" w:rsidP="006D348B">
      <w:pPr>
        <w:numPr>
          <w:ilvl w:val="0"/>
          <w:numId w:val="327"/>
        </w:numPr>
      </w:pPr>
      <w:r w:rsidRPr="00600C09">
        <w:rPr>
          <w:b/>
          <w:bCs/>
        </w:rPr>
        <w:t>Graduate and postgraduate students</w:t>
      </w:r>
      <w:r w:rsidRPr="00600C09">
        <w:t xml:space="preserve"> (Islamic finance, project finance, Shariah law).</w:t>
      </w:r>
    </w:p>
    <w:p w14:paraId="7764A9D1" w14:textId="77777777" w:rsidR="006D348B" w:rsidRPr="00600C09" w:rsidRDefault="006D348B" w:rsidP="006D348B">
      <w:pPr>
        <w:numPr>
          <w:ilvl w:val="0"/>
          <w:numId w:val="327"/>
        </w:numPr>
      </w:pPr>
      <w:r w:rsidRPr="00600C09">
        <w:rPr>
          <w:b/>
          <w:bCs/>
        </w:rPr>
        <w:t>Regulators and policymakers</w:t>
      </w:r>
      <w:r w:rsidRPr="00600C09">
        <w:t xml:space="preserve"> designing governance frameworks.</w:t>
      </w:r>
    </w:p>
    <w:p w14:paraId="6BD3A2F8" w14:textId="77777777" w:rsidR="006D348B" w:rsidRPr="00600C09" w:rsidRDefault="006D348B" w:rsidP="006D348B">
      <w:pPr>
        <w:numPr>
          <w:ilvl w:val="0"/>
          <w:numId w:val="327"/>
        </w:numPr>
      </w:pPr>
      <w:r w:rsidRPr="00600C09">
        <w:rPr>
          <w:b/>
          <w:bCs/>
        </w:rPr>
        <w:t>Practitioners</w:t>
      </w:r>
      <w:r w:rsidRPr="00600C09">
        <w:t xml:space="preserve"> (bankers, sukuk arrangers, lawyers) seeking practical structuring guidance.</w:t>
      </w:r>
    </w:p>
    <w:p w14:paraId="31200173" w14:textId="77777777" w:rsidR="006D348B" w:rsidRPr="00600C09" w:rsidRDefault="006D348B" w:rsidP="00793AE5">
      <w:r w:rsidRPr="00600C09">
        <w:t xml:space="preserve">The book is designed as a </w:t>
      </w:r>
      <w:r w:rsidRPr="00600C09">
        <w:rPr>
          <w:b/>
          <w:bCs/>
        </w:rPr>
        <w:t>scholarly monograph</w:t>
      </w:r>
      <w:r w:rsidRPr="00600C09">
        <w:t xml:space="preserve"> but will also serve as a </w:t>
      </w:r>
      <w:r w:rsidRPr="00600C09">
        <w:rPr>
          <w:b/>
          <w:bCs/>
        </w:rPr>
        <w:t>reference text</w:t>
      </w:r>
      <w:r w:rsidRPr="00600C09">
        <w:t xml:space="preserve"> in postgraduate programs in Islamic finance and law.</w:t>
      </w:r>
    </w:p>
    <w:p w14:paraId="33E46E46" w14:textId="77777777" w:rsidR="006D348B" w:rsidRPr="00600C09" w:rsidRDefault="006D348B" w:rsidP="00793AE5">
      <w:r>
        <w:rPr>
          <w:noProof/>
        </w:rPr>
      </w:r>
      <w:r w:rsidR="006D348B">
        <w:rPr>
          <w:noProof/>
        </w:rPr>
        <w:pict w14:anchorId="5A2D84CE">
          <v:rect id="_x0000_i1287" style="width:0;height:1.5pt" o:hralign="center" o:hrstd="t" o:hr="t" fillcolor="#a0a0a0" stroked="f"/>
        </w:pict>
      </w:r>
    </w:p>
    <w:p w14:paraId="5D673092" w14:textId="77777777" w:rsidR="006D348B" w:rsidRPr="00600C09" w:rsidRDefault="006D348B" w:rsidP="00793AE5">
      <w:pPr>
        <w:rPr>
          <w:b/>
          <w:bCs/>
        </w:rPr>
      </w:pPr>
      <w:r w:rsidRPr="00600C09">
        <w:rPr>
          <w:b/>
          <w:bCs/>
        </w:rPr>
        <w:t>4. Competing Works</w:t>
      </w:r>
    </w:p>
    <w:p w14:paraId="5ABF3345" w14:textId="77777777" w:rsidR="006D348B" w:rsidRPr="00600C09" w:rsidRDefault="006D348B" w:rsidP="006D348B">
      <w:pPr>
        <w:numPr>
          <w:ilvl w:val="0"/>
          <w:numId w:val="328"/>
        </w:numPr>
      </w:pPr>
      <w:r w:rsidRPr="00600C09">
        <w:t xml:space="preserve">El-Gamal, M. A. (2006). </w:t>
      </w:r>
      <w:r w:rsidRPr="00600C09">
        <w:rPr>
          <w:i/>
          <w:iCs/>
        </w:rPr>
        <w:t>Islamic Finance: Law, Economics, and Practice</w:t>
      </w:r>
      <w:r w:rsidRPr="00600C09">
        <w:t xml:space="preserve"> — focuses on general Islamic finance law but not security instruments.</w:t>
      </w:r>
    </w:p>
    <w:p w14:paraId="741EBCEC" w14:textId="77777777" w:rsidR="006D348B" w:rsidRPr="00600C09" w:rsidRDefault="006D348B" w:rsidP="006D348B">
      <w:pPr>
        <w:numPr>
          <w:ilvl w:val="0"/>
          <w:numId w:val="328"/>
        </w:numPr>
      </w:pPr>
      <w:r w:rsidRPr="00600C09">
        <w:t xml:space="preserve">Yescombe, E. R. (2014). </w:t>
      </w:r>
      <w:r w:rsidRPr="00600C09">
        <w:rPr>
          <w:i/>
          <w:iCs/>
        </w:rPr>
        <w:t>Principles of Project Finance</w:t>
      </w:r>
      <w:r w:rsidRPr="00600C09">
        <w:t xml:space="preserve"> — standard project finance text but with no Islamic perspective.</w:t>
      </w:r>
    </w:p>
    <w:p w14:paraId="5A42A849" w14:textId="77777777" w:rsidR="006D348B" w:rsidRPr="00600C09" w:rsidRDefault="006D348B" w:rsidP="006D348B">
      <w:pPr>
        <w:numPr>
          <w:ilvl w:val="0"/>
          <w:numId w:val="328"/>
        </w:numPr>
      </w:pPr>
      <w:r w:rsidRPr="00600C09">
        <w:t xml:space="preserve">Dusuki &amp; Bouheraoua (2011). </w:t>
      </w:r>
      <w:r w:rsidRPr="00600C09">
        <w:rPr>
          <w:i/>
          <w:iCs/>
        </w:rPr>
        <w:t>Maqasid al-Shariah and Its Implications for Islamic Finance</w:t>
      </w:r>
      <w:r w:rsidRPr="00600C09">
        <w:t xml:space="preserve"> — addresses ethics but not security frameworks.</w:t>
      </w:r>
    </w:p>
    <w:p w14:paraId="4A3EF0C7" w14:textId="77777777" w:rsidR="006D348B" w:rsidRPr="00600C09" w:rsidRDefault="006D348B" w:rsidP="00793AE5">
      <w:r w:rsidRPr="00600C09">
        <w:rPr>
          <w:b/>
          <w:bCs/>
        </w:rPr>
        <w:t>Differentiation</w:t>
      </w:r>
      <w:r w:rsidRPr="00600C09">
        <w:t xml:space="preserve">: This book uniquely integrates </w:t>
      </w:r>
      <w:r w:rsidRPr="00600C09">
        <w:rPr>
          <w:b/>
          <w:bCs/>
        </w:rPr>
        <w:t>jurisprudential depth, comparative analysis, and case-based application of Islamic security instruments</w:t>
      </w:r>
      <w:r w:rsidRPr="00600C09">
        <w:t xml:space="preserve"> in project finance, supported by an original </w:t>
      </w:r>
      <w:r w:rsidRPr="00600C09">
        <w:rPr>
          <w:b/>
          <w:bCs/>
        </w:rPr>
        <w:t>Compatibility Index</w:t>
      </w:r>
      <w:r w:rsidRPr="00600C09">
        <w:t>.</w:t>
      </w:r>
    </w:p>
    <w:p w14:paraId="6BA7F096" w14:textId="77777777" w:rsidR="006D348B" w:rsidRPr="00600C09" w:rsidRDefault="006D348B" w:rsidP="00793AE5">
      <w:r>
        <w:rPr>
          <w:noProof/>
        </w:rPr>
      </w:r>
      <w:r w:rsidR="006D348B">
        <w:rPr>
          <w:noProof/>
        </w:rPr>
        <w:pict w14:anchorId="5FCD8960">
          <v:rect id="_x0000_i1288" style="width:0;height:1.5pt" o:hralign="center" o:hrstd="t" o:hr="t" fillcolor="#a0a0a0" stroked="f"/>
        </w:pict>
      </w:r>
    </w:p>
    <w:p w14:paraId="24C592B8" w14:textId="77777777" w:rsidR="006D348B" w:rsidRPr="00600C09" w:rsidRDefault="006D348B" w:rsidP="00793AE5">
      <w:pPr>
        <w:rPr>
          <w:b/>
          <w:bCs/>
        </w:rPr>
      </w:pPr>
      <w:r w:rsidRPr="00600C09">
        <w:rPr>
          <w:b/>
          <w:bCs/>
        </w:rPr>
        <w:t>5. Chapter Outline</w:t>
      </w:r>
    </w:p>
    <w:p w14:paraId="4A9A69CB" w14:textId="77777777" w:rsidR="006D348B" w:rsidRPr="00600C09" w:rsidRDefault="006D348B" w:rsidP="006D348B">
      <w:pPr>
        <w:numPr>
          <w:ilvl w:val="0"/>
          <w:numId w:val="329"/>
        </w:numPr>
      </w:pPr>
      <w:r w:rsidRPr="00600C09">
        <w:rPr>
          <w:b/>
          <w:bCs/>
        </w:rPr>
        <w:t>Chapter 1</w:t>
      </w:r>
      <w:r w:rsidRPr="00600C09">
        <w:t>: Introduction</w:t>
      </w:r>
    </w:p>
    <w:p w14:paraId="20D97F7E" w14:textId="77777777" w:rsidR="006D348B" w:rsidRPr="00600C09" w:rsidRDefault="006D348B" w:rsidP="006D348B">
      <w:pPr>
        <w:numPr>
          <w:ilvl w:val="0"/>
          <w:numId w:val="329"/>
        </w:numPr>
      </w:pPr>
      <w:r w:rsidRPr="00600C09">
        <w:rPr>
          <w:b/>
          <w:bCs/>
        </w:rPr>
        <w:t>Chapter 2</w:t>
      </w:r>
      <w:r w:rsidRPr="00600C09">
        <w:t>: Theoretical Foundations of Security in Islam</w:t>
      </w:r>
    </w:p>
    <w:p w14:paraId="52FCCA15" w14:textId="77777777" w:rsidR="006D348B" w:rsidRPr="00600C09" w:rsidRDefault="006D348B" w:rsidP="006D348B">
      <w:pPr>
        <w:numPr>
          <w:ilvl w:val="0"/>
          <w:numId w:val="329"/>
        </w:numPr>
      </w:pPr>
      <w:r w:rsidRPr="00600C09">
        <w:rPr>
          <w:b/>
          <w:bCs/>
        </w:rPr>
        <w:t>Chapter 3</w:t>
      </w:r>
      <w:r w:rsidRPr="00600C09">
        <w:t>: Conventional and Islamic Security Instruments</w:t>
      </w:r>
    </w:p>
    <w:p w14:paraId="46E16224" w14:textId="77777777" w:rsidR="006D348B" w:rsidRPr="00600C09" w:rsidRDefault="006D348B" w:rsidP="006D348B">
      <w:pPr>
        <w:numPr>
          <w:ilvl w:val="0"/>
          <w:numId w:val="329"/>
        </w:numPr>
      </w:pPr>
      <w:r w:rsidRPr="00600C09">
        <w:rPr>
          <w:b/>
          <w:bCs/>
        </w:rPr>
        <w:t>Chapter 4</w:t>
      </w:r>
      <w:r w:rsidRPr="00600C09">
        <w:t>: Comparative Perspectives</w:t>
      </w:r>
    </w:p>
    <w:p w14:paraId="4F7EE91A" w14:textId="77777777" w:rsidR="006D348B" w:rsidRPr="00600C09" w:rsidRDefault="006D348B" w:rsidP="006D348B">
      <w:pPr>
        <w:numPr>
          <w:ilvl w:val="0"/>
          <w:numId w:val="329"/>
        </w:numPr>
      </w:pPr>
      <w:r w:rsidRPr="00600C09">
        <w:rPr>
          <w:b/>
          <w:bCs/>
        </w:rPr>
        <w:t>Chapter 5</w:t>
      </w:r>
      <w:r w:rsidRPr="00600C09">
        <w:t>: Applications in Project Finance</w:t>
      </w:r>
    </w:p>
    <w:p w14:paraId="52C1651C" w14:textId="77777777" w:rsidR="006D348B" w:rsidRPr="00600C09" w:rsidRDefault="006D348B" w:rsidP="006D348B">
      <w:pPr>
        <w:numPr>
          <w:ilvl w:val="0"/>
          <w:numId w:val="329"/>
        </w:numPr>
      </w:pPr>
      <w:r w:rsidRPr="00600C09">
        <w:rPr>
          <w:b/>
          <w:bCs/>
        </w:rPr>
        <w:t>Chapter 6</w:t>
      </w:r>
      <w:r w:rsidRPr="00600C09">
        <w:t>: Shariah Governance &amp; Regulatory Frameworks</w:t>
      </w:r>
    </w:p>
    <w:p w14:paraId="6050B4C4" w14:textId="77777777" w:rsidR="006D348B" w:rsidRPr="00600C09" w:rsidRDefault="006D348B" w:rsidP="006D348B">
      <w:pPr>
        <w:numPr>
          <w:ilvl w:val="0"/>
          <w:numId w:val="329"/>
        </w:numPr>
      </w:pPr>
      <w:r w:rsidRPr="00600C09">
        <w:rPr>
          <w:b/>
          <w:bCs/>
        </w:rPr>
        <w:t>Chapter 7</w:t>
      </w:r>
      <w:r w:rsidRPr="00600C09">
        <w:t>: Reform and Innovation in Islamic Security Instruments</w:t>
      </w:r>
    </w:p>
    <w:p w14:paraId="1333BBFE" w14:textId="77777777" w:rsidR="006D348B" w:rsidRPr="00600C09" w:rsidRDefault="006D348B" w:rsidP="006D348B">
      <w:pPr>
        <w:numPr>
          <w:ilvl w:val="0"/>
          <w:numId w:val="329"/>
        </w:numPr>
      </w:pPr>
      <w:r w:rsidRPr="00600C09">
        <w:rPr>
          <w:b/>
          <w:bCs/>
        </w:rPr>
        <w:lastRenderedPageBreak/>
        <w:t>Chapter 8</w:t>
      </w:r>
      <w:r w:rsidRPr="00600C09">
        <w:t>: Conclusion and Synthesis</w:t>
      </w:r>
    </w:p>
    <w:p w14:paraId="42BFAB42" w14:textId="77777777" w:rsidR="006D348B" w:rsidRPr="00600C09" w:rsidRDefault="006D348B" w:rsidP="00793AE5">
      <w:r>
        <w:rPr>
          <w:noProof/>
        </w:rPr>
      </w:r>
      <w:r w:rsidR="006D348B">
        <w:rPr>
          <w:noProof/>
        </w:rPr>
        <w:pict w14:anchorId="2D71D008">
          <v:rect id="_x0000_i1289" style="width:0;height:1.5pt" o:hralign="center" o:hrstd="t" o:hr="t" fillcolor="#a0a0a0" stroked="f"/>
        </w:pict>
      </w:r>
    </w:p>
    <w:p w14:paraId="4E19CE5B" w14:textId="77777777" w:rsidR="006D348B" w:rsidRPr="00600C09" w:rsidRDefault="006D348B" w:rsidP="00793AE5">
      <w:pPr>
        <w:rPr>
          <w:b/>
          <w:bCs/>
        </w:rPr>
      </w:pPr>
      <w:r w:rsidRPr="00600C09">
        <w:rPr>
          <w:b/>
          <w:bCs/>
        </w:rPr>
        <w:t>6. Author Profile</w:t>
      </w:r>
    </w:p>
    <w:p w14:paraId="4F0E488F" w14:textId="77777777" w:rsidR="006D348B" w:rsidRPr="00600C09" w:rsidRDefault="006D348B" w:rsidP="00793AE5">
      <w:r w:rsidRPr="00600C09">
        <w:rPr>
          <w:b/>
          <w:bCs/>
        </w:rPr>
        <w:t>Muhamad Nasir Haron</w:t>
      </w:r>
      <w:r w:rsidRPr="00600C09">
        <w:t xml:space="preserve"> is Head of Shariah Research &amp; Advisory at SME Bank Malaysia. He holds a PhD in Islamic Finance from IIiBF, IIUM, with over 16 years of professional experience, including roles at the Securities Commission, Maybank Islamic, and MUFG.</w:t>
      </w:r>
    </w:p>
    <w:p w14:paraId="72026512" w14:textId="77777777" w:rsidR="006D348B" w:rsidRPr="00600C09" w:rsidRDefault="006D348B" w:rsidP="00793AE5">
      <w:r w:rsidRPr="00600C09">
        <w:t xml:space="preserve">He has published </w:t>
      </w:r>
      <w:r w:rsidRPr="00600C09">
        <w:rPr>
          <w:b/>
          <w:bCs/>
        </w:rPr>
        <w:t>17 journal articles</w:t>
      </w:r>
      <w:r w:rsidRPr="00600C09">
        <w:t xml:space="preserve"> and presented at </w:t>
      </w:r>
      <w:r w:rsidRPr="00600C09">
        <w:rPr>
          <w:b/>
          <w:bCs/>
        </w:rPr>
        <w:t>20 international conferences</w:t>
      </w:r>
      <w:r w:rsidRPr="00600C09">
        <w:t xml:space="preserve">, focusing on Shariah governance, Islamic capital markets, and project finance. He is a </w:t>
      </w:r>
      <w:r w:rsidRPr="00600C09">
        <w:rPr>
          <w:b/>
          <w:bCs/>
        </w:rPr>
        <w:t>Certified Shariah Advisor and Auditor (CSAA, AAOIFI)</w:t>
      </w:r>
      <w:r w:rsidRPr="00600C09">
        <w:t xml:space="preserve">, </w:t>
      </w:r>
      <w:r w:rsidRPr="00600C09">
        <w:rPr>
          <w:b/>
          <w:bCs/>
        </w:rPr>
        <w:t>Chartered Professional in Islamic Finance (CPIF, CIIF)</w:t>
      </w:r>
      <w:r w:rsidRPr="00600C09">
        <w:t xml:space="preserve">, and </w:t>
      </w:r>
      <w:r w:rsidRPr="00600C09">
        <w:rPr>
          <w:b/>
          <w:bCs/>
        </w:rPr>
        <w:t>accredited IFQ trainer (CISI, UK)</w:t>
      </w:r>
      <w:r w:rsidRPr="00600C09">
        <w:t>.</w:t>
      </w:r>
    </w:p>
    <w:p w14:paraId="60EC5C8C" w14:textId="77777777" w:rsidR="006D348B" w:rsidRPr="00600C09" w:rsidRDefault="006D348B" w:rsidP="00793AE5">
      <w:r w:rsidRPr="00600C09">
        <w:t xml:space="preserve">This unique blend of </w:t>
      </w:r>
      <w:r w:rsidRPr="00600C09">
        <w:rPr>
          <w:b/>
          <w:bCs/>
        </w:rPr>
        <w:t>academic scholarship</w:t>
      </w:r>
      <w:r w:rsidRPr="00600C09">
        <w:t xml:space="preserve"> and </w:t>
      </w:r>
      <w:r w:rsidRPr="00600C09">
        <w:rPr>
          <w:b/>
          <w:bCs/>
        </w:rPr>
        <w:t>practical industry experience</w:t>
      </w:r>
      <w:r w:rsidRPr="00600C09">
        <w:t xml:space="preserve"> positions him to make a major contribution to both literature and practice.</w:t>
      </w:r>
    </w:p>
    <w:p w14:paraId="66A74E2F" w14:textId="77777777" w:rsidR="006D348B" w:rsidRPr="00600C09" w:rsidRDefault="006D348B" w:rsidP="00793AE5">
      <w:r>
        <w:rPr>
          <w:noProof/>
        </w:rPr>
      </w:r>
      <w:r w:rsidR="006D348B">
        <w:rPr>
          <w:noProof/>
        </w:rPr>
        <w:pict w14:anchorId="68882D9C">
          <v:rect id="_x0000_i1290" style="width:0;height:1.5pt" o:hralign="center" o:hrstd="t" o:hr="t" fillcolor="#a0a0a0" stroked="f"/>
        </w:pict>
      </w:r>
    </w:p>
    <w:p w14:paraId="3B6F4D6C" w14:textId="77777777" w:rsidR="006D348B" w:rsidRPr="00600C09" w:rsidRDefault="006D348B" w:rsidP="00793AE5">
      <w:pPr>
        <w:rPr>
          <w:b/>
          <w:bCs/>
        </w:rPr>
      </w:pPr>
      <w:r w:rsidRPr="00600C09">
        <w:rPr>
          <w:b/>
          <w:bCs/>
        </w:rPr>
        <w:t>7. Length and Timeline</w:t>
      </w:r>
    </w:p>
    <w:p w14:paraId="37F9F4BD" w14:textId="77777777" w:rsidR="006D348B" w:rsidRPr="00600C09" w:rsidRDefault="006D348B" w:rsidP="006D348B">
      <w:pPr>
        <w:numPr>
          <w:ilvl w:val="0"/>
          <w:numId w:val="330"/>
        </w:numPr>
      </w:pPr>
      <w:r w:rsidRPr="00600C09">
        <w:t xml:space="preserve">Approx. </w:t>
      </w:r>
      <w:r w:rsidRPr="00600C09">
        <w:rPr>
          <w:b/>
          <w:bCs/>
        </w:rPr>
        <w:t>80,000 words</w:t>
      </w:r>
      <w:r w:rsidRPr="00600C09">
        <w:t xml:space="preserve"> (8 chapters).</w:t>
      </w:r>
    </w:p>
    <w:p w14:paraId="0B2EBB99" w14:textId="77777777" w:rsidR="006D348B" w:rsidRPr="00600C09" w:rsidRDefault="006D348B" w:rsidP="006D348B">
      <w:pPr>
        <w:numPr>
          <w:ilvl w:val="0"/>
          <w:numId w:val="330"/>
        </w:numPr>
      </w:pPr>
      <w:r w:rsidRPr="00600C09">
        <w:t>Manuscript completed (full draft ready).</w:t>
      </w:r>
    </w:p>
    <w:p w14:paraId="1ADF9442" w14:textId="77777777" w:rsidR="006D348B" w:rsidRPr="00600C09" w:rsidRDefault="006D348B" w:rsidP="006D348B">
      <w:pPr>
        <w:numPr>
          <w:ilvl w:val="0"/>
          <w:numId w:val="330"/>
        </w:numPr>
      </w:pPr>
      <w:r w:rsidRPr="00600C09">
        <w:t>Submission possible immediately.</w:t>
      </w:r>
    </w:p>
    <w:p w14:paraId="0E4759E2" w14:textId="77777777" w:rsidR="006D348B" w:rsidRPr="00600C09" w:rsidRDefault="006D348B" w:rsidP="00793AE5">
      <w:r>
        <w:rPr>
          <w:noProof/>
        </w:rPr>
      </w:r>
      <w:r w:rsidR="006D348B">
        <w:rPr>
          <w:noProof/>
        </w:rPr>
        <w:pict w14:anchorId="0B488062">
          <v:rect id="_x0000_i1291" style="width:0;height:1.5pt" o:hralign="center" o:hrstd="t" o:hr="t" fillcolor="#a0a0a0" stroked="f"/>
        </w:pict>
      </w:r>
    </w:p>
    <w:p w14:paraId="624FE587" w14:textId="77777777" w:rsidR="006D348B" w:rsidRPr="00600C09" w:rsidRDefault="006D348B" w:rsidP="00793AE5">
      <w:pPr>
        <w:rPr>
          <w:b/>
          <w:bCs/>
        </w:rPr>
      </w:pPr>
      <w:r w:rsidRPr="00600C09">
        <w:rPr>
          <w:b/>
          <w:bCs/>
        </w:rPr>
        <w:t>8. Why This Book Matters</w:t>
      </w:r>
    </w:p>
    <w:p w14:paraId="2E254F40" w14:textId="77777777" w:rsidR="006D348B" w:rsidRPr="00600C09" w:rsidRDefault="006D348B" w:rsidP="00793AE5">
      <w:r w:rsidRPr="00600C09">
        <w:t xml:space="preserve">Islamic project finance is a multi-billion-dollar sector but often constrained by lack of robust, enforceable, and Shariah-compliant security instruments. By analyzing theory, practice, governance, and reform, this book provides both a </w:t>
      </w:r>
      <w:r w:rsidRPr="00600C09">
        <w:rPr>
          <w:b/>
          <w:bCs/>
        </w:rPr>
        <w:t>diagnosis of current gaps</w:t>
      </w:r>
      <w:r w:rsidRPr="00600C09">
        <w:t xml:space="preserve"> and a </w:t>
      </w:r>
      <w:r w:rsidRPr="00600C09">
        <w:rPr>
          <w:b/>
          <w:bCs/>
        </w:rPr>
        <w:t>roadmap for the future</w:t>
      </w:r>
      <w:r w:rsidRPr="00600C09">
        <w:t>.</w:t>
      </w:r>
    </w:p>
    <w:p w14:paraId="685E109B" w14:textId="77777777" w:rsidR="006D348B" w:rsidRPr="00600C09" w:rsidRDefault="006D348B" w:rsidP="00793AE5">
      <w:r w:rsidRPr="00600C09">
        <w:t>It positions Islamic finance as a credible alternative in global project finance, combining authenticity, competitiveness, and ethical integrity.</w:t>
      </w:r>
    </w:p>
    <w:p w14:paraId="7BAFF9A6" w14:textId="77777777" w:rsidR="006D348B" w:rsidRPr="00600C09" w:rsidRDefault="006D348B" w:rsidP="00793AE5">
      <w:r>
        <w:rPr>
          <w:noProof/>
        </w:rPr>
      </w:r>
      <w:r w:rsidR="006D348B">
        <w:rPr>
          <w:noProof/>
        </w:rPr>
        <w:pict w14:anchorId="67F8DE3C">
          <v:rect id="_x0000_i1292" style="width:0;height:1.5pt" o:hralign="center" o:hrstd="t" o:hr="t" fillcolor="#a0a0a0" stroked="f"/>
        </w:pict>
      </w:r>
    </w:p>
    <w:p w14:paraId="2909525D" w14:textId="77777777" w:rsidR="006D348B" w:rsidRPr="00600C09" w:rsidRDefault="006D348B" w:rsidP="00793AE5"/>
    <w:p w14:paraId="65A97367" w14:textId="77777777" w:rsidR="006D348B" w:rsidRDefault="006D348B" w:rsidP="00793AE5"/>
    <w:p w14:paraId="09E709A4" w14:textId="77777777" w:rsidR="006D348B" w:rsidRDefault="006D348B" w:rsidP="00600C09">
      <w:pPr>
        <w:rPr>
          <w:b/>
          <w:bCs/>
        </w:rPr>
      </w:pPr>
    </w:p>
    <w:p w14:paraId="0DF854BA" w14:textId="77777777" w:rsidR="006D348B" w:rsidRDefault="006D348B" w:rsidP="00600C09">
      <w:pPr>
        <w:rPr>
          <w:b/>
          <w:bCs/>
        </w:rPr>
      </w:pPr>
    </w:p>
    <w:p w14:paraId="7C0011F9" w14:textId="77777777" w:rsidR="006D348B" w:rsidRDefault="006D348B" w:rsidP="00600C09">
      <w:pPr>
        <w:rPr>
          <w:b/>
          <w:bCs/>
        </w:rPr>
      </w:pPr>
    </w:p>
    <w:p w14:paraId="094CAC26" w14:textId="77777777" w:rsidR="006D348B" w:rsidRDefault="006D348B" w:rsidP="00600C09">
      <w:pPr>
        <w:rPr>
          <w:b/>
          <w:bCs/>
        </w:rPr>
      </w:pPr>
    </w:p>
    <w:p w14:paraId="24092976" w14:textId="29BE6C47" w:rsidR="00600C09" w:rsidRPr="00600C09" w:rsidRDefault="00600C09" w:rsidP="00600C09">
      <w:pPr>
        <w:rPr>
          <w:b/>
          <w:bCs/>
        </w:rPr>
      </w:pPr>
      <w:r w:rsidRPr="00600C09">
        <w:rPr>
          <w:b/>
          <w:bCs/>
        </w:rPr>
        <w:t>Chapter 1 — Introduction</w:t>
      </w:r>
    </w:p>
    <w:p w14:paraId="0E885EB9" w14:textId="77777777" w:rsidR="00600C09" w:rsidRPr="00600C09" w:rsidRDefault="00877B45" w:rsidP="00600C09">
      <w:r>
        <w:rPr>
          <w:noProof/>
        </w:rPr>
      </w:r>
      <w:r w:rsidR="00877B45">
        <w:rPr>
          <w:noProof/>
        </w:rPr>
        <w:pict w14:anchorId="4CA49A9C">
          <v:rect id="_x0000_i1025" style="width:0;height:1.5pt" o:hralign="center" o:hrstd="t" o:hr="t" fillcolor="#a0a0a0" stroked="f"/>
        </w:pict>
      </w:r>
    </w:p>
    <w:p w14:paraId="20A6A44B" w14:textId="77777777" w:rsidR="00600C09" w:rsidRPr="00600C09" w:rsidRDefault="00600C09" w:rsidP="00600C09">
      <w:pPr>
        <w:rPr>
          <w:b/>
          <w:bCs/>
        </w:rPr>
      </w:pPr>
      <w:r w:rsidRPr="00600C09">
        <w:rPr>
          <w:b/>
          <w:bCs/>
        </w:rPr>
        <w:t>1.1 Setting the Scene: Why Security Matters</w:t>
      </w:r>
    </w:p>
    <w:p w14:paraId="33F996DB" w14:textId="77777777" w:rsidR="00600C09" w:rsidRPr="00600C09" w:rsidRDefault="00600C09" w:rsidP="00600C09">
      <w:r w:rsidRPr="00600C09">
        <w:t>Project finance is the lifeblood of modern economic development. Across the globe, nations invest in large-scale infrastructure such as power plants, airports, highways, and renewable energy projects to meet the growing needs of society. These ventures are capital-intensive, often requiring billions of dollars in funding. Unlike corporate finance, which relies on the balance sheet of a company, project finance depends heavily on the future cash flows of the project itself to repay the financing (Yescombe, 2014).</w:t>
      </w:r>
    </w:p>
    <w:p w14:paraId="091D1F96" w14:textId="77777777" w:rsidR="00600C09" w:rsidRPr="00600C09" w:rsidRDefault="00600C09" w:rsidP="00600C09">
      <w:r w:rsidRPr="00600C09">
        <w:t xml:space="preserve">This reliance on uncertain future cash flows creates unique challenges. To mitigate risks, financiers demand </w:t>
      </w:r>
      <w:r w:rsidRPr="00600C09">
        <w:rPr>
          <w:b/>
          <w:bCs/>
        </w:rPr>
        <w:t>security instruments</w:t>
      </w:r>
      <w:r w:rsidRPr="00600C09">
        <w:t xml:space="preserve"> — legal and contractual mechanisms that ensure they have recourse if the project underperforms or the borrower defaults. Without such security, project finance would be unviable, as investors and lenders would have little assurance that their capital is protected.</w:t>
      </w:r>
    </w:p>
    <w:p w14:paraId="3D5170AB" w14:textId="77777777" w:rsidR="00600C09" w:rsidRPr="00600C09" w:rsidRDefault="00600C09" w:rsidP="00600C09">
      <w:r w:rsidRPr="00600C09">
        <w:t>In conventional finance, the toolkit for security is well developed. Mortgages allow lenders to take legal rights over immovable property; pledges and liens cover movable assets; and charges provide flexible recourse across various asset classes. These instruments, backed by centuries of jurisprudence and tested in courts, are foundational to the global project finance system (Goode, 2013).</w:t>
      </w:r>
    </w:p>
    <w:p w14:paraId="785C2C48" w14:textId="77777777" w:rsidR="00600C09" w:rsidRPr="00600C09" w:rsidRDefault="00600C09" w:rsidP="00600C09">
      <w:r w:rsidRPr="00600C09">
        <w:t xml:space="preserve">However, for Islamic finance, the picture is more complex. Islamic finance is governed by the principles of </w:t>
      </w:r>
      <w:r w:rsidRPr="00600C09">
        <w:rPr>
          <w:b/>
          <w:bCs/>
        </w:rPr>
        <w:t>Shariah</w:t>
      </w:r>
      <w:r w:rsidRPr="00600C09">
        <w:t xml:space="preserve">, which prohibits interest (riba), excessive uncertainty (gharar), and gambling or speculation (maysir). Instead, it promotes fairness, risk-sharing, and ethical transactions. The question, then, is how to structure </w:t>
      </w:r>
      <w:r w:rsidRPr="00600C09">
        <w:rPr>
          <w:b/>
          <w:bCs/>
        </w:rPr>
        <w:t>security</w:t>
      </w:r>
      <w:r w:rsidRPr="00600C09">
        <w:t xml:space="preserve"> in a manner that aligns with these principles while still providing lenders with sufficient assurance.</w:t>
      </w:r>
    </w:p>
    <w:p w14:paraId="031BB009" w14:textId="77777777" w:rsidR="00600C09" w:rsidRPr="00600C09" w:rsidRDefault="00600C09" w:rsidP="00600C09">
      <w:r w:rsidRPr="00600C09">
        <w:t>This question is not academic alone. It is deeply practical. For instance, when a government in a Muslim-majority country launches a multibillion-dollar sukuk issuance to fund a new airport, or when an Islamic development bank finances a toll highway, both the investors and the public want confidence that the project will succeed and that risks are well managed. If security structures are weak or misaligned with Shariah, the credibility of Islamic finance as a viable alternative to conventional finance will be undermined (Iqbal &amp; Mirakhor, 2011).</w:t>
      </w:r>
    </w:p>
    <w:p w14:paraId="583CEFB5" w14:textId="77777777" w:rsidR="00600C09" w:rsidRPr="00600C09" w:rsidRDefault="00600C09" w:rsidP="00600C09">
      <w:r w:rsidRPr="00600C09">
        <w:t xml:space="preserve">The challenge of designing Shariah-compliant security instruments for project finance is therefore at the heart of Islamic finance’s global ambition. As the industry moves beyond retail banking into infrastructure and capital markets, the demand for robust, </w:t>
      </w:r>
      <w:r w:rsidRPr="00600C09">
        <w:lastRenderedPageBreak/>
        <w:t>Shariah-based security solutions becomes more urgent. This book takes up that challenge, examining the issue from both theoretical and practical angles.</w:t>
      </w:r>
    </w:p>
    <w:p w14:paraId="34C4D391" w14:textId="3BEA0FEF" w:rsidR="00600C09" w:rsidRPr="00600C09" w:rsidRDefault="00600C09" w:rsidP="00600C09"/>
    <w:p w14:paraId="7DF51FDD" w14:textId="77777777" w:rsidR="00600C09" w:rsidRPr="00600C09" w:rsidRDefault="00600C09" w:rsidP="00600C09">
      <w:pPr>
        <w:rPr>
          <w:b/>
          <w:bCs/>
        </w:rPr>
      </w:pPr>
      <w:r w:rsidRPr="00600C09">
        <w:rPr>
          <w:b/>
          <w:bCs/>
        </w:rPr>
        <w:t>1.2 The Gap Between Conventional and Islamic Approaches</w:t>
      </w:r>
    </w:p>
    <w:p w14:paraId="3FD45859" w14:textId="77777777" w:rsidR="00600C09" w:rsidRPr="00600C09" w:rsidRDefault="00600C09" w:rsidP="00600C09">
      <w:pPr>
        <w:rPr>
          <w:b/>
          <w:bCs/>
        </w:rPr>
      </w:pPr>
      <w:r w:rsidRPr="00600C09">
        <w:rPr>
          <w:b/>
          <w:bCs/>
        </w:rPr>
        <w:t>1.2.1 Conventional Security Instruments</w:t>
      </w:r>
    </w:p>
    <w:p w14:paraId="504E19EF" w14:textId="77777777" w:rsidR="00600C09" w:rsidRPr="00600C09" w:rsidRDefault="00600C09" w:rsidP="00600C09">
      <w:r w:rsidRPr="00600C09">
        <w:t>The conventional financial system, grounded in common law traditions, offers a sophisticated and time-tested set of instruments to secure financing. Among the most common are:</w:t>
      </w:r>
    </w:p>
    <w:p w14:paraId="5F45CA3A" w14:textId="77777777" w:rsidR="00600C09" w:rsidRPr="00600C09" w:rsidRDefault="00600C09" w:rsidP="00600C09">
      <w:pPr>
        <w:numPr>
          <w:ilvl w:val="0"/>
          <w:numId w:val="1"/>
        </w:numPr>
      </w:pPr>
      <w:r w:rsidRPr="00600C09">
        <w:rPr>
          <w:b/>
          <w:bCs/>
        </w:rPr>
        <w:t>Mortgage</w:t>
      </w:r>
      <w:r w:rsidRPr="00600C09">
        <w:t>: A legal agreement by which a lender takes rights over immovable property, such as land or buildings, until the debt is repaid. Mortgages are widely enforceable and form the backbone of secured lending (Goode, 2013).</w:t>
      </w:r>
    </w:p>
    <w:p w14:paraId="136BFC33" w14:textId="77777777" w:rsidR="00600C09" w:rsidRPr="00600C09" w:rsidRDefault="00600C09" w:rsidP="00600C09">
      <w:pPr>
        <w:numPr>
          <w:ilvl w:val="0"/>
          <w:numId w:val="1"/>
        </w:numPr>
      </w:pPr>
      <w:r w:rsidRPr="00600C09">
        <w:rPr>
          <w:b/>
          <w:bCs/>
        </w:rPr>
        <w:t>Pledge</w:t>
      </w:r>
      <w:r w:rsidRPr="00600C09">
        <w:t>: Involves the transfer of possession of movable property from the debtor to the creditor as security for a debt. If the debtor defaults, the creditor may sell the pledged item to recover the debt.</w:t>
      </w:r>
    </w:p>
    <w:p w14:paraId="30B6DDEF" w14:textId="77777777" w:rsidR="00600C09" w:rsidRPr="00600C09" w:rsidRDefault="00600C09" w:rsidP="00600C09">
      <w:pPr>
        <w:numPr>
          <w:ilvl w:val="0"/>
          <w:numId w:val="1"/>
        </w:numPr>
      </w:pPr>
      <w:r w:rsidRPr="00600C09">
        <w:rPr>
          <w:b/>
          <w:bCs/>
        </w:rPr>
        <w:t>Charge</w:t>
      </w:r>
      <w:r w:rsidRPr="00600C09">
        <w:t>: A flexible mechanism that creates a security interest over assets without transferring possession. Charges may be fixed (attached to a specific asset) or floating (covering a pool of assets that change over time).</w:t>
      </w:r>
    </w:p>
    <w:p w14:paraId="726CF682" w14:textId="77777777" w:rsidR="00600C09" w:rsidRPr="00600C09" w:rsidRDefault="00600C09" w:rsidP="00600C09">
      <w:pPr>
        <w:numPr>
          <w:ilvl w:val="0"/>
          <w:numId w:val="1"/>
        </w:numPr>
      </w:pPr>
      <w:r w:rsidRPr="00600C09">
        <w:rPr>
          <w:b/>
          <w:bCs/>
        </w:rPr>
        <w:t>Lien</w:t>
      </w:r>
      <w:r w:rsidRPr="00600C09">
        <w:t>: The right to retain possession of an asset until a debt owed by the owner is satisfied. Liens are particularly common in commercial and maritime contexts.</w:t>
      </w:r>
    </w:p>
    <w:p w14:paraId="5939CD84" w14:textId="77777777" w:rsidR="00600C09" w:rsidRPr="00600C09" w:rsidRDefault="00600C09" w:rsidP="00600C09">
      <w:r w:rsidRPr="00600C09">
        <w:t>These instruments are deeply embedded in both domestic legal systems and international practice. They provide predictability: lenders know their rights, courts know how to enforce them, and borrowers understand their obligations. In project finance, this predictability is crucial, given the scale and complexity of the investments involved (Wood, 2007).</w:t>
      </w:r>
    </w:p>
    <w:p w14:paraId="198E1733" w14:textId="77777777" w:rsidR="00600C09" w:rsidRPr="00600C09" w:rsidRDefault="00600C09" w:rsidP="00600C09">
      <w:pPr>
        <w:rPr>
          <w:b/>
          <w:bCs/>
        </w:rPr>
      </w:pPr>
      <w:r w:rsidRPr="00600C09">
        <w:rPr>
          <w:b/>
          <w:bCs/>
        </w:rPr>
        <w:t>1.2.2 Shariah Principles Reshaping Security</w:t>
      </w:r>
    </w:p>
    <w:p w14:paraId="7B1CB59F" w14:textId="77777777" w:rsidR="00600C09" w:rsidRPr="00600C09" w:rsidRDefault="00600C09" w:rsidP="00600C09">
      <w:r w:rsidRPr="00600C09">
        <w:t>By contrast, Islamic finance operates under a different paradigm. Shariah, derived from the Qur’an, Sunnah, consensus (ijma</w:t>
      </w:r>
      <w:r w:rsidRPr="00600C09">
        <w:rPr>
          <w:rFonts w:ascii="Arial" w:hAnsi="Arial" w:cs="Arial"/>
        </w:rPr>
        <w:t>ʿ</w:t>
      </w:r>
      <w:r w:rsidRPr="00600C09">
        <w:t>), and juristic reasoning (ijtihad), imposes principles that reshape the very notion of security.</w:t>
      </w:r>
    </w:p>
    <w:p w14:paraId="17709A83" w14:textId="77777777" w:rsidR="00600C09" w:rsidRPr="00600C09" w:rsidRDefault="00600C09" w:rsidP="00600C09">
      <w:r w:rsidRPr="00600C09">
        <w:t>Four key instruments are often discussed as Islamic equivalents to conventional securities:</w:t>
      </w:r>
    </w:p>
    <w:p w14:paraId="55E44FE8" w14:textId="77777777" w:rsidR="00600C09" w:rsidRPr="00600C09" w:rsidRDefault="00600C09" w:rsidP="00600C09">
      <w:pPr>
        <w:numPr>
          <w:ilvl w:val="0"/>
          <w:numId w:val="2"/>
        </w:numPr>
      </w:pPr>
      <w:r w:rsidRPr="00600C09">
        <w:rPr>
          <w:b/>
          <w:bCs/>
        </w:rPr>
        <w:t>Rahn (pledge)</w:t>
      </w:r>
    </w:p>
    <w:p w14:paraId="32DA5997" w14:textId="77777777" w:rsidR="00600C09" w:rsidRPr="00600C09" w:rsidRDefault="00600C09" w:rsidP="00600C09">
      <w:pPr>
        <w:numPr>
          <w:ilvl w:val="1"/>
          <w:numId w:val="2"/>
        </w:numPr>
      </w:pPr>
      <w:r w:rsidRPr="00600C09">
        <w:t>A debtor pledges an asset as security for a debt.</w:t>
      </w:r>
    </w:p>
    <w:p w14:paraId="7DABB551" w14:textId="77777777" w:rsidR="00600C09" w:rsidRPr="00600C09" w:rsidRDefault="00600C09" w:rsidP="00600C09">
      <w:pPr>
        <w:numPr>
          <w:ilvl w:val="1"/>
          <w:numId w:val="2"/>
        </w:numPr>
      </w:pPr>
      <w:r w:rsidRPr="00600C09">
        <w:lastRenderedPageBreak/>
        <w:t>Classical jurists emphasized that ownership and risk of the pledged asset remain with the debtor, even if possession is transferred to the creditor (Al-Zuhayli, 2003).</w:t>
      </w:r>
    </w:p>
    <w:p w14:paraId="3F57DEDC" w14:textId="77777777" w:rsidR="00600C09" w:rsidRPr="00600C09" w:rsidRDefault="00600C09" w:rsidP="00600C09">
      <w:pPr>
        <w:numPr>
          <w:ilvl w:val="1"/>
          <w:numId w:val="2"/>
        </w:numPr>
      </w:pPr>
      <w:r w:rsidRPr="00600C09">
        <w:t>If the debtor defaults, the pledged item may be sold to settle the debt, but any surplus must be returned to the debtor.</w:t>
      </w:r>
    </w:p>
    <w:p w14:paraId="290D7045" w14:textId="77777777" w:rsidR="00600C09" w:rsidRPr="00600C09" w:rsidRDefault="00600C09" w:rsidP="00600C09">
      <w:pPr>
        <w:numPr>
          <w:ilvl w:val="0"/>
          <w:numId w:val="2"/>
        </w:numPr>
      </w:pPr>
      <w:r w:rsidRPr="00600C09">
        <w:rPr>
          <w:b/>
          <w:bCs/>
        </w:rPr>
        <w:t>Kafālah (guarantee)</w:t>
      </w:r>
    </w:p>
    <w:p w14:paraId="0398D273" w14:textId="77777777" w:rsidR="00600C09" w:rsidRPr="00600C09" w:rsidRDefault="00600C09" w:rsidP="00600C09">
      <w:pPr>
        <w:numPr>
          <w:ilvl w:val="1"/>
          <w:numId w:val="2"/>
        </w:numPr>
      </w:pPr>
      <w:r w:rsidRPr="00600C09">
        <w:t>A guarantor undertakes responsibility for a debtor’s obligation.</w:t>
      </w:r>
    </w:p>
    <w:p w14:paraId="18CE2EEA" w14:textId="77777777" w:rsidR="00600C09" w:rsidRPr="00600C09" w:rsidRDefault="00600C09" w:rsidP="00600C09">
      <w:pPr>
        <w:numPr>
          <w:ilvl w:val="1"/>
          <w:numId w:val="2"/>
        </w:numPr>
      </w:pPr>
      <w:r w:rsidRPr="00600C09">
        <w:t>The guarantor is not entitled to financial compensation, as this would constitute riba. Instead, the arrangement is based on tabarru</w:t>
      </w:r>
      <w:r w:rsidRPr="00600C09">
        <w:rPr>
          <w:rFonts w:ascii="Arial" w:hAnsi="Arial" w:cs="Arial"/>
        </w:rPr>
        <w:t>ʿ</w:t>
      </w:r>
      <w:r w:rsidRPr="00600C09">
        <w:t xml:space="preserve"> (benevolence).</w:t>
      </w:r>
    </w:p>
    <w:p w14:paraId="38EA9622" w14:textId="77777777" w:rsidR="00600C09" w:rsidRPr="00600C09" w:rsidRDefault="00600C09" w:rsidP="00600C09">
      <w:pPr>
        <w:numPr>
          <w:ilvl w:val="1"/>
          <w:numId w:val="2"/>
        </w:numPr>
      </w:pPr>
      <w:r w:rsidRPr="00600C09">
        <w:t>Widely used in Islamic banking as a substitute for third-party guarantees.</w:t>
      </w:r>
    </w:p>
    <w:p w14:paraId="1A8E6900" w14:textId="77777777" w:rsidR="00600C09" w:rsidRPr="00600C09" w:rsidRDefault="00600C09" w:rsidP="00600C09">
      <w:pPr>
        <w:numPr>
          <w:ilvl w:val="0"/>
          <w:numId w:val="2"/>
        </w:numPr>
      </w:pPr>
      <w:r w:rsidRPr="00600C09">
        <w:rPr>
          <w:rFonts w:ascii="Calibri" w:hAnsi="Calibri" w:cs="Calibri"/>
          <w:b/>
          <w:bCs/>
        </w:rPr>
        <w:t>Ḍ</w:t>
      </w:r>
      <w:r w:rsidRPr="00600C09">
        <w:rPr>
          <w:b/>
          <w:bCs/>
        </w:rPr>
        <w:t>amān (suretyship)</w:t>
      </w:r>
    </w:p>
    <w:p w14:paraId="645EE5E3" w14:textId="77777777" w:rsidR="00600C09" w:rsidRPr="00600C09" w:rsidRDefault="00600C09" w:rsidP="00600C09">
      <w:pPr>
        <w:numPr>
          <w:ilvl w:val="1"/>
          <w:numId w:val="2"/>
        </w:numPr>
      </w:pPr>
      <w:r w:rsidRPr="00600C09">
        <w:t>Similar to kafālah but may include broader responsibilities, such as covering future obligations.</w:t>
      </w:r>
    </w:p>
    <w:p w14:paraId="27A61AD8" w14:textId="77777777" w:rsidR="00600C09" w:rsidRPr="00600C09" w:rsidRDefault="00600C09" w:rsidP="00600C09">
      <w:pPr>
        <w:numPr>
          <w:ilvl w:val="1"/>
          <w:numId w:val="2"/>
        </w:numPr>
      </w:pPr>
      <w:r w:rsidRPr="00600C09">
        <w:t xml:space="preserve">Classical fiqh recognized </w:t>
      </w:r>
      <w:r w:rsidRPr="00600C09">
        <w:rPr>
          <w:rFonts w:ascii="Calibri" w:hAnsi="Calibri" w:cs="Calibri"/>
        </w:rPr>
        <w:t>ḍ</w:t>
      </w:r>
      <w:r w:rsidRPr="00600C09">
        <w:t>amān as a binding commitment, reinforcing trust between parties.</w:t>
      </w:r>
    </w:p>
    <w:p w14:paraId="2A60A118" w14:textId="77777777" w:rsidR="00600C09" w:rsidRPr="00600C09" w:rsidRDefault="00600C09" w:rsidP="00600C09">
      <w:pPr>
        <w:numPr>
          <w:ilvl w:val="0"/>
          <w:numId w:val="2"/>
        </w:numPr>
      </w:pPr>
      <w:r w:rsidRPr="00600C09">
        <w:rPr>
          <w:rFonts w:ascii="Calibri" w:hAnsi="Calibri" w:cs="Calibri"/>
          <w:b/>
          <w:bCs/>
        </w:rPr>
        <w:t>Ḥ</w:t>
      </w:r>
      <w:r w:rsidRPr="00600C09">
        <w:rPr>
          <w:b/>
          <w:bCs/>
        </w:rPr>
        <w:t>awālah (transfer of debt)</w:t>
      </w:r>
    </w:p>
    <w:p w14:paraId="5810DA47" w14:textId="77777777" w:rsidR="00600C09" w:rsidRPr="00600C09" w:rsidRDefault="00600C09" w:rsidP="00600C09">
      <w:pPr>
        <w:numPr>
          <w:ilvl w:val="1"/>
          <w:numId w:val="2"/>
        </w:numPr>
      </w:pPr>
      <w:r w:rsidRPr="00600C09">
        <w:t>Involves transferring a debt from one party to another.</w:t>
      </w:r>
    </w:p>
    <w:p w14:paraId="1992B75A" w14:textId="77777777" w:rsidR="00600C09" w:rsidRPr="00600C09" w:rsidRDefault="00600C09" w:rsidP="00600C09">
      <w:pPr>
        <w:numPr>
          <w:ilvl w:val="1"/>
          <w:numId w:val="2"/>
        </w:numPr>
      </w:pPr>
      <w:r w:rsidRPr="00600C09">
        <w:t>Used to ease settlement of debts but cannot be commoditized or traded for profit (Qur’an 2:282).</w:t>
      </w:r>
    </w:p>
    <w:p w14:paraId="2C90BE34" w14:textId="77777777" w:rsidR="00600C09" w:rsidRPr="00600C09" w:rsidRDefault="00600C09" w:rsidP="00600C09">
      <w:r w:rsidRPr="00600C09">
        <w:t>While these instruments echo conventional securities in some respects, their application is constrained by Shariah rules. For example, a conventional mortgage may allow the creditor to earn interest and profit from enforcement, but in rahn, the creditor cannot derive financial benefit from the pledged asset. Similarly, while a conventional guarantee often involves fees, kafālah prohibits such compensation.</w:t>
      </w:r>
    </w:p>
    <w:p w14:paraId="47DDA7CF" w14:textId="77777777" w:rsidR="00600C09" w:rsidRPr="00600C09" w:rsidRDefault="00600C09" w:rsidP="00600C09">
      <w:pPr>
        <w:rPr>
          <w:b/>
          <w:bCs/>
        </w:rPr>
      </w:pPr>
      <w:r w:rsidRPr="00600C09">
        <w:rPr>
          <w:b/>
          <w:bCs/>
        </w:rPr>
        <w:t>1.2.3 Key Differences and Tensions</w:t>
      </w:r>
    </w:p>
    <w:p w14:paraId="1D7B7EA7" w14:textId="77777777" w:rsidR="00600C09" w:rsidRPr="00600C09" w:rsidRDefault="00600C09" w:rsidP="00600C09">
      <w:r w:rsidRPr="00600C09">
        <w:t>The differences between conventional and Islamic approaches create both conceptual and practical tensions:</w:t>
      </w:r>
    </w:p>
    <w:p w14:paraId="25B686F7" w14:textId="77777777" w:rsidR="00600C09" w:rsidRPr="00600C09" w:rsidRDefault="00600C09" w:rsidP="00600C09">
      <w:pPr>
        <w:numPr>
          <w:ilvl w:val="0"/>
          <w:numId w:val="3"/>
        </w:numPr>
      </w:pPr>
      <w:r w:rsidRPr="00600C09">
        <w:rPr>
          <w:b/>
          <w:bCs/>
        </w:rPr>
        <w:t>Ownership and Possession</w:t>
      </w:r>
      <w:r w:rsidRPr="00600C09">
        <w:t>: In conventional law, security often involves transferring legal rights to the creditor. In Shariah, however, ownership usually remains with the debtor, and possession can only be transferred under strict conditions (Al-Zuhayli, 2003).</w:t>
      </w:r>
    </w:p>
    <w:p w14:paraId="66647158" w14:textId="77777777" w:rsidR="00600C09" w:rsidRPr="00600C09" w:rsidRDefault="00600C09" w:rsidP="00600C09">
      <w:pPr>
        <w:numPr>
          <w:ilvl w:val="0"/>
          <w:numId w:val="3"/>
        </w:numPr>
      </w:pPr>
      <w:r w:rsidRPr="00600C09">
        <w:rPr>
          <w:b/>
          <w:bCs/>
        </w:rPr>
        <w:lastRenderedPageBreak/>
        <w:t>Profit and Compensation</w:t>
      </w:r>
      <w:r w:rsidRPr="00600C09">
        <w:t xml:space="preserve">: Conventional guarantees and sureties may involve fees. Under Shariah, charging for kafālah or </w:t>
      </w:r>
      <w:r w:rsidRPr="00600C09">
        <w:rPr>
          <w:rFonts w:ascii="Calibri" w:hAnsi="Calibri" w:cs="Calibri"/>
        </w:rPr>
        <w:t>ḍ</w:t>
      </w:r>
      <w:r w:rsidRPr="00600C09">
        <w:t>amān is impermissible, as it amounts to riba.</w:t>
      </w:r>
    </w:p>
    <w:p w14:paraId="365D1EFA" w14:textId="77777777" w:rsidR="00600C09" w:rsidRPr="00600C09" w:rsidRDefault="00600C09" w:rsidP="00600C09">
      <w:pPr>
        <w:numPr>
          <w:ilvl w:val="0"/>
          <w:numId w:val="3"/>
        </w:numPr>
      </w:pPr>
      <w:r w:rsidRPr="00600C09">
        <w:rPr>
          <w:b/>
          <w:bCs/>
        </w:rPr>
        <w:t>Uncertainty and Enforcement</w:t>
      </w:r>
      <w:r w:rsidRPr="00600C09">
        <w:t>: Conventional charges and liens give creditors wide discretion. In Islamic law, gharar must be avoided, which limits the scope of uncertain or speculative rights.</w:t>
      </w:r>
    </w:p>
    <w:p w14:paraId="2D7A26C7" w14:textId="77777777" w:rsidR="00600C09" w:rsidRPr="00600C09" w:rsidRDefault="00600C09" w:rsidP="00600C09">
      <w:pPr>
        <w:numPr>
          <w:ilvl w:val="0"/>
          <w:numId w:val="3"/>
        </w:numPr>
      </w:pPr>
      <w:r w:rsidRPr="00600C09">
        <w:rPr>
          <w:b/>
          <w:bCs/>
        </w:rPr>
        <w:t>Risk and Responsibility</w:t>
      </w:r>
      <w:r w:rsidRPr="00600C09">
        <w:t>: In Islamic finance, risk must align with ownership. Thus, a creditor cannot assume risk without corresponding ownership, complicating structures like floating charges.</w:t>
      </w:r>
    </w:p>
    <w:p w14:paraId="422E5E7C" w14:textId="77777777" w:rsidR="00600C09" w:rsidRPr="00600C09" w:rsidRDefault="00600C09" w:rsidP="00600C09">
      <w:r w:rsidRPr="00600C09">
        <w:t>These tensions raise pressing questions: How can Islamic banks secure large-scale project financings without violating Shariah? Can hybrid structures bridge the gap, or must wholly new mechanisms be developed? What role can regulators play in harmonizing these differences?</w:t>
      </w:r>
    </w:p>
    <w:p w14:paraId="07EB8BC0" w14:textId="77777777" w:rsidR="00600C09" w:rsidRPr="00600C09" w:rsidRDefault="00600C09" w:rsidP="00600C09">
      <w:pPr>
        <w:rPr>
          <w:b/>
          <w:bCs/>
        </w:rPr>
      </w:pPr>
      <w:r w:rsidRPr="00600C09">
        <w:rPr>
          <w:b/>
          <w:bCs/>
        </w:rPr>
        <w:t>1.2.4 Towards a Middle Ground</w:t>
      </w:r>
    </w:p>
    <w:p w14:paraId="725CE9E9" w14:textId="77777777" w:rsidR="00600C09" w:rsidRPr="00600C09" w:rsidRDefault="00600C09" w:rsidP="00600C09">
      <w:r w:rsidRPr="00600C09">
        <w:t>Scholars and practitioners have sought to address these challenges through various approaches:</w:t>
      </w:r>
    </w:p>
    <w:p w14:paraId="71869371" w14:textId="77777777" w:rsidR="00600C09" w:rsidRPr="00600C09" w:rsidRDefault="00600C09" w:rsidP="00600C09">
      <w:pPr>
        <w:numPr>
          <w:ilvl w:val="0"/>
          <w:numId w:val="4"/>
        </w:numPr>
      </w:pPr>
      <w:r w:rsidRPr="00600C09">
        <w:rPr>
          <w:b/>
          <w:bCs/>
        </w:rPr>
        <w:t>Functional Equivalence</w:t>
      </w:r>
      <w:r w:rsidRPr="00600C09">
        <w:t>: Developing Islamic instruments that serve similar purposes to conventional securities, without replicating prohibited elements. For instance, rahn can substitute for a mortgage, provided the rules on possession and benefit are respected (Kamali, 2007).</w:t>
      </w:r>
    </w:p>
    <w:p w14:paraId="52D3435F" w14:textId="77777777" w:rsidR="00600C09" w:rsidRPr="00600C09" w:rsidRDefault="00600C09" w:rsidP="00600C09">
      <w:pPr>
        <w:numPr>
          <w:ilvl w:val="0"/>
          <w:numId w:val="4"/>
        </w:numPr>
      </w:pPr>
      <w:r w:rsidRPr="00600C09">
        <w:rPr>
          <w:b/>
          <w:bCs/>
        </w:rPr>
        <w:t>Regulatory Innovation</w:t>
      </w:r>
      <w:r w:rsidRPr="00600C09">
        <w:t>: Jurisdictions such as Malaysia have created legal frameworks that integrate Shariah contracts with enforceable laws. The Companies Act 2016 and the Islamic Financial Services Act 2013 provide mechanisms for recognizing Islamic securities in courts (Bank Negara Malaysia, 2019).</w:t>
      </w:r>
    </w:p>
    <w:p w14:paraId="0DCC6DF4" w14:textId="77777777" w:rsidR="00600C09" w:rsidRPr="00600C09" w:rsidRDefault="00600C09" w:rsidP="00600C09">
      <w:pPr>
        <w:numPr>
          <w:ilvl w:val="0"/>
          <w:numId w:val="4"/>
        </w:numPr>
      </w:pPr>
      <w:r w:rsidRPr="00600C09">
        <w:rPr>
          <w:b/>
          <w:bCs/>
        </w:rPr>
        <w:t>Standardization Efforts</w:t>
      </w:r>
      <w:r w:rsidRPr="00600C09">
        <w:t>: Organizations like the Accounting and Auditing Organization for Islamic Financial Institutions (AAOIFI) have issued Shariah standards to harmonize practices across jurisdictions (AAOIFI, 2021).</w:t>
      </w:r>
    </w:p>
    <w:p w14:paraId="76A2E654" w14:textId="77777777" w:rsidR="00600C09" w:rsidRPr="00600C09" w:rsidRDefault="00600C09" w:rsidP="00600C09">
      <w:r w:rsidRPr="00600C09">
        <w:t>Despite these efforts, challenges remain. The global project finance industry is accustomed to the certainty of conventional security instruments. For Islamic finance to compete, it must not only demonstrate Shariah compliance but also offer equivalent levels of predictability and enforceability. This book seeks to contribute to that effort by analyzing both systems, identifying areas of compatibility, and proposing frameworks for future development.</w:t>
      </w:r>
    </w:p>
    <w:p w14:paraId="626B29A9" w14:textId="049AD409" w:rsidR="00600C09" w:rsidRPr="00600C09" w:rsidRDefault="00600C09" w:rsidP="00600C09"/>
    <w:p w14:paraId="777A061A" w14:textId="5FEB9AC5" w:rsidR="00600C09" w:rsidRDefault="00600C09" w:rsidP="00600C09"/>
    <w:p w14:paraId="0BA8661E" w14:textId="77777777" w:rsidR="003816AB" w:rsidRDefault="003816AB" w:rsidP="00600C09"/>
    <w:p w14:paraId="2E30E49F" w14:textId="77777777" w:rsidR="003816AB" w:rsidRPr="00600C09" w:rsidRDefault="003816AB" w:rsidP="00600C09"/>
    <w:p w14:paraId="1F4919A5" w14:textId="77777777" w:rsidR="00600C09" w:rsidRPr="00600C09" w:rsidRDefault="00600C09" w:rsidP="00600C09">
      <w:pPr>
        <w:rPr>
          <w:b/>
          <w:bCs/>
        </w:rPr>
      </w:pPr>
      <w:r w:rsidRPr="00600C09">
        <w:rPr>
          <w:b/>
          <w:bCs/>
        </w:rPr>
        <w:t>1.3 Malaysia as a Case Study</w:t>
      </w:r>
    </w:p>
    <w:p w14:paraId="52698EB4" w14:textId="77777777" w:rsidR="00600C09" w:rsidRPr="00600C09" w:rsidRDefault="00600C09" w:rsidP="00600C09">
      <w:pPr>
        <w:rPr>
          <w:b/>
          <w:bCs/>
        </w:rPr>
      </w:pPr>
      <w:r w:rsidRPr="00600C09">
        <w:rPr>
          <w:b/>
          <w:bCs/>
        </w:rPr>
        <w:t>1.3.1 Malaysia’s Journey in Islamic Finance</w:t>
      </w:r>
    </w:p>
    <w:p w14:paraId="36947F56" w14:textId="77777777" w:rsidR="00600C09" w:rsidRPr="00600C09" w:rsidRDefault="00600C09" w:rsidP="00600C09">
      <w:r w:rsidRPr="00600C09">
        <w:t>Malaysia has long been recognized as a global leader in Islamic finance. Since the establishment of the first Islamic bank in 1983 under the Islamic Banking Act, the country has built a robust and comprehensive ecosystem that integrates banking, capital markets, takaful, and Islamic asset management (Bank Negara Malaysia, 2019). Unlike many jurisdictions where Islamic finance functions as a niche industry, in Malaysia it has been systematically mainstreamed, supported by enabling legislation, proactive regulators, and strong political will.</w:t>
      </w:r>
    </w:p>
    <w:p w14:paraId="79E5C7F3" w14:textId="77777777" w:rsidR="00600C09" w:rsidRPr="00600C09" w:rsidRDefault="00600C09" w:rsidP="00600C09">
      <w:r w:rsidRPr="00600C09">
        <w:t>Key milestones in Malaysia’s journey include:</w:t>
      </w:r>
    </w:p>
    <w:p w14:paraId="7F34C0F1" w14:textId="77777777" w:rsidR="00600C09" w:rsidRPr="00600C09" w:rsidRDefault="00600C09" w:rsidP="00600C09">
      <w:pPr>
        <w:numPr>
          <w:ilvl w:val="0"/>
          <w:numId w:val="7"/>
        </w:numPr>
      </w:pPr>
      <w:r w:rsidRPr="00600C09">
        <w:rPr>
          <w:b/>
          <w:bCs/>
        </w:rPr>
        <w:t>1983</w:t>
      </w:r>
      <w:r w:rsidRPr="00600C09">
        <w:t>: Establishment of Bank Islam Malaysia Berhad under the Islamic Banking Act.</w:t>
      </w:r>
    </w:p>
    <w:p w14:paraId="25DACD92" w14:textId="77777777" w:rsidR="00600C09" w:rsidRPr="00600C09" w:rsidRDefault="00600C09" w:rsidP="00600C09">
      <w:pPr>
        <w:numPr>
          <w:ilvl w:val="0"/>
          <w:numId w:val="7"/>
        </w:numPr>
      </w:pPr>
      <w:r w:rsidRPr="00600C09">
        <w:rPr>
          <w:b/>
          <w:bCs/>
        </w:rPr>
        <w:t>1997</w:t>
      </w:r>
      <w:r w:rsidRPr="00600C09">
        <w:t>: Launch of the Islamic Interbank Money Market.</w:t>
      </w:r>
    </w:p>
    <w:p w14:paraId="560D22CB" w14:textId="77777777" w:rsidR="00600C09" w:rsidRPr="00600C09" w:rsidRDefault="00600C09" w:rsidP="00600C09">
      <w:pPr>
        <w:numPr>
          <w:ilvl w:val="0"/>
          <w:numId w:val="7"/>
        </w:numPr>
      </w:pPr>
      <w:r w:rsidRPr="00600C09">
        <w:rPr>
          <w:b/>
          <w:bCs/>
        </w:rPr>
        <w:t>2001</w:t>
      </w:r>
      <w:r w:rsidRPr="00600C09">
        <w:t>: Introduction of the Islamic Financial Services Act.</w:t>
      </w:r>
    </w:p>
    <w:p w14:paraId="50FCADE5" w14:textId="77777777" w:rsidR="00600C09" w:rsidRPr="00600C09" w:rsidRDefault="00600C09" w:rsidP="00600C09">
      <w:pPr>
        <w:numPr>
          <w:ilvl w:val="0"/>
          <w:numId w:val="7"/>
        </w:numPr>
      </w:pPr>
      <w:r w:rsidRPr="00600C09">
        <w:rPr>
          <w:b/>
          <w:bCs/>
        </w:rPr>
        <w:t>2013</w:t>
      </w:r>
      <w:r w:rsidRPr="00600C09">
        <w:t>: Consolidation of Islamic banking regulation under the Islamic Financial Services Act (IFSA).</w:t>
      </w:r>
    </w:p>
    <w:p w14:paraId="08A81677" w14:textId="77777777" w:rsidR="00600C09" w:rsidRPr="00600C09" w:rsidRDefault="00600C09" w:rsidP="00600C09">
      <w:pPr>
        <w:numPr>
          <w:ilvl w:val="0"/>
          <w:numId w:val="7"/>
        </w:numPr>
      </w:pPr>
      <w:r w:rsidRPr="00600C09">
        <w:rPr>
          <w:b/>
          <w:bCs/>
        </w:rPr>
        <w:t>2019</w:t>
      </w:r>
      <w:r w:rsidRPr="00600C09">
        <w:t>: Issuance of the Shariah Governance Policy Document (SGPD) to strengthen oversight.</w:t>
      </w:r>
    </w:p>
    <w:p w14:paraId="337298C4" w14:textId="77777777" w:rsidR="00600C09" w:rsidRPr="00600C09" w:rsidRDefault="00600C09" w:rsidP="00600C09">
      <w:r w:rsidRPr="00600C09">
        <w:t>This progression illustrates not only Malaysia’s pioneering role but also its commitment to making Islamic finance a viable and globally competitive system.</w:t>
      </w:r>
    </w:p>
    <w:p w14:paraId="4E5B6042" w14:textId="77777777" w:rsidR="00600C09" w:rsidRPr="00600C09" w:rsidRDefault="00600C09" w:rsidP="00600C09">
      <w:pPr>
        <w:rPr>
          <w:b/>
          <w:bCs/>
        </w:rPr>
      </w:pPr>
      <w:r w:rsidRPr="00600C09">
        <w:rPr>
          <w:b/>
          <w:bCs/>
        </w:rPr>
        <w:t>1.3.2 Legal and Regulatory Infrastructure</w:t>
      </w:r>
    </w:p>
    <w:p w14:paraId="2288A1A4" w14:textId="77777777" w:rsidR="00600C09" w:rsidRPr="00600C09" w:rsidRDefault="00600C09" w:rsidP="00600C09">
      <w:r w:rsidRPr="00600C09">
        <w:t xml:space="preserve">One of Malaysia’s unique strengths lies in its dual legal system, where both </w:t>
      </w:r>
      <w:r w:rsidRPr="00600C09">
        <w:rPr>
          <w:b/>
          <w:bCs/>
        </w:rPr>
        <w:t>civil law</w:t>
      </w:r>
      <w:r w:rsidRPr="00600C09">
        <w:t xml:space="preserve"> (inherited from common law traditions) and </w:t>
      </w:r>
      <w:r w:rsidRPr="00600C09">
        <w:rPr>
          <w:b/>
          <w:bCs/>
        </w:rPr>
        <w:t>Shariah principles</w:t>
      </w:r>
      <w:r w:rsidRPr="00600C09">
        <w:t xml:space="preserve"> are recognized and operationalized. This duality is institutionalized through:</w:t>
      </w:r>
    </w:p>
    <w:p w14:paraId="6EADC600" w14:textId="77777777" w:rsidR="00600C09" w:rsidRPr="00600C09" w:rsidRDefault="00600C09" w:rsidP="00600C09">
      <w:pPr>
        <w:numPr>
          <w:ilvl w:val="0"/>
          <w:numId w:val="8"/>
        </w:numPr>
      </w:pPr>
      <w:r w:rsidRPr="00600C09">
        <w:rPr>
          <w:b/>
          <w:bCs/>
        </w:rPr>
        <w:t>Bank Negara Malaysia (BNM)</w:t>
      </w:r>
      <w:r w:rsidRPr="00600C09">
        <w:t>: The central bank responsible for regulating Islamic banks and issuing Shariah-related policies.</w:t>
      </w:r>
    </w:p>
    <w:p w14:paraId="1B91DB66" w14:textId="77777777" w:rsidR="00600C09" w:rsidRPr="00600C09" w:rsidRDefault="00600C09" w:rsidP="00600C09">
      <w:pPr>
        <w:numPr>
          <w:ilvl w:val="0"/>
          <w:numId w:val="8"/>
        </w:numPr>
      </w:pPr>
      <w:r w:rsidRPr="00600C09">
        <w:rPr>
          <w:b/>
          <w:bCs/>
        </w:rPr>
        <w:t>Shariah Advisory Council (SAC)</w:t>
      </w:r>
      <w:r w:rsidRPr="00600C09">
        <w:t>: Established under Section 51 of the Central Bank of Malaysia Act 2009, the SAC has the highest authority on Shariah matters in Islamic finance. Its rulings are binding on courts and arbitrators (Bank Negara Malaysia, 2009).</w:t>
      </w:r>
    </w:p>
    <w:p w14:paraId="459A9306" w14:textId="77777777" w:rsidR="00600C09" w:rsidRPr="00600C09" w:rsidRDefault="00600C09" w:rsidP="00600C09">
      <w:pPr>
        <w:numPr>
          <w:ilvl w:val="0"/>
          <w:numId w:val="8"/>
        </w:numPr>
      </w:pPr>
      <w:r w:rsidRPr="00600C09">
        <w:rPr>
          <w:b/>
          <w:bCs/>
        </w:rPr>
        <w:lastRenderedPageBreak/>
        <w:t>Securities Commission (SC)</w:t>
      </w:r>
      <w:r w:rsidRPr="00600C09">
        <w:t>: Oversees the Islamic capital market, including sukuk issuances, with its own SAC providing Shariah guidance.</w:t>
      </w:r>
    </w:p>
    <w:p w14:paraId="56072525" w14:textId="77777777" w:rsidR="00600C09" w:rsidRPr="00600C09" w:rsidRDefault="00600C09" w:rsidP="00600C09">
      <w:r w:rsidRPr="00600C09">
        <w:t>This structure ensures that Islamic finance in Malaysia operates under a coherent framework, where Shariah compliance is not merely symbolic but legally enforceable.</w:t>
      </w:r>
    </w:p>
    <w:p w14:paraId="6B28DFB8" w14:textId="77777777" w:rsidR="00600C09" w:rsidRPr="00600C09" w:rsidRDefault="00600C09" w:rsidP="00600C09">
      <w:r w:rsidRPr="00600C09">
        <w:t>For project finance specifically, Malaysia has developed regulatory mechanisms that allow Islamic contracts to be embedded within conventional legal enforcement frameworks. For example, a rahn agreement may be enforced under the Contracts Act 1950, while sukuk structures are recognized under the Capital Markets and Services Act 2007. This harmonization enables Islamic financiers to operate with the same confidence as their conventional counterparts.</w:t>
      </w:r>
    </w:p>
    <w:p w14:paraId="1A1B8989" w14:textId="77777777" w:rsidR="00600C09" w:rsidRPr="00600C09" w:rsidRDefault="00600C09" w:rsidP="00600C09">
      <w:pPr>
        <w:rPr>
          <w:b/>
          <w:bCs/>
        </w:rPr>
      </w:pPr>
      <w:r w:rsidRPr="00600C09">
        <w:rPr>
          <w:b/>
          <w:bCs/>
        </w:rPr>
        <w:t>1.3.3 Real-World Case Studies</w:t>
      </w:r>
    </w:p>
    <w:p w14:paraId="2D7811A1" w14:textId="77777777" w:rsidR="00600C09" w:rsidRPr="00600C09" w:rsidRDefault="00600C09" w:rsidP="00600C09">
      <w:r w:rsidRPr="00600C09">
        <w:t>Malaysia’s application of Islamic security instruments can be seen in various high-profile project financings:</w:t>
      </w:r>
    </w:p>
    <w:p w14:paraId="7249248D" w14:textId="77777777" w:rsidR="00600C09" w:rsidRPr="00600C09" w:rsidRDefault="00600C09" w:rsidP="00600C09">
      <w:pPr>
        <w:numPr>
          <w:ilvl w:val="0"/>
          <w:numId w:val="9"/>
        </w:numPr>
      </w:pPr>
      <w:r w:rsidRPr="00600C09">
        <w:rPr>
          <w:b/>
          <w:bCs/>
        </w:rPr>
        <w:t>Independent Power Producers (IPPs)</w:t>
      </w:r>
      <w:r w:rsidRPr="00600C09">
        <w:t>: Financing of power plants often involved sukuk structures backed by guarantees and pledges. Disputes over enforceability highlighted the tension between Shariah concepts of ownership and conventional expectations of creditor rights (Hasan &amp; Lewis, 2007).</w:t>
      </w:r>
    </w:p>
    <w:p w14:paraId="7B0C37F8" w14:textId="77777777" w:rsidR="00600C09" w:rsidRPr="00600C09" w:rsidRDefault="00600C09" w:rsidP="00600C09">
      <w:pPr>
        <w:numPr>
          <w:ilvl w:val="0"/>
          <w:numId w:val="9"/>
        </w:numPr>
      </w:pPr>
      <w:r w:rsidRPr="00600C09">
        <w:rPr>
          <w:b/>
          <w:bCs/>
        </w:rPr>
        <w:t>Highway Concessions</w:t>
      </w:r>
      <w:r w:rsidRPr="00600C09">
        <w:t>: Toll road projects financed through Islamic banks demonstrated the role of kafālah, where government entities acted as guarantors. Questions arose over whether such guarantees could be monetized or whether they must remain gratuitous under Shariah.</w:t>
      </w:r>
    </w:p>
    <w:p w14:paraId="1ECC23F3" w14:textId="77777777" w:rsidR="00600C09" w:rsidRPr="00600C09" w:rsidRDefault="00600C09" w:rsidP="00600C09">
      <w:pPr>
        <w:numPr>
          <w:ilvl w:val="0"/>
          <w:numId w:val="9"/>
        </w:numPr>
      </w:pPr>
      <w:r w:rsidRPr="00600C09">
        <w:rPr>
          <w:b/>
          <w:bCs/>
        </w:rPr>
        <w:t>Corporate Sukuk Issuances</w:t>
      </w:r>
      <w:r w:rsidRPr="00600C09">
        <w:t>: Large corporates in Malaysia have issued sukuk where security packages included both conventional charges and Islamic rahn arrangements. The coexistence of both instruments within a single structure reflects Malaysia’s pragmatic approach.</w:t>
      </w:r>
    </w:p>
    <w:p w14:paraId="188BE8B0" w14:textId="77777777" w:rsidR="00600C09" w:rsidRPr="00600C09" w:rsidRDefault="00600C09" w:rsidP="00600C09">
      <w:r w:rsidRPr="00600C09">
        <w:t>These examples show that Malaysia has not shied away from experimenting with hybrid structures that blend conventional legal tools with Shariah principles. While such innovation has facilitated growth, it has also raised important questions about the boundaries of Shariah compliance and the extent to which conventional mechanisms can be adapted without compromising Islamic values.</w:t>
      </w:r>
    </w:p>
    <w:p w14:paraId="4A6A5F62" w14:textId="77777777" w:rsidR="00600C09" w:rsidRPr="00600C09" w:rsidRDefault="00600C09" w:rsidP="00600C09">
      <w:pPr>
        <w:rPr>
          <w:b/>
          <w:bCs/>
        </w:rPr>
      </w:pPr>
      <w:r w:rsidRPr="00600C09">
        <w:rPr>
          <w:b/>
          <w:bCs/>
        </w:rPr>
        <w:t>1.3.4 Lessons from Malaysia</w:t>
      </w:r>
    </w:p>
    <w:p w14:paraId="6DDA1C53" w14:textId="77777777" w:rsidR="00600C09" w:rsidRPr="00600C09" w:rsidRDefault="00600C09" w:rsidP="00600C09">
      <w:r w:rsidRPr="00600C09">
        <w:t>Malaysia’s experience provides valuable lessons for other jurisdictions:</w:t>
      </w:r>
    </w:p>
    <w:p w14:paraId="637D814E" w14:textId="77777777" w:rsidR="00600C09" w:rsidRPr="00600C09" w:rsidRDefault="00600C09" w:rsidP="00600C09">
      <w:pPr>
        <w:numPr>
          <w:ilvl w:val="0"/>
          <w:numId w:val="10"/>
        </w:numPr>
      </w:pPr>
      <w:r w:rsidRPr="00600C09">
        <w:rPr>
          <w:b/>
          <w:bCs/>
        </w:rPr>
        <w:t>Regulatory Clarity Matters</w:t>
      </w:r>
      <w:r w:rsidRPr="00600C09">
        <w:t>: Binding rulings of the SAC ensure consistency across the industry, reducing uncertainty for both financiers and borrowers.</w:t>
      </w:r>
    </w:p>
    <w:p w14:paraId="60D66F91" w14:textId="77777777" w:rsidR="00600C09" w:rsidRPr="00600C09" w:rsidRDefault="00600C09" w:rsidP="00600C09">
      <w:pPr>
        <w:numPr>
          <w:ilvl w:val="0"/>
          <w:numId w:val="10"/>
        </w:numPr>
      </w:pPr>
      <w:r w:rsidRPr="00600C09">
        <w:rPr>
          <w:b/>
          <w:bCs/>
        </w:rPr>
        <w:lastRenderedPageBreak/>
        <w:t>Hybrid Approaches Are Practical</w:t>
      </w:r>
      <w:r w:rsidRPr="00600C09">
        <w:t>: Allowing conventional enforcement mechanisms to coexist with Shariah contracts makes Islamic finance competitive.</w:t>
      </w:r>
    </w:p>
    <w:p w14:paraId="1D82EC8A" w14:textId="77777777" w:rsidR="00600C09" w:rsidRPr="00600C09" w:rsidRDefault="00600C09" w:rsidP="00600C09">
      <w:pPr>
        <w:numPr>
          <w:ilvl w:val="0"/>
          <w:numId w:val="10"/>
        </w:numPr>
      </w:pPr>
      <w:r w:rsidRPr="00600C09">
        <w:rPr>
          <w:b/>
          <w:bCs/>
        </w:rPr>
        <w:t>Continuous Innovation Is Essential</w:t>
      </w:r>
      <w:r w:rsidRPr="00600C09">
        <w:t>: As projects grow in scale and complexity, Islamic finance must adapt without losing its ethical foundations.</w:t>
      </w:r>
    </w:p>
    <w:p w14:paraId="42B91BF6" w14:textId="77777777" w:rsidR="00600C09" w:rsidRPr="00600C09" w:rsidRDefault="00600C09" w:rsidP="00600C09">
      <w:r w:rsidRPr="00600C09">
        <w:t>Thus, Malaysia is both a laboratory and a benchmark for the application of security instruments in Islamic project finance.</w:t>
      </w:r>
    </w:p>
    <w:p w14:paraId="52727E30" w14:textId="4917DD36" w:rsidR="00600C09" w:rsidRPr="00600C09" w:rsidRDefault="00600C09" w:rsidP="00600C09"/>
    <w:p w14:paraId="0D5FDEC4" w14:textId="77777777" w:rsidR="00600C09" w:rsidRPr="00600C09" w:rsidRDefault="00600C09" w:rsidP="00600C09">
      <w:pPr>
        <w:rPr>
          <w:b/>
          <w:bCs/>
        </w:rPr>
      </w:pPr>
      <w:r w:rsidRPr="00600C09">
        <w:rPr>
          <w:b/>
          <w:bCs/>
        </w:rPr>
        <w:t>1.4 Research Foundations of This Book</w:t>
      </w:r>
    </w:p>
    <w:p w14:paraId="31F1CB30" w14:textId="77777777" w:rsidR="00600C09" w:rsidRPr="00600C09" w:rsidRDefault="00600C09" w:rsidP="00600C09">
      <w:pPr>
        <w:rPr>
          <w:b/>
          <w:bCs/>
        </w:rPr>
      </w:pPr>
      <w:r w:rsidRPr="00600C09">
        <w:rPr>
          <w:b/>
          <w:bCs/>
        </w:rPr>
        <w:t>1.4.1 Literature Review Highlights</w:t>
      </w:r>
    </w:p>
    <w:p w14:paraId="240CBCF1" w14:textId="77777777" w:rsidR="00600C09" w:rsidRPr="00600C09" w:rsidRDefault="00600C09" w:rsidP="00600C09">
      <w:r w:rsidRPr="00600C09">
        <w:t xml:space="preserve">The academic literature on Islamic finance has expanded significantly in the past three decades. However, the specific subject of </w:t>
      </w:r>
      <w:r w:rsidRPr="00600C09">
        <w:rPr>
          <w:b/>
          <w:bCs/>
        </w:rPr>
        <w:t>security instruments in project finance</w:t>
      </w:r>
      <w:r w:rsidRPr="00600C09">
        <w:t xml:space="preserve"> remains underexplored. Much of the existing literature has focused on:</w:t>
      </w:r>
    </w:p>
    <w:p w14:paraId="17B92E7D" w14:textId="77777777" w:rsidR="00600C09" w:rsidRPr="00600C09" w:rsidRDefault="00600C09" w:rsidP="00600C09">
      <w:pPr>
        <w:numPr>
          <w:ilvl w:val="0"/>
          <w:numId w:val="11"/>
        </w:numPr>
      </w:pPr>
      <w:r w:rsidRPr="00600C09">
        <w:rPr>
          <w:b/>
          <w:bCs/>
        </w:rPr>
        <w:t>Prohibition of riba and gharar</w:t>
      </w:r>
      <w:r w:rsidRPr="00600C09">
        <w:t xml:space="preserve"> in banking (El-Gamal, 2006).</w:t>
      </w:r>
    </w:p>
    <w:p w14:paraId="36392915" w14:textId="77777777" w:rsidR="00600C09" w:rsidRPr="00600C09" w:rsidRDefault="00600C09" w:rsidP="00600C09">
      <w:pPr>
        <w:numPr>
          <w:ilvl w:val="0"/>
          <w:numId w:val="11"/>
        </w:numPr>
      </w:pPr>
      <w:r w:rsidRPr="00600C09">
        <w:rPr>
          <w:b/>
          <w:bCs/>
        </w:rPr>
        <w:t>Contracts in Islamic finance</w:t>
      </w:r>
      <w:r w:rsidRPr="00600C09">
        <w:t>, including murāba</w:t>
      </w:r>
      <w:r w:rsidRPr="00600C09">
        <w:rPr>
          <w:rFonts w:ascii="Calibri" w:hAnsi="Calibri" w:cs="Calibri"/>
        </w:rPr>
        <w:t>ḥ</w:t>
      </w:r>
      <w:r w:rsidRPr="00600C09">
        <w:t>ah, ijārah, and mushārakah (Kamali, 2007).</w:t>
      </w:r>
    </w:p>
    <w:p w14:paraId="49E9E2E5" w14:textId="77777777" w:rsidR="00600C09" w:rsidRPr="00600C09" w:rsidRDefault="00600C09" w:rsidP="00600C09">
      <w:pPr>
        <w:numPr>
          <w:ilvl w:val="0"/>
          <w:numId w:val="11"/>
        </w:numPr>
      </w:pPr>
      <w:r w:rsidRPr="00600C09">
        <w:rPr>
          <w:b/>
          <w:bCs/>
        </w:rPr>
        <w:t>Development of sukuk markets</w:t>
      </w:r>
      <w:r w:rsidRPr="00600C09">
        <w:t>, particularly in Malaysia and the Gulf (Iqbal &amp; Mirakhor, 2011).</w:t>
      </w:r>
    </w:p>
    <w:p w14:paraId="2CB243FC" w14:textId="77777777" w:rsidR="00600C09" w:rsidRPr="00600C09" w:rsidRDefault="00600C09" w:rsidP="00600C09">
      <w:pPr>
        <w:numPr>
          <w:ilvl w:val="0"/>
          <w:numId w:val="11"/>
        </w:numPr>
      </w:pPr>
      <w:r w:rsidRPr="00600C09">
        <w:rPr>
          <w:b/>
          <w:bCs/>
        </w:rPr>
        <w:t>Shariah governance and regulatory frameworks</w:t>
      </w:r>
      <w:r w:rsidRPr="00600C09">
        <w:t xml:space="preserve"> (Hasan, 2014).</w:t>
      </w:r>
    </w:p>
    <w:p w14:paraId="4DE6D763" w14:textId="77777777" w:rsidR="00600C09" w:rsidRPr="00600C09" w:rsidRDefault="00600C09" w:rsidP="00600C09">
      <w:r w:rsidRPr="00600C09">
        <w:t xml:space="preserve">By contrast, relatively little attention has been given to the </w:t>
      </w:r>
      <w:r w:rsidRPr="00600C09">
        <w:rPr>
          <w:b/>
          <w:bCs/>
        </w:rPr>
        <w:t>intersection of security instruments and Shariah principles</w:t>
      </w:r>
      <w:r w:rsidRPr="00600C09">
        <w:t>, particularly in the context of project finance. While some scholars have touched on rahn and kafālah, these discussions are often limited to retail banking or personal finance. The role of security in multi-billion-dollar infrastructure projects remains under-theorized.</w:t>
      </w:r>
    </w:p>
    <w:p w14:paraId="2BE1DDB0" w14:textId="77777777" w:rsidR="00600C09" w:rsidRPr="00600C09" w:rsidRDefault="00600C09" w:rsidP="00600C09">
      <w:r w:rsidRPr="00600C09">
        <w:t>This gap in the literature highlights the need for a comprehensive study that bridges theory, law, and practice.</w:t>
      </w:r>
    </w:p>
    <w:p w14:paraId="130271EC" w14:textId="77777777" w:rsidR="00600C09" w:rsidRPr="00600C09" w:rsidRDefault="00600C09" w:rsidP="00600C09">
      <w:pPr>
        <w:rPr>
          <w:b/>
          <w:bCs/>
        </w:rPr>
      </w:pPr>
      <w:r w:rsidRPr="00600C09">
        <w:rPr>
          <w:b/>
          <w:bCs/>
        </w:rPr>
        <w:t>1.4.2 Methodological Approach</w:t>
      </w:r>
    </w:p>
    <w:p w14:paraId="5FD91B10" w14:textId="77777777" w:rsidR="00600C09" w:rsidRPr="00600C09" w:rsidRDefault="00600C09" w:rsidP="00600C09">
      <w:r w:rsidRPr="00600C09">
        <w:t xml:space="preserve">This book is grounded in the author’s doctoral research, which employed a </w:t>
      </w:r>
      <w:r w:rsidRPr="00600C09">
        <w:rPr>
          <w:b/>
          <w:bCs/>
        </w:rPr>
        <w:t>triangulated methodology</w:t>
      </w:r>
      <w:r w:rsidRPr="00600C09">
        <w:t>:</w:t>
      </w:r>
    </w:p>
    <w:p w14:paraId="26F014B9" w14:textId="77777777" w:rsidR="00600C09" w:rsidRPr="00600C09" w:rsidRDefault="00600C09" w:rsidP="00600C09">
      <w:pPr>
        <w:numPr>
          <w:ilvl w:val="0"/>
          <w:numId w:val="12"/>
        </w:numPr>
      </w:pPr>
      <w:r w:rsidRPr="00600C09">
        <w:rPr>
          <w:b/>
          <w:bCs/>
        </w:rPr>
        <w:t>Classical Shariah Sources</w:t>
      </w:r>
    </w:p>
    <w:p w14:paraId="6357C3DD" w14:textId="77777777" w:rsidR="00600C09" w:rsidRPr="00600C09" w:rsidRDefault="00600C09" w:rsidP="00600C09">
      <w:pPr>
        <w:numPr>
          <w:ilvl w:val="1"/>
          <w:numId w:val="12"/>
        </w:numPr>
      </w:pPr>
      <w:r w:rsidRPr="00600C09">
        <w:t>Examination of Qur’anic verses and prophetic traditions on debt, security, and guarantees.</w:t>
      </w:r>
    </w:p>
    <w:p w14:paraId="3901DA24" w14:textId="77777777" w:rsidR="00600C09" w:rsidRDefault="00600C09" w:rsidP="00600C09">
      <w:pPr>
        <w:numPr>
          <w:ilvl w:val="1"/>
          <w:numId w:val="12"/>
        </w:numPr>
      </w:pPr>
      <w:r w:rsidRPr="00600C09">
        <w:lastRenderedPageBreak/>
        <w:t xml:space="preserve">Study of juristic writings across the four Sunni madhāhib (schools of thought), focusing on rahn, kafālah, </w:t>
      </w:r>
      <w:r w:rsidRPr="00600C09">
        <w:rPr>
          <w:rFonts w:ascii="Calibri" w:hAnsi="Calibri" w:cs="Calibri"/>
        </w:rPr>
        <w:t>ḍ</w:t>
      </w:r>
      <w:r w:rsidRPr="00600C09">
        <w:t xml:space="preserve">amān, and </w:t>
      </w:r>
      <w:r w:rsidRPr="00600C09">
        <w:rPr>
          <w:rFonts w:ascii="Calibri" w:hAnsi="Calibri" w:cs="Calibri"/>
        </w:rPr>
        <w:t>ḥ</w:t>
      </w:r>
      <w:r w:rsidRPr="00600C09">
        <w:t>awālah (Al-Zuhayli, 2003).</w:t>
      </w:r>
    </w:p>
    <w:p w14:paraId="5DC571B1" w14:textId="77777777" w:rsidR="003816AB" w:rsidRDefault="003816AB" w:rsidP="003816AB"/>
    <w:p w14:paraId="049709CE" w14:textId="77777777" w:rsidR="003816AB" w:rsidRPr="00600C09" w:rsidRDefault="003816AB" w:rsidP="003816AB"/>
    <w:p w14:paraId="171A5D4A" w14:textId="77777777" w:rsidR="00600C09" w:rsidRPr="00600C09" w:rsidRDefault="00600C09" w:rsidP="00600C09">
      <w:pPr>
        <w:numPr>
          <w:ilvl w:val="0"/>
          <w:numId w:val="12"/>
        </w:numPr>
      </w:pPr>
      <w:r w:rsidRPr="00600C09">
        <w:rPr>
          <w:b/>
          <w:bCs/>
        </w:rPr>
        <w:t>Comparative Law Analysis</w:t>
      </w:r>
    </w:p>
    <w:p w14:paraId="69799AED" w14:textId="77777777" w:rsidR="00600C09" w:rsidRPr="00600C09" w:rsidRDefault="00600C09" w:rsidP="00600C09">
      <w:pPr>
        <w:numPr>
          <w:ilvl w:val="1"/>
          <w:numId w:val="12"/>
        </w:numPr>
      </w:pPr>
      <w:r w:rsidRPr="00600C09">
        <w:t>Review of conventional security instruments under common law, including their legal definitions, enforceability, and judicial interpretation (Goode, 2013; Wood, 2007).</w:t>
      </w:r>
    </w:p>
    <w:p w14:paraId="79395507" w14:textId="77777777" w:rsidR="00600C09" w:rsidRPr="00600C09" w:rsidRDefault="00600C09" w:rsidP="00600C09">
      <w:pPr>
        <w:numPr>
          <w:ilvl w:val="1"/>
          <w:numId w:val="12"/>
        </w:numPr>
      </w:pPr>
      <w:r w:rsidRPr="00600C09">
        <w:t>Comparison with Islamic equivalents, identifying similarities, differences, and areas of potential compatibility.</w:t>
      </w:r>
    </w:p>
    <w:p w14:paraId="277FF311" w14:textId="77777777" w:rsidR="00600C09" w:rsidRPr="00600C09" w:rsidRDefault="00600C09" w:rsidP="00600C09">
      <w:pPr>
        <w:numPr>
          <w:ilvl w:val="0"/>
          <w:numId w:val="12"/>
        </w:numPr>
      </w:pPr>
      <w:r w:rsidRPr="00600C09">
        <w:rPr>
          <w:b/>
          <w:bCs/>
        </w:rPr>
        <w:t>Empirical Research</w:t>
      </w:r>
    </w:p>
    <w:p w14:paraId="729CA106" w14:textId="77777777" w:rsidR="00600C09" w:rsidRPr="00600C09" w:rsidRDefault="00600C09" w:rsidP="00600C09">
      <w:pPr>
        <w:numPr>
          <w:ilvl w:val="1"/>
          <w:numId w:val="12"/>
        </w:numPr>
      </w:pPr>
      <w:r w:rsidRPr="00600C09">
        <w:t>Semi-structured interviews with practitioners, including lawyers, bankers, regulators, and Shariah scholars.</w:t>
      </w:r>
    </w:p>
    <w:p w14:paraId="7DDA58D0" w14:textId="77777777" w:rsidR="00600C09" w:rsidRPr="00600C09" w:rsidRDefault="00600C09" w:rsidP="00600C09">
      <w:pPr>
        <w:numPr>
          <w:ilvl w:val="1"/>
          <w:numId w:val="12"/>
        </w:numPr>
      </w:pPr>
      <w:r w:rsidRPr="00600C09">
        <w:t>Case study analysis of real project financings in Malaysia, focusing on the security structures employed.</w:t>
      </w:r>
    </w:p>
    <w:p w14:paraId="3C8E2AA9" w14:textId="77777777" w:rsidR="00600C09" w:rsidRPr="00600C09" w:rsidRDefault="00600C09" w:rsidP="00600C09">
      <w:r w:rsidRPr="00600C09">
        <w:t>This methodology ensured that the study was not confined to theoretical speculation but grounded in real-world practice.</w:t>
      </w:r>
    </w:p>
    <w:p w14:paraId="35075C0E" w14:textId="77777777" w:rsidR="00600C09" w:rsidRPr="00600C09" w:rsidRDefault="00600C09" w:rsidP="00600C09">
      <w:pPr>
        <w:rPr>
          <w:b/>
          <w:bCs/>
        </w:rPr>
      </w:pPr>
      <w:r w:rsidRPr="00600C09">
        <w:rPr>
          <w:b/>
          <w:bCs/>
        </w:rPr>
        <w:t>1.4.3 Why Triangulation Was Necessary</w:t>
      </w:r>
    </w:p>
    <w:p w14:paraId="76634393" w14:textId="77777777" w:rsidR="00600C09" w:rsidRPr="00600C09" w:rsidRDefault="00600C09" w:rsidP="00600C09">
      <w:r w:rsidRPr="00600C09">
        <w:t>Triangulation was necessary for three reasons:</w:t>
      </w:r>
    </w:p>
    <w:p w14:paraId="59244AF9" w14:textId="77777777" w:rsidR="00600C09" w:rsidRPr="00600C09" w:rsidRDefault="00600C09" w:rsidP="00600C09">
      <w:pPr>
        <w:numPr>
          <w:ilvl w:val="0"/>
          <w:numId w:val="13"/>
        </w:numPr>
      </w:pPr>
      <w:r w:rsidRPr="00600C09">
        <w:rPr>
          <w:b/>
          <w:bCs/>
        </w:rPr>
        <w:t>Theoretical Ambiguity</w:t>
      </w:r>
      <w:r w:rsidRPr="00600C09">
        <w:t>: Classical jurists differed in their interpretations of rahn and kafālah. A purely textual study risked overlooking these nuances.</w:t>
      </w:r>
    </w:p>
    <w:p w14:paraId="605D13F0" w14:textId="77777777" w:rsidR="00600C09" w:rsidRPr="00600C09" w:rsidRDefault="00600C09" w:rsidP="00600C09">
      <w:pPr>
        <w:numPr>
          <w:ilvl w:val="0"/>
          <w:numId w:val="13"/>
        </w:numPr>
      </w:pPr>
      <w:r w:rsidRPr="00600C09">
        <w:rPr>
          <w:b/>
          <w:bCs/>
        </w:rPr>
        <w:t>Legal Complexity</w:t>
      </w:r>
      <w:r w:rsidRPr="00600C09">
        <w:t>: Conventional securities are rooted in centuries of common law. Without comparative analysis, it would be difficult to assess compatibility.</w:t>
      </w:r>
    </w:p>
    <w:p w14:paraId="6DD2C416" w14:textId="77777777" w:rsidR="00600C09" w:rsidRPr="00600C09" w:rsidRDefault="00600C09" w:rsidP="00600C09">
      <w:pPr>
        <w:numPr>
          <w:ilvl w:val="0"/>
          <w:numId w:val="13"/>
        </w:numPr>
      </w:pPr>
      <w:r w:rsidRPr="00600C09">
        <w:rPr>
          <w:b/>
          <w:bCs/>
        </w:rPr>
        <w:t>Practical Realities</w:t>
      </w:r>
      <w:r w:rsidRPr="00600C09">
        <w:t>: The success of Islamic finance depends not only on theoretical validity but also on practical enforceability. Interviews with practitioners ensured that the study remained relevant to industry needs.</w:t>
      </w:r>
    </w:p>
    <w:p w14:paraId="49B98165" w14:textId="77777777" w:rsidR="00600C09" w:rsidRPr="00600C09" w:rsidRDefault="00600C09" w:rsidP="00600C09">
      <w:pPr>
        <w:rPr>
          <w:b/>
          <w:bCs/>
        </w:rPr>
      </w:pPr>
      <w:r w:rsidRPr="00600C09">
        <w:rPr>
          <w:b/>
          <w:bCs/>
        </w:rPr>
        <w:t>1.4.4 Unique Contribution of This Research</w:t>
      </w:r>
    </w:p>
    <w:p w14:paraId="6CA5CDD7" w14:textId="77777777" w:rsidR="00600C09" w:rsidRPr="00600C09" w:rsidRDefault="00600C09" w:rsidP="00600C09">
      <w:r w:rsidRPr="00600C09">
        <w:t xml:space="preserve">The unique contribution of this research — and therefore of this book — lies in the development of a </w:t>
      </w:r>
      <w:r w:rsidRPr="00600C09">
        <w:rPr>
          <w:b/>
          <w:bCs/>
        </w:rPr>
        <w:t>Compatibility Index</w:t>
      </w:r>
      <w:r w:rsidRPr="00600C09">
        <w:t>. This index provides a structured framework for assessing how closely conventional security instruments align with Shariah principles. It moves beyond descriptive comparison to offer a normative tool that can guide practitioners, regulators, and scholars alike.</w:t>
      </w:r>
    </w:p>
    <w:p w14:paraId="2FD69C41" w14:textId="77777777" w:rsidR="00600C09" w:rsidRPr="00600C09" w:rsidRDefault="00600C09" w:rsidP="00600C09">
      <w:r w:rsidRPr="00600C09">
        <w:lastRenderedPageBreak/>
        <w:t>For example, the index evaluates:</w:t>
      </w:r>
    </w:p>
    <w:p w14:paraId="573539DC" w14:textId="77777777" w:rsidR="00600C09" w:rsidRPr="00600C09" w:rsidRDefault="00600C09" w:rsidP="00600C09">
      <w:pPr>
        <w:numPr>
          <w:ilvl w:val="0"/>
          <w:numId w:val="14"/>
        </w:numPr>
      </w:pPr>
      <w:r w:rsidRPr="00600C09">
        <w:rPr>
          <w:b/>
          <w:bCs/>
        </w:rPr>
        <w:t>Legal enforceability</w:t>
      </w:r>
      <w:r w:rsidRPr="00600C09">
        <w:t>: Does the instrument provide predictable recourse?</w:t>
      </w:r>
    </w:p>
    <w:p w14:paraId="2FF99B5E" w14:textId="77777777" w:rsidR="00600C09" w:rsidRPr="00600C09" w:rsidRDefault="00600C09" w:rsidP="00600C09">
      <w:pPr>
        <w:numPr>
          <w:ilvl w:val="0"/>
          <w:numId w:val="14"/>
        </w:numPr>
      </w:pPr>
      <w:r w:rsidRPr="00600C09">
        <w:rPr>
          <w:b/>
          <w:bCs/>
        </w:rPr>
        <w:t>Shariah compliance</w:t>
      </w:r>
      <w:r w:rsidRPr="00600C09">
        <w:t>: Does it avoid riba, gharar, and maysir?</w:t>
      </w:r>
    </w:p>
    <w:p w14:paraId="15CA34F3" w14:textId="77777777" w:rsidR="00600C09" w:rsidRPr="00600C09" w:rsidRDefault="00600C09" w:rsidP="00600C09">
      <w:pPr>
        <w:numPr>
          <w:ilvl w:val="0"/>
          <w:numId w:val="14"/>
        </w:numPr>
      </w:pPr>
      <w:r w:rsidRPr="00600C09">
        <w:rPr>
          <w:b/>
          <w:bCs/>
        </w:rPr>
        <w:t>Functional equivalence</w:t>
      </w:r>
      <w:r w:rsidRPr="00600C09">
        <w:t>: Does it achieve the same risk-mitigation purpose as its conventional counterpart?</w:t>
      </w:r>
    </w:p>
    <w:p w14:paraId="095E12EA" w14:textId="77777777" w:rsidR="00600C09" w:rsidRPr="00600C09" w:rsidRDefault="00600C09" w:rsidP="00600C09">
      <w:r w:rsidRPr="00600C09">
        <w:t>By quantifying these dimensions, the Compatibility Index introduces a novel way of evaluating instruments that balances both legal and religious considerations.</w:t>
      </w:r>
    </w:p>
    <w:p w14:paraId="113C0C98" w14:textId="69859407" w:rsidR="00600C09" w:rsidRPr="00600C09" w:rsidRDefault="00600C09" w:rsidP="00600C09"/>
    <w:p w14:paraId="47BBE8FA" w14:textId="77777777" w:rsidR="00600C09" w:rsidRPr="00600C09" w:rsidRDefault="00600C09" w:rsidP="00600C09">
      <w:pPr>
        <w:rPr>
          <w:b/>
          <w:bCs/>
        </w:rPr>
      </w:pPr>
      <w:r w:rsidRPr="00600C09">
        <w:rPr>
          <w:b/>
          <w:bCs/>
        </w:rPr>
        <w:t>1.5 Introducing the Compatibility Index</w:t>
      </w:r>
    </w:p>
    <w:p w14:paraId="0EE59CC9" w14:textId="77777777" w:rsidR="00600C09" w:rsidRPr="00600C09" w:rsidRDefault="00600C09" w:rsidP="00600C09">
      <w:pPr>
        <w:rPr>
          <w:b/>
          <w:bCs/>
        </w:rPr>
      </w:pPr>
      <w:r w:rsidRPr="00600C09">
        <w:rPr>
          <w:b/>
          <w:bCs/>
        </w:rPr>
        <w:t>1.5.1 Rationale for the Compatibility Index</w:t>
      </w:r>
    </w:p>
    <w:p w14:paraId="19BC75F5" w14:textId="77777777" w:rsidR="00600C09" w:rsidRPr="00600C09" w:rsidRDefault="00600C09" w:rsidP="00600C09">
      <w:r w:rsidRPr="00600C09">
        <w:t xml:space="preserve">The idea of a </w:t>
      </w:r>
      <w:r w:rsidRPr="00600C09">
        <w:rPr>
          <w:b/>
          <w:bCs/>
        </w:rPr>
        <w:t>Compatibility Index</w:t>
      </w:r>
      <w:r w:rsidRPr="00600C09">
        <w:t xml:space="preserve"> emerged from the realization that discussions around Islamic and conventional security instruments were often descriptive but rarely evaluative. Scholars would typically note similarities and differences between, for example, a mortgage and a rahn, or a guarantee and a kafālah, but they stopped short of systematically assessing how well these instruments aligned in both purpose and structure.</w:t>
      </w:r>
    </w:p>
    <w:p w14:paraId="6E05EE8D" w14:textId="77777777" w:rsidR="00600C09" w:rsidRPr="00600C09" w:rsidRDefault="00600C09" w:rsidP="00600C09">
      <w:r w:rsidRPr="00600C09">
        <w:t>Yet, for practitioners and regulators, such an assessment is critical. A bank deciding whether to finance a project under Islamic principles needs clear guidance: can a particular security instrument serve the same function as its conventional counterpart? If not, how far can it go, and where are the Shariah red lines? Similarly, regulators need frameworks to assess whether proposed structures maintain the integrity of Shariah while remaining enforceable in courts.</w:t>
      </w:r>
    </w:p>
    <w:p w14:paraId="749D7A0D" w14:textId="77777777" w:rsidR="00600C09" w:rsidRPr="00600C09" w:rsidRDefault="00600C09" w:rsidP="00600C09">
      <w:r w:rsidRPr="00600C09">
        <w:t>The Compatibility Index was designed to fill this gap. It provides a structured, quantitative approach to assessing alignment, moving the conversation beyond abstract theory to practical application.</w:t>
      </w:r>
    </w:p>
    <w:p w14:paraId="5860350A" w14:textId="5CD4FB7D" w:rsidR="00600C09" w:rsidRPr="00600C09" w:rsidRDefault="00600C09" w:rsidP="00600C09"/>
    <w:p w14:paraId="7DDFA542" w14:textId="77777777" w:rsidR="00600C09" w:rsidRPr="00600C09" w:rsidRDefault="00600C09" w:rsidP="00600C09">
      <w:pPr>
        <w:rPr>
          <w:b/>
          <w:bCs/>
        </w:rPr>
      </w:pPr>
      <w:r w:rsidRPr="00600C09">
        <w:rPr>
          <w:b/>
          <w:bCs/>
        </w:rPr>
        <w:t>1.5.2 Dimensions of Compatibility</w:t>
      </w:r>
    </w:p>
    <w:p w14:paraId="07D3D302" w14:textId="77777777" w:rsidR="00600C09" w:rsidRPr="00600C09" w:rsidRDefault="00600C09" w:rsidP="00600C09">
      <w:r w:rsidRPr="00600C09">
        <w:t>The Compatibility Index evaluates instruments across three primary dimensions:</w:t>
      </w:r>
    </w:p>
    <w:p w14:paraId="6452BB48" w14:textId="77777777" w:rsidR="00600C09" w:rsidRPr="00600C09" w:rsidRDefault="00600C09" w:rsidP="00600C09">
      <w:pPr>
        <w:numPr>
          <w:ilvl w:val="0"/>
          <w:numId w:val="17"/>
        </w:numPr>
      </w:pPr>
      <w:r w:rsidRPr="00600C09">
        <w:rPr>
          <w:b/>
          <w:bCs/>
        </w:rPr>
        <w:t>Legal Enforceability</w:t>
      </w:r>
    </w:p>
    <w:p w14:paraId="54E7A4E7" w14:textId="77777777" w:rsidR="00600C09" w:rsidRPr="00600C09" w:rsidRDefault="00600C09" w:rsidP="00600C09">
      <w:pPr>
        <w:numPr>
          <w:ilvl w:val="1"/>
          <w:numId w:val="17"/>
        </w:numPr>
      </w:pPr>
      <w:r w:rsidRPr="00600C09">
        <w:t>Does the instrument provide predictable recourse under civil or common law?</w:t>
      </w:r>
    </w:p>
    <w:p w14:paraId="55AE1366" w14:textId="77777777" w:rsidR="00600C09" w:rsidRPr="00600C09" w:rsidRDefault="00600C09" w:rsidP="00600C09">
      <w:pPr>
        <w:numPr>
          <w:ilvl w:val="1"/>
          <w:numId w:val="17"/>
        </w:numPr>
      </w:pPr>
      <w:r w:rsidRPr="00600C09">
        <w:t>Is it recognized by courts and regulators?</w:t>
      </w:r>
    </w:p>
    <w:p w14:paraId="122B15F6" w14:textId="77777777" w:rsidR="00600C09" w:rsidRPr="00600C09" w:rsidRDefault="00600C09" w:rsidP="00600C09">
      <w:pPr>
        <w:numPr>
          <w:ilvl w:val="1"/>
          <w:numId w:val="17"/>
        </w:numPr>
      </w:pPr>
      <w:r w:rsidRPr="00600C09">
        <w:lastRenderedPageBreak/>
        <w:t>Can it be integrated into existing project finance structures without ambiguity?</w:t>
      </w:r>
    </w:p>
    <w:p w14:paraId="19F6330B" w14:textId="77777777" w:rsidR="00600C09" w:rsidRPr="00600C09" w:rsidRDefault="00600C09" w:rsidP="00600C09">
      <w:pPr>
        <w:numPr>
          <w:ilvl w:val="0"/>
          <w:numId w:val="17"/>
        </w:numPr>
      </w:pPr>
      <w:r w:rsidRPr="00600C09">
        <w:rPr>
          <w:b/>
          <w:bCs/>
        </w:rPr>
        <w:t>Shariah Compliance</w:t>
      </w:r>
    </w:p>
    <w:p w14:paraId="1510FB13" w14:textId="77777777" w:rsidR="00600C09" w:rsidRPr="00600C09" w:rsidRDefault="00600C09" w:rsidP="00600C09">
      <w:pPr>
        <w:numPr>
          <w:ilvl w:val="1"/>
          <w:numId w:val="17"/>
        </w:numPr>
      </w:pPr>
      <w:r w:rsidRPr="00600C09">
        <w:t>Does the instrument avoid riba, gharar, and maysir?</w:t>
      </w:r>
    </w:p>
    <w:p w14:paraId="477CC5B8" w14:textId="77777777" w:rsidR="00600C09" w:rsidRPr="00600C09" w:rsidRDefault="00600C09" w:rsidP="00600C09">
      <w:pPr>
        <w:numPr>
          <w:ilvl w:val="1"/>
          <w:numId w:val="17"/>
        </w:numPr>
      </w:pPr>
      <w:r w:rsidRPr="00600C09">
        <w:t>Does it respect the principles of ownership, possession, and risk-sharing?</w:t>
      </w:r>
    </w:p>
    <w:p w14:paraId="18B9F811" w14:textId="77777777" w:rsidR="00600C09" w:rsidRPr="00600C09" w:rsidRDefault="00600C09" w:rsidP="00600C09">
      <w:pPr>
        <w:numPr>
          <w:ilvl w:val="1"/>
          <w:numId w:val="17"/>
        </w:numPr>
      </w:pPr>
      <w:r w:rsidRPr="00600C09">
        <w:t>Does it align with rulings of authoritative bodies such as AAOIFI and national SACs?</w:t>
      </w:r>
    </w:p>
    <w:p w14:paraId="316E5DF2" w14:textId="77777777" w:rsidR="00600C09" w:rsidRPr="00600C09" w:rsidRDefault="00600C09" w:rsidP="00600C09">
      <w:pPr>
        <w:numPr>
          <w:ilvl w:val="0"/>
          <w:numId w:val="17"/>
        </w:numPr>
      </w:pPr>
      <w:r w:rsidRPr="00600C09">
        <w:rPr>
          <w:b/>
          <w:bCs/>
        </w:rPr>
        <w:t>Functional Equivalence</w:t>
      </w:r>
    </w:p>
    <w:p w14:paraId="7216E879" w14:textId="77777777" w:rsidR="00600C09" w:rsidRPr="00600C09" w:rsidRDefault="00600C09" w:rsidP="00600C09">
      <w:pPr>
        <w:numPr>
          <w:ilvl w:val="1"/>
          <w:numId w:val="17"/>
        </w:numPr>
      </w:pPr>
      <w:r w:rsidRPr="00600C09">
        <w:t>Does the instrument achieve the same risk-mitigation purpose as its conventional counterpart?</w:t>
      </w:r>
    </w:p>
    <w:p w14:paraId="73E168CF" w14:textId="77777777" w:rsidR="00600C09" w:rsidRPr="00600C09" w:rsidRDefault="00600C09" w:rsidP="00600C09">
      <w:pPr>
        <w:numPr>
          <w:ilvl w:val="1"/>
          <w:numId w:val="17"/>
        </w:numPr>
      </w:pPr>
      <w:r w:rsidRPr="00600C09">
        <w:t>Does it protect creditors in case of default while ensuring fairness to debtors?</w:t>
      </w:r>
    </w:p>
    <w:p w14:paraId="297EBAF9" w14:textId="77777777" w:rsidR="00600C09" w:rsidRPr="00600C09" w:rsidRDefault="00600C09" w:rsidP="00600C09">
      <w:pPr>
        <w:numPr>
          <w:ilvl w:val="1"/>
          <w:numId w:val="17"/>
        </w:numPr>
      </w:pPr>
      <w:r w:rsidRPr="00600C09">
        <w:t>Does it enhance confidence in project finance structures?</w:t>
      </w:r>
    </w:p>
    <w:p w14:paraId="7DD799FA" w14:textId="77777777" w:rsidR="00600C09" w:rsidRPr="00600C09" w:rsidRDefault="00600C09" w:rsidP="00600C09">
      <w:r w:rsidRPr="00600C09">
        <w:t>Each dimension is scored on a scale, allowing for a composite index that reflects the overall compatibility of a given instrument.</w:t>
      </w:r>
    </w:p>
    <w:p w14:paraId="533AFC83" w14:textId="12FC27BE" w:rsidR="00600C09" w:rsidRPr="00600C09" w:rsidRDefault="00600C09" w:rsidP="00600C09"/>
    <w:p w14:paraId="18F60EA0" w14:textId="77777777" w:rsidR="00600C09" w:rsidRPr="00600C09" w:rsidRDefault="00600C09" w:rsidP="00600C09">
      <w:pPr>
        <w:rPr>
          <w:b/>
          <w:bCs/>
        </w:rPr>
      </w:pPr>
      <w:r w:rsidRPr="00600C09">
        <w:rPr>
          <w:b/>
          <w:bCs/>
        </w:rPr>
        <w:t>1.5.3 Illustrative Application</w:t>
      </w:r>
    </w:p>
    <w:p w14:paraId="329BCC38" w14:textId="77777777" w:rsidR="00600C09" w:rsidRPr="00600C09" w:rsidRDefault="00600C09" w:rsidP="00600C09">
      <w:r w:rsidRPr="00600C09">
        <w:t xml:space="preserve">Consider the comparison between a </w:t>
      </w:r>
      <w:r w:rsidRPr="00600C09">
        <w:rPr>
          <w:b/>
          <w:bCs/>
        </w:rPr>
        <w:t>conventional mortgage</w:t>
      </w:r>
      <w:r w:rsidRPr="00600C09">
        <w:t xml:space="preserve"> and </w:t>
      </w:r>
      <w:r w:rsidRPr="00600C09">
        <w:rPr>
          <w:b/>
          <w:bCs/>
        </w:rPr>
        <w:t>rahn</w:t>
      </w:r>
      <w:r w:rsidRPr="00600C09">
        <w:t>:</w:t>
      </w:r>
    </w:p>
    <w:p w14:paraId="1DF64DBF" w14:textId="77777777" w:rsidR="00600C09" w:rsidRPr="00600C09" w:rsidRDefault="00600C09" w:rsidP="00600C09">
      <w:pPr>
        <w:numPr>
          <w:ilvl w:val="0"/>
          <w:numId w:val="18"/>
        </w:numPr>
      </w:pPr>
      <w:r w:rsidRPr="00600C09">
        <w:rPr>
          <w:b/>
          <w:bCs/>
        </w:rPr>
        <w:t>Legal Enforceability</w:t>
      </w:r>
      <w:r w:rsidRPr="00600C09">
        <w:t>: Conventional mortgages are widely enforceable; rahn is recognized in Shariah but may face challenges in jurisdictions without specific Islamic finance legislation. Score: Moderate.</w:t>
      </w:r>
    </w:p>
    <w:p w14:paraId="0D116438" w14:textId="77777777" w:rsidR="00600C09" w:rsidRPr="00600C09" w:rsidRDefault="00600C09" w:rsidP="00600C09">
      <w:pPr>
        <w:numPr>
          <w:ilvl w:val="0"/>
          <w:numId w:val="18"/>
        </w:numPr>
      </w:pPr>
      <w:r w:rsidRPr="00600C09">
        <w:rPr>
          <w:b/>
          <w:bCs/>
        </w:rPr>
        <w:t>Shariah Compliance</w:t>
      </w:r>
      <w:r w:rsidRPr="00600C09">
        <w:t>: Mortgages typically involve interest-bearing loans, which are prohibited. Rahn avoids riba but requires strict adherence to rules of possession. Score: High for rahn, low for conventional mortgage.</w:t>
      </w:r>
    </w:p>
    <w:p w14:paraId="6F3E64EC" w14:textId="77777777" w:rsidR="00600C09" w:rsidRPr="00600C09" w:rsidRDefault="00600C09" w:rsidP="00600C09">
      <w:pPr>
        <w:numPr>
          <w:ilvl w:val="0"/>
          <w:numId w:val="18"/>
        </w:numPr>
      </w:pPr>
      <w:r w:rsidRPr="00600C09">
        <w:rPr>
          <w:b/>
          <w:bCs/>
        </w:rPr>
        <w:t>Functional Equivalence</w:t>
      </w:r>
      <w:r w:rsidRPr="00600C09">
        <w:t>: Both provide security over immovable property, but conventional mortgages may give creditors broader rights than rahn permits. Score: Moderate.</w:t>
      </w:r>
    </w:p>
    <w:p w14:paraId="47B2B4DC" w14:textId="77777777" w:rsidR="00600C09" w:rsidRPr="00600C09" w:rsidRDefault="00600C09" w:rsidP="00600C09">
      <w:r w:rsidRPr="00600C09">
        <w:t>The composite index thus shows partial compatibility, suggesting that while rahn can functionally substitute for mortgages, structural adjustments and legal support are needed to ensure full effectiveness.</w:t>
      </w:r>
    </w:p>
    <w:p w14:paraId="2DD130F8" w14:textId="77777777" w:rsidR="00600C09" w:rsidRPr="00600C09" w:rsidRDefault="00600C09" w:rsidP="00600C09">
      <w:r w:rsidRPr="00600C09">
        <w:t xml:space="preserve">Another example is </w:t>
      </w:r>
      <w:r w:rsidRPr="00600C09">
        <w:rPr>
          <w:b/>
          <w:bCs/>
        </w:rPr>
        <w:t>kafālah</w:t>
      </w:r>
      <w:r w:rsidRPr="00600C09">
        <w:t xml:space="preserve"> compared with a </w:t>
      </w:r>
      <w:r w:rsidRPr="00600C09">
        <w:rPr>
          <w:b/>
          <w:bCs/>
        </w:rPr>
        <w:t>conventional guarantee</w:t>
      </w:r>
      <w:r w:rsidRPr="00600C09">
        <w:t>:</w:t>
      </w:r>
    </w:p>
    <w:p w14:paraId="4D5053CA" w14:textId="77777777" w:rsidR="00600C09" w:rsidRPr="00600C09" w:rsidRDefault="00600C09" w:rsidP="00600C09">
      <w:pPr>
        <w:numPr>
          <w:ilvl w:val="0"/>
          <w:numId w:val="19"/>
        </w:numPr>
      </w:pPr>
      <w:r w:rsidRPr="00600C09">
        <w:rPr>
          <w:b/>
          <w:bCs/>
        </w:rPr>
        <w:lastRenderedPageBreak/>
        <w:t>Legal Enforceability</w:t>
      </w:r>
      <w:r w:rsidRPr="00600C09">
        <w:t>: Conventional guarantees are widely enforceable and may include compensation. Kafālah is enforceable but prohibits fees. Score: Moderate to High.</w:t>
      </w:r>
    </w:p>
    <w:p w14:paraId="1DAB40FB" w14:textId="77777777" w:rsidR="00600C09" w:rsidRPr="00600C09" w:rsidRDefault="00600C09" w:rsidP="00600C09">
      <w:pPr>
        <w:numPr>
          <w:ilvl w:val="0"/>
          <w:numId w:val="19"/>
        </w:numPr>
      </w:pPr>
      <w:r w:rsidRPr="00600C09">
        <w:rPr>
          <w:b/>
          <w:bCs/>
        </w:rPr>
        <w:t>Shariah Compliance</w:t>
      </w:r>
      <w:r w:rsidRPr="00600C09">
        <w:t>: Kafālah is Shariah-compliant as long as it remains gratuitous. Conventional guarantees with fees are problematic. Score: Low for conventional, High for kafālah.</w:t>
      </w:r>
    </w:p>
    <w:p w14:paraId="4DE8936E" w14:textId="77777777" w:rsidR="00600C09" w:rsidRPr="00600C09" w:rsidRDefault="00600C09" w:rsidP="00600C09">
      <w:pPr>
        <w:numPr>
          <w:ilvl w:val="0"/>
          <w:numId w:val="19"/>
        </w:numPr>
      </w:pPr>
      <w:r w:rsidRPr="00600C09">
        <w:rPr>
          <w:b/>
          <w:bCs/>
        </w:rPr>
        <w:t>Functional Equivalence</w:t>
      </w:r>
      <w:r w:rsidRPr="00600C09">
        <w:t>: Both ensure repayment through third-party backing. Score: High.</w:t>
      </w:r>
    </w:p>
    <w:p w14:paraId="6E6CD047" w14:textId="77777777" w:rsidR="00600C09" w:rsidRPr="00600C09" w:rsidRDefault="00600C09" w:rsidP="00600C09">
      <w:r w:rsidRPr="00600C09">
        <w:t>Here, the index reveals stronger compatibility, albeit with the restriction on monetization under Shariah.</w:t>
      </w:r>
    </w:p>
    <w:p w14:paraId="5F7F3485" w14:textId="3B63FEA4" w:rsidR="00600C09" w:rsidRPr="00600C09" w:rsidRDefault="00600C09" w:rsidP="00600C09"/>
    <w:p w14:paraId="2E0EAE8E" w14:textId="77777777" w:rsidR="00600C09" w:rsidRPr="00600C09" w:rsidRDefault="00600C09" w:rsidP="00600C09">
      <w:pPr>
        <w:rPr>
          <w:b/>
          <w:bCs/>
        </w:rPr>
      </w:pPr>
      <w:r w:rsidRPr="00600C09">
        <w:rPr>
          <w:b/>
          <w:bCs/>
        </w:rPr>
        <w:t>1.5.4 Broader Implications</w:t>
      </w:r>
    </w:p>
    <w:p w14:paraId="044B4812" w14:textId="77777777" w:rsidR="00600C09" w:rsidRPr="00600C09" w:rsidRDefault="00600C09" w:rsidP="00600C09">
      <w:r w:rsidRPr="00600C09">
        <w:t>The Compatibility Index does more than compare individual instruments. It provides:</w:t>
      </w:r>
    </w:p>
    <w:p w14:paraId="57187CC8" w14:textId="77777777" w:rsidR="00600C09" w:rsidRPr="00600C09" w:rsidRDefault="00600C09" w:rsidP="00600C09">
      <w:pPr>
        <w:numPr>
          <w:ilvl w:val="0"/>
          <w:numId w:val="20"/>
        </w:numPr>
      </w:pPr>
      <w:r w:rsidRPr="00600C09">
        <w:rPr>
          <w:b/>
          <w:bCs/>
        </w:rPr>
        <w:t>A diagnostic tool</w:t>
      </w:r>
      <w:r w:rsidRPr="00600C09">
        <w:t>: highlighting areas where Islamic instruments need further development.</w:t>
      </w:r>
    </w:p>
    <w:p w14:paraId="6177DEDE" w14:textId="77777777" w:rsidR="00600C09" w:rsidRPr="00600C09" w:rsidRDefault="00600C09" w:rsidP="00600C09">
      <w:pPr>
        <w:numPr>
          <w:ilvl w:val="0"/>
          <w:numId w:val="20"/>
        </w:numPr>
      </w:pPr>
      <w:r w:rsidRPr="00600C09">
        <w:rPr>
          <w:b/>
          <w:bCs/>
        </w:rPr>
        <w:t>A policy framework</w:t>
      </w:r>
      <w:r w:rsidRPr="00600C09">
        <w:t>: guiding regulators in crafting laws that recognize Islamic securities while maintaining enforceability.</w:t>
      </w:r>
    </w:p>
    <w:p w14:paraId="4EADDF29" w14:textId="77777777" w:rsidR="00600C09" w:rsidRPr="00600C09" w:rsidRDefault="00600C09" w:rsidP="00600C09">
      <w:pPr>
        <w:numPr>
          <w:ilvl w:val="0"/>
          <w:numId w:val="20"/>
        </w:numPr>
      </w:pPr>
      <w:r w:rsidRPr="00600C09">
        <w:rPr>
          <w:b/>
          <w:bCs/>
        </w:rPr>
        <w:t>A practical guide</w:t>
      </w:r>
      <w:r w:rsidRPr="00600C09">
        <w:t>: assisting bankers and lawyers in structuring deals that balance Shariah compliance with commercial viability.</w:t>
      </w:r>
    </w:p>
    <w:p w14:paraId="7F57130A" w14:textId="77777777" w:rsidR="00600C09" w:rsidRPr="00600C09" w:rsidRDefault="00600C09" w:rsidP="00600C09">
      <w:r w:rsidRPr="00600C09">
        <w:t>By quantifying compatibility, the index introduces a new level of rigor into discussions that have often been qualitative. It provides a bridge between scholars who emphasize doctrinal purity and practitioners who prioritize functionality.</w:t>
      </w:r>
    </w:p>
    <w:p w14:paraId="4A825D18" w14:textId="1F9408B3" w:rsidR="00600C09" w:rsidRPr="00600C09" w:rsidRDefault="00600C09" w:rsidP="00600C09"/>
    <w:p w14:paraId="063A424E" w14:textId="77777777" w:rsidR="00600C09" w:rsidRPr="00600C09" w:rsidRDefault="00600C09" w:rsidP="00600C09">
      <w:pPr>
        <w:rPr>
          <w:b/>
          <w:bCs/>
        </w:rPr>
      </w:pPr>
      <w:r w:rsidRPr="00600C09">
        <w:rPr>
          <w:b/>
          <w:bCs/>
        </w:rPr>
        <w:t>1.5.5 Alignment with Maqāṣid al-Shariah</w:t>
      </w:r>
    </w:p>
    <w:p w14:paraId="040E62FC" w14:textId="77777777" w:rsidR="00600C09" w:rsidRPr="00600C09" w:rsidRDefault="00600C09" w:rsidP="00600C09">
      <w:r w:rsidRPr="00600C09">
        <w:t>Crucially, the Compatibility Index also resonates with the objectives of Shariah (maqāṣid al-Shariah). The preservation of wealth (</w:t>
      </w:r>
      <w:r w:rsidRPr="00600C09">
        <w:rPr>
          <w:rFonts w:ascii="Calibri" w:hAnsi="Calibri" w:cs="Calibri"/>
        </w:rPr>
        <w:t>ḥ</w:t>
      </w:r>
      <w:r w:rsidRPr="00600C09">
        <w:t>if</w:t>
      </w:r>
      <w:r w:rsidRPr="00600C09">
        <w:rPr>
          <w:rFonts w:ascii="Calibri" w:hAnsi="Calibri" w:cs="Calibri"/>
        </w:rPr>
        <w:t>ẓ</w:t>
      </w:r>
      <w:r w:rsidRPr="00600C09">
        <w:t xml:space="preserve"> al-māl) is a central maqṣad, and security instruments are directly linked to this objective. By ensuring that financiers have recourse in case of default, while protecting debtors from exploitation, the index operationalizes maqāṣid in the domain of project finance (Auda, 2008).</w:t>
      </w:r>
    </w:p>
    <w:p w14:paraId="36F81D50" w14:textId="77777777" w:rsidR="00600C09" w:rsidRPr="00600C09" w:rsidRDefault="00600C09" w:rsidP="00600C09">
      <w:r w:rsidRPr="00600C09">
        <w:t>Thus, the Compatibility Index is not only a technical tool but also an ethical framework that grounds financial practice in the higher purposes of Shariah.</w:t>
      </w:r>
    </w:p>
    <w:p w14:paraId="67894FA4" w14:textId="1D4369C9" w:rsidR="00600C09" w:rsidRPr="00600C09" w:rsidRDefault="00600C09" w:rsidP="00600C09"/>
    <w:p w14:paraId="19C12EA8" w14:textId="77777777" w:rsidR="00600C09" w:rsidRPr="00600C09" w:rsidRDefault="00600C09" w:rsidP="00600C09">
      <w:pPr>
        <w:rPr>
          <w:b/>
          <w:bCs/>
        </w:rPr>
      </w:pPr>
      <w:r w:rsidRPr="00600C09">
        <w:rPr>
          <w:b/>
          <w:bCs/>
        </w:rPr>
        <w:t>1.6 Why This Book Matters</w:t>
      </w:r>
    </w:p>
    <w:p w14:paraId="2327A1F9" w14:textId="77777777" w:rsidR="00600C09" w:rsidRPr="00600C09" w:rsidRDefault="00600C09" w:rsidP="00600C09">
      <w:pPr>
        <w:rPr>
          <w:b/>
          <w:bCs/>
        </w:rPr>
      </w:pPr>
      <w:r w:rsidRPr="00600C09">
        <w:rPr>
          <w:b/>
          <w:bCs/>
        </w:rPr>
        <w:lastRenderedPageBreak/>
        <w:t>1.6.1 Academic Relevance</w:t>
      </w:r>
    </w:p>
    <w:p w14:paraId="427D971D" w14:textId="77777777" w:rsidR="00600C09" w:rsidRPr="00600C09" w:rsidRDefault="00600C09" w:rsidP="00600C09">
      <w:r w:rsidRPr="00600C09">
        <w:t xml:space="preserve">From an academic perspective, this book fills a significant gap in the literature. While much has been written on Islamic contracts, sukuk, and Shariah governance, the specific subject of </w:t>
      </w:r>
      <w:r w:rsidRPr="00600C09">
        <w:rPr>
          <w:b/>
          <w:bCs/>
        </w:rPr>
        <w:t>security in project finance</w:t>
      </w:r>
      <w:r w:rsidRPr="00600C09">
        <w:t xml:space="preserve"> has remained understudied. By focusing on this niche, the book contributes to:</w:t>
      </w:r>
    </w:p>
    <w:p w14:paraId="671AFC37" w14:textId="77777777" w:rsidR="00600C09" w:rsidRPr="00600C09" w:rsidRDefault="00600C09" w:rsidP="00600C09">
      <w:pPr>
        <w:numPr>
          <w:ilvl w:val="0"/>
          <w:numId w:val="21"/>
        </w:numPr>
      </w:pPr>
      <w:r w:rsidRPr="00600C09">
        <w:rPr>
          <w:b/>
          <w:bCs/>
        </w:rPr>
        <w:t>Islamic jurisprudence</w:t>
      </w:r>
      <w:r w:rsidRPr="00600C09">
        <w:t xml:space="preserve">: by revisiting classical rulings on rahn, kafālah, </w:t>
      </w:r>
      <w:r w:rsidRPr="00600C09">
        <w:rPr>
          <w:rFonts w:ascii="Calibri" w:hAnsi="Calibri" w:cs="Calibri"/>
        </w:rPr>
        <w:t>ḍ</w:t>
      </w:r>
      <w:r w:rsidRPr="00600C09">
        <w:t xml:space="preserve">amān, and </w:t>
      </w:r>
      <w:r w:rsidRPr="00600C09">
        <w:rPr>
          <w:rFonts w:ascii="Calibri" w:hAnsi="Calibri" w:cs="Calibri"/>
        </w:rPr>
        <w:t>ḥ</w:t>
      </w:r>
      <w:r w:rsidRPr="00600C09">
        <w:t>awālah in the context of modern project finance.</w:t>
      </w:r>
    </w:p>
    <w:p w14:paraId="114AAB2A" w14:textId="77777777" w:rsidR="00600C09" w:rsidRPr="00600C09" w:rsidRDefault="00600C09" w:rsidP="00600C09">
      <w:pPr>
        <w:numPr>
          <w:ilvl w:val="0"/>
          <w:numId w:val="21"/>
        </w:numPr>
      </w:pPr>
      <w:r w:rsidRPr="00600C09">
        <w:rPr>
          <w:b/>
          <w:bCs/>
        </w:rPr>
        <w:t>Comparative law</w:t>
      </w:r>
      <w:r w:rsidRPr="00600C09">
        <w:t>: by systematically comparing Islamic and conventional instruments.</w:t>
      </w:r>
    </w:p>
    <w:p w14:paraId="78953449" w14:textId="77777777" w:rsidR="00600C09" w:rsidRPr="00600C09" w:rsidRDefault="00600C09" w:rsidP="00600C09">
      <w:pPr>
        <w:numPr>
          <w:ilvl w:val="0"/>
          <w:numId w:val="21"/>
        </w:numPr>
      </w:pPr>
      <w:r w:rsidRPr="00600C09">
        <w:rPr>
          <w:b/>
          <w:bCs/>
        </w:rPr>
        <w:t>Financial innovation</w:t>
      </w:r>
      <w:r w:rsidRPr="00600C09">
        <w:t>: by introducing the Compatibility Index as a new evaluative tool.</w:t>
      </w:r>
    </w:p>
    <w:p w14:paraId="0F03C00C" w14:textId="77777777" w:rsidR="00600C09" w:rsidRPr="00600C09" w:rsidRDefault="00600C09" w:rsidP="00600C09">
      <w:r w:rsidRPr="00600C09">
        <w:t>For researchers and students, the book provides a resource that bridges theory and practice, encouraging further inquiry into areas such as cross-border enforceability, standardization, and the role of maqāṣid.</w:t>
      </w:r>
    </w:p>
    <w:p w14:paraId="1DEB32A6" w14:textId="44E1B5AB" w:rsidR="00600C09" w:rsidRPr="00600C09" w:rsidRDefault="00600C09" w:rsidP="00600C09"/>
    <w:p w14:paraId="6302DD2C" w14:textId="77777777" w:rsidR="00600C09" w:rsidRPr="00600C09" w:rsidRDefault="00600C09" w:rsidP="00600C09">
      <w:pPr>
        <w:rPr>
          <w:b/>
          <w:bCs/>
        </w:rPr>
      </w:pPr>
      <w:r w:rsidRPr="00600C09">
        <w:rPr>
          <w:b/>
          <w:bCs/>
        </w:rPr>
        <w:t>1.6.2 Practical Relevance</w:t>
      </w:r>
    </w:p>
    <w:p w14:paraId="7FEBDD23" w14:textId="77777777" w:rsidR="00600C09" w:rsidRPr="00600C09" w:rsidRDefault="00600C09" w:rsidP="00600C09">
      <w:r w:rsidRPr="00600C09">
        <w:t>For practitioners — bankers, lawyers, and financiers — the importance of this book lies in its practicality. Large-scale projects involve multiple stakeholders: governments, developers, investors, contractors, and financiers. Security instruments are central to aligning their interests and mitigating risk.</w:t>
      </w:r>
    </w:p>
    <w:p w14:paraId="168F8719" w14:textId="77777777" w:rsidR="00600C09" w:rsidRPr="00600C09" w:rsidRDefault="00600C09" w:rsidP="00600C09">
      <w:r w:rsidRPr="00600C09">
        <w:t>This book offers:</w:t>
      </w:r>
    </w:p>
    <w:p w14:paraId="1B3E7578" w14:textId="77777777" w:rsidR="00600C09" w:rsidRPr="00600C09" w:rsidRDefault="00600C09" w:rsidP="00600C09">
      <w:pPr>
        <w:numPr>
          <w:ilvl w:val="0"/>
          <w:numId w:val="22"/>
        </w:numPr>
      </w:pPr>
      <w:r w:rsidRPr="00600C09">
        <w:rPr>
          <w:b/>
          <w:bCs/>
        </w:rPr>
        <w:t>Case insights</w:t>
      </w:r>
      <w:r w:rsidRPr="00600C09">
        <w:t>: drawn from real projects in Malaysia, illustrating how Islamic securities are structured in practice.</w:t>
      </w:r>
    </w:p>
    <w:p w14:paraId="462D3697" w14:textId="77777777" w:rsidR="00600C09" w:rsidRPr="00600C09" w:rsidRDefault="00600C09" w:rsidP="00600C09">
      <w:pPr>
        <w:numPr>
          <w:ilvl w:val="0"/>
          <w:numId w:val="22"/>
        </w:numPr>
      </w:pPr>
      <w:r w:rsidRPr="00600C09">
        <w:rPr>
          <w:b/>
          <w:bCs/>
        </w:rPr>
        <w:t>Guidance</w:t>
      </w:r>
      <w:r w:rsidRPr="00600C09">
        <w:t>: on how to adapt conventional mechanisms into Shariah-compliant forms.</w:t>
      </w:r>
    </w:p>
    <w:p w14:paraId="4F9408F5" w14:textId="77777777" w:rsidR="00600C09" w:rsidRPr="00600C09" w:rsidRDefault="00600C09" w:rsidP="00600C09">
      <w:pPr>
        <w:numPr>
          <w:ilvl w:val="0"/>
          <w:numId w:val="22"/>
        </w:numPr>
      </w:pPr>
      <w:r w:rsidRPr="00600C09">
        <w:rPr>
          <w:b/>
          <w:bCs/>
        </w:rPr>
        <w:t>Tools</w:t>
      </w:r>
      <w:r w:rsidRPr="00600C09">
        <w:t>: such as the Compatibility Index, which practitioners can use to evaluate structures before implementation.</w:t>
      </w:r>
    </w:p>
    <w:p w14:paraId="7D28917E" w14:textId="77777777" w:rsidR="00600C09" w:rsidRPr="00600C09" w:rsidRDefault="00600C09" w:rsidP="00600C09">
      <w:r w:rsidRPr="00600C09">
        <w:t>For instance, a lawyer advising on a sukuk issuance for a power plant will benefit from understanding not only the theoretical basis of rahn but also how courts in Malaysia interpret its enforceability. Similarly, a banker structuring financing for a toll highway can use the Compatibility Index to assess whether a proposed kafālah arrangement provides adequate assurance.</w:t>
      </w:r>
    </w:p>
    <w:p w14:paraId="18627D98" w14:textId="4EA9E18A" w:rsidR="00600C09" w:rsidRPr="00600C09" w:rsidRDefault="00600C09" w:rsidP="00600C09"/>
    <w:p w14:paraId="1578FC93" w14:textId="77777777" w:rsidR="00600C09" w:rsidRPr="00600C09" w:rsidRDefault="00600C09" w:rsidP="00600C09">
      <w:pPr>
        <w:rPr>
          <w:b/>
          <w:bCs/>
        </w:rPr>
      </w:pPr>
      <w:r w:rsidRPr="00600C09">
        <w:rPr>
          <w:b/>
          <w:bCs/>
        </w:rPr>
        <w:t>1.6.3 Policy Implications</w:t>
      </w:r>
    </w:p>
    <w:p w14:paraId="5D7E4A66" w14:textId="77777777" w:rsidR="00600C09" w:rsidRPr="00600C09" w:rsidRDefault="00600C09" w:rsidP="00600C09">
      <w:r w:rsidRPr="00600C09">
        <w:lastRenderedPageBreak/>
        <w:t>For regulators and policymakers, the relevance of this book lies in its capacity to inform regulatory design. As jurisdictions seek to develop Islamic finance, they face the challenge of integrating Shariah principles into existing legal systems. The Malaysian experience shows that regulatory clarity, backed by binding Shariah rulings, is essential.</w:t>
      </w:r>
    </w:p>
    <w:p w14:paraId="50F91155" w14:textId="77777777" w:rsidR="00600C09" w:rsidRPr="00600C09" w:rsidRDefault="00600C09" w:rsidP="00600C09">
      <w:r w:rsidRPr="00600C09">
        <w:t>This book provides evidence-based recommendations for:</w:t>
      </w:r>
    </w:p>
    <w:p w14:paraId="7E1AC164" w14:textId="77777777" w:rsidR="00600C09" w:rsidRPr="00600C09" w:rsidRDefault="00600C09" w:rsidP="00600C09">
      <w:pPr>
        <w:numPr>
          <w:ilvl w:val="0"/>
          <w:numId w:val="23"/>
        </w:numPr>
      </w:pPr>
      <w:r w:rsidRPr="00600C09">
        <w:t>Strengthening legal recognition of Islamic securities.</w:t>
      </w:r>
    </w:p>
    <w:p w14:paraId="637A1F86" w14:textId="77777777" w:rsidR="00600C09" w:rsidRPr="00600C09" w:rsidRDefault="00600C09" w:rsidP="00600C09">
      <w:pPr>
        <w:numPr>
          <w:ilvl w:val="0"/>
          <w:numId w:val="23"/>
        </w:numPr>
      </w:pPr>
      <w:r w:rsidRPr="00600C09">
        <w:t>Enhancing cross-border enforceability through treaties and mutual recognition.</w:t>
      </w:r>
    </w:p>
    <w:p w14:paraId="5F183DCE" w14:textId="77777777" w:rsidR="00600C09" w:rsidRPr="00600C09" w:rsidRDefault="00600C09" w:rsidP="00600C09">
      <w:pPr>
        <w:numPr>
          <w:ilvl w:val="0"/>
          <w:numId w:val="23"/>
        </w:numPr>
      </w:pPr>
      <w:r w:rsidRPr="00600C09">
        <w:t>Promoting standardization through bodies like AAOIFI and the Islamic Financial Services Board (IFSB).</w:t>
      </w:r>
    </w:p>
    <w:p w14:paraId="4007F7C7" w14:textId="77777777" w:rsidR="00600C09" w:rsidRPr="00600C09" w:rsidRDefault="00600C09" w:rsidP="00600C09">
      <w:r w:rsidRPr="00600C09">
        <w:t>By adopting such measures, regulators can enhance the credibility and competitiveness of Islamic project finance on the global stage.</w:t>
      </w:r>
    </w:p>
    <w:p w14:paraId="0CB9755F" w14:textId="3F359C93" w:rsidR="00600C09" w:rsidRPr="00600C09" w:rsidRDefault="00600C09" w:rsidP="00600C09"/>
    <w:p w14:paraId="41D87C74" w14:textId="77777777" w:rsidR="00600C09" w:rsidRPr="00600C09" w:rsidRDefault="00600C09" w:rsidP="00600C09">
      <w:pPr>
        <w:rPr>
          <w:b/>
          <w:bCs/>
        </w:rPr>
      </w:pPr>
      <w:r w:rsidRPr="00600C09">
        <w:rPr>
          <w:b/>
          <w:bCs/>
        </w:rPr>
        <w:t>1.6.4 Societal Impact</w:t>
      </w:r>
    </w:p>
    <w:p w14:paraId="292B37CC" w14:textId="77777777" w:rsidR="00600C09" w:rsidRPr="00600C09" w:rsidRDefault="00600C09" w:rsidP="00600C09">
      <w:r w:rsidRPr="00600C09">
        <w:t>Finally, this book matters because of its societal implications. Project finance is not an abstract financial activity; it directly impacts people’s lives. Infrastructure projects shape access to electricity, transportation, water, and other essential services. Ensuring that these projects are financed in a manner consistent with Shariah values means ensuring that development is not only economically sustainable but also ethically grounded.</w:t>
      </w:r>
    </w:p>
    <w:p w14:paraId="7A0855C9" w14:textId="77777777" w:rsidR="00600C09" w:rsidRPr="00600C09" w:rsidRDefault="00600C09" w:rsidP="00600C09">
      <w:r w:rsidRPr="00600C09">
        <w:t>By aligning security instruments with maqāṣid al-Shariah, Islamic project finance can contribute to social justice, economic equity, and the preservation of public trust. In this sense, the book speaks not only to specialists but to a broader audience concerned with the future of ethical finance.</w:t>
      </w:r>
    </w:p>
    <w:p w14:paraId="26066741" w14:textId="06B9863B" w:rsidR="00600C09" w:rsidRPr="00600C09" w:rsidRDefault="00600C09" w:rsidP="00600C09"/>
    <w:p w14:paraId="5EB3DDE3" w14:textId="77777777" w:rsidR="00600C09" w:rsidRPr="00600C09" w:rsidRDefault="00600C09" w:rsidP="00600C09">
      <w:pPr>
        <w:rPr>
          <w:b/>
          <w:bCs/>
        </w:rPr>
      </w:pPr>
      <w:r w:rsidRPr="00600C09">
        <w:rPr>
          <w:b/>
          <w:bCs/>
        </w:rPr>
        <w:t>1.7 Structure of the Book</w:t>
      </w:r>
    </w:p>
    <w:p w14:paraId="35542CED" w14:textId="77777777" w:rsidR="00600C09" w:rsidRPr="00600C09" w:rsidRDefault="00600C09" w:rsidP="00600C09">
      <w:r w:rsidRPr="00600C09">
        <w:t xml:space="preserve">Having set the stage in this introduction, the rest of this book is organized into eight chapters. Each chapter is designed to balance </w:t>
      </w:r>
      <w:r w:rsidRPr="00600C09">
        <w:rPr>
          <w:b/>
          <w:bCs/>
        </w:rPr>
        <w:t>theoretical depth, comparative law analysis, and practical application</w:t>
      </w:r>
      <w:r w:rsidRPr="00600C09">
        <w:t>. The structure is as follows:</w:t>
      </w:r>
    </w:p>
    <w:p w14:paraId="794C434E" w14:textId="77777777" w:rsidR="00600C09" w:rsidRPr="00600C09" w:rsidRDefault="00600C09" w:rsidP="00600C09">
      <w:pPr>
        <w:numPr>
          <w:ilvl w:val="0"/>
          <w:numId w:val="26"/>
        </w:numPr>
      </w:pPr>
      <w:r w:rsidRPr="00600C09">
        <w:rPr>
          <w:b/>
          <w:bCs/>
        </w:rPr>
        <w:t>Introduction</w:t>
      </w:r>
    </w:p>
    <w:p w14:paraId="7DBF04EA" w14:textId="77777777" w:rsidR="00600C09" w:rsidRPr="00600C09" w:rsidRDefault="00600C09" w:rsidP="00600C09">
      <w:pPr>
        <w:numPr>
          <w:ilvl w:val="1"/>
          <w:numId w:val="26"/>
        </w:numPr>
      </w:pPr>
      <w:r w:rsidRPr="00600C09">
        <w:t>Establishes the significance of security in project finance.</w:t>
      </w:r>
    </w:p>
    <w:p w14:paraId="242C6F55" w14:textId="77777777" w:rsidR="00600C09" w:rsidRPr="00600C09" w:rsidRDefault="00600C09" w:rsidP="00600C09">
      <w:pPr>
        <w:numPr>
          <w:ilvl w:val="1"/>
          <w:numId w:val="26"/>
        </w:numPr>
      </w:pPr>
      <w:r w:rsidRPr="00600C09">
        <w:t>Identifies the gap between conventional and Islamic approaches.</w:t>
      </w:r>
    </w:p>
    <w:p w14:paraId="57B7E020" w14:textId="77777777" w:rsidR="00600C09" w:rsidRPr="00600C09" w:rsidRDefault="00600C09" w:rsidP="00600C09">
      <w:pPr>
        <w:numPr>
          <w:ilvl w:val="1"/>
          <w:numId w:val="26"/>
        </w:numPr>
      </w:pPr>
      <w:r w:rsidRPr="00600C09">
        <w:t>Introduces Malaysia as a case study and the Compatibility Index as a contribution.</w:t>
      </w:r>
    </w:p>
    <w:p w14:paraId="441E1A12" w14:textId="77777777" w:rsidR="00600C09" w:rsidRPr="00600C09" w:rsidRDefault="00600C09" w:rsidP="00600C09">
      <w:pPr>
        <w:numPr>
          <w:ilvl w:val="0"/>
          <w:numId w:val="26"/>
        </w:numPr>
      </w:pPr>
      <w:r w:rsidRPr="00600C09">
        <w:rPr>
          <w:b/>
          <w:bCs/>
        </w:rPr>
        <w:lastRenderedPageBreak/>
        <w:t>Conventional Security Instruments</w:t>
      </w:r>
    </w:p>
    <w:p w14:paraId="51DAF456" w14:textId="77777777" w:rsidR="00600C09" w:rsidRPr="00600C09" w:rsidRDefault="00600C09" w:rsidP="00600C09">
      <w:pPr>
        <w:numPr>
          <w:ilvl w:val="1"/>
          <w:numId w:val="26"/>
        </w:numPr>
      </w:pPr>
      <w:r w:rsidRPr="00600C09">
        <w:t>Explores the foundations of mortgages, pledges, charges, and liens.</w:t>
      </w:r>
    </w:p>
    <w:p w14:paraId="57DC723D" w14:textId="77777777" w:rsidR="00600C09" w:rsidRPr="00600C09" w:rsidRDefault="00600C09" w:rsidP="00600C09">
      <w:pPr>
        <w:numPr>
          <w:ilvl w:val="1"/>
          <w:numId w:val="26"/>
        </w:numPr>
      </w:pPr>
      <w:r w:rsidRPr="00600C09">
        <w:t>Traces their historical development in common law.</w:t>
      </w:r>
    </w:p>
    <w:p w14:paraId="3F1776AF" w14:textId="77777777" w:rsidR="00600C09" w:rsidRPr="00600C09" w:rsidRDefault="00600C09" w:rsidP="00600C09">
      <w:pPr>
        <w:numPr>
          <w:ilvl w:val="1"/>
          <w:numId w:val="26"/>
        </w:numPr>
      </w:pPr>
      <w:r w:rsidRPr="00600C09">
        <w:t>Examines their role in project finance, with examples from international practice.</w:t>
      </w:r>
    </w:p>
    <w:p w14:paraId="02310054" w14:textId="77777777" w:rsidR="00600C09" w:rsidRPr="00600C09" w:rsidRDefault="00600C09" w:rsidP="00600C09">
      <w:pPr>
        <w:numPr>
          <w:ilvl w:val="0"/>
          <w:numId w:val="26"/>
        </w:numPr>
      </w:pPr>
      <w:r w:rsidRPr="00600C09">
        <w:rPr>
          <w:b/>
          <w:bCs/>
        </w:rPr>
        <w:t>Islamic Security Instruments</w:t>
      </w:r>
    </w:p>
    <w:p w14:paraId="2CE64772" w14:textId="77777777" w:rsidR="00600C09" w:rsidRPr="00600C09" w:rsidRDefault="00600C09" w:rsidP="00600C09">
      <w:pPr>
        <w:numPr>
          <w:ilvl w:val="1"/>
          <w:numId w:val="26"/>
        </w:numPr>
      </w:pPr>
      <w:r w:rsidRPr="00600C09">
        <w:t xml:space="preserve">Provides a Shariah-based analysis of rahn, kafālah, </w:t>
      </w:r>
      <w:r w:rsidRPr="00600C09">
        <w:rPr>
          <w:rFonts w:ascii="Calibri" w:hAnsi="Calibri" w:cs="Calibri"/>
        </w:rPr>
        <w:t>ḍ</w:t>
      </w:r>
      <w:r w:rsidRPr="00600C09">
        <w:t xml:space="preserve">amān, and </w:t>
      </w:r>
      <w:r w:rsidRPr="00600C09">
        <w:rPr>
          <w:rFonts w:ascii="Calibri" w:hAnsi="Calibri" w:cs="Calibri"/>
        </w:rPr>
        <w:t>ḥ</w:t>
      </w:r>
      <w:r w:rsidRPr="00600C09">
        <w:t>awālah.</w:t>
      </w:r>
    </w:p>
    <w:p w14:paraId="194FAB59" w14:textId="77777777" w:rsidR="00600C09" w:rsidRPr="00600C09" w:rsidRDefault="00600C09" w:rsidP="00600C09">
      <w:pPr>
        <w:numPr>
          <w:ilvl w:val="1"/>
          <w:numId w:val="26"/>
        </w:numPr>
      </w:pPr>
      <w:r w:rsidRPr="00600C09">
        <w:t>Reviews classical juristic writings across different schools of law.</w:t>
      </w:r>
    </w:p>
    <w:p w14:paraId="206D3207" w14:textId="77777777" w:rsidR="00600C09" w:rsidRPr="00600C09" w:rsidRDefault="00600C09" w:rsidP="00600C09">
      <w:pPr>
        <w:numPr>
          <w:ilvl w:val="1"/>
          <w:numId w:val="26"/>
        </w:numPr>
      </w:pPr>
      <w:r w:rsidRPr="00600C09">
        <w:t>Discusses modern applications in banking and finance.</w:t>
      </w:r>
    </w:p>
    <w:p w14:paraId="1824EEF7" w14:textId="77777777" w:rsidR="00600C09" w:rsidRPr="00600C09" w:rsidRDefault="00600C09" w:rsidP="00600C09">
      <w:pPr>
        <w:numPr>
          <w:ilvl w:val="0"/>
          <w:numId w:val="26"/>
        </w:numPr>
      </w:pPr>
      <w:r w:rsidRPr="00600C09">
        <w:rPr>
          <w:b/>
          <w:bCs/>
        </w:rPr>
        <w:t>Comparative Analysis and Compatibility</w:t>
      </w:r>
    </w:p>
    <w:p w14:paraId="5BF04AF4" w14:textId="77777777" w:rsidR="00600C09" w:rsidRPr="00600C09" w:rsidRDefault="00600C09" w:rsidP="00600C09">
      <w:pPr>
        <w:numPr>
          <w:ilvl w:val="1"/>
          <w:numId w:val="26"/>
        </w:numPr>
      </w:pPr>
      <w:r w:rsidRPr="00600C09">
        <w:t>Compares Islamic and conventional instruments systematically.</w:t>
      </w:r>
    </w:p>
    <w:p w14:paraId="2C784896" w14:textId="77777777" w:rsidR="00600C09" w:rsidRPr="00600C09" w:rsidRDefault="00600C09" w:rsidP="00600C09">
      <w:pPr>
        <w:numPr>
          <w:ilvl w:val="1"/>
          <w:numId w:val="26"/>
        </w:numPr>
      </w:pPr>
      <w:r w:rsidRPr="00600C09">
        <w:t>Introduces the Compatibility Index in detail.</w:t>
      </w:r>
    </w:p>
    <w:p w14:paraId="1D856315" w14:textId="77777777" w:rsidR="00600C09" w:rsidRPr="00600C09" w:rsidRDefault="00600C09" w:rsidP="00600C09">
      <w:pPr>
        <w:numPr>
          <w:ilvl w:val="1"/>
          <w:numId w:val="26"/>
        </w:numPr>
      </w:pPr>
      <w:r w:rsidRPr="00600C09">
        <w:t>Assesses functional equivalence, enforceability, and Shariah compliance.</w:t>
      </w:r>
    </w:p>
    <w:p w14:paraId="2136E623" w14:textId="77777777" w:rsidR="00600C09" w:rsidRPr="00600C09" w:rsidRDefault="00600C09" w:rsidP="00600C09">
      <w:pPr>
        <w:numPr>
          <w:ilvl w:val="0"/>
          <w:numId w:val="26"/>
        </w:numPr>
      </w:pPr>
      <w:r w:rsidRPr="00600C09">
        <w:rPr>
          <w:b/>
          <w:bCs/>
        </w:rPr>
        <w:t>Applications in Project Finance</w:t>
      </w:r>
    </w:p>
    <w:p w14:paraId="52278775" w14:textId="77777777" w:rsidR="00600C09" w:rsidRPr="00600C09" w:rsidRDefault="00600C09" w:rsidP="00600C09">
      <w:pPr>
        <w:numPr>
          <w:ilvl w:val="1"/>
          <w:numId w:val="26"/>
        </w:numPr>
      </w:pPr>
      <w:r w:rsidRPr="00600C09">
        <w:t>Presents case studies from Malaysia and beyond.</w:t>
      </w:r>
    </w:p>
    <w:p w14:paraId="51847CED" w14:textId="77777777" w:rsidR="00600C09" w:rsidRPr="00600C09" w:rsidRDefault="00600C09" w:rsidP="00600C09">
      <w:pPr>
        <w:numPr>
          <w:ilvl w:val="1"/>
          <w:numId w:val="26"/>
        </w:numPr>
      </w:pPr>
      <w:r w:rsidRPr="00600C09">
        <w:t>Highlights how Islamic security instruments are used in practice.</w:t>
      </w:r>
    </w:p>
    <w:p w14:paraId="62B97FBD" w14:textId="77777777" w:rsidR="00600C09" w:rsidRPr="00600C09" w:rsidRDefault="00600C09" w:rsidP="00600C09">
      <w:pPr>
        <w:numPr>
          <w:ilvl w:val="1"/>
          <w:numId w:val="26"/>
        </w:numPr>
      </w:pPr>
      <w:r w:rsidRPr="00600C09">
        <w:t>Incorporates findings from interviews with bankers, lawyers, and regulators.</w:t>
      </w:r>
    </w:p>
    <w:p w14:paraId="0166683B" w14:textId="77777777" w:rsidR="00600C09" w:rsidRPr="00600C09" w:rsidRDefault="00600C09" w:rsidP="00600C09">
      <w:pPr>
        <w:numPr>
          <w:ilvl w:val="0"/>
          <w:numId w:val="26"/>
        </w:numPr>
      </w:pPr>
      <w:r w:rsidRPr="00600C09">
        <w:rPr>
          <w:b/>
          <w:bCs/>
        </w:rPr>
        <w:t>Shariah Governance and Regulatory Frameworks</w:t>
      </w:r>
    </w:p>
    <w:p w14:paraId="50B9487E" w14:textId="77777777" w:rsidR="00600C09" w:rsidRPr="00600C09" w:rsidRDefault="00600C09" w:rsidP="00600C09">
      <w:pPr>
        <w:numPr>
          <w:ilvl w:val="1"/>
          <w:numId w:val="26"/>
        </w:numPr>
      </w:pPr>
      <w:r w:rsidRPr="00600C09">
        <w:t>Analyzes the role of regulators such as BNM and SAC.</w:t>
      </w:r>
    </w:p>
    <w:p w14:paraId="6F1EF84B" w14:textId="77777777" w:rsidR="00600C09" w:rsidRPr="00600C09" w:rsidRDefault="00600C09" w:rsidP="00600C09">
      <w:pPr>
        <w:numPr>
          <w:ilvl w:val="1"/>
          <w:numId w:val="26"/>
        </w:numPr>
      </w:pPr>
      <w:r w:rsidRPr="00600C09">
        <w:t>Discusses the contribution of AAOIFI and IFSB to standardization.</w:t>
      </w:r>
    </w:p>
    <w:p w14:paraId="1228377B" w14:textId="77777777" w:rsidR="00600C09" w:rsidRPr="00600C09" w:rsidRDefault="00600C09" w:rsidP="00600C09">
      <w:pPr>
        <w:numPr>
          <w:ilvl w:val="1"/>
          <w:numId w:val="26"/>
        </w:numPr>
      </w:pPr>
      <w:r w:rsidRPr="00600C09">
        <w:t>Considers legal reforms needed for greater global integration.</w:t>
      </w:r>
    </w:p>
    <w:p w14:paraId="2BE52242" w14:textId="77777777" w:rsidR="00600C09" w:rsidRPr="00600C09" w:rsidRDefault="00600C09" w:rsidP="00600C09">
      <w:pPr>
        <w:numPr>
          <w:ilvl w:val="0"/>
          <w:numId w:val="26"/>
        </w:numPr>
      </w:pPr>
      <w:r w:rsidRPr="00600C09">
        <w:rPr>
          <w:b/>
          <w:bCs/>
        </w:rPr>
        <w:t>Findings and Implications</w:t>
      </w:r>
    </w:p>
    <w:p w14:paraId="105FF6C7" w14:textId="77777777" w:rsidR="00600C09" w:rsidRPr="00600C09" w:rsidRDefault="00600C09" w:rsidP="00600C09">
      <w:pPr>
        <w:numPr>
          <w:ilvl w:val="1"/>
          <w:numId w:val="26"/>
        </w:numPr>
      </w:pPr>
      <w:r w:rsidRPr="00600C09">
        <w:t>Synthesizes insights from theory, law, and practice.</w:t>
      </w:r>
    </w:p>
    <w:p w14:paraId="4C8AD7A1" w14:textId="77777777" w:rsidR="00600C09" w:rsidRPr="00600C09" w:rsidRDefault="00600C09" w:rsidP="00600C09">
      <w:pPr>
        <w:numPr>
          <w:ilvl w:val="1"/>
          <w:numId w:val="26"/>
        </w:numPr>
      </w:pPr>
      <w:r w:rsidRPr="00600C09">
        <w:t>Assesses the performance of Islamic instruments using the Compatibility Index.</w:t>
      </w:r>
    </w:p>
    <w:p w14:paraId="057F2331" w14:textId="77777777" w:rsidR="00600C09" w:rsidRPr="00600C09" w:rsidRDefault="00600C09" w:rsidP="00600C09">
      <w:pPr>
        <w:numPr>
          <w:ilvl w:val="1"/>
          <w:numId w:val="26"/>
        </w:numPr>
      </w:pPr>
      <w:r w:rsidRPr="00600C09">
        <w:t>Identifies gaps and opportunities for further development.</w:t>
      </w:r>
    </w:p>
    <w:p w14:paraId="7975D142" w14:textId="77777777" w:rsidR="00600C09" w:rsidRPr="00600C09" w:rsidRDefault="00600C09" w:rsidP="00600C09">
      <w:pPr>
        <w:numPr>
          <w:ilvl w:val="0"/>
          <w:numId w:val="26"/>
        </w:numPr>
      </w:pPr>
      <w:r w:rsidRPr="00600C09">
        <w:rPr>
          <w:b/>
          <w:bCs/>
        </w:rPr>
        <w:t>The Way Forward</w:t>
      </w:r>
    </w:p>
    <w:p w14:paraId="37E9D59A" w14:textId="77777777" w:rsidR="00600C09" w:rsidRPr="00600C09" w:rsidRDefault="00600C09" w:rsidP="00600C09">
      <w:pPr>
        <w:numPr>
          <w:ilvl w:val="1"/>
          <w:numId w:val="26"/>
        </w:numPr>
      </w:pPr>
      <w:r w:rsidRPr="00600C09">
        <w:t>Offers recommendations for regulators, practitioners, and scholars.</w:t>
      </w:r>
    </w:p>
    <w:p w14:paraId="20B43BE8" w14:textId="77777777" w:rsidR="00600C09" w:rsidRPr="00600C09" w:rsidRDefault="00600C09" w:rsidP="00600C09">
      <w:pPr>
        <w:numPr>
          <w:ilvl w:val="1"/>
          <w:numId w:val="26"/>
        </w:numPr>
      </w:pPr>
      <w:r w:rsidRPr="00600C09">
        <w:lastRenderedPageBreak/>
        <w:t>Situates Islamic project finance within the broader global financial system.</w:t>
      </w:r>
    </w:p>
    <w:p w14:paraId="3D6AE748" w14:textId="77777777" w:rsidR="00600C09" w:rsidRPr="00600C09" w:rsidRDefault="00600C09" w:rsidP="00600C09">
      <w:pPr>
        <w:numPr>
          <w:ilvl w:val="1"/>
          <w:numId w:val="26"/>
        </w:numPr>
      </w:pPr>
      <w:r w:rsidRPr="00600C09">
        <w:t>Outlines future research directions.</w:t>
      </w:r>
    </w:p>
    <w:p w14:paraId="4937913E" w14:textId="77777777" w:rsidR="00600C09" w:rsidRPr="00600C09" w:rsidRDefault="00600C09" w:rsidP="00600C09">
      <w:pPr>
        <w:numPr>
          <w:ilvl w:val="0"/>
          <w:numId w:val="26"/>
        </w:numPr>
      </w:pPr>
      <w:r w:rsidRPr="00600C09">
        <w:rPr>
          <w:b/>
          <w:bCs/>
        </w:rPr>
        <w:t>Conclusion</w:t>
      </w:r>
    </w:p>
    <w:p w14:paraId="73CBDA6D" w14:textId="77777777" w:rsidR="00600C09" w:rsidRPr="00600C09" w:rsidRDefault="00600C09" w:rsidP="00600C09">
      <w:pPr>
        <w:numPr>
          <w:ilvl w:val="1"/>
          <w:numId w:val="26"/>
        </w:numPr>
      </w:pPr>
      <w:r w:rsidRPr="00600C09">
        <w:t>Summarizes the book’s contribution.</w:t>
      </w:r>
    </w:p>
    <w:p w14:paraId="6E877ECE" w14:textId="77777777" w:rsidR="00600C09" w:rsidRPr="00600C09" w:rsidRDefault="00600C09" w:rsidP="00600C09">
      <w:pPr>
        <w:numPr>
          <w:ilvl w:val="1"/>
          <w:numId w:val="26"/>
        </w:numPr>
      </w:pPr>
      <w:r w:rsidRPr="00600C09">
        <w:t>Reaffirms the ethical and practical relevance of Islamic security instruments.</w:t>
      </w:r>
    </w:p>
    <w:p w14:paraId="5F18A4BD" w14:textId="77777777" w:rsidR="00600C09" w:rsidRPr="00600C09" w:rsidRDefault="00600C09" w:rsidP="00600C09">
      <w:r w:rsidRPr="00600C09">
        <w:t>This progression ensures that the reader moves from foundational knowledge to comparative insights, from theoretical discussions to real-world applications, and finally to forward-looking recommendations.</w:t>
      </w:r>
    </w:p>
    <w:p w14:paraId="4F74C2E5" w14:textId="05771253" w:rsidR="00600C09" w:rsidRPr="00600C09" w:rsidRDefault="00600C09" w:rsidP="00600C09"/>
    <w:p w14:paraId="4D65BC08" w14:textId="77777777" w:rsidR="00600C09" w:rsidRPr="00600C09" w:rsidRDefault="00600C09" w:rsidP="00600C09">
      <w:pPr>
        <w:rPr>
          <w:b/>
          <w:bCs/>
        </w:rPr>
      </w:pPr>
      <w:r w:rsidRPr="00600C09">
        <w:rPr>
          <w:b/>
          <w:bCs/>
        </w:rPr>
        <w:t>1.8 Closing Note to the Reader</w:t>
      </w:r>
    </w:p>
    <w:p w14:paraId="52EB6DE0" w14:textId="77777777" w:rsidR="00600C09" w:rsidRPr="00600C09" w:rsidRDefault="00600C09" w:rsidP="00600C09">
      <w:r w:rsidRPr="00600C09">
        <w:t>This book is written for a diverse audience: scholars, practitioners, regulators, and students. Each will find something of value:</w:t>
      </w:r>
    </w:p>
    <w:p w14:paraId="2CE30497" w14:textId="77777777" w:rsidR="00600C09" w:rsidRPr="00600C09" w:rsidRDefault="00600C09" w:rsidP="00600C09">
      <w:pPr>
        <w:numPr>
          <w:ilvl w:val="0"/>
          <w:numId w:val="27"/>
        </w:numPr>
      </w:pPr>
      <w:r w:rsidRPr="00600C09">
        <w:rPr>
          <w:b/>
          <w:bCs/>
        </w:rPr>
        <w:t>For scholars</w:t>
      </w:r>
      <w:r w:rsidRPr="00600C09">
        <w:t>, it provides rigorous analysis of security instruments within both Shariah and conventional frameworks, supported by classical sources and modern rulings.</w:t>
      </w:r>
    </w:p>
    <w:p w14:paraId="1C33E302" w14:textId="77777777" w:rsidR="00600C09" w:rsidRPr="00600C09" w:rsidRDefault="00600C09" w:rsidP="00600C09">
      <w:pPr>
        <w:numPr>
          <w:ilvl w:val="0"/>
          <w:numId w:val="27"/>
        </w:numPr>
      </w:pPr>
      <w:r w:rsidRPr="00600C09">
        <w:rPr>
          <w:b/>
          <w:bCs/>
        </w:rPr>
        <w:t>For practitioners</w:t>
      </w:r>
      <w:r w:rsidRPr="00600C09">
        <w:t>, it offers practical guidance and case insights that can inform structuring decisions in project finance.</w:t>
      </w:r>
    </w:p>
    <w:p w14:paraId="0D988884" w14:textId="77777777" w:rsidR="00600C09" w:rsidRPr="00600C09" w:rsidRDefault="00600C09" w:rsidP="00600C09">
      <w:pPr>
        <w:numPr>
          <w:ilvl w:val="0"/>
          <w:numId w:val="27"/>
        </w:numPr>
      </w:pPr>
      <w:r w:rsidRPr="00600C09">
        <w:rPr>
          <w:b/>
          <w:bCs/>
        </w:rPr>
        <w:t>For regulators</w:t>
      </w:r>
      <w:r w:rsidRPr="00600C09">
        <w:t>, it delivers evidence-based recommendations for strengthening governance and standardization.</w:t>
      </w:r>
    </w:p>
    <w:p w14:paraId="2FB9D9B1" w14:textId="77777777" w:rsidR="00600C09" w:rsidRPr="00600C09" w:rsidRDefault="00600C09" w:rsidP="00600C09">
      <w:pPr>
        <w:numPr>
          <w:ilvl w:val="0"/>
          <w:numId w:val="27"/>
        </w:numPr>
      </w:pPr>
      <w:r w:rsidRPr="00600C09">
        <w:rPr>
          <w:b/>
          <w:bCs/>
        </w:rPr>
        <w:t>For students</w:t>
      </w:r>
      <w:r w:rsidRPr="00600C09">
        <w:t>, it introduces complex concepts in a structured and accessible manner.</w:t>
      </w:r>
    </w:p>
    <w:p w14:paraId="07E11573" w14:textId="77777777" w:rsidR="00600C09" w:rsidRDefault="00600C09" w:rsidP="00600C09">
      <w:r w:rsidRPr="00600C09">
        <w:t>Above all, the book seeks to demonstrate that Islamic finance is not an isolated system but part of the global financial architecture. By bridging Shariah principles with practical realities, it aspires to contribute to a future where Islamic project finance is not only Shariah-compliant but also commercially competitive, socially responsible, and ethically transformative.</w:t>
      </w:r>
    </w:p>
    <w:p w14:paraId="60E9CD91" w14:textId="77777777" w:rsidR="003816AB" w:rsidRDefault="003816AB" w:rsidP="00600C09"/>
    <w:p w14:paraId="3FCC9179" w14:textId="77777777" w:rsidR="003816AB" w:rsidRDefault="003816AB" w:rsidP="00600C09"/>
    <w:p w14:paraId="5D703F3C" w14:textId="77777777" w:rsidR="003816AB" w:rsidRDefault="003816AB" w:rsidP="00600C09"/>
    <w:p w14:paraId="6FE74B40" w14:textId="77777777" w:rsidR="003816AB" w:rsidRDefault="003816AB" w:rsidP="00600C09"/>
    <w:p w14:paraId="5F2663CA" w14:textId="77777777" w:rsidR="003816AB" w:rsidRDefault="003816AB" w:rsidP="00600C09"/>
    <w:p w14:paraId="491E7FAE" w14:textId="77777777" w:rsidR="003816AB" w:rsidRDefault="003816AB" w:rsidP="00600C09"/>
    <w:p w14:paraId="61008E74" w14:textId="68CE1DA1" w:rsidR="00600C09" w:rsidRPr="00600C09" w:rsidRDefault="00600C09" w:rsidP="00600C09"/>
    <w:p w14:paraId="6D65E263" w14:textId="77777777" w:rsidR="00600C09" w:rsidRPr="00600C09" w:rsidRDefault="00600C09" w:rsidP="00600C09">
      <w:pPr>
        <w:rPr>
          <w:b/>
          <w:bCs/>
        </w:rPr>
      </w:pPr>
      <w:r w:rsidRPr="00600C09">
        <w:rPr>
          <w:rFonts w:ascii="Segoe UI Emoji" w:hAnsi="Segoe UI Emoji" w:cs="Segoe UI Emoji"/>
          <w:b/>
          <w:bCs/>
        </w:rPr>
        <w:t>📚</w:t>
      </w:r>
      <w:r w:rsidRPr="00600C09">
        <w:rPr>
          <w:b/>
          <w:bCs/>
        </w:rPr>
        <w:t xml:space="preserve"> References (APA 7th Edition)</w:t>
      </w:r>
    </w:p>
    <w:p w14:paraId="78AADF88" w14:textId="77777777" w:rsidR="00600C09" w:rsidRPr="00600C09" w:rsidRDefault="00600C09" w:rsidP="00600C09">
      <w:r w:rsidRPr="00600C09">
        <w:t xml:space="preserve">AAOIFI. (2021). </w:t>
      </w:r>
      <w:r w:rsidRPr="00600C09">
        <w:rPr>
          <w:i/>
          <w:iCs/>
        </w:rPr>
        <w:t>Shariah standards</w:t>
      </w:r>
      <w:r w:rsidRPr="00600C09">
        <w:t>. Accounting and Auditing Organization for Islamic Financial Institutions.</w:t>
      </w:r>
    </w:p>
    <w:p w14:paraId="4E4E5014" w14:textId="77777777" w:rsidR="00600C09" w:rsidRPr="00600C09" w:rsidRDefault="00600C09" w:rsidP="00600C09">
      <w:r w:rsidRPr="00600C09">
        <w:t xml:space="preserve">Auda, J. (2008). </w:t>
      </w:r>
      <w:r w:rsidRPr="00600C09">
        <w:rPr>
          <w:i/>
          <w:iCs/>
        </w:rPr>
        <w:t>Maqasid al-Shariah as philosophy of Islamic law: A systems approach</w:t>
      </w:r>
      <w:r w:rsidRPr="00600C09">
        <w:t>. International Institute of Islamic Thought.</w:t>
      </w:r>
    </w:p>
    <w:p w14:paraId="2D62E9DB" w14:textId="77777777" w:rsidR="00600C09" w:rsidRPr="00600C09" w:rsidRDefault="00600C09" w:rsidP="00600C09">
      <w:r w:rsidRPr="00600C09">
        <w:t xml:space="preserve">Bank Negara Malaysia. (2009). </w:t>
      </w:r>
      <w:r w:rsidRPr="00600C09">
        <w:rPr>
          <w:i/>
          <w:iCs/>
        </w:rPr>
        <w:t>Central Bank of Malaysia Act 2009</w:t>
      </w:r>
      <w:r w:rsidRPr="00600C09">
        <w:t>. Percetakan Nasional Malaysia Berhad.</w:t>
      </w:r>
    </w:p>
    <w:p w14:paraId="46B24130" w14:textId="77777777" w:rsidR="00600C09" w:rsidRPr="00600C09" w:rsidRDefault="00600C09" w:rsidP="00600C09">
      <w:r w:rsidRPr="00600C09">
        <w:t xml:space="preserve">Bank Negara Malaysia. (2019). </w:t>
      </w:r>
      <w:r w:rsidRPr="00600C09">
        <w:rPr>
          <w:i/>
          <w:iCs/>
        </w:rPr>
        <w:t>Shariah Governance Policy Document</w:t>
      </w:r>
      <w:r w:rsidRPr="00600C09">
        <w:t>. Bank Negara Malaysia.</w:t>
      </w:r>
    </w:p>
    <w:p w14:paraId="3F7BA4FB" w14:textId="77777777" w:rsidR="00600C09" w:rsidRPr="00600C09" w:rsidRDefault="00600C09" w:rsidP="00600C09">
      <w:r w:rsidRPr="00600C09">
        <w:t xml:space="preserve">El-Gamal, M. A. (2006). </w:t>
      </w:r>
      <w:r w:rsidRPr="00600C09">
        <w:rPr>
          <w:i/>
          <w:iCs/>
        </w:rPr>
        <w:t>Islamic finance: Law, economics, and practice</w:t>
      </w:r>
      <w:r w:rsidRPr="00600C09">
        <w:t>. Cambridge University Press.</w:t>
      </w:r>
    </w:p>
    <w:p w14:paraId="05750329" w14:textId="77777777" w:rsidR="00600C09" w:rsidRPr="00600C09" w:rsidRDefault="00600C09" w:rsidP="00600C09">
      <w:r w:rsidRPr="00600C09">
        <w:t xml:space="preserve">Goode, R. (2013). </w:t>
      </w:r>
      <w:r w:rsidRPr="00600C09">
        <w:rPr>
          <w:i/>
          <w:iCs/>
        </w:rPr>
        <w:t>Goode on legal problems of credit and security</w:t>
      </w:r>
      <w:r w:rsidRPr="00600C09">
        <w:t xml:space="preserve"> (5th ed.). Sweet &amp; Maxwell.</w:t>
      </w:r>
    </w:p>
    <w:p w14:paraId="7506E46E" w14:textId="77777777" w:rsidR="00600C09" w:rsidRPr="00600C09" w:rsidRDefault="00600C09" w:rsidP="00600C09">
      <w:r w:rsidRPr="00600C09">
        <w:t xml:space="preserve">Hasan, Z. (2014). Shari’ah governance in Islamic banks. </w:t>
      </w:r>
      <w:r w:rsidRPr="00600C09">
        <w:rPr>
          <w:i/>
          <w:iCs/>
        </w:rPr>
        <w:t>Islamic Finance and Ethics</w:t>
      </w:r>
      <w:r w:rsidRPr="00600C09">
        <w:t>, 5(2), 1–15.</w:t>
      </w:r>
    </w:p>
    <w:p w14:paraId="24763411" w14:textId="77777777" w:rsidR="00600C09" w:rsidRPr="00600C09" w:rsidRDefault="00600C09" w:rsidP="00600C09">
      <w:r w:rsidRPr="00600C09">
        <w:t xml:space="preserve">Hasan, Z., &amp; Lewis, M. (2007). The role of the state and market in Islamic economics. </w:t>
      </w:r>
      <w:r w:rsidRPr="00600C09">
        <w:rPr>
          <w:i/>
          <w:iCs/>
        </w:rPr>
        <w:t>Journal of Islamic Economics, Banking and Finance</w:t>
      </w:r>
      <w:r w:rsidRPr="00600C09">
        <w:t>, 3(2), 1–27.</w:t>
      </w:r>
    </w:p>
    <w:p w14:paraId="65B83D6D" w14:textId="77777777" w:rsidR="00600C09" w:rsidRPr="00600C09" w:rsidRDefault="00600C09" w:rsidP="00600C09">
      <w:r w:rsidRPr="00600C09">
        <w:t xml:space="preserve">Iqbal, Z., &amp; Mirakhor, A. (2011). </w:t>
      </w:r>
      <w:r w:rsidRPr="00600C09">
        <w:rPr>
          <w:i/>
          <w:iCs/>
        </w:rPr>
        <w:t>An introduction to Islamic finance: Theory and practice</w:t>
      </w:r>
      <w:r w:rsidRPr="00600C09">
        <w:t xml:space="preserve"> (2nd ed.). Wiley.</w:t>
      </w:r>
    </w:p>
    <w:p w14:paraId="681962D9" w14:textId="77777777" w:rsidR="00600C09" w:rsidRPr="00600C09" w:rsidRDefault="00600C09" w:rsidP="00600C09">
      <w:r w:rsidRPr="00600C09">
        <w:t xml:space="preserve">Kamali, M. H. (2007). </w:t>
      </w:r>
      <w:r w:rsidRPr="00600C09">
        <w:rPr>
          <w:i/>
          <w:iCs/>
        </w:rPr>
        <w:t>A Shari’ah analysis of issues in Islamic leasing</w:t>
      </w:r>
      <w:r w:rsidRPr="00600C09">
        <w:t>. Ilmiah Publishers.</w:t>
      </w:r>
    </w:p>
    <w:p w14:paraId="30F22062" w14:textId="77777777" w:rsidR="00600C09" w:rsidRPr="00600C09" w:rsidRDefault="00600C09" w:rsidP="00600C09">
      <w:r w:rsidRPr="00600C09">
        <w:t xml:space="preserve">Wood, P. R. (2007). </w:t>
      </w:r>
      <w:r w:rsidRPr="00600C09">
        <w:rPr>
          <w:i/>
          <w:iCs/>
        </w:rPr>
        <w:t>Principles of international insolvency</w:t>
      </w:r>
      <w:r w:rsidRPr="00600C09">
        <w:t xml:space="preserve"> (2nd ed.). Sweet &amp; Maxwell.</w:t>
      </w:r>
    </w:p>
    <w:p w14:paraId="53D12B9D" w14:textId="77777777" w:rsidR="00600C09" w:rsidRPr="00600C09" w:rsidRDefault="00600C09" w:rsidP="00600C09">
      <w:r w:rsidRPr="00600C09">
        <w:t xml:space="preserve">Yescombe, E. R. (2014). </w:t>
      </w:r>
      <w:r w:rsidRPr="00600C09">
        <w:rPr>
          <w:i/>
          <w:iCs/>
        </w:rPr>
        <w:t>Principles of project finance</w:t>
      </w:r>
      <w:r w:rsidRPr="00600C09">
        <w:t xml:space="preserve"> (2nd ed.). Academic Press.</w:t>
      </w:r>
    </w:p>
    <w:p w14:paraId="1A8301FA" w14:textId="77777777" w:rsidR="00600C09" w:rsidRPr="00600C09" w:rsidRDefault="00600C09" w:rsidP="00600C09">
      <w:r w:rsidRPr="00600C09">
        <w:t xml:space="preserve">Al-Zuhayli, W. (2003). </w:t>
      </w:r>
      <w:r w:rsidRPr="00600C09">
        <w:rPr>
          <w:i/>
          <w:iCs/>
        </w:rPr>
        <w:t>Financial transactions in Islamic jurisprudence</w:t>
      </w:r>
      <w:r w:rsidRPr="00600C09">
        <w:t xml:space="preserve"> (M. El-Gamal, Trans.). Dar al-Fikr.</w:t>
      </w:r>
    </w:p>
    <w:p w14:paraId="2EEF826D" w14:textId="77777777" w:rsidR="00600C09" w:rsidRDefault="00600C09" w:rsidP="00600C09">
      <w:r w:rsidRPr="00600C09">
        <w:t>Qur’an 2:282 (The Qur’an).</w:t>
      </w:r>
    </w:p>
    <w:p w14:paraId="2E16B956" w14:textId="77777777" w:rsidR="003816AB" w:rsidRDefault="003816AB" w:rsidP="00600C09"/>
    <w:p w14:paraId="3F2F4BFB" w14:textId="77777777" w:rsidR="003816AB" w:rsidRDefault="003816AB" w:rsidP="00600C09"/>
    <w:p w14:paraId="7251FB18" w14:textId="77777777" w:rsidR="003816AB" w:rsidRDefault="003816AB" w:rsidP="00600C09"/>
    <w:p w14:paraId="74073F65" w14:textId="77777777" w:rsidR="003816AB" w:rsidRDefault="003816AB" w:rsidP="00600C09"/>
    <w:p w14:paraId="115A0566" w14:textId="77777777" w:rsidR="003816AB" w:rsidRDefault="003816AB" w:rsidP="00600C09"/>
    <w:p w14:paraId="142E9A8E" w14:textId="6D0DB89E" w:rsidR="00600C09" w:rsidRPr="00600C09" w:rsidRDefault="00600C09" w:rsidP="00600C09"/>
    <w:p w14:paraId="5AEBFE12" w14:textId="77777777" w:rsidR="00600C09" w:rsidRPr="00600C09" w:rsidRDefault="00600C09" w:rsidP="00600C09">
      <w:pPr>
        <w:rPr>
          <w:b/>
          <w:bCs/>
        </w:rPr>
      </w:pPr>
      <w:r w:rsidRPr="00600C09">
        <w:rPr>
          <w:rFonts w:ascii="Segoe UI Emoji" w:hAnsi="Segoe UI Emoji" w:cs="Segoe UI Emoji"/>
          <w:b/>
          <w:bCs/>
        </w:rPr>
        <w:t>📖</w:t>
      </w:r>
      <w:r w:rsidRPr="00600C09">
        <w:rPr>
          <w:b/>
          <w:bCs/>
        </w:rPr>
        <w:t xml:space="preserve"> Chapter 2 — Conventional Security Instruments</w:t>
      </w:r>
    </w:p>
    <w:p w14:paraId="2A7ED321" w14:textId="77C8421F" w:rsidR="00600C09" w:rsidRPr="00600C09" w:rsidRDefault="00600C09" w:rsidP="00600C09"/>
    <w:p w14:paraId="5E76639E" w14:textId="77777777" w:rsidR="00600C09" w:rsidRPr="00600C09" w:rsidRDefault="00600C09" w:rsidP="00600C09">
      <w:pPr>
        <w:rPr>
          <w:b/>
          <w:bCs/>
        </w:rPr>
      </w:pPr>
      <w:r w:rsidRPr="00600C09">
        <w:rPr>
          <w:b/>
          <w:bCs/>
        </w:rPr>
        <w:t>2.1 Introduction to Conventional Security Instruments</w:t>
      </w:r>
    </w:p>
    <w:p w14:paraId="7ED87AF0" w14:textId="77777777" w:rsidR="00600C09" w:rsidRPr="00600C09" w:rsidRDefault="00600C09" w:rsidP="00600C09">
      <w:r w:rsidRPr="00600C09">
        <w:t>Security instruments are the backbone of conventional project finance. They provide the legal and commercial framework through which creditors safeguard their interests in the event of default, insolvency, or restructuring. Without enforceable security, long-term project finance arrangements would be far too risky, given the uncertainties of cash flows, construction delays, and operational risks (Yescombe, 2014).</w:t>
      </w:r>
    </w:p>
    <w:p w14:paraId="51F14186" w14:textId="77777777" w:rsidR="00600C09" w:rsidRPr="00600C09" w:rsidRDefault="00600C09" w:rsidP="00600C09">
      <w:r w:rsidRPr="00600C09">
        <w:t xml:space="preserve">The concept of taking security over assets has deep historical roots. In </w:t>
      </w:r>
      <w:r w:rsidRPr="00600C09">
        <w:rPr>
          <w:b/>
          <w:bCs/>
        </w:rPr>
        <w:t>Roman law</w:t>
      </w:r>
      <w:r w:rsidRPr="00600C09">
        <w:t xml:space="preserve">, the </w:t>
      </w:r>
      <w:r w:rsidRPr="00600C09">
        <w:rPr>
          <w:i/>
          <w:iCs/>
        </w:rPr>
        <w:t>fiducia</w:t>
      </w:r>
      <w:r w:rsidRPr="00600C09">
        <w:t xml:space="preserve"> and </w:t>
      </w:r>
      <w:r w:rsidRPr="00600C09">
        <w:rPr>
          <w:i/>
          <w:iCs/>
        </w:rPr>
        <w:t>pignus</w:t>
      </w:r>
      <w:r w:rsidRPr="00600C09">
        <w:t xml:space="preserve"> were early forms of secured transactions, involving the transfer of property as collateral. Over time, these evolved into more sophisticated forms of pledges and mortgages. In </w:t>
      </w:r>
      <w:r w:rsidRPr="00600C09">
        <w:rPr>
          <w:b/>
          <w:bCs/>
        </w:rPr>
        <w:t>medieval England</w:t>
      </w:r>
      <w:r w:rsidRPr="00600C09">
        <w:t>, common law courts developed the doctrine of mortgage, while equity courts refined it to protect debtors from harsh forfeiture (Goode, 2013). The result was a legal tradition that balanced the rights of creditors with fairness to debtors.</w:t>
      </w:r>
    </w:p>
    <w:p w14:paraId="2F6B80BB" w14:textId="77777777" w:rsidR="00600C09" w:rsidRPr="00600C09" w:rsidRDefault="00600C09" w:rsidP="00600C09">
      <w:r w:rsidRPr="00600C09">
        <w:t>In modern times, conventional security instruments have been codified in statutory law and refined through case law. They are integral to commercial practice in both common law and civil law jurisdictions. Instruments such as mortgages, pledges, charges, and liens are recognized globally, though their forms and enforceability vary across legal systems (Wood, 2007).</w:t>
      </w:r>
    </w:p>
    <w:p w14:paraId="4A36519C" w14:textId="77777777" w:rsidR="00600C09" w:rsidRPr="00600C09" w:rsidRDefault="00600C09" w:rsidP="00600C09">
      <w:r w:rsidRPr="00600C09">
        <w:t xml:space="preserve">In the context of </w:t>
      </w:r>
      <w:r w:rsidRPr="00600C09">
        <w:rPr>
          <w:b/>
          <w:bCs/>
        </w:rPr>
        <w:t>project finance</w:t>
      </w:r>
      <w:r w:rsidRPr="00600C09">
        <w:t>, the importance of security is heightened. Projects such as toll highways, airports, and power plants often involve multiple financiers, complex contractual arrangements, and long repayment horizons. Security instruments provide lenders with confidence that their capital is not only tied to the project’s cash flow but also backed by legal recourse against assets, revenues, and contractual rights. They also play a role in allocating risk among different creditors, particularly where syndicated loans or sukuk issuances are involved.</w:t>
      </w:r>
    </w:p>
    <w:p w14:paraId="20E5B90C" w14:textId="77777777" w:rsidR="00600C09" w:rsidRPr="00600C09" w:rsidRDefault="00600C09" w:rsidP="00600C09">
      <w:r w:rsidRPr="00600C09">
        <w:t>This chapter examines the four principal types of conventional security instruments: mortgage, pledge, charge, and lien. Each will be analyzed in terms of its legal structure, enforceability, and application in project finance.</w:t>
      </w:r>
    </w:p>
    <w:p w14:paraId="27F8C000" w14:textId="75426F62" w:rsidR="00600C09" w:rsidRPr="00600C09" w:rsidRDefault="00600C09" w:rsidP="00600C09"/>
    <w:p w14:paraId="0CEA9426" w14:textId="77777777" w:rsidR="00600C09" w:rsidRPr="00600C09" w:rsidRDefault="00600C09" w:rsidP="00600C09">
      <w:pPr>
        <w:rPr>
          <w:b/>
          <w:bCs/>
        </w:rPr>
      </w:pPr>
      <w:r w:rsidRPr="00600C09">
        <w:rPr>
          <w:b/>
          <w:bCs/>
        </w:rPr>
        <w:t>2.2 Mortgage</w:t>
      </w:r>
    </w:p>
    <w:p w14:paraId="1E42289C" w14:textId="77777777" w:rsidR="00600C09" w:rsidRPr="00600C09" w:rsidRDefault="00600C09" w:rsidP="00600C09">
      <w:pPr>
        <w:rPr>
          <w:b/>
          <w:bCs/>
        </w:rPr>
      </w:pPr>
      <w:r w:rsidRPr="00600C09">
        <w:rPr>
          <w:b/>
          <w:bCs/>
        </w:rPr>
        <w:lastRenderedPageBreak/>
        <w:t>2.2.1 Concept and Definition</w:t>
      </w:r>
    </w:p>
    <w:p w14:paraId="6B1CA1FD" w14:textId="77777777" w:rsidR="00600C09" w:rsidRPr="00600C09" w:rsidRDefault="00600C09" w:rsidP="00600C09">
      <w:r w:rsidRPr="00600C09">
        <w:t xml:space="preserve">A </w:t>
      </w:r>
      <w:r w:rsidRPr="00600C09">
        <w:rPr>
          <w:b/>
          <w:bCs/>
        </w:rPr>
        <w:t>mortgage</w:t>
      </w:r>
      <w:r w:rsidRPr="00600C09">
        <w:t xml:space="preserve"> is one of the most well-known forms of security. It is traditionally defined as the transfer of an interest in immovable property (such as land or buildings) from a borrower (mortgagor) to a lender (mortgagee) as security for a debt, subject to the condition that the interest reverts to the borrower once the debt is repaid (Goode, 2013).</w:t>
      </w:r>
    </w:p>
    <w:p w14:paraId="447F6564" w14:textId="77777777" w:rsidR="00600C09" w:rsidRPr="00600C09" w:rsidRDefault="00600C09" w:rsidP="00600C09">
      <w:r w:rsidRPr="00600C09">
        <w:t xml:space="preserve">The word </w:t>
      </w:r>
      <w:r w:rsidRPr="00600C09">
        <w:rPr>
          <w:i/>
          <w:iCs/>
        </w:rPr>
        <w:t>mortgage</w:t>
      </w:r>
      <w:r w:rsidRPr="00600C09">
        <w:t xml:space="preserve"> originates from Old French, meaning “dead pledge.” The “dead” element signified that the pledge became void upon repayment of the debt, but if the borrower defaulted, the creditor could enforce against the property. Over time, the doctrine evolved into more sophisticated arrangements that allowed creditors to recover debts while protecting borrowers from unfair forfeiture.</w:t>
      </w:r>
    </w:p>
    <w:p w14:paraId="6661782E" w14:textId="77777777" w:rsidR="00600C09" w:rsidRPr="00600C09" w:rsidRDefault="00600C09" w:rsidP="00600C09">
      <w:r w:rsidRPr="00600C09">
        <w:t>Under modern common law, a mortgage does not necessarily involve the physical transfer of ownership. Instead, it creates a legal or equitable interest in the property, giving the mortgagee certain rights, such as the right to sell the property or appoint a receiver in case of default (Wood, 2007).</w:t>
      </w:r>
    </w:p>
    <w:p w14:paraId="444C6828" w14:textId="77777777" w:rsidR="00600C09" w:rsidRPr="00600C09" w:rsidRDefault="00600C09" w:rsidP="00600C09">
      <w:pPr>
        <w:rPr>
          <w:b/>
          <w:bCs/>
        </w:rPr>
      </w:pPr>
      <w:r w:rsidRPr="00600C09">
        <w:rPr>
          <w:b/>
          <w:bCs/>
        </w:rPr>
        <w:t>2.2.2 Types of Mortgages</w:t>
      </w:r>
    </w:p>
    <w:p w14:paraId="4244B281" w14:textId="77777777" w:rsidR="00600C09" w:rsidRPr="00600C09" w:rsidRDefault="00600C09" w:rsidP="00600C09">
      <w:r w:rsidRPr="00600C09">
        <w:t>Mortgages can take various forms, each with its own legal implications:</w:t>
      </w:r>
    </w:p>
    <w:p w14:paraId="6080CEE3" w14:textId="77777777" w:rsidR="00600C09" w:rsidRPr="00600C09" w:rsidRDefault="00600C09" w:rsidP="00600C09">
      <w:pPr>
        <w:numPr>
          <w:ilvl w:val="0"/>
          <w:numId w:val="31"/>
        </w:numPr>
      </w:pPr>
      <w:r w:rsidRPr="00600C09">
        <w:rPr>
          <w:b/>
          <w:bCs/>
        </w:rPr>
        <w:t>Legal Mortgage</w:t>
      </w:r>
    </w:p>
    <w:p w14:paraId="488DB401" w14:textId="77777777" w:rsidR="00600C09" w:rsidRPr="00600C09" w:rsidRDefault="00600C09" w:rsidP="00600C09">
      <w:pPr>
        <w:numPr>
          <w:ilvl w:val="1"/>
          <w:numId w:val="31"/>
        </w:numPr>
      </w:pPr>
      <w:r w:rsidRPr="00600C09">
        <w:t>Transfers legal title of the property to the mortgagee, subject to the borrower’s right of redemption.</w:t>
      </w:r>
    </w:p>
    <w:p w14:paraId="7F3F6686" w14:textId="77777777" w:rsidR="00600C09" w:rsidRPr="00600C09" w:rsidRDefault="00600C09" w:rsidP="00600C09">
      <w:pPr>
        <w:numPr>
          <w:ilvl w:val="1"/>
          <w:numId w:val="31"/>
        </w:numPr>
      </w:pPr>
      <w:r w:rsidRPr="00600C09">
        <w:t>Considered the strongest form of security, as it grants the mortgagee enforceable rights against third parties.</w:t>
      </w:r>
    </w:p>
    <w:p w14:paraId="3E4D0C8E" w14:textId="77777777" w:rsidR="00600C09" w:rsidRPr="00600C09" w:rsidRDefault="00600C09" w:rsidP="00600C09">
      <w:pPr>
        <w:numPr>
          <w:ilvl w:val="1"/>
          <w:numId w:val="31"/>
        </w:numPr>
      </w:pPr>
      <w:r w:rsidRPr="00600C09">
        <w:t>Common in real estate and large infrastructure financing.</w:t>
      </w:r>
    </w:p>
    <w:p w14:paraId="2CE77064" w14:textId="77777777" w:rsidR="00600C09" w:rsidRPr="00600C09" w:rsidRDefault="00600C09" w:rsidP="00600C09">
      <w:pPr>
        <w:numPr>
          <w:ilvl w:val="0"/>
          <w:numId w:val="31"/>
        </w:numPr>
      </w:pPr>
      <w:r w:rsidRPr="00600C09">
        <w:rPr>
          <w:b/>
          <w:bCs/>
        </w:rPr>
        <w:t>Equitable Mortgage</w:t>
      </w:r>
    </w:p>
    <w:p w14:paraId="45CF66C6" w14:textId="77777777" w:rsidR="00600C09" w:rsidRPr="00600C09" w:rsidRDefault="00600C09" w:rsidP="00600C09">
      <w:pPr>
        <w:numPr>
          <w:ilvl w:val="1"/>
          <w:numId w:val="31"/>
        </w:numPr>
      </w:pPr>
      <w:r w:rsidRPr="00600C09">
        <w:t>Created where legal formalities are not completed, but equity recognizes the arrangement.</w:t>
      </w:r>
    </w:p>
    <w:p w14:paraId="40A6877B" w14:textId="77777777" w:rsidR="00600C09" w:rsidRPr="00600C09" w:rsidRDefault="00600C09" w:rsidP="00600C09">
      <w:pPr>
        <w:numPr>
          <w:ilvl w:val="1"/>
          <w:numId w:val="31"/>
        </w:numPr>
      </w:pPr>
      <w:r w:rsidRPr="00600C09">
        <w:t>Often arises when title deeds are deposited with the lender as evidence of security.</w:t>
      </w:r>
    </w:p>
    <w:p w14:paraId="4FA85372" w14:textId="77777777" w:rsidR="00600C09" w:rsidRPr="00600C09" w:rsidRDefault="00600C09" w:rsidP="00600C09">
      <w:pPr>
        <w:numPr>
          <w:ilvl w:val="1"/>
          <w:numId w:val="31"/>
        </w:numPr>
      </w:pPr>
      <w:r w:rsidRPr="00600C09">
        <w:t>Provides weaker protection compared to a legal mortgage, but still enforceable in equity.</w:t>
      </w:r>
    </w:p>
    <w:p w14:paraId="07962D7C" w14:textId="77777777" w:rsidR="00600C09" w:rsidRPr="00600C09" w:rsidRDefault="00600C09" w:rsidP="00600C09">
      <w:pPr>
        <w:numPr>
          <w:ilvl w:val="0"/>
          <w:numId w:val="31"/>
        </w:numPr>
      </w:pPr>
      <w:r w:rsidRPr="00600C09">
        <w:rPr>
          <w:b/>
          <w:bCs/>
        </w:rPr>
        <w:t>Floating Mortgage</w:t>
      </w:r>
    </w:p>
    <w:p w14:paraId="275BA532" w14:textId="77777777" w:rsidR="00600C09" w:rsidRPr="00600C09" w:rsidRDefault="00600C09" w:rsidP="00600C09">
      <w:pPr>
        <w:numPr>
          <w:ilvl w:val="1"/>
          <w:numId w:val="31"/>
        </w:numPr>
      </w:pPr>
      <w:r w:rsidRPr="00600C09">
        <w:t>Attaches to assets that change over time, such as inventory or receivables.</w:t>
      </w:r>
    </w:p>
    <w:p w14:paraId="01DD3D05" w14:textId="77777777" w:rsidR="00600C09" w:rsidRDefault="00600C09" w:rsidP="00600C09">
      <w:pPr>
        <w:numPr>
          <w:ilvl w:val="1"/>
          <w:numId w:val="31"/>
        </w:numPr>
      </w:pPr>
      <w:r w:rsidRPr="00600C09">
        <w:lastRenderedPageBreak/>
        <w:t>Similar to a floating charge, it “crystallizes” upon default, giving the creditor specific rights over the assets.</w:t>
      </w:r>
    </w:p>
    <w:p w14:paraId="36EB555F" w14:textId="77777777" w:rsidR="004E3C00" w:rsidRDefault="004E3C00" w:rsidP="004E3C00"/>
    <w:p w14:paraId="41BEBDBA" w14:textId="77777777" w:rsidR="004E3C00" w:rsidRPr="00600C09" w:rsidRDefault="004E3C00" w:rsidP="004E3C00"/>
    <w:p w14:paraId="1F7A91BB" w14:textId="77777777" w:rsidR="00600C09" w:rsidRPr="00600C09" w:rsidRDefault="00600C09" w:rsidP="00600C09">
      <w:pPr>
        <w:numPr>
          <w:ilvl w:val="0"/>
          <w:numId w:val="31"/>
        </w:numPr>
      </w:pPr>
      <w:r w:rsidRPr="00600C09">
        <w:rPr>
          <w:b/>
          <w:bCs/>
        </w:rPr>
        <w:t>Fixed Mortgage</w:t>
      </w:r>
    </w:p>
    <w:p w14:paraId="3C356D28" w14:textId="77777777" w:rsidR="00600C09" w:rsidRPr="00600C09" w:rsidRDefault="00600C09" w:rsidP="00600C09">
      <w:pPr>
        <w:numPr>
          <w:ilvl w:val="1"/>
          <w:numId w:val="31"/>
        </w:numPr>
      </w:pPr>
      <w:r w:rsidRPr="00600C09">
        <w:t>Attaches to a specific, identifiable asset, such as a parcel of land or a power plant facility.</w:t>
      </w:r>
    </w:p>
    <w:p w14:paraId="68A9672E" w14:textId="77777777" w:rsidR="00600C09" w:rsidRPr="00600C09" w:rsidRDefault="00600C09" w:rsidP="00600C09">
      <w:pPr>
        <w:numPr>
          <w:ilvl w:val="1"/>
          <w:numId w:val="31"/>
        </w:numPr>
      </w:pPr>
      <w:r w:rsidRPr="00600C09">
        <w:t>The debtor cannot dispose of the asset without the creditor’s consent.</w:t>
      </w:r>
    </w:p>
    <w:p w14:paraId="45E82CC6" w14:textId="77777777" w:rsidR="00600C09" w:rsidRPr="00600C09" w:rsidRDefault="00600C09" w:rsidP="00600C09">
      <w:r w:rsidRPr="00600C09">
        <w:t>These variations allow flexibility, enabling financiers to tailor security to the nature of the asset and the project’s financing structure.</w:t>
      </w:r>
    </w:p>
    <w:p w14:paraId="770A7255" w14:textId="77777777" w:rsidR="00600C09" w:rsidRPr="00600C09" w:rsidRDefault="00600C09" w:rsidP="00600C09">
      <w:pPr>
        <w:rPr>
          <w:b/>
          <w:bCs/>
        </w:rPr>
      </w:pPr>
      <w:r w:rsidRPr="00600C09">
        <w:rPr>
          <w:b/>
          <w:bCs/>
        </w:rPr>
        <w:t>2.2.3 Rights and Obligations</w:t>
      </w:r>
    </w:p>
    <w:p w14:paraId="66D10EE1" w14:textId="77777777" w:rsidR="00600C09" w:rsidRPr="00600C09" w:rsidRDefault="00600C09" w:rsidP="00600C09">
      <w:r w:rsidRPr="00600C09">
        <w:t>Mortgages create a bundle of rights and obligations for both parties:</w:t>
      </w:r>
    </w:p>
    <w:p w14:paraId="7D34AC12" w14:textId="77777777" w:rsidR="00600C09" w:rsidRPr="00600C09" w:rsidRDefault="00600C09" w:rsidP="00600C09">
      <w:pPr>
        <w:numPr>
          <w:ilvl w:val="0"/>
          <w:numId w:val="32"/>
        </w:numPr>
      </w:pPr>
      <w:r w:rsidRPr="00600C09">
        <w:rPr>
          <w:b/>
          <w:bCs/>
        </w:rPr>
        <w:t>Rights of the Mortgagee (Lender):</w:t>
      </w:r>
    </w:p>
    <w:p w14:paraId="68BA22AD" w14:textId="77777777" w:rsidR="00600C09" w:rsidRPr="00600C09" w:rsidRDefault="00600C09" w:rsidP="00600C09">
      <w:pPr>
        <w:numPr>
          <w:ilvl w:val="1"/>
          <w:numId w:val="32"/>
        </w:numPr>
      </w:pPr>
      <w:r w:rsidRPr="00600C09">
        <w:rPr>
          <w:i/>
          <w:iCs/>
        </w:rPr>
        <w:t>Right to repayment</w:t>
      </w:r>
      <w:r w:rsidRPr="00600C09">
        <w:t>: The lender has a contractual right to repayment of the loan, secured by the property.</w:t>
      </w:r>
    </w:p>
    <w:p w14:paraId="47D135AB" w14:textId="77777777" w:rsidR="00600C09" w:rsidRPr="00600C09" w:rsidRDefault="00600C09" w:rsidP="00600C09">
      <w:pPr>
        <w:numPr>
          <w:ilvl w:val="1"/>
          <w:numId w:val="32"/>
        </w:numPr>
      </w:pPr>
      <w:r w:rsidRPr="00600C09">
        <w:rPr>
          <w:i/>
          <w:iCs/>
        </w:rPr>
        <w:t>Right to possession</w:t>
      </w:r>
      <w:r w:rsidRPr="00600C09">
        <w:t>: In some jurisdictions, the mortgagee may take possession of the property upon default.</w:t>
      </w:r>
    </w:p>
    <w:p w14:paraId="4004AD66" w14:textId="77777777" w:rsidR="00600C09" w:rsidRPr="00600C09" w:rsidRDefault="00600C09" w:rsidP="00600C09">
      <w:pPr>
        <w:numPr>
          <w:ilvl w:val="1"/>
          <w:numId w:val="32"/>
        </w:numPr>
      </w:pPr>
      <w:r w:rsidRPr="00600C09">
        <w:rPr>
          <w:i/>
          <w:iCs/>
        </w:rPr>
        <w:t>Right of sale</w:t>
      </w:r>
      <w:r w:rsidRPr="00600C09">
        <w:t>: The lender may sell the mortgaged property to recover the debt, usually through judicial foreclosure.</w:t>
      </w:r>
    </w:p>
    <w:p w14:paraId="0E7CF873" w14:textId="77777777" w:rsidR="00600C09" w:rsidRPr="00600C09" w:rsidRDefault="00600C09" w:rsidP="00600C09">
      <w:pPr>
        <w:numPr>
          <w:ilvl w:val="1"/>
          <w:numId w:val="32"/>
        </w:numPr>
      </w:pPr>
      <w:r w:rsidRPr="00600C09">
        <w:rPr>
          <w:i/>
          <w:iCs/>
        </w:rPr>
        <w:t>Right to appoint a receiver</w:t>
      </w:r>
      <w:r w:rsidRPr="00600C09">
        <w:t>: In project finance, this allows the lender to take over revenues and manage the asset.</w:t>
      </w:r>
    </w:p>
    <w:p w14:paraId="6B5417CF" w14:textId="77777777" w:rsidR="00600C09" w:rsidRPr="00600C09" w:rsidRDefault="00600C09" w:rsidP="00600C09">
      <w:pPr>
        <w:numPr>
          <w:ilvl w:val="0"/>
          <w:numId w:val="32"/>
        </w:numPr>
      </w:pPr>
      <w:r w:rsidRPr="00600C09">
        <w:rPr>
          <w:b/>
          <w:bCs/>
        </w:rPr>
        <w:t>Rights of the Mortgagor (Borrower):</w:t>
      </w:r>
    </w:p>
    <w:p w14:paraId="14225DB5" w14:textId="77777777" w:rsidR="00600C09" w:rsidRPr="00600C09" w:rsidRDefault="00600C09" w:rsidP="00600C09">
      <w:pPr>
        <w:numPr>
          <w:ilvl w:val="1"/>
          <w:numId w:val="32"/>
        </w:numPr>
      </w:pPr>
      <w:r w:rsidRPr="00600C09">
        <w:rPr>
          <w:i/>
          <w:iCs/>
        </w:rPr>
        <w:t>Equity of redemption</w:t>
      </w:r>
      <w:r w:rsidRPr="00600C09">
        <w:t>: The borrower has the right to redeem the property upon repayment, even after default, subject to statutory limits.</w:t>
      </w:r>
    </w:p>
    <w:p w14:paraId="0571A5D3" w14:textId="77777777" w:rsidR="00600C09" w:rsidRPr="00600C09" w:rsidRDefault="00600C09" w:rsidP="00600C09">
      <w:pPr>
        <w:numPr>
          <w:ilvl w:val="1"/>
          <w:numId w:val="32"/>
        </w:numPr>
      </w:pPr>
      <w:r w:rsidRPr="00600C09">
        <w:rPr>
          <w:i/>
          <w:iCs/>
        </w:rPr>
        <w:t>Right to surplus</w:t>
      </w:r>
      <w:r w:rsidRPr="00600C09">
        <w:t>: If the property is sold and the proceeds exceed the debt, the surplus must be returned to the borrower.</w:t>
      </w:r>
    </w:p>
    <w:p w14:paraId="73F3448D" w14:textId="77777777" w:rsidR="00600C09" w:rsidRPr="00600C09" w:rsidRDefault="00600C09" w:rsidP="00600C09">
      <w:pPr>
        <w:numPr>
          <w:ilvl w:val="1"/>
          <w:numId w:val="32"/>
        </w:numPr>
      </w:pPr>
      <w:r w:rsidRPr="00600C09">
        <w:rPr>
          <w:i/>
          <w:iCs/>
        </w:rPr>
        <w:t>Right to protection from unfair terms</w:t>
      </w:r>
      <w:r w:rsidRPr="00600C09">
        <w:t>: Courts of equity developed doctrines to protect borrowers from harsh forfeiture clauses.</w:t>
      </w:r>
    </w:p>
    <w:p w14:paraId="5699B834" w14:textId="77777777" w:rsidR="00600C09" w:rsidRPr="00600C09" w:rsidRDefault="00600C09" w:rsidP="00600C09">
      <w:r w:rsidRPr="00600C09">
        <w:t>These rights reflect the balance between creditor protection and debtor fairness that has characterized mortgage law since its inception.</w:t>
      </w:r>
    </w:p>
    <w:p w14:paraId="623C7AC8" w14:textId="77777777" w:rsidR="00600C09" w:rsidRPr="00600C09" w:rsidRDefault="00600C09" w:rsidP="00600C09">
      <w:pPr>
        <w:rPr>
          <w:b/>
          <w:bCs/>
        </w:rPr>
      </w:pPr>
      <w:r w:rsidRPr="00600C09">
        <w:rPr>
          <w:b/>
          <w:bCs/>
        </w:rPr>
        <w:t>2.2.4 Enforceability of Mortgages</w:t>
      </w:r>
    </w:p>
    <w:p w14:paraId="453F26F8" w14:textId="77777777" w:rsidR="00600C09" w:rsidRPr="00600C09" w:rsidRDefault="00600C09" w:rsidP="00600C09">
      <w:r w:rsidRPr="00600C09">
        <w:lastRenderedPageBreak/>
        <w:t>The enforceability of mortgages depends on compliance with legal formalities and registration requirements. In most jurisdictions:</w:t>
      </w:r>
    </w:p>
    <w:p w14:paraId="22C6C98B" w14:textId="77777777" w:rsidR="00600C09" w:rsidRPr="00600C09" w:rsidRDefault="00600C09" w:rsidP="00600C09">
      <w:pPr>
        <w:numPr>
          <w:ilvl w:val="0"/>
          <w:numId w:val="33"/>
        </w:numPr>
      </w:pPr>
      <w:r w:rsidRPr="00600C09">
        <w:t>Legal mortgages must be registered with the land registry or relevant authority to be enforceable against third parties.</w:t>
      </w:r>
    </w:p>
    <w:p w14:paraId="3F2E9DFB" w14:textId="77777777" w:rsidR="00600C09" w:rsidRPr="00600C09" w:rsidRDefault="00600C09" w:rsidP="00600C09">
      <w:pPr>
        <w:numPr>
          <w:ilvl w:val="0"/>
          <w:numId w:val="33"/>
        </w:numPr>
      </w:pPr>
      <w:r w:rsidRPr="00600C09">
        <w:t>Equitable mortgages, while valid between the parties, may lose priority against subsequent registered mortgages.</w:t>
      </w:r>
    </w:p>
    <w:p w14:paraId="7A6F80C5" w14:textId="77777777" w:rsidR="00600C09" w:rsidRPr="00600C09" w:rsidRDefault="00600C09" w:rsidP="00600C09">
      <w:pPr>
        <w:numPr>
          <w:ilvl w:val="0"/>
          <w:numId w:val="33"/>
        </w:numPr>
      </w:pPr>
      <w:r w:rsidRPr="00600C09">
        <w:t>Statutory frameworks often prescribe procedures for foreclosure, sale, or possession to protect borrowers from abuse.</w:t>
      </w:r>
    </w:p>
    <w:p w14:paraId="22ABF68F" w14:textId="77777777" w:rsidR="00600C09" w:rsidRPr="00600C09" w:rsidRDefault="00600C09" w:rsidP="00600C09">
      <w:r w:rsidRPr="00600C09">
        <w:t>For example, under English law, the Law of Property Act 1925 codifies mortgage rights, including the right of sale and foreclosure. In Malaysia, mortgages are recognized under the National Land Code 1965, with detailed provisions for registration and enforcement.</w:t>
      </w:r>
    </w:p>
    <w:p w14:paraId="3A1EA27E" w14:textId="77777777" w:rsidR="00600C09" w:rsidRPr="00600C09" w:rsidRDefault="00600C09" w:rsidP="00600C09">
      <w:pPr>
        <w:rPr>
          <w:b/>
          <w:bCs/>
        </w:rPr>
      </w:pPr>
      <w:r w:rsidRPr="00600C09">
        <w:rPr>
          <w:b/>
          <w:bCs/>
        </w:rPr>
        <w:t>2.2.5 Mortgages in Project Finance</w:t>
      </w:r>
    </w:p>
    <w:p w14:paraId="444C8DBF" w14:textId="77777777" w:rsidR="00600C09" w:rsidRPr="00600C09" w:rsidRDefault="00600C09" w:rsidP="00600C09">
      <w:r w:rsidRPr="00600C09">
        <w:t>In project finance, mortgages play a central role in securing lenders’ interests in immovable assets such as land, buildings, and infrastructure facilities. For instance:</w:t>
      </w:r>
    </w:p>
    <w:p w14:paraId="47E6A749" w14:textId="77777777" w:rsidR="00600C09" w:rsidRPr="00600C09" w:rsidRDefault="00600C09" w:rsidP="00600C09">
      <w:pPr>
        <w:numPr>
          <w:ilvl w:val="0"/>
          <w:numId w:val="34"/>
        </w:numPr>
      </w:pPr>
      <w:r w:rsidRPr="00600C09">
        <w:t xml:space="preserve">A </w:t>
      </w:r>
      <w:r w:rsidRPr="00600C09">
        <w:rPr>
          <w:b/>
          <w:bCs/>
        </w:rPr>
        <w:t>power plant</w:t>
      </w:r>
      <w:r w:rsidRPr="00600C09">
        <w:t xml:space="preserve"> may be mortgaged to lenders, giving them recourse to the facility if the project company defaults.</w:t>
      </w:r>
    </w:p>
    <w:p w14:paraId="76AC7F9F" w14:textId="77777777" w:rsidR="00600C09" w:rsidRPr="00600C09" w:rsidRDefault="00600C09" w:rsidP="00600C09">
      <w:pPr>
        <w:numPr>
          <w:ilvl w:val="0"/>
          <w:numId w:val="34"/>
        </w:numPr>
      </w:pPr>
      <w:r w:rsidRPr="00600C09">
        <w:t xml:space="preserve">An </w:t>
      </w:r>
      <w:r w:rsidRPr="00600C09">
        <w:rPr>
          <w:b/>
          <w:bCs/>
        </w:rPr>
        <w:t>airport terminal</w:t>
      </w:r>
      <w:r w:rsidRPr="00600C09">
        <w:t xml:space="preserve"> financed through syndicated loans may be secured by a legal mortgage over the land and buildings.</w:t>
      </w:r>
    </w:p>
    <w:p w14:paraId="52A8EA60" w14:textId="77777777" w:rsidR="00600C09" w:rsidRPr="00600C09" w:rsidRDefault="00600C09" w:rsidP="00600C09">
      <w:pPr>
        <w:numPr>
          <w:ilvl w:val="0"/>
          <w:numId w:val="34"/>
        </w:numPr>
      </w:pPr>
      <w:r w:rsidRPr="00600C09">
        <w:t xml:space="preserve">In </w:t>
      </w:r>
      <w:r w:rsidRPr="00600C09">
        <w:rPr>
          <w:b/>
          <w:bCs/>
        </w:rPr>
        <w:t>public-private partnerships (PPPs)</w:t>
      </w:r>
      <w:r w:rsidRPr="00600C09">
        <w:t>, concessionaires may mortgage their rights in physical assets to support financing arrangements.</w:t>
      </w:r>
    </w:p>
    <w:p w14:paraId="35344934" w14:textId="77777777" w:rsidR="00600C09" w:rsidRPr="00600C09" w:rsidRDefault="00600C09" w:rsidP="00600C09">
      <w:r w:rsidRPr="00600C09">
        <w:t>Mortgages provide strong reassurance to lenders, as immovable assets are often the most valuable and tangible security available. In addition, the ability to appoint receivers allows lenders to take over operations and ensure continuity of revenue streams, which is particularly important in infrastructure projects with long-term cash flows (Yescombe, 2014).</w:t>
      </w:r>
    </w:p>
    <w:p w14:paraId="76601313" w14:textId="360B0A4A" w:rsidR="00600C09" w:rsidRPr="00A103FF" w:rsidRDefault="00600C09" w:rsidP="00600C09">
      <w:r w:rsidRPr="00600C09">
        <w:t>However, reliance on mortgages also has limitations. Large infrastructure projects often involve multiple layers of stakeholders, and mortgaging core assets may conflict with public policy objectives, especially when the assets serve essential services. For this reason, project finance structures typically combine mortgages with other forms of security, such as charges over receivables or pledges of shares.</w:t>
      </w:r>
    </w:p>
    <w:p w14:paraId="5EC8BB3C" w14:textId="0C8C50B4" w:rsidR="00600C09" w:rsidRPr="00600C09" w:rsidRDefault="00600C09" w:rsidP="00600C09"/>
    <w:p w14:paraId="55C3C609" w14:textId="77777777" w:rsidR="00600C09" w:rsidRPr="00600C09" w:rsidRDefault="00600C09" w:rsidP="00600C09">
      <w:pPr>
        <w:rPr>
          <w:b/>
          <w:bCs/>
        </w:rPr>
      </w:pPr>
      <w:r w:rsidRPr="00600C09">
        <w:rPr>
          <w:b/>
          <w:bCs/>
        </w:rPr>
        <w:t>2.3 Pledge</w:t>
      </w:r>
    </w:p>
    <w:p w14:paraId="52912DEC" w14:textId="77777777" w:rsidR="00600C09" w:rsidRPr="00600C09" w:rsidRDefault="00600C09" w:rsidP="00600C09">
      <w:pPr>
        <w:rPr>
          <w:b/>
          <w:bCs/>
        </w:rPr>
      </w:pPr>
      <w:r w:rsidRPr="00600C09">
        <w:rPr>
          <w:b/>
          <w:bCs/>
        </w:rPr>
        <w:t>2.3.1 Concept and Definition</w:t>
      </w:r>
    </w:p>
    <w:p w14:paraId="269B8ABB" w14:textId="77777777" w:rsidR="00600C09" w:rsidRPr="00600C09" w:rsidRDefault="00600C09" w:rsidP="00600C09">
      <w:r w:rsidRPr="00600C09">
        <w:lastRenderedPageBreak/>
        <w:t xml:space="preserve">A </w:t>
      </w:r>
      <w:r w:rsidRPr="00600C09">
        <w:rPr>
          <w:b/>
          <w:bCs/>
        </w:rPr>
        <w:t>pledge</w:t>
      </w:r>
      <w:r w:rsidRPr="00600C09">
        <w:t xml:space="preserve"> is one of the oldest forms of security recognized in law. It arises when a debtor (the pledgor) delivers possession of movable property to a creditor (the pledgee) as security for a debt or obligation, with the understanding that the property will be returned once the debt is discharged (Goode, 2013).</w:t>
      </w:r>
    </w:p>
    <w:p w14:paraId="3825F32A" w14:textId="77777777" w:rsidR="00600C09" w:rsidRPr="00600C09" w:rsidRDefault="00600C09" w:rsidP="00600C09">
      <w:r w:rsidRPr="00600C09">
        <w:t xml:space="preserve">Unlike a mortgage, which involves immovable property such as land or buildings, a pledge typically covers movable assets — including goods, shares, or negotiable instruments. The central feature of a pledge is the </w:t>
      </w:r>
      <w:r w:rsidRPr="00600C09">
        <w:rPr>
          <w:b/>
          <w:bCs/>
        </w:rPr>
        <w:t>transfer of possession</w:t>
      </w:r>
      <w:r w:rsidRPr="00600C09">
        <w:t>, not ownership. Ownership remains with the pledgor, but the creditor gains possession as security.</w:t>
      </w:r>
    </w:p>
    <w:p w14:paraId="22EE53D2" w14:textId="77777777" w:rsidR="00600C09" w:rsidRPr="00600C09" w:rsidRDefault="00600C09" w:rsidP="00600C09">
      <w:r w:rsidRPr="00600C09">
        <w:t xml:space="preserve">Historically, pledges can be traced back to Roman law’s </w:t>
      </w:r>
      <w:r w:rsidRPr="00600C09">
        <w:rPr>
          <w:i/>
          <w:iCs/>
        </w:rPr>
        <w:t>pignus</w:t>
      </w:r>
      <w:r w:rsidRPr="00600C09">
        <w:t>, where debtors provided property to creditors as security without transferring ownership. Over centuries, the concept developed into a recognized category of secured transactions across both civil and common law jurisdictions (Wood, 2007).</w:t>
      </w:r>
    </w:p>
    <w:p w14:paraId="2C1276A8" w14:textId="77777777" w:rsidR="00600C09" w:rsidRPr="00600C09" w:rsidRDefault="00600C09" w:rsidP="00600C09">
      <w:pPr>
        <w:rPr>
          <w:b/>
          <w:bCs/>
        </w:rPr>
      </w:pPr>
      <w:r w:rsidRPr="00600C09">
        <w:rPr>
          <w:b/>
          <w:bCs/>
        </w:rPr>
        <w:t>2.3.2 Characteristics of a Pledge</w:t>
      </w:r>
    </w:p>
    <w:p w14:paraId="5B5EDCED" w14:textId="77777777" w:rsidR="00600C09" w:rsidRPr="00600C09" w:rsidRDefault="00600C09" w:rsidP="00600C09">
      <w:r w:rsidRPr="00600C09">
        <w:t>Key features of a pledge include:</w:t>
      </w:r>
    </w:p>
    <w:p w14:paraId="614E5E64" w14:textId="77777777" w:rsidR="00600C09" w:rsidRPr="00600C09" w:rsidRDefault="00600C09" w:rsidP="00600C09">
      <w:pPr>
        <w:numPr>
          <w:ilvl w:val="0"/>
          <w:numId w:val="37"/>
        </w:numPr>
      </w:pPr>
      <w:r w:rsidRPr="00600C09">
        <w:rPr>
          <w:b/>
          <w:bCs/>
        </w:rPr>
        <w:t>Delivery of possession</w:t>
      </w:r>
    </w:p>
    <w:p w14:paraId="16880A8E" w14:textId="77777777" w:rsidR="00600C09" w:rsidRPr="00600C09" w:rsidRDefault="00600C09" w:rsidP="00600C09">
      <w:pPr>
        <w:numPr>
          <w:ilvl w:val="1"/>
          <w:numId w:val="37"/>
        </w:numPr>
      </w:pPr>
      <w:r w:rsidRPr="00600C09">
        <w:t>The debtor must physically deliver the asset to the creditor.</w:t>
      </w:r>
    </w:p>
    <w:p w14:paraId="7C09B676" w14:textId="77777777" w:rsidR="00600C09" w:rsidRPr="00600C09" w:rsidRDefault="00600C09" w:rsidP="00600C09">
      <w:pPr>
        <w:numPr>
          <w:ilvl w:val="1"/>
          <w:numId w:val="37"/>
        </w:numPr>
      </w:pPr>
      <w:r w:rsidRPr="00600C09">
        <w:t>Constructive delivery (e.g., by handing over keys or documents of title) may suffice.</w:t>
      </w:r>
    </w:p>
    <w:p w14:paraId="1BA9B4A5" w14:textId="77777777" w:rsidR="00600C09" w:rsidRPr="00600C09" w:rsidRDefault="00600C09" w:rsidP="00600C09">
      <w:pPr>
        <w:numPr>
          <w:ilvl w:val="0"/>
          <w:numId w:val="37"/>
        </w:numPr>
      </w:pPr>
      <w:r w:rsidRPr="00600C09">
        <w:rPr>
          <w:b/>
          <w:bCs/>
        </w:rPr>
        <w:t>Ownership remains with the pledgor</w:t>
      </w:r>
    </w:p>
    <w:p w14:paraId="5883E772" w14:textId="77777777" w:rsidR="00600C09" w:rsidRPr="00600C09" w:rsidRDefault="00600C09" w:rsidP="00600C09">
      <w:pPr>
        <w:numPr>
          <w:ilvl w:val="1"/>
          <w:numId w:val="37"/>
        </w:numPr>
      </w:pPr>
      <w:r w:rsidRPr="00600C09">
        <w:t>The creditor does not become the owner of the pledged asset.</w:t>
      </w:r>
    </w:p>
    <w:p w14:paraId="5752E185" w14:textId="77777777" w:rsidR="00600C09" w:rsidRPr="00600C09" w:rsidRDefault="00600C09" w:rsidP="00600C09">
      <w:pPr>
        <w:numPr>
          <w:ilvl w:val="1"/>
          <w:numId w:val="37"/>
        </w:numPr>
      </w:pPr>
      <w:r w:rsidRPr="00600C09">
        <w:t>If sold upon default, surplus proceeds must be returned to the pledgor.</w:t>
      </w:r>
    </w:p>
    <w:p w14:paraId="21A294BE" w14:textId="77777777" w:rsidR="00600C09" w:rsidRPr="00600C09" w:rsidRDefault="00600C09" w:rsidP="00600C09">
      <w:pPr>
        <w:numPr>
          <w:ilvl w:val="0"/>
          <w:numId w:val="37"/>
        </w:numPr>
      </w:pPr>
      <w:r w:rsidRPr="00600C09">
        <w:rPr>
          <w:b/>
          <w:bCs/>
        </w:rPr>
        <w:t>Obligation of return</w:t>
      </w:r>
    </w:p>
    <w:p w14:paraId="7531064D" w14:textId="77777777" w:rsidR="00600C09" w:rsidRPr="00600C09" w:rsidRDefault="00600C09" w:rsidP="00600C09">
      <w:pPr>
        <w:numPr>
          <w:ilvl w:val="1"/>
          <w:numId w:val="37"/>
        </w:numPr>
      </w:pPr>
      <w:r w:rsidRPr="00600C09">
        <w:t>Once the debt is repaid, the creditor must return the pledged property.</w:t>
      </w:r>
    </w:p>
    <w:p w14:paraId="74CBAA89" w14:textId="77777777" w:rsidR="00600C09" w:rsidRPr="00600C09" w:rsidRDefault="00600C09" w:rsidP="00600C09">
      <w:pPr>
        <w:numPr>
          <w:ilvl w:val="0"/>
          <w:numId w:val="37"/>
        </w:numPr>
      </w:pPr>
      <w:r w:rsidRPr="00600C09">
        <w:rPr>
          <w:b/>
          <w:bCs/>
        </w:rPr>
        <w:t>Creditor’s right of sale</w:t>
      </w:r>
    </w:p>
    <w:p w14:paraId="445A3FA2" w14:textId="77777777" w:rsidR="00600C09" w:rsidRPr="00600C09" w:rsidRDefault="00600C09" w:rsidP="00600C09">
      <w:pPr>
        <w:numPr>
          <w:ilvl w:val="1"/>
          <w:numId w:val="37"/>
        </w:numPr>
      </w:pPr>
      <w:r w:rsidRPr="00600C09">
        <w:t>In case of default, the creditor has the right to sell the pledged asset, usually after giving notice to the debtor.</w:t>
      </w:r>
    </w:p>
    <w:p w14:paraId="5547F90D" w14:textId="77777777" w:rsidR="00600C09" w:rsidRPr="00600C09" w:rsidRDefault="00600C09" w:rsidP="00600C09">
      <w:pPr>
        <w:rPr>
          <w:b/>
          <w:bCs/>
        </w:rPr>
      </w:pPr>
      <w:r w:rsidRPr="00600C09">
        <w:rPr>
          <w:b/>
          <w:bCs/>
        </w:rPr>
        <w:t>2.3.3 Rights and Duties</w:t>
      </w:r>
    </w:p>
    <w:p w14:paraId="452A4156" w14:textId="77777777" w:rsidR="00600C09" w:rsidRPr="00600C09" w:rsidRDefault="00600C09" w:rsidP="00600C09">
      <w:pPr>
        <w:numPr>
          <w:ilvl w:val="0"/>
          <w:numId w:val="38"/>
        </w:numPr>
      </w:pPr>
      <w:r w:rsidRPr="00600C09">
        <w:rPr>
          <w:b/>
          <w:bCs/>
        </w:rPr>
        <w:t>Rights of the Pledgee (Creditor):</w:t>
      </w:r>
    </w:p>
    <w:p w14:paraId="01196360" w14:textId="77777777" w:rsidR="00600C09" w:rsidRPr="00600C09" w:rsidRDefault="00600C09" w:rsidP="00600C09">
      <w:pPr>
        <w:numPr>
          <w:ilvl w:val="1"/>
          <w:numId w:val="38"/>
        </w:numPr>
      </w:pPr>
      <w:r w:rsidRPr="00600C09">
        <w:t>Retain possession until repayment.</w:t>
      </w:r>
    </w:p>
    <w:p w14:paraId="46061944" w14:textId="77777777" w:rsidR="00600C09" w:rsidRPr="00600C09" w:rsidRDefault="00600C09" w:rsidP="00600C09">
      <w:pPr>
        <w:numPr>
          <w:ilvl w:val="1"/>
          <w:numId w:val="38"/>
        </w:numPr>
      </w:pPr>
      <w:r w:rsidRPr="00600C09">
        <w:t>Sell the pledged asset upon default (subject to statutory or contractual requirements).</w:t>
      </w:r>
    </w:p>
    <w:p w14:paraId="730412CD" w14:textId="77777777" w:rsidR="00600C09" w:rsidRPr="00600C09" w:rsidRDefault="00600C09" w:rsidP="00600C09">
      <w:pPr>
        <w:numPr>
          <w:ilvl w:val="1"/>
          <w:numId w:val="38"/>
        </w:numPr>
      </w:pPr>
      <w:r w:rsidRPr="00600C09">
        <w:lastRenderedPageBreak/>
        <w:t>Recover reasonable expenses incurred for preservation of the pledged property.</w:t>
      </w:r>
    </w:p>
    <w:p w14:paraId="7E524A9D" w14:textId="77777777" w:rsidR="00600C09" w:rsidRPr="00600C09" w:rsidRDefault="00600C09" w:rsidP="00600C09">
      <w:pPr>
        <w:numPr>
          <w:ilvl w:val="0"/>
          <w:numId w:val="38"/>
        </w:numPr>
      </w:pPr>
      <w:r w:rsidRPr="00600C09">
        <w:rPr>
          <w:b/>
          <w:bCs/>
        </w:rPr>
        <w:t>Duties of the Pledgee:</w:t>
      </w:r>
    </w:p>
    <w:p w14:paraId="36056AE3" w14:textId="77777777" w:rsidR="00600C09" w:rsidRPr="00600C09" w:rsidRDefault="00600C09" w:rsidP="00600C09">
      <w:pPr>
        <w:numPr>
          <w:ilvl w:val="1"/>
          <w:numId w:val="38"/>
        </w:numPr>
      </w:pPr>
      <w:r w:rsidRPr="00600C09">
        <w:t>Exercise reasonable care over the pledged property.</w:t>
      </w:r>
    </w:p>
    <w:p w14:paraId="08E25811" w14:textId="77777777" w:rsidR="00600C09" w:rsidRPr="00600C09" w:rsidRDefault="00600C09" w:rsidP="00600C09">
      <w:pPr>
        <w:numPr>
          <w:ilvl w:val="1"/>
          <w:numId w:val="38"/>
        </w:numPr>
      </w:pPr>
      <w:r w:rsidRPr="00600C09">
        <w:t>Return the asset once the obligation is discharged.</w:t>
      </w:r>
    </w:p>
    <w:p w14:paraId="6E59303B" w14:textId="77777777" w:rsidR="00600C09" w:rsidRPr="00600C09" w:rsidRDefault="00600C09" w:rsidP="00600C09">
      <w:pPr>
        <w:numPr>
          <w:ilvl w:val="1"/>
          <w:numId w:val="38"/>
        </w:numPr>
      </w:pPr>
      <w:r w:rsidRPr="00600C09">
        <w:t>Account for any income or surplus generated from the property.</w:t>
      </w:r>
    </w:p>
    <w:p w14:paraId="6E9C4024" w14:textId="77777777" w:rsidR="00600C09" w:rsidRPr="00600C09" w:rsidRDefault="00600C09" w:rsidP="00600C09">
      <w:pPr>
        <w:numPr>
          <w:ilvl w:val="0"/>
          <w:numId w:val="38"/>
        </w:numPr>
      </w:pPr>
      <w:r w:rsidRPr="00600C09">
        <w:rPr>
          <w:b/>
          <w:bCs/>
        </w:rPr>
        <w:t>Rights of the Pledgor (Debtor):</w:t>
      </w:r>
    </w:p>
    <w:p w14:paraId="7B5596E4" w14:textId="77777777" w:rsidR="00600C09" w:rsidRPr="00600C09" w:rsidRDefault="00600C09" w:rsidP="00600C09">
      <w:pPr>
        <w:numPr>
          <w:ilvl w:val="1"/>
          <w:numId w:val="38"/>
        </w:numPr>
      </w:pPr>
      <w:r w:rsidRPr="00600C09">
        <w:t>Redeem the pledged asset upon repayment.</w:t>
      </w:r>
    </w:p>
    <w:p w14:paraId="1D8AA5BC" w14:textId="77777777" w:rsidR="00600C09" w:rsidRPr="00600C09" w:rsidRDefault="00600C09" w:rsidP="00600C09">
      <w:pPr>
        <w:numPr>
          <w:ilvl w:val="1"/>
          <w:numId w:val="38"/>
        </w:numPr>
      </w:pPr>
      <w:r w:rsidRPr="00600C09">
        <w:t>Claim damages if the pledgee misuses or negligently handles the property.</w:t>
      </w:r>
    </w:p>
    <w:p w14:paraId="6B04EF57" w14:textId="77777777" w:rsidR="00600C09" w:rsidRPr="00600C09" w:rsidRDefault="00600C09" w:rsidP="00600C09">
      <w:r w:rsidRPr="00600C09">
        <w:t>These rights and duties ensure fairness and prevent abuse, balancing creditor protection with debtor safeguards (Goode, 2013).</w:t>
      </w:r>
    </w:p>
    <w:p w14:paraId="375ED8D6" w14:textId="77777777" w:rsidR="00600C09" w:rsidRPr="00600C09" w:rsidRDefault="00600C09" w:rsidP="00600C09">
      <w:pPr>
        <w:rPr>
          <w:b/>
          <w:bCs/>
        </w:rPr>
      </w:pPr>
      <w:r w:rsidRPr="00600C09">
        <w:rPr>
          <w:b/>
          <w:bCs/>
        </w:rPr>
        <w:t>2.3.4 Applications in Financing</w:t>
      </w:r>
    </w:p>
    <w:p w14:paraId="4CB169E0" w14:textId="77777777" w:rsidR="00600C09" w:rsidRPr="00600C09" w:rsidRDefault="00600C09" w:rsidP="00600C09">
      <w:r w:rsidRPr="00600C09">
        <w:t>Pledges are widely used in commercial financing, particularly where movable property or financial instruments are involved:</w:t>
      </w:r>
    </w:p>
    <w:p w14:paraId="4D3791F0" w14:textId="77777777" w:rsidR="00600C09" w:rsidRPr="00600C09" w:rsidRDefault="00600C09" w:rsidP="00600C09">
      <w:pPr>
        <w:numPr>
          <w:ilvl w:val="0"/>
          <w:numId w:val="39"/>
        </w:numPr>
      </w:pPr>
      <w:r w:rsidRPr="00600C09">
        <w:rPr>
          <w:b/>
          <w:bCs/>
        </w:rPr>
        <w:t>Goods in storage</w:t>
      </w:r>
      <w:r w:rsidRPr="00600C09">
        <w:t>: A borrower may pledge warehouse receipts as security for financing.</w:t>
      </w:r>
    </w:p>
    <w:p w14:paraId="67E67CAD" w14:textId="77777777" w:rsidR="00600C09" w:rsidRPr="00600C09" w:rsidRDefault="00600C09" w:rsidP="00600C09">
      <w:pPr>
        <w:numPr>
          <w:ilvl w:val="0"/>
          <w:numId w:val="39"/>
        </w:numPr>
      </w:pPr>
      <w:r w:rsidRPr="00600C09">
        <w:rPr>
          <w:b/>
          <w:bCs/>
        </w:rPr>
        <w:t>Shares</w:t>
      </w:r>
      <w:r w:rsidRPr="00600C09">
        <w:t>: Company shares are frequently pledged to secure loans, especially in project finance where control of the project company is crucial.</w:t>
      </w:r>
    </w:p>
    <w:p w14:paraId="1049E68C" w14:textId="77777777" w:rsidR="00600C09" w:rsidRPr="00600C09" w:rsidRDefault="00600C09" w:rsidP="00600C09">
      <w:pPr>
        <w:numPr>
          <w:ilvl w:val="0"/>
          <w:numId w:val="39"/>
        </w:numPr>
      </w:pPr>
      <w:r w:rsidRPr="00600C09">
        <w:rPr>
          <w:b/>
          <w:bCs/>
        </w:rPr>
        <w:t>Negotiable instruments</w:t>
      </w:r>
      <w:r w:rsidRPr="00600C09">
        <w:t>: Bills of exchange or promissory notes may be pledged as collateral.</w:t>
      </w:r>
    </w:p>
    <w:p w14:paraId="7E1E3956" w14:textId="77777777" w:rsidR="00600C09" w:rsidRPr="00600C09" w:rsidRDefault="00600C09" w:rsidP="00600C09">
      <w:r w:rsidRPr="00600C09">
        <w:t xml:space="preserve">In </w:t>
      </w:r>
      <w:r w:rsidRPr="00600C09">
        <w:rPr>
          <w:b/>
          <w:bCs/>
        </w:rPr>
        <w:t>project finance</w:t>
      </w:r>
      <w:r w:rsidRPr="00600C09">
        <w:t>, pledges of shares in the project company are especially important. By pledging shares, sponsors provide lenders with indirect control over the project in case of default. If the borrower fails to meet obligations, lenders can enforce the pledge, acquire the shares, and take control of the project company. This mechanism ensures continuity of operations and protects lenders’ interests (Yescombe, 2014).</w:t>
      </w:r>
    </w:p>
    <w:p w14:paraId="688A8616" w14:textId="77777777" w:rsidR="00600C09" w:rsidRPr="00600C09" w:rsidRDefault="00600C09" w:rsidP="00600C09">
      <w:pPr>
        <w:rPr>
          <w:b/>
          <w:bCs/>
        </w:rPr>
      </w:pPr>
      <w:r w:rsidRPr="00600C09">
        <w:rPr>
          <w:b/>
          <w:bCs/>
        </w:rPr>
        <w:t>2.3.5 Limitations</w:t>
      </w:r>
    </w:p>
    <w:p w14:paraId="2546DEEC" w14:textId="77777777" w:rsidR="00600C09" w:rsidRPr="00600C09" w:rsidRDefault="00600C09" w:rsidP="00600C09">
      <w:r w:rsidRPr="00600C09">
        <w:t>Despite its utility, pledging has limitations:</w:t>
      </w:r>
    </w:p>
    <w:p w14:paraId="2AE2D0EA" w14:textId="77777777" w:rsidR="00600C09" w:rsidRPr="00600C09" w:rsidRDefault="00600C09" w:rsidP="00600C09">
      <w:pPr>
        <w:numPr>
          <w:ilvl w:val="0"/>
          <w:numId w:val="40"/>
        </w:numPr>
      </w:pPr>
      <w:r w:rsidRPr="00600C09">
        <w:t>Requires transfer of possession, which may be impractical for certain assets.</w:t>
      </w:r>
    </w:p>
    <w:p w14:paraId="5A7557EE" w14:textId="77777777" w:rsidR="00600C09" w:rsidRPr="00600C09" w:rsidRDefault="00600C09" w:rsidP="00600C09">
      <w:pPr>
        <w:numPr>
          <w:ilvl w:val="0"/>
          <w:numId w:val="40"/>
        </w:numPr>
      </w:pPr>
      <w:r w:rsidRPr="00600C09">
        <w:t>Creditors cannot derive benefit from the pledged property beyond security.</w:t>
      </w:r>
    </w:p>
    <w:p w14:paraId="62BB24C5" w14:textId="77777777" w:rsidR="00600C09" w:rsidRPr="00600C09" w:rsidRDefault="00600C09" w:rsidP="00600C09">
      <w:pPr>
        <w:numPr>
          <w:ilvl w:val="0"/>
          <w:numId w:val="40"/>
        </w:numPr>
      </w:pPr>
      <w:r w:rsidRPr="00600C09">
        <w:t>Enforcement procedures may vary across jurisdictions, creating uncertainty in cross-border financing.</w:t>
      </w:r>
    </w:p>
    <w:p w14:paraId="407E7534" w14:textId="77777777" w:rsidR="00600C09" w:rsidRPr="00600C09" w:rsidRDefault="00600C09" w:rsidP="00600C09">
      <w:r w:rsidRPr="00600C09">
        <w:lastRenderedPageBreak/>
        <w:t>Nevertheless, pledges remain a flexible and widely accepted form of security, particularly in project finance where share pledges play a central role.</w:t>
      </w:r>
    </w:p>
    <w:p w14:paraId="4E632B59" w14:textId="6429575C" w:rsidR="00600C09" w:rsidRPr="00600C09" w:rsidRDefault="00600C09" w:rsidP="00600C09"/>
    <w:p w14:paraId="4D82DEE8" w14:textId="77777777" w:rsidR="00600C09" w:rsidRPr="00600C09" w:rsidRDefault="00600C09" w:rsidP="00600C09">
      <w:pPr>
        <w:rPr>
          <w:b/>
          <w:bCs/>
        </w:rPr>
      </w:pPr>
      <w:r w:rsidRPr="00600C09">
        <w:rPr>
          <w:b/>
          <w:bCs/>
        </w:rPr>
        <w:t>2.4 Charge</w:t>
      </w:r>
    </w:p>
    <w:p w14:paraId="30AE4180" w14:textId="77777777" w:rsidR="00600C09" w:rsidRPr="00600C09" w:rsidRDefault="00600C09" w:rsidP="00600C09">
      <w:pPr>
        <w:rPr>
          <w:b/>
          <w:bCs/>
        </w:rPr>
      </w:pPr>
      <w:r w:rsidRPr="00600C09">
        <w:rPr>
          <w:b/>
          <w:bCs/>
        </w:rPr>
        <w:t>2.4.1 Concept and Definition</w:t>
      </w:r>
    </w:p>
    <w:p w14:paraId="28138F76" w14:textId="77777777" w:rsidR="00600C09" w:rsidRPr="00600C09" w:rsidRDefault="00600C09" w:rsidP="00600C09">
      <w:r w:rsidRPr="00600C09">
        <w:t xml:space="preserve">A </w:t>
      </w:r>
      <w:r w:rsidRPr="00600C09">
        <w:rPr>
          <w:b/>
          <w:bCs/>
        </w:rPr>
        <w:t>charge</w:t>
      </w:r>
      <w:r w:rsidRPr="00600C09">
        <w:t xml:space="preserve"> is a form of security interest created over property, where the borrower (chargor) agrees that specific assets will serve as security for a debt, but without transferring either ownership or possession to the lender (chargee). Unlike a pledge, a charge does not involve delivery of possession; instead, it is a legal arrangement that gives the creditor rights over the asset in case of default (Wood, 2007).</w:t>
      </w:r>
    </w:p>
    <w:p w14:paraId="1173720B" w14:textId="77777777" w:rsidR="00600C09" w:rsidRPr="00600C09" w:rsidRDefault="00600C09" w:rsidP="00600C09">
      <w:r w:rsidRPr="00600C09">
        <w:t>Charges are particularly important in common law jurisdictions such as the United Kingdom, Malaysia, Singapore, and India. They are widely used in corporate and project finance because of their flexibility in covering both current and future assets.</w:t>
      </w:r>
    </w:p>
    <w:p w14:paraId="14EAD11D" w14:textId="77777777" w:rsidR="00600C09" w:rsidRPr="00600C09" w:rsidRDefault="00600C09" w:rsidP="00600C09">
      <w:pPr>
        <w:rPr>
          <w:b/>
          <w:bCs/>
        </w:rPr>
      </w:pPr>
      <w:r w:rsidRPr="00600C09">
        <w:rPr>
          <w:b/>
          <w:bCs/>
        </w:rPr>
        <w:t>2.4.2 Types of Charges</w:t>
      </w:r>
    </w:p>
    <w:p w14:paraId="0F64F318" w14:textId="77777777" w:rsidR="00600C09" w:rsidRPr="00600C09" w:rsidRDefault="00600C09" w:rsidP="00600C09">
      <w:r w:rsidRPr="00600C09">
        <w:t>There are two primary types of charges:</w:t>
      </w:r>
    </w:p>
    <w:p w14:paraId="2ECEA3FB" w14:textId="77777777" w:rsidR="00600C09" w:rsidRPr="00600C09" w:rsidRDefault="00600C09" w:rsidP="00600C09">
      <w:pPr>
        <w:numPr>
          <w:ilvl w:val="0"/>
          <w:numId w:val="41"/>
        </w:numPr>
      </w:pPr>
      <w:r w:rsidRPr="00600C09">
        <w:rPr>
          <w:b/>
          <w:bCs/>
        </w:rPr>
        <w:t>Fixed Charge</w:t>
      </w:r>
    </w:p>
    <w:p w14:paraId="487599DE" w14:textId="77777777" w:rsidR="00600C09" w:rsidRPr="00600C09" w:rsidRDefault="00600C09" w:rsidP="00600C09">
      <w:pPr>
        <w:numPr>
          <w:ilvl w:val="1"/>
          <w:numId w:val="41"/>
        </w:numPr>
      </w:pPr>
      <w:r w:rsidRPr="00600C09">
        <w:t>Attaches to a specific, identifiable asset, such as a piece of machinery, a parcel of land, or receivables.</w:t>
      </w:r>
    </w:p>
    <w:p w14:paraId="629CB0A3" w14:textId="77777777" w:rsidR="00600C09" w:rsidRPr="00600C09" w:rsidRDefault="00600C09" w:rsidP="00600C09">
      <w:pPr>
        <w:numPr>
          <w:ilvl w:val="1"/>
          <w:numId w:val="41"/>
        </w:numPr>
      </w:pPr>
      <w:r w:rsidRPr="00600C09">
        <w:t>The debtor cannot dispose of the asset without the creditor’s consent.</w:t>
      </w:r>
    </w:p>
    <w:p w14:paraId="303158FF" w14:textId="77777777" w:rsidR="00600C09" w:rsidRPr="00600C09" w:rsidRDefault="00600C09" w:rsidP="00600C09">
      <w:pPr>
        <w:numPr>
          <w:ilvl w:val="1"/>
          <w:numId w:val="41"/>
        </w:numPr>
      </w:pPr>
      <w:r w:rsidRPr="00600C09">
        <w:t>Provides strong protection for creditors, as it ensures priority in case of insolvency.</w:t>
      </w:r>
    </w:p>
    <w:p w14:paraId="70300B2C" w14:textId="77777777" w:rsidR="00600C09" w:rsidRPr="00600C09" w:rsidRDefault="00600C09" w:rsidP="00600C09">
      <w:pPr>
        <w:numPr>
          <w:ilvl w:val="0"/>
          <w:numId w:val="41"/>
        </w:numPr>
      </w:pPr>
      <w:r w:rsidRPr="00600C09">
        <w:rPr>
          <w:b/>
          <w:bCs/>
        </w:rPr>
        <w:t>Floating Charge</w:t>
      </w:r>
    </w:p>
    <w:p w14:paraId="7E297D55" w14:textId="77777777" w:rsidR="00600C09" w:rsidRPr="00600C09" w:rsidRDefault="00600C09" w:rsidP="00600C09">
      <w:pPr>
        <w:numPr>
          <w:ilvl w:val="1"/>
          <w:numId w:val="41"/>
        </w:numPr>
      </w:pPr>
      <w:r w:rsidRPr="00600C09">
        <w:t>Covers a pool of assets that change over time, such as inventory, accounts receivable, or cash flow.</w:t>
      </w:r>
    </w:p>
    <w:p w14:paraId="18BA2AE1" w14:textId="77777777" w:rsidR="00600C09" w:rsidRPr="00600C09" w:rsidRDefault="00600C09" w:rsidP="00600C09">
      <w:pPr>
        <w:numPr>
          <w:ilvl w:val="1"/>
          <w:numId w:val="41"/>
        </w:numPr>
      </w:pPr>
      <w:r w:rsidRPr="00600C09">
        <w:t>The debtor may continue to deal with the assets in the ordinary course of business until an event of default occurs.</w:t>
      </w:r>
    </w:p>
    <w:p w14:paraId="390BBD19" w14:textId="77777777" w:rsidR="00600C09" w:rsidRPr="00600C09" w:rsidRDefault="00600C09" w:rsidP="00600C09">
      <w:pPr>
        <w:numPr>
          <w:ilvl w:val="1"/>
          <w:numId w:val="41"/>
        </w:numPr>
      </w:pPr>
      <w:r w:rsidRPr="00600C09">
        <w:t>Upon default, the floating charge “crystallizes” into a fixed charge, giving the creditor specific rights over the assets.</w:t>
      </w:r>
    </w:p>
    <w:p w14:paraId="12624D3D" w14:textId="77777777" w:rsidR="00600C09" w:rsidRPr="00600C09" w:rsidRDefault="00600C09" w:rsidP="00600C09">
      <w:r w:rsidRPr="00600C09">
        <w:t>Floating charges were first recognized in 19th-century English law and have since become a staple of corporate finance (Goode, 2013).</w:t>
      </w:r>
    </w:p>
    <w:p w14:paraId="6039D8E0" w14:textId="77777777" w:rsidR="00600C09" w:rsidRPr="00600C09" w:rsidRDefault="00600C09" w:rsidP="00600C09">
      <w:pPr>
        <w:rPr>
          <w:b/>
          <w:bCs/>
        </w:rPr>
      </w:pPr>
      <w:r w:rsidRPr="00600C09">
        <w:rPr>
          <w:b/>
          <w:bCs/>
        </w:rPr>
        <w:t>2.4.3 Registration and Priority</w:t>
      </w:r>
    </w:p>
    <w:p w14:paraId="264200AA" w14:textId="77777777" w:rsidR="00600C09" w:rsidRPr="00600C09" w:rsidRDefault="00600C09" w:rsidP="00600C09">
      <w:r w:rsidRPr="00600C09">
        <w:lastRenderedPageBreak/>
        <w:t>Charges, particularly floating charges, generally require registration with a central authority to be enforceable against third parties. For example:</w:t>
      </w:r>
    </w:p>
    <w:p w14:paraId="4D2033D4" w14:textId="77777777" w:rsidR="00600C09" w:rsidRPr="00600C09" w:rsidRDefault="00600C09" w:rsidP="00600C09">
      <w:pPr>
        <w:numPr>
          <w:ilvl w:val="0"/>
          <w:numId w:val="42"/>
        </w:numPr>
      </w:pPr>
      <w:r w:rsidRPr="00600C09">
        <w:t>In the UK, charges must be registered with Companies House under the Companies Act 2006.</w:t>
      </w:r>
    </w:p>
    <w:p w14:paraId="67711D16" w14:textId="77777777" w:rsidR="00600C09" w:rsidRPr="00600C09" w:rsidRDefault="00600C09" w:rsidP="00600C09">
      <w:pPr>
        <w:numPr>
          <w:ilvl w:val="0"/>
          <w:numId w:val="42"/>
        </w:numPr>
      </w:pPr>
      <w:r w:rsidRPr="00600C09">
        <w:t>In Malaysia, charges are registered under the Companies Act 2016.</w:t>
      </w:r>
    </w:p>
    <w:p w14:paraId="7975C35C" w14:textId="77777777" w:rsidR="00600C09" w:rsidRPr="00600C09" w:rsidRDefault="00600C09" w:rsidP="00600C09">
      <w:r w:rsidRPr="00600C09">
        <w:t>Failure to register may render the charge void against liquidators or other creditors. Registration thus ensures transparency and provides notice to third parties about encumbrances on assets.</w:t>
      </w:r>
    </w:p>
    <w:p w14:paraId="35D48F9E" w14:textId="77777777" w:rsidR="00600C09" w:rsidRPr="00600C09" w:rsidRDefault="00600C09" w:rsidP="00600C09">
      <w:r w:rsidRPr="00600C09">
        <w:t>Priority of charges depends on:</w:t>
      </w:r>
    </w:p>
    <w:p w14:paraId="36966928" w14:textId="77777777" w:rsidR="00600C09" w:rsidRPr="00600C09" w:rsidRDefault="00600C09" w:rsidP="00600C09">
      <w:pPr>
        <w:numPr>
          <w:ilvl w:val="0"/>
          <w:numId w:val="43"/>
        </w:numPr>
      </w:pPr>
      <w:r w:rsidRPr="00600C09">
        <w:rPr>
          <w:b/>
          <w:bCs/>
        </w:rPr>
        <w:t>Type of charge</w:t>
      </w:r>
      <w:r w:rsidRPr="00600C09">
        <w:t>: Fixed charges usually take priority over floating charges.</w:t>
      </w:r>
    </w:p>
    <w:p w14:paraId="434CE552" w14:textId="77777777" w:rsidR="00600C09" w:rsidRPr="00600C09" w:rsidRDefault="00600C09" w:rsidP="00600C09">
      <w:pPr>
        <w:numPr>
          <w:ilvl w:val="0"/>
          <w:numId w:val="43"/>
        </w:numPr>
      </w:pPr>
      <w:r w:rsidRPr="00600C09">
        <w:rPr>
          <w:b/>
          <w:bCs/>
        </w:rPr>
        <w:t>Timing of registration</w:t>
      </w:r>
      <w:r w:rsidRPr="00600C09">
        <w:t>: Earlier registered charges have priority over later ones.</w:t>
      </w:r>
    </w:p>
    <w:p w14:paraId="780640B2" w14:textId="77777777" w:rsidR="00600C09" w:rsidRPr="00600C09" w:rsidRDefault="00600C09" w:rsidP="00600C09">
      <w:pPr>
        <w:numPr>
          <w:ilvl w:val="0"/>
          <w:numId w:val="43"/>
        </w:numPr>
      </w:pPr>
      <w:r w:rsidRPr="00600C09">
        <w:rPr>
          <w:b/>
          <w:bCs/>
        </w:rPr>
        <w:t>Contractual subordination</w:t>
      </w:r>
      <w:r w:rsidRPr="00600C09">
        <w:t>: Creditors may agree to alter priority through inter-creditor agreements.</w:t>
      </w:r>
    </w:p>
    <w:p w14:paraId="22ECD890" w14:textId="77777777" w:rsidR="00600C09" w:rsidRPr="00600C09" w:rsidRDefault="00600C09" w:rsidP="00600C09">
      <w:pPr>
        <w:rPr>
          <w:b/>
          <w:bCs/>
        </w:rPr>
      </w:pPr>
      <w:r w:rsidRPr="00600C09">
        <w:rPr>
          <w:b/>
          <w:bCs/>
        </w:rPr>
        <w:t>2.4.4 Rights of Chargee and Obligations of Chargor</w:t>
      </w:r>
    </w:p>
    <w:p w14:paraId="733CD55D" w14:textId="77777777" w:rsidR="00600C09" w:rsidRPr="00600C09" w:rsidRDefault="00600C09" w:rsidP="00600C09">
      <w:pPr>
        <w:numPr>
          <w:ilvl w:val="0"/>
          <w:numId w:val="44"/>
        </w:numPr>
      </w:pPr>
      <w:r w:rsidRPr="00600C09">
        <w:rPr>
          <w:b/>
          <w:bCs/>
        </w:rPr>
        <w:t>Rights of the Chargee (Creditor):</w:t>
      </w:r>
    </w:p>
    <w:p w14:paraId="7FD254CE" w14:textId="77777777" w:rsidR="00600C09" w:rsidRPr="00600C09" w:rsidRDefault="00600C09" w:rsidP="00600C09">
      <w:pPr>
        <w:numPr>
          <w:ilvl w:val="1"/>
          <w:numId w:val="44"/>
        </w:numPr>
      </w:pPr>
      <w:r w:rsidRPr="00600C09">
        <w:t>To enforce the charge upon default.</w:t>
      </w:r>
    </w:p>
    <w:p w14:paraId="430C6523" w14:textId="77777777" w:rsidR="00600C09" w:rsidRPr="00600C09" w:rsidRDefault="00600C09" w:rsidP="00600C09">
      <w:pPr>
        <w:numPr>
          <w:ilvl w:val="1"/>
          <w:numId w:val="44"/>
        </w:numPr>
      </w:pPr>
      <w:r w:rsidRPr="00600C09">
        <w:t>To appoint a receiver or manager to realize the charged assets.</w:t>
      </w:r>
    </w:p>
    <w:p w14:paraId="4D90C4C2" w14:textId="77777777" w:rsidR="00600C09" w:rsidRPr="00600C09" w:rsidRDefault="00600C09" w:rsidP="00600C09">
      <w:pPr>
        <w:numPr>
          <w:ilvl w:val="1"/>
          <w:numId w:val="44"/>
        </w:numPr>
      </w:pPr>
      <w:r w:rsidRPr="00600C09">
        <w:t>To claim proceeds from the sale of the asset.</w:t>
      </w:r>
    </w:p>
    <w:p w14:paraId="45D92689" w14:textId="77777777" w:rsidR="00600C09" w:rsidRPr="00600C09" w:rsidRDefault="00600C09" w:rsidP="00600C09">
      <w:pPr>
        <w:numPr>
          <w:ilvl w:val="0"/>
          <w:numId w:val="44"/>
        </w:numPr>
      </w:pPr>
      <w:r w:rsidRPr="00600C09">
        <w:rPr>
          <w:b/>
          <w:bCs/>
        </w:rPr>
        <w:t>Duties of the Chargee:</w:t>
      </w:r>
    </w:p>
    <w:p w14:paraId="36A82A5D" w14:textId="77777777" w:rsidR="00600C09" w:rsidRPr="00600C09" w:rsidRDefault="00600C09" w:rsidP="00600C09">
      <w:pPr>
        <w:numPr>
          <w:ilvl w:val="1"/>
          <w:numId w:val="44"/>
        </w:numPr>
      </w:pPr>
      <w:r w:rsidRPr="00600C09">
        <w:t>Act in good faith and for proper purposes when enforcing.</w:t>
      </w:r>
    </w:p>
    <w:p w14:paraId="6C6E0E65" w14:textId="77777777" w:rsidR="00600C09" w:rsidRPr="00600C09" w:rsidRDefault="00600C09" w:rsidP="00600C09">
      <w:pPr>
        <w:numPr>
          <w:ilvl w:val="1"/>
          <w:numId w:val="44"/>
        </w:numPr>
      </w:pPr>
      <w:r w:rsidRPr="00600C09">
        <w:t>Account for surplus proceeds to the chargor.</w:t>
      </w:r>
    </w:p>
    <w:p w14:paraId="552B2603" w14:textId="77777777" w:rsidR="00600C09" w:rsidRPr="00600C09" w:rsidRDefault="00600C09" w:rsidP="00600C09">
      <w:pPr>
        <w:numPr>
          <w:ilvl w:val="0"/>
          <w:numId w:val="44"/>
        </w:numPr>
      </w:pPr>
      <w:r w:rsidRPr="00600C09">
        <w:rPr>
          <w:b/>
          <w:bCs/>
        </w:rPr>
        <w:t>Rights of the Chargor (Debtor):</w:t>
      </w:r>
    </w:p>
    <w:p w14:paraId="735E1B87" w14:textId="77777777" w:rsidR="00600C09" w:rsidRPr="00600C09" w:rsidRDefault="00600C09" w:rsidP="00600C09">
      <w:pPr>
        <w:numPr>
          <w:ilvl w:val="1"/>
          <w:numId w:val="44"/>
        </w:numPr>
      </w:pPr>
      <w:r w:rsidRPr="00600C09">
        <w:t>To use and deal with assets in the ordinary course of business (floating charge).</w:t>
      </w:r>
    </w:p>
    <w:p w14:paraId="7C52ED18" w14:textId="77777777" w:rsidR="00600C09" w:rsidRPr="00600C09" w:rsidRDefault="00600C09" w:rsidP="00600C09">
      <w:pPr>
        <w:numPr>
          <w:ilvl w:val="1"/>
          <w:numId w:val="44"/>
        </w:numPr>
      </w:pPr>
      <w:r w:rsidRPr="00600C09">
        <w:t>To redeem the asset upon repayment of the debt.</w:t>
      </w:r>
    </w:p>
    <w:p w14:paraId="145EB705" w14:textId="77777777" w:rsidR="00600C09" w:rsidRPr="00600C09" w:rsidRDefault="00600C09" w:rsidP="00600C09">
      <w:r w:rsidRPr="00600C09">
        <w:t>These arrangements make charges highly versatile instruments in modern finance.</w:t>
      </w:r>
    </w:p>
    <w:p w14:paraId="109FF3B1" w14:textId="77777777" w:rsidR="00600C09" w:rsidRPr="00600C09" w:rsidRDefault="00600C09" w:rsidP="00600C09">
      <w:pPr>
        <w:rPr>
          <w:b/>
          <w:bCs/>
        </w:rPr>
      </w:pPr>
      <w:r w:rsidRPr="00600C09">
        <w:rPr>
          <w:b/>
          <w:bCs/>
        </w:rPr>
        <w:t>2.4.5 Application in Project Finance</w:t>
      </w:r>
    </w:p>
    <w:p w14:paraId="63547B9B" w14:textId="77777777" w:rsidR="00600C09" w:rsidRPr="00600C09" w:rsidRDefault="00600C09" w:rsidP="00600C09">
      <w:r w:rsidRPr="00600C09">
        <w:t>Charges are extensively used in project finance due to their ability to cover both present and future assets. Examples include:</w:t>
      </w:r>
    </w:p>
    <w:p w14:paraId="3B16CCE4" w14:textId="77777777" w:rsidR="00600C09" w:rsidRPr="00600C09" w:rsidRDefault="00600C09" w:rsidP="00600C09">
      <w:pPr>
        <w:numPr>
          <w:ilvl w:val="0"/>
          <w:numId w:val="45"/>
        </w:numPr>
      </w:pPr>
      <w:r w:rsidRPr="00600C09">
        <w:rPr>
          <w:b/>
          <w:bCs/>
        </w:rPr>
        <w:t>Fixed charges</w:t>
      </w:r>
      <w:r w:rsidRPr="00600C09">
        <w:t xml:space="preserve"> over project land, buildings, or specific equipment.</w:t>
      </w:r>
    </w:p>
    <w:p w14:paraId="74BF09A9" w14:textId="77777777" w:rsidR="00600C09" w:rsidRPr="00600C09" w:rsidRDefault="00600C09" w:rsidP="00600C09">
      <w:pPr>
        <w:numPr>
          <w:ilvl w:val="0"/>
          <w:numId w:val="45"/>
        </w:numPr>
      </w:pPr>
      <w:r w:rsidRPr="00600C09">
        <w:rPr>
          <w:b/>
          <w:bCs/>
        </w:rPr>
        <w:lastRenderedPageBreak/>
        <w:t>Floating charges</w:t>
      </w:r>
      <w:r w:rsidRPr="00600C09">
        <w:t xml:space="preserve"> over project revenues, receivables, and cash flow.</w:t>
      </w:r>
    </w:p>
    <w:p w14:paraId="5FE2997F" w14:textId="77777777" w:rsidR="00600C09" w:rsidRPr="00600C09" w:rsidRDefault="00600C09" w:rsidP="00600C09">
      <w:pPr>
        <w:numPr>
          <w:ilvl w:val="0"/>
          <w:numId w:val="45"/>
        </w:numPr>
      </w:pPr>
      <w:r w:rsidRPr="00600C09">
        <w:rPr>
          <w:b/>
          <w:bCs/>
        </w:rPr>
        <w:t>Account charges</w:t>
      </w:r>
      <w:r w:rsidRPr="00600C09">
        <w:t xml:space="preserve"> over bank accounts into which project revenues are deposited.</w:t>
      </w:r>
    </w:p>
    <w:p w14:paraId="132775C8" w14:textId="77777777" w:rsidR="00600C09" w:rsidRPr="00600C09" w:rsidRDefault="00600C09" w:rsidP="00600C09">
      <w:r w:rsidRPr="00600C09">
        <w:t>A typical project finance package may involve:</w:t>
      </w:r>
    </w:p>
    <w:p w14:paraId="6BDE288F" w14:textId="77777777" w:rsidR="00600C09" w:rsidRPr="00600C09" w:rsidRDefault="00600C09" w:rsidP="00600C09">
      <w:pPr>
        <w:numPr>
          <w:ilvl w:val="0"/>
          <w:numId w:val="46"/>
        </w:numPr>
      </w:pPr>
      <w:r w:rsidRPr="00600C09">
        <w:t>A fixed charge over the concessionaire’s land.</w:t>
      </w:r>
    </w:p>
    <w:p w14:paraId="44C6EAEA" w14:textId="77777777" w:rsidR="00600C09" w:rsidRPr="00600C09" w:rsidRDefault="00600C09" w:rsidP="00600C09">
      <w:pPr>
        <w:numPr>
          <w:ilvl w:val="0"/>
          <w:numId w:val="46"/>
        </w:numPr>
      </w:pPr>
      <w:r w:rsidRPr="00600C09">
        <w:t>A floating charge over receivables from toll collections.</w:t>
      </w:r>
    </w:p>
    <w:p w14:paraId="1E2EDB51" w14:textId="77777777" w:rsidR="00600C09" w:rsidRPr="00600C09" w:rsidRDefault="00600C09" w:rsidP="00600C09">
      <w:pPr>
        <w:numPr>
          <w:ilvl w:val="0"/>
          <w:numId w:val="46"/>
        </w:numPr>
      </w:pPr>
      <w:r w:rsidRPr="00600C09">
        <w:t>An account charge over debt service reserve accounts.</w:t>
      </w:r>
    </w:p>
    <w:p w14:paraId="06A070C5" w14:textId="77777777" w:rsidR="00600C09" w:rsidRPr="00600C09" w:rsidRDefault="00600C09" w:rsidP="00600C09">
      <w:r w:rsidRPr="00600C09">
        <w:t>This layered approach ensures that lenders have recourse not only to physical assets but also to the cash flows that are the lifeblood of project finance (Yescombe, 2014).</w:t>
      </w:r>
    </w:p>
    <w:p w14:paraId="5412EDD6" w14:textId="77777777" w:rsidR="00600C09" w:rsidRPr="00600C09" w:rsidRDefault="00600C09" w:rsidP="00600C09">
      <w:pPr>
        <w:rPr>
          <w:b/>
          <w:bCs/>
        </w:rPr>
      </w:pPr>
      <w:r w:rsidRPr="00600C09">
        <w:rPr>
          <w:b/>
          <w:bCs/>
        </w:rPr>
        <w:t>2.4.6 Advantages and Limitations</w:t>
      </w:r>
    </w:p>
    <w:p w14:paraId="753B1463" w14:textId="77777777" w:rsidR="00600C09" w:rsidRPr="00600C09" w:rsidRDefault="00600C09" w:rsidP="00600C09">
      <w:r w:rsidRPr="00600C09">
        <w:rPr>
          <w:b/>
          <w:bCs/>
        </w:rPr>
        <w:t>Advantages:</w:t>
      </w:r>
    </w:p>
    <w:p w14:paraId="768A1E83" w14:textId="77777777" w:rsidR="00600C09" w:rsidRPr="00600C09" w:rsidRDefault="00600C09" w:rsidP="00600C09">
      <w:pPr>
        <w:numPr>
          <w:ilvl w:val="0"/>
          <w:numId w:val="47"/>
        </w:numPr>
      </w:pPr>
      <w:r w:rsidRPr="00600C09">
        <w:t>Flexible: can cover a wide range of assets.</w:t>
      </w:r>
    </w:p>
    <w:p w14:paraId="2BC16DDE" w14:textId="77777777" w:rsidR="00600C09" w:rsidRPr="00600C09" w:rsidRDefault="00600C09" w:rsidP="00600C09">
      <w:pPr>
        <w:numPr>
          <w:ilvl w:val="0"/>
          <w:numId w:val="47"/>
        </w:numPr>
      </w:pPr>
      <w:r w:rsidRPr="00600C09">
        <w:t>Future-proof: floating charges capture assets acquired after the charge is created.</w:t>
      </w:r>
    </w:p>
    <w:p w14:paraId="36A0B53E" w14:textId="77777777" w:rsidR="00600C09" w:rsidRPr="00600C09" w:rsidRDefault="00600C09" w:rsidP="00600C09">
      <w:pPr>
        <w:numPr>
          <w:ilvl w:val="0"/>
          <w:numId w:val="47"/>
        </w:numPr>
      </w:pPr>
      <w:r w:rsidRPr="00600C09">
        <w:t>Effective in project finance, where revenues and receivables are key.</w:t>
      </w:r>
    </w:p>
    <w:p w14:paraId="4E55CBF6" w14:textId="77777777" w:rsidR="00600C09" w:rsidRPr="00600C09" w:rsidRDefault="00600C09" w:rsidP="00600C09">
      <w:r w:rsidRPr="00600C09">
        <w:rPr>
          <w:b/>
          <w:bCs/>
        </w:rPr>
        <w:t>Limitations:</w:t>
      </w:r>
    </w:p>
    <w:p w14:paraId="4C7E7E4C" w14:textId="77777777" w:rsidR="00600C09" w:rsidRPr="00600C09" w:rsidRDefault="00600C09" w:rsidP="00600C09">
      <w:pPr>
        <w:numPr>
          <w:ilvl w:val="0"/>
          <w:numId w:val="48"/>
        </w:numPr>
      </w:pPr>
      <w:r w:rsidRPr="00600C09">
        <w:t>Floating charges are subordinate to fixed charges.</w:t>
      </w:r>
    </w:p>
    <w:p w14:paraId="2BC012F6" w14:textId="77777777" w:rsidR="00600C09" w:rsidRPr="00600C09" w:rsidRDefault="00600C09" w:rsidP="00600C09">
      <w:pPr>
        <w:numPr>
          <w:ilvl w:val="0"/>
          <w:numId w:val="48"/>
        </w:numPr>
      </w:pPr>
      <w:r w:rsidRPr="00600C09">
        <w:t>Enforcement may be complicated in insolvency proceedings.</w:t>
      </w:r>
    </w:p>
    <w:p w14:paraId="02A429AF" w14:textId="77777777" w:rsidR="00600C09" w:rsidRPr="00600C09" w:rsidRDefault="00600C09" w:rsidP="00600C09">
      <w:pPr>
        <w:numPr>
          <w:ilvl w:val="0"/>
          <w:numId w:val="48"/>
        </w:numPr>
      </w:pPr>
      <w:r w:rsidRPr="00600C09">
        <w:t>Priority disputes may arise if charges are not properly registered.</w:t>
      </w:r>
    </w:p>
    <w:p w14:paraId="6EDFC888" w14:textId="77777777" w:rsidR="00600C09" w:rsidRPr="00600C09" w:rsidRDefault="00600C09" w:rsidP="00600C09">
      <w:r w:rsidRPr="00600C09">
        <w:t>Despite these limitations, charges remain indispensable in modern project finance. Their flexibility allows financiers to secure both tangible and intangible assets, making them more comprehensive than mortgages or pledges alone.</w:t>
      </w:r>
    </w:p>
    <w:p w14:paraId="57643B05" w14:textId="4AF15017" w:rsidR="00600C09" w:rsidRPr="00600C09" w:rsidRDefault="00600C09" w:rsidP="00600C09"/>
    <w:p w14:paraId="3B391864" w14:textId="77777777" w:rsidR="00600C09" w:rsidRPr="00600C09" w:rsidRDefault="00600C09" w:rsidP="00600C09">
      <w:pPr>
        <w:rPr>
          <w:b/>
          <w:bCs/>
        </w:rPr>
      </w:pPr>
      <w:r w:rsidRPr="00600C09">
        <w:rPr>
          <w:b/>
          <w:bCs/>
        </w:rPr>
        <w:t>2.5 Lien</w:t>
      </w:r>
    </w:p>
    <w:p w14:paraId="18698B8C" w14:textId="77777777" w:rsidR="00600C09" w:rsidRPr="00600C09" w:rsidRDefault="00600C09" w:rsidP="00600C09">
      <w:pPr>
        <w:rPr>
          <w:b/>
          <w:bCs/>
        </w:rPr>
      </w:pPr>
      <w:r w:rsidRPr="00600C09">
        <w:rPr>
          <w:b/>
          <w:bCs/>
        </w:rPr>
        <w:t>2.5.1 Concept and Definition</w:t>
      </w:r>
    </w:p>
    <w:p w14:paraId="241B3DD2" w14:textId="77777777" w:rsidR="00600C09" w:rsidRPr="00600C09" w:rsidRDefault="00600C09" w:rsidP="00600C09">
      <w:r w:rsidRPr="00600C09">
        <w:t xml:space="preserve">A </w:t>
      </w:r>
      <w:r w:rsidRPr="00600C09">
        <w:rPr>
          <w:b/>
          <w:bCs/>
        </w:rPr>
        <w:t>lien</w:t>
      </w:r>
      <w:r w:rsidRPr="00600C09">
        <w:t xml:space="preserve"> is the right of a creditor to retain possession of a debtor’s property until a debt or obligation is satisfied. Unlike a mortgage or a pledge, a lien does not confer ownership or a power of sale unless specifically provided by law or contract. Instead, it is essentially a passive right — the right to keep possession as leverage until repayment is made (Goode, 2013).</w:t>
      </w:r>
    </w:p>
    <w:p w14:paraId="441F7176" w14:textId="77777777" w:rsidR="00600C09" w:rsidRDefault="00600C09" w:rsidP="00600C09">
      <w:r w:rsidRPr="00600C09">
        <w:lastRenderedPageBreak/>
        <w:t>The concept of lien is deeply rooted in commercial practice. In medieval England, artisans, innkeepers, and carriers developed customary rights to retain goods until paid. Over time, these customs were recognized by courts and codified into statutory law. Today, liens are an established feature of both common law and civil law systems, though their scope and enforceability vary across jurisdictions (Wood, 2007).</w:t>
      </w:r>
    </w:p>
    <w:p w14:paraId="7980929B" w14:textId="77777777" w:rsidR="004E3C00" w:rsidRPr="00600C09" w:rsidRDefault="004E3C00" w:rsidP="00600C09"/>
    <w:p w14:paraId="0550A359" w14:textId="77777777" w:rsidR="00600C09" w:rsidRPr="00600C09" w:rsidRDefault="00600C09" w:rsidP="00600C09">
      <w:pPr>
        <w:rPr>
          <w:b/>
          <w:bCs/>
        </w:rPr>
      </w:pPr>
      <w:r w:rsidRPr="00600C09">
        <w:rPr>
          <w:b/>
          <w:bCs/>
        </w:rPr>
        <w:t>2.5.2 Types of Liens</w:t>
      </w:r>
    </w:p>
    <w:p w14:paraId="01973AE4" w14:textId="77777777" w:rsidR="00600C09" w:rsidRPr="00600C09" w:rsidRDefault="00600C09" w:rsidP="00600C09">
      <w:r w:rsidRPr="00600C09">
        <w:t>Liens are generally classified into the following categories:</w:t>
      </w:r>
    </w:p>
    <w:p w14:paraId="21BB0117" w14:textId="77777777" w:rsidR="00600C09" w:rsidRPr="00600C09" w:rsidRDefault="00600C09" w:rsidP="00600C09">
      <w:pPr>
        <w:numPr>
          <w:ilvl w:val="0"/>
          <w:numId w:val="51"/>
        </w:numPr>
      </w:pPr>
      <w:r w:rsidRPr="00600C09">
        <w:rPr>
          <w:b/>
          <w:bCs/>
        </w:rPr>
        <w:t>Possessory Lien</w:t>
      </w:r>
    </w:p>
    <w:p w14:paraId="1E25950B" w14:textId="77777777" w:rsidR="00600C09" w:rsidRPr="00600C09" w:rsidRDefault="00600C09" w:rsidP="00600C09">
      <w:pPr>
        <w:numPr>
          <w:ilvl w:val="1"/>
          <w:numId w:val="51"/>
        </w:numPr>
      </w:pPr>
      <w:r w:rsidRPr="00600C09">
        <w:t>Arises when a creditor is in lawful possession of goods and may retain them until the debt is paid.</w:t>
      </w:r>
    </w:p>
    <w:p w14:paraId="22D38321" w14:textId="77777777" w:rsidR="00600C09" w:rsidRPr="00600C09" w:rsidRDefault="00600C09" w:rsidP="00600C09">
      <w:pPr>
        <w:numPr>
          <w:ilvl w:val="1"/>
          <w:numId w:val="51"/>
        </w:numPr>
      </w:pPr>
      <w:r w:rsidRPr="00600C09">
        <w:t>Common examples include a mechanic’s lien over repaired vehicles or a carrier’s lien over goods being transported.</w:t>
      </w:r>
    </w:p>
    <w:p w14:paraId="275A46B2" w14:textId="77777777" w:rsidR="00600C09" w:rsidRPr="00600C09" w:rsidRDefault="00600C09" w:rsidP="00600C09">
      <w:pPr>
        <w:numPr>
          <w:ilvl w:val="0"/>
          <w:numId w:val="51"/>
        </w:numPr>
      </w:pPr>
      <w:r w:rsidRPr="00600C09">
        <w:rPr>
          <w:b/>
          <w:bCs/>
        </w:rPr>
        <w:t>Contractual Lien</w:t>
      </w:r>
    </w:p>
    <w:p w14:paraId="4D56D140" w14:textId="77777777" w:rsidR="00600C09" w:rsidRPr="00600C09" w:rsidRDefault="00600C09" w:rsidP="00600C09">
      <w:pPr>
        <w:numPr>
          <w:ilvl w:val="1"/>
          <w:numId w:val="51"/>
        </w:numPr>
      </w:pPr>
      <w:r w:rsidRPr="00600C09">
        <w:t>Created by agreement between the parties, expanding or limiting the scope of lien rights.</w:t>
      </w:r>
    </w:p>
    <w:p w14:paraId="16A65763" w14:textId="77777777" w:rsidR="00600C09" w:rsidRPr="00600C09" w:rsidRDefault="00600C09" w:rsidP="00600C09">
      <w:pPr>
        <w:numPr>
          <w:ilvl w:val="1"/>
          <w:numId w:val="51"/>
        </w:numPr>
      </w:pPr>
      <w:r w:rsidRPr="00600C09">
        <w:t>For instance, a warehouse operator may contractually stipulate a lien over all goods stored until charges are paid.</w:t>
      </w:r>
    </w:p>
    <w:p w14:paraId="06732591" w14:textId="77777777" w:rsidR="00600C09" w:rsidRPr="00600C09" w:rsidRDefault="00600C09" w:rsidP="00600C09">
      <w:pPr>
        <w:numPr>
          <w:ilvl w:val="0"/>
          <w:numId w:val="51"/>
        </w:numPr>
      </w:pPr>
      <w:r w:rsidRPr="00600C09">
        <w:rPr>
          <w:b/>
          <w:bCs/>
        </w:rPr>
        <w:t>Equitable Lien</w:t>
      </w:r>
    </w:p>
    <w:p w14:paraId="0A74F2C9" w14:textId="77777777" w:rsidR="00600C09" w:rsidRPr="00600C09" w:rsidRDefault="00600C09" w:rsidP="00600C09">
      <w:pPr>
        <w:numPr>
          <w:ilvl w:val="1"/>
          <w:numId w:val="51"/>
        </w:numPr>
      </w:pPr>
      <w:r w:rsidRPr="00600C09">
        <w:t>Recognized by courts of equity, even without possession, where fairness requires that a lien be imposed.</w:t>
      </w:r>
    </w:p>
    <w:p w14:paraId="4392CAF5" w14:textId="77777777" w:rsidR="00600C09" w:rsidRPr="00600C09" w:rsidRDefault="00600C09" w:rsidP="00600C09">
      <w:pPr>
        <w:numPr>
          <w:ilvl w:val="1"/>
          <w:numId w:val="51"/>
        </w:numPr>
      </w:pPr>
      <w:r w:rsidRPr="00600C09">
        <w:t>For example, in cases where property was acquired through fraud, courts may declare an equitable lien in favor of the victim.</w:t>
      </w:r>
    </w:p>
    <w:p w14:paraId="7180ECD9" w14:textId="77777777" w:rsidR="00600C09" w:rsidRPr="00600C09" w:rsidRDefault="00600C09" w:rsidP="00600C09">
      <w:pPr>
        <w:numPr>
          <w:ilvl w:val="0"/>
          <w:numId w:val="51"/>
        </w:numPr>
      </w:pPr>
      <w:r w:rsidRPr="00600C09">
        <w:rPr>
          <w:b/>
          <w:bCs/>
        </w:rPr>
        <w:t>Statutory Lien</w:t>
      </w:r>
    </w:p>
    <w:p w14:paraId="7A0B247C" w14:textId="77777777" w:rsidR="00600C09" w:rsidRPr="00600C09" w:rsidRDefault="00600C09" w:rsidP="00600C09">
      <w:pPr>
        <w:numPr>
          <w:ilvl w:val="1"/>
          <w:numId w:val="51"/>
        </w:numPr>
      </w:pPr>
      <w:r w:rsidRPr="00600C09">
        <w:t>Created by legislation to protect certain classes of creditors.</w:t>
      </w:r>
    </w:p>
    <w:p w14:paraId="1883995E" w14:textId="77777777" w:rsidR="00600C09" w:rsidRPr="00600C09" w:rsidRDefault="00600C09" w:rsidP="00600C09">
      <w:pPr>
        <w:numPr>
          <w:ilvl w:val="1"/>
          <w:numId w:val="51"/>
        </w:numPr>
      </w:pPr>
      <w:r w:rsidRPr="00600C09">
        <w:t>For example, maritime law recognizes liens in favor of ship repairers or salvors.</w:t>
      </w:r>
    </w:p>
    <w:p w14:paraId="0B9F696B" w14:textId="77777777" w:rsidR="00600C09" w:rsidRPr="00600C09" w:rsidRDefault="00600C09" w:rsidP="00600C09">
      <w:pPr>
        <w:rPr>
          <w:b/>
          <w:bCs/>
        </w:rPr>
      </w:pPr>
      <w:r w:rsidRPr="00600C09">
        <w:rPr>
          <w:b/>
          <w:bCs/>
        </w:rPr>
        <w:t>2.5.3 Characteristics of Liens</w:t>
      </w:r>
    </w:p>
    <w:p w14:paraId="7D9BDF2C" w14:textId="77777777" w:rsidR="00600C09" w:rsidRPr="00600C09" w:rsidRDefault="00600C09" w:rsidP="00600C09">
      <w:r w:rsidRPr="00600C09">
        <w:t>Key features include:</w:t>
      </w:r>
    </w:p>
    <w:p w14:paraId="5FCD88C1" w14:textId="77777777" w:rsidR="00600C09" w:rsidRPr="00600C09" w:rsidRDefault="00600C09" w:rsidP="00600C09">
      <w:pPr>
        <w:numPr>
          <w:ilvl w:val="0"/>
          <w:numId w:val="52"/>
        </w:numPr>
      </w:pPr>
      <w:r w:rsidRPr="00600C09">
        <w:rPr>
          <w:b/>
          <w:bCs/>
        </w:rPr>
        <w:t>Retention, not ownership</w:t>
      </w:r>
      <w:r w:rsidRPr="00600C09">
        <w:t>: The lienholder cannot use or sell the asset unless expressly authorized.</w:t>
      </w:r>
    </w:p>
    <w:p w14:paraId="6B0431FF" w14:textId="77777777" w:rsidR="00600C09" w:rsidRPr="00600C09" w:rsidRDefault="00600C09" w:rsidP="00600C09">
      <w:pPr>
        <w:numPr>
          <w:ilvl w:val="0"/>
          <w:numId w:val="52"/>
        </w:numPr>
      </w:pPr>
      <w:r w:rsidRPr="00600C09">
        <w:rPr>
          <w:b/>
          <w:bCs/>
        </w:rPr>
        <w:lastRenderedPageBreak/>
        <w:t>Dependent on possession</w:t>
      </w:r>
      <w:r w:rsidRPr="00600C09">
        <w:t>: Most liens are lost if possession is voluntarily relinquished.</w:t>
      </w:r>
    </w:p>
    <w:p w14:paraId="1AFEF455" w14:textId="77777777" w:rsidR="00600C09" w:rsidRPr="00600C09" w:rsidRDefault="00600C09" w:rsidP="00600C09">
      <w:pPr>
        <w:numPr>
          <w:ilvl w:val="0"/>
          <w:numId w:val="52"/>
        </w:numPr>
      </w:pPr>
      <w:r w:rsidRPr="00600C09">
        <w:rPr>
          <w:b/>
          <w:bCs/>
        </w:rPr>
        <w:t>Limited scope</w:t>
      </w:r>
      <w:r w:rsidRPr="00600C09">
        <w:t>: Liens usually apply only to the specific debt for which the creditor has provided services.</w:t>
      </w:r>
    </w:p>
    <w:p w14:paraId="41F01B8C" w14:textId="77777777" w:rsidR="00600C09" w:rsidRPr="00600C09" w:rsidRDefault="00600C09" w:rsidP="00600C09">
      <w:pPr>
        <w:rPr>
          <w:b/>
          <w:bCs/>
        </w:rPr>
      </w:pPr>
      <w:r w:rsidRPr="00600C09">
        <w:rPr>
          <w:b/>
          <w:bCs/>
        </w:rPr>
        <w:t>2.5.4 Rights and Duties</w:t>
      </w:r>
    </w:p>
    <w:p w14:paraId="335DAC51" w14:textId="77777777" w:rsidR="00600C09" w:rsidRPr="00600C09" w:rsidRDefault="00600C09" w:rsidP="00600C09">
      <w:pPr>
        <w:numPr>
          <w:ilvl w:val="0"/>
          <w:numId w:val="53"/>
        </w:numPr>
      </w:pPr>
      <w:r w:rsidRPr="00600C09">
        <w:rPr>
          <w:b/>
          <w:bCs/>
        </w:rPr>
        <w:t>Rights of the Lienholder:</w:t>
      </w:r>
    </w:p>
    <w:p w14:paraId="2BA86CD4" w14:textId="77777777" w:rsidR="00600C09" w:rsidRPr="00600C09" w:rsidRDefault="00600C09" w:rsidP="00600C09">
      <w:pPr>
        <w:numPr>
          <w:ilvl w:val="1"/>
          <w:numId w:val="53"/>
        </w:numPr>
      </w:pPr>
      <w:r w:rsidRPr="00600C09">
        <w:t>Retain possession until payment.</w:t>
      </w:r>
    </w:p>
    <w:p w14:paraId="7763CCD7" w14:textId="77777777" w:rsidR="00600C09" w:rsidRPr="00600C09" w:rsidRDefault="00600C09" w:rsidP="00600C09">
      <w:pPr>
        <w:numPr>
          <w:ilvl w:val="1"/>
          <w:numId w:val="53"/>
        </w:numPr>
      </w:pPr>
      <w:r w:rsidRPr="00600C09">
        <w:t>In some cases, exercise a power of sale (statutory liens).</w:t>
      </w:r>
    </w:p>
    <w:p w14:paraId="4AB64D6A" w14:textId="77777777" w:rsidR="00600C09" w:rsidRPr="00600C09" w:rsidRDefault="00600C09" w:rsidP="00600C09">
      <w:pPr>
        <w:numPr>
          <w:ilvl w:val="0"/>
          <w:numId w:val="53"/>
        </w:numPr>
      </w:pPr>
      <w:r w:rsidRPr="00600C09">
        <w:rPr>
          <w:b/>
          <w:bCs/>
        </w:rPr>
        <w:t>Duties of the Lienholder:</w:t>
      </w:r>
    </w:p>
    <w:p w14:paraId="4EC4B858" w14:textId="77777777" w:rsidR="00600C09" w:rsidRPr="00600C09" w:rsidRDefault="00600C09" w:rsidP="00600C09">
      <w:pPr>
        <w:numPr>
          <w:ilvl w:val="1"/>
          <w:numId w:val="53"/>
        </w:numPr>
      </w:pPr>
      <w:r w:rsidRPr="00600C09">
        <w:t>Exercise reasonable care over goods.</w:t>
      </w:r>
    </w:p>
    <w:p w14:paraId="6BE0E3D4" w14:textId="77777777" w:rsidR="00600C09" w:rsidRPr="00600C09" w:rsidRDefault="00600C09" w:rsidP="00600C09">
      <w:pPr>
        <w:numPr>
          <w:ilvl w:val="1"/>
          <w:numId w:val="53"/>
        </w:numPr>
      </w:pPr>
      <w:r w:rsidRPr="00600C09">
        <w:t>Return goods promptly once the debt is discharged.</w:t>
      </w:r>
    </w:p>
    <w:p w14:paraId="2D913061" w14:textId="77777777" w:rsidR="00600C09" w:rsidRPr="00600C09" w:rsidRDefault="00600C09" w:rsidP="00600C09">
      <w:pPr>
        <w:numPr>
          <w:ilvl w:val="0"/>
          <w:numId w:val="53"/>
        </w:numPr>
      </w:pPr>
      <w:r w:rsidRPr="00600C09">
        <w:rPr>
          <w:b/>
          <w:bCs/>
        </w:rPr>
        <w:t>Rights of the Debtor:</w:t>
      </w:r>
    </w:p>
    <w:p w14:paraId="35F9D686" w14:textId="77777777" w:rsidR="00600C09" w:rsidRPr="00600C09" w:rsidRDefault="00600C09" w:rsidP="00600C09">
      <w:pPr>
        <w:numPr>
          <w:ilvl w:val="1"/>
          <w:numId w:val="53"/>
        </w:numPr>
      </w:pPr>
      <w:r w:rsidRPr="00600C09">
        <w:t>Redeem the goods upon repayment.</w:t>
      </w:r>
    </w:p>
    <w:p w14:paraId="4CA7B1FD" w14:textId="77777777" w:rsidR="00600C09" w:rsidRPr="00600C09" w:rsidRDefault="00600C09" w:rsidP="00600C09">
      <w:pPr>
        <w:numPr>
          <w:ilvl w:val="1"/>
          <w:numId w:val="53"/>
        </w:numPr>
      </w:pPr>
      <w:r w:rsidRPr="00600C09">
        <w:t>Challenge unlawful detention of property.</w:t>
      </w:r>
    </w:p>
    <w:p w14:paraId="5864128C" w14:textId="77777777" w:rsidR="00600C09" w:rsidRPr="00600C09" w:rsidRDefault="00600C09" w:rsidP="00600C09">
      <w:pPr>
        <w:rPr>
          <w:b/>
          <w:bCs/>
        </w:rPr>
      </w:pPr>
      <w:r w:rsidRPr="00600C09">
        <w:rPr>
          <w:b/>
          <w:bCs/>
        </w:rPr>
        <w:t>2.5.5 Application in Financing</w:t>
      </w:r>
    </w:p>
    <w:p w14:paraId="12286452" w14:textId="77777777" w:rsidR="00600C09" w:rsidRPr="00600C09" w:rsidRDefault="00600C09" w:rsidP="00600C09">
      <w:r w:rsidRPr="00600C09">
        <w:t>While liens are less prominent in modern project finance compared to mortgages, pledges, and charges, they still play a role:</w:t>
      </w:r>
    </w:p>
    <w:p w14:paraId="329D6100" w14:textId="77777777" w:rsidR="00600C09" w:rsidRPr="00600C09" w:rsidRDefault="00600C09" w:rsidP="00600C09">
      <w:pPr>
        <w:numPr>
          <w:ilvl w:val="0"/>
          <w:numId w:val="54"/>
        </w:numPr>
      </w:pPr>
      <w:r w:rsidRPr="00600C09">
        <w:rPr>
          <w:b/>
          <w:bCs/>
        </w:rPr>
        <w:t>Contractor liens</w:t>
      </w:r>
      <w:r w:rsidRPr="00600C09">
        <w:t>: Construction contractors may assert statutory liens over project assets if unpaid.</w:t>
      </w:r>
    </w:p>
    <w:p w14:paraId="5A9F1437" w14:textId="77777777" w:rsidR="00600C09" w:rsidRPr="00600C09" w:rsidRDefault="00600C09" w:rsidP="00600C09">
      <w:pPr>
        <w:numPr>
          <w:ilvl w:val="0"/>
          <w:numId w:val="54"/>
        </w:numPr>
      </w:pPr>
      <w:r w:rsidRPr="00600C09">
        <w:rPr>
          <w:b/>
          <w:bCs/>
        </w:rPr>
        <w:t>Bankers’ liens</w:t>
      </w:r>
      <w:r w:rsidRPr="00600C09">
        <w:t>: Banks may claim a lien over securities or documents deposited by customers.</w:t>
      </w:r>
    </w:p>
    <w:p w14:paraId="23D76C4E" w14:textId="77777777" w:rsidR="00600C09" w:rsidRPr="00600C09" w:rsidRDefault="00600C09" w:rsidP="00600C09">
      <w:pPr>
        <w:numPr>
          <w:ilvl w:val="0"/>
          <w:numId w:val="54"/>
        </w:numPr>
      </w:pPr>
      <w:r w:rsidRPr="00600C09">
        <w:rPr>
          <w:b/>
          <w:bCs/>
        </w:rPr>
        <w:t>Maritime liens</w:t>
      </w:r>
      <w:r w:rsidRPr="00600C09">
        <w:t>: Relevant in ship-financing projects, where creditors have priority claims over vessels.</w:t>
      </w:r>
    </w:p>
    <w:p w14:paraId="1A62BC83" w14:textId="77777777" w:rsidR="00600C09" w:rsidRPr="00600C09" w:rsidRDefault="00600C09" w:rsidP="00600C09">
      <w:r w:rsidRPr="00600C09">
        <w:t>Liens thus remain relevant, though often supplementary, in the overall security package of project finance.</w:t>
      </w:r>
    </w:p>
    <w:p w14:paraId="58E6AEB4" w14:textId="77777777" w:rsidR="00600C09" w:rsidRPr="00600C09" w:rsidRDefault="00600C09" w:rsidP="00600C09">
      <w:pPr>
        <w:rPr>
          <w:b/>
          <w:bCs/>
        </w:rPr>
      </w:pPr>
      <w:r w:rsidRPr="00600C09">
        <w:rPr>
          <w:b/>
          <w:bCs/>
        </w:rPr>
        <w:t>2.5.6 Limitations</w:t>
      </w:r>
    </w:p>
    <w:p w14:paraId="24C90350" w14:textId="77777777" w:rsidR="00600C09" w:rsidRPr="00600C09" w:rsidRDefault="00600C09" w:rsidP="00600C09">
      <w:r w:rsidRPr="00600C09">
        <w:t>Liens have significant limitations:</w:t>
      </w:r>
    </w:p>
    <w:p w14:paraId="4E90D852" w14:textId="77777777" w:rsidR="00600C09" w:rsidRPr="00600C09" w:rsidRDefault="00600C09" w:rsidP="00600C09">
      <w:pPr>
        <w:numPr>
          <w:ilvl w:val="0"/>
          <w:numId w:val="55"/>
        </w:numPr>
      </w:pPr>
      <w:r w:rsidRPr="00600C09">
        <w:t>They do not transfer ownership or control.</w:t>
      </w:r>
    </w:p>
    <w:p w14:paraId="25C7ADD6" w14:textId="77777777" w:rsidR="00600C09" w:rsidRPr="00600C09" w:rsidRDefault="00600C09" w:rsidP="00600C09">
      <w:pPr>
        <w:numPr>
          <w:ilvl w:val="0"/>
          <w:numId w:val="55"/>
        </w:numPr>
      </w:pPr>
      <w:r w:rsidRPr="00600C09">
        <w:t>They are easily lost upon surrender of possession.</w:t>
      </w:r>
    </w:p>
    <w:p w14:paraId="7864C1BB" w14:textId="77777777" w:rsidR="00600C09" w:rsidRPr="00600C09" w:rsidRDefault="00600C09" w:rsidP="00600C09">
      <w:pPr>
        <w:numPr>
          <w:ilvl w:val="0"/>
          <w:numId w:val="55"/>
        </w:numPr>
      </w:pPr>
      <w:r w:rsidRPr="00600C09">
        <w:t>Their scope is narrow, often limited to specific debts.</w:t>
      </w:r>
    </w:p>
    <w:p w14:paraId="4C691EB7" w14:textId="77777777" w:rsidR="00600C09" w:rsidRPr="00600C09" w:rsidRDefault="00600C09" w:rsidP="00600C09">
      <w:r w:rsidRPr="00600C09">
        <w:lastRenderedPageBreak/>
        <w:t>Because of these weaknesses, liens are rarely the primary security in large-scale project finance. Instead, they function as ancillary rights complementing stronger instruments like mortgages or charges.</w:t>
      </w:r>
    </w:p>
    <w:p w14:paraId="77CC2F04" w14:textId="68DB654A" w:rsidR="00600C09" w:rsidRDefault="00600C09" w:rsidP="00600C09">
      <w:pPr>
        <w:rPr>
          <w:noProof/>
        </w:rPr>
      </w:pPr>
    </w:p>
    <w:p w14:paraId="6304F14A" w14:textId="77777777" w:rsidR="004E3C00" w:rsidRDefault="004E3C00" w:rsidP="00600C09">
      <w:pPr>
        <w:rPr>
          <w:noProof/>
        </w:rPr>
      </w:pPr>
    </w:p>
    <w:p w14:paraId="3905E395" w14:textId="77777777" w:rsidR="004E3C00" w:rsidRPr="00600C09" w:rsidRDefault="004E3C00" w:rsidP="00600C09"/>
    <w:p w14:paraId="6F3492CD" w14:textId="77777777" w:rsidR="00600C09" w:rsidRPr="00600C09" w:rsidRDefault="00600C09" w:rsidP="00600C09">
      <w:pPr>
        <w:rPr>
          <w:b/>
          <w:bCs/>
        </w:rPr>
      </w:pPr>
      <w:r w:rsidRPr="00600C09">
        <w:rPr>
          <w:b/>
          <w:bCs/>
        </w:rPr>
        <w:t>2.6 Comparative Analysis of Conventional Security Instruments</w:t>
      </w:r>
    </w:p>
    <w:p w14:paraId="4EF0C778" w14:textId="77777777" w:rsidR="00600C09" w:rsidRPr="00600C09" w:rsidRDefault="00600C09" w:rsidP="00600C09">
      <w:r w:rsidRPr="00600C09">
        <w:t>Having outlined the four principal security instruments — mortgage, pledge, charge, and lien — it is useful to compare them systematically to highlight their similarities, differences, strengths, and weaknesses.</w:t>
      </w:r>
    </w:p>
    <w:p w14:paraId="06213052" w14:textId="77777777" w:rsidR="00600C09" w:rsidRPr="00600C09" w:rsidRDefault="00600C09" w:rsidP="00600C09">
      <w:pPr>
        <w:rPr>
          <w:b/>
          <w:bCs/>
        </w:rPr>
      </w:pPr>
      <w:r w:rsidRPr="00600C09">
        <w:rPr>
          <w:b/>
          <w:bCs/>
        </w:rPr>
        <w:t>2.6.1 Ownership, Possession, and Control</w:t>
      </w:r>
    </w:p>
    <w:p w14:paraId="42477894" w14:textId="77777777" w:rsidR="00600C09" w:rsidRPr="00600C09" w:rsidRDefault="00600C09" w:rsidP="00600C09">
      <w:pPr>
        <w:numPr>
          <w:ilvl w:val="0"/>
          <w:numId w:val="56"/>
        </w:numPr>
      </w:pPr>
      <w:r w:rsidRPr="00600C09">
        <w:rPr>
          <w:b/>
          <w:bCs/>
        </w:rPr>
        <w:t>Mortgage</w:t>
      </w:r>
      <w:r w:rsidRPr="00600C09">
        <w:t>: Transfers a legal or equitable interest in immovable property to the creditor. Ownership may remain with the debtor, but the creditor gains strong rights, including the power of sale.</w:t>
      </w:r>
    </w:p>
    <w:p w14:paraId="4AE9A7D9" w14:textId="77777777" w:rsidR="00600C09" w:rsidRPr="00600C09" w:rsidRDefault="00600C09" w:rsidP="00600C09">
      <w:pPr>
        <w:numPr>
          <w:ilvl w:val="0"/>
          <w:numId w:val="56"/>
        </w:numPr>
      </w:pPr>
      <w:r w:rsidRPr="00600C09">
        <w:rPr>
          <w:b/>
          <w:bCs/>
        </w:rPr>
        <w:t>Pledge</w:t>
      </w:r>
      <w:r w:rsidRPr="00600C09">
        <w:t>: Transfers possession of movable property, but ownership remains with the debtor. Control lies with the creditor until repayment.</w:t>
      </w:r>
    </w:p>
    <w:p w14:paraId="00D900C2" w14:textId="77777777" w:rsidR="00600C09" w:rsidRPr="00600C09" w:rsidRDefault="00600C09" w:rsidP="00600C09">
      <w:pPr>
        <w:numPr>
          <w:ilvl w:val="0"/>
          <w:numId w:val="56"/>
        </w:numPr>
      </w:pPr>
      <w:r w:rsidRPr="00600C09">
        <w:rPr>
          <w:b/>
          <w:bCs/>
        </w:rPr>
        <w:t>Charge</w:t>
      </w:r>
      <w:r w:rsidRPr="00600C09">
        <w:t>: Transfers neither possession nor ownership, but creates a security interest over assets, enforceable upon default.</w:t>
      </w:r>
    </w:p>
    <w:p w14:paraId="1FFECC8C" w14:textId="77777777" w:rsidR="00600C09" w:rsidRPr="00600C09" w:rsidRDefault="00600C09" w:rsidP="00600C09">
      <w:pPr>
        <w:numPr>
          <w:ilvl w:val="0"/>
          <w:numId w:val="56"/>
        </w:numPr>
      </w:pPr>
      <w:r w:rsidRPr="00600C09">
        <w:rPr>
          <w:b/>
          <w:bCs/>
        </w:rPr>
        <w:t>Lien</w:t>
      </w:r>
      <w:r w:rsidRPr="00600C09">
        <w:t>: Provides only the right to retain possession until repayment; no ownership or power of sale unless granted by law.</w:t>
      </w:r>
    </w:p>
    <w:p w14:paraId="0CF9E7F0" w14:textId="77777777" w:rsidR="00600C09" w:rsidRPr="00600C09" w:rsidRDefault="00600C09" w:rsidP="00600C09">
      <w:r w:rsidRPr="00600C09">
        <w:t>This comparison shows a spectrum: from strong rights (mortgage) to weaker rights (lien).</w:t>
      </w:r>
    </w:p>
    <w:p w14:paraId="6A438F54" w14:textId="77777777" w:rsidR="00600C09" w:rsidRPr="00600C09" w:rsidRDefault="00600C09" w:rsidP="00600C09">
      <w:pPr>
        <w:rPr>
          <w:b/>
          <w:bCs/>
        </w:rPr>
      </w:pPr>
      <w:r w:rsidRPr="00600C09">
        <w:rPr>
          <w:b/>
          <w:bCs/>
        </w:rPr>
        <w:t>2.6.2 Enforceability</w:t>
      </w:r>
    </w:p>
    <w:p w14:paraId="3CDE875C" w14:textId="77777777" w:rsidR="00600C09" w:rsidRPr="00600C09" w:rsidRDefault="00600C09" w:rsidP="00600C09">
      <w:pPr>
        <w:numPr>
          <w:ilvl w:val="0"/>
          <w:numId w:val="57"/>
        </w:numPr>
      </w:pPr>
      <w:r w:rsidRPr="00600C09">
        <w:rPr>
          <w:b/>
          <w:bCs/>
        </w:rPr>
        <w:t>Mortgages</w:t>
      </w:r>
      <w:r w:rsidRPr="00600C09">
        <w:t>: Highly enforceable if properly registered. Provide creditors with strong remedies, including foreclosure and sale.</w:t>
      </w:r>
    </w:p>
    <w:p w14:paraId="3FFB9D8D" w14:textId="77777777" w:rsidR="00600C09" w:rsidRPr="00600C09" w:rsidRDefault="00600C09" w:rsidP="00600C09">
      <w:pPr>
        <w:numPr>
          <w:ilvl w:val="0"/>
          <w:numId w:val="57"/>
        </w:numPr>
      </w:pPr>
      <w:r w:rsidRPr="00600C09">
        <w:rPr>
          <w:b/>
          <w:bCs/>
        </w:rPr>
        <w:t>Pledges</w:t>
      </w:r>
      <w:r w:rsidRPr="00600C09">
        <w:t>: Enforceable through sale of the pledged asset, though subject to notice requirements.</w:t>
      </w:r>
    </w:p>
    <w:p w14:paraId="32D80EDA" w14:textId="77777777" w:rsidR="00600C09" w:rsidRPr="00600C09" w:rsidRDefault="00600C09" w:rsidP="00600C09">
      <w:pPr>
        <w:numPr>
          <w:ilvl w:val="0"/>
          <w:numId w:val="57"/>
        </w:numPr>
      </w:pPr>
      <w:r w:rsidRPr="00600C09">
        <w:rPr>
          <w:b/>
          <w:bCs/>
        </w:rPr>
        <w:t>Charges</w:t>
      </w:r>
      <w:r w:rsidRPr="00600C09">
        <w:t>: Enforceable by appointment of receivers or court orders. Floating charges crystallize into fixed charges upon default.</w:t>
      </w:r>
    </w:p>
    <w:p w14:paraId="25BE98DD" w14:textId="77777777" w:rsidR="00600C09" w:rsidRPr="00600C09" w:rsidRDefault="00600C09" w:rsidP="00600C09">
      <w:pPr>
        <w:numPr>
          <w:ilvl w:val="0"/>
          <w:numId w:val="57"/>
        </w:numPr>
      </w:pPr>
      <w:r w:rsidRPr="00600C09">
        <w:rPr>
          <w:b/>
          <w:bCs/>
        </w:rPr>
        <w:t>Liens</w:t>
      </w:r>
      <w:r w:rsidRPr="00600C09">
        <w:t>: Enforceability is limited; creditors may only retain goods and sometimes sell under statute.</w:t>
      </w:r>
    </w:p>
    <w:p w14:paraId="1BFB1DB2" w14:textId="77777777" w:rsidR="00600C09" w:rsidRPr="00600C09" w:rsidRDefault="00600C09" w:rsidP="00600C09">
      <w:r w:rsidRPr="00600C09">
        <w:t>Mortgages and charges offer the strongest enforceability, making them indispensable in project finance.</w:t>
      </w:r>
    </w:p>
    <w:p w14:paraId="0BAEED1D" w14:textId="77777777" w:rsidR="00600C09" w:rsidRPr="00600C09" w:rsidRDefault="00600C09" w:rsidP="00600C09">
      <w:pPr>
        <w:rPr>
          <w:b/>
          <w:bCs/>
        </w:rPr>
      </w:pPr>
      <w:r w:rsidRPr="00600C09">
        <w:rPr>
          <w:b/>
          <w:bCs/>
        </w:rPr>
        <w:lastRenderedPageBreak/>
        <w:t>2.6.3 Asset Types Covered</w:t>
      </w:r>
    </w:p>
    <w:p w14:paraId="50CB34E5" w14:textId="77777777" w:rsidR="00600C09" w:rsidRPr="00600C09" w:rsidRDefault="00600C09" w:rsidP="00600C09">
      <w:pPr>
        <w:numPr>
          <w:ilvl w:val="0"/>
          <w:numId w:val="58"/>
        </w:numPr>
      </w:pPr>
      <w:r w:rsidRPr="00600C09">
        <w:rPr>
          <w:b/>
          <w:bCs/>
        </w:rPr>
        <w:t>Mortgages</w:t>
      </w:r>
      <w:r w:rsidRPr="00600C09">
        <w:t>: Immovable property (land, buildings, infrastructure).</w:t>
      </w:r>
    </w:p>
    <w:p w14:paraId="1EB91A59" w14:textId="77777777" w:rsidR="00600C09" w:rsidRPr="00600C09" w:rsidRDefault="00600C09" w:rsidP="00600C09">
      <w:pPr>
        <w:numPr>
          <w:ilvl w:val="0"/>
          <w:numId w:val="58"/>
        </w:numPr>
      </w:pPr>
      <w:r w:rsidRPr="00600C09">
        <w:rPr>
          <w:b/>
          <w:bCs/>
        </w:rPr>
        <w:t>Pledges</w:t>
      </w:r>
      <w:r w:rsidRPr="00600C09">
        <w:t>: Movable property (goods, shares, negotiable instruments).</w:t>
      </w:r>
    </w:p>
    <w:p w14:paraId="3E34840D" w14:textId="77777777" w:rsidR="00600C09" w:rsidRPr="00600C09" w:rsidRDefault="00600C09" w:rsidP="00600C09">
      <w:pPr>
        <w:numPr>
          <w:ilvl w:val="0"/>
          <w:numId w:val="58"/>
        </w:numPr>
      </w:pPr>
      <w:r w:rsidRPr="00600C09">
        <w:rPr>
          <w:b/>
          <w:bCs/>
        </w:rPr>
        <w:t>Charges</w:t>
      </w:r>
      <w:r w:rsidRPr="00600C09">
        <w:t>: Both immovable and movable property, including future assets.</w:t>
      </w:r>
    </w:p>
    <w:p w14:paraId="7FBAB7A4" w14:textId="77777777" w:rsidR="00600C09" w:rsidRPr="00600C09" w:rsidRDefault="00600C09" w:rsidP="00600C09">
      <w:pPr>
        <w:numPr>
          <w:ilvl w:val="0"/>
          <w:numId w:val="58"/>
        </w:numPr>
      </w:pPr>
      <w:r w:rsidRPr="00600C09">
        <w:rPr>
          <w:b/>
          <w:bCs/>
        </w:rPr>
        <w:t>Liens</w:t>
      </w:r>
      <w:r w:rsidRPr="00600C09">
        <w:t>: Typically movable property already in creditor’s possession.</w:t>
      </w:r>
    </w:p>
    <w:p w14:paraId="39241560" w14:textId="77777777" w:rsidR="00600C09" w:rsidRDefault="00600C09" w:rsidP="00600C09">
      <w:r w:rsidRPr="00600C09">
        <w:t>Charges are the most versatile, capable of covering a wide spectrum of assets.</w:t>
      </w:r>
    </w:p>
    <w:p w14:paraId="2A48167E" w14:textId="77777777" w:rsidR="004E3C00" w:rsidRPr="00600C09" w:rsidRDefault="004E3C00" w:rsidP="00600C09"/>
    <w:p w14:paraId="3854D506" w14:textId="77777777" w:rsidR="00600C09" w:rsidRPr="00600C09" w:rsidRDefault="00600C09" w:rsidP="00600C09">
      <w:pPr>
        <w:rPr>
          <w:b/>
          <w:bCs/>
        </w:rPr>
      </w:pPr>
      <w:r w:rsidRPr="00600C09">
        <w:rPr>
          <w:b/>
          <w:bCs/>
        </w:rPr>
        <w:t>2.6.4 Role in Project Finance</w:t>
      </w:r>
    </w:p>
    <w:p w14:paraId="297D1628" w14:textId="77777777" w:rsidR="00600C09" w:rsidRPr="00600C09" w:rsidRDefault="00600C09" w:rsidP="00600C09">
      <w:pPr>
        <w:numPr>
          <w:ilvl w:val="0"/>
          <w:numId w:val="59"/>
        </w:numPr>
      </w:pPr>
      <w:r w:rsidRPr="00600C09">
        <w:rPr>
          <w:b/>
          <w:bCs/>
        </w:rPr>
        <w:t>Mortgages</w:t>
      </w:r>
      <w:r w:rsidRPr="00600C09">
        <w:t>: Central to securing large immovable assets such as land or power plants.</w:t>
      </w:r>
    </w:p>
    <w:p w14:paraId="3EC7C13E" w14:textId="77777777" w:rsidR="00600C09" w:rsidRPr="00600C09" w:rsidRDefault="00600C09" w:rsidP="00600C09">
      <w:pPr>
        <w:numPr>
          <w:ilvl w:val="0"/>
          <w:numId w:val="59"/>
        </w:numPr>
      </w:pPr>
      <w:r w:rsidRPr="00600C09">
        <w:rPr>
          <w:b/>
          <w:bCs/>
        </w:rPr>
        <w:t>Pledges</w:t>
      </w:r>
      <w:r w:rsidRPr="00600C09">
        <w:t>: Commonly used for share pledges in project companies.</w:t>
      </w:r>
    </w:p>
    <w:p w14:paraId="104D30A8" w14:textId="77777777" w:rsidR="00600C09" w:rsidRPr="00600C09" w:rsidRDefault="00600C09" w:rsidP="00600C09">
      <w:pPr>
        <w:numPr>
          <w:ilvl w:val="0"/>
          <w:numId w:val="59"/>
        </w:numPr>
      </w:pPr>
      <w:r w:rsidRPr="00600C09">
        <w:rPr>
          <w:b/>
          <w:bCs/>
        </w:rPr>
        <w:t>Charges</w:t>
      </w:r>
      <w:r w:rsidRPr="00600C09">
        <w:t>: Extensively used for receivables, bank accounts, and revenues.</w:t>
      </w:r>
    </w:p>
    <w:p w14:paraId="7C505B4B" w14:textId="77777777" w:rsidR="00600C09" w:rsidRPr="00600C09" w:rsidRDefault="00600C09" w:rsidP="00600C09">
      <w:pPr>
        <w:numPr>
          <w:ilvl w:val="0"/>
          <w:numId w:val="59"/>
        </w:numPr>
      </w:pPr>
      <w:r w:rsidRPr="00600C09">
        <w:rPr>
          <w:b/>
          <w:bCs/>
        </w:rPr>
        <w:t>Liens</w:t>
      </w:r>
      <w:r w:rsidRPr="00600C09">
        <w:t>: Limited use, often supplementary in construction or shipping contexts.</w:t>
      </w:r>
    </w:p>
    <w:p w14:paraId="31CB4A47" w14:textId="77777777" w:rsidR="00600C09" w:rsidRDefault="00600C09" w:rsidP="00600C09">
      <w:r w:rsidRPr="00600C09">
        <w:t xml:space="preserve">A typical project finance package will involve a </w:t>
      </w:r>
      <w:r w:rsidRPr="00600C09">
        <w:rPr>
          <w:b/>
          <w:bCs/>
        </w:rPr>
        <w:t>combination</w:t>
      </w:r>
      <w:r w:rsidRPr="00600C09">
        <w:t>: mortgages over land and facilities, charges over receivables and accounts, pledges of shares, and statutory liens by contractors.</w:t>
      </w:r>
    </w:p>
    <w:p w14:paraId="7DD1E9E6" w14:textId="77777777" w:rsidR="004E3C00" w:rsidRPr="00600C09" w:rsidRDefault="004E3C00" w:rsidP="00600C09"/>
    <w:p w14:paraId="5EED4D59" w14:textId="77777777" w:rsidR="00600C09" w:rsidRPr="00600C09" w:rsidRDefault="00600C09" w:rsidP="00600C09">
      <w:pPr>
        <w:rPr>
          <w:b/>
          <w:bCs/>
        </w:rPr>
      </w:pPr>
      <w:r w:rsidRPr="00600C09">
        <w:rPr>
          <w:b/>
          <w:bCs/>
        </w:rPr>
        <w:t>2.6.5 Strengths and Weaknesses</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292"/>
        <w:gridCol w:w="3925"/>
        <w:gridCol w:w="3809"/>
      </w:tblGrid>
      <w:tr w:rsidR="00600C09" w:rsidRPr="00600C09" w14:paraId="458C49EC" w14:textId="77777777">
        <w:trPr>
          <w:tblHeader/>
          <w:tblCellSpacing w:w="15" w:type="dxa"/>
        </w:trPr>
        <w:tc>
          <w:tcPr>
            <w:tcW w:w="0" w:type="auto"/>
            <w:vAlign w:val="center"/>
            <w:hideMark/>
          </w:tcPr>
          <w:p w14:paraId="50BD3B14" w14:textId="77777777" w:rsidR="00600C09" w:rsidRPr="00600C09" w:rsidRDefault="00600C09" w:rsidP="00600C09">
            <w:pPr>
              <w:rPr>
                <w:b/>
                <w:bCs/>
              </w:rPr>
            </w:pPr>
            <w:r w:rsidRPr="00600C09">
              <w:rPr>
                <w:b/>
                <w:bCs/>
              </w:rPr>
              <w:t>Instrument</w:t>
            </w:r>
          </w:p>
        </w:tc>
        <w:tc>
          <w:tcPr>
            <w:tcW w:w="0" w:type="auto"/>
            <w:vAlign w:val="center"/>
            <w:hideMark/>
          </w:tcPr>
          <w:p w14:paraId="06904FC0" w14:textId="77777777" w:rsidR="00600C09" w:rsidRPr="00600C09" w:rsidRDefault="00600C09" w:rsidP="00600C09">
            <w:pPr>
              <w:rPr>
                <w:b/>
                <w:bCs/>
              </w:rPr>
            </w:pPr>
            <w:r w:rsidRPr="00600C09">
              <w:rPr>
                <w:b/>
                <w:bCs/>
              </w:rPr>
              <w:t>Strengths</w:t>
            </w:r>
          </w:p>
        </w:tc>
        <w:tc>
          <w:tcPr>
            <w:tcW w:w="0" w:type="auto"/>
            <w:vAlign w:val="center"/>
            <w:hideMark/>
          </w:tcPr>
          <w:p w14:paraId="69503849" w14:textId="77777777" w:rsidR="00600C09" w:rsidRPr="00600C09" w:rsidRDefault="00600C09" w:rsidP="00600C09">
            <w:pPr>
              <w:rPr>
                <w:b/>
                <w:bCs/>
              </w:rPr>
            </w:pPr>
            <w:r w:rsidRPr="00600C09">
              <w:rPr>
                <w:b/>
                <w:bCs/>
              </w:rPr>
              <w:t>Weaknesses</w:t>
            </w:r>
          </w:p>
        </w:tc>
      </w:tr>
      <w:tr w:rsidR="00600C09" w:rsidRPr="00600C09" w14:paraId="0ECB92A4" w14:textId="77777777">
        <w:trPr>
          <w:tblCellSpacing w:w="15" w:type="dxa"/>
        </w:trPr>
        <w:tc>
          <w:tcPr>
            <w:tcW w:w="0" w:type="auto"/>
            <w:vAlign w:val="center"/>
            <w:hideMark/>
          </w:tcPr>
          <w:p w14:paraId="31FCB0D0" w14:textId="77777777" w:rsidR="00600C09" w:rsidRPr="00600C09" w:rsidRDefault="00600C09" w:rsidP="00600C09">
            <w:r w:rsidRPr="00600C09">
              <w:rPr>
                <w:b/>
                <w:bCs/>
              </w:rPr>
              <w:t>Mortgage</w:t>
            </w:r>
          </w:p>
        </w:tc>
        <w:tc>
          <w:tcPr>
            <w:tcW w:w="0" w:type="auto"/>
            <w:vAlign w:val="center"/>
            <w:hideMark/>
          </w:tcPr>
          <w:p w14:paraId="4617D961" w14:textId="77777777" w:rsidR="00600C09" w:rsidRPr="00600C09" w:rsidRDefault="00600C09" w:rsidP="00600C09">
            <w:r w:rsidRPr="00600C09">
              <w:t>Strong rights, enforceable, covers valuable immovable property</w:t>
            </w:r>
          </w:p>
        </w:tc>
        <w:tc>
          <w:tcPr>
            <w:tcW w:w="0" w:type="auto"/>
            <w:vAlign w:val="center"/>
            <w:hideMark/>
          </w:tcPr>
          <w:p w14:paraId="1BFB3276" w14:textId="77777777" w:rsidR="00600C09" w:rsidRPr="00600C09" w:rsidRDefault="00600C09" w:rsidP="00600C09">
            <w:r w:rsidRPr="00600C09">
              <w:t>Formalities, foreclosure delays, possible public policy limits</w:t>
            </w:r>
          </w:p>
        </w:tc>
      </w:tr>
      <w:tr w:rsidR="00600C09" w:rsidRPr="00600C09" w14:paraId="3DBFF58A" w14:textId="77777777">
        <w:trPr>
          <w:tblCellSpacing w:w="15" w:type="dxa"/>
        </w:trPr>
        <w:tc>
          <w:tcPr>
            <w:tcW w:w="0" w:type="auto"/>
            <w:vAlign w:val="center"/>
            <w:hideMark/>
          </w:tcPr>
          <w:p w14:paraId="32C552C7" w14:textId="77777777" w:rsidR="00600C09" w:rsidRPr="00600C09" w:rsidRDefault="00600C09" w:rsidP="00600C09">
            <w:r w:rsidRPr="00600C09">
              <w:rPr>
                <w:b/>
                <w:bCs/>
              </w:rPr>
              <w:t>Pledge</w:t>
            </w:r>
          </w:p>
        </w:tc>
        <w:tc>
          <w:tcPr>
            <w:tcW w:w="0" w:type="auto"/>
            <w:vAlign w:val="center"/>
            <w:hideMark/>
          </w:tcPr>
          <w:p w14:paraId="570574C8" w14:textId="77777777" w:rsidR="00600C09" w:rsidRPr="00600C09" w:rsidRDefault="00600C09" w:rsidP="00600C09">
            <w:r w:rsidRPr="00600C09">
              <w:t>Simple, effective, strong creditor control</w:t>
            </w:r>
          </w:p>
        </w:tc>
        <w:tc>
          <w:tcPr>
            <w:tcW w:w="0" w:type="auto"/>
            <w:vAlign w:val="center"/>
            <w:hideMark/>
          </w:tcPr>
          <w:p w14:paraId="075E0A5B" w14:textId="77777777" w:rsidR="00600C09" w:rsidRPr="00600C09" w:rsidRDefault="00600C09" w:rsidP="00600C09">
            <w:r w:rsidRPr="00600C09">
              <w:t>Requires possession, impractical for large assets</w:t>
            </w:r>
          </w:p>
        </w:tc>
      </w:tr>
      <w:tr w:rsidR="00600C09" w:rsidRPr="00600C09" w14:paraId="6B8BAEC9" w14:textId="77777777">
        <w:trPr>
          <w:tblCellSpacing w:w="15" w:type="dxa"/>
        </w:trPr>
        <w:tc>
          <w:tcPr>
            <w:tcW w:w="0" w:type="auto"/>
            <w:vAlign w:val="center"/>
            <w:hideMark/>
          </w:tcPr>
          <w:p w14:paraId="083B769E" w14:textId="77777777" w:rsidR="00600C09" w:rsidRPr="00600C09" w:rsidRDefault="00600C09" w:rsidP="00600C09">
            <w:r w:rsidRPr="00600C09">
              <w:rPr>
                <w:b/>
                <w:bCs/>
              </w:rPr>
              <w:t>Charge</w:t>
            </w:r>
          </w:p>
        </w:tc>
        <w:tc>
          <w:tcPr>
            <w:tcW w:w="0" w:type="auto"/>
            <w:vAlign w:val="center"/>
            <w:hideMark/>
          </w:tcPr>
          <w:p w14:paraId="6C4249D0" w14:textId="77777777" w:rsidR="00600C09" w:rsidRPr="00600C09" w:rsidRDefault="00600C09" w:rsidP="00600C09">
            <w:r w:rsidRPr="00600C09">
              <w:t>Flexible, covers future assets, central in project finance</w:t>
            </w:r>
          </w:p>
        </w:tc>
        <w:tc>
          <w:tcPr>
            <w:tcW w:w="0" w:type="auto"/>
            <w:vAlign w:val="center"/>
            <w:hideMark/>
          </w:tcPr>
          <w:p w14:paraId="4616962A" w14:textId="77777777" w:rsidR="00600C09" w:rsidRPr="00600C09" w:rsidRDefault="00600C09" w:rsidP="00600C09">
            <w:r w:rsidRPr="00600C09">
              <w:t>Floating charges weaker in insolvency, requires registration</w:t>
            </w:r>
          </w:p>
        </w:tc>
      </w:tr>
      <w:tr w:rsidR="00600C09" w:rsidRPr="00600C09" w14:paraId="4A239674" w14:textId="77777777">
        <w:trPr>
          <w:tblCellSpacing w:w="15" w:type="dxa"/>
        </w:trPr>
        <w:tc>
          <w:tcPr>
            <w:tcW w:w="0" w:type="auto"/>
            <w:vAlign w:val="center"/>
            <w:hideMark/>
          </w:tcPr>
          <w:p w14:paraId="68BD3394" w14:textId="77777777" w:rsidR="00600C09" w:rsidRPr="00600C09" w:rsidRDefault="00600C09" w:rsidP="00600C09">
            <w:r w:rsidRPr="00600C09">
              <w:rPr>
                <w:b/>
                <w:bCs/>
              </w:rPr>
              <w:t>Lien</w:t>
            </w:r>
          </w:p>
        </w:tc>
        <w:tc>
          <w:tcPr>
            <w:tcW w:w="0" w:type="auto"/>
            <w:vAlign w:val="center"/>
            <w:hideMark/>
          </w:tcPr>
          <w:p w14:paraId="3D709799" w14:textId="77777777" w:rsidR="00600C09" w:rsidRPr="00600C09" w:rsidRDefault="00600C09" w:rsidP="00600C09">
            <w:r w:rsidRPr="00600C09">
              <w:t>Easy to assert, protective for service providers</w:t>
            </w:r>
          </w:p>
        </w:tc>
        <w:tc>
          <w:tcPr>
            <w:tcW w:w="0" w:type="auto"/>
            <w:vAlign w:val="center"/>
            <w:hideMark/>
          </w:tcPr>
          <w:p w14:paraId="1D7D378A" w14:textId="77777777" w:rsidR="00600C09" w:rsidRDefault="00600C09" w:rsidP="00600C09">
            <w:r w:rsidRPr="00600C09">
              <w:t>Weak right, lost upon possession surrender, limited scope</w:t>
            </w:r>
          </w:p>
          <w:p w14:paraId="23749277" w14:textId="77777777" w:rsidR="004E3C00" w:rsidRPr="00600C09" w:rsidRDefault="004E3C00" w:rsidP="00600C09"/>
        </w:tc>
      </w:tr>
    </w:tbl>
    <w:p w14:paraId="524FB4F5" w14:textId="77777777" w:rsidR="00600C09" w:rsidRPr="00600C09" w:rsidRDefault="00600C09" w:rsidP="00600C09">
      <w:pPr>
        <w:rPr>
          <w:b/>
          <w:bCs/>
        </w:rPr>
      </w:pPr>
      <w:r w:rsidRPr="00600C09">
        <w:rPr>
          <w:b/>
          <w:bCs/>
        </w:rPr>
        <w:t>2.6.6 Global Best Practices</w:t>
      </w:r>
    </w:p>
    <w:p w14:paraId="56DE0C85" w14:textId="77777777" w:rsidR="00600C09" w:rsidRPr="00600C09" w:rsidRDefault="00600C09" w:rsidP="00600C09">
      <w:r w:rsidRPr="00600C09">
        <w:t>International practice has developed several best practices for secured transactions:</w:t>
      </w:r>
    </w:p>
    <w:p w14:paraId="1F932B47" w14:textId="77777777" w:rsidR="00600C09" w:rsidRPr="00600C09" w:rsidRDefault="00600C09" w:rsidP="00600C09">
      <w:pPr>
        <w:numPr>
          <w:ilvl w:val="0"/>
          <w:numId w:val="60"/>
        </w:numPr>
      </w:pPr>
      <w:r w:rsidRPr="00600C09">
        <w:rPr>
          <w:b/>
          <w:bCs/>
        </w:rPr>
        <w:lastRenderedPageBreak/>
        <w:t>Registration Systems</w:t>
      </w:r>
      <w:r w:rsidRPr="00600C09">
        <w:t>: Transparent registries (e.g., Companies House in the UK) ensure clarity of priority.</w:t>
      </w:r>
    </w:p>
    <w:p w14:paraId="6BEFF7EA" w14:textId="77777777" w:rsidR="00600C09" w:rsidRPr="00600C09" w:rsidRDefault="00600C09" w:rsidP="00600C09">
      <w:pPr>
        <w:numPr>
          <w:ilvl w:val="0"/>
          <w:numId w:val="60"/>
        </w:numPr>
      </w:pPr>
      <w:r w:rsidRPr="00600C09">
        <w:rPr>
          <w:b/>
          <w:bCs/>
        </w:rPr>
        <w:t>Inter-creditor Agreements</w:t>
      </w:r>
      <w:r w:rsidRPr="00600C09">
        <w:t>: Clarify ranking among creditors, especially in syndicated loans.</w:t>
      </w:r>
    </w:p>
    <w:p w14:paraId="7006C3E4" w14:textId="77777777" w:rsidR="00600C09" w:rsidRPr="00600C09" w:rsidRDefault="00600C09" w:rsidP="00600C09">
      <w:pPr>
        <w:numPr>
          <w:ilvl w:val="0"/>
          <w:numId w:val="60"/>
        </w:numPr>
      </w:pPr>
      <w:r w:rsidRPr="00600C09">
        <w:rPr>
          <w:b/>
          <w:bCs/>
        </w:rPr>
        <w:t>Cross-Border Recognition</w:t>
      </w:r>
      <w:r w:rsidRPr="00600C09">
        <w:t>: Treaties and conventions, such as the Cape Town Convention on International Interests in Mobile Equipment, enhance enforceability across jurisdictions.</w:t>
      </w:r>
    </w:p>
    <w:p w14:paraId="4E95F3A5" w14:textId="77777777" w:rsidR="00600C09" w:rsidRPr="00600C09" w:rsidRDefault="00600C09" w:rsidP="00600C09">
      <w:pPr>
        <w:numPr>
          <w:ilvl w:val="0"/>
          <w:numId w:val="60"/>
        </w:numPr>
      </w:pPr>
      <w:r w:rsidRPr="00600C09">
        <w:rPr>
          <w:b/>
          <w:bCs/>
        </w:rPr>
        <w:t>Standardized Documentation</w:t>
      </w:r>
      <w:r w:rsidRPr="00600C09">
        <w:t>: Use of templates, such as those from the Loan Market Association (LMA), promotes consistency.</w:t>
      </w:r>
    </w:p>
    <w:p w14:paraId="4AB1B649" w14:textId="05828E4D" w:rsidR="00600C09" w:rsidRPr="009B5B72" w:rsidRDefault="00600C09" w:rsidP="00600C09">
      <w:r w:rsidRPr="00600C09">
        <w:t>These practices enhance the effectiveness of conventional security instruments and make them attractive to global financiers.</w:t>
      </w:r>
    </w:p>
    <w:p w14:paraId="1EAAEC68" w14:textId="6CFCE7A4" w:rsidR="00600C09" w:rsidRPr="00600C09" w:rsidRDefault="00600C09" w:rsidP="00600C09"/>
    <w:p w14:paraId="1E3C1C1D" w14:textId="77777777" w:rsidR="00600C09" w:rsidRPr="00600C09" w:rsidRDefault="00600C09" w:rsidP="00600C09">
      <w:pPr>
        <w:rPr>
          <w:b/>
          <w:bCs/>
        </w:rPr>
      </w:pPr>
      <w:r w:rsidRPr="00600C09">
        <w:rPr>
          <w:b/>
          <w:bCs/>
        </w:rPr>
        <w:t>2.7 Relevance for Islamic Project Finance</w:t>
      </w:r>
    </w:p>
    <w:p w14:paraId="030F3F35" w14:textId="77777777" w:rsidR="00600C09" w:rsidRPr="00600C09" w:rsidRDefault="00600C09" w:rsidP="00600C09">
      <w:pPr>
        <w:rPr>
          <w:b/>
          <w:bCs/>
        </w:rPr>
      </w:pPr>
      <w:r w:rsidRPr="00600C09">
        <w:rPr>
          <w:b/>
          <w:bCs/>
        </w:rPr>
        <w:t>2.7.1 Importance of Understanding Conventional Instruments</w:t>
      </w:r>
    </w:p>
    <w:p w14:paraId="7AF89058" w14:textId="77777777" w:rsidR="00600C09" w:rsidRPr="00600C09" w:rsidRDefault="00600C09" w:rsidP="00600C09">
      <w:r w:rsidRPr="00600C09">
        <w:t>For Islamic project finance, a thorough understanding of conventional security instruments is not optional — it is essential. Islamic financiers operate in a global financial environment where conventional law and practice dominate. When structuring Islamic transactions, practitioners must often work within legal systems that are designed primarily for conventional instruments such as mortgages, pledges, charges, and liens.</w:t>
      </w:r>
    </w:p>
    <w:p w14:paraId="2CC673BD" w14:textId="77777777" w:rsidR="00600C09" w:rsidRPr="00600C09" w:rsidRDefault="00600C09" w:rsidP="00600C09">
      <w:r w:rsidRPr="00600C09">
        <w:t>Even in jurisdictions with well-developed Islamic finance frameworks, such as Malaysia, Bahrain, or Saudi Arabia, the legal enforceability of Islamic contracts is often integrated into conventional civil or common law systems. For example, while a rahn may be structured as a Shariah-compliant pledge, its enforceability will still depend on statutory provisions and case law rooted in conventional practice (Bank Negara Malaysia, 2019).</w:t>
      </w:r>
    </w:p>
    <w:p w14:paraId="5452D620" w14:textId="77777777" w:rsidR="00600C09" w:rsidRPr="00600C09" w:rsidRDefault="00600C09" w:rsidP="00600C09">
      <w:r w:rsidRPr="00600C09">
        <w:t>Thus, familiarity with conventional security instruments allows Islamic finance practitioners to:</w:t>
      </w:r>
    </w:p>
    <w:p w14:paraId="08ED79DF" w14:textId="77777777" w:rsidR="00600C09" w:rsidRPr="00600C09" w:rsidRDefault="00600C09" w:rsidP="00600C09">
      <w:pPr>
        <w:numPr>
          <w:ilvl w:val="0"/>
          <w:numId w:val="63"/>
        </w:numPr>
      </w:pPr>
      <w:r w:rsidRPr="00600C09">
        <w:t>Translate Shariah contracts into legally enforceable arrangements.</w:t>
      </w:r>
    </w:p>
    <w:p w14:paraId="1969173D" w14:textId="77777777" w:rsidR="00600C09" w:rsidRPr="00600C09" w:rsidRDefault="00600C09" w:rsidP="00600C09">
      <w:pPr>
        <w:numPr>
          <w:ilvl w:val="0"/>
          <w:numId w:val="63"/>
        </w:numPr>
      </w:pPr>
      <w:r w:rsidRPr="00600C09">
        <w:t>Anticipate how courts will interpret hybrid structures.</w:t>
      </w:r>
    </w:p>
    <w:p w14:paraId="6FAD2D9D" w14:textId="77777777" w:rsidR="00600C09" w:rsidRPr="00600C09" w:rsidRDefault="00600C09" w:rsidP="00600C09">
      <w:pPr>
        <w:numPr>
          <w:ilvl w:val="0"/>
          <w:numId w:val="63"/>
        </w:numPr>
      </w:pPr>
      <w:r w:rsidRPr="00600C09">
        <w:t>Negotiate with conventional lenders and investors in joint financings.</w:t>
      </w:r>
    </w:p>
    <w:p w14:paraId="61BBD18D" w14:textId="77777777" w:rsidR="00600C09" w:rsidRPr="00600C09" w:rsidRDefault="00600C09" w:rsidP="00600C09">
      <w:pPr>
        <w:numPr>
          <w:ilvl w:val="0"/>
          <w:numId w:val="63"/>
        </w:numPr>
      </w:pPr>
      <w:r w:rsidRPr="00600C09">
        <w:t>Identify areas of conflict or harmony between Shariah and conventional law.</w:t>
      </w:r>
    </w:p>
    <w:p w14:paraId="7D62EF40" w14:textId="77777777" w:rsidR="00600C09" w:rsidRPr="00600C09" w:rsidRDefault="00600C09" w:rsidP="00600C09">
      <w:pPr>
        <w:rPr>
          <w:b/>
          <w:bCs/>
        </w:rPr>
      </w:pPr>
      <w:r w:rsidRPr="00600C09">
        <w:rPr>
          <w:b/>
          <w:bCs/>
        </w:rPr>
        <w:t>2.7.2 Conventional Instruments as Benchmarks</w:t>
      </w:r>
    </w:p>
    <w:p w14:paraId="57817311" w14:textId="77777777" w:rsidR="00600C09" w:rsidRPr="00600C09" w:rsidRDefault="00600C09" w:rsidP="00600C09">
      <w:r w:rsidRPr="00600C09">
        <w:lastRenderedPageBreak/>
        <w:t>Conventional security instruments also serve as benchmarks for evaluating the effectiveness of Islamic equivalents. For instance:</w:t>
      </w:r>
    </w:p>
    <w:p w14:paraId="1C284718" w14:textId="77777777" w:rsidR="00600C09" w:rsidRPr="00600C09" w:rsidRDefault="00600C09" w:rsidP="00600C09">
      <w:pPr>
        <w:numPr>
          <w:ilvl w:val="0"/>
          <w:numId w:val="64"/>
        </w:numPr>
      </w:pPr>
      <w:r w:rsidRPr="00600C09">
        <w:rPr>
          <w:b/>
          <w:bCs/>
        </w:rPr>
        <w:t>Mortgage vs. Rahn</w:t>
      </w:r>
      <w:r w:rsidRPr="00600C09">
        <w:t>: Mortgages provide clear, enforceable rights over immovable property. Rahn, while conceptually similar, restricts creditor benefits and requires specific possession rules. By comparing the two, practitioners can identify where Islamic instruments need legal or contractual support to offer equivalent protection.</w:t>
      </w:r>
    </w:p>
    <w:p w14:paraId="503C171E" w14:textId="77777777" w:rsidR="00600C09" w:rsidRPr="00600C09" w:rsidRDefault="00600C09" w:rsidP="00600C09">
      <w:pPr>
        <w:numPr>
          <w:ilvl w:val="0"/>
          <w:numId w:val="64"/>
        </w:numPr>
      </w:pPr>
      <w:r w:rsidRPr="00600C09">
        <w:rPr>
          <w:b/>
          <w:bCs/>
        </w:rPr>
        <w:t>Pledge vs. Rahn</w:t>
      </w:r>
      <w:r w:rsidRPr="00600C09">
        <w:t>: Pledges in conventional law allow creditors to enforce through sale after default. Rahn shares this mechanism but imposes limits on creditor use of the asset. Understanding pledges highlights both the similarities and stricter ethical boundaries of Shariah.</w:t>
      </w:r>
    </w:p>
    <w:p w14:paraId="2C4FCAF7" w14:textId="77777777" w:rsidR="00600C09" w:rsidRPr="00600C09" w:rsidRDefault="00600C09" w:rsidP="00600C09">
      <w:pPr>
        <w:numPr>
          <w:ilvl w:val="0"/>
          <w:numId w:val="64"/>
        </w:numPr>
      </w:pPr>
      <w:r w:rsidRPr="00600C09">
        <w:rPr>
          <w:b/>
          <w:bCs/>
        </w:rPr>
        <w:t>Guarantees vs. Kafālah</w:t>
      </w:r>
      <w:r w:rsidRPr="00600C09">
        <w:t>: Conventional guarantees may include fees, while kafālah prohibits monetary compensation. Conventional practice therefore highlights where Shariah requires departure from market norms.</w:t>
      </w:r>
    </w:p>
    <w:p w14:paraId="0C2A433F" w14:textId="77777777" w:rsidR="00600C09" w:rsidRPr="00600C09" w:rsidRDefault="00600C09" w:rsidP="00600C09">
      <w:pPr>
        <w:numPr>
          <w:ilvl w:val="0"/>
          <w:numId w:val="64"/>
        </w:numPr>
      </w:pPr>
      <w:r w:rsidRPr="00600C09">
        <w:rPr>
          <w:b/>
          <w:bCs/>
        </w:rPr>
        <w:t>Charge vs. Floating Rahn</w:t>
      </w:r>
      <w:r w:rsidRPr="00600C09">
        <w:t xml:space="preserve"> (proposed hybrid): Conventional floating charges provide flexibility over future assets, a feature that Islamic law traditionally struggles to replicate. Studying charges helps identify possible Shariah adaptations.</w:t>
      </w:r>
    </w:p>
    <w:p w14:paraId="4C626F60" w14:textId="77777777" w:rsidR="00600C09" w:rsidRPr="00600C09" w:rsidRDefault="00600C09" w:rsidP="00600C09">
      <w:r w:rsidRPr="00600C09">
        <w:t xml:space="preserve">This benchmarking process is at the heart of the </w:t>
      </w:r>
      <w:r w:rsidRPr="00600C09">
        <w:rPr>
          <w:b/>
          <w:bCs/>
        </w:rPr>
        <w:t>Compatibility Index</w:t>
      </w:r>
      <w:r w:rsidRPr="00600C09">
        <w:t xml:space="preserve"> introduced in Chapter 1, which evaluates how closely Islamic instruments align with conventional practices in terms of legal enforceability, Shariah compliance, and functional equivalence.</w:t>
      </w:r>
    </w:p>
    <w:p w14:paraId="77578525" w14:textId="77777777" w:rsidR="00600C09" w:rsidRPr="00600C09" w:rsidRDefault="00600C09" w:rsidP="00600C09">
      <w:pPr>
        <w:rPr>
          <w:b/>
          <w:bCs/>
        </w:rPr>
      </w:pPr>
      <w:r w:rsidRPr="00600C09">
        <w:rPr>
          <w:b/>
          <w:bCs/>
        </w:rPr>
        <w:t>2.7.3 Implications for Structuring Islamic Project Finance</w:t>
      </w:r>
    </w:p>
    <w:p w14:paraId="739BE362" w14:textId="77777777" w:rsidR="00600C09" w:rsidRPr="00600C09" w:rsidRDefault="00600C09" w:rsidP="00600C09">
      <w:r w:rsidRPr="00600C09">
        <w:t>The relevance of conventional instruments extends directly to structuring Islamic project finance transactions. For example:</w:t>
      </w:r>
    </w:p>
    <w:p w14:paraId="3E6F2C0D" w14:textId="77777777" w:rsidR="00600C09" w:rsidRPr="00600C09" w:rsidRDefault="00600C09" w:rsidP="00600C09">
      <w:pPr>
        <w:numPr>
          <w:ilvl w:val="0"/>
          <w:numId w:val="65"/>
        </w:numPr>
      </w:pPr>
      <w:r w:rsidRPr="00600C09">
        <w:rPr>
          <w:b/>
          <w:bCs/>
        </w:rPr>
        <w:t>Power Plants and Infrastructure Assets</w:t>
      </w:r>
      <w:r w:rsidRPr="00600C09">
        <w:t>: Conventional practice relies heavily on mortgages to secure land and facilities. Islamic structures must find equivalent mechanisms, often adapting rahn to local law.</w:t>
      </w:r>
    </w:p>
    <w:p w14:paraId="49F9B588" w14:textId="77777777" w:rsidR="00600C09" w:rsidRPr="00600C09" w:rsidRDefault="00600C09" w:rsidP="00600C09">
      <w:pPr>
        <w:numPr>
          <w:ilvl w:val="0"/>
          <w:numId w:val="65"/>
        </w:numPr>
      </w:pPr>
      <w:r w:rsidRPr="00600C09">
        <w:rPr>
          <w:b/>
          <w:bCs/>
        </w:rPr>
        <w:t>Revenue Streams and Accounts</w:t>
      </w:r>
      <w:r w:rsidRPr="00600C09">
        <w:t>: Conventional charges cover receivables and bank accounts. Islamic financiers often replicate this through wa</w:t>
      </w:r>
      <w:r w:rsidRPr="00600C09">
        <w:rPr>
          <w:rFonts w:ascii="Arial" w:hAnsi="Arial" w:cs="Arial"/>
        </w:rPr>
        <w:t>ʿ</w:t>
      </w:r>
      <w:r w:rsidRPr="00600C09">
        <w:t>d-based arrangements or restricted accounts, but understanding charges ensures parallel enforceability.</w:t>
      </w:r>
    </w:p>
    <w:p w14:paraId="0BB5EED6" w14:textId="77777777" w:rsidR="00600C09" w:rsidRPr="00600C09" w:rsidRDefault="00600C09" w:rsidP="00600C09">
      <w:pPr>
        <w:numPr>
          <w:ilvl w:val="0"/>
          <w:numId w:val="65"/>
        </w:numPr>
      </w:pPr>
      <w:r w:rsidRPr="00600C09">
        <w:rPr>
          <w:b/>
          <w:bCs/>
        </w:rPr>
        <w:t>Share Pledges</w:t>
      </w:r>
      <w:r w:rsidRPr="00600C09">
        <w:t>: Conventional law recognizes pledges over shares, critical in project finance. Islamic banks likewise use share rahn to secure control of project companies.</w:t>
      </w:r>
    </w:p>
    <w:p w14:paraId="5D9845B5" w14:textId="77777777" w:rsidR="00600C09" w:rsidRPr="00600C09" w:rsidRDefault="00600C09" w:rsidP="00600C09">
      <w:pPr>
        <w:numPr>
          <w:ilvl w:val="0"/>
          <w:numId w:val="65"/>
        </w:numPr>
      </w:pPr>
      <w:r w:rsidRPr="00600C09">
        <w:rPr>
          <w:b/>
          <w:bCs/>
        </w:rPr>
        <w:lastRenderedPageBreak/>
        <w:t>Cross-Border Financings</w:t>
      </w:r>
      <w:r w:rsidRPr="00600C09">
        <w:t>: International lenders may insist on conventional security, even when part of the syndicate consists of Islamic banks. In such cases, dual documentation is used, with conventional instruments operating alongside Islamic equivalents.</w:t>
      </w:r>
    </w:p>
    <w:p w14:paraId="35B712E9" w14:textId="77777777" w:rsidR="00600C09" w:rsidRPr="00600C09" w:rsidRDefault="00600C09" w:rsidP="00600C09">
      <w:r w:rsidRPr="00600C09">
        <w:t>These practices demonstrate that Islamic finance cannot operate in isolation. It must continuously engage with conventional instruments, both as a practical necessity and as a means of ensuring competitiveness.</w:t>
      </w:r>
    </w:p>
    <w:p w14:paraId="4B5D4C89" w14:textId="77777777" w:rsidR="00600C09" w:rsidRPr="00600C09" w:rsidRDefault="00600C09" w:rsidP="00600C09">
      <w:pPr>
        <w:rPr>
          <w:b/>
          <w:bCs/>
        </w:rPr>
      </w:pPr>
      <w:r w:rsidRPr="00600C09">
        <w:rPr>
          <w:b/>
          <w:bCs/>
        </w:rPr>
        <w:t>2.7.4 Regulatory and Governance Considerations</w:t>
      </w:r>
    </w:p>
    <w:p w14:paraId="554E0015" w14:textId="77777777" w:rsidR="00600C09" w:rsidRPr="00600C09" w:rsidRDefault="00600C09" w:rsidP="00600C09">
      <w:r w:rsidRPr="00600C09">
        <w:t>Regulators play a crucial role in ensuring that the integration of Islamic and conventional instruments does not compromise Shariah integrity. For instance:</w:t>
      </w:r>
    </w:p>
    <w:p w14:paraId="2C65F714" w14:textId="77777777" w:rsidR="00600C09" w:rsidRPr="00600C09" w:rsidRDefault="00600C09" w:rsidP="00600C09">
      <w:pPr>
        <w:numPr>
          <w:ilvl w:val="0"/>
          <w:numId w:val="66"/>
        </w:numPr>
      </w:pPr>
      <w:r w:rsidRPr="00600C09">
        <w:rPr>
          <w:b/>
          <w:bCs/>
        </w:rPr>
        <w:t>Bank Negara Malaysia (BNM)</w:t>
      </w:r>
      <w:r w:rsidRPr="00600C09">
        <w:t xml:space="preserve"> requires Islamic banks to comply with Shariah Governance Policy Documents while also adhering to statutory requirements under the Companies Act and National Land Code.</w:t>
      </w:r>
    </w:p>
    <w:p w14:paraId="5EC47EC0" w14:textId="77777777" w:rsidR="00600C09" w:rsidRPr="00600C09" w:rsidRDefault="00600C09" w:rsidP="00600C09">
      <w:pPr>
        <w:numPr>
          <w:ilvl w:val="0"/>
          <w:numId w:val="66"/>
        </w:numPr>
      </w:pPr>
      <w:r w:rsidRPr="00600C09">
        <w:rPr>
          <w:b/>
          <w:bCs/>
        </w:rPr>
        <w:t>AAOIFI Standards</w:t>
      </w:r>
      <w:r w:rsidRPr="00600C09">
        <w:t xml:space="preserve"> provide guidance on rahn, kafālah, and </w:t>
      </w:r>
      <w:r w:rsidRPr="00600C09">
        <w:rPr>
          <w:rFonts w:ascii="Calibri" w:hAnsi="Calibri" w:cs="Calibri"/>
        </w:rPr>
        <w:t>ḍ</w:t>
      </w:r>
      <w:r w:rsidRPr="00600C09">
        <w:t>amān but recognize that local laws must support enforceability (AAOIFI, 2021).</w:t>
      </w:r>
    </w:p>
    <w:p w14:paraId="333F6657" w14:textId="77777777" w:rsidR="00600C09" w:rsidRPr="00600C09" w:rsidRDefault="00600C09" w:rsidP="00600C09">
      <w:pPr>
        <w:numPr>
          <w:ilvl w:val="0"/>
          <w:numId w:val="66"/>
        </w:numPr>
      </w:pPr>
      <w:r w:rsidRPr="00600C09">
        <w:rPr>
          <w:b/>
          <w:bCs/>
        </w:rPr>
        <w:t>The Securities Commission of Malaysia</w:t>
      </w:r>
      <w:r w:rsidRPr="00600C09">
        <w:t xml:space="preserve"> ensures that sukuk issuances comply with both Shariah principles and conventional capital market regulations.</w:t>
      </w:r>
    </w:p>
    <w:p w14:paraId="2245E23C" w14:textId="77777777" w:rsidR="00600C09" w:rsidRPr="00600C09" w:rsidRDefault="00600C09" w:rsidP="00600C09">
      <w:r w:rsidRPr="00600C09">
        <w:t>These dual requirements underscore the importance of understanding both systems and ensuring that Shariah-based instruments remain robust in practice.</w:t>
      </w:r>
    </w:p>
    <w:p w14:paraId="6E04EE56" w14:textId="77777777" w:rsidR="00600C09" w:rsidRPr="00600C09" w:rsidRDefault="00600C09" w:rsidP="00600C09">
      <w:pPr>
        <w:rPr>
          <w:b/>
          <w:bCs/>
        </w:rPr>
      </w:pPr>
      <w:r w:rsidRPr="00600C09">
        <w:rPr>
          <w:b/>
          <w:bCs/>
        </w:rPr>
        <w:t>2.7.5 Towards a Synthesis</w:t>
      </w:r>
    </w:p>
    <w:p w14:paraId="4E385194" w14:textId="77777777" w:rsidR="00600C09" w:rsidRPr="00600C09" w:rsidRDefault="00600C09" w:rsidP="00600C09">
      <w:r w:rsidRPr="00600C09">
        <w:t>The study of conventional security instruments is not merely an academic exercise but a foundation for developing a coherent system of Islamic project finance. By analyzing mortgages, pledges, charges, and liens, this chapter provides the baseline against which Islamic instruments will be evaluated in subsequent chapters.</w:t>
      </w:r>
    </w:p>
    <w:p w14:paraId="619E69D0" w14:textId="77777777" w:rsidR="00600C09" w:rsidRPr="00600C09" w:rsidRDefault="00600C09" w:rsidP="00600C09">
      <w:r w:rsidRPr="00600C09">
        <w:t>Ultimately, the goal is not to replicate conventional instruments wholesale but to learn from their strengths, recognize their limitations under Shariah, and develop Islamic alternatives that are both compliant and competitive. This synthesis ensures that Islamic project finance contributes meaningfully to global infrastructure development while remaining anchored in ethical principles.</w:t>
      </w:r>
    </w:p>
    <w:p w14:paraId="154E429B" w14:textId="65406516" w:rsidR="00600C09" w:rsidRPr="00600C09" w:rsidRDefault="00600C09" w:rsidP="00600C09"/>
    <w:p w14:paraId="765DF951" w14:textId="77777777" w:rsidR="00600C09" w:rsidRPr="00600C09" w:rsidRDefault="00600C09" w:rsidP="00600C09">
      <w:pPr>
        <w:rPr>
          <w:b/>
          <w:bCs/>
        </w:rPr>
      </w:pPr>
      <w:r w:rsidRPr="00600C09">
        <w:rPr>
          <w:rFonts w:ascii="Segoe UI Emoji" w:hAnsi="Segoe UI Emoji" w:cs="Segoe UI Emoji"/>
          <w:b/>
          <w:bCs/>
        </w:rPr>
        <w:t>📚</w:t>
      </w:r>
      <w:r w:rsidRPr="00600C09">
        <w:rPr>
          <w:b/>
          <w:bCs/>
        </w:rPr>
        <w:t xml:space="preserve"> References (APA 7th Edition)</w:t>
      </w:r>
    </w:p>
    <w:p w14:paraId="0E327D6F" w14:textId="77777777" w:rsidR="00600C09" w:rsidRPr="00600C09" w:rsidRDefault="00600C09" w:rsidP="00600C09">
      <w:r w:rsidRPr="00600C09">
        <w:t xml:space="preserve">AAOIFI. (2021). </w:t>
      </w:r>
      <w:r w:rsidRPr="00600C09">
        <w:rPr>
          <w:i/>
          <w:iCs/>
        </w:rPr>
        <w:t>Shariah standards</w:t>
      </w:r>
      <w:r w:rsidRPr="00600C09">
        <w:t>. Accounting and Auditing Organization for Islamic Financial Institutions.</w:t>
      </w:r>
    </w:p>
    <w:p w14:paraId="4202B91B" w14:textId="77777777" w:rsidR="00600C09" w:rsidRPr="00600C09" w:rsidRDefault="00600C09" w:rsidP="00600C09">
      <w:r w:rsidRPr="00600C09">
        <w:lastRenderedPageBreak/>
        <w:t xml:space="preserve">Bank Negara Malaysia. (2019). </w:t>
      </w:r>
      <w:r w:rsidRPr="00600C09">
        <w:rPr>
          <w:i/>
          <w:iCs/>
        </w:rPr>
        <w:t>Shariah Governance Policy Document</w:t>
      </w:r>
      <w:r w:rsidRPr="00600C09">
        <w:t>. Bank Negara Malaysia.</w:t>
      </w:r>
    </w:p>
    <w:p w14:paraId="7D8419F8" w14:textId="77777777" w:rsidR="00600C09" w:rsidRPr="00600C09" w:rsidRDefault="00600C09" w:rsidP="00600C09">
      <w:r w:rsidRPr="00600C09">
        <w:t xml:space="preserve">Goode, R. (2013). </w:t>
      </w:r>
      <w:r w:rsidRPr="00600C09">
        <w:rPr>
          <w:i/>
          <w:iCs/>
        </w:rPr>
        <w:t>Goode on legal problems of credit and security</w:t>
      </w:r>
      <w:r w:rsidRPr="00600C09">
        <w:t xml:space="preserve"> (5th ed.). Sweet &amp; Maxwell.</w:t>
      </w:r>
    </w:p>
    <w:p w14:paraId="4FE54524" w14:textId="77777777" w:rsidR="00600C09" w:rsidRPr="00600C09" w:rsidRDefault="00600C09" w:rsidP="00600C09">
      <w:r w:rsidRPr="00600C09">
        <w:t xml:space="preserve">Wood, P. R. (2007). </w:t>
      </w:r>
      <w:r w:rsidRPr="00600C09">
        <w:rPr>
          <w:i/>
          <w:iCs/>
        </w:rPr>
        <w:t>Principles of international insolvency</w:t>
      </w:r>
      <w:r w:rsidRPr="00600C09">
        <w:t xml:space="preserve"> (2nd ed.). Sweet &amp; Maxwell.</w:t>
      </w:r>
    </w:p>
    <w:p w14:paraId="299A4E45" w14:textId="77777777" w:rsidR="00600C09" w:rsidRPr="00600C09" w:rsidRDefault="00600C09" w:rsidP="00600C09">
      <w:r w:rsidRPr="00600C09">
        <w:t xml:space="preserve">Yescombe, E. R. (2014). </w:t>
      </w:r>
      <w:r w:rsidRPr="00600C09">
        <w:rPr>
          <w:i/>
          <w:iCs/>
        </w:rPr>
        <w:t>Principles of project finance</w:t>
      </w:r>
      <w:r w:rsidRPr="00600C09">
        <w:t xml:space="preserve"> (2nd ed.). Academic Press.</w:t>
      </w:r>
    </w:p>
    <w:p w14:paraId="1153EE42" w14:textId="2F5D6788" w:rsidR="00600C09" w:rsidRPr="00600C09" w:rsidRDefault="00600C09" w:rsidP="00600C09"/>
    <w:p w14:paraId="5BE8074F" w14:textId="77777777" w:rsidR="00600C09" w:rsidRPr="00600C09" w:rsidRDefault="00600C09" w:rsidP="00600C09">
      <w:pPr>
        <w:rPr>
          <w:b/>
          <w:bCs/>
        </w:rPr>
      </w:pPr>
      <w:r w:rsidRPr="00600C09">
        <w:rPr>
          <w:rFonts w:ascii="Segoe UI Emoji" w:hAnsi="Segoe UI Emoji" w:cs="Segoe UI Emoji"/>
          <w:b/>
          <w:bCs/>
        </w:rPr>
        <w:t>📖</w:t>
      </w:r>
      <w:r w:rsidRPr="00600C09">
        <w:rPr>
          <w:b/>
          <w:bCs/>
        </w:rPr>
        <w:t xml:space="preserve"> Chapter 3 — Islamic Security Instruments</w:t>
      </w:r>
    </w:p>
    <w:p w14:paraId="6F6D376A" w14:textId="77777777" w:rsidR="00600C09" w:rsidRPr="00600C09" w:rsidRDefault="00877B45" w:rsidP="00600C09">
      <w:r>
        <w:rPr>
          <w:noProof/>
        </w:rPr>
      </w:r>
      <w:r w:rsidR="00877B45">
        <w:rPr>
          <w:noProof/>
        </w:rPr>
        <w:pict w14:anchorId="09F2F657">
          <v:rect id="_x0000_i1079" style="width:0;height:1.5pt" o:hralign="center" o:hrstd="t" o:hr="t" fillcolor="#a0a0a0" stroked="f"/>
        </w:pict>
      </w:r>
    </w:p>
    <w:p w14:paraId="4BF3D5EB" w14:textId="77777777" w:rsidR="00600C09" w:rsidRPr="00600C09" w:rsidRDefault="00600C09" w:rsidP="00600C09">
      <w:pPr>
        <w:rPr>
          <w:b/>
          <w:bCs/>
        </w:rPr>
      </w:pPr>
      <w:r w:rsidRPr="00600C09">
        <w:rPr>
          <w:b/>
          <w:bCs/>
        </w:rPr>
        <w:t>3.1 Introduction</w:t>
      </w:r>
    </w:p>
    <w:p w14:paraId="64626E50" w14:textId="77777777" w:rsidR="00600C09" w:rsidRPr="00600C09" w:rsidRDefault="00600C09" w:rsidP="00600C09">
      <w:r w:rsidRPr="00600C09">
        <w:t>Security instruments occupy an important place in Islamic commercial law, just as they do in conventional finance. The Qur’an, Sunnah, and juristic consensus (ijmā</w:t>
      </w:r>
      <w:r w:rsidRPr="00600C09">
        <w:rPr>
          <w:rFonts w:ascii="Arial" w:hAnsi="Arial" w:cs="Arial"/>
        </w:rPr>
        <w:t>ʿ</w:t>
      </w:r>
      <w:r w:rsidRPr="00600C09">
        <w:t xml:space="preserve">) all recognize the need for mechanisms that protect creditors, assure repayment, and minimize disputes. In Islamic law, these instruments are collectively known as </w:t>
      </w:r>
      <w:r w:rsidRPr="00600C09">
        <w:rPr>
          <w:rFonts w:ascii="Arial" w:hAnsi="Arial" w:cs="Arial"/>
          <w:b/>
          <w:bCs/>
        </w:rPr>
        <w:t>ʿ</w:t>
      </w:r>
      <w:r w:rsidRPr="00600C09">
        <w:rPr>
          <w:b/>
          <w:bCs/>
        </w:rPr>
        <w:t>uqūd al-tawthīq</w:t>
      </w:r>
      <w:r w:rsidRPr="00600C09">
        <w:t xml:space="preserve"> (contracts of security), designed to reinforce primary obligations by providing collateral, guarantees, or third-party undertakings (Al-Zuhayli, 2003).</w:t>
      </w:r>
    </w:p>
    <w:p w14:paraId="2F2EDA04" w14:textId="77777777" w:rsidR="00600C09" w:rsidRPr="00600C09" w:rsidRDefault="00600C09" w:rsidP="00600C09">
      <w:r w:rsidRPr="00600C09">
        <w:t xml:space="preserve">The permissibility of security instruments reflects Shariah’s balance between promoting credit availability and protecting creditors from loss, while at the same time safeguarding debtors from exploitation. The Qur’an acknowledges the practical realities of credit and the need for documentation and collateral. In the longest verse of the Qur’an, </w:t>
      </w:r>
      <w:r w:rsidRPr="00600C09">
        <w:rPr>
          <w:b/>
          <w:bCs/>
        </w:rPr>
        <w:t>Surah al-Baqarah (2:282)</w:t>
      </w:r>
      <w:r w:rsidRPr="00600C09">
        <w:t xml:space="preserve">, believers are instructed to write down debts and appoint witnesses to avoid future disputes. Immediately after this, verse </w:t>
      </w:r>
      <w:r w:rsidRPr="00600C09">
        <w:rPr>
          <w:b/>
          <w:bCs/>
        </w:rPr>
        <w:t>2:283</w:t>
      </w:r>
      <w:r w:rsidRPr="00600C09">
        <w:t xml:space="preserve"> permits the taking of collateral (rahn) when documentation is not feasible:</w:t>
      </w:r>
    </w:p>
    <w:p w14:paraId="336E94F5" w14:textId="77777777" w:rsidR="00600C09" w:rsidRPr="00600C09" w:rsidRDefault="00600C09" w:rsidP="00600C09">
      <w:r w:rsidRPr="00600C09">
        <w:t>“And if you are on a journey and cannot find a scribe, then a pledge (rahn) may be taken.” (Qur’an 2:283, Sahih International translation)</w:t>
      </w:r>
    </w:p>
    <w:p w14:paraId="34555C1D" w14:textId="77777777" w:rsidR="00600C09" w:rsidRPr="00600C09" w:rsidRDefault="00600C09" w:rsidP="00600C09">
      <w:r w:rsidRPr="00600C09">
        <w:t>The Sunnah also provides direct evidence. The Prophet Muhammad (peace be upon him) pledged his armor as security to a Jewish merchant in return for food (al-Bukhari, Hadith no. 2509). This incident demonstrates both the permissibility and practical utility of pledges, even by the Prophet himself.</w:t>
      </w:r>
    </w:p>
    <w:p w14:paraId="49BB8799" w14:textId="77777777" w:rsidR="00600C09" w:rsidRPr="00600C09" w:rsidRDefault="00600C09" w:rsidP="00600C09">
      <w:r w:rsidRPr="00600C09">
        <w:t>From these sources, Islamic jurisprudence developed a body of rules governing security. Four primary instruments are recognized:</w:t>
      </w:r>
    </w:p>
    <w:p w14:paraId="3A4DC1DD" w14:textId="77777777" w:rsidR="00600C09" w:rsidRPr="00600C09" w:rsidRDefault="00600C09" w:rsidP="00600C09">
      <w:pPr>
        <w:numPr>
          <w:ilvl w:val="0"/>
          <w:numId w:val="70"/>
        </w:numPr>
      </w:pPr>
      <w:r w:rsidRPr="00600C09">
        <w:rPr>
          <w:b/>
          <w:bCs/>
        </w:rPr>
        <w:t>Rahn (pledge)</w:t>
      </w:r>
      <w:r w:rsidRPr="00600C09">
        <w:t xml:space="preserve"> – a debtor provides an asset as collateral.</w:t>
      </w:r>
    </w:p>
    <w:p w14:paraId="5413077D" w14:textId="77777777" w:rsidR="00600C09" w:rsidRPr="00600C09" w:rsidRDefault="00600C09" w:rsidP="00600C09">
      <w:pPr>
        <w:numPr>
          <w:ilvl w:val="0"/>
          <w:numId w:val="70"/>
        </w:numPr>
      </w:pPr>
      <w:r w:rsidRPr="00600C09">
        <w:rPr>
          <w:b/>
          <w:bCs/>
        </w:rPr>
        <w:t>Kafālah (guarantee)</w:t>
      </w:r>
      <w:r w:rsidRPr="00600C09">
        <w:t xml:space="preserve"> – a third party guarantees repayment.</w:t>
      </w:r>
    </w:p>
    <w:p w14:paraId="791315D5" w14:textId="77777777" w:rsidR="00600C09" w:rsidRPr="00600C09" w:rsidRDefault="00600C09" w:rsidP="00600C09">
      <w:pPr>
        <w:numPr>
          <w:ilvl w:val="0"/>
          <w:numId w:val="70"/>
        </w:numPr>
      </w:pPr>
      <w:r w:rsidRPr="00600C09">
        <w:rPr>
          <w:rFonts w:ascii="Calibri" w:hAnsi="Calibri" w:cs="Calibri"/>
          <w:b/>
          <w:bCs/>
        </w:rPr>
        <w:lastRenderedPageBreak/>
        <w:t>Ḍ</w:t>
      </w:r>
      <w:r w:rsidRPr="00600C09">
        <w:rPr>
          <w:b/>
          <w:bCs/>
        </w:rPr>
        <w:t>amān (suretyship)</w:t>
      </w:r>
      <w:r w:rsidRPr="00600C09">
        <w:t xml:space="preserve"> – a commitment to assume responsibility for another’s obligation.</w:t>
      </w:r>
    </w:p>
    <w:p w14:paraId="6C397AE5" w14:textId="77777777" w:rsidR="00600C09" w:rsidRPr="00600C09" w:rsidRDefault="00600C09" w:rsidP="00600C09">
      <w:pPr>
        <w:numPr>
          <w:ilvl w:val="0"/>
          <w:numId w:val="70"/>
        </w:numPr>
      </w:pPr>
      <w:r w:rsidRPr="00600C09">
        <w:rPr>
          <w:rFonts w:ascii="Calibri" w:hAnsi="Calibri" w:cs="Calibri"/>
          <w:b/>
          <w:bCs/>
        </w:rPr>
        <w:t>Ḥ</w:t>
      </w:r>
      <w:r w:rsidRPr="00600C09">
        <w:rPr>
          <w:b/>
          <w:bCs/>
        </w:rPr>
        <w:t>awālah (debt transfer)</w:t>
      </w:r>
      <w:r w:rsidRPr="00600C09">
        <w:t xml:space="preserve"> – transferring a debt from one party to another.</w:t>
      </w:r>
    </w:p>
    <w:p w14:paraId="742CA065" w14:textId="77777777" w:rsidR="00600C09" w:rsidRPr="00600C09" w:rsidRDefault="00600C09" w:rsidP="00600C09">
      <w:r w:rsidRPr="00600C09">
        <w:t>Each instrument has its own conditions, limitations, and juristic debates. Together, they form a framework that parallels conventional security instruments but is rooted in the ethical and legal principles of Shariah.</w:t>
      </w:r>
    </w:p>
    <w:p w14:paraId="6F12309C" w14:textId="77777777" w:rsidR="00600C09" w:rsidRPr="00600C09" w:rsidRDefault="00600C09" w:rsidP="00600C09">
      <w:r w:rsidRPr="00600C09">
        <w:t>This chapter examines these instruments in detail, beginning with rahn, the Qur’an-endorsed pledge.</w:t>
      </w:r>
    </w:p>
    <w:p w14:paraId="27DFBC7F" w14:textId="6C01EC76" w:rsidR="00600C09" w:rsidRPr="00600C09" w:rsidRDefault="00600C09" w:rsidP="00600C09"/>
    <w:p w14:paraId="4D4F164C" w14:textId="77777777" w:rsidR="00600C09" w:rsidRPr="00600C09" w:rsidRDefault="00600C09" w:rsidP="00600C09">
      <w:pPr>
        <w:rPr>
          <w:b/>
          <w:bCs/>
        </w:rPr>
      </w:pPr>
      <w:r w:rsidRPr="00600C09">
        <w:rPr>
          <w:b/>
          <w:bCs/>
        </w:rPr>
        <w:t>3.2 Rahn (Pledge)</w:t>
      </w:r>
    </w:p>
    <w:p w14:paraId="6E174A5B" w14:textId="77777777" w:rsidR="00600C09" w:rsidRPr="00600C09" w:rsidRDefault="00600C09" w:rsidP="00600C09">
      <w:pPr>
        <w:rPr>
          <w:b/>
          <w:bCs/>
        </w:rPr>
      </w:pPr>
      <w:r w:rsidRPr="00600C09">
        <w:rPr>
          <w:b/>
          <w:bCs/>
        </w:rPr>
        <w:t>3.2.1 Definition and Concept</w:t>
      </w:r>
    </w:p>
    <w:p w14:paraId="0E8C82B7" w14:textId="77777777" w:rsidR="00600C09" w:rsidRPr="00600C09" w:rsidRDefault="00600C09" w:rsidP="00600C09">
      <w:r w:rsidRPr="00600C09">
        <w:rPr>
          <w:b/>
          <w:bCs/>
        </w:rPr>
        <w:t>Rahn</w:t>
      </w:r>
      <w:r w:rsidRPr="00600C09">
        <w:t xml:space="preserve"> is defined as the detention of a property as security for a debt, enabling the creditor to recover the debt from the pledged property if the debtor defaults. Classical jurists described it as “a property retained as security for a right, whereby the right may be satisfied from that property in the event of non-payment” (Ibn Qudamah, </w:t>
      </w:r>
      <w:r w:rsidRPr="00600C09">
        <w:rPr>
          <w:i/>
          <w:iCs/>
        </w:rPr>
        <w:t>al-Mughni</w:t>
      </w:r>
      <w:r w:rsidRPr="00600C09">
        <w:t>).</w:t>
      </w:r>
    </w:p>
    <w:p w14:paraId="3F7F717C" w14:textId="77777777" w:rsidR="00600C09" w:rsidRPr="00600C09" w:rsidRDefault="00600C09" w:rsidP="00600C09">
      <w:r w:rsidRPr="00600C09">
        <w:t>Modern scholars align with this definition, emphasizing that rahn provides assurance to creditors without transferring ownership. The creditor holds the asset as security, but ownership and risk of loss remain with the debtor, unless the creditor is negligent (Al-Zuhayli, 2003).</w:t>
      </w:r>
    </w:p>
    <w:p w14:paraId="17317512" w14:textId="77777777" w:rsidR="00600C09" w:rsidRPr="00600C09" w:rsidRDefault="00600C09" w:rsidP="00600C09">
      <w:r w:rsidRPr="00600C09">
        <w:t xml:space="preserve">Rahn is most often compared with the conventional </w:t>
      </w:r>
      <w:r w:rsidRPr="00600C09">
        <w:rPr>
          <w:b/>
          <w:bCs/>
        </w:rPr>
        <w:t>pledge</w:t>
      </w:r>
      <w:r w:rsidRPr="00600C09">
        <w:t>. Both involve placing an asset as collateral, but key differences exist in terms of benefit, risk allocation, and ethical considerations.</w:t>
      </w:r>
    </w:p>
    <w:p w14:paraId="5F64F0E7" w14:textId="109EB246" w:rsidR="00600C09" w:rsidRPr="00600C09" w:rsidRDefault="00600C09" w:rsidP="00600C09"/>
    <w:p w14:paraId="3E7AC50E" w14:textId="77777777" w:rsidR="00600C09" w:rsidRPr="00600C09" w:rsidRDefault="00600C09" w:rsidP="00600C09">
      <w:pPr>
        <w:rPr>
          <w:b/>
          <w:bCs/>
        </w:rPr>
      </w:pPr>
      <w:r w:rsidRPr="00600C09">
        <w:rPr>
          <w:b/>
          <w:bCs/>
        </w:rPr>
        <w:t>3.2.2 Qur’anic and Hadith Basis</w:t>
      </w:r>
    </w:p>
    <w:p w14:paraId="06E67C96" w14:textId="77777777" w:rsidR="00600C09" w:rsidRPr="00600C09" w:rsidRDefault="00600C09" w:rsidP="00600C09">
      <w:r w:rsidRPr="00600C09">
        <w:t>The legitimacy of rahn is firmly established in primary sources.</w:t>
      </w:r>
    </w:p>
    <w:p w14:paraId="53463971" w14:textId="77777777" w:rsidR="00600C09" w:rsidRPr="00600C09" w:rsidRDefault="00600C09" w:rsidP="00600C09">
      <w:pPr>
        <w:numPr>
          <w:ilvl w:val="0"/>
          <w:numId w:val="71"/>
        </w:numPr>
      </w:pPr>
      <w:r w:rsidRPr="00600C09">
        <w:rPr>
          <w:b/>
          <w:bCs/>
        </w:rPr>
        <w:t>Qur’an 2:283</w:t>
      </w:r>
      <w:r w:rsidRPr="00600C09">
        <w:t xml:space="preserve"> explicitly permits pledges in cases where documentation is not possible, providing the foundational evidence for rahn.</w:t>
      </w:r>
    </w:p>
    <w:p w14:paraId="481691AC" w14:textId="77777777" w:rsidR="00600C09" w:rsidRPr="00600C09" w:rsidRDefault="00600C09" w:rsidP="00600C09">
      <w:pPr>
        <w:numPr>
          <w:ilvl w:val="0"/>
          <w:numId w:val="71"/>
        </w:numPr>
      </w:pPr>
      <w:r w:rsidRPr="00600C09">
        <w:rPr>
          <w:b/>
          <w:bCs/>
        </w:rPr>
        <w:t>Hadith evidence</w:t>
      </w:r>
      <w:r w:rsidRPr="00600C09">
        <w:t xml:space="preserve"> includes the Prophet pledging his armor to a Jewish merchant (al-Bukhari, Hadith no. 2509). Another narration states: “The Prophet died while his armor was mortgaged with a Jew for thirty </w:t>
      </w:r>
      <w:r w:rsidRPr="00600C09">
        <w:rPr>
          <w:i/>
          <w:iCs/>
        </w:rPr>
        <w:t>ṣā</w:t>
      </w:r>
      <w:r w:rsidRPr="00600C09">
        <w:rPr>
          <w:rFonts w:ascii="Arial" w:hAnsi="Arial" w:cs="Arial"/>
          <w:i/>
          <w:iCs/>
        </w:rPr>
        <w:t>ʿ</w:t>
      </w:r>
      <w:r w:rsidRPr="00600C09">
        <w:t xml:space="preserve"> of barley” (Muslim, Hadith no. 1603).</w:t>
      </w:r>
    </w:p>
    <w:p w14:paraId="24DF435C" w14:textId="77777777" w:rsidR="00600C09" w:rsidRPr="00600C09" w:rsidRDefault="00600C09" w:rsidP="00600C09">
      <w:r w:rsidRPr="00600C09">
        <w:t>These reports demonstrate the practical acceptance of rahn as a legitimate contract, applied even in dealings with non-Muslims.</w:t>
      </w:r>
    </w:p>
    <w:p w14:paraId="2427EC07" w14:textId="2F755E64" w:rsidR="00600C09" w:rsidRPr="00600C09" w:rsidRDefault="00600C09" w:rsidP="00600C09"/>
    <w:p w14:paraId="2A968696" w14:textId="77777777" w:rsidR="00600C09" w:rsidRPr="00600C09" w:rsidRDefault="00600C09" w:rsidP="00600C09">
      <w:pPr>
        <w:rPr>
          <w:b/>
          <w:bCs/>
        </w:rPr>
      </w:pPr>
      <w:r w:rsidRPr="00600C09">
        <w:rPr>
          <w:b/>
          <w:bCs/>
        </w:rPr>
        <w:t>3.2.3 Essential Elements of Rahn</w:t>
      </w:r>
    </w:p>
    <w:p w14:paraId="6BB5EB40" w14:textId="77777777" w:rsidR="00600C09" w:rsidRPr="00600C09" w:rsidRDefault="00600C09" w:rsidP="00600C09">
      <w:r w:rsidRPr="00600C09">
        <w:t>Islamic jurists identified essential elements (</w:t>
      </w:r>
      <w:r w:rsidRPr="00600C09">
        <w:rPr>
          <w:i/>
          <w:iCs/>
        </w:rPr>
        <w:t>arkān</w:t>
      </w:r>
      <w:r w:rsidRPr="00600C09">
        <w:t>) of rahn, which must be fulfilled for the contract to be valid:</w:t>
      </w:r>
    </w:p>
    <w:p w14:paraId="3D0EF062" w14:textId="77777777" w:rsidR="00600C09" w:rsidRPr="00600C09" w:rsidRDefault="00600C09" w:rsidP="00600C09">
      <w:pPr>
        <w:numPr>
          <w:ilvl w:val="0"/>
          <w:numId w:val="72"/>
        </w:numPr>
      </w:pPr>
      <w:r w:rsidRPr="00600C09">
        <w:rPr>
          <w:b/>
          <w:bCs/>
        </w:rPr>
        <w:t>Marhūn bih (the debt)</w:t>
      </w:r>
    </w:p>
    <w:p w14:paraId="0128BC71" w14:textId="77777777" w:rsidR="00600C09" w:rsidRPr="00600C09" w:rsidRDefault="00600C09" w:rsidP="00600C09">
      <w:pPr>
        <w:numPr>
          <w:ilvl w:val="1"/>
          <w:numId w:val="72"/>
        </w:numPr>
      </w:pPr>
      <w:r w:rsidRPr="00600C09">
        <w:t>The obligation secured must be a valid and existing debt.</w:t>
      </w:r>
    </w:p>
    <w:p w14:paraId="12D1F08D" w14:textId="77777777" w:rsidR="00600C09" w:rsidRPr="00600C09" w:rsidRDefault="00600C09" w:rsidP="00600C09">
      <w:pPr>
        <w:numPr>
          <w:ilvl w:val="1"/>
          <w:numId w:val="72"/>
        </w:numPr>
      </w:pPr>
      <w:r w:rsidRPr="00600C09">
        <w:t>Jurists generally do not permit rahn for uncertain or speculative obligations.</w:t>
      </w:r>
    </w:p>
    <w:p w14:paraId="1B061F3A" w14:textId="77777777" w:rsidR="00600C09" w:rsidRPr="00600C09" w:rsidRDefault="00600C09" w:rsidP="00600C09">
      <w:pPr>
        <w:numPr>
          <w:ilvl w:val="0"/>
          <w:numId w:val="72"/>
        </w:numPr>
      </w:pPr>
      <w:r w:rsidRPr="00600C09">
        <w:rPr>
          <w:b/>
          <w:bCs/>
        </w:rPr>
        <w:t>Marhūn (the pledged property)</w:t>
      </w:r>
    </w:p>
    <w:p w14:paraId="54E8B66B" w14:textId="77777777" w:rsidR="00600C09" w:rsidRPr="00600C09" w:rsidRDefault="00600C09" w:rsidP="00600C09">
      <w:pPr>
        <w:numPr>
          <w:ilvl w:val="1"/>
          <w:numId w:val="72"/>
        </w:numPr>
      </w:pPr>
      <w:r w:rsidRPr="00600C09">
        <w:t>Must be a tangible, valuable asset that can legally be sold.</w:t>
      </w:r>
    </w:p>
    <w:p w14:paraId="7EAB0DDB" w14:textId="77777777" w:rsidR="00600C09" w:rsidRPr="00600C09" w:rsidRDefault="00600C09" w:rsidP="00600C09">
      <w:pPr>
        <w:numPr>
          <w:ilvl w:val="1"/>
          <w:numId w:val="72"/>
        </w:numPr>
      </w:pPr>
      <w:r w:rsidRPr="00600C09">
        <w:t>Cannot be an item prohibited in Shariah (e.g., alcohol, pork).</w:t>
      </w:r>
    </w:p>
    <w:p w14:paraId="033F9122" w14:textId="77777777" w:rsidR="00600C09" w:rsidRPr="00600C09" w:rsidRDefault="00600C09" w:rsidP="00600C09">
      <w:pPr>
        <w:numPr>
          <w:ilvl w:val="1"/>
          <w:numId w:val="72"/>
        </w:numPr>
      </w:pPr>
      <w:r w:rsidRPr="00600C09">
        <w:t>Both movable and immovable assets may serve as marhūn, depending on the madhhab.</w:t>
      </w:r>
    </w:p>
    <w:p w14:paraId="38AF8185" w14:textId="77777777" w:rsidR="00600C09" w:rsidRPr="00600C09" w:rsidRDefault="00600C09" w:rsidP="00600C09">
      <w:pPr>
        <w:numPr>
          <w:ilvl w:val="0"/>
          <w:numId w:val="72"/>
        </w:numPr>
      </w:pPr>
      <w:r w:rsidRPr="00600C09">
        <w:rPr>
          <w:b/>
          <w:bCs/>
        </w:rPr>
        <w:t>Sighah (offer and acceptance)</w:t>
      </w:r>
    </w:p>
    <w:p w14:paraId="40089FB0" w14:textId="77777777" w:rsidR="00600C09" w:rsidRPr="00600C09" w:rsidRDefault="00600C09" w:rsidP="00600C09">
      <w:pPr>
        <w:numPr>
          <w:ilvl w:val="1"/>
          <w:numId w:val="72"/>
        </w:numPr>
      </w:pPr>
      <w:r w:rsidRPr="00600C09">
        <w:t>Express words or conduct must indicate agreement to create rahn.</w:t>
      </w:r>
    </w:p>
    <w:p w14:paraId="25E301A6" w14:textId="77777777" w:rsidR="00600C09" w:rsidRPr="00600C09" w:rsidRDefault="00600C09" w:rsidP="00600C09">
      <w:pPr>
        <w:numPr>
          <w:ilvl w:val="0"/>
          <w:numId w:val="72"/>
        </w:numPr>
      </w:pPr>
      <w:r w:rsidRPr="00600C09">
        <w:rPr>
          <w:b/>
          <w:bCs/>
        </w:rPr>
        <w:t>Qab</w:t>
      </w:r>
      <w:r w:rsidRPr="00600C09">
        <w:rPr>
          <w:rFonts w:ascii="Calibri" w:hAnsi="Calibri" w:cs="Calibri"/>
          <w:b/>
          <w:bCs/>
        </w:rPr>
        <w:t>ḍ</w:t>
      </w:r>
      <w:r w:rsidRPr="00600C09">
        <w:rPr>
          <w:b/>
          <w:bCs/>
        </w:rPr>
        <w:t xml:space="preserve"> (possession)</w:t>
      </w:r>
    </w:p>
    <w:p w14:paraId="10C30790" w14:textId="77777777" w:rsidR="00600C09" w:rsidRPr="00600C09" w:rsidRDefault="00600C09" w:rsidP="00600C09">
      <w:pPr>
        <w:numPr>
          <w:ilvl w:val="1"/>
          <w:numId w:val="72"/>
        </w:numPr>
      </w:pPr>
      <w:r w:rsidRPr="00600C09">
        <w:t>The creditor must take possession (physical or constructive) of the pledged asset.</w:t>
      </w:r>
    </w:p>
    <w:p w14:paraId="2505D304" w14:textId="77777777" w:rsidR="00600C09" w:rsidRPr="00600C09" w:rsidRDefault="00600C09" w:rsidP="00600C09">
      <w:pPr>
        <w:numPr>
          <w:ilvl w:val="1"/>
          <w:numId w:val="72"/>
        </w:numPr>
      </w:pPr>
      <w:r w:rsidRPr="00600C09">
        <w:t>Without possession, the rahn is incomplete.</w:t>
      </w:r>
    </w:p>
    <w:p w14:paraId="6B7D00AA" w14:textId="77777777" w:rsidR="00600C09" w:rsidRPr="00600C09" w:rsidRDefault="00600C09" w:rsidP="00600C09">
      <w:r w:rsidRPr="00600C09">
        <w:t>These requirements ensure that rahn remains a transparent and enforceable arrangement, avoiding uncertainty (</w:t>
      </w:r>
      <w:r w:rsidRPr="00600C09">
        <w:rPr>
          <w:i/>
          <w:iCs/>
        </w:rPr>
        <w:t>gharar</w:t>
      </w:r>
      <w:r w:rsidRPr="00600C09">
        <w:t>).</w:t>
      </w:r>
    </w:p>
    <w:p w14:paraId="358F6D26" w14:textId="53B198D8" w:rsidR="00600C09" w:rsidRPr="00600C09" w:rsidRDefault="00600C09" w:rsidP="00600C09"/>
    <w:p w14:paraId="5A5B1A27" w14:textId="77777777" w:rsidR="00600C09" w:rsidRPr="00600C09" w:rsidRDefault="00600C09" w:rsidP="00600C09">
      <w:pPr>
        <w:rPr>
          <w:b/>
          <w:bCs/>
        </w:rPr>
      </w:pPr>
      <w:r w:rsidRPr="00600C09">
        <w:rPr>
          <w:b/>
          <w:bCs/>
        </w:rPr>
        <w:t>3.2.4 Juristic Views Across Schools</w:t>
      </w:r>
    </w:p>
    <w:p w14:paraId="740731B7" w14:textId="77777777" w:rsidR="00600C09" w:rsidRPr="00600C09" w:rsidRDefault="00600C09" w:rsidP="00600C09">
      <w:r w:rsidRPr="00600C09">
        <w:t>The four Sunni schools (madhāhib) generally agree on the validity of rahn but differ on certain details:</w:t>
      </w:r>
    </w:p>
    <w:p w14:paraId="530B3ABB" w14:textId="77777777" w:rsidR="00600C09" w:rsidRPr="00600C09" w:rsidRDefault="00600C09" w:rsidP="00600C09">
      <w:pPr>
        <w:numPr>
          <w:ilvl w:val="0"/>
          <w:numId w:val="73"/>
        </w:numPr>
      </w:pPr>
      <w:r w:rsidRPr="00600C09">
        <w:rPr>
          <w:b/>
          <w:bCs/>
        </w:rPr>
        <w:t>Hanafi school</w:t>
      </w:r>
      <w:r w:rsidRPr="00600C09">
        <w:t>: Rahn becomes binding only upon possession (qab</w:t>
      </w:r>
      <w:r w:rsidRPr="00600C09">
        <w:rPr>
          <w:rFonts w:ascii="Calibri" w:hAnsi="Calibri" w:cs="Calibri"/>
        </w:rPr>
        <w:t>ḍ</w:t>
      </w:r>
      <w:r w:rsidRPr="00600C09">
        <w:t>). Until then, it is merely a promise.</w:t>
      </w:r>
    </w:p>
    <w:p w14:paraId="70D8FE82" w14:textId="77777777" w:rsidR="00600C09" w:rsidRPr="00600C09" w:rsidRDefault="00600C09" w:rsidP="00600C09">
      <w:pPr>
        <w:numPr>
          <w:ilvl w:val="0"/>
          <w:numId w:val="73"/>
        </w:numPr>
      </w:pPr>
      <w:r w:rsidRPr="00600C09">
        <w:rPr>
          <w:b/>
          <w:bCs/>
        </w:rPr>
        <w:t>Maliki school</w:t>
      </w:r>
      <w:r w:rsidRPr="00600C09">
        <w:t>: Recognizes rahn upon contract, but possession strengthens enforceability.</w:t>
      </w:r>
    </w:p>
    <w:p w14:paraId="4FA8B49E" w14:textId="77777777" w:rsidR="00600C09" w:rsidRPr="00600C09" w:rsidRDefault="00600C09" w:rsidP="00600C09">
      <w:pPr>
        <w:numPr>
          <w:ilvl w:val="0"/>
          <w:numId w:val="73"/>
        </w:numPr>
      </w:pPr>
      <w:r w:rsidRPr="00600C09">
        <w:rPr>
          <w:b/>
          <w:bCs/>
        </w:rPr>
        <w:t>Shafi</w:t>
      </w:r>
      <w:r w:rsidRPr="00600C09">
        <w:rPr>
          <w:rFonts w:ascii="Arial" w:hAnsi="Arial" w:cs="Arial"/>
          <w:b/>
          <w:bCs/>
        </w:rPr>
        <w:t>ʿ</w:t>
      </w:r>
      <w:r w:rsidRPr="00600C09">
        <w:rPr>
          <w:b/>
          <w:bCs/>
        </w:rPr>
        <w:t>i school</w:t>
      </w:r>
      <w:r w:rsidRPr="00600C09">
        <w:t>: Similar to the Hanafis, emphasizes possession as essential for completion.</w:t>
      </w:r>
    </w:p>
    <w:p w14:paraId="1625E0C0" w14:textId="77777777" w:rsidR="00600C09" w:rsidRPr="00600C09" w:rsidRDefault="00600C09" w:rsidP="00600C09">
      <w:pPr>
        <w:numPr>
          <w:ilvl w:val="0"/>
          <w:numId w:val="73"/>
        </w:numPr>
      </w:pPr>
      <w:r w:rsidRPr="00600C09">
        <w:rPr>
          <w:b/>
          <w:bCs/>
        </w:rPr>
        <w:lastRenderedPageBreak/>
        <w:t>Hanbali school</w:t>
      </w:r>
      <w:r w:rsidRPr="00600C09">
        <w:t>: Considers rahn binding upon contract, regardless of possession, though possession remains significant.</w:t>
      </w:r>
    </w:p>
    <w:p w14:paraId="462BE6F0" w14:textId="77777777" w:rsidR="00600C09" w:rsidRPr="00600C09" w:rsidRDefault="00600C09" w:rsidP="00600C09">
      <w:r w:rsidRPr="00600C09">
        <w:t>These differences reflect broader juristic debates on when contractual obligations become binding. In modern practice, most jurisdictions follow the Hanafi-Shafi</w:t>
      </w:r>
      <w:r w:rsidRPr="00600C09">
        <w:rPr>
          <w:rFonts w:ascii="Arial" w:hAnsi="Arial" w:cs="Arial"/>
        </w:rPr>
        <w:t>ʿ</w:t>
      </w:r>
      <w:r w:rsidRPr="00600C09">
        <w:t>i emphasis on possession as a requirement.</w:t>
      </w:r>
    </w:p>
    <w:p w14:paraId="1D476014" w14:textId="779B9E7C" w:rsidR="00600C09" w:rsidRPr="00600C09" w:rsidRDefault="00600C09" w:rsidP="00600C09"/>
    <w:p w14:paraId="563D9F67" w14:textId="77777777" w:rsidR="00600C09" w:rsidRPr="00600C09" w:rsidRDefault="00600C09" w:rsidP="00600C09">
      <w:pPr>
        <w:rPr>
          <w:b/>
          <w:bCs/>
        </w:rPr>
      </w:pPr>
      <w:r w:rsidRPr="00600C09">
        <w:rPr>
          <w:b/>
          <w:bCs/>
        </w:rPr>
        <w:t>3.2.5 Rights and Duties</w:t>
      </w:r>
    </w:p>
    <w:p w14:paraId="15191ED8" w14:textId="77777777" w:rsidR="00600C09" w:rsidRPr="00600C09" w:rsidRDefault="00600C09" w:rsidP="00600C09">
      <w:pPr>
        <w:numPr>
          <w:ilvl w:val="0"/>
          <w:numId w:val="74"/>
        </w:numPr>
      </w:pPr>
      <w:r w:rsidRPr="00600C09">
        <w:rPr>
          <w:b/>
          <w:bCs/>
        </w:rPr>
        <w:t>Rights of the creditor (murtahin):</w:t>
      </w:r>
    </w:p>
    <w:p w14:paraId="7FC0F192" w14:textId="77777777" w:rsidR="00600C09" w:rsidRPr="00600C09" w:rsidRDefault="00600C09" w:rsidP="00600C09">
      <w:pPr>
        <w:numPr>
          <w:ilvl w:val="1"/>
          <w:numId w:val="74"/>
        </w:numPr>
      </w:pPr>
      <w:r w:rsidRPr="00600C09">
        <w:t>Retain the pledged property until repayment.</w:t>
      </w:r>
    </w:p>
    <w:p w14:paraId="28007B95" w14:textId="77777777" w:rsidR="00600C09" w:rsidRPr="00600C09" w:rsidRDefault="00600C09" w:rsidP="00600C09">
      <w:pPr>
        <w:numPr>
          <w:ilvl w:val="1"/>
          <w:numId w:val="74"/>
        </w:numPr>
      </w:pPr>
      <w:r w:rsidRPr="00600C09">
        <w:t>Sell the pledged asset upon default, with court approval in most jurisdictions.</w:t>
      </w:r>
    </w:p>
    <w:p w14:paraId="3591BB40" w14:textId="77777777" w:rsidR="00600C09" w:rsidRPr="00600C09" w:rsidRDefault="00600C09" w:rsidP="00600C09">
      <w:pPr>
        <w:numPr>
          <w:ilvl w:val="1"/>
          <w:numId w:val="74"/>
        </w:numPr>
      </w:pPr>
      <w:r w:rsidRPr="00600C09">
        <w:t>Recover the debt from the proceeds of sale.</w:t>
      </w:r>
    </w:p>
    <w:p w14:paraId="32C961F7" w14:textId="77777777" w:rsidR="00600C09" w:rsidRPr="00600C09" w:rsidRDefault="00600C09" w:rsidP="00600C09">
      <w:pPr>
        <w:numPr>
          <w:ilvl w:val="0"/>
          <w:numId w:val="74"/>
        </w:numPr>
      </w:pPr>
      <w:r w:rsidRPr="00600C09">
        <w:rPr>
          <w:b/>
          <w:bCs/>
        </w:rPr>
        <w:t>Duties of the creditor:</w:t>
      </w:r>
    </w:p>
    <w:p w14:paraId="72C000CB" w14:textId="77777777" w:rsidR="00600C09" w:rsidRPr="00600C09" w:rsidRDefault="00600C09" w:rsidP="00600C09">
      <w:pPr>
        <w:numPr>
          <w:ilvl w:val="1"/>
          <w:numId w:val="74"/>
        </w:numPr>
      </w:pPr>
      <w:r w:rsidRPr="00600C09">
        <w:t>Safeguard the pledged asset.</w:t>
      </w:r>
    </w:p>
    <w:p w14:paraId="4AEB5133" w14:textId="77777777" w:rsidR="00600C09" w:rsidRPr="00600C09" w:rsidRDefault="00600C09" w:rsidP="00600C09">
      <w:pPr>
        <w:numPr>
          <w:ilvl w:val="1"/>
          <w:numId w:val="74"/>
        </w:numPr>
      </w:pPr>
      <w:r w:rsidRPr="00600C09">
        <w:t>Not to use the asset for personal benefit unless expressly permitted by the debtor.</w:t>
      </w:r>
    </w:p>
    <w:p w14:paraId="4096E945" w14:textId="77777777" w:rsidR="00600C09" w:rsidRPr="00600C09" w:rsidRDefault="00600C09" w:rsidP="00600C09">
      <w:pPr>
        <w:numPr>
          <w:ilvl w:val="1"/>
          <w:numId w:val="74"/>
        </w:numPr>
      </w:pPr>
      <w:r w:rsidRPr="00600C09">
        <w:t>Return any surplus proceeds to the debtor.</w:t>
      </w:r>
    </w:p>
    <w:p w14:paraId="787FCA70" w14:textId="77777777" w:rsidR="00600C09" w:rsidRPr="00600C09" w:rsidRDefault="00600C09" w:rsidP="00600C09">
      <w:pPr>
        <w:numPr>
          <w:ilvl w:val="0"/>
          <w:numId w:val="74"/>
        </w:numPr>
      </w:pPr>
      <w:r w:rsidRPr="00600C09">
        <w:rPr>
          <w:b/>
          <w:bCs/>
        </w:rPr>
        <w:t>Rights of the debtor (rāhin):</w:t>
      </w:r>
    </w:p>
    <w:p w14:paraId="59862ABD" w14:textId="77777777" w:rsidR="00600C09" w:rsidRPr="00600C09" w:rsidRDefault="00600C09" w:rsidP="00600C09">
      <w:pPr>
        <w:numPr>
          <w:ilvl w:val="1"/>
          <w:numId w:val="74"/>
        </w:numPr>
      </w:pPr>
      <w:r w:rsidRPr="00600C09">
        <w:t>Redeem the asset upon repayment.</w:t>
      </w:r>
    </w:p>
    <w:p w14:paraId="0B227ED6" w14:textId="77777777" w:rsidR="00600C09" w:rsidRPr="00600C09" w:rsidRDefault="00600C09" w:rsidP="00600C09">
      <w:pPr>
        <w:numPr>
          <w:ilvl w:val="1"/>
          <w:numId w:val="74"/>
        </w:numPr>
      </w:pPr>
      <w:r w:rsidRPr="00600C09">
        <w:t>Receive any surplus from the sale proceeds.</w:t>
      </w:r>
    </w:p>
    <w:p w14:paraId="456899FB" w14:textId="77777777" w:rsidR="00600C09" w:rsidRPr="00600C09" w:rsidRDefault="00600C09" w:rsidP="00600C09">
      <w:pPr>
        <w:numPr>
          <w:ilvl w:val="1"/>
          <w:numId w:val="74"/>
        </w:numPr>
      </w:pPr>
      <w:r w:rsidRPr="00600C09">
        <w:t>Demand compensation if the creditor misuses or negligently damages the property.</w:t>
      </w:r>
    </w:p>
    <w:p w14:paraId="58E7FB8A" w14:textId="77777777" w:rsidR="00600C09" w:rsidRPr="00600C09" w:rsidRDefault="00600C09" w:rsidP="00600C09">
      <w:r w:rsidRPr="00600C09">
        <w:t>These provisions ensure fairness, preventing creditors from unjust enrichment and protecting debtors from exploitation.</w:t>
      </w:r>
    </w:p>
    <w:p w14:paraId="56A9B04D" w14:textId="59335DA8" w:rsidR="00600C09" w:rsidRPr="00600C09" w:rsidRDefault="00600C09" w:rsidP="00600C09"/>
    <w:p w14:paraId="46DD6BA4" w14:textId="77777777" w:rsidR="00600C09" w:rsidRPr="00600C09" w:rsidRDefault="00600C09" w:rsidP="00600C09">
      <w:pPr>
        <w:rPr>
          <w:b/>
          <w:bCs/>
        </w:rPr>
      </w:pPr>
      <w:r w:rsidRPr="00600C09">
        <w:rPr>
          <w:b/>
          <w:bCs/>
        </w:rPr>
        <w:t>3.2.6 Modern Applications</w:t>
      </w:r>
    </w:p>
    <w:p w14:paraId="37773B1C" w14:textId="77777777" w:rsidR="00600C09" w:rsidRPr="00600C09" w:rsidRDefault="00600C09" w:rsidP="00600C09">
      <w:r w:rsidRPr="00600C09">
        <w:t>In modern Islamic finance, rahn has found wide application:</w:t>
      </w:r>
    </w:p>
    <w:p w14:paraId="7423746A" w14:textId="77777777" w:rsidR="00600C09" w:rsidRPr="00600C09" w:rsidRDefault="00600C09" w:rsidP="00600C09">
      <w:pPr>
        <w:numPr>
          <w:ilvl w:val="0"/>
          <w:numId w:val="75"/>
        </w:numPr>
      </w:pPr>
      <w:r w:rsidRPr="00600C09">
        <w:rPr>
          <w:b/>
          <w:bCs/>
        </w:rPr>
        <w:t>Islamic home financing</w:t>
      </w:r>
    </w:p>
    <w:p w14:paraId="0F35FF25" w14:textId="77777777" w:rsidR="00600C09" w:rsidRPr="00600C09" w:rsidRDefault="00600C09" w:rsidP="00600C09">
      <w:pPr>
        <w:numPr>
          <w:ilvl w:val="1"/>
          <w:numId w:val="75"/>
        </w:numPr>
      </w:pPr>
      <w:r w:rsidRPr="00600C09">
        <w:t xml:space="preserve">Banks may take a rahn over property to secure repayment under contracts like </w:t>
      </w:r>
      <w:r w:rsidRPr="00600C09">
        <w:rPr>
          <w:i/>
          <w:iCs/>
        </w:rPr>
        <w:t>Bay</w:t>
      </w:r>
      <w:r w:rsidRPr="00600C09">
        <w:rPr>
          <w:rFonts w:ascii="Arial" w:hAnsi="Arial" w:cs="Arial"/>
          <w:i/>
          <w:iCs/>
        </w:rPr>
        <w:t>ʿ</w:t>
      </w:r>
      <w:r w:rsidRPr="00600C09">
        <w:rPr>
          <w:i/>
          <w:iCs/>
        </w:rPr>
        <w:t xml:space="preserve"> Bithaman </w:t>
      </w:r>
      <w:r w:rsidRPr="00600C09">
        <w:rPr>
          <w:rFonts w:ascii="Aptos" w:hAnsi="Aptos" w:cs="Aptos"/>
          <w:i/>
          <w:iCs/>
        </w:rPr>
        <w:t>Ā</w:t>
      </w:r>
      <w:r w:rsidRPr="00600C09">
        <w:rPr>
          <w:i/>
          <w:iCs/>
        </w:rPr>
        <w:t>jil</w:t>
      </w:r>
      <w:r w:rsidRPr="00600C09">
        <w:t xml:space="preserve"> (BBA) or </w:t>
      </w:r>
      <w:r w:rsidRPr="00600C09">
        <w:rPr>
          <w:i/>
          <w:iCs/>
        </w:rPr>
        <w:t>Murāba</w:t>
      </w:r>
      <w:r w:rsidRPr="00600C09">
        <w:rPr>
          <w:rFonts w:ascii="Calibri" w:hAnsi="Calibri" w:cs="Calibri"/>
          <w:i/>
          <w:iCs/>
        </w:rPr>
        <w:t>ḥ</w:t>
      </w:r>
      <w:r w:rsidRPr="00600C09">
        <w:rPr>
          <w:i/>
          <w:iCs/>
        </w:rPr>
        <w:t>ah</w:t>
      </w:r>
      <w:r w:rsidRPr="00600C09">
        <w:t>.</w:t>
      </w:r>
    </w:p>
    <w:p w14:paraId="2589F301" w14:textId="77777777" w:rsidR="00600C09" w:rsidRPr="00600C09" w:rsidRDefault="00600C09" w:rsidP="00600C09">
      <w:pPr>
        <w:numPr>
          <w:ilvl w:val="0"/>
          <w:numId w:val="75"/>
        </w:numPr>
      </w:pPr>
      <w:r w:rsidRPr="00600C09">
        <w:rPr>
          <w:b/>
          <w:bCs/>
        </w:rPr>
        <w:lastRenderedPageBreak/>
        <w:t>Pawn broking (Ar-Rahn schemes)</w:t>
      </w:r>
    </w:p>
    <w:p w14:paraId="383C288F" w14:textId="77777777" w:rsidR="00600C09" w:rsidRPr="00600C09" w:rsidRDefault="00600C09" w:rsidP="00600C09">
      <w:pPr>
        <w:numPr>
          <w:ilvl w:val="1"/>
          <w:numId w:val="75"/>
        </w:numPr>
      </w:pPr>
      <w:r w:rsidRPr="00600C09">
        <w:t>Widely practiced in Malaysia, where Islamic pawnshops accept gold or jewelry as rahn for short-term financing.</w:t>
      </w:r>
    </w:p>
    <w:p w14:paraId="76ECBC74" w14:textId="77777777" w:rsidR="00600C09" w:rsidRPr="00600C09" w:rsidRDefault="00600C09" w:rsidP="00600C09">
      <w:pPr>
        <w:numPr>
          <w:ilvl w:val="1"/>
          <w:numId w:val="75"/>
        </w:numPr>
      </w:pPr>
      <w:r w:rsidRPr="00600C09">
        <w:t>Unlike conventional pawnbroking, no interest is charged; instead, service fees for safekeeping are permitted (Abdul Razak, 2011).</w:t>
      </w:r>
    </w:p>
    <w:p w14:paraId="7306AB6B" w14:textId="77777777" w:rsidR="00600C09" w:rsidRPr="00600C09" w:rsidRDefault="00600C09" w:rsidP="00600C09">
      <w:pPr>
        <w:numPr>
          <w:ilvl w:val="0"/>
          <w:numId w:val="75"/>
        </w:numPr>
      </w:pPr>
      <w:r w:rsidRPr="00600C09">
        <w:rPr>
          <w:b/>
          <w:bCs/>
        </w:rPr>
        <w:t>Project finance</w:t>
      </w:r>
    </w:p>
    <w:p w14:paraId="61EB1CAF" w14:textId="77777777" w:rsidR="00600C09" w:rsidRPr="00600C09" w:rsidRDefault="00600C09" w:rsidP="00600C09">
      <w:pPr>
        <w:numPr>
          <w:ilvl w:val="1"/>
          <w:numId w:val="75"/>
        </w:numPr>
      </w:pPr>
      <w:r w:rsidRPr="00600C09">
        <w:t>Assets of the project company, such as land or equipment, may be pledged as rahn to secure Islamic facilities.</w:t>
      </w:r>
    </w:p>
    <w:p w14:paraId="13B8464F" w14:textId="77777777" w:rsidR="00600C09" w:rsidRPr="00600C09" w:rsidRDefault="00600C09" w:rsidP="00600C09">
      <w:pPr>
        <w:numPr>
          <w:ilvl w:val="1"/>
          <w:numId w:val="75"/>
        </w:numPr>
      </w:pPr>
      <w:r w:rsidRPr="00600C09">
        <w:t>Courts typically interpret rahn alongside statutory provisions, e.g., National Land Code in Malaysia.</w:t>
      </w:r>
    </w:p>
    <w:p w14:paraId="1F6E0B49" w14:textId="77777777" w:rsidR="00600C09" w:rsidRPr="00600C09" w:rsidRDefault="00600C09" w:rsidP="00600C09">
      <w:pPr>
        <w:numPr>
          <w:ilvl w:val="0"/>
          <w:numId w:val="75"/>
        </w:numPr>
      </w:pPr>
      <w:r w:rsidRPr="00600C09">
        <w:rPr>
          <w:b/>
          <w:bCs/>
        </w:rPr>
        <w:t>Cross-border financing</w:t>
      </w:r>
    </w:p>
    <w:p w14:paraId="5BB3A70A" w14:textId="77777777" w:rsidR="00600C09" w:rsidRPr="00600C09" w:rsidRDefault="00600C09" w:rsidP="00600C09">
      <w:pPr>
        <w:numPr>
          <w:ilvl w:val="1"/>
          <w:numId w:val="75"/>
        </w:numPr>
      </w:pPr>
      <w:r w:rsidRPr="00600C09">
        <w:t>Rahn is sometimes adapted into hybrid structures when Islamic banks participate in international project syndications.</w:t>
      </w:r>
    </w:p>
    <w:p w14:paraId="161C1B54" w14:textId="04598C7D" w:rsidR="00600C09" w:rsidRPr="00600C09" w:rsidRDefault="00600C09" w:rsidP="00600C09"/>
    <w:p w14:paraId="4F51202F" w14:textId="77777777" w:rsidR="00600C09" w:rsidRPr="00600C09" w:rsidRDefault="00600C09" w:rsidP="00600C09">
      <w:pPr>
        <w:rPr>
          <w:b/>
          <w:bCs/>
        </w:rPr>
      </w:pPr>
      <w:r w:rsidRPr="00600C09">
        <w:rPr>
          <w:b/>
          <w:bCs/>
        </w:rPr>
        <w:t>3.2.7 Comparison with Conventional Mortgage and Pledge</w:t>
      </w:r>
    </w:p>
    <w:p w14:paraId="764C8D87" w14:textId="77777777" w:rsidR="00600C09" w:rsidRPr="00600C09" w:rsidRDefault="00600C09" w:rsidP="00600C09">
      <w:r w:rsidRPr="00600C09">
        <w:t>While rahn shares similarities with conventional pledges and mortgages, key differences exist:</w:t>
      </w:r>
    </w:p>
    <w:p w14:paraId="71DE67CE" w14:textId="77777777" w:rsidR="00600C09" w:rsidRPr="00600C09" w:rsidRDefault="00600C09" w:rsidP="00600C09">
      <w:pPr>
        <w:numPr>
          <w:ilvl w:val="0"/>
          <w:numId w:val="76"/>
        </w:numPr>
      </w:pPr>
      <w:r w:rsidRPr="00600C09">
        <w:rPr>
          <w:b/>
          <w:bCs/>
        </w:rPr>
        <w:t>Possession requirement</w:t>
      </w:r>
      <w:r w:rsidRPr="00600C09">
        <w:t>: Rahn traditionally requires possession, unlike mortgages which may operate without possession.</w:t>
      </w:r>
    </w:p>
    <w:p w14:paraId="7C413C19" w14:textId="77777777" w:rsidR="00600C09" w:rsidRPr="00600C09" w:rsidRDefault="00600C09" w:rsidP="00600C09">
      <w:pPr>
        <w:numPr>
          <w:ilvl w:val="0"/>
          <w:numId w:val="76"/>
        </w:numPr>
      </w:pPr>
      <w:r w:rsidRPr="00600C09">
        <w:rPr>
          <w:b/>
          <w:bCs/>
        </w:rPr>
        <w:t>Benefit</w:t>
      </w:r>
      <w:r w:rsidRPr="00600C09">
        <w:t>: Creditors under rahn cannot derive benefit from the pledged property, except with the debtor’s consent and without compensation. By contrast, conventional mortgagees may benefit indirectly (e.g., through interest).</w:t>
      </w:r>
    </w:p>
    <w:p w14:paraId="6DAB8B6F" w14:textId="77777777" w:rsidR="00600C09" w:rsidRPr="00600C09" w:rsidRDefault="00600C09" w:rsidP="00600C09">
      <w:pPr>
        <w:numPr>
          <w:ilvl w:val="0"/>
          <w:numId w:val="76"/>
        </w:numPr>
      </w:pPr>
      <w:r w:rsidRPr="00600C09">
        <w:rPr>
          <w:b/>
          <w:bCs/>
        </w:rPr>
        <w:t>Risk allocation</w:t>
      </w:r>
      <w:r w:rsidRPr="00600C09">
        <w:t>: Risk of loss in rahn remains with the debtor, unless the creditor is negligent. In conventional law, risk often transfers to the creditor once possession is taken.</w:t>
      </w:r>
    </w:p>
    <w:p w14:paraId="69110101" w14:textId="77777777" w:rsidR="00600C09" w:rsidRPr="00600C09" w:rsidRDefault="00600C09" w:rsidP="00600C09">
      <w:pPr>
        <w:numPr>
          <w:ilvl w:val="0"/>
          <w:numId w:val="76"/>
        </w:numPr>
      </w:pPr>
      <w:r w:rsidRPr="00600C09">
        <w:rPr>
          <w:b/>
          <w:bCs/>
        </w:rPr>
        <w:t>Ethical foundation</w:t>
      </w:r>
      <w:r w:rsidRPr="00600C09">
        <w:t>: Rahn is rooted in fairness, prohibiting exploitation. Conventional mortgages may, at times, involve harsh foreclosure processes.</w:t>
      </w:r>
    </w:p>
    <w:p w14:paraId="4C6081EB" w14:textId="5271B48D" w:rsidR="00600C09" w:rsidRPr="00600C09" w:rsidRDefault="00600C09" w:rsidP="00600C09"/>
    <w:p w14:paraId="2D64E632" w14:textId="77777777" w:rsidR="00600C09" w:rsidRPr="00600C09" w:rsidRDefault="00600C09" w:rsidP="00600C09">
      <w:pPr>
        <w:rPr>
          <w:b/>
          <w:bCs/>
        </w:rPr>
      </w:pPr>
      <w:r w:rsidRPr="00600C09">
        <w:rPr>
          <w:b/>
          <w:bCs/>
        </w:rPr>
        <w:t>3.2.8 Challenges in Application</w:t>
      </w:r>
    </w:p>
    <w:p w14:paraId="12DFCD21" w14:textId="77777777" w:rsidR="00600C09" w:rsidRPr="00600C09" w:rsidRDefault="00600C09" w:rsidP="00600C09">
      <w:r w:rsidRPr="00600C09">
        <w:t>Despite its strengths, rahn faces several challenges in modern project finance:</w:t>
      </w:r>
    </w:p>
    <w:p w14:paraId="2ECD30F9" w14:textId="77777777" w:rsidR="00600C09" w:rsidRPr="00600C09" w:rsidRDefault="00600C09" w:rsidP="00600C09">
      <w:pPr>
        <w:numPr>
          <w:ilvl w:val="0"/>
          <w:numId w:val="77"/>
        </w:numPr>
      </w:pPr>
      <w:r w:rsidRPr="00600C09">
        <w:rPr>
          <w:b/>
          <w:bCs/>
        </w:rPr>
        <w:lastRenderedPageBreak/>
        <w:t>Possession</w:t>
      </w:r>
      <w:r w:rsidRPr="00600C09">
        <w:t>: Physical possession of large infrastructure assets is impractical. Courts and regulators have adapted the concept to include constructive possession, but debates remain.</w:t>
      </w:r>
    </w:p>
    <w:p w14:paraId="10DC8CF6" w14:textId="77777777" w:rsidR="00600C09" w:rsidRPr="00600C09" w:rsidRDefault="00600C09" w:rsidP="00600C09">
      <w:pPr>
        <w:numPr>
          <w:ilvl w:val="0"/>
          <w:numId w:val="77"/>
        </w:numPr>
      </w:pPr>
      <w:r w:rsidRPr="00600C09">
        <w:rPr>
          <w:b/>
          <w:bCs/>
        </w:rPr>
        <w:t>Integration with statutory law</w:t>
      </w:r>
      <w:r w:rsidRPr="00600C09">
        <w:t>: In many jurisdictions, land and corporate law are based on conventional principles. Rahn must be aligned with these frameworks to ensure enforceability.</w:t>
      </w:r>
    </w:p>
    <w:p w14:paraId="5EB22E02" w14:textId="6F387E62" w:rsidR="00600C09" w:rsidRPr="00600C09" w:rsidRDefault="00600C09" w:rsidP="00600C09">
      <w:pPr>
        <w:numPr>
          <w:ilvl w:val="0"/>
          <w:numId w:val="77"/>
        </w:numPr>
      </w:pPr>
      <w:r w:rsidRPr="00600C09">
        <w:rPr>
          <w:b/>
          <w:bCs/>
        </w:rPr>
        <w:t>Hybridization</w:t>
      </w:r>
      <w:r w:rsidRPr="00600C09">
        <w:t>: Many Islamic financiers use conventional mortgages alongside rahn to satisfy both Shariah and legal requirements. Critics argue this risks diluting Shariah authenticity.</w:t>
      </w:r>
    </w:p>
    <w:p w14:paraId="749BDB10" w14:textId="77777777" w:rsidR="00600C09" w:rsidRPr="00600C09" w:rsidRDefault="00600C09" w:rsidP="00600C09">
      <w:pPr>
        <w:rPr>
          <w:b/>
          <w:bCs/>
        </w:rPr>
      </w:pPr>
      <w:r w:rsidRPr="00600C09">
        <w:rPr>
          <w:b/>
          <w:bCs/>
        </w:rPr>
        <w:t>3.2.9 Conclusion on Rahn</w:t>
      </w:r>
    </w:p>
    <w:p w14:paraId="1A2FFAF0" w14:textId="77777777" w:rsidR="00600C09" w:rsidRPr="00600C09" w:rsidRDefault="00600C09" w:rsidP="00600C09">
      <w:r w:rsidRPr="00600C09">
        <w:t>Rahn is a powerful instrument of security in Islamic finance, directly endorsed by the Qur’an and Sunnah. While its classical form emphasizes possession and fairness, modern adaptations have broadened its application to meet the demands of large-scale finance. However, practical challenges remain in aligning rahn with contemporary legal frameworks and project finance structures.</w:t>
      </w:r>
    </w:p>
    <w:p w14:paraId="1C1401F1" w14:textId="1B05FDF0" w:rsidR="00600C09" w:rsidRPr="00463525" w:rsidRDefault="00600C09" w:rsidP="00600C09">
      <w:r w:rsidRPr="00600C09">
        <w:t>As the first of the Islamic security instruments, rahn demonstrates both the continuity of Shariah principles from classical to modern times and the necessity of careful adaptation when applied in complex financial contexts.</w:t>
      </w:r>
    </w:p>
    <w:p w14:paraId="469B3E36" w14:textId="2DAA6A14" w:rsidR="00600C09" w:rsidRPr="00600C09" w:rsidRDefault="00600C09" w:rsidP="00600C09"/>
    <w:p w14:paraId="4CAE7848" w14:textId="77777777" w:rsidR="00600C09" w:rsidRPr="00600C09" w:rsidRDefault="00600C09" w:rsidP="00600C09">
      <w:pPr>
        <w:rPr>
          <w:b/>
          <w:bCs/>
        </w:rPr>
      </w:pPr>
      <w:r w:rsidRPr="00600C09">
        <w:rPr>
          <w:b/>
          <w:bCs/>
        </w:rPr>
        <w:t>3.3 Kafālah (Guarantee)</w:t>
      </w:r>
    </w:p>
    <w:p w14:paraId="5C4933C0" w14:textId="77777777" w:rsidR="00600C09" w:rsidRPr="00600C09" w:rsidRDefault="00600C09" w:rsidP="00600C09">
      <w:pPr>
        <w:rPr>
          <w:b/>
          <w:bCs/>
        </w:rPr>
      </w:pPr>
      <w:r w:rsidRPr="00600C09">
        <w:rPr>
          <w:b/>
          <w:bCs/>
        </w:rPr>
        <w:t>3.3.1 Definition and Concept</w:t>
      </w:r>
    </w:p>
    <w:p w14:paraId="7F534588" w14:textId="77777777" w:rsidR="00600C09" w:rsidRPr="00600C09" w:rsidRDefault="00600C09" w:rsidP="00600C09">
      <w:r w:rsidRPr="00600C09">
        <w:rPr>
          <w:b/>
          <w:bCs/>
        </w:rPr>
        <w:t>Kafālah</w:t>
      </w:r>
      <w:r w:rsidRPr="00600C09">
        <w:t xml:space="preserve"> is a contract in which one party (the guarantor or </w:t>
      </w:r>
      <w:r w:rsidRPr="00600C09">
        <w:rPr>
          <w:i/>
          <w:iCs/>
        </w:rPr>
        <w:t>kafīl</w:t>
      </w:r>
      <w:r w:rsidRPr="00600C09">
        <w:t xml:space="preserve">) undertakes to discharge the liability of another (the principal debtor or </w:t>
      </w:r>
      <w:r w:rsidRPr="00600C09">
        <w:rPr>
          <w:i/>
          <w:iCs/>
        </w:rPr>
        <w:t xml:space="preserve">makfūl </w:t>
      </w:r>
      <w:r w:rsidRPr="00600C09">
        <w:rPr>
          <w:rFonts w:ascii="Arial" w:hAnsi="Arial" w:cs="Arial"/>
          <w:i/>
          <w:iCs/>
        </w:rPr>
        <w:t>ʿ</w:t>
      </w:r>
      <w:r w:rsidRPr="00600C09">
        <w:rPr>
          <w:i/>
          <w:iCs/>
        </w:rPr>
        <w:t>anhu</w:t>
      </w:r>
      <w:r w:rsidRPr="00600C09">
        <w:t>) in favor of a creditor (</w:t>
      </w:r>
      <w:r w:rsidRPr="00600C09">
        <w:rPr>
          <w:i/>
          <w:iCs/>
        </w:rPr>
        <w:t>makfūl lahu</w:t>
      </w:r>
      <w:r w:rsidRPr="00600C09">
        <w:t>). In essence, it is a contract of joining one’s liability to another’s liability, thereby strengthening the creditor’s assurance of repayment (Al-Zuhayli, 2003).</w:t>
      </w:r>
    </w:p>
    <w:p w14:paraId="389F6B1E" w14:textId="77777777" w:rsidR="00600C09" w:rsidRPr="00600C09" w:rsidRDefault="00600C09" w:rsidP="00600C09">
      <w:r w:rsidRPr="00600C09">
        <w:t xml:space="preserve">The word </w:t>
      </w:r>
      <w:r w:rsidRPr="00600C09">
        <w:rPr>
          <w:i/>
          <w:iCs/>
        </w:rPr>
        <w:t>kafālah</w:t>
      </w:r>
      <w:r w:rsidRPr="00600C09">
        <w:t xml:space="preserve"> derives from the Arabic root </w:t>
      </w:r>
      <w:r w:rsidRPr="00600C09">
        <w:rPr>
          <w:i/>
          <w:iCs/>
        </w:rPr>
        <w:t>k-f-l</w:t>
      </w:r>
      <w:r w:rsidRPr="00600C09">
        <w:t>, which connotes responsibility, assurance, or surety. The concept emphasizes social solidarity and collective responsibility, reflecting the Qur’anic principle of cooperation in righteousness (</w:t>
      </w:r>
      <w:r w:rsidRPr="00600C09">
        <w:rPr>
          <w:i/>
          <w:iCs/>
        </w:rPr>
        <w:t>ta</w:t>
      </w:r>
      <w:r w:rsidRPr="00600C09">
        <w:rPr>
          <w:rFonts w:ascii="Arial" w:hAnsi="Arial" w:cs="Arial"/>
          <w:i/>
          <w:iCs/>
        </w:rPr>
        <w:t>ʿ</w:t>
      </w:r>
      <w:r w:rsidRPr="00600C09">
        <w:rPr>
          <w:rFonts w:ascii="Aptos" w:hAnsi="Aptos" w:cs="Aptos"/>
          <w:i/>
          <w:iCs/>
        </w:rPr>
        <w:t>ā</w:t>
      </w:r>
      <w:r w:rsidRPr="00600C09">
        <w:rPr>
          <w:i/>
          <w:iCs/>
        </w:rPr>
        <w:t xml:space="preserve">wun </w:t>
      </w:r>
      <w:r w:rsidRPr="00600C09">
        <w:rPr>
          <w:rFonts w:ascii="Arial" w:hAnsi="Arial" w:cs="Arial"/>
          <w:i/>
          <w:iCs/>
        </w:rPr>
        <w:t>ʿ</w:t>
      </w:r>
      <w:r w:rsidRPr="00600C09">
        <w:rPr>
          <w:i/>
          <w:iCs/>
        </w:rPr>
        <w:t>ala al-birr wa al-taqw</w:t>
      </w:r>
      <w:r w:rsidRPr="00600C09">
        <w:rPr>
          <w:rFonts w:ascii="Aptos" w:hAnsi="Aptos" w:cs="Aptos"/>
          <w:i/>
          <w:iCs/>
        </w:rPr>
        <w:t>ā</w:t>
      </w:r>
      <w:r w:rsidRPr="00600C09">
        <w:t>).</w:t>
      </w:r>
    </w:p>
    <w:p w14:paraId="56DD295A" w14:textId="77777777" w:rsidR="00600C09" w:rsidRPr="00600C09" w:rsidRDefault="00600C09" w:rsidP="00600C09">
      <w:pPr>
        <w:rPr>
          <w:b/>
          <w:bCs/>
        </w:rPr>
      </w:pPr>
      <w:r w:rsidRPr="00600C09">
        <w:rPr>
          <w:b/>
          <w:bCs/>
        </w:rPr>
        <w:t>3.3.2 Scriptural Basis</w:t>
      </w:r>
    </w:p>
    <w:p w14:paraId="7D883829" w14:textId="77777777" w:rsidR="00600C09" w:rsidRPr="00600C09" w:rsidRDefault="00600C09" w:rsidP="00600C09">
      <w:r w:rsidRPr="00600C09">
        <w:t>Kafālah is supported by both the Qur’an and the Sunnah.</w:t>
      </w:r>
    </w:p>
    <w:p w14:paraId="6DDF6E42" w14:textId="77777777" w:rsidR="00600C09" w:rsidRPr="00600C09" w:rsidRDefault="00600C09" w:rsidP="00600C09">
      <w:pPr>
        <w:numPr>
          <w:ilvl w:val="0"/>
          <w:numId w:val="80"/>
        </w:numPr>
      </w:pPr>
      <w:r w:rsidRPr="00600C09">
        <w:t>In the story of Prophet Yusuf (Joseph), when his brothers pledged to bring back their youngest sibling, they said:</w:t>
      </w:r>
    </w:p>
    <w:p w14:paraId="2F95D370" w14:textId="77777777" w:rsidR="00600C09" w:rsidRPr="00600C09" w:rsidRDefault="00600C09" w:rsidP="00600C09">
      <w:r w:rsidRPr="00600C09">
        <w:lastRenderedPageBreak/>
        <w:t>“And for him who produces it is the [reward of] a camel’s load, and I will be responsible (za</w:t>
      </w:r>
      <w:r w:rsidRPr="00600C09">
        <w:rPr>
          <w:rFonts w:ascii="Arial" w:hAnsi="Arial" w:cs="Arial"/>
        </w:rPr>
        <w:t>ʿ</w:t>
      </w:r>
      <w:r w:rsidRPr="00600C09">
        <w:rPr>
          <w:rFonts w:ascii="Aptos" w:hAnsi="Aptos" w:cs="Aptos"/>
        </w:rPr>
        <w:t>ī</w:t>
      </w:r>
      <w:r w:rsidRPr="00600C09">
        <w:t>m) for it.</w:t>
      </w:r>
      <w:r w:rsidRPr="00600C09">
        <w:rPr>
          <w:rFonts w:ascii="Aptos" w:hAnsi="Aptos" w:cs="Aptos"/>
        </w:rPr>
        <w:t>”</w:t>
      </w:r>
      <w:r w:rsidRPr="00600C09">
        <w:t xml:space="preserve"> (Qur</w:t>
      </w:r>
      <w:r w:rsidRPr="00600C09">
        <w:rPr>
          <w:rFonts w:ascii="Aptos" w:hAnsi="Aptos" w:cs="Aptos"/>
        </w:rPr>
        <w:t>’</w:t>
      </w:r>
      <w:r w:rsidRPr="00600C09">
        <w:t>an 12:72)</w:t>
      </w:r>
    </w:p>
    <w:p w14:paraId="21DD3419" w14:textId="77777777" w:rsidR="00600C09" w:rsidRPr="00600C09" w:rsidRDefault="00600C09" w:rsidP="00600C09">
      <w:r w:rsidRPr="00600C09">
        <w:t xml:space="preserve">The word </w:t>
      </w:r>
      <w:r w:rsidRPr="00600C09">
        <w:rPr>
          <w:i/>
          <w:iCs/>
        </w:rPr>
        <w:t>za</w:t>
      </w:r>
      <w:r w:rsidRPr="00600C09">
        <w:rPr>
          <w:rFonts w:ascii="Arial" w:hAnsi="Arial" w:cs="Arial"/>
          <w:i/>
          <w:iCs/>
        </w:rPr>
        <w:t>ʿ</w:t>
      </w:r>
      <w:r w:rsidRPr="00600C09">
        <w:rPr>
          <w:rFonts w:ascii="Aptos" w:hAnsi="Aptos" w:cs="Aptos"/>
          <w:i/>
          <w:iCs/>
        </w:rPr>
        <w:t>ī</w:t>
      </w:r>
      <w:r w:rsidRPr="00600C09">
        <w:rPr>
          <w:i/>
          <w:iCs/>
        </w:rPr>
        <w:t>m</w:t>
      </w:r>
      <w:r w:rsidRPr="00600C09">
        <w:t xml:space="preserve"> in this verse is interpreted by scholars as equivalent to guarantor, thereby affirming the legitimacy of kafālah.</w:t>
      </w:r>
    </w:p>
    <w:p w14:paraId="3E2476B4" w14:textId="77777777" w:rsidR="00600C09" w:rsidRPr="00600C09" w:rsidRDefault="00600C09" w:rsidP="00600C09">
      <w:pPr>
        <w:numPr>
          <w:ilvl w:val="0"/>
          <w:numId w:val="81"/>
        </w:numPr>
      </w:pPr>
      <w:r w:rsidRPr="00600C09">
        <w:t>In the Sunnah, the Prophet Muhammad (peace be upon him) said:</w:t>
      </w:r>
    </w:p>
    <w:p w14:paraId="17EAA625" w14:textId="77777777" w:rsidR="00600C09" w:rsidRPr="00600C09" w:rsidRDefault="00600C09" w:rsidP="00600C09">
      <w:r w:rsidRPr="00600C09">
        <w:t>“The guarantor is liable.” (</w:t>
      </w:r>
      <w:r w:rsidRPr="00600C09">
        <w:rPr>
          <w:i/>
          <w:iCs/>
        </w:rPr>
        <w:t>al-kafīl ghārim</w:t>
      </w:r>
      <w:r w:rsidRPr="00600C09">
        <w:t>). (Abu Dawud, Hadith no. 3307)</w:t>
      </w:r>
    </w:p>
    <w:p w14:paraId="1FF4893F" w14:textId="77777777" w:rsidR="00600C09" w:rsidRDefault="00600C09" w:rsidP="00600C09">
      <w:r w:rsidRPr="00600C09">
        <w:t>This concise but authoritative statement forms the cornerstone of the doctrine of kafālah.</w:t>
      </w:r>
    </w:p>
    <w:p w14:paraId="3BD7CC24" w14:textId="77777777" w:rsidR="00463525" w:rsidRPr="00600C09" w:rsidRDefault="00463525" w:rsidP="00600C09"/>
    <w:p w14:paraId="03420B62" w14:textId="77777777" w:rsidR="00600C09" w:rsidRPr="00600C09" w:rsidRDefault="00600C09" w:rsidP="00600C09">
      <w:pPr>
        <w:rPr>
          <w:b/>
          <w:bCs/>
        </w:rPr>
      </w:pPr>
      <w:r w:rsidRPr="00600C09">
        <w:rPr>
          <w:b/>
          <w:bCs/>
        </w:rPr>
        <w:t>3.3.3 Essential Elements</w:t>
      </w:r>
    </w:p>
    <w:p w14:paraId="17BB6BBF" w14:textId="77777777" w:rsidR="00600C09" w:rsidRPr="00600C09" w:rsidRDefault="00600C09" w:rsidP="00600C09">
      <w:r w:rsidRPr="00600C09">
        <w:t>The classical jurists identified the following elements (</w:t>
      </w:r>
      <w:r w:rsidRPr="00600C09">
        <w:rPr>
          <w:i/>
          <w:iCs/>
        </w:rPr>
        <w:t>arkān</w:t>
      </w:r>
      <w:r w:rsidRPr="00600C09">
        <w:t>) of kafālah:</w:t>
      </w:r>
    </w:p>
    <w:p w14:paraId="0C213A43" w14:textId="77777777" w:rsidR="00600C09" w:rsidRPr="00600C09" w:rsidRDefault="00600C09" w:rsidP="00600C09">
      <w:pPr>
        <w:numPr>
          <w:ilvl w:val="0"/>
          <w:numId w:val="82"/>
        </w:numPr>
      </w:pPr>
      <w:r w:rsidRPr="00600C09">
        <w:rPr>
          <w:b/>
          <w:bCs/>
        </w:rPr>
        <w:t>The guarantor (</w:t>
      </w:r>
      <w:r w:rsidRPr="00600C09">
        <w:rPr>
          <w:b/>
          <w:bCs/>
          <w:i/>
          <w:iCs/>
        </w:rPr>
        <w:t>kafīl</w:t>
      </w:r>
      <w:r w:rsidRPr="00600C09">
        <w:rPr>
          <w:b/>
          <w:bCs/>
        </w:rPr>
        <w:t>)</w:t>
      </w:r>
      <w:r w:rsidRPr="00600C09">
        <w:t xml:space="preserve"> – must have legal capacity to contract.</w:t>
      </w:r>
    </w:p>
    <w:p w14:paraId="71C4C579" w14:textId="77777777" w:rsidR="00600C09" w:rsidRPr="00600C09" w:rsidRDefault="00600C09" w:rsidP="00600C09">
      <w:pPr>
        <w:numPr>
          <w:ilvl w:val="0"/>
          <w:numId w:val="82"/>
        </w:numPr>
      </w:pPr>
      <w:r w:rsidRPr="00600C09">
        <w:rPr>
          <w:b/>
          <w:bCs/>
        </w:rPr>
        <w:t>The debtor (</w:t>
      </w:r>
      <w:r w:rsidRPr="00600C09">
        <w:rPr>
          <w:b/>
          <w:bCs/>
          <w:i/>
          <w:iCs/>
        </w:rPr>
        <w:t xml:space="preserve">makfūl </w:t>
      </w:r>
      <w:r w:rsidRPr="00600C09">
        <w:rPr>
          <w:rFonts w:ascii="Arial" w:hAnsi="Arial" w:cs="Arial"/>
          <w:b/>
          <w:bCs/>
          <w:i/>
          <w:iCs/>
        </w:rPr>
        <w:t>ʿ</w:t>
      </w:r>
      <w:r w:rsidRPr="00600C09">
        <w:rPr>
          <w:b/>
          <w:bCs/>
          <w:i/>
          <w:iCs/>
        </w:rPr>
        <w:t>anhu</w:t>
      </w:r>
      <w:r w:rsidRPr="00600C09">
        <w:rPr>
          <w:b/>
          <w:bCs/>
        </w:rPr>
        <w:t>)</w:t>
      </w:r>
      <w:r w:rsidRPr="00600C09">
        <w:t xml:space="preserve"> – the party whose liability is being guaranteed.</w:t>
      </w:r>
    </w:p>
    <w:p w14:paraId="24D8A872" w14:textId="77777777" w:rsidR="00600C09" w:rsidRPr="00600C09" w:rsidRDefault="00600C09" w:rsidP="00600C09">
      <w:pPr>
        <w:numPr>
          <w:ilvl w:val="0"/>
          <w:numId w:val="82"/>
        </w:numPr>
      </w:pPr>
      <w:r w:rsidRPr="00600C09">
        <w:rPr>
          <w:b/>
          <w:bCs/>
        </w:rPr>
        <w:t>The creditor (</w:t>
      </w:r>
      <w:r w:rsidRPr="00600C09">
        <w:rPr>
          <w:b/>
          <w:bCs/>
          <w:i/>
          <w:iCs/>
        </w:rPr>
        <w:t>makfūl lahu</w:t>
      </w:r>
      <w:r w:rsidRPr="00600C09">
        <w:rPr>
          <w:b/>
          <w:bCs/>
        </w:rPr>
        <w:t>)</w:t>
      </w:r>
      <w:r w:rsidRPr="00600C09">
        <w:t xml:space="preserve"> – the beneficiary of the guarantee.</w:t>
      </w:r>
    </w:p>
    <w:p w14:paraId="26C2F010" w14:textId="77777777" w:rsidR="00600C09" w:rsidRPr="00600C09" w:rsidRDefault="00600C09" w:rsidP="00600C09">
      <w:pPr>
        <w:numPr>
          <w:ilvl w:val="0"/>
          <w:numId w:val="82"/>
        </w:numPr>
      </w:pPr>
      <w:r w:rsidRPr="00600C09">
        <w:rPr>
          <w:b/>
          <w:bCs/>
        </w:rPr>
        <w:t>The guaranteed obligation (</w:t>
      </w:r>
      <w:r w:rsidRPr="00600C09">
        <w:rPr>
          <w:b/>
          <w:bCs/>
          <w:i/>
          <w:iCs/>
        </w:rPr>
        <w:t>makfūl bih</w:t>
      </w:r>
      <w:r w:rsidRPr="00600C09">
        <w:rPr>
          <w:b/>
          <w:bCs/>
        </w:rPr>
        <w:t>)</w:t>
      </w:r>
      <w:r w:rsidRPr="00600C09">
        <w:t xml:space="preserve"> – a valid and existing debt or obligation.</w:t>
      </w:r>
    </w:p>
    <w:p w14:paraId="1F8056B4" w14:textId="77777777" w:rsidR="00600C09" w:rsidRPr="00600C09" w:rsidRDefault="00600C09" w:rsidP="00600C09">
      <w:pPr>
        <w:numPr>
          <w:ilvl w:val="0"/>
          <w:numId w:val="82"/>
        </w:numPr>
      </w:pPr>
      <w:r w:rsidRPr="00600C09">
        <w:rPr>
          <w:b/>
          <w:bCs/>
        </w:rPr>
        <w:t>Sighah (offer and acceptance)</w:t>
      </w:r>
      <w:r w:rsidRPr="00600C09">
        <w:t xml:space="preserve"> – explicit expression of consent by the guarantor and acceptance by the creditor.</w:t>
      </w:r>
    </w:p>
    <w:p w14:paraId="198AF668" w14:textId="77777777" w:rsidR="00600C09" w:rsidRPr="00600C09" w:rsidRDefault="00600C09" w:rsidP="00600C09">
      <w:r w:rsidRPr="00600C09">
        <w:t>These elements align with general contract principles in Shariah, ensuring transparency and avoiding gharar.</w:t>
      </w:r>
    </w:p>
    <w:p w14:paraId="031BC468" w14:textId="77777777" w:rsidR="00600C09" w:rsidRPr="00600C09" w:rsidRDefault="00600C09" w:rsidP="00600C09">
      <w:pPr>
        <w:rPr>
          <w:b/>
          <w:bCs/>
        </w:rPr>
      </w:pPr>
      <w:r w:rsidRPr="00600C09">
        <w:rPr>
          <w:b/>
          <w:bCs/>
        </w:rPr>
        <w:t>3.3.4 Juristic Views</w:t>
      </w:r>
    </w:p>
    <w:p w14:paraId="5B4A8E57" w14:textId="77777777" w:rsidR="00600C09" w:rsidRPr="00600C09" w:rsidRDefault="00600C09" w:rsidP="00600C09">
      <w:r w:rsidRPr="00600C09">
        <w:t>The four Sunni schools generally agree on the validity of kafālah but differ on certain details:</w:t>
      </w:r>
    </w:p>
    <w:p w14:paraId="5643812A" w14:textId="77777777" w:rsidR="00600C09" w:rsidRPr="00600C09" w:rsidRDefault="00600C09" w:rsidP="00600C09">
      <w:pPr>
        <w:numPr>
          <w:ilvl w:val="0"/>
          <w:numId w:val="83"/>
        </w:numPr>
      </w:pPr>
      <w:r w:rsidRPr="00600C09">
        <w:rPr>
          <w:b/>
          <w:bCs/>
        </w:rPr>
        <w:t>Hanafi school</w:t>
      </w:r>
      <w:r w:rsidRPr="00600C09">
        <w:t>: The guarantee becomes binding upon contract, regardless of whether the principal debtor consents.</w:t>
      </w:r>
    </w:p>
    <w:p w14:paraId="76BF05C4" w14:textId="77777777" w:rsidR="00600C09" w:rsidRPr="00600C09" w:rsidRDefault="00600C09" w:rsidP="00600C09">
      <w:pPr>
        <w:numPr>
          <w:ilvl w:val="0"/>
          <w:numId w:val="83"/>
        </w:numPr>
      </w:pPr>
      <w:r w:rsidRPr="00600C09">
        <w:rPr>
          <w:b/>
          <w:bCs/>
        </w:rPr>
        <w:t>Maliki school</w:t>
      </w:r>
      <w:r w:rsidRPr="00600C09">
        <w:t>: Requires either debtor consent or knowledge to prevent undue hardship.</w:t>
      </w:r>
    </w:p>
    <w:p w14:paraId="194D246B" w14:textId="77777777" w:rsidR="00600C09" w:rsidRPr="00600C09" w:rsidRDefault="00600C09" w:rsidP="00600C09">
      <w:pPr>
        <w:numPr>
          <w:ilvl w:val="0"/>
          <w:numId w:val="83"/>
        </w:numPr>
      </w:pPr>
      <w:r w:rsidRPr="00600C09">
        <w:rPr>
          <w:b/>
          <w:bCs/>
        </w:rPr>
        <w:t>Shafi</w:t>
      </w:r>
      <w:r w:rsidRPr="00600C09">
        <w:rPr>
          <w:rFonts w:ascii="Arial" w:hAnsi="Arial" w:cs="Arial"/>
          <w:b/>
          <w:bCs/>
        </w:rPr>
        <w:t>ʿ</w:t>
      </w:r>
      <w:r w:rsidRPr="00600C09">
        <w:rPr>
          <w:b/>
          <w:bCs/>
        </w:rPr>
        <w:t>i and Hanbali schools</w:t>
      </w:r>
      <w:r w:rsidRPr="00600C09">
        <w:t>: Emphasize the creditor’s acceptance as the key to bindingness.</w:t>
      </w:r>
    </w:p>
    <w:p w14:paraId="3F7AEC38" w14:textId="77777777" w:rsidR="00600C09" w:rsidRPr="00600C09" w:rsidRDefault="00600C09" w:rsidP="00600C09">
      <w:r w:rsidRPr="00600C09">
        <w:t xml:space="preserve">Most jurists consider kafālah as an act of </w:t>
      </w:r>
      <w:r w:rsidRPr="00600C09">
        <w:rPr>
          <w:i/>
          <w:iCs/>
        </w:rPr>
        <w:t>tabarru</w:t>
      </w:r>
      <w:r w:rsidRPr="00600C09">
        <w:rPr>
          <w:rFonts w:ascii="Arial" w:hAnsi="Arial" w:cs="Arial"/>
          <w:i/>
          <w:iCs/>
        </w:rPr>
        <w:t>ʿ</w:t>
      </w:r>
      <w:r w:rsidRPr="00600C09">
        <w:t xml:space="preserve"> (benevolence), meaning that it should not involve financial compensation. Charging a fee for providing a guarantee is generally prohibited, as it would constitute unjust enrichment (</w:t>
      </w:r>
      <w:r w:rsidRPr="00600C09">
        <w:rPr>
          <w:i/>
          <w:iCs/>
        </w:rPr>
        <w:t>ribā</w:t>
      </w:r>
      <w:r w:rsidRPr="00600C09">
        <w:t>).</w:t>
      </w:r>
    </w:p>
    <w:p w14:paraId="69C507E4" w14:textId="77777777" w:rsidR="00600C09" w:rsidRPr="00600C09" w:rsidRDefault="00600C09" w:rsidP="00600C09">
      <w:pPr>
        <w:rPr>
          <w:b/>
          <w:bCs/>
        </w:rPr>
      </w:pPr>
      <w:r w:rsidRPr="00600C09">
        <w:rPr>
          <w:b/>
          <w:bCs/>
        </w:rPr>
        <w:lastRenderedPageBreak/>
        <w:t>3.3.5 Rights and Duties</w:t>
      </w:r>
    </w:p>
    <w:p w14:paraId="46CCB714" w14:textId="77777777" w:rsidR="00600C09" w:rsidRPr="00600C09" w:rsidRDefault="00600C09" w:rsidP="00600C09">
      <w:pPr>
        <w:numPr>
          <w:ilvl w:val="0"/>
          <w:numId w:val="84"/>
        </w:numPr>
      </w:pPr>
      <w:r w:rsidRPr="00600C09">
        <w:rPr>
          <w:b/>
          <w:bCs/>
        </w:rPr>
        <w:t>Obligations of the guarantor (kafīl):</w:t>
      </w:r>
    </w:p>
    <w:p w14:paraId="369860C5" w14:textId="77777777" w:rsidR="00600C09" w:rsidRPr="00600C09" w:rsidRDefault="00600C09" w:rsidP="00600C09">
      <w:pPr>
        <w:numPr>
          <w:ilvl w:val="1"/>
          <w:numId w:val="84"/>
        </w:numPr>
      </w:pPr>
      <w:r w:rsidRPr="00600C09">
        <w:t>To settle the debt if the principal debtor defaults.</w:t>
      </w:r>
    </w:p>
    <w:p w14:paraId="0EC52BA1" w14:textId="77777777" w:rsidR="00600C09" w:rsidRPr="00600C09" w:rsidRDefault="00600C09" w:rsidP="00600C09">
      <w:pPr>
        <w:numPr>
          <w:ilvl w:val="1"/>
          <w:numId w:val="84"/>
        </w:numPr>
      </w:pPr>
      <w:r w:rsidRPr="00600C09">
        <w:t>To cooperate with the creditor in enforcement.</w:t>
      </w:r>
    </w:p>
    <w:p w14:paraId="3D276C98" w14:textId="77777777" w:rsidR="00600C09" w:rsidRPr="00600C09" w:rsidRDefault="00600C09" w:rsidP="00600C09">
      <w:pPr>
        <w:numPr>
          <w:ilvl w:val="0"/>
          <w:numId w:val="84"/>
        </w:numPr>
      </w:pPr>
      <w:r w:rsidRPr="00600C09">
        <w:rPr>
          <w:b/>
          <w:bCs/>
        </w:rPr>
        <w:t>Rights of the guarantor:</w:t>
      </w:r>
    </w:p>
    <w:p w14:paraId="2C7DEA66" w14:textId="77777777" w:rsidR="00600C09" w:rsidRPr="00600C09" w:rsidRDefault="00600C09" w:rsidP="00600C09">
      <w:pPr>
        <w:numPr>
          <w:ilvl w:val="1"/>
          <w:numId w:val="84"/>
        </w:numPr>
      </w:pPr>
      <w:r w:rsidRPr="00600C09">
        <w:t>To seek indemnity from the principal debtor after discharging the debt.</w:t>
      </w:r>
    </w:p>
    <w:p w14:paraId="75960319" w14:textId="77777777" w:rsidR="00600C09" w:rsidRDefault="00600C09" w:rsidP="00600C09">
      <w:pPr>
        <w:numPr>
          <w:ilvl w:val="1"/>
          <w:numId w:val="84"/>
        </w:numPr>
      </w:pPr>
      <w:r w:rsidRPr="00600C09">
        <w:t>To revoke the guarantee if the creditor agrees, unless performance has already commenced.</w:t>
      </w:r>
    </w:p>
    <w:p w14:paraId="49EC9EAC" w14:textId="77777777" w:rsidR="00463525" w:rsidRPr="00600C09" w:rsidRDefault="00463525" w:rsidP="00463525">
      <w:pPr>
        <w:ind w:left="1440"/>
      </w:pPr>
    </w:p>
    <w:p w14:paraId="1701D131" w14:textId="77777777" w:rsidR="00600C09" w:rsidRPr="00600C09" w:rsidRDefault="00600C09" w:rsidP="00600C09">
      <w:pPr>
        <w:numPr>
          <w:ilvl w:val="0"/>
          <w:numId w:val="84"/>
        </w:numPr>
      </w:pPr>
      <w:r w:rsidRPr="00600C09">
        <w:rPr>
          <w:b/>
          <w:bCs/>
        </w:rPr>
        <w:t>Rights of the creditor:</w:t>
      </w:r>
    </w:p>
    <w:p w14:paraId="3BC30910" w14:textId="77777777" w:rsidR="00600C09" w:rsidRPr="00600C09" w:rsidRDefault="00600C09" w:rsidP="00600C09">
      <w:pPr>
        <w:numPr>
          <w:ilvl w:val="1"/>
          <w:numId w:val="84"/>
        </w:numPr>
      </w:pPr>
      <w:r w:rsidRPr="00600C09">
        <w:t>To demand repayment from either the guarantor or the principal debtor.</w:t>
      </w:r>
    </w:p>
    <w:p w14:paraId="443F707F" w14:textId="77777777" w:rsidR="00600C09" w:rsidRPr="00600C09" w:rsidRDefault="00600C09" w:rsidP="00600C09">
      <w:r w:rsidRPr="00600C09">
        <w:t>This tri-partite relationship strengthens the creditor’s position by providing an additional debtor without releasing the original one.</w:t>
      </w:r>
    </w:p>
    <w:p w14:paraId="50CB8F21" w14:textId="77777777" w:rsidR="00600C09" w:rsidRPr="00600C09" w:rsidRDefault="00600C09" w:rsidP="00600C09">
      <w:pPr>
        <w:rPr>
          <w:b/>
          <w:bCs/>
        </w:rPr>
      </w:pPr>
      <w:r w:rsidRPr="00600C09">
        <w:rPr>
          <w:b/>
          <w:bCs/>
        </w:rPr>
        <w:t>3.3.6 Modern Applications</w:t>
      </w:r>
    </w:p>
    <w:p w14:paraId="2C3EBA68" w14:textId="77777777" w:rsidR="00600C09" w:rsidRPr="00600C09" w:rsidRDefault="00600C09" w:rsidP="00600C09">
      <w:r w:rsidRPr="00600C09">
        <w:t>Kafālah is widely applied in modern Islamic finance, particularly in instruments that require third-party assurances:</w:t>
      </w:r>
    </w:p>
    <w:p w14:paraId="7D820450" w14:textId="77777777" w:rsidR="00600C09" w:rsidRPr="00600C09" w:rsidRDefault="00600C09" w:rsidP="00600C09">
      <w:pPr>
        <w:numPr>
          <w:ilvl w:val="0"/>
          <w:numId w:val="85"/>
        </w:numPr>
      </w:pPr>
      <w:r w:rsidRPr="00600C09">
        <w:rPr>
          <w:b/>
          <w:bCs/>
        </w:rPr>
        <w:t>Bank guarantees</w:t>
      </w:r>
    </w:p>
    <w:p w14:paraId="7FEC7DC6" w14:textId="77777777" w:rsidR="00600C09" w:rsidRPr="00600C09" w:rsidRDefault="00600C09" w:rsidP="00600C09">
      <w:pPr>
        <w:numPr>
          <w:ilvl w:val="1"/>
          <w:numId w:val="85"/>
        </w:numPr>
      </w:pPr>
      <w:r w:rsidRPr="00600C09">
        <w:t>Islamic banks issue kafālah as a guarantee to pay if the customer defaults.</w:t>
      </w:r>
    </w:p>
    <w:p w14:paraId="2EA219EE" w14:textId="77777777" w:rsidR="00600C09" w:rsidRPr="00600C09" w:rsidRDefault="00600C09" w:rsidP="00600C09">
      <w:pPr>
        <w:numPr>
          <w:ilvl w:val="1"/>
          <w:numId w:val="85"/>
        </w:numPr>
      </w:pPr>
      <w:r w:rsidRPr="00600C09">
        <w:t>Used in trade finance and project bidding.</w:t>
      </w:r>
    </w:p>
    <w:p w14:paraId="1BC982D3" w14:textId="77777777" w:rsidR="00600C09" w:rsidRPr="00600C09" w:rsidRDefault="00600C09" w:rsidP="00600C09">
      <w:pPr>
        <w:numPr>
          <w:ilvl w:val="0"/>
          <w:numId w:val="85"/>
        </w:numPr>
      </w:pPr>
      <w:r w:rsidRPr="00600C09">
        <w:rPr>
          <w:b/>
          <w:bCs/>
        </w:rPr>
        <w:t>Performance bonds</w:t>
      </w:r>
    </w:p>
    <w:p w14:paraId="1CAC9772" w14:textId="77777777" w:rsidR="00600C09" w:rsidRPr="00600C09" w:rsidRDefault="00600C09" w:rsidP="00600C09">
      <w:pPr>
        <w:numPr>
          <w:ilvl w:val="1"/>
          <w:numId w:val="85"/>
        </w:numPr>
      </w:pPr>
      <w:r w:rsidRPr="00600C09">
        <w:t>Contractors may provide kafālah guarantees to ensure timely completion of projects.</w:t>
      </w:r>
    </w:p>
    <w:p w14:paraId="243AAC22" w14:textId="77777777" w:rsidR="00600C09" w:rsidRPr="00600C09" w:rsidRDefault="00600C09" w:rsidP="00600C09">
      <w:pPr>
        <w:numPr>
          <w:ilvl w:val="0"/>
          <w:numId w:val="85"/>
        </w:numPr>
      </w:pPr>
      <w:r w:rsidRPr="00600C09">
        <w:rPr>
          <w:b/>
          <w:bCs/>
        </w:rPr>
        <w:t>Letters of guarantee</w:t>
      </w:r>
    </w:p>
    <w:p w14:paraId="79EA6545" w14:textId="77777777" w:rsidR="00600C09" w:rsidRPr="00600C09" w:rsidRDefault="00600C09" w:rsidP="00600C09">
      <w:pPr>
        <w:numPr>
          <w:ilvl w:val="1"/>
          <w:numId w:val="85"/>
        </w:numPr>
      </w:pPr>
      <w:r w:rsidRPr="00600C09">
        <w:t>Islamic equivalents of standby letters of credit.</w:t>
      </w:r>
    </w:p>
    <w:p w14:paraId="303C0EDD" w14:textId="77777777" w:rsidR="00600C09" w:rsidRPr="00600C09" w:rsidRDefault="00600C09" w:rsidP="00600C09">
      <w:r w:rsidRPr="00600C09">
        <w:t>For example, in a project finance context, an EPC (Engineering, Procurement, and Construction) contractor may be required to provide a kafālah guarantee to assure financiers of performance.</w:t>
      </w:r>
    </w:p>
    <w:p w14:paraId="0B130570" w14:textId="77777777" w:rsidR="00600C09" w:rsidRPr="00600C09" w:rsidRDefault="00600C09" w:rsidP="00600C09">
      <w:pPr>
        <w:rPr>
          <w:b/>
          <w:bCs/>
        </w:rPr>
      </w:pPr>
      <w:r w:rsidRPr="00600C09">
        <w:rPr>
          <w:b/>
          <w:bCs/>
        </w:rPr>
        <w:t>3.3.7 Challenges in Application</w:t>
      </w:r>
    </w:p>
    <w:p w14:paraId="73C4424C" w14:textId="77777777" w:rsidR="00600C09" w:rsidRPr="00600C09" w:rsidRDefault="00600C09" w:rsidP="00600C09">
      <w:r w:rsidRPr="00600C09">
        <w:lastRenderedPageBreak/>
        <w:t>The main challenge is the prohibition of charging fees for kafālah. In conventional finance, guarantees often attract fees, forming a source of revenue for banks. Islamic banks, however, may only charge administrative costs, not profit. This limits the commercial attractiveness of kafālah compared to its conventional counterpart.</w:t>
      </w:r>
    </w:p>
    <w:p w14:paraId="4B3048AE" w14:textId="77777777" w:rsidR="00600C09" w:rsidRPr="00600C09" w:rsidRDefault="00600C09" w:rsidP="00600C09">
      <w:r w:rsidRPr="00600C09">
        <w:t>Additionally, enforcement across jurisdictions may be inconsistent, particularly in legal systems not accustomed to Islamic contracts.</w:t>
      </w:r>
    </w:p>
    <w:p w14:paraId="16612AC8" w14:textId="571836DE" w:rsidR="00600C09" w:rsidRPr="00600C09" w:rsidRDefault="00600C09" w:rsidP="00600C09"/>
    <w:p w14:paraId="28B2FFE4" w14:textId="77777777" w:rsidR="00600C09" w:rsidRPr="00600C09" w:rsidRDefault="00600C09" w:rsidP="00600C09">
      <w:pPr>
        <w:rPr>
          <w:b/>
          <w:bCs/>
        </w:rPr>
      </w:pPr>
      <w:r w:rsidRPr="00600C09">
        <w:rPr>
          <w:b/>
          <w:bCs/>
        </w:rPr>
        <w:t xml:space="preserve">3.4 </w:t>
      </w:r>
      <w:r w:rsidRPr="00600C09">
        <w:rPr>
          <w:rFonts w:ascii="Calibri" w:hAnsi="Calibri" w:cs="Calibri"/>
          <w:b/>
          <w:bCs/>
        </w:rPr>
        <w:t>Ḍ</w:t>
      </w:r>
      <w:r w:rsidRPr="00600C09">
        <w:rPr>
          <w:b/>
          <w:bCs/>
        </w:rPr>
        <w:t>amān (Suretyship)</w:t>
      </w:r>
    </w:p>
    <w:p w14:paraId="760FA15F" w14:textId="77777777" w:rsidR="00600C09" w:rsidRPr="00600C09" w:rsidRDefault="00600C09" w:rsidP="00600C09">
      <w:pPr>
        <w:rPr>
          <w:b/>
          <w:bCs/>
        </w:rPr>
      </w:pPr>
      <w:r w:rsidRPr="00600C09">
        <w:rPr>
          <w:b/>
          <w:bCs/>
        </w:rPr>
        <w:t>3.4.1 Definition and Concept</w:t>
      </w:r>
    </w:p>
    <w:p w14:paraId="50AEA7A8" w14:textId="77777777" w:rsidR="00600C09" w:rsidRPr="00600C09" w:rsidRDefault="00600C09" w:rsidP="00600C09">
      <w:r w:rsidRPr="00600C09">
        <w:rPr>
          <w:rFonts w:ascii="Calibri" w:hAnsi="Calibri" w:cs="Calibri"/>
          <w:b/>
          <w:bCs/>
        </w:rPr>
        <w:t>Ḍ</w:t>
      </w:r>
      <w:r w:rsidRPr="00600C09">
        <w:rPr>
          <w:b/>
          <w:bCs/>
        </w:rPr>
        <w:t>amān</w:t>
      </w:r>
      <w:r w:rsidRPr="00600C09">
        <w:t xml:space="preserve"> is often used interchangeably with kafālah, but jurists distinguish it in subtle ways. Whereas kafālah emphasizes the addition of a guarantor to an existing obligation, </w:t>
      </w:r>
      <w:r w:rsidRPr="00600C09">
        <w:rPr>
          <w:rFonts w:ascii="Calibri" w:hAnsi="Calibri" w:cs="Calibri"/>
        </w:rPr>
        <w:t>ḍ</w:t>
      </w:r>
      <w:r w:rsidRPr="00600C09">
        <w:t>amān emphasizes assuming responsibility for another’s liability, effectively absorbing it as one’s own (Al-Zuhayli, 2003).</w:t>
      </w:r>
    </w:p>
    <w:p w14:paraId="5762B278" w14:textId="77777777" w:rsidR="00600C09" w:rsidRPr="00600C09" w:rsidRDefault="00600C09" w:rsidP="00600C09">
      <w:r w:rsidRPr="00600C09">
        <w:t xml:space="preserve">The term </w:t>
      </w:r>
      <w:r w:rsidRPr="00600C09">
        <w:rPr>
          <w:rFonts w:ascii="Calibri" w:hAnsi="Calibri" w:cs="Calibri"/>
          <w:i/>
          <w:iCs/>
        </w:rPr>
        <w:t>ḍ</w:t>
      </w:r>
      <w:r w:rsidRPr="00600C09">
        <w:rPr>
          <w:i/>
          <w:iCs/>
        </w:rPr>
        <w:t>amān</w:t>
      </w:r>
      <w:r w:rsidRPr="00600C09">
        <w:t xml:space="preserve"> derives from the root </w:t>
      </w:r>
      <w:r w:rsidRPr="00600C09">
        <w:rPr>
          <w:rFonts w:ascii="Calibri" w:hAnsi="Calibri" w:cs="Calibri"/>
          <w:i/>
          <w:iCs/>
        </w:rPr>
        <w:t>ḍ</w:t>
      </w:r>
      <w:r w:rsidRPr="00600C09">
        <w:rPr>
          <w:i/>
          <w:iCs/>
        </w:rPr>
        <w:t>-m-n</w:t>
      </w:r>
      <w:r w:rsidRPr="00600C09">
        <w:t>, meaning to secure, guarantee, or ensure. It represents a broader notion of responsibility, encompassing financial obligations, contractual performance, and even tortious liability.</w:t>
      </w:r>
    </w:p>
    <w:p w14:paraId="006588A7" w14:textId="77777777" w:rsidR="00600C09" w:rsidRPr="00600C09" w:rsidRDefault="00600C09" w:rsidP="00600C09">
      <w:pPr>
        <w:rPr>
          <w:b/>
          <w:bCs/>
        </w:rPr>
      </w:pPr>
      <w:r w:rsidRPr="00600C09">
        <w:rPr>
          <w:b/>
          <w:bCs/>
        </w:rPr>
        <w:t>3.4.2 Juristic Basis</w:t>
      </w:r>
    </w:p>
    <w:p w14:paraId="52382717" w14:textId="77777777" w:rsidR="00600C09" w:rsidRPr="00600C09" w:rsidRDefault="00600C09" w:rsidP="00600C09">
      <w:r w:rsidRPr="00600C09">
        <w:t xml:space="preserve">Like kafālah, </w:t>
      </w:r>
      <w:r w:rsidRPr="00600C09">
        <w:rPr>
          <w:rFonts w:ascii="Calibri" w:hAnsi="Calibri" w:cs="Calibri"/>
        </w:rPr>
        <w:t>ḍ</w:t>
      </w:r>
      <w:r w:rsidRPr="00600C09">
        <w:t xml:space="preserve">amān is supported by the hadith: </w:t>
      </w:r>
      <w:r w:rsidRPr="00600C09">
        <w:rPr>
          <w:i/>
          <w:iCs/>
        </w:rPr>
        <w:t>“Al-kafīl ghārim”</w:t>
      </w:r>
      <w:r w:rsidRPr="00600C09">
        <w:t xml:space="preserve"> (“The guarantor is liable”). Jurists interpreted this to include both kafālah and </w:t>
      </w:r>
      <w:r w:rsidRPr="00600C09">
        <w:rPr>
          <w:rFonts w:ascii="Calibri" w:hAnsi="Calibri" w:cs="Calibri"/>
        </w:rPr>
        <w:t>ḍ</w:t>
      </w:r>
      <w:r w:rsidRPr="00600C09">
        <w:t>amān, though they differentiated their scope.</w:t>
      </w:r>
    </w:p>
    <w:p w14:paraId="4F406E94" w14:textId="77777777" w:rsidR="00600C09" w:rsidRPr="00600C09" w:rsidRDefault="00600C09" w:rsidP="00600C09">
      <w:pPr>
        <w:numPr>
          <w:ilvl w:val="0"/>
          <w:numId w:val="86"/>
        </w:numPr>
      </w:pPr>
      <w:r w:rsidRPr="00600C09">
        <w:rPr>
          <w:b/>
          <w:bCs/>
        </w:rPr>
        <w:t>Hanafis</w:t>
      </w:r>
      <w:r w:rsidRPr="00600C09">
        <w:t xml:space="preserve">: Treat kafālah and </w:t>
      </w:r>
      <w:r w:rsidRPr="00600C09">
        <w:rPr>
          <w:rFonts w:ascii="Calibri" w:hAnsi="Calibri" w:cs="Calibri"/>
        </w:rPr>
        <w:t>ḍ</w:t>
      </w:r>
      <w:r w:rsidRPr="00600C09">
        <w:t>amān as largely synonymous, both creating joint liability.</w:t>
      </w:r>
    </w:p>
    <w:p w14:paraId="75DF0817" w14:textId="77777777" w:rsidR="00600C09" w:rsidRPr="00600C09" w:rsidRDefault="00600C09" w:rsidP="00600C09">
      <w:pPr>
        <w:numPr>
          <w:ilvl w:val="0"/>
          <w:numId w:val="86"/>
        </w:numPr>
      </w:pPr>
      <w:r w:rsidRPr="00600C09">
        <w:rPr>
          <w:b/>
          <w:bCs/>
        </w:rPr>
        <w:t>Malikis</w:t>
      </w:r>
      <w:r w:rsidRPr="00600C09">
        <w:t xml:space="preserve">: Distinguish kafālah (personal guarantees) from </w:t>
      </w:r>
      <w:r w:rsidRPr="00600C09">
        <w:rPr>
          <w:rFonts w:ascii="Calibri" w:hAnsi="Calibri" w:cs="Calibri"/>
        </w:rPr>
        <w:t>ḍ</w:t>
      </w:r>
      <w:r w:rsidRPr="00600C09">
        <w:t>amān (financial sureties).</w:t>
      </w:r>
    </w:p>
    <w:p w14:paraId="084662E1" w14:textId="77777777" w:rsidR="00600C09" w:rsidRPr="00600C09" w:rsidRDefault="00600C09" w:rsidP="00600C09">
      <w:pPr>
        <w:numPr>
          <w:ilvl w:val="0"/>
          <w:numId w:val="86"/>
        </w:numPr>
      </w:pPr>
      <w:r w:rsidRPr="00600C09">
        <w:rPr>
          <w:b/>
          <w:bCs/>
        </w:rPr>
        <w:t>Shafi</w:t>
      </w:r>
      <w:r w:rsidRPr="00600C09">
        <w:rPr>
          <w:rFonts w:ascii="Arial" w:hAnsi="Arial" w:cs="Arial"/>
          <w:b/>
          <w:bCs/>
        </w:rPr>
        <w:t>ʿ</w:t>
      </w:r>
      <w:r w:rsidRPr="00600C09">
        <w:rPr>
          <w:b/>
          <w:bCs/>
        </w:rPr>
        <w:t>is and Hanbalis</w:t>
      </w:r>
      <w:r w:rsidRPr="00600C09">
        <w:t xml:space="preserve">: Recognize overlap but note that </w:t>
      </w:r>
      <w:r w:rsidRPr="00600C09">
        <w:rPr>
          <w:rFonts w:ascii="Calibri" w:hAnsi="Calibri" w:cs="Calibri"/>
        </w:rPr>
        <w:t>ḍ</w:t>
      </w:r>
      <w:r w:rsidRPr="00600C09">
        <w:t>amān can extend beyond debt to cover broader obligations.</w:t>
      </w:r>
    </w:p>
    <w:p w14:paraId="0F4C036B" w14:textId="77777777" w:rsidR="00600C09" w:rsidRPr="00600C09" w:rsidRDefault="00600C09" w:rsidP="00600C09">
      <w:pPr>
        <w:rPr>
          <w:b/>
          <w:bCs/>
        </w:rPr>
      </w:pPr>
      <w:r w:rsidRPr="00600C09">
        <w:rPr>
          <w:b/>
          <w:bCs/>
        </w:rPr>
        <w:t xml:space="preserve">3.4.3 Characteristics of </w:t>
      </w:r>
      <w:r w:rsidRPr="00600C09">
        <w:rPr>
          <w:rFonts w:ascii="Calibri" w:hAnsi="Calibri" w:cs="Calibri"/>
          <w:b/>
          <w:bCs/>
        </w:rPr>
        <w:t>Ḍ</w:t>
      </w:r>
      <w:r w:rsidRPr="00600C09">
        <w:rPr>
          <w:b/>
          <w:bCs/>
        </w:rPr>
        <w:t>amān</w:t>
      </w:r>
    </w:p>
    <w:p w14:paraId="722BE3C1" w14:textId="77777777" w:rsidR="00600C09" w:rsidRPr="00600C09" w:rsidRDefault="00600C09" w:rsidP="00600C09">
      <w:r w:rsidRPr="00600C09">
        <w:t>Key features include:</w:t>
      </w:r>
    </w:p>
    <w:p w14:paraId="18CD52AF" w14:textId="77777777" w:rsidR="00600C09" w:rsidRPr="00600C09" w:rsidRDefault="00600C09" w:rsidP="00600C09">
      <w:pPr>
        <w:numPr>
          <w:ilvl w:val="0"/>
          <w:numId w:val="87"/>
        </w:numPr>
      </w:pPr>
      <w:r w:rsidRPr="00600C09">
        <w:rPr>
          <w:b/>
          <w:bCs/>
        </w:rPr>
        <w:t>Binding commitment</w:t>
      </w:r>
      <w:r w:rsidRPr="00600C09">
        <w:t xml:space="preserve">: Once given, </w:t>
      </w:r>
      <w:r w:rsidRPr="00600C09">
        <w:rPr>
          <w:rFonts w:ascii="Calibri" w:hAnsi="Calibri" w:cs="Calibri"/>
        </w:rPr>
        <w:t>ḍ</w:t>
      </w:r>
      <w:r w:rsidRPr="00600C09">
        <w:t>amān is binding on the guarantor.</w:t>
      </w:r>
    </w:p>
    <w:p w14:paraId="17E9C8E3" w14:textId="77777777" w:rsidR="00600C09" w:rsidRPr="00600C09" w:rsidRDefault="00600C09" w:rsidP="00600C09">
      <w:pPr>
        <w:numPr>
          <w:ilvl w:val="0"/>
          <w:numId w:val="87"/>
        </w:numPr>
      </w:pPr>
      <w:r w:rsidRPr="00600C09">
        <w:rPr>
          <w:b/>
          <w:bCs/>
        </w:rPr>
        <w:t>Gratuitous nature</w:t>
      </w:r>
      <w:r w:rsidRPr="00600C09">
        <w:t>: Like kafālah, it is an act of tabarru</w:t>
      </w:r>
      <w:r w:rsidRPr="00600C09">
        <w:rPr>
          <w:rFonts w:ascii="Arial" w:hAnsi="Arial" w:cs="Arial"/>
        </w:rPr>
        <w:t>ʿ</w:t>
      </w:r>
      <w:r w:rsidRPr="00600C09">
        <w:t>, not a commercial contract.</w:t>
      </w:r>
    </w:p>
    <w:p w14:paraId="7ECC609D" w14:textId="77777777" w:rsidR="00600C09" w:rsidRPr="00600C09" w:rsidRDefault="00600C09" w:rsidP="00600C09">
      <w:pPr>
        <w:numPr>
          <w:ilvl w:val="0"/>
          <w:numId w:val="87"/>
        </w:numPr>
      </w:pPr>
      <w:r w:rsidRPr="00600C09">
        <w:rPr>
          <w:b/>
          <w:bCs/>
        </w:rPr>
        <w:t>Joint liability</w:t>
      </w:r>
      <w:r w:rsidRPr="00600C09">
        <w:t>: The creditor may pursue either the original debtor or the surety.</w:t>
      </w:r>
    </w:p>
    <w:p w14:paraId="01A35110" w14:textId="77777777" w:rsidR="00600C09" w:rsidRPr="00600C09" w:rsidRDefault="00600C09" w:rsidP="00600C09">
      <w:pPr>
        <w:numPr>
          <w:ilvl w:val="0"/>
          <w:numId w:val="87"/>
        </w:numPr>
      </w:pPr>
      <w:r w:rsidRPr="00600C09">
        <w:rPr>
          <w:b/>
          <w:bCs/>
        </w:rPr>
        <w:t>Scope</w:t>
      </w:r>
      <w:r w:rsidRPr="00600C09">
        <w:t>: May extend to future obligations, depending on juristic interpretation.</w:t>
      </w:r>
    </w:p>
    <w:p w14:paraId="7169872F" w14:textId="77777777" w:rsidR="00600C09" w:rsidRPr="00600C09" w:rsidRDefault="00600C09" w:rsidP="00600C09">
      <w:pPr>
        <w:rPr>
          <w:b/>
          <w:bCs/>
        </w:rPr>
      </w:pPr>
      <w:r w:rsidRPr="00600C09">
        <w:rPr>
          <w:b/>
          <w:bCs/>
        </w:rPr>
        <w:lastRenderedPageBreak/>
        <w:t>3.4.4 Rights and Duties</w:t>
      </w:r>
    </w:p>
    <w:p w14:paraId="78741500" w14:textId="77777777" w:rsidR="00600C09" w:rsidRPr="00600C09" w:rsidRDefault="00600C09" w:rsidP="00600C09">
      <w:pPr>
        <w:numPr>
          <w:ilvl w:val="0"/>
          <w:numId w:val="88"/>
        </w:numPr>
      </w:pPr>
      <w:r w:rsidRPr="00600C09">
        <w:rPr>
          <w:b/>
          <w:bCs/>
        </w:rPr>
        <w:t>Obligations of the surety (</w:t>
      </w:r>
      <w:r w:rsidRPr="00600C09">
        <w:rPr>
          <w:rFonts w:ascii="Calibri" w:hAnsi="Calibri" w:cs="Calibri"/>
          <w:b/>
          <w:bCs/>
        </w:rPr>
        <w:t>ḍ</w:t>
      </w:r>
      <w:r w:rsidRPr="00600C09">
        <w:rPr>
          <w:b/>
          <w:bCs/>
        </w:rPr>
        <w:t>āmin):</w:t>
      </w:r>
    </w:p>
    <w:p w14:paraId="1856A134" w14:textId="77777777" w:rsidR="00600C09" w:rsidRPr="00600C09" w:rsidRDefault="00600C09" w:rsidP="00600C09">
      <w:pPr>
        <w:numPr>
          <w:ilvl w:val="1"/>
          <w:numId w:val="88"/>
        </w:numPr>
      </w:pPr>
      <w:r w:rsidRPr="00600C09">
        <w:t>To fulfill the debtor’s obligation if the debtor defaults.</w:t>
      </w:r>
    </w:p>
    <w:p w14:paraId="4E7319A3" w14:textId="77777777" w:rsidR="00600C09" w:rsidRPr="00600C09" w:rsidRDefault="00600C09" w:rsidP="00600C09">
      <w:pPr>
        <w:numPr>
          <w:ilvl w:val="1"/>
          <w:numId w:val="88"/>
        </w:numPr>
      </w:pPr>
      <w:r w:rsidRPr="00600C09">
        <w:t>To assume liability as if it were his own.</w:t>
      </w:r>
    </w:p>
    <w:p w14:paraId="30AB6293" w14:textId="77777777" w:rsidR="00600C09" w:rsidRPr="00600C09" w:rsidRDefault="00600C09" w:rsidP="00600C09">
      <w:pPr>
        <w:numPr>
          <w:ilvl w:val="0"/>
          <w:numId w:val="88"/>
        </w:numPr>
      </w:pPr>
      <w:r w:rsidRPr="00600C09">
        <w:rPr>
          <w:b/>
          <w:bCs/>
        </w:rPr>
        <w:t>Rights of the surety:</w:t>
      </w:r>
    </w:p>
    <w:p w14:paraId="39F16B82" w14:textId="77777777" w:rsidR="00600C09" w:rsidRPr="00600C09" w:rsidRDefault="00600C09" w:rsidP="00600C09">
      <w:pPr>
        <w:numPr>
          <w:ilvl w:val="1"/>
          <w:numId w:val="88"/>
        </w:numPr>
      </w:pPr>
      <w:r w:rsidRPr="00600C09">
        <w:t>To seek reimbursement from the principal debtor after performance.</w:t>
      </w:r>
    </w:p>
    <w:p w14:paraId="7DB6265A" w14:textId="77777777" w:rsidR="00600C09" w:rsidRPr="00600C09" w:rsidRDefault="00600C09" w:rsidP="00600C09">
      <w:pPr>
        <w:numPr>
          <w:ilvl w:val="1"/>
          <w:numId w:val="88"/>
        </w:numPr>
      </w:pPr>
      <w:r w:rsidRPr="00600C09">
        <w:t>To limit the guarantee to specific debts or obligations.</w:t>
      </w:r>
    </w:p>
    <w:p w14:paraId="4FEA3983" w14:textId="77777777" w:rsidR="00600C09" w:rsidRPr="00600C09" w:rsidRDefault="00600C09" w:rsidP="00600C09">
      <w:pPr>
        <w:numPr>
          <w:ilvl w:val="0"/>
          <w:numId w:val="88"/>
        </w:numPr>
      </w:pPr>
      <w:r w:rsidRPr="00600C09">
        <w:rPr>
          <w:b/>
          <w:bCs/>
        </w:rPr>
        <w:t>Rights of the creditor:</w:t>
      </w:r>
    </w:p>
    <w:p w14:paraId="67AD494E" w14:textId="77777777" w:rsidR="00600C09" w:rsidRPr="00600C09" w:rsidRDefault="00600C09" w:rsidP="00600C09">
      <w:pPr>
        <w:numPr>
          <w:ilvl w:val="1"/>
          <w:numId w:val="88"/>
        </w:numPr>
      </w:pPr>
      <w:r w:rsidRPr="00600C09">
        <w:t>To demand fulfillment from either party.</w:t>
      </w:r>
    </w:p>
    <w:p w14:paraId="7DE212B1" w14:textId="77777777" w:rsidR="00600C09" w:rsidRPr="00600C09" w:rsidRDefault="00600C09" w:rsidP="00600C09">
      <w:pPr>
        <w:numPr>
          <w:ilvl w:val="1"/>
          <w:numId w:val="88"/>
        </w:numPr>
      </w:pPr>
      <w:r w:rsidRPr="00600C09">
        <w:t>To hold both jointly liable.</w:t>
      </w:r>
    </w:p>
    <w:p w14:paraId="64F41CF0" w14:textId="77777777" w:rsidR="00600C09" w:rsidRPr="00600C09" w:rsidRDefault="00600C09" w:rsidP="00600C09">
      <w:pPr>
        <w:rPr>
          <w:b/>
          <w:bCs/>
        </w:rPr>
      </w:pPr>
      <w:r w:rsidRPr="00600C09">
        <w:rPr>
          <w:b/>
          <w:bCs/>
        </w:rPr>
        <w:t>3.4.5 Modern Applications</w:t>
      </w:r>
    </w:p>
    <w:p w14:paraId="04072125" w14:textId="77777777" w:rsidR="00600C09" w:rsidRPr="00600C09" w:rsidRDefault="00600C09" w:rsidP="00600C09">
      <w:r w:rsidRPr="00600C09">
        <w:rPr>
          <w:rFonts w:ascii="Calibri" w:hAnsi="Calibri" w:cs="Calibri"/>
        </w:rPr>
        <w:t>Ḍ</w:t>
      </w:r>
      <w:r w:rsidRPr="00600C09">
        <w:t>amān has applications similar to kafālah, but is often broader in scope. In project finance, it may be invoked in:</w:t>
      </w:r>
    </w:p>
    <w:p w14:paraId="208F48E2" w14:textId="77777777" w:rsidR="00600C09" w:rsidRPr="00600C09" w:rsidRDefault="00600C09" w:rsidP="00600C09">
      <w:pPr>
        <w:numPr>
          <w:ilvl w:val="0"/>
          <w:numId w:val="89"/>
        </w:numPr>
      </w:pPr>
      <w:r w:rsidRPr="00600C09">
        <w:rPr>
          <w:b/>
          <w:bCs/>
        </w:rPr>
        <w:t>Corporate guarantees</w:t>
      </w:r>
      <w:r w:rsidRPr="00600C09">
        <w:t xml:space="preserve">: Parent companies provide </w:t>
      </w:r>
      <w:r w:rsidRPr="00600C09">
        <w:rPr>
          <w:rFonts w:ascii="Calibri" w:hAnsi="Calibri" w:cs="Calibri"/>
        </w:rPr>
        <w:t>ḍ</w:t>
      </w:r>
      <w:r w:rsidRPr="00600C09">
        <w:t>amān for obligations of subsidiaries.</w:t>
      </w:r>
    </w:p>
    <w:p w14:paraId="33EBC1AC" w14:textId="77777777" w:rsidR="00600C09" w:rsidRPr="00600C09" w:rsidRDefault="00600C09" w:rsidP="00600C09">
      <w:pPr>
        <w:numPr>
          <w:ilvl w:val="0"/>
          <w:numId w:val="89"/>
        </w:numPr>
      </w:pPr>
      <w:r w:rsidRPr="00600C09">
        <w:rPr>
          <w:b/>
          <w:bCs/>
        </w:rPr>
        <w:t>Completion guarantees</w:t>
      </w:r>
      <w:r w:rsidRPr="00600C09">
        <w:t>: Sponsors assure financiers that projects will be completed, even if costs overrun.</w:t>
      </w:r>
    </w:p>
    <w:p w14:paraId="7671A678" w14:textId="77777777" w:rsidR="00600C09" w:rsidRPr="00600C09" w:rsidRDefault="00600C09" w:rsidP="00600C09">
      <w:pPr>
        <w:numPr>
          <w:ilvl w:val="0"/>
          <w:numId w:val="89"/>
        </w:numPr>
      </w:pPr>
      <w:r w:rsidRPr="00600C09">
        <w:rPr>
          <w:b/>
          <w:bCs/>
        </w:rPr>
        <w:t>Sukuk structures</w:t>
      </w:r>
      <w:r w:rsidRPr="00600C09">
        <w:t xml:space="preserve">: In some sukuk issuances, sponsors provide undertakings resembling </w:t>
      </w:r>
      <w:r w:rsidRPr="00600C09">
        <w:rPr>
          <w:rFonts w:ascii="Calibri" w:hAnsi="Calibri" w:cs="Calibri"/>
        </w:rPr>
        <w:t>ḍ</w:t>
      </w:r>
      <w:r w:rsidRPr="00600C09">
        <w:t>amān to support payments.</w:t>
      </w:r>
    </w:p>
    <w:p w14:paraId="010C3246" w14:textId="77777777" w:rsidR="00600C09" w:rsidRPr="00600C09" w:rsidRDefault="00600C09" w:rsidP="00600C09">
      <w:r w:rsidRPr="00600C09">
        <w:t xml:space="preserve">These applications highlight the practical utility of </w:t>
      </w:r>
      <w:r w:rsidRPr="00600C09">
        <w:rPr>
          <w:rFonts w:ascii="Calibri" w:hAnsi="Calibri" w:cs="Calibri"/>
        </w:rPr>
        <w:t>ḍ</w:t>
      </w:r>
      <w:r w:rsidRPr="00600C09">
        <w:t>amān in reinforcing contractual performance and financial obligations.</w:t>
      </w:r>
    </w:p>
    <w:p w14:paraId="4BF15177" w14:textId="77777777" w:rsidR="00600C09" w:rsidRPr="00600C09" w:rsidRDefault="00600C09" w:rsidP="00600C09">
      <w:pPr>
        <w:rPr>
          <w:b/>
          <w:bCs/>
        </w:rPr>
      </w:pPr>
      <w:r w:rsidRPr="00600C09">
        <w:rPr>
          <w:b/>
          <w:bCs/>
        </w:rPr>
        <w:t>3.4.6 Challenges in Application</w:t>
      </w:r>
    </w:p>
    <w:p w14:paraId="03CF1841" w14:textId="77777777" w:rsidR="00600C09" w:rsidRPr="00600C09" w:rsidRDefault="00600C09" w:rsidP="00600C09">
      <w:r w:rsidRPr="00600C09">
        <w:t xml:space="preserve">Like kafālah, </w:t>
      </w:r>
      <w:r w:rsidRPr="00600C09">
        <w:rPr>
          <w:rFonts w:ascii="Calibri" w:hAnsi="Calibri" w:cs="Calibri"/>
        </w:rPr>
        <w:t>ḍ</w:t>
      </w:r>
      <w:r w:rsidRPr="00600C09">
        <w:t xml:space="preserve">amān faces the issue of fees. Charging a fee for </w:t>
      </w:r>
      <w:r w:rsidRPr="00600C09">
        <w:rPr>
          <w:rFonts w:ascii="Calibri" w:hAnsi="Calibri" w:cs="Calibri"/>
        </w:rPr>
        <w:t>ḍ</w:t>
      </w:r>
      <w:r w:rsidRPr="00600C09">
        <w:t>amān is generally impermissible, limiting its commercial use. However, some contemporary scholars have debated whether certain structured arrangements could allow for cost recovery or profit sharing (AAOIFI, 2021).</w:t>
      </w:r>
    </w:p>
    <w:p w14:paraId="6A9BA81B" w14:textId="47372BFE" w:rsidR="00600C09" w:rsidRPr="001F7FF9" w:rsidRDefault="00600C09" w:rsidP="00600C09">
      <w:r w:rsidRPr="00600C09">
        <w:t xml:space="preserve">Another challenge is defining the scope of obligations covered. While classical jurists debated whether </w:t>
      </w:r>
      <w:r w:rsidRPr="00600C09">
        <w:rPr>
          <w:rFonts w:ascii="Calibri" w:hAnsi="Calibri" w:cs="Calibri"/>
        </w:rPr>
        <w:t>ḍ</w:t>
      </w:r>
      <w:r w:rsidRPr="00600C09">
        <w:t>amān could cover future debts, modern practice often requires guarantees for obligations that may arise in the future, such as cost overruns or penalties. Reconciling these needs with classical doctrine remains an ongoing discussion.</w:t>
      </w:r>
    </w:p>
    <w:p w14:paraId="708D1522" w14:textId="6B319A41" w:rsidR="00600C09" w:rsidRPr="00600C09" w:rsidRDefault="00600C09" w:rsidP="00600C09"/>
    <w:p w14:paraId="6F70A6D2" w14:textId="77777777" w:rsidR="00600C09" w:rsidRPr="00600C09" w:rsidRDefault="00600C09" w:rsidP="00600C09">
      <w:pPr>
        <w:rPr>
          <w:b/>
          <w:bCs/>
        </w:rPr>
      </w:pPr>
      <w:r w:rsidRPr="00600C09">
        <w:rPr>
          <w:b/>
          <w:bCs/>
        </w:rPr>
        <w:lastRenderedPageBreak/>
        <w:t xml:space="preserve">3.5 </w:t>
      </w:r>
      <w:r w:rsidRPr="00600C09">
        <w:rPr>
          <w:rFonts w:ascii="Calibri" w:hAnsi="Calibri" w:cs="Calibri"/>
          <w:b/>
          <w:bCs/>
        </w:rPr>
        <w:t>Ḥ</w:t>
      </w:r>
      <w:r w:rsidRPr="00600C09">
        <w:rPr>
          <w:b/>
          <w:bCs/>
        </w:rPr>
        <w:t>awālah (Debt Transfer)</w:t>
      </w:r>
    </w:p>
    <w:p w14:paraId="4FBCAEAA" w14:textId="77777777" w:rsidR="00600C09" w:rsidRPr="00600C09" w:rsidRDefault="00600C09" w:rsidP="00600C09">
      <w:pPr>
        <w:rPr>
          <w:b/>
          <w:bCs/>
        </w:rPr>
      </w:pPr>
      <w:r w:rsidRPr="00600C09">
        <w:rPr>
          <w:b/>
          <w:bCs/>
        </w:rPr>
        <w:t>3.5.1 Definition and Concept</w:t>
      </w:r>
    </w:p>
    <w:p w14:paraId="14858AA6" w14:textId="77777777" w:rsidR="00600C09" w:rsidRPr="00600C09" w:rsidRDefault="00600C09" w:rsidP="00600C09">
      <w:r w:rsidRPr="00600C09">
        <w:rPr>
          <w:rFonts w:ascii="Calibri" w:hAnsi="Calibri" w:cs="Calibri"/>
          <w:b/>
          <w:bCs/>
        </w:rPr>
        <w:t>Ḥ</w:t>
      </w:r>
      <w:r w:rsidRPr="00600C09">
        <w:rPr>
          <w:b/>
          <w:bCs/>
        </w:rPr>
        <w:t>awālah</w:t>
      </w:r>
      <w:r w:rsidRPr="00600C09">
        <w:t xml:space="preserve"> is a contract by which a debtor transfers his debt to another person, who then assumes responsibility for paying the creditor. In essence, it is a transfer of liability, relieving the original debtor (</w:t>
      </w:r>
      <w:r w:rsidRPr="00600C09">
        <w:rPr>
          <w:i/>
          <w:iCs/>
        </w:rPr>
        <w:t>mū</w:t>
      </w:r>
      <w:r w:rsidRPr="00600C09">
        <w:rPr>
          <w:rFonts w:ascii="Calibri" w:hAnsi="Calibri" w:cs="Calibri"/>
          <w:i/>
          <w:iCs/>
        </w:rPr>
        <w:t>ḥ</w:t>
      </w:r>
      <w:r w:rsidRPr="00600C09">
        <w:rPr>
          <w:i/>
          <w:iCs/>
        </w:rPr>
        <w:t>īl</w:t>
      </w:r>
      <w:r w:rsidRPr="00600C09">
        <w:t>) and shifting the obligation to another party (</w:t>
      </w:r>
      <w:r w:rsidRPr="00600C09">
        <w:rPr>
          <w:i/>
          <w:iCs/>
        </w:rPr>
        <w:t>mu</w:t>
      </w:r>
      <w:r w:rsidRPr="00600C09">
        <w:rPr>
          <w:rFonts w:ascii="Calibri" w:hAnsi="Calibri" w:cs="Calibri"/>
          <w:i/>
          <w:iCs/>
        </w:rPr>
        <w:t>ḥ</w:t>
      </w:r>
      <w:r w:rsidRPr="00600C09">
        <w:rPr>
          <w:i/>
          <w:iCs/>
        </w:rPr>
        <w:t xml:space="preserve">āl </w:t>
      </w:r>
      <w:r w:rsidRPr="00600C09">
        <w:rPr>
          <w:rFonts w:ascii="Arial" w:hAnsi="Arial" w:cs="Arial"/>
          <w:i/>
          <w:iCs/>
        </w:rPr>
        <w:t>ʿ</w:t>
      </w:r>
      <w:r w:rsidRPr="00600C09">
        <w:rPr>
          <w:i/>
          <w:iCs/>
        </w:rPr>
        <w:t>alayh</w:t>
      </w:r>
      <w:r w:rsidRPr="00600C09">
        <w:t>) in favor of the creditor (</w:t>
      </w:r>
      <w:r w:rsidRPr="00600C09">
        <w:rPr>
          <w:i/>
          <w:iCs/>
        </w:rPr>
        <w:t>mu</w:t>
      </w:r>
      <w:r w:rsidRPr="00600C09">
        <w:rPr>
          <w:rFonts w:ascii="Calibri" w:hAnsi="Calibri" w:cs="Calibri"/>
          <w:i/>
          <w:iCs/>
        </w:rPr>
        <w:t>ḥ</w:t>
      </w:r>
      <w:r w:rsidRPr="00600C09">
        <w:rPr>
          <w:i/>
          <w:iCs/>
        </w:rPr>
        <w:t>āl lahu</w:t>
      </w:r>
      <w:r w:rsidRPr="00600C09">
        <w:t>).</w:t>
      </w:r>
    </w:p>
    <w:p w14:paraId="6224C271" w14:textId="77777777" w:rsidR="00600C09" w:rsidRPr="00600C09" w:rsidRDefault="00600C09" w:rsidP="00600C09">
      <w:r w:rsidRPr="00600C09">
        <w:t xml:space="preserve">The term </w:t>
      </w:r>
      <w:r w:rsidRPr="00600C09">
        <w:rPr>
          <w:rFonts w:ascii="Calibri" w:hAnsi="Calibri" w:cs="Calibri"/>
          <w:i/>
          <w:iCs/>
        </w:rPr>
        <w:t>ḥ</w:t>
      </w:r>
      <w:r w:rsidRPr="00600C09">
        <w:rPr>
          <w:i/>
          <w:iCs/>
        </w:rPr>
        <w:t>awālah</w:t>
      </w:r>
      <w:r w:rsidRPr="00600C09">
        <w:t xml:space="preserve"> comes from the root </w:t>
      </w:r>
      <w:r w:rsidRPr="00600C09">
        <w:rPr>
          <w:rFonts w:ascii="Calibri" w:hAnsi="Calibri" w:cs="Calibri"/>
          <w:i/>
          <w:iCs/>
        </w:rPr>
        <w:t>ḥ</w:t>
      </w:r>
      <w:r w:rsidRPr="00600C09">
        <w:rPr>
          <w:i/>
          <w:iCs/>
        </w:rPr>
        <w:t>-w-l</w:t>
      </w:r>
      <w:r w:rsidRPr="00600C09">
        <w:t>, which denotes change, transfer, or transformation. In commercial practice, it reflects the idea of shifting an obligation from one person to another.</w:t>
      </w:r>
    </w:p>
    <w:p w14:paraId="37445579" w14:textId="77777777" w:rsidR="00600C09" w:rsidRPr="00600C09" w:rsidRDefault="00600C09" w:rsidP="00600C09">
      <w:r w:rsidRPr="00600C09">
        <w:t xml:space="preserve">In Islamic law, </w:t>
      </w:r>
      <w:r w:rsidRPr="00600C09">
        <w:rPr>
          <w:rFonts w:ascii="Calibri" w:hAnsi="Calibri" w:cs="Calibri"/>
        </w:rPr>
        <w:t>ḥ</w:t>
      </w:r>
      <w:r w:rsidRPr="00600C09">
        <w:t>awālah is closely related to modern concepts of debt assignment or novation, though with distinctive Shariah conditions that prevent speculation and exploitation (Al-Zuhayli, 2003).</w:t>
      </w:r>
    </w:p>
    <w:p w14:paraId="538FD66D" w14:textId="77777777" w:rsidR="00600C09" w:rsidRPr="00600C09" w:rsidRDefault="00600C09" w:rsidP="00600C09">
      <w:pPr>
        <w:rPr>
          <w:b/>
          <w:bCs/>
        </w:rPr>
      </w:pPr>
      <w:r w:rsidRPr="00600C09">
        <w:rPr>
          <w:b/>
          <w:bCs/>
        </w:rPr>
        <w:t>3.5.2 Scriptural Basis</w:t>
      </w:r>
    </w:p>
    <w:p w14:paraId="5021FAC6" w14:textId="77777777" w:rsidR="00600C09" w:rsidRPr="00600C09" w:rsidRDefault="00600C09" w:rsidP="00600C09">
      <w:r w:rsidRPr="00600C09">
        <w:t xml:space="preserve">The legitimacy of </w:t>
      </w:r>
      <w:r w:rsidRPr="00600C09">
        <w:rPr>
          <w:rFonts w:ascii="Calibri" w:hAnsi="Calibri" w:cs="Calibri"/>
        </w:rPr>
        <w:t>ḥ</w:t>
      </w:r>
      <w:r w:rsidRPr="00600C09">
        <w:t>awālah is established by the Sunnah. The Prophet Muhammad (peace be upon him) said:</w:t>
      </w:r>
    </w:p>
    <w:p w14:paraId="429E5C57" w14:textId="77777777" w:rsidR="00600C09" w:rsidRPr="00600C09" w:rsidRDefault="00600C09" w:rsidP="00600C09">
      <w:r w:rsidRPr="00600C09">
        <w:t>“Delay in payment by a rich man is injustice; if one of you is referred to a solvent person, let him accept the referral.” (al-Bukhari, Hadith no. 2287; Muslim, Hadith no. 1564)</w:t>
      </w:r>
    </w:p>
    <w:p w14:paraId="50494A59" w14:textId="77777777" w:rsidR="00600C09" w:rsidRPr="00600C09" w:rsidRDefault="00600C09" w:rsidP="00600C09">
      <w:r w:rsidRPr="00600C09">
        <w:t>This hadith validates the transfer of debt as a fair mechanism, provided that the transferee (the new debtor) is solvent. It underscores both efficiency and justice: creditors should not be forced to chase insolvent debtors when a more capable party can assume the obligation.</w:t>
      </w:r>
    </w:p>
    <w:p w14:paraId="26B622E2" w14:textId="77777777" w:rsidR="00600C09" w:rsidRPr="00600C09" w:rsidRDefault="00600C09" w:rsidP="00600C09">
      <w:pPr>
        <w:rPr>
          <w:b/>
          <w:bCs/>
        </w:rPr>
      </w:pPr>
      <w:r w:rsidRPr="00600C09">
        <w:rPr>
          <w:b/>
          <w:bCs/>
        </w:rPr>
        <w:t>3.5.3 Essential Elements</w:t>
      </w:r>
    </w:p>
    <w:p w14:paraId="3464F6D1" w14:textId="77777777" w:rsidR="00600C09" w:rsidRPr="00600C09" w:rsidRDefault="00600C09" w:rsidP="00600C09">
      <w:r w:rsidRPr="00600C09">
        <w:t xml:space="preserve">The classical jurists identified the following elements of </w:t>
      </w:r>
      <w:r w:rsidRPr="00600C09">
        <w:rPr>
          <w:rFonts w:ascii="Calibri" w:hAnsi="Calibri" w:cs="Calibri"/>
        </w:rPr>
        <w:t>ḥ</w:t>
      </w:r>
      <w:r w:rsidRPr="00600C09">
        <w:t>awālah:</w:t>
      </w:r>
    </w:p>
    <w:p w14:paraId="205D8B0A" w14:textId="77777777" w:rsidR="00600C09" w:rsidRPr="00600C09" w:rsidRDefault="00600C09" w:rsidP="00600C09">
      <w:pPr>
        <w:numPr>
          <w:ilvl w:val="0"/>
          <w:numId w:val="92"/>
        </w:numPr>
      </w:pPr>
      <w:r w:rsidRPr="00600C09">
        <w:rPr>
          <w:b/>
          <w:bCs/>
        </w:rPr>
        <w:t>Parties to the contract</w:t>
      </w:r>
      <w:r w:rsidRPr="00600C09">
        <w:t>:</w:t>
      </w:r>
    </w:p>
    <w:p w14:paraId="3FABD3AD" w14:textId="77777777" w:rsidR="00600C09" w:rsidRPr="00600C09" w:rsidRDefault="00600C09" w:rsidP="00600C09">
      <w:pPr>
        <w:numPr>
          <w:ilvl w:val="1"/>
          <w:numId w:val="92"/>
        </w:numPr>
      </w:pPr>
      <w:r w:rsidRPr="00600C09">
        <w:rPr>
          <w:i/>
          <w:iCs/>
        </w:rPr>
        <w:t>Mū</w:t>
      </w:r>
      <w:r w:rsidRPr="00600C09">
        <w:rPr>
          <w:rFonts w:ascii="Calibri" w:hAnsi="Calibri" w:cs="Calibri"/>
          <w:i/>
          <w:iCs/>
        </w:rPr>
        <w:t>ḥ</w:t>
      </w:r>
      <w:r w:rsidRPr="00600C09">
        <w:rPr>
          <w:i/>
          <w:iCs/>
        </w:rPr>
        <w:t>īl</w:t>
      </w:r>
      <w:r w:rsidRPr="00600C09">
        <w:t>: the original debtor.</w:t>
      </w:r>
    </w:p>
    <w:p w14:paraId="3DE473E8" w14:textId="77777777" w:rsidR="00600C09" w:rsidRPr="00600C09" w:rsidRDefault="00600C09" w:rsidP="00600C09">
      <w:pPr>
        <w:numPr>
          <w:ilvl w:val="1"/>
          <w:numId w:val="92"/>
        </w:numPr>
      </w:pPr>
      <w:r w:rsidRPr="00600C09">
        <w:rPr>
          <w:i/>
          <w:iCs/>
        </w:rPr>
        <w:t>Mu</w:t>
      </w:r>
      <w:r w:rsidRPr="00600C09">
        <w:rPr>
          <w:rFonts w:ascii="Calibri" w:hAnsi="Calibri" w:cs="Calibri"/>
          <w:i/>
          <w:iCs/>
        </w:rPr>
        <w:t>ḥ</w:t>
      </w:r>
      <w:r w:rsidRPr="00600C09">
        <w:rPr>
          <w:i/>
          <w:iCs/>
        </w:rPr>
        <w:t>āl lahu</w:t>
      </w:r>
      <w:r w:rsidRPr="00600C09">
        <w:t>: the creditor.</w:t>
      </w:r>
    </w:p>
    <w:p w14:paraId="003F5FE1" w14:textId="77777777" w:rsidR="00600C09" w:rsidRPr="00600C09" w:rsidRDefault="00600C09" w:rsidP="00600C09">
      <w:pPr>
        <w:numPr>
          <w:ilvl w:val="1"/>
          <w:numId w:val="92"/>
        </w:numPr>
      </w:pPr>
      <w:r w:rsidRPr="00600C09">
        <w:rPr>
          <w:i/>
          <w:iCs/>
        </w:rPr>
        <w:t>Mu</w:t>
      </w:r>
      <w:r w:rsidRPr="00600C09">
        <w:rPr>
          <w:rFonts w:ascii="Calibri" w:hAnsi="Calibri" w:cs="Calibri"/>
          <w:i/>
          <w:iCs/>
        </w:rPr>
        <w:t>ḥ</w:t>
      </w:r>
      <w:r w:rsidRPr="00600C09">
        <w:rPr>
          <w:i/>
          <w:iCs/>
        </w:rPr>
        <w:t xml:space="preserve">āl </w:t>
      </w:r>
      <w:r w:rsidRPr="00600C09">
        <w:rPr>
          <w:rFonts w:ascii="Arial" w:hAnsi="Arial" w:cs="Arial"/>
          <w:i/>
          <w:iCs/>
        </w:rPr>
        <w:t>ʿ</w:t>
      </w:r>
      <w:r w:rsidRPr="00600C09">
        <w:rPr>
          <w:i/>
          <w:iCs/>
        </w:rPr>
        <w:t>alayh</w:t>
      </w:r>
      <w:r w:rsidRPr="00600C09">
        <w:t>: the new debtor who assumes the liability.</w:t>
      </w:r>
    </w:p>
    <w:p w14:paraId="1A4DF0FD" w14:textId="77777777" w:rsidR="00600C09" w:rsidRPr="00600C09" w:rsidRDefault="00600C09" w:rsidP="00600C09">
      <w:pPr>
        <w:numPr>
          <w:ilvl w:val="0"/>
          <w:numId w:val="92"/>
        </w:numPr>
      </w:pPr>
      <w:r w:rsidRPr="00600C09">
        <w:rPr>
          <w:b/>
          <w:bCs/>
        </w:rPr>
        <w:t>The debt (</w:t>
      </w:r>
      <w:r w:rsidRPr="00600C09">
        <w:rPr>
          <w:rFonts w:ascii="Calibri" w:hAnsi="Calibri" w:cs="Calibri"/>
          <w:b/>
          <w:bCs/>
        </w:rPr>
        <w:t>ḥ</w:t>
      </w:r>
      <w:r w:rsidRPr="00600C09">
        <w:rPr>
          <w:b/>
          <w:bCs/>
        </w:rPr>
        <w:t>aqq)</w:t>
      </w:r>
      <w:r w:rsidRPr="00600C09">
        <w:t>:</w:t>
      </w:r>
    </w:p>
    <w:p w14:paraId="3B22E0DF" w14:textId="77777777" w:rsidR="00600C09" w:rsidRPr="00600C09" w:rsidRDefault="00600C09" w:rsidP="00600C09">
      <w:pPr>
        <w:numPr>
          <w:ilvl w:val="1"/>
          <w:numId w:val="92"/>
        </w:numPr>
      </w:pPr>
      <w:r w:rsidRPr="00600C09">
        <w:t>Must be a valid, existing obligation.</w:t>
      </w:r>
    </w:p>
    <w:p w14:paraId="44198D61" w14:textId="77777777" w:rsidR="00600C09" w:rsidRPr="00600C09" w:rsidRDefault="00600C09" w:rsidP="00600C09">
      <w:pPr>
        <w:numPr>
          <w:ilvl w:val="1"/>
          <w:numId w:val="92"/>
        </w:numPr>
      </w:pPr>
      <w:r w:rsidRPr="00600C09">
        <w:t>Cannot be speculative or based on prohibited contracts.</w:t>
      </w:r>
    </w:p>
    <w:p w14:paraId="2351A166" w14:textId="77777777" w:rsidR="00600C09" w:rsidRPr="00600C09" w:rsidRDefault="00600C09" w:rsidP="00600C09">
      <w:pPr>
        <w:numPr>
          <w:ilvl w:val="0"/>
          <w:numId w:val="92"/>
        </w:numPr>
      </w:pPr>
      <w:r w:rsidRPr="00600C09">
        <w:rPr>
          <w:b/>
          <w:bCs/>
        </w:rPr>
        <w:t>Consent</w:t>
      </w:r>
      <w:r w:rsidRPr="00600C09">
        <w:t>:</w:t>
      </w:r>
    </w:p>
    <w:p w14:paraId="0DA993C2" w14:textId="77777777" w:rsidR="00600C09" w:rsidRPr="00600C09" w:rsidRDefault="00600C09" w:rsidP="00600C09">
      <w:pPr>
        <w:numPr>
          <w:ilvl w:val="1"/>
          <w:numId w:val="92"/>
        </w:numPr>
      </w:pPr>
      <w:r w:rsidRPr="00600C09">
        <w:t>The creditor must consent to the transfer, as it directly affects his rights.</w:t>
      </w:r>
    </w:p>
    <w:p w14:paraId="3D963AD1" w14:textId="77777777" w:rsidR="00600C09" w:rsidRPr="00600C09" w:rsidRDefault="00600C09" w:rsidP="00600C09">
      <w:pPr>
        <w:numPr>
          <w:ilvl w:val="1"/>
          <w:numId w:val="92"/>
        </w:numPr>
      </w:pPr>
      <w:r w:rsidRPr="00600C09">
        <w:lastRenderedPageBreak/>
        <w:t>Debtor consent is also necessary, ensuring fairness.</w:t>
      </w:r>
    </w:p>
    <w:p w14:paraId="475B2663" w14:textId="77777777" w:rsidR="00600C09" w:rsidRPr="00600C09" w:rsidRDefault="00600C09" w:rsidP="00600C09">
      <w:pPr>
        <w:numPr>
          <w:ilvl w:val="0"/>
          <w:numId w:val="92"/>
        </w:numPr>
      </w:pPr>
      <w:r w:rsidRPr="00600C09">
        <w:rPr>
          <w:b/>
          <w:bCs/>
        </w:rPr>
        <w:t>Sighah (offer and acceptance)</w:t>
      </w:r>
      <w:r w:rsidRPr="00600C09">
        <w:t>:</w:t>
      </w:r>
    </w:p>
    <w:p w14:paraId="0EDC823A" w14:textId="77777777" w:rsidR="00600C09" w:rsidRPr="00600C09" w:rsidRDefault="00600C09" w:rsidP="00600C09">
      <w:pPr>
        <w:numPr>
          <w:ilvl w:val="1"/>
          <w:numId w:val="92"/>
        </w:numPr>
      </w:pPr>
      <w:r w:rsidRPr="00600C09">
        <w:t>Clear words or conduct establishing the transfer of liability.</w:t>
      </w:r>
    </w:p>
    <w:p w14:paraId="3C7CB1E1" w14:textId="77777777" w:rsidR="00600C09" w:rsidRPr="00600C09" w:rsidRDefault="00600C09" w:rsidP="00600C09">
      <w:pPr>
        <w:rPr>
          <w:b/>
          <w:bCs/>
        </w:rPr>
      </w:pPr>
      <w:r w:rsidRPr="00600C09">
        <w:rPr>
          <w:b/>
          <w:bCs/>
        </w:rPr>
        <w:t>3.5.4 Juristic Views Across Schools</w:t>
      </w:r>
    </w:p>
    <w:p w14:paraId="16C0D12B" w14:textId="77777777" w:rsidR="00600C09" w:rsidRPr="00600C09" w:rsidRDefault="00600C09" w:rsidP="00600C09">
      <w:pPr>
        <w:numPr>
          <w:ilvl w:val="0"/>
          <w:numId w:val="93"/>
        </w:numPr>
      </w:pPr>
      <w:r w:rsidRPr="00600C09">
        <w:rPr>
          <w:b/>
          <w:bCs/>
        </w:rPr>
        <w:t>Hanafi school</w:t>
      </w:r>
      <w:r w:rsidRPr="00600C09">
        <w:t xml:space="preserve">: Treats </w:t>
      </w:r>
      <w:r w:rsidRPr="00600C09">
        <w:rPr>
          <w:rFonts w:ascii="Calibri" w:hAnsi="Calibri" w:cs="Calibri"/>
        </w:rPr>
        <w:t>ḥ</w:t>
      </w:r>
      <w:r w:rsidRPr="00600C09">
        <w:t>awālah as a binding transfer that discharges the original debtor completely once accepted by the creditor.</w:t>
      </w:r>
    </w:p>
    <w:p w14:paraId="7E251C95" w14:textId="77777777" w:rsidR="00600C09" w:rsidRPr="00600C09" w:rsidRDefault="00600C09" w:rsidP="00600C09">
      <w:pPr>
        <w:numPr>
          <w:ilvl w:val="0"/>
          <w:numId w:val="93"/>
        </w:numPr>
      </w:pPr>
      <w:r w:rsidRPr="00600C09">
        <w:rPr>
          <w:b/>
          <w:bCs/>
        </w:rPr>
        <w:t>Maliki school</w:t>
      </w:r>
      <w:r w:rsidRPr="00600C09">
        <w:t>: Considers the original debtor still liable if the new debtor defaults, unless expressly released.</w:t>
      </w:r>
    </w:p>
    <w:p w14:paraId="70C688A5" w14:textId="77777777" w:rsidR="00600C09" w:rsidRPr="00600C09" w:rsidRDefault="00600C09" w:rsidP="00600C09">
      <w:pPr>
        <w:numPr>
          <w:ilvl w:val="0"/>
          <w:numId w:val="93"/>
        </w:numPr>
      </w:pPr>
      <w:r w:rsidRPr="00600C09">
        <w:rPr>
          <w:b/>
          <w:bCs/>
        </w:rPr>
        <w:t>Shafi</w:t>
      </w:r>
      <w:r w:rsidRPr="00600C09">
        <w:rPr>
          <w:rFonts w:ascii="Arial" w:hAnsi="Arial" w:cs="Arial"/>
          <w:b/>
          <w:bCs/>
        </w:rPr>
        <w:t>ʿ</w:t>
      </w:r>
      <w:r w:rsidRPr="00600C09">
        <w:rPr>
          <w:b/>
          <w:bCs/>
        </w:rPr>
        <w:t>i school</w:t>
      </w:r>
      <w:r w:rsidRPr="00600C09">
        <w:t>: Requires creditor consent for validity; emphasizes that the transfer cannot increase the obligation.</w:t>
      </w:r>
    </w:p>
    <w:p w14:paraId="0B752059" w14:textId="77777777" w:rsidR="00600C09" w:rsidRPr="00600C09" w:rsidRDefault="00600C09" w:rsidP="00600C09">
      <w:pPr>
        <w:numPr>
          <w:ilvl w:val="0"/>
          <w:numId w:val="93"/>
        </w:numPr>
      </w:pPr>
      <w:r w:rsidRPr="00600C09">
        <w:rPr>
          <w:b/>
          <w:bCs/>
        </w:rPr>
        <w:t>Hanbali school</w:t>
      </w:r>
      <w:r w:rsidRPr="00600C09">
        <w:t>: Aligns with Hanafi view, emphasizing discharge of the original debtor once transfer is valid.</w:t>
      </w:r>
    </w:p>
    <w:p w14:paraId="2766BA4B" w14:textId="77777777" w:rsidR="00600C09" w:rsidRPr="00600C09" w:rsidRDefault="00600C09" w:rsidP="00600C09">
      <w:r w:rsidRPr="00600C09">
        <w:t>These differences reflect varying degrees of protection for creditors and debtors, with some schools prioritizing creditor security and others focusing on debtor relief.</w:t>
      </w:r>
    </w:p>
    <w:p w14:paraId="2B059F6C" w14:textId="77777777" w:rsidR="00600C09" w:rsidRPr="00600C09" w:rsidRDefault="00600C09" w:rsidP="00600C09">
      <w:pPr>
        <w:rPr>
          <w:b/>
          <w:bCs/>
        </w:rPr>
      </w:pPr>
      <w:r w:rsidRPr="00600C09">
        <w:rPr>
          <w:b/>
          <w:bCs/>
        </w:rPr>
        <w:t>3.5.5 Rights and Duties</w:t>
      </w:r>
    </w:p>
    <w:p w14:paraId="11C1B35A" w14:textId="77777777" w:rsidR="00600C09" w:rsidRPr="00600C09" w:rsidRDefault="00600C09" w:rsidP="00600C09">
      <w:pPr>
        <w:numPr>
          <w:ilvl w:val="0"/>
          <w:numId w:val="94"/>
        </w:numPr>
      </w:pPr>
      <w:r w:rsidRPr="00600C09">
        <w:rPr>
          <w:b/>
          <w:bCs/>
        </w:rPr>
        <w:t>Rights of the creditor (mu</w:t>
      </w:r>
      <w:r w:rsidRPr="00600C09">
        <w:rPr>
          <w:rFonts w:ascii="Calibri" w:hAnsi="Calibri" w:cs="Calibri"/>
          <w:b/>
          <w:bCs/>
        </w:rPr>
        <w:t>ḥ</w:t>
      </w:r>
      <w:r w:rsidRPr="00600C09">
        <w:rPr>
          <w:b/>
          <w:bCs/>
        </w:rPr>
        <w:t>āl lahu):</w:t>
      </w:r>
    </w:p>
    <w:p w14:paraId="4F0A3140" w14:textId="77777777" w:rsidR="00600C09" w:rsidRPr="00600C09" w:rsidRDefault="00600C09" w:rsidP="00600C09">
      <w:pPr>
        <w:numPr>
          <w:ilvl w:val="1"/>
          <w:numId w:val="94"/>
        </w:numPr>
      </w:pPr>
      <w:r w:rsidRPr="00600C09">
        <w:t>To claim repayment from the new debtor.</w:t>
      </w:r>
    </w:p>
    <w:p w14:paraId="55104EDF" w14:textId="77777777" w:rsidR="00600C09" w:rsidRPr="00600C09" w:rsidRDefault="00600C09" w:rsidP="00600C09">
      <w:pPr>
        <w:numPr>
          <w:ilvl w:val="1"/>
          <w:numId w:val="94"/>
        </w:numPr>
      </w:pPr>
      <w:r w:rsidRPr="00600C09">
        <w:t xml:space="preserve">To refuse </w:t>
      </w:r>
      <w:r w:rsidRPr="00600C09">
        <w:rPr>
          <w:rFonts w:ascii="Calibri" w:hAnsi="Calibri" w:cs="Calibri"/>
        </w:rPr>
        <w:t>ḥ</w:t>
      </w:r>
      <w:r w:rsidRPr="00600C09">
        <w:t>awālah if the new debtor is insolvent.</w:t>
      </w:r>
    </w:p>
    <w:p w14:paraId="6DAEAD0E" w14:textId="77777777" w:rsidR="00600C09" w:rsidRPr="00600C09" w:rsidRDefault="00600C09" w:rsidP="00600C09">
      <w:pPr>
        <w:numPr>
          <w:ilvl w:val="0"/>
          <w:numId w:val="94"/>
        </w:numPr>
      </w:pPr>
      <w:r w:rsidRPr="00600C09">
        <w:rPr>
          <w:b/>
          <w:bCs/>
        </w:rPr>
        <w:t>Duties of the new debtor (mu</w:t>
      </w:r>
      <w:r w:rsidRPr="00600C09">
        <w:rPr>
          <w:rFonts w:ascii="Calibri" w:hAnsi="Calibri" w:cs="Calibri"/>
          <w:b/>
          <w:bCs/>
        </w:rPr>
        <w:t>ḥ</w:t>
      </w:r>
      <w:r w:rsidRPr="00600C09">
        <w:rPr>
          <w:b/>
          <w:bCs/>
        </w:rPr>
        <w:t xml:space="preserve">āl </w:t>
      </w:r>
      <w:r w:rsidRPr="00600C09">
        <w:rPr>
          <w:rFonts w:ascii="Arial" w:hAnsi="Arial" w:cs="Arial"/>
          <w:b/>
          <w:bCs/>
        </w:rPr>
        <w:t>ʿ</w:t>
      </w:r>
      <w:r w:rsidRPr="00600C09">
        <w:rPr>
          <w:b/>
          <w:bCs/>
        </w:rPr>
        <w:t>alayh):</w:t>
      </w:r>
    </w:p>
    <w:p w14:paraId="6131EF70" w14:textId="77777777" w:rsidR="00600C09" w:rsidRPr="00600C09" w:rsidRDefault="00600C09" w:rsidP="00600C09">
      <w:pPr>
        <w:numPr>
          <w:ilvl w:val="1"/>
          <w:numId w:val="94"/>
        </w:numPr>
      </w:pPr>
      <w:r w:rsidRPr="00600C09">
        <w:t>To fulfill the obligation once the transfer is valid.</w:t>
      </w:r>
    </w:p>
    <w:p w14:paraId="53BB978B" w14:textId="77777777" w:rsidR="00600C09" w:rsidRPr="00600C09" w:rsidRDefault="00600C09" w:rsidP="00600C09">
      <w:pPr>
        <w:numPr>
          <w:ilvl w:val="1"/>
          <w:numId w:val="94"/>
        </w:numPr>
      </w:pPr>
      <w:r w:rsidRPr="00600C09">
        <w:t>To discharge the debt promptly.</w:t>
      </w:r>
    </w:p>
    <w:p w14:paraId="5EB19300" w14:textId="77777777" w:rsidR="00600C09" w:rsidRPr="00600C09" w:rsidRDefault="00600C09" w:rsidP="00600C09">
      <w:pPr>
        <w:numPr>
          <w:ilvl w:val="0"/>
          <w:numId w:val="94"/>
        </w:numPr>
      </w:pPr>
      <w:r w:rsidRPr="00600C09">
        <w:rPr>
          <w:b/>
          <w:bCs/>
        </w:rPr>
        <w:t>Effect on the original debtor (mū</w:t>
      </w:r>
      <w:r w:rsidRPr="00600C09">
        <w:rPr>
          <w:rFonts w:ascii="Calibri" w:hAnsi="Calibri" w:cs="Calibri"/>
          <w:b/>
          <w:bCs/>
        </w:rPr>
        <w:t>ḥ</w:t>
      </w:r>
      <w:r w:rsidRPr="00600C09">
        <w:rPr>
          <w:b/>
          <w:bCs/>
        </w:rPr>
        <w:t>īl):</w:t>
      </w:r>
    </w:p>
    <w:p w14:paraId="5D61493B" w14:textId="77777777" w:rsidR="00600C09" w:rsidRPr="00600C09" w:rsidRDefault="00600C09" w:rsidP="00600C09">
      <w:pPr>
        <w:numPr>
          <w:ilvl w:val="1"/>
          <w:numId w:val="94"/>
        </w:numPr>
      </w:pPr>
      <w:r w:rsidRPr="00600C09">
        <w:t xml:space="preserve">Discharged from liability if </w:t>
      </w:r>
      <w:r w:rsidRPr="00600C09">
        <w:rPr>
          <w:rFonts w:ascii="Calibri" w:hAnsi="Calibri" w:cs="Calibri"/>
        </w:rPr>
        <w:t>ḥ</w:t>
      </w:r>
      <w:r w:rsidRPr="00600C09">
        <w:t>awālah is valid and accepted.</w:t>
      </w:r>
    </w:p>
    <w:p w14:paraId="78433B4A" w14:textId="77777777" w:rsidR="00600C09" w:rsidRPr="00600C09" w:rsidRDefault="00600C09" w:rsidP="00600C09">
      <w:pPr>
        <w:numPr>
          <w:ilvl w:val="1"/>
          <w:numId w:val="94"/>
        </w:numPr>
      </w:pPr>
      <w:r w:rsidRPr="00600C09">
        <w:t>May remain liable in Maliki interpretation if the new debtor defaults.</w:t>
      </w:r>
    </w:p>
    <w:p w14:paraId="46468470" w14:textId="77777777" w:rsidR="00600C09" w:rsidRPr="00600C09" w:rsidRDefault="00600C09" w:rsidP="00600C09">
      <w:pPr>
        <w:rPr>
          <w:b/>
          <w:bCs/>
        </w:rPr>
      </w:pPr>
      <w:r w:rsidRPr="00600C09">
        <w:rPr>
          <w:b/>
          <w:bCs/>
        </w:rPr>
        <w:t>3.5.6 Modern Applications</w:t>
      </w:r>
    </w:p>
    <w:p w14:paraId="1A538E96" w14:textId="77777777" w:rsidR="00600C09" w:rsidRPr="00600C09" w:rsidRDefault="00600C09" w:rsidP="00600C09">
      <w:r w:rsidRPr="00600C09">
        <w:t xml:space="preserve">In contemporary Islamic finance, </w:t>
      </w:r>
      <w:r w:rsidRPr="00600C09">
        <w:rPr>
          <w:rFonts w:ascii="Calibri" w:hAnsi="Calibri" w:cs="Calibri"/>
        </w:rPr>
        <w:t>ḥ</w:t>
      </w:r>
      <w:r w:rsidRPr="00600C09">
        <w:t>awālah plays an important role in:</w:t>
      </w:r>
    </w:p>
    <w:p w14:paraId="1291D86D" w14:textId="77777777" w:rsidR="00600C09" w:rsidRPr="00600C09" w:rsidRDefault="00600C09" w:rsidP="00600C09">
      <w:pPr>
        <w:numPr>
          <w:ilvl w:val="0"/>
          <w:numId w:val="95"/>
        </w:numPr>
      </w:pPr>
      <w:r w:rsidRPr="00600C09">
        <w:rPr>
          <w:b/>
          <w:bCs/>
        </w:rPr>
        <w:t>Trade finance</w:t>
      </w:r>
    </w:p>
    <w:p w14:paraId="00288F77" w14:textId="77777777" w:rsidR="00600C09" w:rsidRPr="00600C09" w:rsidRDefault="00600C09" w:rsidP="00600C09">
      <w:pPr>
        <w:numPr>
          <w:ilvl w:val="1"/>
          <w:numId w:val="95"/>
        </w:numPr>
      </w:pPr>
      <w:r w:rsidRPr="00600C09">
        <w:t xml:space="preserve">Importers and exporters use </w:t>
      </w:r>
      <w:r w:rsidRPr="00600C09">
        <w:rPr>
          <w:rFonts w:ascii="Calibri" w:hAnsi="Calibri" w:cs="Calibri"/>
        </w:rPr>
        <w:t>ḥ</w:t>
      </w:r>
      <w:r w:rsidRPr="00600C09">
        <w:t>awālah to transfer payment obligations to banks.</w:t>
      </w:r>
    </w:p>
    <w:p w14:paraId="2F146EBF" w14:textId="77777777" w:rsidR="00600C09" w:rsidRPr="00600C09" w:rsidRDefault="00600C09" w:rsidP="00600C09">
      <w:pPr>
        <w:numPr>
          <w:ilvl w:val="1"/>
          <w:numId w:val="95"/>
        </w:numPr>
      </w:pPr>
      <w:r w:rsidRPr="00600C09">
        <w:lastRenderedPageBreak/>
        <w:t>Functions similarly to bills of exchange, though without discounting or trading.</w:t>
      </w:r>
    </w:p>
    <w:p w14:paraId="3DE956CD" w14:textId="77777777" w:rsidR="00600C09" w:rsidRPr="00600C09" w:rsidRDefault="00600C09" w:rsidP="00600C09">
      <w:pPr>
        <w:numPr>
          <w:ilvl w:val="0"/>
          <w:numId w:val="95"/>
        </w:numPr>
      </w:pPr>
      <w:r w:rsidRPr="00600C09">
        <w:rPr>
          <w:b/>
          <w:bCs/>
        </w:rPr>
        <w:t>Interbank transactions</w:t>
      </w:r>
    </w:p>
    <w:p w14:paraId="3BB3CE4A" w14:textId="77777777" w:rsidR="00600C09" w:rsidRPr="00600C09" w:rsidRDefault="00600C09" w:rsidP="00600C09">
      <w:pPr>
        <w:numPr>
          <w:ilvl w:val="1"/>
          <w:numId w:val="95"/>
        </w:numPr>
      </w:pPr>
      <w:r w:rsidRPr="00600C09">
        <w:t xml:space="preserve">Islamic banks use </w:t>
      </w:r>
      <w:r w:rsidRPr="00600C09">
        <w:rPr>
          <w:rFonts w:ascii="Calibri" w:hAnsi="Calibri" w:cs="Calibri"/>
        </w:rPr>
        <w:t>ḥ</w:t>
      </w:r>
      <w:r w:rsidRPr="00600C09">
        <w:t>awālah to settle mutual debts, especially in liquidity management.</w:t>
      </w:r>
    </w:p>
    <w:p w14:paraId="7BFDC239" w14:textId="77777777" w:rsidR="00600C09" w:rsidRPr="00600C09" w:rsidRDefault="00600C09" w:rsidP="00600C09">
      <w:pPr>
        <w:numPr>
          <w:ilvl w:val="0"/>
          <w:numId w:val="95"/>
        </w:numPr>
      </w:pPr>
      <w:r w:rsidRPr="00600C09">
        <w:rPr>
          <w:b/>
          <w:bCs/>
        </w:rPr>
        <w:t>Debt restructuring</w:t>
      </w:r>
    </w:p>
    <w:p w14:paraId="511100A3" w14:textId="77777777" w:rsidR="00600C09" w:rsidRPr="00600C09" w:rsidRDefault="00600C09" w:rsidP="00600C09">
      <w:pPr>
        <w:numPr>
          <w:ilvl w:val="1"/>
          <w:numId w:val="95"/>
        </w:numPr>
      </w:pPr>
      <w:r w:rsidRPr="00600C09">
        <w:t>Borrowers may transfer obligations to subsidiaries or parent companies, subject to Shariah constraints.</w:t>
      </w:r>
    </w:p>
    <w:p w14:paraId="145257D7" w14:textId="77777777" w:rsidR="00600C09" w:rsidRPr="00600C09" w:rsidRDefault="00600C09" w:rsidP="00600C09">
      <w:pPr>
        <w:numPr>
          <w:ilvl w:val="0"/>
          <w:numId w:val="95"/>
        </w:numPr>
      </w:pPr>
      <w:r w:rsidRPr="00600C09">
        <w:rPr>
          <w:b/>
          <w:bCs/>
        </w:rPr>
        <w:t>Takaful (Islamic insurance)</w:t>
      </w:r>
    </w:p>
    <w:p w14:paraId="360098CA" w14:textId="77777777" w:rsidR="00600C09" w:rsidRPr="00600C09" w:rsidRDefault="00600C09" w:rsidP="00600C09">
      <w:pPr>
        <w:numPr>
          <w:ilvl w:val="1"/>
          <w:numId w:val="95"/>
        </w:numPr>
      </w:pPr>
      <w:r w:rsidRPr="00600C09">
        <w:t xml:space="preserve">Operators may use </w:t>
      </w:r>
      <w:r w:rsidRPr="00600C09">
        <w:rPr>
          <w:rFonts w:ascii="Calibri" w:hAnsi="Calibri" w:cs="Calibri"/>
        </w:rPr>
        <w:t>ḥ</w:t>
      </w:r>
      <w:r w:rsidRPr="00600C09">
        <w:t>awālah contracts in re-takaful arrangements, transferring obligations from one insurer to another.</w:t>
      </w:r>
    </w:p>
    <w:p w14:paraId="4FF25460" w14:textId="77777777" w:rsidR="00600C09" w:rsidRPr="00600C09" w:rsidRDefault="00600C09" w:rsidP="00600C09">
      <w:pPr>
        <w:rPr>
          <w:b/>
          <w:bCs/>
        </w:rPr>
      </w:pPr>
      <w:r w:rsidRPr="00600C09">
        <w:rPr>
          <w:b/>
          <w:bCs/>
        </w:rPr>
        <w:t>3.5.7 Challenges in Application</w:t>
      </w:r>
    </w:p>
    <w:p w14:paraId="1E9BBC4C" w14:textId="77777777" w:rsidR="00600C09" w:rsidRPr="00600C09" w:rsidRDefault="00600C09" w:rsidP="00600C09">
      <w:pPr>
        <w:numPr>
          <w:ilvl w:val="0"/>
          <w:numId w:val="96"/>
        </w:numPr>
      </w:pPr>
      <w:r w:rsidRPr="00600C09">
        <w:rPr>
          <w:b/>
          <w:bCs/>
        </w:rPr>
        <w:t>Prohibition of trading debt</w:t>
      </w:r>
      <w:r w:rsidRPr="00600C09">
        <w:t xml:space="preserve">: </w:t>
      </w:r>
      <w:r w:rsidRPr="00600C09">
        <w:rPr>
          <w:rFonts w:ascii="Calibri" w:hAnsi="Calibri" w:cs="Calibri"/>
        </w:rPr>
        <w:t>ḥ</w:t>
      </w:r>
      <w:r w:rsidRPr="00600C09">
        <w:t>awālah cannot be used to justify debt trading at a discount, which would involve ribā.</w:t>
      </w:r>
    </w:p>
    <w:p w14:paraId="579365C8" w14:textId="77777777" w:rsidR="00600C09" w:rsidRPr="00600C09" w:rsidRDefault="00600C09" w:rsidP="00600C09">
      <w:pPr>
        <w:numPr>
          <w:ilvl w:val="0"/>
          <w:numId w:val="96"/>
        </w:numPr>
      </w:pPr>
      <w:r w:rsidRPr="00600C09">
        <w:rPr>
          <w:b/>
          <w:bCs/>
        </w:rPr>
        <w:t>Cross-border enforceability</w:t>
      </w:r>
      <w:r w:rsidRPr="00600C09">
        <w:t xml:space="preserve">: Courts outside Islamic jurisdictions may interpret </w:t>
      </w:r>
      <w:r w:rsidRPr="00600C09">
        <w:rPr>
          <w:rFonts w:ascii="Calibri" w:hAnsi="Calibri" w:cs="Calibri"/>
        </w:rPr>
        <w:t>ḥ</w:t>
      </w:r>
      <w:r w:rsidRPr="00600C09">
        <w:t>awālah differently, creating uncertainty.</w:t>
      </w:r>
    </w:p>
    <w:p w14:paraId="4CB49002" w14:textId="77777777" w:rsidR="00600C09" w:rsidRPr="00600C09" w:rsidRDefault="00600C09" w:rsidP="00600C09">
      <w:pPr>
        <w:numPr>
          <w:ilvl w:val="0"/>
          <w:numId w:val="96"/>
        </w:numPr>
      </w:pPr>
      <w:r w:rsidRPr="00600C09">
        <w:rPr>
          <w:b/>
          <w:bCs/>
        </w:rPr>
        <w:t>Credit risk</w:t>
      </w:r>
      <w:r w:rsidRPr="00600C09">
        <w:t>: Creditors must ensure that the new debtor is solvent and reliable.</w:t>
      </w:r>
    </w:p>
    <w:p w14:paraId="46057B36" w14:textId="77777777" w:rsidR="00600C09" w:rsidRPr="00600C09" w:rsidRDefault="00600C09" w:rsidP="00600C09">
      <w:r w:rsidRPr="00600C09">
        <w:t xml:space="preserve">Despite these challenges, </w:t>
      </w:r>
      <w:r w:rsidRPr="00600C09">
        <w:rPr>
          <w:rFonts w:ascii="Calibri" w:hAnsi="Calibri" w:cs="Calibri"/>
        </w:rPr>
        <w:t>ḥ</w:t>
      </w:r>
      <w:r w:rsidRPr="00600C09">
        <w:t>awālah remains an essential Islamic security instrument, offering a Shariah-compliant way to manage obligations.</w:t>
      </w:r>
    </w:p>
    <w:p w14:paraId="5B54A254" w14:textId="6B42D408" w:rsidR="00600C09" w:rsidRPr="00600C09" w:rsidRDefault="00600C09" w:rsidP="00600C09"/>
    <w:p w14:paraId="58E456F1" w14:textId="77777777" w:rsidR="00600C09" w:rsidRPr="00600C09" w:rsidRDefault="00600C09" w:rsidP="00600C09">
      <w:pPr>
        <w:rPr>
          <w:b/>
          <w:bCs/>
        </w:rPr>
      </w:pPr>
      <w:r w:rsidRPr="00600C09">
        <w:rPr>
          <w:b/>
          <w:bCs/>
        </w:rPr>
        <w:t>3.6 Comparative Strengths and Weaknesses of Islamic Security Instruments</w:t>
      </w:r>
    </w:p>
    <w:p w14:paraId="4AE84101" w14:textId="77777777" w:rsidR="00600C09" w:rsidRPr="00600C09" w:rsidRDefault="00600C09" w:rsidP="00600C09">
      <w:r w:rsidRPr="00600C09">
        <w:t xml:space="preserve">Having analyzed rahn, kafālah, </w:t>
      </w:r>
      <w:r w:rsidRPr="00600C09">
        <w:rPr>
          <w:rFonts w:ascii="Calibri" w:hAnsi="Calibri" w:cs="Calibri"/>
        </w:rPr>
        <w:t>ḍ</w:t>
      </w:r>
      <w:r w:rsidRPr="00600C09">
        <w:t xml:space="preserve">amān, and </w:t>
      </w:r>
      <w:r w:rsidRPr="00600C09">
        <w:rPr>
          <w:rFonts w:ascii="Calibri" w:hAnsi="Calibri" w:cs="Calibri"/>
        </w:rPr>
        <w:t>ḥ</w:t>
      </w:r>
      <w:r w:rsidRPr="00600C09">
        <w:t>awālah individually, it is important to assess their collective strengths and weaknesses, particularly in comparison with conventional security instruments.</w:t>
      </w:r>
    </w:p>
    <w:p w14:paraId="4B129AF4" w14:textId="77777777" w:rsidR="00600C09" w:rsidRPr="00600C09" w:rsidRDefault="00600C09" w:rsidP="00600C09">
      <w:pPr>
        <w:rPr>
          <w:b/>
          <w:bCs/>
        </w:rPr>
      </w:pPr>
      <w:r w:rsidRPr="00600C09">
        <w:rPr>
          <w:b/>
          <w:bCs/>
        </w:rPr>
        <w:t>3.6.1 Strengths</w:t>
      </w:r>
    </w:p>
    <w:p w14:paraId="23CF6972" w14:textId="77777777" w:rsidR="00600C09" w:rsidRPr="00600C09" w:rsidRDefault="00600C09" w:rsidP="00600C09">
      <w:pPr>
        <w:numPr>
          <w:ilvl w:val="0"/>
          <w:numId w:val="97"/>
        </w:numPr>
      </w:pPr>
      <w:r w:rsidRPr="00600C09">
        <w:rPr>
          <w:b/>
          <w:bCs/>
        </w:rPr>
        <w:t>Ethical foundation</w:t>
      </w:r>
    </w:p>
    <w:p w14:paraId="670CF5FB" w14:textId="77777777" w:rsidR="00600C09" w:rsidRPr="00600C09" w:rsidRDefault="00600C09" w:rsidP="00600C09">
      <w:pPr>
        <w:numPr>
          <w:ilvl w:val="1"/>
          <w:numId w:val="97"/>
        </w:numPr>
      </w:pPr>
      <w:r w:rsidRPr="00600C09">
        <w:t>Rooted in Qur’an and Sunnah, these instruments reflect fairness, justice, and cooperation.</w:t>
      </w:r>
    </w:p>
    <w:p w14:paraId="77458788" w14:textId="77777777" w:rsidR="00600C09" w:rsidRPr="00600C09" w:rsidRDefault="00600C09" w:rsidP="00600C09">
      <w:pPr>
        <w:numPr>
          <w:ilvl w:val="1"/>
          <w:numId w:val="97"/>
        </w:numPr>
      </w:pPr>
      <w:r w:rsidRPr="00600C09">
        <w:t>They prevent exploitation by prohibiting unjust enrichment and ensuring transparency.</w:t>
      </w:r>
    </w:p>
    <w:p w14:paraId="416D5515" w14:textId="77777777" w:rsidR="00600C09" w:rsidRPr="00600C09" w:rsidRDefault="00600C09" w:rsidP="00600C09">
      <w:pPr>
        <w:numPr>
          <w:ilvl w:val="0"/>
          <w:numId w:val="97"/>
        </w:numPr>
      </w:pPr>
      <w:r w:rsidRPr="00600C09">
        <w:rPr>
          <w:b/>
          <w:bCs/>
        </w:rPr>
        <w:t>Flexibility</w:t>
      </w:r>
    </w:p>
    <w:p w14:paraId="1A65D708" w14:textId="77777777" w:rsidR="00600C09" w:rsidRPr="00600C09" w:rsidRDefault="00600C09" w:rsidP="00600C09">
      <w:pPr>
        <w:numPr>
          <w:ilvl w:val="1"/>
          <w:numId w:val="97"/>
        </w:numPr>
      </w:pPr>
      <w:r w:rsidRPr="00600C09">
        <w:lastRenderedPageBreak/>
        <w:t xml:space="preserve">Islamic instruments cover both asset-backed (rahn) and personal undertakings (kafālah, </w:t>
      </w:r>
      <w:r w:rsidRPr="00600C09">
        <w:rPr>
          <w:rFonts w:ascii="Calibri" w:hAnsi="Calibri" w:cs="Calibri"/>
        </w:rPr>
        <w:t>ḍ</w:t>
      </w:r>
      <w:r w:rsidRPr="00600C09">
        <w:t>amān).</w:t>
      </w:r>
    </w:p>
    <w:p w14:paraId="4FF6FD8F" w14:textId="77777777" w:rsidR="00600C09" w:rsidRPr="00600C09" w:rsidRDefault="00600C09" w:rsidP="00600C09">
      <w:pPr>
        <w:numPr>
          <w:ilvl w:val="1"/>
          <w:numId w:val="97"/>
        </w:numPr>
      </w:pPr>
      <w:r w:rsidRPr="00600C09">
        <w:rPr>
          <w:rFonts w:ascii="Calibri" w:hAnsi="Calibri" w:cs="Calibri"/>
        </w:rPr>
        <w:t>Ḥ</w:t>
      </w:r>
      <w:r w:rsidRPr="00600C09">
        <w:t>awālah adds a mechanism for transferring obligations, enhancing efficiency.</w:t>
      </w:r>
    </w:p>
    <w:p w14:paraId="516A44DE" w14:textId="77777777" w:rsidR="00600C09" w:rsidRPr="00600C09" w:rsidRDefault="00600C09" w:rsidP="00600C09">
      <w:pPr>
        <w:numPr>
          <w:ilvl w:val="0"/>
          <w:numId w:val="97"/>
        </w:numPr>
      </w:pPr>
      <w:r w:rsidRPr="00600C09">
        <w:rPr>
          <w:b/>
          <w:bCs/>
        </w:rPr>
        <w:t>Risk sharing</w:t>
      </w:r>
    </w:p>
    <w:p w14:paraId="74E0E464" w14:textId="77777777" w:rsidR="00600C09" w:rsidRPr="00600C09" w:rsidRDefault="00600C09" w:rsidP="00600C09">
      <w:pPr>
        <w:numPr>
          <w:ilvl w:val="1"/>
          <w:numId w:val="97"/>
        </w:numPr>
      </w:pPr>
      <w:r w:rsidRPr="00600C09">
        <w:t>By restricting creditor benefits and emphasizing debtor protection, these instruments align with the principle of equitable risk distribution.</w:t>
      </w:r>
    </w:p>
    <w:p w14:paraId="72A6D82C" w14:textId="77777777" w:rsidR="00600C09" w:rsidRPr="00600C09" w:rsidRDefault="00600C09" w:rsidP="00600C09">
      <w:pPr>
        <w:numPr>
          <w:ilvl w:val="0"/>
          <w:numId w:val="97"/>
        </w:numPr>
      </w:pPr>
      <w:r w:rsidRPr="00600C09">
        <w:rPr>
          <w:b/>
          <w:bCs/>
        </w:rPr>
        <w:t>Social solidarity</w:t>
      </w:r>
    </w:p>
    <w:p w14:paraId="05BFF5F7" w14:textId="77777777" w:rsidR="00600C09" w:rsidRPr="00600C09" w:rsidRDefault="00600C09" w:rsidP="00600C09">
      <w:pPr>
        <w:numPr>
          <w:ilvl w:val="1"/>
          <w:numId w:val="97"/>
        </w:numPr>
      </w:pPr>
      <w:r w:rsidRPr="00600C09">
        <w:t xml:space="preserve">Especially in kafālah and </w:t>
      </w:r>
      <w:r w:rsidRPr="00600C09">
        <w:rPr>
          <w:rFonts w:ascii="Calibri" w:hAnsi="Calibri" w:cs="Calibri"/>
        </w:rPr>
        <w:t>ḍ</w:t>
      </w:r>
      <w:r w:rsidRPr="00600C09">
        <w:t>amān, guarantors often act out of benevolence, reinforcing communal responsibility.</w:t>
      </w:r>
    </w:p>
    <w:p w14:paraId="304BC073" w14:textId="77777777" w:rsidR="00600C09" w:rsidRPr="00600C09" w:rsidRDefault="00600C09" w:rsidP="00600C09">
      <w:pPr>
        <w:rPr>
          <w:b/>
          <w:bCs/>
        </w:rPr>
      </w:pPr>
      <w:r w:rsidRPr="00600C09">
        <w:rPr>
          <w:b/>
          <w:bCs/>
        </w:rPr>
        <w:t>3.6.2 Weaknesses</w:t>
      </w:r>
    </w:p>
    <w:p w14:paraId="6522CCB3" w14:textId="77777777" w:rsidR="00600C09" w:rsidRPr="00600C09" w:rsidRDefault="00600C09" w:rsidP="00600C09">
      <w:pPr>
        <w:numPr>
          <w:ilvl w:val="0"/>
          <w:numId w:val="98"/>
        </w:numPr>
      </w:pPr>
      <w:r w:rsidRPr="00600C09">
        <w:rPr>
          <w:b/>
          <w:bCs/>
        </w:rPr>
        <w:t>Non-commercialization</w:t>
      </w:r>
    </w:p>
    <w:p w14:paraId="0313CF77" w14:textId="77777777" w:rsidR="00600C09" w:rsidRPr="00600C09" w:rsidRDefault="00600C09" w:rsidP="00600C09">
      <w:pPr>
        <w:numPr>
          <w:ilvl w:val="1"/>
          <w:numId w:val="98"/>
        </w:numPr>
      </w:pPr>
      <w:r w:rsidRPr="00600C09">
        <w:t xml:space="preserve">The gratuitous nature of kafālah and </w:t>
      </w:r>
      <w:r w:rsidRPr="00600C09">
        <w:rPr>
          <w:rFonts w:ascii="Calibri" w:hAnsi="Calibri" w:cs="Calibri"/>
        </w:rPr>
        <w:t>ḍ</w:t>
      </w:r>
      <w:r w:rsidRPr="00600C09">
        <w:t>amān prevents them from being revenue-generating products for banks.</w:t>
      </w:r>
    </w:p>
    <w:p w14:paraId="2A0AB2F1" w14:textId="77777777" w:rsidR="00600C09" w:rsidRPr="00600C09" w:rsidRDefault="00600C09" w:rsidP="00600C09">
      <w:pPr>
        <w:numPr>
          <w:ilvl w:val="1"/>
          <w:numId w:val="98"/>
        </w:numPr>
      </w:pPr>
      <w:r w:rsidRPr="00600C09">
        <w:t>This contrasts with conventional guarantees, which often involve fees.</w:t>
      </w:r>
    </w:p>
    <w:p w14:paraId="777F8F8E" w14:textId="77777777" w:rsidR="00600C09" w:rsidRPr="00600C09" w:rsidRDefault="00600C09" w:rsidP="00600C09">
      <w:pPr>
        <w:numPr>
          <w:ilvl w:val="0"/>
          <w:numId w:val="98"/>
        </w:numPr>
      </w:pPr>
      <w:r w:rsidRPr="00600C09">
        <w:rPr>
          <w:b/>
          <w:bCs/>
        </w:rPr>
        <w:t>Possession requirement in rahn</w:t>
      </w:r>
    </w:p>
    <w:p w14:paraId="73B340C8" w14:textId="77777777" w:rsidR="00600C09" w:rsidRPr="00600C09" w:rsidRDefault="00600C09" w:rsidP="00600C09">
      <w:pPr>
        <w:numPr>
          <w:ilvl w:val="1"/>
          <w:numId w:val="98"/>
        </w:numPr>
      </w:pPr>
      <w:r w:rsidRPr="00600C09">
        <w:t>The need for possession complicates large-scale financing involving immovable assets.</w:t>
      </w:r>
    </w:p>
    <w:p w14:paraId="3EC91EC9" w14:textId="77777777" w:rsidR="00600C09" w:rsidRPr="00600C09" w:rsidRDefault="00600C09" w:rsidP="00600C09">
      <w:pPr>
        <w:numPr>
          <w:ilvl w:val="1"/>
          <w:numId w:val="98"/>
        </w:numPr>
      </w:pPr>
      <w:r w:rsidRPr="00600C09">
        <w:t>Modern adaptations (constructive possession) sometimes blur the line between Shariah compliance and practicality.</w:t>
      </w:r>
    </w:p>
    <w:p w14:paraId="44AECEAD" w14:textId="77777777" w:rsidR="00600C09" w:rsidRPr="00600C09" w:rsidRDefault="00600C09" w:rsidP="00600C09">
      <w:pPr>
        <w:numPr>
          <w:ilvl w:val="0"/>
          <w:numId w:val="98"/>
        </w:numPr>
      </w:pPr>
      <w:r w:rsidRPr="00600C09">
        <w:rPr>
          <w:b/>
          <w:bCs/>
        </w:rPr>
        <w:t>Enforceability issues</w:t>
      </w:r>
    </w:p>
    <w:p w14:paraId="013B8B88" w14:textId="77777777" w:rsidR="00600C09" w:rsidRPr="00600C09" w:rsidRDefault="00600C09" w:rsidP="00600C09">
      <w:pPr>
        <w:numPr>
          <w:ilvl w:val="1"/>
          <w:numId w:val="98"/>
        </w:numPr>
      </w:pPr>
      <w:r w:rsidRPr="00600C09">
        <w:t>Many jurisdictions lack legal frameworks that directly recognize Islamic contracts.</w:t>
      </w:r>
    </w:p>
    <w:p w14:paraId="64649B39" w14:textId="77777777" w:rsidR="00600C09" w:rsidRPr="00600C09" w:rsidRDefault="00600C09" w:rsidP="00600C09">
      <w:pPr>
        <w:numPr>
          <w:ilvl w:val="1"/>
          <w:numId w:val="98"/>
        </w:numPr>
      </w:pPr>
      <w:r w:rsidRPr="00600C09">
        <w:t>Courts may default to conventional interpretations, creating uncertainty.</w:t>
      </w:r>
    </w:p>
    <w:p w14:paraId="02A3CA1B" w14:textId="77777777" w:rsidR="00600C09" w:rsidRPr="00600C09" w:rsidRDefault="00600C09" w:rsidP="00600C09">
      <w:pPr>
        <w:numPr>
          <w:ilvl w:val="0"/>
          <w:numId w:val="98"/>
        </w:numPr>
      </w:pPr>
      <w:r w:rsidRPr="00600C09">
        <w:rPr>
          <w:b/>
          <w:bCs/>
        </w:rPr>
        <w:t>Limitations in covering future obligations</w:t>
      </w:r>
    </w:p>
    <w:p w14:paraId="608D1811" w14:textId="77777777" w:rsidR="00600C09" w:rsidRPr="00600C09" w:rsidRDefault="00600C09" w:rsidP="00600C09">
      <w:pPr>
        <w:numPr>
          <w:ilvl w:val="1"/>
          <w:numId w:val="98"/>
        </w:numPr>
      </w:pPr>
      <w:r w:rsidRPr="00600C09">
        <w:t xml:space="preserve">Classical jurists debated whether rahn and </w:t>
      </w:r>
      <w:r w:rsidRPr="00600C09">
        <w:rPr>
          <w:rFonts w:ascii="Calibri" w:hAnsi="Calibri" w:cs="Calibri"/>
        </w:rPr>
        <w:t>ḍ</w:t>
      </w:r>
      <w:r w:rsidRPr="00600C09">
        <w:t>amān could cover future debts.</w:t>
      </w:r>
    </w:p>
    <w:p w14:paraId="1FE12F1A" w14:textId="77777777" w:rsidR="00600C09" w:rsidRPr="00600C09" w:rsidRDefault="00600C09" w:rsidP="00600C09">
      <w:pPr>
        <w:numPr>
          <w:ilvl w:val="1"/>
          <w:numId w:val="98"/>
        </w:numPr>
      </w:pPr>
      <w:r w:rsidRPr="00600C09">
        <w:t>Modern project finance often requires security for obligations that may arise later (e.g., cost overruns).</w:t>
      </w:r>
    </w:p>
    <w:p w14:paraId="1CD8CAA5" w14:textId="77777777" w:rsidR="00600C09" w:rsidRPr="00600C09" w:rsidRDefault="00600C09" w:rsidP="00600C09">
      <w:pPr>
        <w:rPr>
          <w:b/>
          <w:bCs/>
        </w:rPr>
      </w:pPr>
      <w:r w:rsidRPr="00600C09">
        <w:rPr>
          <w:b/>
          <w:bCs/>
        </w:rPr>
        <w:t>3.6.3 Comparison with Conventional Instruments</w:t>
      </w:r>
    </w:p>
    <w:p w14:paraId="43E2D962" w14:textId="77777777" w:rsidR="00600C09" w:rsidRPr="00600C09" w:rsidRDefault="00600C09" w:rsidP="00600C09">
      <w:pPr>
        <w:numPr>
          <w:ilvl w:val="0"/>
          <w:numId w:val="99"/>
        </w:numPr>
      </w:pPr>
      <w:r w:rsidRPr="00600C09">
        <w:rPr>
          <w:b/>
          <w:bCs/>
        </w:rPr>
        <w:t>Rahn vs. Mortgage/Pledge</w:t>
      </w:r>
    </w:p>
    <w:p w14:paraId="70BA5C57" w14:textId="77777777" w:rsidR="00600C09" w:rsidRPr="00600C09" w:rsidRDefault="00600C09" w:rsidP="00600C09">
      <w:pPr>
        <w:numPr>
          <w:ilvl w:val="1"/>
          <w:numId w:val="99"/>
        </w:numPr>
      </w:pPr>
      <w:r w:rsidRPr="00600C09">
        <w:lastRenderedPageBreak/>
        <w:t>Similar in function, but rahn is stricter in prohibiting creditor benefit and requires possession.</w:t>
      </w:r>
    </w:p>
    <w:p w14:paraId="38756A58" w14:textId="77777777" w:rsidR="00600C09" w:rsidRPr="00600C09" w:rsidRDefault="00600C09" w:rsidP="00600C09">
      <w:pPr>
        <w:numPr>
          <w:ilvl w:val="1"/>
          <w:numId w:val="99"/>
        </w:numPr>
      </w:pPr>
      <w:r w:rsidRPr="00600C09">
        <w:t>Provides ethical safeguards but may be less flexible.</w:t>
      </w:r>
    </w:p>
    <w:p w14:paraId="0B7D8BD0" w14:textId="77777777" w:rsidR="00600C09" w:rsidRPr="00600C09" w:rsidRDefault="00600C09" w:rsidP="00600C09">
      <w:pPr>
        <w:numPr>
          <w:ilvl w:val="0"/>
          <w:numId w:val="99"/>
        </w:numPr>
      </w:pPr>
      <w:r w:rsidRPr="00600C09">
        <w:rPr>
          <w:b/>
          <w:bCs/>
        </w:rPr>
        <w:t>Kafālah/</w:t>
      </w:r>
      <w:r w:rsidRPr="00600C09">
        <w:rPr>
          <w:rFonts w:ascii="Calibri" w:hAnsi="Calibri" w:cs="Calibri"/>
          <w:b/>
          <w:bCs/>
        </w:rPr>
        <w:t>Ḍ</w:t>
      </w:r>
      <w:r w:rsidRPr="00600C09">
        <w:rPr>
          <w:b/>
          <w:bCs/>
        </w:rPr>
        <w:t>amān vs. Guarantee/Surety</w:t>
      </w:r>
    </w:p>
    <w:p w14:paraId="6A6955DE" w14:textId="77777777" w:rsidR="00600C09" w:rsidRPr="00600C09" w:rsidRDefault="00600C09" w:rsidP="00600C09">
      <w:pPr>
        <w:numPr>
          <w:ilvl w:val="1"/>
          <w:numId w:val="99"/>
        </w:numPr>
      </w:pPr>
      <w:r w:rsidRPr="00600C09">
        <w:t>Functionally similar, but conventional counterparts are commercialized with fees.</w:t>
      </w:r>
    </w:p>
    <w:p w14:paraId="66102566" w14:textId="77777777" w:rsidR="00600C09" w:rsidRPr="00600C09" w:rsidRDefault="00600C09" w:rsidP="00600C09">
      <w:pPr>
        <w:numPr>
          <w:ilvl w:val="1"/>
          <w:numId w:val="99"/>
        </w:numPr>
      </w:pPr>
      <w:r w:rsidRPr="00600C09">
        <w:t>Islamic versions emphasize benevolence, limiting commercial appeal.</w:t>
      </w:r>
    </w:p>
    <w:p w14:paraId="1477AEA5" w14:textId="77777777" w:rsidR="00600C09" w:rsidRPr="00600C09" w:rsidRDefault="00600C09" w:rsidP="00600C09">
      <w:pPr>
        <w:numPr>
          <w:ilvl w:val="0"/>
          <w:numId w:val="99"/>
        </w:numPr>
      </w:pPr>
      <w:r w:rsidRPr="00600C09">
        <w:rPr>
          <w:rFonts w:ascii="Calibri" w:hAnsi="Calibri" w:cs="Calibri"/>
          <w:b/>
          <w:bCs/>
        </w:rPr>
        <w:t>Ḥ</w:t>
      </w:r>
      <w:r w:rsidRPr="00600C09">
        <w:rPr>
          <w:b/>
          <w:bCs/>
        </w:rPr>
        <w:t>awālah vs. Debt Assignment/Novation</w:t>
      </w:r>
    </w:p>
    <w:p w14:paraId="4E73BBB1" w14:textId="77777777" w:rsidR="00600C09" w:rsidRPr="00600C09" w:rsidRDefault="00600C09" w:rsidP="00600C09">
      <w:pPr>
        <w:numPr>
          <w:ilvl w:val="1"/>
          <w:numId w:val="99"/>
        </w:numPr>
      </w:pPr>
      <w:r w:rsidRPr="00600C09">
        <w:t>Provides debt transfer but disallows speculative trading.</w:t>
      </w:r>
    </w:p>
    <w:p w14:paraId="48F467A4" w14:textId="77777777" w:rsidR="00600C09" w:rsidRPr="00600C09" w:rsidRDefault="00600C09" w:rsidP="00600C09">
      <w:pPr>
        <w:numPr>
          <w:ilvl w:val="1"/>
          <w:numId w:val="99"/>
        </w:numPr>
      </w:pPr>
      <w:r w:rsidRPr="00600C09">
        <w:t>Ensures fairness but limits liquidity compared to conventional debt markets.</w:t>
      </w:r>
    </w:p>
    <w:p w14:paraId="6338DF75" w14:textId="77777777" w:rsidR="00600C09" w:rsidRPr="00600C09" w:rsidRDefault="00600C09" w:rsidP="00600C09">
      <w:pPr>
        <w:rPr>
          <w:b/>
          <w:bCs/>
        </w:rPr>
      </w:pPr>
      <w:r w:rsidRPr="00600C09">
        <w:rPr>
          <w:b/>
          <w:bCs/>
        </w:rPr>
        <w:t>3.6.4 Global Relevance</w:t>
      </w:r>
    </w:p>
    <w:p w14:paraId="5F69550E" w14:textId="6337B396" w:rsidR="00600C09" w:rsidRDefault="00600C09" w:rsidP="00600C09">
      <w:r w:rsidRPr="00600C09">
        <w:t>Despite these challenges, Islamic security instruments offer unique value in the global financial system. Their emphasis on fairness, transparency, and ethics resonates with broader calls for responsible finance, especially after the global financial crisis of 2008. With appropriate legal recognition and innovative adaptation, these instruments can complement conventional mechanisms while offering an ethical alternative.</w:t>
      </w:r>
    </w:p>
    <w:p w14:paraId="4DA1DFFE" w14:textId="77777777" w:rsidR="00312732" w:rsidRPr="00600C09" w:rsidRDefault="00312732" w:rsidP="00600C09"/>
    <w:p w14:paraId="66F0D5A5" w14:textId="77777777" w:rsidR="00600C09" w:rsidRPr="00600C09" w:rsidRDefault="00600C09" w:rsidP="00600C09">
      <w:pPr>
        <w:rPr>
          <w:b/>
          <w:bCs/>
        </w:rPr>
      </w:pPr>
      <w:r w:rsidRPr="00600C09">
        <w:rPr>
          <w:b/>
          <w:bCs/>
        </w:rPr>
        <w:t>3.7 Conclusion</w:t>
      </w:r>
    </w:p>
    <w:p w14:paraId="404119CC" w14:textId="77777777" w:rsidR="00600C09" w:rsidRPr="00600C09" w:rsidRDefault="00600C09" w:rsidP="00600C09">
      <w:r w:rsidRPr="00600C09">
        <w:t xml:space="preserve">Islamic commercial law recognizes the necessity of security instruments, just as conventional finance does, but it frames them within a framework of </w:t>
      </w:r>
      <w:r w:rsidRPr="00600C09">
        <w:rPr>
          <w:b/>
          <w:bCs/>
        </w:rPr>
        <w:t>justice, transparency, and ethical responsibility</w:t>
      </w:r>
      <w:r w:rsidRPr="00600C09">
        <w:t xml:space="preserve">. The four principal instruments — </w:t>
      </w:r>
      <w:r w:rsidRPr="00600C09">
        <w:rPr>
          <w:b/>
          <w:bCs/>
        </w:rPr>
        <w:t xml:space="preserve">rahn, kafālah, </w:t>
      </w:r>
      <w:r w:rsidRPr="00600C09">
        <w:rPr>
          <w:rFonts w:ascii="Calibri" w:hAnsi="Calibri" w:cs="Calibri"/>
          <w:b/>
          <w:bCs/>
        </w:rPr>
        <w:t>ḍ</w:t>
      </w:r>
      <w:r w:rsidRPr="00600C09">
        <w:rPr>
          <w:b/>
          <w:bCs/>
        </w:rPr>
        <w:t xml:space="preserve">amān, and </w:t>
      </w:r>
      <w:r w:rsidRPr="00600C09">
        <w:rPr>
          <w:rFonts w:ascii="Calibri" w:hAnsi="Calibri" w:cs="Calibri"/>
          <w:b/>
          <w:bCs/>
        </w:rPr>
        <w:t>ḥ</w:t>
      </w:r>
      <w:r w:rsidRPr="00600C09">
        <w:rPr>
          <w:b/>
          <w:bCs/>
        </w:rPr>
        <w:t>awālah</w:t>
      </w:r>
      <w:r w:rsidRPr="00600C09">
        <w:t xml:space="preserve"> — reflect a holistic system of creditor protection rooted in divine sources.</w:t>
      </w:r>
    </w:p>
    <w:p w14:paraId="1C876E72" w14:textId="77777777" w:rsidR="00600C09" w:rsidRPr="00600C09" w:rsidRDefault="00600C09" w:rsidP="00600C09">
      <w:r w:rsidRPr="00600C09">
        <w:rPr>
          <w:b/>
          <w:bCs/>
        </w:rPr>
        <w:t>Rahn (pledge)</w:t>
      </w:r>
      <w:r w:rsidRPr="00600C09">
        <w:t xml:space="preserve"> ensures creditors have recourse to assets, but only with safeguards against exploitation. Its Qur’anic foundation (2:283) makes it unique among Islamic financial contracts, underscoring the legitimacy of collateral. However, its classical insistence on possession poses practical challenges in project finance, requiring constructive interpretations in modern contexts.</w:t>
      </w:r>
    </w:p>
    <w:p w14:paraId="12A4BBE5" w14:textId="77777777" w:rsidR="00600C09" w:rsidRPr="00600C09" w:rsidRDefault="00600C09" w:rsidP="00600C09">
      <w:r w:rsidRPr="00600C09">
        <w:rPr>
          <w:b/>
          <w:bCs/>
        </w:rPr>
        <w:t>Kafālah (guarantee)</w:t>
      </w:r>
      <w:r w:rsidRPr="00600C09">
        <w:t xml:space="preserve"> embodies social solidarity by allowing a guarantor to join liability with a debtor. It reinforces creditor confidence but prohibits fees, preserving its gratuitous nature. While this protects against unjust enrichment, it limits its commercial use compared to conventional guarantees.</w:t>
      </w:r>
    </w:p>
    <w:p w14:paraId="54C907AC" w14:textId="77777777" w:rsidR="00600C09" w:rsidRPr="00600C09" w:rsidRDefault="00600C09" w:rsidP="00600C09">
      <w:r w:rsidRPr="00600C09">
        <w:rPr>
          <w:rFonts w:ascii="Calibri" w:hAnsi="Calibri" w:cs="Calibri"/>
          <w:b/>
          <w:bCs/>
        </w:rPr>
        <w:lastRenderedPageBreak/>
        <w:t>Ḍ</w:t>
      </w:r>
      <w:r w:rsidRPr="00600C09">
        <w:rPr>
          <w:b/>
          <w:bCs/>
        </w:rPr>
        <w:t>amān (suretyship)</w:t>
      </w:r>
      <w:r w:rsidRPr="00600C09">
        <w:t xml:space="preserve"> expands on kafālah by allowing broader assumption of responsibility, covering financial and performance obligations. It is highly relevant in corporate guarantees and completion undertakings in project finance, though juristic debates persist about future obligations and scope.</w:t>
      </w:r>
    </w:p>
    <w:p w14:paraId="3F383643" w14:textId="77777777" w:rsidR="00600C09" w:rsidRPr="00600C09" w:rsidRDefault="00600C09" w:rsidP="00600C09">
      <w:r w:rsidRPr="00600C09">
        <w:rPr>
          <w:rFonts w:ascii="Calibri" w:hAnsi="Calibri" w:cs="Calibri"/>
          <w:b/>
          <w:bCs/>
        </w:rPr>
        <w:t>Ḥ</w:t>
      </w:r>
      <w:r w:rsidRPr="00600C09">
        <w:rPr>
          <w:b/>
          <w:bCs/>
        </w:rPr>
        <w:t>awālah (debt transfer)</w:t>
      </w:r>
      <w:r w:rsidRPr="00600C09">
        <w:t xml:space="preserve"> provides a mechanism for efficiency in credit markets by transferring liabilities. It is a valuable tool in trade finance, interbank dealings, and debt restructuring. Its ethical safeguard lies in disallowing debt trading and speculative transfers, preventing instability that often arises in conventional debt markets.</w:t>
      </w:r>
    </w:p>
    <w:p w14:paraId="6A868DF1" w14:textId="77777777" w:rsidR="00600C09" w:rsidRPr="00600C09" w:rsidRDefault="00600C09" w:rsidP="00600C09">
      <w:r w:rsidRPr="00600C09">
        <w:t>Taken together, these instruments demonstrate that Islamic law has always valued creditor security, but not at the expense of fairness. Unlike some conventional instruments, which can lead to harsh enforcement and over-collateralization, Islamic security contracts emphasize proportionality, benevolence, and the preservation of rights.</w:t>
      </w:r>
    </w:p>
    <w:p w14:paraId="47003C14" w14:textId="77777777" w:rsidR="00600C09" w:rsidRPr="00600C09" w:rsidRDefault="00600C09" w:rsidP="00600C09">
      <w:r w:rsidRPr="00600C09">
        <w:t xml:space="preserve">In modern practice, these instruments face </w:t>
      </w:r>
      <w:r w:rsidRPr="00600C09">
        <w:rPr>
          <w:b/>
          <w:bCs/>
        </w:rPr>
        <w:t>three central challenges</w:t>
      </w:r>
      <w:r w:rsidRPr="00600C09">
        <w:t>:</w:t>
      </w:r>
    </w:p>
    <w:p w14:paraId="6F0DA9D3" w14:textId="77777777" w:rsidR="00600C09" w:rsidRPr="00600C09" w:rsidRDefault="00600C09" w:rsidP="00600C09">
      <w:pPr>
        <w:numPr>
          <w:ilvl w:val="0"/>
          <w:numId w:val="102"/>
        </w:numPr>
      </w:pPr>
      <w:r w:rsidRPr="00600C09">
        <w:rPr>
          <w:b/>
          <w:bCs/>
        </w:rPr>
        <w:t>Legal enforceability</w:t>
      </w:r>
      <w:r w:rsidRPr="00600C09">
        <w:t xml:space="preserve"> in jurisdictions dominated by conventional frameworks.</w:t>
      </w:r>
    </w:p>
    <w:p w14:paraId="7A38E654" w14:textId="77777777" w:rsidR="00600C09" w:rsidRPr="00600C09" w:rsidRDefault="00600C09" w:rsidP="00600C09">
      <w:pPr>
        <w:numPr>
          <w:ilvl w:val="0"/>
          <w:numId w:val="102"/>
        </w:numPr>
      </w:pPr>
      <w:r w:rsidRPr="00600C09">
        <w:rPr>
          <w:b/>
          <w:bCs/>
        </w:rPr>
        <w:t>Commercial limitations</w:t>
      </w:r>
      <w:r w:rsidRPr="00600C09">
        <w:t xml:space="preserve">, particularly the prohibition of fees for kafālah and </w:t>
      </w:r>
      <w:r w:rsidRPr="00600C09">
        <w:rPr>
          <w:rFonts w:ascii="Calibri" w:hAnsi="Calibri" w:cs="Calibri"/>
        </w:rPr>
        <w:t>ḍ</w:t>
      </w:r>
      <w:r w:rsidRPr="00600C09">
        <w:t>amān.</w:t>
      </w:r>
    </w:p>
    <w:p w14:paraId="73E92D42" w14:textId="77777777" w:rsidR="00600C09" w:rsidRPr="00600C09" w:rsidRDefault="00600C09" w:rsidP="00600C09">
      <w:pPr>
        <w:numPr>
          <w:ilvl w:val="0"/>
          <w:numId w:val="102"/>
        </w:numPr>
      </w:pPr>
      <w:r w:rsidRPr="00600C09">
        <w:rPr>
          <w:b/>
          <w:bCs/>
        </w:rPr>
        <w:t>Adaptation to complex financing structures</w:t>
      </w:r>
      <w:r w:rsidRPr="00600C09">
        <w:t>, such as cross-border project syndications.</w:t>
      </w:r>
    </w:p>
    <w:p w14:paraId="537A29D9" w14:textId="77777777" w:rsidR="00600C09" w:rsidRPr="00600C09" w:rsidRDefault="00600C09" w:rsidP="00600C09">
      <w:r w:rsidRPr="00600C09">
        <w:t>Nonetheless, these challenges are not insurmountable. Many jurisdictions, particularly Malaysia, have successfully adapted Islamic instruments into statutory law, ensuring enforceability while maintaining Shariah authenticity. Moreover, the growing emphasis on ethical finance globally presents an opportunity for Islamic instruments to gain wider acceptance.</w:t>
      </w:r>
    </w:p>
    <w:p w14:paraId="10A440D4" w14:textId="77777777" w:rsidR="00600C09" w:rsidRPr="00600C09" w:rsidRDefault="00600C09" w:rsidP="00600C09">
      <w:r w:rsidRPr="00600C09">
        <w:t xml:space="preserve">This chapter thus sets the stage for the next phase of analysis: the </w:t>
      </w:r>
      <w:r w:rsidRPr="00600C09">
        <w:rPr>
          <w:b/>
          <w:bCs/>
        </w:rPr>
        <w:t>comparative evaluation of Islamic and conventional security instruments</w:t>
      </w:r>
      <w:r w:rsidRPr="00600C09">
        <w:t xml:space="preserve">. By assessing their similarities, differences, and degrees of functional equivalence, the book will introduce a structured </w:t>
      </w:r>
      <w:r w:rsidRPr="00600C09">
        <w:rPr>
          <w:b/>
          <w:bCs/>
        </w:rPr>
        <w:t>Compatibility Index</w:t>
      </w:r>
      <w:r w:rsidRPr="00600C09">
        <w:t xml:space="preserve"> (Chapter 4) to measure how well Islamic mechanisms align with conventional benchmarks without compromising Shariah integrity.</w:t>
      </w:r>
    </w:p>
    <w:p w14:paraId="0857B413" w14:textId="77777777" w:rsidR="00600C09" w:rsidRPr="00600C09" w:rsidRDefault="00877B45" w:rsidP="00600C09">
      <w:r>
        <w:rPr>
          <w:noProof/>
        </w:rPr>
      </w:r>
      <w:r w:rsidR="00877B45">
        <w:rPr>
          <w:noProof/>
        </w:rPr>
        <w:pict w14:anchorId="622FC032">
          <v:rect id="_x0000_i1103" style="width:0;height:1.5pt" o:hralign="center" o:hrstd="t" o:hr="t" fillcolor="#a0a0a0" stroked="f"/>
        </w:pict>
      </w:r>
    </w:p>
    <w:p w14:paraId="27A3F314" w14:textId="77777777" w:rsidR="00600C09" w:rsidRPr="00600C09" w:rsidRDefault="00600C09" w:rsidP="00600C09">
      <w:pPr>
        <w:rPr>
          <w:b/>
          <w:bCs/>
        </w:rPr>
      </w:pPr>
      <w:r w:rsidRPr="00600C09">
        <w:rPr>
          <w:rFonts w:ascii="Segoe UI Emoji" w:hAnsi="Segoe UI Emoji" w:cs="Segoe UI Emoji"/>
          <w:b/>
          <w:bCs/>
        </w:rPr>
        <w:t>📚</w:t>
      </w:r>
      <w:r w:rsidRPr="00600C09">
        <w:rPr>
          <w:b/>
          <w:bCs/>
        </w:rPr>
        <w:t xml:space="preserve"> References (APA 7th Edition)</w:t>
      </w:r>
    </w:p>
    <w:p w14:paraId="57B10641" w14:textId="77777777" w:rsidR="00600C09" w:rsidRPr="00600C09" w:rsidRDefault="00600C09" w:rsidP="00600C09">
      <w:r w:rsidRPr="00600C09">
        <w:t xml:space="preserve">AAOIFI. (2021). </w:t>
      </w:r>
      <w:r w:rsidRPr="00600C09">
        <w:rPr>
          <w:i/>
          <w:iCs/>
        </w:rPr>
        <w:t>Shariah standards</w:t>
      </w:r>
      <w:r w:rsidRPr="00600C09">
        <w:t>. Accounting and Auditing Organization for Islamic Financial Institutions.</w:t>
      </w:r>
    </w:p>
    <w:p w14:paraId="3D49CA19" w14:textId="77777777" w:rsidR="00600C09" w:rsidRPr="00600C09" w:rsidRDefault="00600C09" w:rsidP="00600C09">
      <w:r w:rsidRPr="00600C09">
        <w:t xml:space="preserve">Abdul Razak, D. (2011). </w:t>
      </w:r>
      <w:r w:rsidRPr="00600C09">
        <w:rPr>
          <w:i/>
          <w:iCs/>
        </w:rPr>
        <w:t>Concepts and applications of ar-rahn in Islamic pawnbroking</w:t>
      </w:r>
      <w:r w:rsidRPr="00600C09">
        <w:t>. International Shariah Research Academy (ISRA).</w:t>
      </w:r>
    </w:p>
    <w:p w14:paraId="52DAFCCB" w14:textId="77777777" w:rsidR="00600C09" w:rsidRPr="00600C09" w:rsidRDefault="00600C09" w:rsidP="00600C09">
      <w:r w:rsidRPr="00600C09">
        <w:lastRenderedPageBreak/>
        <w:t xml:space="preserve">Al-Zuhayli, W. (2003). </w:t>
      </w:r>
      <w:r w:rsidRPr="00600C09">
        <w:rPr>
          <w:i/>
          <w:iCs/>
        </w:rPr>
        <w:t>Financial transactions in Islamic jurisprudence</w:t>
      </w:r>
      <w:r w:rsidRPr="00600C09">
        <w:t xml:space="preserve"> (M. El-Gamal, Trans.). Dar al-Fikr.</w:t>
      </w:r>
    </w:p>
    <w:p w14:paraId="3620DE2D" w14:textId="77777777" w:rsidR="00600C09" w:rsidRPr="00600C09" w:rsidRDefault="00600C09" w:rsidP="00600C09">
      <w:r w:rsidRPr="00600C09">
        <w:t xml:space="preserve">Bank Negara Malaysia. (2019). </w:t>
      </w:r>
      <w:r w:rsidRPr="00600C09">
        <w:rPr>
          <w:i/>
          <w:iCs/>
        </w:rPr>
        <w:t>Shariah Governance Policy Document</w:t>
      </w:r>
      <w:r w:rsidRPr="00600C09">
        <w:t>. Bank Negara Malaysia.</w:t>
      </w:r>
    </w:p>
    <w:p w14:paraId="25F82370" w14:textId="77777777" w:rsidR="00600C09" w:rsidRPr="00600C09" w:rsidRDefault="00600C09" w:rsidP="00600C09">
      <w:r w:rsidRPr="00600C09">
        <w:t xml:space="preserve">Ibn Qudamah. (n.d.). </w:t>
      </w:r>
      <w:r w:rsidRPr="00600C09">
        <w:rPr>
          <w:i/>
          <w:iCs/>
        </w:rPr>
        <w:t>al-Mughni</w:t>
      </w:r>
      <w:r w:rsidRPr="00600C09">
        <w:t>. Dar al-Kutub al-</w:t>
      </w:r>
      <w:r w:rsidRPr="00600C09">
        <w:rPr>
          <w:rFonts w:ascii="Arial" w:hAnsi="Arial" w:cs="Arial"/>
        </w:rPr>
        <w:t>ʿ</w:t>
      </w:r>
      <w:r w:rsidRPr="00600C09">
        <w:t>Ilmiyyah.</w:t>
      </w:r>
    </w:p>
    <w:p w14:paraId="3B745747" w14:textId="77777777" w:rsidR="00600C09" w:rsidRPr="00600C09" w:rsidRDefault="00600C09" w:rsidP="00600C09">
      <w:r w:rsidRPr="00600C09">
        <w:t xml:space="preserve">Muslim ibn al-Hajjaj. (n.d.). </w:t>
      </w:r>
      <w:r w:rsidRPr="00600C09">
        <w:rPr>
          <w:i/>
          <w:iCs/>
        </w:rPr>
        <w:t>Sahih Muslim</w:t>
      </w:r>
      <w:r w:rsidRPr="00600C09">
        <w:t>.</w:t>
      </w:r>
    </w:p>
    <w:p w14:paraId="79452597" w14:textId="77777777" w:rsidR="00600C09" w:rsidRPr="00600C09" w:rsidRDefault="00600C09" w:rsidP="00600C09">
      <w:r w:rsidRPr="00600C09">
        <w:t xml:space="preserve">Al-Bukhari, M. I. (n.d.). </w:t>
      </w:r>
      <w:r w:rsidRPr="00600C09">
        <w:rPr>
          <w:i/>
          <w:iCs/>
        </w:rPr>
        <w:t>Sahih al-Bukhari</w:t>
      </w:r>
      <w:r w:rsidRPr="00600C09">
        <w:t>.</w:t>
      </w:r>
    </w:p>
    <w:p w14:paraId="3BFB31DA" w14:textId="5D83796F" w:rsidR="00600C09" w:rsidRPr="00600C09" w:rsidRDefault="00600C09" w:rsidP="00600C09">
      <w:r w:rsidRPr="00600C09">
        <w:t xml:space="preserve">AAOIFI. (2017). </w:t>
      </w:r>
      <w:r w:rsidRPr="00600C09">
        <w:rPr>
          <w:i/>
          <w:iCs/>
        </w:rPr>
        <w:t>Accounting, Auditing &amp; Governance Standards</w:t>
      </w:r>
      <w:r w:rsidRPr="00600C09">
        <w:t>. Accounting and Auditing Organization for Islamic Financial Institutions.</w:t>
      </w:r>
    </w:p>
    <w:p w14:paraId="75E0F145" w14:textId="77777777" w:rsidR="00600C09" w:rsidRPr="00600C09" w:rsidRDefault="00877B45" w:rsidP="00600C09">
      <w:r>
        <w:rPr>
          <w:noProof/>
        </w:rPr>
      </w:r>
      <w:r w:rsidR="00877B45">
        <w:rPr>
          <w:noProof/>
        </w:rPr>
        <w:pict w14:anchorId="19ED9A3C">
          <v:rect id="_x0000_i1109" style="width:0;height:1.5pt" o:hralign="center" o:hrstd="t" o:hr="t" fillcolor="#a0a0a0" stroked="f"/>
        </w:pict>
      </w:r>
    </w:p>
    <w:p w14:paraId="5194CF96" w14:textId="77777777" w:rsidR="00600C09" w:rsidRPr="00600C09" w:rsidRDefault="00600C09" w:rsidP="00600C09">
      <w:pPr>
        <w:rPr>
          <w:b/>
          <w:bCs/>
        </w:rPr>
      </w:pPr>
      <w:r w:rsidRPr="00600C09">
        <w:rPr>
          <w:rFonts w:ascii="Segoe UI Emoji" w:hAnsi="Segoe UI Emoji" w:cs="Segoe UI Emoji"/>
          <w:b/>
          <w:bCs/>
        </w:rPr>
        <w:t>📖</w:t>
      </w:r>
      <w:r w:rsidRPr="00600C09">
        <w:rPr>
          <w:b/>
          <w:bCs/>
        </w:rPr>
        <w:t xml:space="preserve"> Chapter 4 — Comparative Analysis and Compatibility Index</w:t>
      </w:r>
    </w:p>
    <w:p w14:paraId="54ECA082" w14:textId="77777777" w:rsidR="00600C09" w:rsidRPr="00600C09" w:rsidRDefault="00877B45" w:rsidP="00600C09">
      <w:r>
        <w:rPr>
          <w:noProof/>
        </w:rPr>
      </w:r>
      <w:r w:rsidR="00877B45">
        <w:rPr>
          <w:noProof/>
        </w:rPr>
        <w:pict w14:anchorId="4B42B388">
          <v:rect id="_x0000_i1110" style="width:0;height:1.5pt" o:hralign="center" o:hrstd="t" o:hr="t" fillcolor="#a0a0a0" stroked="f"/>
        </w:pict>
      </w:r>
    </w:p>
    <w:p w14:paraId="14D66E1A" w14:textId="77777777" w:rsidR="00600C09" w:rsidRPr="00600C09" w:rsidRDefault="00600C09" w:rsidP="00600C09">
      <w:pPr>
        <w:rPr>
          <w:b/>
          <w:bCs/>
        </w:rPr>
      </w:pPr>
      <w:r w:rsidRPr="00600C09">
        <w:rPr>
          <w:b/>
          <w:bCs/>
        </w:rPr>
        <w:t>4.1 Introduction</w:t>
      </w:r>
    </w:p>
    <w:p w14:paraId="014A8AE1" w14:textId="77777777" w:rsidR="00600C09" w:rsidRPr="00600C09" w:rsidRDefault="00600C09" w:rsidP="00600C09">
      <w:r w:rsidRPr="00600C09">
        <w:t>Comparative analysis sits at the heart of this book. Having outlined the nature and function of conventional security instruments in Chapter 2 and their Islamic counterparts in Chapter 3, this chapter brings the two systems into direct conversation. The goal is not merely descriptive, but evaluative: to determine the extent to which Islamic security instruments can fulfill the same purposes as conventional ones, and where they diverge.</w:t>
      </w:r>
    </w:p>
    <w:p w14:paraId="23BE8C64" w14:textId="77777777" w:rsidR="00600C09" w:rsidRPr="00600C09" w:rsidRDefault="00600C09" w:rsidP="00600C09">
      <w:r w:rsidRPr="00600C09">
        <w:t>This analysis is necessary for three main reasons.</w:t>
      </w:r>
    </w:p>
    <w:p w14:paraId="601CAA13" w14:textId="77777777" w:rsidR="00600C09" w:rsidRPr="00600C09" w:rsidRDefault="00600C09" w:rsidP="00600C09">
      <w:r w:rsidRPr="00600C09">
        <w:rPr>
          <w:b/>
          <w:bCs/>
        </w:rPr>
        <w:t>First</w:t>
      </w:r>
      <w:r w:rsidRPr="00600C09">
        <w:t>, Islamic project finance does not operate in a vacuum. It exists within a global financial system dominated by conventional law and practice. For Islamic instruments to be credible and competitive, they must be evaluated against established benchmarks. Comparative analysis allows practitioners, regulators, and scholars to identify areas of convergence and divergence, thereby guiding adaptation and innovation.</w:t>
      </w:r>
    </w:p>
    <w:p w14:paraId="46B586C3" w14:textId="77777777" w:rsidR="00600C09" w:rsidRPr="00600C09" w:rsidRDefault="00600C09" w:rsidP="00600C09">
      <w:r w:rsidRPr="00600C09">
        <w:rPr>
          <w:b/>
          <w:bCs/>
        </w:rPr>
        <w:t>Second</w:t>
      </w:r>
      <w:r w:rsidRPr="00600C09">
        <w:t>, comparative analysis provides a framework for policymakers. Regulators need evidence-based insights to decide whether Islamic instruments should be given statutory recognition, how they should be integrated into existing legal frameworks, and whether hybrid models are permissible. Without such analysis, Islamic finance risks being sidelined as a niche product rather than a viable alternative.</w:t>
      </w:r>
    </w:p>
    <w:p w14:paraId="3CFFBF8E" w14:textId="77777777" w:rsidR="00600C09" w:rsidRPr="00600C09" w:rsidRDefault="00600C09" w:rsidP="00600C09">
      <w:r w:rsidRPr="00600C09">
        <w:rPr>
          <w:b/>
          <w:bCs/>
        </w:rPr>
        <w:t>Third</w:t>
      </w:r>
      <w:r w:rsidRPr="00600C09">
        <w:t>, comparative evaluation serves the broader aim of Islamic finance: to uphold the maqāṣid al-Shariah (objectives of Shariah). By examining similarities and differences, scholars and practitioners can ensure that Islamic instruments protect wealth (</w:t>
      </w:r>
      <w:r w:rsidRPr="00600C09">
        <w:rPr>
          <w:rFonts w:ascii="Calibri" w:hAnsi="Calibri" w:cs="Calibri"/>
          <w:i/>
          <w:iCs/>
        </w:rPr>
        <w:t>ḥ</w:t>
      </w:r>
      <w:r w:rsidRPr="00600C09">
        <w:rPr>
          <w:i/>
          <w:iCs/>
        </w:rPr>
        <w:t>if</w:t>
      </w:r>
      <w:r w:rsidRPr="00600C09">
        <w:rPr>
          <w:rFonts w:ascii="Calibri" w:hAnsi="Calibri" w:cs="Calibri"/>
          <w:i/>
          <w:iCs/>
        </w:rPr>
        <w:t>ẓ</w:t>
      </w:r>
      <w:r w:rsidRPr="00600C09">
        <w:rPr>
          <w:i/>
          <w:iCs/>
        </w:rPr>
        <w:t xml:space="preserve"> al-</w:t>
      </w:r>
      <w:r w:rsidRPr="00600C09">
        <w:rPr>
          <w:i/>
          <w:iCs/>
        </w:rPr>
        <w:lastRenderedPageBreak/>
        <w:t>māl</w:t>
      </w:r>
      <w:r w:rsidRPr="00600C09">
        <w:t>), prevent exploitation, and promote justice — all while meeting the practical demands of project financing.</w:t>
      </w:r>
    </w:p>
    <w:p w14:paraId="3A6486D3" w14:textId="77777777" w:rsidR="00600C09" w:rsidRPr="00600C09" w:rsidRDefault="00600C09" w:rsidP="00600C09">
      <w:r w:rsidRPr="00600C09">
        <w:t xml:space="preserve">This chapter introduces the </w:t>
      </w:r>
      <w:r w:rsidRPr="00600C09">
        <w:rPr>
          <w:b/>
          <w:bCs/>
        </w:rPr>
        <w:t>Compatibility Index</w:t>
      </w:r>
      <w:r w:rsidRPr="00600C09">
        <w:t>, a structured tool for assessing Islamic and conventional instruments across three dimensions: legal enforceability, Shariah compliance, and functional equivalence. Through this lens, each pair of instruments (mortgage vs. rahn, pledge vs. rahn, guarantee vs. kafālah/</w:t>
      </w:r>
      <w:r w:rsidRPr="00600C09">
        <w:rPr>
          <w:rFonts w:ascii="Calibri" w:hAnsi="Calibri" w:cs="Calibri"/>
        </w:rPr>
        <w:t>ḍ</w:t>
      </w:r>
      <w:r w:rsidRPr="00600C09">
        <w:t xml:space="preserve">amān, debt transfer vs. </w:t>
      </w:r>
      <w:r w:rsidRPr="00600C09">
        <w:rPr>
          <w:rFonts w:ascii="Calibri" w:hAnsi="Calibri" w:cs="Calibri"/>
        </w:rPr>
        <w:t>ḥ</w:t>
      </w:r>
      <w:r w:rsidRPr="00600C09">
        <w:t>awālah) will be evaluated and scored. The results will provide not only comparative insights but also practical guidance for industry and regulators.</w:t>
      </w:r>
    </w:p>
    <w:p w14:paraId="3D951722" w14:textId="3E220AC5" w:rsidR="00600C09" w:rsidRDefault="00600C09" w:rsidP="00600C09">
      <w:pPr>
        <w:rPr>
          <w:noProof/>
        </w:rPr>
      </w:pPr>
    </w:p>
    <w:p w14:paraId="0EE2646D" w14:textId="77777777" w:rsidR="006A20B6" w:rsidRPr="00600C09" w:rsidRDefault="006A20B6" w:rsidP="00600C09"/>
    <w:p w14:paraId="1BA53BF6" w14:textId="77777777" w:rsidR="00600C09" w:rsidRPr="00600C09" w:rsidRDefault="00600C09" w:rsidP="00600C09">
      <w:pPr>
        <w:rPr>
          <w:b/>
          <w:bCs/>
        </w:rPr>
      </w:pPr>
      <w:r w:rsidRPr="00600C09">
        <w:rPr>
          <w:b/>
          <w:bCs/>
        </w:rPr>
        <w:t>4.2 Methodology for Comparison</w:t>
      </w:r>
    </w:p>
    <w:p w14:paraId="2CFA0038" w14:textId="77777777" w:rsidR="00600C09" w:rsidRPr="00600C09" w:rsidRDefault="00600C09" w:rsidP="00600C09">
      <w:pPr>
        <w:rPr>
          <w:b/>
          <w:bCs/>
        </w:rPr>
      </w:pPr>
      <w:r w:rsidRPr="00600C09">
        <w:rPr>
          <w:b/>
          <w:bCs/>
        </w:rPr>
        <w:t>4.2.1 Principles of Comparative Analysis</w:t>
      </w:r>
    </w:p>
    <w:p w14:paraId="0DE7327F" w14:textId="77777777" w:rsidR="00600C09" w:rsidRPr="00600C09" w:rsidRDefault="00600C09" w:rsidP="00600C09">
      <w:r w:rsidRPr="00600C09">
        <w:t>Comparative law has long been used to analyze the relationship between different legal systems. In Islamic finance, the comparative method is especially valuable, given that Islamic instruments must often coexist with conventional frameworks in cross-border financings and hybrid structures (El-Gamal, 2006).</w:t>
      </w:r>
    </w:p>
    <w:p w14:paraId="7988F6EB" w14:textId="77777777" w:rsidR="00600C09" w:rsidRPr="00600C09" w:rsidRDefault="00600C09" w:rsidP="00600C09">
      <w:r w:rsidRPr="00600C09">
        <w:t>In this chapter, the comparison proceeds along three principles:</w:t>
      </w:r>
    </w:p>
    <w:p w14:paraId="16758BD6" w14:textId="77777777" w:rsidR="00600C09" w:rsidRPr="00600C09" w:rsidRDefault="00600C09" w:rsidP="00600C09">
      <w:pPr>
        <w:numPr>
          <w:ilvl w:val="0"/>
          <w:numId w:val="114"/>
        </w:numPr>
      </w:pPr>
      <w:r w:rsidRPr="00600C09">
        <w:rPr>
          <w:b/>
          <w:bCs/>
        </w:rPr>
        <w:t>Legal enforceability</w:t>
      </w:r>
    </w:p>
    <w:p w14:paraId="36824AF6" w14:textId="77777777" w:rsidR="00600C09" w:rsidRPr="00600C09" w:rsidRDefault="00600C09" w:rsidP="00600C09">
      <w:pPr>
        <w:numPr>
          <w:ilvl w:val="1"/>
          <w:numId w:val="114"/>
        </w:numPr>
      </w:pPr>
      <w:r w:rsidRPr="00600C09">
        <w:t>To what extent does the instrument provide clear, predictable, and recognized rights under civil or common law?</w:t>
      </w:r>
    </w:p>
    <w:p w14:paraId="3F829E60" w14:textId="77777777" w:rsidR="00600C09" w:rsidRPr="00600C09" w:rsidRDefault="00600C09" w:rsidP="00600C09">
      <w:pPr>
        <w:numPr>
          <w:ilvl w:val="1"/>
          <w:numId w:val="114"/>
        </w:numPr>
      </w:pPr>
      <w:r w:rsidRPr="00600C09">
        <w:t>Is it supported by statutory frameworks, case law, and registries?</w:t>
      </w:r>
    </w:p>
    <w:p w14:paraId="1102AF01" w14:textId="77777777" w:rsidR="00600C09" w:rsidRPr="00600C09" w:rsidRDefault="00600C09" w:rsidP="00600C09">
      <w:pPr>
        <w:numPr>
          <w:ilvl w:val="0"/>
          <w:numId w:val="114"/>
        </w:numPr>
      </w:pPr>
      <w:r w:rsidRPr="00600C09">
        <w:rPr>
          <w:b/>
          <w:bCs/>
        </w:rPr>
        <w:t>Shariah compliance</w:t>
      </w:r>
    </w:p>
    <w:p w14:paraId="2F0082F2" w14:textId="77777777" w:rsidR="00600C09" w:rsidRPr="00600C09" w:rsidRDefault="00600C09" w:rsidP="00600C09">
      <w:pPr>
        <w:numPr>
          <w:ilvl w:val="1"/>
          <w:numId w:val="114"/>
        </w:numPr>
      </w:pPr>
      <w:r w:rsidRPr="00600C09">
        <w:t>Does the instrument avoid ribā (interest), gharar (excessive uncertainty), and maysir (gambling)?</w:t>
      </w:r>
    </w:p>
    <w:p w14:paraId="41AC3FA0" w14:textId="77777777" w:rsidR="00600C09" w:rsidRPr="00600C09" w:rsidRDefault="00600C09" w:rsidP="00600C09">
      <w:pPr>
        <w:numPr>
          <w:ilvl w:val="1"/>
          <w:numId w:val="114"/>
        </w:numPr>
      </w:pPr>
      <w:r w:rsidRPr="00600C09">
        <w:t>Does it respect the principles of ownership, risk, and fairness?</w:t>
      </w:r>
    </w:p>
    <w:p w14:paraId="0811C26F" w14:textId="77777777" w:rsidR="00600C09" w:rsidRPr="00600C09" w:rsidRDefault="00600C09" w:rsidP="00600C09">
      <w:pPr>
        <w:numPr>
          <w:ilvl w:val="1"/>
          <w:numId w:val="114"/>
        </w:numPr>
      </w:pPr>
      <w:r w:rsidRPr="00600C09">
        <w:t>Has it been endorsed by authoritative bodies such as AAOIFI, IFSB, or national Shariah Advisory Councils?</w:t>
      </w:r>
    </w:p>
    <w:p w14:paraId="2C5CBF9E" w14:textId="77777777" w:rsidR="00600C09" w:rsidRPr="00600C09" w:rsidRDefault="00600C09" w:rsidP="00600C09">
      <w:pPr>
        <w:numPr>
          <w:ilvl w:val="0"/>
          <w:numId w:val="114"/>
        </w:numPr>
      </w:pPr>
      <w:r w:rsidRPr="00600C09">
        <w:rPr>
          <w:b/>
          <w:bCs/>
        </w:rPr>
        <w:t>Functional equivalence</w:t>
      </w:r>
    </w:p>
    <w:p w14:paraId="7D2FD913" w14:textId="77777777" w:rsidR="00600C09" w:rsidRPr="00600C09" w:rsidRDefault="00600C09" w:rsidP="00600C09">
      <w:pPr>
        <w:numPr>
          <w:ilvl w:val="1"/>
          <w:numId w:val="114"/>
        </w:numPr>
      </w:pPr>
      <w:r w:rsidRPr="00600C09">
        <w:t>Does the instrument achieve the same risk-mitigation purpose as its conventional counterpart?</w:t>
      </w:r>
    </w:p>
    <w:p w14:paraId="2FA7B573" w14:textId="77777777" w:rsidR="00600C09" w:rsidRPr="00600C09" w:rsidRDefault="00600C09" w:rsidP="00600C09">
      <w:pPr>
        <w:numPr>
          <w:ilvl w:val="1"/>
          <w:numId w:val="114"/>
        </w:numPr>
      </w:pPr>
      <w:r w:rsidRPr="00600C09">
        <w:t>Does it protect creditors in case of default while ensuring fairness to debtors?</w:t>
      </w:r>
    </w:p>
    <w:p w14:paraId="4FE8C6E1" w14:textId="77777777" w:rsidR="00600C09" w:rsidRPr="00600C09" w:rsidRDefault="00600C09" w:rsidP="00600C09">
      <w:pPr>
        <w:numPr>
          <w:ilvl w:val="1"/>
          <w:numId w:val="114"/>
        </w:numPr>
      </w:pPr>
      <w:r w:rsidRPr="00600C09">
        <w:lastRenderedPageBreak/>
        <w:t>Can it integrate effectively into project finance structures?</w:t>
      </w:r>
    </w:p>
    <w:p w14:paraId="3022983B" w14:textId="77777777" w:rsidR="00600C09" w:rsidRPr="00600C09" w:rsidRDefault="00600C09" w:rsidP="00600C09">
      <w:r w:rsidRPr="00600C09">
        <w:t>These three principles form the backbone of the Compatibility Index.</w:t>
      </w:r>
    </w:p>
    <w:p w14:paraId="3A36D7E4" w14:textId="5D0CCA1D" w:rsidR="00600C09" w:rsidRPr="00600C09" w:rsidRDefault="00600C09" w:rsidP="00600C09"/>
    <w:p w14:paraId="6505121A" w14:textId="77777777" w:rsidR="00600C09" w:rsidRPr="00600C09" w:rsidRDefault="00600C09" w:rsidP="00600C09">
      <w:pPr>
        <w:rPr>
          <w:b/>
          <w:bCs/>
        </w:rPr>
      </w:pPr>
      <w:r w:rsidRPr="00600C09">
        <w:rPr>
          <w:b/>
          <w:bCs/>
        </w:rPr>
        <w:t>4.2.2 The Compatibility Index</w:t>
      </w:r>
    </w:p>
    <w:p w14:paraId="0E946C34" w14:textId="77777777" w:rsidR="00600C09" w:rsidRPr="00600C09" w:rsidRDefault="00600C09" w:rsidP="00600C09">
      <w:r w:rsidRPr="00600C09">
        <w:t xml:space="preserve">The </w:t>
      </w:r>
      <w:r w:rsidRPr="00600C09">
        <w:rPr>
          <w:b/>
          <w:bCs/>
        </w:rPr>
        <w:t>Compatibility Index</w:t>
      </w:r>
      <w:r w:rsidRPr="00600C09">
        <w:t xml:space="preserve"> is designed to provide a systematic evaluation of Islamic instruments relative to conventional ones. It is not intended as an absolute measure of Shariah authenticity, nor as a substitute for juristic rulings. Instead, it is a practical tool that balances legal, ethical, and functional considerations.</w:t>
      </w:r>
    </w:p>
    <w:p w14:paraId="6F07CAEC" w14:textId="77777777" w:rsidR="00600C09" w:rsidRPr="00600C09" w:rsidRDefault="00600C09" w:rsidP="00600C09">
      <w:r w:rsidRPr="00600C09">
        <w:t xml:space="preserve">Each instrument is scored on a </w:t>
      </w:r>
      <w:r w:rsidRPr="00600C09">
        <w:rPr>
          <w:b/>
          <w:bCs/>
        </w:rPr>
        <w:t>1–5 scale</w:t>
      </w:r>
      <w:r w:rsidRPr="00600C09">
        <w:t xml:space="preserve"> for each of the three dimensions:</w:t>
      </w:r>
    </w:p>
    <w:p w14:paraId="1900BD3E" w14:textId="77777777" w:rsidR="00600C09" w:rsidRPr="00600C09" w:rsidRDefault="00600C09" w:rsidP="00600C09">
      <w:r w:rsidRPr="00600C09">
        <w:rPr>
          <w:b/>
          <w:bCs/>
        </w:rPr>
        <w:t>1. Legal Enforceability</w:t>
      </w:r>
    </w:p>
    <w:p w14:paraId="4C68B097" w14:textId="77777777" w:rsidR="00600C09" w:rsidRPr="00600C09" w:rsidRDefault="00600C09" w:rsidP="00600C09">
      <w:pPr>
        <w:numPr>
          <w:ilvl w:val="0"/>
          <w:numId w:val="115"/>
        </w:numPr>
      </w:pPr>
      <w:r w:rsidRPr="00600C09">
        <w:rPr>
          <w:b/>
          <w:bCs/>
        </w:rPr>
        <w:t>5 (High)</w:t>
      </w:r>
      <w:r w:rsidRPr="00600C09">
        <w:t>: Widely recognized in statutory law and enforceable across jurisdictions.</w:t>
      </w:r>
    </w:p>
    <w:p w14:paraId="674B6C1E" w14:textId="77777777" w:rsidR="00600C09" w:rsidRPr="00600C09" w:rsidRDefault="00600C09" w:rsidP="00600C09">
      <w:pPr>
        <w:numPr>
          <w:ilvl w:val="0"/>
          <w:numId w:val="115"/>
        </w:numPr>
      </w:pPr>
      <w:r w:rsidRPr="00600C09">
        <w:rPr>
          <w:b/>
          <w:bCs/>
        </w:rPr>
        <w:t>4</w:t>
      </w:r>
      <w:r w:rsidRPr="00600C09">
        <w:t>: Recognized in most jurisdictions, enforceability is strong but may require specific registration or formalities.</w:t>
      </w:r>
    </w:p>
    <w:p w14:paraId="537F9DE1" w14:textId="77777777" w:rsidR="00600C09" w:rsidRPr="00600C09" w:rsidRDefault="00600C09" w:rsidP="00600C09">
      <w:pPr>
        <w:numPr>
          <w:ilvl w:val="0"/>
          <w:numId w:val="115"/>
        </w:numPr>
      </w:pPr>
      <w:r w:rsidRPr="00600C09">
        <w:rPr>
          <w:b/>
          <w:bCs/>
        </w:rPr>
        <w:t>3</w:t>
      </w:r>
      <w:r w:rsidRPr="00600C09">
        <w:t>: Recognized but limited; enforceability may depend on judicial interpretation.</w:t>
      </w:r>
    </w:p>
    <w:p w14:paraId="61D8988D" w14:textId="77777777" w:rsidR="00600C09" w:rsidRPr="00600C09" w:rsidRDefault="00600C09" w:rsidP="00600C09">
      <w:pPr>
        <w:numPr>
          <w:ilvl w:val="0"/>
          <w:numId w:val="115"/>
        </w:numPr>
      </w:pPr>
      <w:r w:rsidRPr="00600C09">
        <w:rPr>
          <w:b/>
          <w:bCs/>
        </w:rPr>
        <w:t>2</w:t>
      </w:r>
      <w:r w:rsidRPr="00600C09">
        <w:t>: Weak recognition; enforceability uncertain or inconsistent.</w:t>
      </w:r>
    </w:p>
    <w:p w14:paraId="4D6154EE" w14:textId="77777777" w:rsidR="00600C09" w:rsidRPr="00600C09" w:rsidRDefault="00600C09" w:rsidP="00600C09">
      <w:pPr>
        <w:numPr>
          <w:ilvl w:val="0"/>
          <w:numId w:val="115"/>
        </w:numPr>
      </w:pPr>
      <w:r w:rsidRPr="00600C09">
        <w:rPr>
          <w:b/>
          <w:bCs/>
        </w:rPr>
        <w:t>1 (Low)</w:t>
      </w:r>
      <w:r w:rsidRPr="00600C09">
        <w:t>: Lacks recognition; largely unenforceable.</w:t>
      </w:r>
    </w:p>
    <w:p w14:paraId="2A040408" w14:textId="77777777" w:rsidR="00600C09" w:rsidRPr="00600C09" w:rsidRDefault="00600C09" w:rsidP="00600C09">
      <w:r w:rsidRPr="00600C09">
        <w:rPr>
          <w:b/>
          <w:bCs/>
        </w:rPr>
        <w:t>2. Shariah Compliance</w:t>
      </w:r>
    </w:p>
    <w:p w14:paraId="771B6B03" w14:textId="77777777" w:rsidR="00600C09" w:rsidRPr="00600C09" w:rsidRDefault="00600C09" w:rsidP="00600C09">
      <w:pPr>
        <w:numPr>
          <w:ilvl w:val="0"/>
          <w:numId w:val="116"/>
        </w:numPr>
      </w:pPr>
      <w:r w:rsidRPr="00600C09">
        <w:rPr>
          <w:b/>
          <w:bCs/>
        </w:rPr>
        <w:t>5 (High)</w:t>
      </w:r>
      <w:r w:rsidRPr="00600C09">
        <w:t>: Explicitly endorsed by Qur’an, Sunnah, and juristic consensus; free from ribā, gharar, and maysir.</w:t>
      </w:r>
    </w:p>
    <w:p w14:paraId="71E5568F" w14:textId="77777777" w:rsidR="00600C09" w:rsidRPr="00600C09" w:rsidRDefault="00600C09" w:rsidP="00600C09">
      <w:pPr>
        <w:numPr>
          <w:ilvl w:val="0"/>
          <w:numId w:val="116"/>
        </w:numPr>
      </w:pPr>
      <w:r w:rsidRPr="00600C09">
        <w:rPr>
          <w:b/>
          <w:bCs/>
        </w:rPr>
        <w:t>4</w:t>
      </w:r>
      <w:r w:rsidRPr="00600C09">
        <w:t>: Generally compliant, but subject to juristic debate on details.</w:t>
      </w:r>
    </w:p>
    <w:p w14:paraId="0636B18D" w14:textId="77777777" w:rsidR="00600C09" w:rsidRPr="00600C09" w:rsidRDefault="00600C09" w:rsidP="00600C09">
      <w:pPr>
        <w:numPr>
          <w:ilvl w:val="0"/>
          <w:numId w:val="116"/>
        </w:numPr>
      </w:pPr>
      <w:r w:rsidRPr="00600C09">
        <w:rPr>
          <w:b/>
          <w:bCs/>
        </w:rPr>
        <w:t>3</w:t>
      </w:r>
      <w:r w:rsidRPr="00600C09">
        <w:t>: Compliance possible with conditions; may involve contentious interpretations.</w:t>
      </w:r>
    </w:p>
    <w:p w14:paraId="7B461C9A" w14:textId="77777777" w:rsidR="00600C09" w:rsidRPr="00600C09" w:rsidRDefault="00600C09" w:rsidP="00600C09">
      <w:pPr>
        <w:numPr>
          <w:ilvl w:val="0"/>
          <w:numId w:val="116"/>
        </w:numPr>
      </w:pPr>
      <w:r w:rsidRPr="00600C09">
        <w:rPr>
          <w:b/>
          <w:bCs/>
        </w:rPr>
        <w:t>2</w:t>
      </w:r>
      <w:r w:rsidRPr="00600C09">
        <w:t>: Compliance weak; requires significant adaptation or hybridization.</w:t>
      </w:r>
    </w:p>
    <w:p w14:paraId="4BC42A7E" w14:textId="77777777" w:rsidR="00600C09" w:rsidRPr="00600C09" w:rsidRDefault="00600C09" w:rsidP="00600C09">
      <w:pPr>
        <w:numPr>
          <w:ilvl w:val="0"/>
          <w:numId w:val="116"/>
        </w:numPr>
      </w:pPr>
      <w:r w:rsidRPr="00600C09">
        <w:rPr>
          <w:b/>
          <w:bCs/>
        </w:rPr>
        <w:t>1 (Low)</w:t>
      </w:r>
      <w:r w:rsidRPr="00600C09">
        <w:t>: Non-compliant; involves fundamental Shariah violations.</w:t>
      </w:r>
    </w:p>
    <w:p w14:paraId="3F9F0900" w14:textId="77777777" w:rsidR="00600C09" w:rsidRPr="00600C09" w:rsidRDefault="00600C09" w:rsidP="00600C09">
      <w:r w:rsidRPr="00600C09">
        <w:rPr>
          <w:b/>
          <w:bCs/>
        </w:rPr>
        <w:t>3. Functional Equivalence</w:t>
      </w:r>
    </w:p>
    <w:p w14:paraId="53292E0C" w14:textId="77777777" w:rsidR="00600C09" w:rsidRPr="00600C09" w:rsidRDefault="00600C09" w:rsidP="00600C09">
      <w:pPr>
        <w:numPr>
          <w:ilvl w:val="0"/>
          <w:numId w:val="117"/>
        </w:numPr>
      </w:pPr>
      <w:r w:rsidRPr="00600C09">
        <w:rPr>
          <w:b/>
          <w:bCs/>
        </w:rPr>
        <w:t>5 (High)</w:t>
      </w:r>
      <w:r w:rsidRPr="00600C09">
        <w:t>: Performs the same function as conventional instrument without limitation.</w:t>
      </w:r>
    </w:p>
    <w:p w14:paraId="6DD87586" w14:textId="77777777" w:rsidR="00600C09" w:rsidRPr="00600C09" w:rsidRDefault="00600C09" w:rsidP="00600C09">
      <w:pPr>
        <w:numPr>
          <w:ilvl w:val="0"/>
          <w:numId w:val="117"/>
        </w:numPr>
      </w:pPr>
      <w:r w:rsidRPr="00600C09">
        <w:rPr>
          <w:b/>
          <w:bCs/>
        </w:rPr>
        <w:t>4</w:t>
      </w:r>
      <w:r w:rsidRPr="00600C09">
        <w:t>: Substantially equivalent, with minor limitations.</w:t>
      </w:r>
    </w:p>
    <w:p w14:paraId="2421767D" w14:textId="77777777" w:rsidR="00600C09" w:rsidRPr="00600C09" w:rsidRDefault="00600C09" w:rsidP="00600C09">
      <w:pPr>
        <w:numPr>
          <w:ilvl w:val="0"/>
          <w:numId w:val="117"/>
        </w:numPr>
      </w:pPr>
      <w:r w:rsidRPr="00600C09">
        <w:rPr>
          <w:b/>
          <w:bCs/>
        </w:rPr>
        <w:t>3</w:t>
      </w:r>
      <w:r w:rsidRPr="00600C09">
        <w:t>: Provides partial equivalence but lacks certain features.</w:t>
      </w:r>
    </w:p>
    <w:p w14:paraId="32CB66F6" w14:textId="77777777" w:rsidR="00600C09" w:rsidRPr="00600C09" w:rsidRDefault="00600C09" w:rsidP="00600C09">
      <w:pPr>
        <w:numPr>
          <w:ilvl w:val="0"/>
          <w:numId w:val="117"/>
        </w:numPr>
      </w:pPr>
      <w:r w:rsidRPr="00600C09">
        <w:rPr>
          <w:b/>
          <w:bCs/>
        </w:rPr>
        <w:lastRenderedPageBreak/>
        <w:t>2</w:t>
      </w:r>
      <w:r w:rsidRPr="00600C09">
        <w:t>: Weak equivalence; provides limited assurance.</w:t>
      </w:r>
    </w:p>
    <w:p w14:paraId="4039C522" w14:textId="77777777" w:rsidR="00600C09" w:rsidRPr="00600C09" w:rsidRDefault="00600C09" w:rsidP="00600C09">
      <w:pPr>
        <w:numPr>
          <w:ilvl w:val="0"/>
          <w:numId w:val="117"/>
        </w:numPr>
      </w:pPr>
      <w:r w:rsidRPr="00600C09">
        <w:rPr>
          <w:b/>
          <w:bCs/>
        </w:rPr>
        <w:t>1 (Low)</w:t>
      </w:r>
      <w:r w:rsidRPr="00600C09">
        <w:t>: Fails to serve the same purpose effectively.</w:t>
      </w:r>
    </w:p>
    <w:p w14:paraId="034C740F" w14:textId="54D03948" w:rsidR="00600C09" w:rsidRPr="00600C09" w:rsidRDefault="00600C09" w:rsidP="00600C09"/>
    <w:p w14:paraId="270D1A99" w14:textId="77777777" w:rsidR="00600C09" w:rsidRPr="00600C09" w:rsidRDefault="00600C09" w:rsidP="00600C09">
      <w:pPr>
        <w:rPr>
          <w:b/>
          <w:bCs/>
        </w:rPr>
      </w:pPr>
      <w:r w:rsidRPr="00600C09">
        <w:rPr>
          <w:b/>
          <w:bCs/>
        </w:rPr>
        <w:t>4.2.3 Composite Scoring</w:t>
      </w:r>
    </w:p>
    <w:p w14:paraId="3CC22D6F" w14:textId="77777777" w:rsidR="00600C09" w:rsidRPr="00600C09" w:rsidRDefault="00600C09" w:rsidP="00600C09">
      <w:r w:rsidRPr="00600C09">
        <w:t>For each instrument pair, the three dimension scores are averaged to produce a composite Compatibility Index score:</w:t>
      </w:r>
    </w:p>
    <w:p w14:paraId="0055E19B" w14:textId="77777777" w:rsidR="00600C09" w:rsidRPr="00600C09" w:rsidRDefault="00600C09" w:rsidP="00600C09">
      <w:r w:rsidRPr="00600C09">
        <w:rPr>
          <w:b/>
          <w:bCs/>
        </w:rPr>
        <w:t>Composite Index = (Legal Enforceability + Shariah Compliance + Functional Equivalence) ÷ 3</w:t>
      </w:r>
    </w:p>
    <w:p w14:paraId="79BCA875" w14:textId="77777777" w:rsidR="00600C09" w:rsidRPr="00600C09" w:rsidRDefault="00600C09" w:rsidP="00600C09">
      <w:r w:rsidRPr="00600C09">
        <w:t>This composite score reflects overall compatibility, guiding practitioners in determining whether an Islamic instrument can substitute for its conventional counterpart in project finance.</w:t>
      </w:r>
    </w:p>
    <w:p w14:paraId="559796B3" w14:textId="62BBCC62" w:rsidR="00600C09" w:rsidRPr="00600C09" w:rsidRDefault="00600C09" w:rsidP="00600C09"/>
    <w:p w14:paraId="337D458B" w14:textId="77777777" w:rsidR="00600C09" w:rsidRPr="00600C09" w:rsidRDefault="00600C09" w:rsidP="00600C09">
      <w:pPr>
        <w:rPr>
          <w:b/>
          <w:bCs/>
        </w:rPr>
      </w:pPr>
      <w:r w:rsidRPr="00600C09">
        <w:rPr>
          <w:b/>
          <w:bCs/>
        </w:rPr>
        <w:t>4.2.4 Application to Instruments</w:t>
      </w:r>
    </w:p>
    <w:p w14:paraId="67E1AA47" w14:textId="77777777" w:rsidR="00600C09" w:rsidRPr="00600C09" w:rsidRDefault="00600C09" w:rsidP="00600C09">
      <w:r w:rsidRPr="00600C09">
        <w:t>The Compatibility Index will be applied to the following pairs:</w:t>
      </w:r>
    </w:p>
    <w:p w14:paraId="574E5C41" w14:textId="77777777" w:rsidR="00600C09" w:rsidRPr="00600C09" w:rsidRDefault="00600C09" w:rsidP="00600C09">
      <w:pPr>
        <w:numPr>
          <w:ilvl w:val="0"/>
          <w:numId w:val="118"/>
        </w:numPr>
      </w:pPr>
      <w:r w:rsidRPr="00600C09">
        <w:rPr>
          <w:b/>
          <w:bCs/>
        </w:rPr>
        <w:t>Mortgage vs. Rahn</w:t>
      </w:r>
    </w:p>
    <w:p w14:paraId="74360A1E" w14:textId="77777777" w:rsidR="00600C09" w:rsidRPr="00600C09" w:rsidRDefault="00600C09" w:rsidP="00600C09">
      <w:pPr>
        <w:numPr>
          <w:ilvl w:val="0"/>
          <w:numId w:val="118"/>
        </w:numPr>
      </w:pPr>
      <w:r w:rsidRPr="00600C09">
        <w:rPr>
          <w:b/>
          <w:bCs/>
        </w:rPr>
        <w:t>Pledge vs. Rahn</w:t>
      </w:r>
    </w:p>
    <w:p w14:paraId="582F1F4D" w14:textId="77777777" w:rsidR="00600C09" w:rsidRPr="00600C09" w:rsidRDefault="00600C09" w:rsidP="00600C09">
      <w:pPr>
        <w:numPr>
          <w:ilvl w:val="0"/>
          <w:numId w:val="118"/>
        </w:numPr>
      </w:pPr>
      <w:r w:rsidRPr="00600C09">
        <w:rPr>
          <w:b/>
          <w:bCs/>
        </w:rPr>
        <w:t>Guarantee vs. Kafālah/</w:t>
      </w:r>
      <w:r w:rsidRPr="00600C09">
        <w:rPr>
          <w:rFonts w:ascii="Calibri" w:hAnsi="Calibri" w:cs="Calibri"/>
          <w:b/>
          <w:bCs/>
        </w:rPr>
        <w:t>ḍ</w:t>
      </w:r>
      <w:r w:rsidRPr="00600C09">
        <w:rPr>
          <w:b/>
          <w:bCs/>
        </w:rPr>
        <w:t>amān</w:t>
      </w:r>
    </w:p>
    <w:p w14:paraId="22D0B74C" w14:textId="77777777" w:rsidR="00600C09" w:rsidRPr="00600C09" w:rsidRDefault="00600C09" w:rsidP="00600C09">
      <w:pPr>
        <w:numPr>
          <w:ilvl w:val="0"/>
          <w:numId w:val="118"/>
        </w:numPr>
      </w:pPr>
      <w:r w:rsidRPr="00600C09">
        <w:rPr>
          <w:b/>
          <w:bCs/>
        </w:rPr>
        <w:t xml:space="preserve">Debt Transfer vs. </w:t>
      </w:r>
      <w:r w:rsidRPr="00600C09">
        <w:rPr>
          <w:rFonts w:ascii="Calibri" w:hAnsi="Calibri" w:cs="Calibri"/>
          <w:b/>
          <w:bCs/>
        </w:rPr>
        <w:t>Ḥ</w:t>
      </w:r>
      <w:r w:rsidRPr="00600C09">
        <w:rPr>
          <w:b/>
          <w:bCs/>
        </w:rPr>
        <w:t>awālah</w:t>
      </w:r>
    </w:p>
    <w:p w14:paraId="3C14AEC9" w14:textId="77777777" w:rsidR="00600C09" w:rsidRPr="00600C09" w:rsidRDefault="00600C09" w:rsidP="00600C09">
      <w:r w:rsidRPr="00600C09">
        <w:t>For each pair, the chapter will:</w:t>
      </w:r>
    </w:p>
    <w:p w14:paraId="00821623" w14:textId="77777777" w:rsidR="00600C09" w:rsidRPr="00600C09" w:rsidRDefault="00600C09" w:rsidP="00600C09">
      <w:pPr>
        <w:numPr>
          <w:ilvl w:val="0"/>
          <w:numId w:val="119"/>
        </w:numPr>
      </w:pPr>
      <w:r w:rsidRPr="00600C09">
        <w:t>Present a side-by-side analysis of similarities and differences.</w:t>
      </w:r>
    </w:p>
    <w:p w14:paraId="1997EA46" w14:textId="77777777" w:rsidR="00600C09" w:rsidRPr="00600C09" w:rsidRDefault="00600C09" w:rsidP="00600C09">
      <w:pPr>
        <w:numPr>
          <w:ilvl w:val="0"/>
          <w:numId w:val="119"/>
        </w:numPr>
      </w:pPr>
      <w:r w:rsidRPr="00600C09">
        <w:t>Score each instrument across the three dimensions.</w:t>
      </w:r>
    </w:p>
    <w:p w14:paraId="740343B0" w14:textId="77777777" w:rsidR="00600C09" w:rsidRPr="00600C09" w:rsidRDefault="00600C09" w:rsidP="00600C09">
      <w:pPr>
        <w:numPr>
          <w:ilvl w:val="0"/>
          <w:numId w:val="119"/>
        </w:numPr>
      </w:pPr>
      <w:r w:rsidRPr="00600C09">
        <w:t>Calculate the composite score.</w:t>
      </w:r>
    </w:p>
    <w:p w14:paraId="3C48AE7C" w14:textId="77777777" w:rsidR="00600C09" w:rsidRPr="00600C09" w:rsidRDefault="00600C09" w:rsidP="00600C09">
      <w:pPr>
        <w:numPr>
          <w:ilvl w:val="0"/>
          <w:numId w:val="119"/>
        </w:numPr>
      </w:pPr>
      <w:r w:rsidRPr="00600C09">
        <w:t>Provide commentary on implications for project finance.</w:t>
      </w:r>
    </w:p>
    <w:p w14:paraId="4B5AB0B9" w14:textId="7BE2F71B" w:rsidR="00600C09" w:rsidRPr="00600C09" w:rsidRDefault="00600C09" w:rsidP="00600C09"/>
    <w:p w14:paraId="713A95B3" w14:textId="77777777" w:rsidR="00600C09" w:rsidRPr="00600C09" w:rsidRDefault="00600C09" w:rsidP="00600C09">
      <w:pPr>
        <w:rPr>
          <w:b/>
          <w:bCs/>
        </w:rPr>
      </w:pPr>
      <w:r w:rsidRPr="00600C09">
        <w:rPr>
          <w:b/>
          <w:bCs/>
        </w:rPr>
        <w:t>4.2.5 Limitations of the Index</w:t>
      </w:r>
    </w:p>
    <w:p w14:paraId="6F8DF4D4" w14:textId="77777777" w:rsidR="00600C09" w:rsidRPr="00600C09" w:rsidRDefault="00600C09" w:rsidP="00600C09">
      <w:r w:rsidRPr="00600C09">
        <w:t>It is important to note the limitations of the Compatibility Index:</w:t>
      </w:r>
    </w:p>
    <w:p w14:paraId="33F64C26" w14:textId="77777777" w:rsidR="00600C09" w:rsidRPr="00600C09" w:rsidRDefault="00600C09" w:rsidP="00600C09">
      <w:pPr>
        <w:numPr>
          <w:ilvl w:val="0"/>
          <w:numId w:val="120"/>
        </w:numPr>
      </w:pPr>
      <w:r w:rsidRPr="00600C09">
        <w:rPr>
          <w:b/>
          <w:bCs/>
        </w:rPr>
        <w:t>Contextual variability</w:t>
      </w:r>
      <w:r w:rsidRPr="00600C09">
        <w:t>: Legal enforceability differs across jurisdictions; a score of “3” in one country may be a “5” in another.</w:t>
      </w:r>
    </w:p>
    <w:p w14:paraId="0AD40D46" w14:textId="77777777" w:rsidR="00600C09" w:rsidRPr="00600C09" w:rsidRDefault="00600C09" w:rsidP="00600C09">
      <w:pPr>
        <w:numPr>
          <w:ilvl w:val="0"/>
          <w:numId w:val="120"/>
        </w:numPr>
      </w:pPr>
      <w:r w:rsidRPr="00600C09">
        <w:rPr>
          <w:b/>
          <w:bCs/>
        </w:rPr>
        <w:t>Dynamic nature</w:t>
      </w:r>
      <w:r w:rsidRPr="00600C09">
        <w:t>: Shariah rulings evolve; new SAC or AAOIFI standards could raise or lower compliance scores.</w:t>
      </w:r>
    </w:p>
    <w:p w14:paraId="040DE424" w14:textId="77777777" w:rsidR="00600C09" w:rsidRPr="00600C09" w:rsidRDefault="00600C09" w:rsidP="00600C09">
      <w:pPr>
        <w:numPr>
          <w:ilvl w:val="0"/>
          <w:numId w:val="120"/>
        </w:numPr>
      </w:pPr>
      <w:r w:rsidRPr="00600C09">
        <w:rPr>
          <w:b/>
          <w:bCs/>
        </w:rPr>
        <w:lastRenderedPageBreak/>
        <w:t>Simplification risk</w:t>
      </w:r>
      <w:r w:rsidRPr="00600C09">
        <w:t>: Reducing complex instruments to numerical scores risks oversimplification.</w:t>
      </w:r>
    </w:p>
    <w:p w14:paraId="23F5E4EA" w14:textId="77777777" w:rsidR="00600C09" w:rsidRDefault="00600C09" w:rsidP="00600C09">
      <w:r w:rsidRPr="00600C09">
        <w:t>Nonetheless, the Index provides a valuable heuristic — a starting point for structured discussion and policy formulation.</w:t>
      </w:r>
    </w:p>
    <w:p w14:paraId="4591552D" w14:textId="77777777" w:rsidR="001C215C" w:rsidRDefault="001C215C" w:rsidP="00600C09"/>
    <w:p w14:paraId="32A518D1" w14:textId="77777777" w:rsidR="001C215C" w:rsidRDefault="001C215C" w:rsidP="00600C09"/>
    <w:p w14:paraId="168B0C67" w14:textId="77777777" w:rsidR="001C215C" w:rsidRDefault="001C215C" w:rsidP="00600C09"/>
    <w:p w14:paraId="74C8EE55" w14:textId="77777777" w:rsidR="001C215C" w:rsidRPr="00600C09" w:rsidRDefault="001C215C" w:rsidP="00600C09"/>
    <w:p w14:paraId="210A760E" w14:textId="77777777" w:rsidR="00600C09" w:rsidRPr="00600C09" w:rsidRDefault="00600C09" w:rsidP="00600C09">
      <w:pPr>
        <w:rPr>
          <w:b/>
          <w:bCs/>
        </w:rPr>
      </w:pPr>
      <w:r w:rsidRPr="00600C09">
        <w:rPr>
          <w:b/>
          <w:bCs/>
        </w:rPr>
        <w:t>4.3 Mortgage vs. Rahn</w:t>
      </w:r>
    </w:p>
    <w:p w14:paraId="295FC04B" w14:textId="77777777" w:rsidR="00600C09" w:rsidRPr="00600C09" w:rsidRDefault="00600C09" w:rsidP="00600C09">
      <w:pPr>
        <w:rPr>
          <w:b/>
          <w:bCs/>
        </w:rPr>
      </w:pPr>
      <w:r w:rsidRPr="00600C09">
        <w:rPr>
          <w:b/>
          <w:bCs/>
        </w:rPr>
        <w:t>4.3.1 Conceptual Comparison</w:t>
      </w:r>
    </w:p>
    <w:p w14:paraId="5960C27B" w14:textId="77777777" w:rsidR="00600C09" w:rsidRPr="00600C09" w:rsidRDefault="00600C09" w:rsidP="00600C09">
      <w:r w:rsidRPr="00600C09">
        <w:t xml:space="preserve">The </w:t>
      </w:r>
      <w:r w:rsidRPr="00600C09">
        <w:rPr>
          <w:b/>
          <w:bCs/>
        </w:rPr>
        <w:t>mortgage</w:t>
      </w:r>
      <w:r w:rsidRPr="00600C09">
        <w:t xml:space="preserve"> is the cornerstone of conventional secured lending, providing creditors with enforceable rights over immovable property such as land, buildings, and infrastructure (Goode, 2013). It operates through legal or equitable transfer of an interest in property, registered under statutory frameworks.</w:t>
      </w:r>
    </w:p>
    <w:p w14:paraId="7011BC3A" w14:textId="77777777" w:rsidR="00600C09" w:rsidRPr="00600C09" w:rsidRDefault="00600C09" w:rsidP="00600C09">
      <w:r w:rsidRPr="00600C09">
        <w:rPr>
          <w:b/>
          <w:bCs/>
        </w:rPr>
        <w:t>Rahn</w:t>
      </w:r>
      <w:r w:rsidRPr="00600C09">
        <w:t>, meanwhile, is the Qur’an-endorsed Islamic pledge, whereby a debtor offers an asset as collateral for a debt (Qur’an 2:283). Ownership remains with the debtor, while possession (actual or constructive) transfers to the creditor. Upon default, the asset can be sold and proceeds applied toward the debt.</w:t>
      </w:r>
    </w:p>
    <w:p w14:paraId="736EEB36" w14:textId="77777777" w:rsidR="00600C09" w:rsidRPr="00600C09" w:rsidRDefault="00600C09" w:rsidP="00600C09">
      <w:r w:rsidRPr="00600C09">
        <w:t>Both instruments share the purpose of securing obligations, but differ in key structural and ethical respects.</w:t>
      </w:r>
    </w:p>
    <w:p w14:paraId="0142776C" w14:textId="77777777" w:rsidR="00600C09" w:rsidRPr="00600C09" w:rsidRDefault="00600C09" w:rsidP="00600C09">
      <w:pPr>
        <w:rPr>
          <w:b/>
          <w:bCs/>
        </w:rPr>
      </w:pPr>
      <w:r w:rsidRPr="00600C09">
        <w:rPr>
          <w:b/>
          <w:bCs/>
        </w:rPr>
        <w:t>4.3.2 Legal Enforceability</w:t>
      </w:r>
    </w:p>
    <w:p w14:paraId="6DEC2700" w14:textId="77777777" w:rsidR="00600C09" w:rsidRPr="00600C09" w:rsidRDefault="00600C09" w:rsidP="00600C09">
      <w:pPr>
        <w:numPr>
          <w:ilvl w:val="0"/>
          <w:numId w:val="123"/>
        </w:numPr>
      </w:pPr>
      <w:r w:rsidRPr="00600C09">
        <w:rPr>
          <w:b/>
          <w:bCs/>
        </w:rPr>
        <w:t>Mortgage</w:t>
      </w:r>
      <w:r w:rsidRPr="00600C09">
        <w:t xml:space="preserve">: Highly enforceable in most jurisdictions. Registration systems (e.g., the UK Land Registry, Malaysia’s National Land Code) ensure transparency and creditor priority. Courts provide clear remedies, including foreclosure, sale, and appointment of receivers. Enforceability score: </w:t>
      </w:r>
      <w:r w:rsidRPr="00600C09">
        <w:rPr>
          <w:b/>
          <w:bCs/>
        </w:rPr>
        <w:t>5</w:t>
      </w:r>
      <w:r w:rsidRPr="00600C09">
        <w:t>.</w:t>
      </w:r>
    </w:p>
    <w:p w14:paraId="17A110C2" w14:textId="77777777" w:rsidR="00600C09" w:rsidRPr="00600C09" w:rsidRDefault="00600C09" w:rsidP="00600C09">
      <w:pPr>
        <w:numPr>
          <w:ilvl w:val="0"/>
          <w:numId w:val="123"/>
        </w:numPr>
      </w:pPr>
      <w:r w:rsidRPr="00600C09">
        <w:rPr>
          <w:b/>
          <w:bCs/>
        </w:rPr>
        <w:t>Rahn</w:t>
      </w:r>
      <w:r w:rsidRPr="00600C09">
        <w:t xml:space="preserve">: Legitimacy recognized in Islamic jurisprudence. However, enforceability depends on statutory recognition. In Malaysia, rahn over land must align with the National Land Code. Elsewhere, courts may default to conventional mortgage rules, reducing clarity. Possession requirements further complicate immovable property cases. Enforceability score: </w:t>
      </w:r>
      <w:r w:rsidRPr="00600C09">
        <w:rPr>
          <w:b/>
          <w:bCs/>
        </w:rPr>
        <w:t>3</w:t>
      </w:r>
      <w:r w:rsidRPr="00600C09">
        <w:t>.</w:t>
      </w:r>
    </w:p>
    <w:p w14:paraId="190C94C2" w14:textId="77777777" w:rsidR="00600C09" w:rsidRPr="00600C09" w:rsidRDefault="00600C09" w:rsidP="00600C09">
      <w:pPr>
        <w:rPr>
          <w:b/>
          <w:bCs/>
        </w:rPr>
      </w:pPr>
      <w:r w:rsidRPr="00600C09">
        <w:rPr>
          <w:b/>
          <w:bCs/>
        </w:rPr>
        <w:t>4.3.3 Shariah Compliance</w:t>
      </w:r>
    </w:p>
    <w:p w14:paraId="12B38563" w14:textId="77777777" w:rsidR="00600C09" w:rsidRPr="00600C09" w:rsidRDefault="00600C09" w:rsidP="00600C09">
      <w:pPr>
        <w:numPr>
          <w:ilvl w:val="0"/>
          <w:numId w:val="124"/>
        </w:numPr>
      </w:pPr>
      <w:r w:rsidRPr="00600C09">
        <w:rPr>
          <w:b/>
          <w:bCs/>
        </w:rPr>
        <w:t>Mortgage</w:t>
      </w:r>
      <w:r w:rsidRPr="00600C09">
        <w:t xml:space="preserve">: Conventional mortgages often involve interest-bearing loans. This creates inherent Shariah non-compliance. Even if structured without explicit ribā, harsh foreclosure processes may contradict fairness. Compliance score: </w:t>
      </w:r>
      <w:r w:rsidRPr="00600C09">
        <w:rPr>
          <w:b/>
          <w:bCs/>
        </w:rPr>
        <w:t>1</w:t>
      </w:r>
      <w:r w:rsidRPr="00600C09">
        <w:t>.</w:t>
      </w:r>
    </w:p>
    <w:p w14:paraId="0C10CF34" w14:textId="77777777" w:rsidR="00600C09" w:rsidRPr="00600C09" w:rsidRDefault="00600C09" w:rsidP="00600C09">
      <w:pPr>
        <w:numPr>
          <w:ilvl w:val="0"/>
          <w:numId w:val="124"/>
        </w:numPr>
      </w:pPr>
      <w:r w:rsidRPr="00600C09">
        <w:rPr>
          <w:b/>
          <w:bCs/>
        </w:rPr>
        <w:lastRenderedPageBreak/>
        <w:t>Rahn</w:t>
      </w:r>
      <w:r w:rsidRPr="00600C09">
        <w:t xml:space="preserve">: Explicitly endorsed in Qur’an and Sunnah. Widely accepted across madhāhib with minor juristic differences. Compliance score: </w:t>
      </w:r>
      <w:r w:rsidRPr="00600C09">
        <w:rPr>
          <w:b/>
          <w:bCs/>
        </w:rPr>
        <w:t>5</w:t>
      </w:r>
      <w:r w:rsidRPr="00600C09">
        <w:t>.</w:t>
      </w:r>
    </w:p>
    <w:p w14:paraId="7BE9C61E" w14:textId="77777777" w:rsidR="00600C09" w:rsidRPr="00600C09" w:rsidRDefault="00600C09" w:rsidP="00600C09">
      <w:pPr>
        <w:rPr>
          <w:b/>
          <w:bCs/>
        </w:rPr>
      </w:pPr>
      <w:r w:rsidRPr="00600C09">
        <w:rPr>
          <w:b/>
          <w:bCs/>
        </w:rPr>
        <w:t>4.3.4 Functional Equivalence</w:t>
      </w:r>
    </w:p>
    <w:p w14:paraId="526270FF" w14:textId="77777777" w:rsidR="00600C09" w:rsidRPr="00600C09" w:rsidRDefault="00600C09" w:rsidP="00600C09">
      <w:pPr>
        <w:numPr>
          <w:ilvl w:val="0"/>
          <w:numId w:val="125"/>
        </w:numPr>
      </w:pPr>
      <w:r w:rsidRPr="00600C09">
        <w:rPr>
          <w:b/>
          <w:bCs/>
        </w:rPr>
        <w:t>Mortgage</w:t>
      </w:r>
      <w:r w:rsidRPr="00600C09">
        <w:t>: Provides comprehensive protection over immovable assets.</w:t>
      </w:r>
    </w:p>
    <w:p w14:paraId="2595C978" w14:textId="77777777" w:rsidR="00600C09" w:rsidRDefault="00600C09" w:rsidP="00600C09">
      <w:pPr>
        <w:numPr>
          <w:ilvl w:val="0"/>
          <w:numId w:val="125"/>
        </w:numPr>
      </w:pPr>
      <w:r w:rsidRPr="00600C09">
        <w:rPr>
          <w:b/>
          <w:bCs/>
        </w:rPr>
        <w:t>Rahn</w:t>
      </w:r>
      <w:r w:rsidRPr="00600C09">
        <w:t xml:space="preserve">: Functionally similar but limited by possession requirement. Constructive possession (e.g., documentation) helps, but some jurists remain cautious. Less flexible for large infrastructure projects. Equivalence score: </w:t>
      </w:r>
      <w:r w:rsidRPr="00600C09">
        <w:rPr>
          <w:b/>
          <w:bCs/>
        </w:rPr>
        <w:t>3</w:t>
      </w:r>
      <w:r w:rsidRPr="00600C09">
        <w:t>.</w:t>
      </w:r>
    </w:p>
    <w:p w14:paraId="5EB1983D" w14:textId="77777777" w:rsidR="001C215C" w:rsidRPr="00600C09" w:rsidRDefault="001C215C" w:rsidP="001C215C">
      <w:pPr>
        <w:ind w:left="720"/>
      </w:pPr>
    </w:p>
    <w:p w14:paraId="7E5ECA78" w14:textId="77777777" w:rsidR="00600C09" w:rsidRPr="00600C09" w:rsidRDefault="00600C09" w:rsidP="00600C09">
      <w:pPr>
        <w:rPr>
          <w:b/>
          <w:bCs/>
        </w:rPr>
      </w:pPr>
      <w:r w:rsidRPr="00600C09">
        <w:rPr>
          <w:b/>
          <w:bCs/>
        </w:rPr>
        <w:t>4.3.5 Compatibility Index Scoring</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499"/>
        <w:gridCol w:w="1076"/>
        <w:gridCol w:w="640"/>
      </w:tblGrid>
      <w:tr w:rsidR="00600C09" w:rsidRPr="00600C09" w14:paraId="4D7A849D" w14:textId="77777777">
        <w:trPr>
          <w:tblHeader/>
          <w:tblCellSpacing w:w="15" w:type="dxa"/>
        </w:trPr>
        <w:tc>
          <w:tcPr>
            <w:tcW w:w="0" w:type="auto"/>
            <w:vAlign w:val="center"/>
            <w:hideMark/>
          </w:tcPr>
          <w:p w14:paraId="158A618C" w14:textId="77777777" w:rsidR="00600C09" w:rsidRPr="00600C09" w:rsidRDefault="00600C09" w:rsidP="00600C09">
            <w:pPr>
              <w:rPr>
                <w:b/>
                <w:bCs/>
              </w:rPr>
            </w:pPr>
            <w:r w:rsidRPr="00600C09">
              <w:rPr>
                <w:b/>
                <w:bCs/>
              </w:rPr>
              <w:t>Dimension</w:t>
            </w:r>
          </w:p>
        </w:tc>
        <w:tc>
          <w:tcPr>
            <w:tcW w:w="0" w:type="auto"/>
            <w:vAlign w:val="center"/>
            <w:hideMark/>
          </w:tcPr>
          <w:p w14:paraId="78CCE663" w14:textId="77777777" w:rsidR="00600C09" w:rsidRPr="00600C09" w:rsidRDefault="00600C09" w:rsidP="00600C09">
            <w:pPr>
              <w:rPr>
                <w:b/>
                <w:bCs/>
              </w:rPr>
            </w:pPr>
            <w:r w:rsidRPr="00600C09">
              <w:rPr>
                <w:b/>
                <w:bCs/>
              </w:rPr>
              <w:t>Mortgage</w:t>
            </w:r>
          </w:p>
        </w:tc>
        <w:tc>
          <w:tcPr>
            <w:tcW w:w="0" w:type="auto"/>
            <w:vAlign w:val="center"/>
            <w:hideMark/>
          </w:tcPr>
          <w:p w14:paraId="67AF5C73" w14:textId="77777777" w:rsidR="00600C09" w:rsidRPr="00600C09" w:rsidRDefault="00600C09" w:rsidP="00600C09">
            <w:pPr>
              <w:rPr>
                <w:b/>
                <w:bCs/>
              </w:rPr>
            </w:pPr>
            <w:r w:rsidRPr="00600C09">
              <w:rPr>
                <w:b/>
                <w:bCs/>
              </w:rPr>
              <w:t>Rahn</w:t>
            </w:r>
          </w:p>
        </w:tc>
      </w:tr>
      <w:tr w:rsidR="00600C09" w:rsidRPr="00600C09" w14:paraId="07633953" w14:textId="77777777">
        <w:trPr>
          <w:tblCellSpacing w:w="15" w:type="dxa"/>
        </w:trPr>
        <w:tc>
          <w:tcPr>
            <w:tcW w:w="0" w:type="auto"/>
            <w:vAlign w:val="center"/>
            <w:hideMark/>
          </w:tcPr>
          <w:p w14:paraId="703E56E5" w14:textId="77777777" w:rsidR="00600C09" w:rsidRPr="00600C09" w:rsidRDefault="00600C09" w:rsidP="00600C09">
            <w:r w:rsidRPr="00600C09">
              <w:t>Legal Enforceability</w:t>
            </w:r>
          </w:p>
        </w:tc>
        <w:tc>
          <w:tcPr>
            <w:tcW w:w="0" w:type="auto"/>
            <w:vAlign w:val="center"/>
            <w:hideMark/>
          </w:tcPr>
          <w:p w14:paraId="2298838F" w14:textId="77777777" w:rsidR="00600C09" w:rsidRPr="00600C09" w:rsidRDefault="00600C09" w:rsidP="00600C09">
            <w:r w:rsidRPr="00600C09">
              <w:t>5</w:t>
            </w:r>
          </w:p>
        </w:tc>
        <w:tc>
          <w:tcPr>
            <w:tcW w:w="0" w:type="auto"/>
            <w:vAlign w:val="center"/>
            <w:hideMark/>
          </w:tcPr>
          <w:p w14:paraId="4FFBBBDF" w14:textId="77777777" w:rsidR="00600C09" w:rsidRPr="00600C09" w:rsidRDefault="00600C09" w:rsidP="00600C09">
            <w:r w:rsidRPr="00600C09">
              <w:t>3</w:t>
            </w:r>
          </w:p>
        </w:tc>
      </w:tr>
      <w:tr w:rsidR="00600C09" w:rsidRPr="00600C09" w14:paraId="4E4BC39C" w14:textId="77777777">
        <w:trPr>
          <w:tblCellSpacing w:w="15" w:type="dxa"/>
        </w:trPr>
        <w:tc>
          <w:tcPr>
            <w:tcW w:w="0" w:type="auto"/>
            <w:vAlign w:val="center"/>
            <w:hideMark/>
          </w:tcPr>
          <w:p w14:paraId="049ADA6E" w14:textId="77777777" w:rsidR="00600C09" w:rsidRPr="00600C09" w:rsidRDefault="00600C09" w:rsidP="00600C09">
            <w:r w:rsidRPr="00600C09">
              <w:t>Shariah Compliance</w:t>
            </w:r>
          </w:p>
        </w:tc>
        <w:tc>
          <w:tcPr>
            <w:tcW w:w="0" w:type="auto"/>
            <w:vAlign w:val="center"/>
            <w:hideMark/>
          </w:tcPr>
          <w:p w14:paraId="43BA670E" w14:textId="77777777" w:rsidR="00600C09" w:rsidRPr="00600C09" w:rsidRDefault="00600C09" w:rsidP="00600C09">
            <w:r w:rsidRPr="00600C09">
              <w:t>1</w:t>
            </w:r>
          </w:p>
        </w:tc>
        <w:tc>
          <w:tcPr>
            <w:tcW w:w="0" w:type="auto"/>
            <w:vAlign w:val="center"/>
            <w:hideMark/>
          </w:tcPr>
          <w:p w14:paraId="61106DA9" w14:textId="77777777" w:rsidR="00600C09" w:rsidRPr="00600C09" w:rsidRDefault="00600C09" w:rsidP="00600C09">
            <w:r w:rsidRPr="00600C09">
              <w:t>5</w:t>
            </w:r>
          </w:p>
        </w:tc>
      </w:tr>
      <w:tr w:rsidR="00600C09" w:rsidRPr="00600C09" w14:paraId="2675D7C5" w14:textId="77777777">
        <w:trPr>
          <w:tblCellSpacing w:w="15" w:type="dxa"/>
        </w:trPr>
        <w:tc>
          <w:tcPr>
            <w:tcW w:w="0" w:type="auto"/>
            <w:vAlign w:val="center"/>
            <w:hideMark/>
          </w:tcPr>
          <w:p w14:paraId="4B9C21FF" w14:textId="77777777" w:rsidR="00600C09" w:rsidRPr="00600C09" w:rsidRDefault="00600C09" w:rsidP="00600C09">
            <w:r w:rsidRPr="00600C09">
              <w:t>Functional Equivalence</w:t>
            </w:r>
          </w:p>
        </w:tc>
        <w:tc>
          <w:tcPr>
            <w:tcW w:w="0" w:type="auto"/>
            <w:vAlign w:val="center"/>
            <w:hideMark/>
          </w:tcPr>
          <w:p w14:paraId="3FD103CF" w14:textId="77777777" w:rsidR="00600C09" w:rsidRPr="00600C09" w:rsidRDefault="00600C09" w:rsidP="00600C09">
            <w:r w:rsidRPr="00600C09">
              <w:t>5</w:t>
            </w:r>
          </w:p>
        </w:tc>
        <w:tc>
          <w:tcPr>
            <w:tcW w:w="0" w:type="auto"/>
            <w:vAlign w:val="center"/>
            <w:hideMark/>
          </w:tcPr>
          <w:p w14:paraId="508C03AD" w14:textId="77777777" w:rsidR="00600C09" w:rsidRPr="00600C09" w:rsidRDefault="00600C09" w:rsidP="00600C09">
            <w:r w:rsidRPr="00600C09">
              <w:t>3</w:t>
            </w:r>
          </w:p>
        </w:tc>
      </w:tr>
    </w:tbl>
    <w:p w14:paraId="11E364D4" w14:textId="77777777" w:rsidR="00600C09" w:rsidRPr="00600C09" w:rsidRDefault="00600C09" w:rsidP="00600C09">
      <w:r w:rsidRPr="00600C09">
        <w:rPr>
          <w:b/>
          <w:bCs/>
        </w:rPr>
        <w:t>Composite Index (Rahn): (3 + 5 + 3) ÷ 3 = 3.67 ≈ 3.7</w:t>
      </w:r>
    </w:p>
    <w:p w14:paraId="5B9FDEB3" w14:textId="77777777" w:rsidR="00600C09" w:rsidRPr="00600C09" w:rsidRDefault="00600C09" w:rsidP="00600C09">
      <w:pPr>
        <w:rPr>
          <w:b/>
          <w:bCs/>
        </w:rPr>
      </w:pPr>
      <w:r w:rsidRPr="00600C09">
        <w:rPr>
          <w:b/>
          <w:bCs/>
        </w:rPr>
        <w:t>4.3.6 Implications for Project Finance</w:t>
      </w:r>
    </w:p>
    <w:p w14:paraId="1F2F5005" w14:textId="77777777" w:rsidR="00600C09" w:rsidRPr="00600C09" w:rsidRDefault="00600C09" w:rsidP="00600C09">
      <w:pPr>
        <w:numPr>
          <w:ilvl w:val="0"/>
          <w:numId w:val="126"/>
        </w:numPr>
      </w:pPr>
      <w:r w:rsidRPr="00600C09">
        <w:rPr>
          <w:b/>
          <w:bCs/>
        </w:rPr>
        <w:t>Strengths</w:t>
      </w:r>
      <w:r w:rsidRPr="00600C09">
        <w:t>: Rahn provides a Shariah-compliant mechanism for securing land and assets, aligning with Qur’anic injunctions.</w:t>
      </w:r>
    </w:p>
    <w:p w14:paraId="751DA53B" w14:textId="77777777" w:rsidR="00600C09" w:rsidRPr="00600C09" w:rsidRDefault="00600C09" w:rsidP="00600C09">
      <w:pPr>
        <w:numPr>
          <w:ilvl w:val="0"/>
          <w:numId w:val="126"/>
        </w:numPr>
      </w:pPr>
      <w:r w:rsidRPr="00600C09">
        <w:rPr>
          <w:b/>
          <w:bCs/>
        </w:rPr>
        <w:t>Weaknesses</w:t>
      </w:r>
      <w:r w:rsidRPr="00600C09">
        <w:t>: Enforceability and possession requirements create practical challenges in complex financings.</w:t>
      </w:r>
    </w:p>
    <w:p w14:paraId="0D58CB56" w14:textId="77777777" w:rsidR="00600C09" w:rsidRPr="00600C09" w:rsidRDefault="00600C09" w:rsidP="00600C09">
      <w:pPr>
        <w:numPr>
          <w:ilvl w:val="0"/>
          <w:numId w:val="126"/>
        </w:numPr>
      </w:pPr>
      <w:r w:rsidRPr="00600C09">
        <w:rPr>
          <w:b/>
          <w:bCs/>
        </w:rPr>
        <w:t>Practical resolution</w:t>
      </w:r>
      <w:r w:rsidRPr="00600C09">
        <w:t>: Hybrid structures often emerge — combining rahn with statutory mortgage registration. Critics argue this dilutes authenticity, but many regulators (e.g., Bank Negara Malaysia) endorse such practices as pragmatic solutions.</w:t>
      </w:r>
    </w:p>
    <w:p w14:paraId="227D624F" w14:textId="4A4B9960" w:rsidR="00600C09" w:rsidRPr="00600C09" w:rsidRDefault="00600C09" w:rsidP="00600C09"/>
    <w:p w14:paraId="3F312FCA" w14:textId="77777777" w:rsidR="00600C09" w:rsidRPr="00600C09" w:rsidRDefault="00600C09" w:rsidP="00600C09">
      <w:pPr>
        <w:rPr>
          <w:b/>
          <w:bCs/>
        </w:rPr>
      </w:pPr>
      <w:r w:rsidRPr="00600C09">
        <w:rPr>
          <w:b/>
          <w:bCs/>
        </w:rPr>
        <w:t>4.4 Pledge vs. Rahn</w:t>
      </w:r>
    </w:p>
    <w:p w14:paraId="5D032FF9" w14:textId="77777777" w:rsidR="00600C09" w:rsidRPr="00600C09" w:rsidRDefault="00600C09" w:rsidP="00600C09">
      <w:pPr>
        <w:rPr>
          <w:b/>
          <w:bCs/>
        </w:rPr>
      </w:pPr>
      <w:r w:rsidRPr="00600C09">
        <w:rPr>
          <w:b/>
          <w:bCs/>
        </w:rPr>
        <w:t>4.4.1 Conceptual Comparison</w:t>
      </w:r>
    </w:p>
    <w:p w14:paraId="5E544A42" w14:textId="77777777" w:rsidR="00600C09" w:rsidRPr="00600C09" w:rsidRDefault="00600C09" w:rsidP="00600C09">
      <w:r w:rsidRPr="00600C09">
        <w:t xml:space="preserve">The </w:t>
      </w:r>
      <w:r w:rsidRPr="00600C09">
        <w:rPr>
          <w:b/>
          <w:bCs/>
        </w:rPr>
        <w:t>pledge</w:t>
      </w:r>
      <w:r w:rsidRPr="00600C09">
        <w:t xml:space="preserve"> in conventional law involves delivery of possession of movable property to a creditor, who retains it until repayment. Ownership remains with the debtor. Upon default, the creditor may sell the asset, after notice, and recover the debt.</w:t>
      </w:r>
    </w:p>
    <w:p w14:paraId="62B1A7E8" w14:textId="77777777" w:rsidR="00600C09" w:rsidRPr="00600C09" w:rsidRDefault="00600C09" w:rsidP="00600C09">
      <w:r w:rsidRPr="00600C09">
        <w:rPr>
          <w:b/>
          <w:bCs/>
        </w:rPr>
        <w:t>Rahn</w:t>
      </w:r>
      <w:r w:rsidRPr="00600C09">
        <w:t xml:space="preserve">, as discussed earlier, shares many of these characteristics: possession transfers to the creditor, ownership remains with the debtor, and the asset may be sold upon </w:t>
      </w:r>
      <w:r w:rsidRPr="00600C09">
        <w:lastRenderedPageBreak/>
        <w:t>default. The two are therefore highly analogous, with differences arising primarily in ethical and procedural details.</w:t>
      </w:r>
    </w:p>
    <w:p w14:paraId="548358A1" w14:textId="77777777" w:rsidR="00600C09" w:rsidRPr="00600C09" w:rsidRDefault="00600C09" w:rsidP="00600C09">
      <w:pPr>
        <w:rPr>
          <w:b/>
          <w:bCs/>
        </w:rPr>
      </w:pPr>
      <w:r w:rsidRPr="00600C09">
        <w:rPr>
          <w:b/>
          <w:bCs/>
        </w:rPr>
        <w:t>4.4.2 Legal Enforceability</w:t>
      </w:r>
    </w:p>
    <w:p w14:paraId="4DEC012A" w14:textId="77777777" w:rsidR="00600C09" w:rsidRPr="00600C09" w:rsidRDefault="00600C09" w:rsidP="00600C09">
      <w:pPr>
        <w:numPr>
          <w:ilvl w:val="0"/>
          <w:numId w:val="127"/>
        </w:numPr>
      </w:pPr>
      <w:r w:rsidRPr="00600C09">
        <w:rPr>
          <w:b/>
          <w:bCs/>
        </w:rPr>
        <w:t>Pledge</w:t>
      </w:r>
      <w:r w:rsidRPr="00600C09">
        <w:t xml:space="preserve">: Long-established in common and civil law. Recognized across jurisdictions, including pledges of goods, shares, and negotiable instruments. Enforceability strong, though sometimes weaker than mortgages. Enforceability score: </w:t>
      </w:r>
      <w:r w:rsidRPr="00600C09">
        <w:rPr>
          <w:b/>
          <w:bCs/>
        </w:rPr>
        <w:t>4</w:t>
      </w:r>
      <w:r w:rsidRPr="00600C09">
        <w:t>.</w:t>
      </w:r>
    </w:p>
    <w:p w14:paraId="71F57894" w14:textId="77777777" w:rsidR="00600C09" w:rsidRPr="00600C09" w:rsidRDefault="00600C09" w:rsidP="00600C09">
      <w:pPr>
        <w:numPr>
          <w:ilvl w:val="0"/>
          <w:numId w:val="127"/>
        </w:numPr>
      </w:pPr>
      <w:r w:rsidRPr="00600C09">
        <w:rPr>
          <w:b/>
          <w:bCs/>
        </w:rPr>
        <w:t>Rahn</w:t>
      </w:r>
      <w:r w:rsidRPr="00600C09">
        <w:t xml:space="preserve">: Strong recognition in Islamic jurisprudence, supported by Qur’an and Sunnah. Enforceability varies: where Islamic contracts are statutorily recognized (e.g., Malaysia’s Ar-Rahnu schemes), rahn enjoys strong legal standing. In cross-border contexts, enforceability less certain. Enforceability score: </w:t>
      </w:r>
      <w:r w:rsidRPr="00600C09">
        <w:rPr>
          <w:b/>
          <w:bCs/>
        </w:rPr>
        <w:t>3–4</w:t>
      </w:r>
      <w:r w:rsidRPr="00600C09">
        <w:t xml:space="preserve"> (average </w:t>
      </w:r>
      <w:r w:rsidRPr="00600C09">
        <w:rPr>
          <w:b/>
          <w:bCs/>
        </w:rPr>
        <w:t>3.5</w:t>
      </w:r>
      <w:r w:rsidRPr="00600C09">
        <w:t>).</w:t>
      </w:r>
    </w:p>
    <w:p w14:paraId="711FBB2D" w14:textId="77777777" w:rsidR="00600C09" w:rsidRPr="00600C09" w:rsidRDefault="00600C09" w:rsidP="00600C09">
      <w:pPr>
        <w:rPr>
          <w:b/>
          <w:bCs/>
        </w:rPr>
      </w:pPr>
      <w:r w:rsidRPr="00600C09">
        <w:rPr>
          <w:b/>
          <w:bCs/>
        </w:rPr>
        <w:t>4.4.3 Shariah Compliance</w:t>
      </w:r>
    </w:p>
    <w:p w14:paraId="695C9F76" w14:textId="77777777" w:rsidR="00600C09" w:rsidRPr="00600C09" w:rsidRDefault="00600C09" w:rsidP="00600C09">
      <w:pPr>
        <w:numPr>
          <w:ilvl w:val="0"/>
          <w:numId w:val="128"/>
        </w:numPr>
      </w:pPr>
      <w:r w:rsidRPr="00600C09">
        <w:rPr>
          <w:b/>
          <w:bCs/>
        </w:rPr>
        <w:t>Pledge</w:t>
      </w:r>
      <w:r w:rsidRPr="00600C09">
        <w:t xml:space="preserve">: Typically tied to conventional loans with interest, undermining Shariah compliance. Furthermore, creditors may derive benefit from pledged property (e.g., using it while in possession), which Shariah prohibits. Compliance score: </w:t>
      </w:r>
      <w:r w:rsidRPr="00600C09">
        <w:rPr>
          <w:b/>
          <w:bCs/>
        </w:rPr>
        <w:t>2</w:t>
      </w:r>
      <w:r w:rsidRPr="00600C09">
        <w:t>.</w:t>
      </w:r>
    </w:p>
    <w:p w14:paraId="215E6449" w14:textId="77777777" w:rsidR="00600C09" w:rsidRPr="00600C09" w:rsidRDefault="00600C09" w:rsidP="00600C09">
      <w:pPr>
        <w:numPr>
          <w:ilvl w:val="0"/>
          <w:numId w:val="128"/>
        </w:numPr>
      </w:pPr>
      <w:r w:rsidRPr="00600C09">
        <w:rPr>
          <w:b/>
          <w:bCs/>
        </w:rPr>
        <w:t>Rahn</w:t>
      </w:r>
      <w:r w:rsidRPr="00600C09">
        <w:t xml:space="preserve">: Directly sanctioned by Qur’an 2:283 and hadith. Accepted by all madhāhib. Restricts creditor benefit, ensuring fairness. Compliance score: </w:t>
      </w:r>
      <w:r w:rsidRPr="00600C09">
        <w:rPr>
          <w:b/>
          <w:bCs/>
        </w:rPr>
        <w:t>5</w:t>
      </w:r>
      <w:r w:rsidRPr="00600C09">
        <w:t>.</w:t>
      </w:r>
    </w:p>
    <w:p w14:paraId="3D3A0602" w14:textId="77777777" w:rsidR="00600C09" w:rsidRPr="00600C09" w:rsidRDefault="00600C09" w:rsidP="00600C09">
      <w:pPr>
        <w:rPr>
          <w:b/>
          <w:bCs/>
        </w:rPr>
      </w:pPr>
      <w:r w:rsidRPr="00600C09">
        <w:rPr>
          <w:b/>
          <w:bCs/>
        </w:rPr>
        <w:t>4.4.4 Functional Equivalence</w:t>
      </w:r>
    </w:p>
    <w:p w14:paraId="76054B1F" w14:textId="77777777" w:rsidR="00600C09" w:rsidRPr="00600C09" w:rsidRDefault="00600C09" w:rsidP="00600C09">
      <w:pPr>
        <w:numPr>
          <w:ilvl w:val="0"/>
          <w:numId w:val="129"/>
        </w:numPr>
      </w:pPr>
      <w:r w:rsidRPr="00600C09">
        <w:rPr>
          <w:b/>
          <w:bCs/>
        </w:rPr>
        <w:t>Pledge</w:t>
      </w:r>
      <w:r w:rsidRPr="00600C09">
        <w:t>: Provides effective creditor security, particularly for movable property. Widely used in project finance through share pledges.</w:t>
      </w:r>
    </w:p>
    <w:p w14:paraId="441FE0A5" w14:textId="77777777" w:rsidR="00600C09" w:rsidRPr="00600C09" w:rsidRDefault="00600C09" w:rsidP="00600C09">
      <w:pPr>
        <w:numPr>
          <w:ilvl w:val="0"/>
          <w:numId w:val="129"/>
        </w:numPr>
      </w:pPr>
      <w:r w:rsidRPr="00600C09">
        <w:rPr>
          <w:b/>
          <w:bCs/>
        </w:rPr>
        <w:t>Rahn</w:t>
      </w:r>
      <w:r w:rsidRPr="00600C09">
        <w:t xml:space="preserve">: Functionally almost identical. Its possession requirement aligns directly with pledge mechanics. In project finance, rahn of shares is particularly relevant, allowing creditors control over project companies upon default. Equivalence score: </w:t>
      </w:r>
      <w:r w:rsidRPr="00600C09">
        <w:rPr>
          <w:b/>
          <w:bCs/>
        </w:rPr>
        <w:t>4</w:t>
      </w:r>
      <w:r w:rsidRPr="00600C09">
        <w:t>.</w:t>
      </w:r>
    </w:p>
    <w:p w14:paraId="15F9E180" w14:textId="77777777" w:rsidR="00600C09" w:rsidRPr="00600C09" w:rsidRDefault="00600C09" w:rsidP="00600C09">
      <w:pPr>
        <w:rPr>
          <w:b/>
          <w:bCs/>
        </w:rPr>
      </w:pPr>
      <w:r w:rsidRPr="00600C09">
        <w:rPr>
          <w:b/>
          <w:bCs/>
        </w:rPr>
        <w:t>4.4.5 Compatibility Index Scoring</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499"/>
        <w:gridCol w:w="798"/>
        <w:gridCol w:w="640"/>
      </w:tblGrid>
      <w:tr w:rsidR="00600C09" w:rsidRPr="00600C09" w14:paraId="6E2C86F1" w14:textId="77777777">
        <w:trPr>
          <w:tblHeader/>
          <w:tblCellSpacing w:w="15" w:type="dxa"/>
        </w:trPr>
        <w:tc>
          <w:tcPr>
            <w:tcW w:w="0" w:type="auto"/>
            <w:vAlign w:val="center"/>
            <w:hideMark/>
          </w:tcPr>
          <w:p w14:paraId="2E4CB0E3" w14:textId="77777777" w:rsidR="00600C09" w:rsidRPr="00600C09" w:rsidRDefault="00600C09" w:rsidP="00600C09">
            <w:pPr>
              <w:rPr>
                <w:b/>
                <w:bCs/>
              </w:rPr>
            </w:pPr>
            <w:r w:rsidRPr="00600C09">
              <w:rPr>
                <w:b/>
                <w:bCs/>
              </w:rPr>
              <w:t>Dimension</w:t>
            </w:r>
          </w:p>
        </w:tc>
        <w:tc>
          <w:tcPr>
            <w:tcW w:w="0" w:type="auto"/>
            <w:vAlign w:val="center"/>
            <w:hideMark/>
          </w:tcPr>
          <w:p w14:paraId="4F2AAF95" w14:textId="77777777" w:rsidR="00600C09" w:rsidRPr="00600C09" w:rsidRDefault="00600C09" w:rsidP="00600C09">
            <w:pPr>
              <w:rPr>
                <w:b/>
                <w:bCs/>
              </w:rPr>
            </w:pPr>
            <w:r w:rsidRPr="00600C09">
              <w:rPr>
                <w:b/>
                <w:bCs/>
              </w:rPr>
              <w:t>Pledge</w:t>
            </w:r>
          </w:p>
        </w:tc>
        <w:tc>
          <w:tcPr>
            <w:tcW w:w="0" w:type="auto"/>
            <w:vAlign w:val="center"/>
            <w:hideMark/>
          </w:tcPr>
          <w:p w14:paraId="339ECD08" w14:textId="77777777" w:rsidR="00600C09" w:rsidRPr="00600C09" w:rsidRDefault="00600C09" w:rsidP="00600C09">
            <w:pPr>
              <w:rPr>
                <w:b/>
                <w:bCs/>
              </w:rPr>
            </w:pPr>
            <w:r w:rsidRPr="00600C09">
              <w:rPr>
                <w:b/>
                <w:bCs/>
              </w:rPr>
              <w:t>Rahn</w:t>
            </w:r>
          </w:p>
        </w:tc>
      </w:tr>
      <w:tr w:rsidR="00600C09" w:rsidRPr="00600C09" w14:paraId="4277A251" w14:textId="77777777">
        <w:trPr>
          <w:tblCellSpacing w:w="15" w:type="dxa"/>
        </w:trPr>
        <w:tc>
          <w:tcPr>
            <w:tcW w:w="0" w:type="auto"/>
            <w:vAlign w:val="center"/>
            <w:hideMark/>
          </w:tcPr>
          <w:p w14:paraId="3D41BFFD" w14:textId="77777777" w:rsidR="00600C09" w:rsidRPr="00600C09" w:rsidRDefault="00600C09" w:rsidP="00600C09">
            <w:r w:rsidRPr="00600C09">
              <w:t>Legal Enforceability</w:t>
            </w:r>
          </w:p>
        </w:tc>
        <w:tc>
          <w:tcPr>
            <w:tcW w:w="0" w:type="auto"/>
            <w:vAlign w:val="center"/>
            <w:hideMark/>
          </w:tcPr>
          <w:p w14:paraId="1E6F313E" w14:textId="77777777" w:rsidR="00600C09" w:rsidRPr="00600C09" w:rsidRDefault="00600C09" w:rsidP="00600C09">
            <w:r w:rsidRPr="00600C09">
              <w:t>4</w:t>
            </w:r>
          </w:p>
        </w:tc>
        <w:tc>
          <w:tcPr>
            <w:tcW w:w="0" w:type="auto"/>
            <w:vAlign w:val="center"/>
            <w:hideMark/>
          </w:tcPr>
          <w:p w14:paraId="2AC0D351" w14:textId="77777777" w:rsidR="00600C09" w:rsidRPr="00600C09" w:rsidRDefault="00600C09" w:rsidP="00600C09">
            <w:r w:rsidRPr="00600C09">
              <w:t>3.5</w:t>
            </w:r>
          </w:p>
        </w:tc>
      </w:tr>
      <w:tr w:rsidR="00600C09" w:rsidRPr="00600C09" w14:paraId="6542FD9C" w14:textId="77777777">
        <w:trPr>
          <w:tblCellSpacing w:w="15" w:type="dxa"/>
        </w:trPr>
        <w:tc>
          <w:tcPr>
            <w:tcW w:w="0" w:type="auto"/>
            <w:vAlign w:val="center"/>
            <w:hideMark/>
          </w:tcPr>
          <w:p w14:paraId="029AD9BE" w14:textId="77777777" w:rsidR="00600C09" w:rsidRPr="00600C09" w:rsidRDefault="00600C09" w:rsidP="00600C09">
            <w:r w:rsidRPr="00600C09">
              <w:t>Shariah Compliance</w:t>
            </w:r>
          </w:p>
        </w:tc>
        <w:tc>
          <w:tcPr>
            <w:tcW w:w="0" w:type="auto"/>
            <w:vAlign w:val="center"/>
            <w:hideMark/>
          </w:tcPr>
          <w:p w14:paraId="099FF91C" w14:textId="77777777" w:rsidR="00600C09" w:rsidRPr="00600C09" w:rsidRDefault="00600C09" w:rsidP="00600C09">
            <w:r w:rsidRPr="00600C09">
              <w:t>2</w:t>
            </w:r>
          </w:p>
        </w:tc>
        <w:tc>
          <w:tcPr>
            <w:tcW w:w="0" w:type="auto"/>
            <w:vAlign w:val="center"/>
            <w:hideMark/>
          </w:tcPr>
          <w:p w14:paraId="59246BA8" w14:textId="77777777" w:rsidR="00600C09" w:rsidRPr="00600C09" w:rsidRDefault="00600C09" w:rsidP="00600C09">
            <w:r w:rsidRPr="00600C09">
              <w:t>5</w:t>
            </w:r>
          </w:p>
        </w:tc>
      </w:tr>
      <w:tr w:rsidR="00600C09" w:rsidRPr="00600C09" w14:paraId="2CE8A9BB" w14:textId="77777777">
        <w:trPr>
          <w:tblCellSpacing w:w="15" w:type="dxa"/>
        </w:trPr>
        <w:tc>
          <w:tcPr>
            <w:tcW w:w="0" w:type="auto"/>
            <w:vAlign w:val="center"/>
            <w:hideMark/>
          </w:tcPr>
          <w:p w14:paraId="560848AD" w14:textId="77777777" w:rsidR="00600C09" w:rsidRPr="00600C09" w:rsidRDefault="00600C09" w:rsidP="00600C09">
            <w:r w:rsidRPr="00600C09">
              <w:t>Functional Equivalence</w:t>
            </w:r>
          </w:p>
        </w:tc>
        <w:tc>
          <w:tcPr>
            <w:tcW w:w="0" w:type="auto"/>
            <w:vAlign w:val="center"/>
            <w:hideMark/>
          </w:tcPr>
          <w:p w14:paraId="16D8EA1E" w14:textId="77777777" w:rsidR="00600C09" w:rsidRPr="00600C09" w:rsidRDefault="00600C09" w:rsidP="00600C09">
            <w:r w:rsidRPr="00600C09">
              <w:t>4</w:t>
            </w:r>
          </w:p>
        </w:tc>
        <w:tc>
          <w:tcPr>
            <w:tcW w:w="0" w:type="auto"/>
            <w:vAlign w:val="center"/>
            <w:hideMark/>
          </w:tcPr>
          <w:p w14:paraId="1A9A4F80" w14:textId="77777777" w:rsidR="00600C09" w:rsidRPr="00600C09" w:rsidRDefault="00600C09" w:rsidP="00600C09">
            <w:r w:rsidRPr="00600C09">
              <w:t>4</w:t>
            </w:r>
          </w:p>
        </w:tc>
      </w:tr>
    </w:tbl>
    <w:p w14:paraId="74C448AA" w14:textId="77777777" w:rsidR="00600C09" w:rsidRPr="00600C09" w:rsidRDefault="00600C09" w:rsidP="00600C09">
      <w:r w:rsidRPr="00600C09">
        <w:rPr>
          <w:b/>
          <w:bCs/>
        </w:rPr>
        <w:t>Composite Index (Rahn): (3.5 + 5 + 4) ÷ 3 = 4.17 ≈ 4.2</w:t>
      </w:r>
    </w:p>
    <w:p w14:paraId="2924AAE1" w14:textId="77777777" w:rsidR="00600C09" w:rsidRPr="00600C09" w:rsidRDefault="00600C09" w:rsidP="00600C09">
      <w:pPr>
        <w:rPr>
          <w:b/>
          <w:bCs/>
        </w:rPr>
      </w:pPr>
      <w:r w:rsidRPr="00600C09">
        <w:rPr>
          <w:b/>
          <w:bCs/>
        </w:rPr>
        <w:t>4.4.6 Implications for Project Finance</w:t>
      </w:r>
    </w:p>
    <w:p w14:paraId="7EBC3CCC" w14:textId="77777777" w:rsidR="00600C09" w:rsidRPr="00600C09" w:rsidRDefault="00600C09" w:rsidP="00600C09">
      <w:pPr>
        <w:numPr>
          <w:ilvl w:val="0"/>
          <w:numId w:val="130"/>
        </w:numPr>
      </w:pPr>
      <w:r w:rsidRPr="00600C09">
        <w:rPr>
          <w:b/>
          <w:bCs/>
        </w:rPr>
        <w:lastRenderedPageBreak/>
        <w:t>Strengths</w:t>
      </w:r>
      <w:r w:rsidRPr="00600C09">
        <w:t>: Rahn is highly suitable for share pledges in project companies, a common requirement in infrastructure finance. It provides creditors with indirect control without violating Shariah.</w:t>
      </w:r>
    </w:p>
    <w:p w14:paraId="16754DC1" w14:textId="77777777" w:rsidR="00600C09" w:rsidRPr="00600C09" w:rsidRDefault="00600C09" w:rsidP="00600C09">
      <w:pPr>
        <w:numPr>
          <w:ilvl w:val="0"/>
          <w:numId w:val="130"/>
        </w:numPr>
      </w:pPr>
      <w:r w:rsidRPr="00600C09">
        <w:rPr>
          <w:b/>
          <w:bCs/>
        </w:rPr>
        <w:t>Weaknesses</w:t>
      </w:r>
      <w:r w:rsidRPr="00600C09">
        <w:t>: Enforceability outside Islamic jurisdictions remains a concern. Debates persist about whether large-scale project assets (e.g., entire plants) can realistically be held under rahn.</w:t>
      </w:r>
    </w:p>
    <w:p w14:paraId="102710FE" w14:textId="3456961A" w:rsidR="00600C09" w:rsidRPr="00600C09" w:rsidRDefault="00600C09" w:rsidP="00600C09">
      <w:pPr>
        <w:numPr>
          <w:ilvl w:val="0"/>
          <w:numId w:val="130"/>
        </w:numPr>
      </w:pPr>
      <w:r w:rsidRPr="00600C09">
        <w:rPr>
          <w:b/>
          <w:bCs/>
        </w:rPr>
        <w:t>Practical resolution</w:t>
      </w:r>
      <w:r w:rsidRPr="00600C09">
        <w:t>: In practice, Islamic financiers rely on rahn for movable property and shares, while combining with statutory frameworks for immovable assets.</w:t>
      </w:r>
    </w:p>
    <w:p w14:paraId="45C3A030" w14:textId="77777777" w:rsidR="00600C09" w:rsidRPr="00600C09" w:rsidRDefault="00600C09" w:rsidP="00600C09">
      <w:pPr>
        <w:rPr>
          <w:b/>
          <w:bCs/>
        </w:rPr>
      </w:pPr>
      <w:r w:rsidRPr="00600C09">
        <w:rPr>
          <w:b/>
          <w:bCs/>
        </w:rPr>
        <w:t>4.5 Guarantee vs. Kafālah/</w:t>
      </w:r>
      <w:r w:rsidRPr="00600C09">
        <w:rPr>
          <w:rFonts w:ascii="Calibri" w:hAnsi="Calibri" w:cs="Calibri"/>
          <w:b/>
          <w:bCs/>
        </w:rPr>
        <w:t>Ḍ</w:t>
      </w:r>
      <w:r w:rsidRPr="00600C09">
        <w:rPr>
          <w:b/>
          <w:bCs/>
        </w:rPr>
        <w:t>amān</w:t>
      </w:r>
    </w:p>
    <w:p w14:paraId="7CE528F3" w14:textId="77777777" w:rsidR="00600C09" w:rsidRPr="00600C09" w:rsidRDefault="00600C09" w:rsidP="00600C09">
      <w:pPr>
        <w:rPr>
          <w:b/>
          <w:bCs/>
        </w:rPr>
      </w:pPr>
      <w:r w:rsidRPr="00600C09">
        <w:rPr>
          <w:b/>
          <w:bCs/>
        </w:rPr>
        <w:t>4.5.1 Conceptual Comparison</w:t>
      </w:r>
    </w:p>
    <w:p w14:paraId="7E60F878" w14:textId="77777777" w:rsidR="00600C09" w:rsidRPr="00600C09" w:rsidRDefault="00600C09" w:rsidP="00600C09">
      <w:r w:rsidRPr="00600C09">
        <w:t xml:space="preserve">The </w:t>
      </w:r>
      <w:r w:rsidRPr="00600C09">
        <w:rPr>
          <w:b/>
          <w:bCs/>
        </w:rPr>
        <w:t>conventional guarantee</w:t>
      </w:r>
      <w:r w:rsidRPr="00600C09">
        <w:t xml:space="preserve"> is a contractual undertaking in which a guarantor promises to discharge the obligations of a debtor if the debtor fails to perform. Guarantees are widely used in banking, trade finance, and project finance. They may be compensated, with banks charging guarantee fees.</w:t>
      </w:r>
    </w:p>
    <w:p w14:paraId="69292015" w14:textId="77777777" w:rsidR="00600C09" w:rsidRPr="00600C09" w:rsidRDefault="00600C09" w:rsidP="00600C09">
      <w:r w:rsidRPr="00600C09">
        <w:t xml:space="preserve">In Islamic law, the equivalents are </w:t>
      </w:r>
      <w:r w:rsidRPr="00600C09">
        <w:rPr>
          <w:b/>
          <w:bCs/>
        </w:rPr>
        <w:t>kafālah</w:t>
      </w:r>
      <w:r w:rsidRPr="00600C09">
        <w:t xml:space="preserve"> (joining liability to the debtor) and </w:t>
      </w:r>
      <w:r w:rsidRPr="00600C09">
        <w:rPr>
          <w:rFonts w:ascii="Calibri" w:hAnsi="Calibri" w:cs="Calibri"/>
          <w:b/>
          <w:bCs/>
        </w:rPr>
        <w:t>ḍ</w:t>
      </w:r>
      <w:r w:rsidRPr="00600C09">
        <w:rPr>
          <w:b/>
          <w:bCs/>
        </w:rPr>
        <w:t>amān</w:t>
      </w:r>
      <w:r w:rsidRPr="00600C09">
        <w:t xml:space="preserve"> (assuming responsibility for another’s obligation). Both are rooted in the hadith: </w:t>
      </w:r>
      <w:r w:rsidRPr="00600C09">
        <w:rPr>
          <w:i/>
          <w:iCs/>
        </w:rPr>
        <w:t>“Al-kafīl ghārim”</w:t>
      </w:r>
      <w:r w:rsidRPr="00600C09">
        <w:t xml:space="preserve"> (“The guarantor is liable”) (Abu Dawud, Hadith no. 3307). Functionally, kafālah and </w:t>
      </w:r>
      <w:r w:rsidRPr="00600C09">
        <w:rPr>
          <w:rFonts w:ascii="Calibri" w:hAnsi="Calibri" w:cs="Calibri"/>
        </w:rPr>
        <w:t>ḍ</w:t>
      </w:r>
      <w:r w:rsidRPr="00600C09">
        <w:t>amān strengthen the creditor’s position by adding a second obligor.</w:t>
      </w:r>
    </w:p>
    <w:p w14:paraId="69C0B5A5" w14:textId="77777777" w:rsidR="00600C09" w:rsidRPr="00600C09" w:rsidRDefault="00600C09" w:rsidP="00600C09">
      <w:r w:rsidRPr="00600C09">
        <w:t xml:space="preserve">The key difference lies in their gratuitous nature: classical jurists consider guarantees to be acts of </w:t>
      </w:r>
      <w:r w:rsidRPr="00600C09">
        <w:rPr>
          <w:i/>
          <w:iCs/>
        </w:rPr>
        <w:t>tabarru</w:t>
      </w:r>
      <w:r w:rsidRPr="00600C09">
        <w:rPr>
          <w:rFonts w:ascii="Arial" w:hAnsi="Arial" w:cs="Arial"/>
          <w:i/>
          <w:iCs/>
        </w:rPr>
        <w:t>ʿ</w:t>
      </w:r>
      <w:r w:rsidRPr="00600C09">
        <w:t xml:space="preserve"> (benevolence), prohibiting fees except for administrative costs.</w:t>
      </w:r>
    </w:p>
    <w:p w14:paraId="210569FD" w14:textId="77777777" w:rsidR="00600C09" w:rsidRPr="00600C09" w:rsidRDefault="00600C09" w:rsidP="00600C09">
      <w:pPr>
        <w:rPr>
          <w:b/>
          <w:bCs/>
        </w:rPr>
      </w:pPr>
      <w:r w:rsidRPr="00600C09">
        <w:rPr>
          <w:b/>
          <w:bCs/>
        </w:rPr>
        <w:t>4.5.2 Legal Enforceability</w:t>
      </w:r>
    </w:p>
    <w:p w14:paraId="67BFC9BA" w14:textId="77777777" w:rsidR="00600C09" w:rsidRPr="00600C09" w:rsidRDefault="00600C09" w:rsidP="00600C09">
      <w:pPr>
        <w:numPr>
          <w:ilvl w:val="0"/>
          <w:numId w:val="133"/>
        </w:numPr>
      </w:pPr>
      <w:r w:rsidRPr="00600C09">
        <w:rPr>
          <w:b/>
          <w:bCs/>
        </w:rPr>
        <w:t>Conventional guarantee</w:t>
      </w:r>
      <w:r w:rsidRPr="00600C09">
        <w:t xml:space="preserve">: Highly enforceable across jurisdictions. Clear statutory and case law support, with remedies including immediate recourse against the guarantor. Enforceability score: </w:t>
      </w:r>
      <w:r w:rsidRPr="00600C09">
        <w:rPr>
          <w:b/>
          <w:bCs/>
        </w:rPr>
        <w:t>5</w:t>
      </w:r>
      <w:r w:rsidRPr="00600C09">
        <w:t>.</w:t>
      </w:r>
    </w:p>
    <w:p w14:paraId="43AAD4F6" w14:textId="77777777" w:rsidR="00600C09" w:rsidRPr="00600C09" w:rsidRDefault="00600C09" w:rsidP="00600C09">
      <w:pPr>
        <w:numPr>
          <w:ilvl w:val="0"/>
          <w:numId w:val="133"/>
        </w:numPr>
      </w:pPr>
      <w:r w:rsidRPr="00600C09">
        <w:rPr>
          <w:b/>
          <w:bCs/>
        </w:rPr>
        <w:t>Kafālah/</w:t>
      </w:r>
      <w:r w:rsidRPr="00600C09">
        <w:rPr>
          <w:rFonts w:ascii="Calibri" w:hAnsi="Calibri" w:cs="Calibri"/>
          <w:b/>
          <w:bCs/>
        </w:rPr>
        <w:t>Ḍ</w:t>
      </w:r>
      <w:r w:rsidRPr="00600C09">
        <w:rPr>
          <w:b/>
          <w:bCs/>
        </w:rPr>
        <w:t>amān</w:t>
      </w:r>
      <w:r w:rsidRPr="00600C09">
        <w:t xml:space="preserve">: Recognized in Islamic jurisprudence and codified in modern Islamic finance laws (e.g., Malaysia’s Islamic Financial Services Act 2013). However, enforceability depends on courts’ recognition of Shariah contracts. Some jurisdictions allow guarantees with fees, conflicting with Shariah. Enforceability score: </w:t>
      </w:r>
      <w:r w:rsidRPr="00600C09">
        <w:rPr>
          <w:b/>
          <w:bCs/>
        </w:rPr>
        <w:t>3.5</w:t>
      </w:r>
      <w:r w:rsidRPr="00600C09">
        <w:t>.</w:t>
      </w:r>
    </w:p>
    <w:p w14:paraId="0BB8CCE5" w14:textId="77777777" w:rsidR="00600C09" w:rsidRPr="00600C09" w:rsidRDefault="00600C09" w:rsidP="00600C09">
      <w:pPr>
        <w:rPr>
          <w:b/>
          <w:bCs/>
        </w:rPr>
      </w:pPr>
      <w:r w:rsidRPr="00600C09">
        <w:rPr>
          <w:b/>
          <w:bCs/>
        </w:rPr>
        <w:t>4.5.3 Shariah Compliance</w:t>
      </w:r>
    </w:p>
    <w:p w14:paraId="4B991368" w14:textId="77777777" w:rsidR="00600C09" w:rsidRPr="00600C09" w:rsidRDefault="00600C09" w:rsidP="00600C09">
      <w:pPr>
        <w:numPr>
          <w:ilvl w:val="0"/>
          <w:numId w:val="134"/>
        </w:numPr>
      </w:pPr>
      <w:r w:rsidRPr="00600C09">
        <w:rPr>
          <w:b/>
          <w:bCs/>
        </w:rPr>
        <w:t>Conventional guarantee</w:t>
      </w:r>
      <w:r w:rsidRPr="00600C09">
        <w:t xml:space="preserve">: Often fee-based, constituting ribā from the Shariah perspective. Moreover, some structures allow guarantors to profit without bearing real risk, contradicting fairness principles. Compliance score: </w:t>
      </w:r>
      <w:r w:rsidRPr="00600C09">
        <w:rPr>
          <w:b/>
          <w:bCs/>
        </w:rPr>
        <w:t>2</w:t>
      </w:r>
      <w:r w:rsidRPr="00600C09">
        <w:t>.</w:t>
      </w:r>
    </w:p>
    <w:p w14:paraId="4A8A48AF" w14:textId="77777777" w:rsidR="00600C09" w:rsidRPr="00600C09" w:rsidRDefault="00600C09" w:rsidP="00600C09">
      <w:pPr>
        <w:numPr>
          <w:ilvl w:val="0"/>
          <w:numId w:val="134"/>
        </w:numPr>
      </w:pPr>
      <w:r w:rsidRPr="00600C09">
        <w:rPr>
          <w:b/>
          <w:bCs/>
        </w:rPr>
        <w:lastRenderedPageBreak/>
        <w:t>Kafālah/</w:t>
      </w:r>
      <w:r w:rsidRPr="00600C09">
        <w:rPr>
          <w:rFonts w:ascii="Calibri" w:hAnsi="Calibri" w:cs="Calibri"/>
          <w:b/>
          <w:bCs/>
        </w:rPr>
        <w:t>Ḍ</w:t>
      </w:r>
      <w:r w:rsidRPr="00600C09">
        <w:rPr>
          <w:b/>
          <w:bCs/>
        </w:rPr>
        <w:t>amān</w:t>
      </w:r>
      <w:r w:rsidRPr="00600C09">
        <w:t xml:space="preserve">: Explicitly endorsed by Qur’an and Sunnah, unanimously recognized by madhāhib. Prohibition of fees ensures fairness. Compliance score: </w:t>
      </w:r>
      <w:r w:rsidRPr="00600C09">
        <w:rPr>
          <w:b/>
          <w:bCs/>
        </w:rPr>
        <w:t>5</w:t>
      </w:r>
      <w:r w:rsidRPr="00600C09">
        <w:t>.</w:t>
      </w:r>
    </w:p>
    <w:p w14:paraId="36133B7D" w14:textId="77777777" w:rsidR="00600C09" w:rsidRPr="00600C09" w:rsidRDefault="00600C09" w:rsidP="00600C09">
      <w:pPr>
        <w:rPr>
          <w:b/>
          <w:bCs/>
        </w:rPr>
      </w:pPr>
      <w:r w:rsidRPr="00600C09">
        <w:rPr>
          <w:b/>
          <w:bCs/>
        </w:rPr>
        <w:t>4.5.4 Functional Equivalence</w:t>
      </w:r>
    </w:p>
    <w:p w14:paraId="1ADE030E" w14:textId="77777777" w:rsidR="00600C09" w:rsidRPr="00600C09" w:rsidRDefault="00600C09" w:rsidP="00600C09">
      <w:pPr>
        <w:numPr>
          <w:ilvl w:val="0"/>
          <w:numId w:val="135"/>
        </w:numPr>
      </w:pPr>
      <w:r w:rsidRPr="00600C09">
        <w:rPr>
          <w:b/>
          <w:bCs/>
        </w:rPr>
        <w:t>Conventional guarantee</w:t>
      </w:r>
      <w:r w:rsidRPr="00600C09">
        <w:t>: Provides full assurance, enforceable directly against guarantor.</w:t>
      </w:r>
    </w:p>
    <w:p w14:paraId="5227DEFE" w14:textId="77777777" w:rsidR="00600C09" w:rsidRPr="00600C09" w:rsidRDefault="00600C09" w:rsidP="00600C09">
      <w:pPr>
        <w:numPr>
          <w:ilvl w:val="0"/>
          <w:numId w:val="135"/>
        </w:numPr>
      </w:pPr>
      <w:r w:rsidRPr="00600C09">
        <w:rPr>
          <w:b/>
          <w:bCs/>
        </w:rPr>
        <w:t>Kafālah/</w:t>
      </w:r>
      <w:r w:rsidRPr="00600C09">
        <w:rPr>
          <w:rFonts w:ascii="Calibri" w:hAnsi="Calibri" w:cs="Calibri"/>
          <w:b/>
          <w:bCs/>
        </w:rPr>
        <w:t>Ḍ</w:t>
      </w:r>
      <w:r w:rsidRPr="00600C09">
        <w:rPr>
          <w:b/>
          <w:bCs/>
        </w:rPr>
        <w:t>amān</w:t>
      </w:r>
      <w:r w:rsidRPr="00600C09">
        <w:t xml:space="preserve">: Functionally equivalent — both give creditors recourse against a guarantor. However, prohibition of fees limits use in commercial contexts. In project finance, banks often require fee-based guarantees, creating tension with Shariah. Equivalence score: </w:t>
      </w:r>
      <w:r w:rsidRPr="00600C09">
        <w:rPr>
          <w:b/>
          <w:bCs/>
        </w:rPr>
        <w:t>4</w:t>
      </w:r>
      <w:r w:rsidRPr="00600C09">
        <w:t>.</w:t>
      </w:r>
    </w:p>
    <w:p w14:paraId="5EA284DF" w14:textId="77777777" w:rsidR="00600C09" w:rsidRPr="00600C09" w:rsidRDefault="00600C09" w:rsidP="00600C09">
      <w:pPr>
        <w:rPr>
          <w:b/>
          <w:bCs/>
        </w:rPr>
      </w:pPr>
      <w:r w:rsidRPr="00600C09">
        <w:rPr>
          <w:b/>
          <w:bCs/>
        </w:rPr>
        <w:t>4.5.5 Compatibility Index Scoring</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499"/>
        <w:gridCol w:w="2719"/>
        <w:gridCol w:w="1771"/>
      </w:tblGrid>
      <w:tr w:rsidR="00600C09" w:rsidRPr="00600C09" w14:paraId="32E97006" w14:textId="77777777">
        <w:trPr>
          <w:tblHeader/>
          <w:tblCellSpacing w:w="15" w:type="dxa"/>
        </w:trPr>
        <w:tc>
          <w:tcPr>
            <w:tcW w:w="0" w:type="auto"/>
            <w:vAlign w:val="center"/>
            <w:hideMark/>
          </w:tcPr>
          <w:p w14:paraId="1BD04D9C" w14:textId="77777777" w:rsidR="00600C09" w:rsidRPr="00600C09" w:rsidRDefault="00600C09" w:rsidP="00600C09">
            <w:pPr>
              <w:rPr>
                <w:b/>
                <w:bCs/>
              </w:rPr>
            </w:pPr>
            <w:r w:rsidRPr="00600C09">
              <w:rPr>
                <w:b/>
                <w:bCs/>
              </w:rPr>
              <w:t>Dimension</w:t>
            </w:r>
          </w:p>
        </w:tc>
        <w:tc>
          <w:tcPr>
            <w:tcW w:w="0" w:type="auto"/>
            <w:vAlign w:val="center"/>
            <w:hideMark/>
          </w:tcPr>
          <w:p w14:paraId="213E110C" w14:textId="77777777" w:rsidR="00600C09" w:rsidRPr="00600C09" w:rsidRDefault="00600C09" w:rsidP="00600C09">
            <w:pPr>
              <w:rPr>
                <w:b/>
                <w:bCs/>
              </w:rPr>
            </w:pPr>
            <w:r w:rsidRPr="00600C09">
              <w:rPr>
                <w:b/>
                <w:bCs/>
              </w:rPr>
              <w:t>Conventional Guarantee</w:t>
            </w:r>
          </w:p>
        </w:tc>
        <w:tc>
          <w:tcPr>
            <w:tcW w:w="0" w:type="auto"/>
            <w:vAlign w:val="center"/>
            <w:hideMark/>
          </w:tcPr>
          <w:p w14:paraId="6520B5C0" w14:textId="77777777" w:rsidR="00600C09" w:rsidRPr="00600C09" w:rsidRDefault="00600C09" w:rsidP="00600C09">
            <w:pPr>
              <w:rPr>
                <w:b/>
                <w:bCs/>
              </w:rPr>
            </w:pPr>
            <w:r w:rsidRPr="00600C09">
              <w:rPr>
                <w:b/>
                <w:bCs/>
              </w:rPr>
              <w:t>Kafālah/</w:t>
            </w:r>
            <w:r w:rsidRPr="00600C09">
              <w:rPr>
                <w:rFonts w:ascii="Calibri" w:hAnsi="Calibri" w:cs="Calibri"/>
                <w:b/>
                <w:bCs/>
              </w:rPr>
              <w:t>Ḍ</w:t>
            </w:r>
            <w:r w:rsidRPr="00600C09">
              <w:rPr>
                <w:b/>
                <w:bCs/>
              </w:rPr>
              <w:t>amān</w:t>
            </w:r>
          </w:p>
        </w:tc>
      </w:tr>
      <w:tr w:rsidR="00600C09" w:rsidRPr="00600C09" w14:paraId="728638FC" w14:textId="77777777">
        <w:trPr>
          <w:tblCellSpacing w:w="15" w:type="dxa"/>
        </w:trPr>
        <w:tc>
          <w:tcPr>
            <w:tcW w:w="0" w:type="auto"/>
            <w:vAlign w:val="center"/>
            <w:hideMark/>
          </w:tcPr>
          <w:p w14:paraId="407B77E3" w14:textId="77777777" w:rsidR="00600C09" w:rsidRPr="00600C09" w:rsidRDefault="00600C09" w:rsidP="00600C09">
            <w:r w:rsidRPr="00600C09">
              <w:t>Legal Enforceability</w:t>
            </w:r>
          </w:p>
        </w:tc>
        <w:tc>
          <w:tcPr>
            <w:tcW w:w="0" w:type="auto"/>
            <w:vAlign w:val="center"/>
            <w:hideMark/>
          </w:tcPr>
          <w:p w14:paraId="5BB313E8" w14:textId="77777777" w:rsidR="00600C09" w:rsidRPr="00600C09" w:rsidRDefault="00600C09" w:rsidP="00600C09">
            <w:r w:rsidRPr="00600C09">
              <w:t>5</w:t>
            </w:r>
          </w:p>
        </w:tc>
        <w:tc>
          <w:tcPr>
            <w:tcW w:w="0" w:type="auto"/>
            <w:vAlign w:val="center"/>
            <w:hideMark/>
          </w:tcPr>
          <w:p w14:paraId="000FA053" w14:textId="77777777" w:rsidR="00600C09" w:rsidRPr="00600C09" w:rsidRDefault="00600C09" w:rsidP="00600C09">
            <w:r w:rsidRPr="00600C09">
              <w:t>3.5</w:t>
            </w:r>
          </w:p>
        </w:tc>
      </w:tr>
      <w:tr w:rsidR="00600C09" w:rsidRPr="00600C09" w14:paraId="172BF1A0" w14:textId="77777777">
        <w:trPr>
          <w:tblCellSpacing w:w="15" w:type="dxa"/>
        </w:trPr>
        <w:tc>
          <w:tcPr>
            <w:tcW w:w="0" w:type="auto"/>
            <w:vAlign w:val="center"/>
            <w:hideMark/>
          </w:tcPr>
          <w:p w14:paraId="22451B87" w14:textId="77777777" w:rsidR="00600C09" w:rsidRPr="00600C09" w:rsidRDefault="00600C09" w:rsidP="00600C09">
            <w:r w:rsidRPr="00600C09">
              <w:t>Shariah Compliance</w:t>
            </w:r>
          </w:p>
        </w:tc>
        <w:tc>
          <w:tcPr>
            <w:tcW w:w="0" w:type="auto"/>
            <w:vAlign w:val="center"/>
            <w:hideMark/>
          </w:tcPr>
          <w:p w14:paraId="503DD499" w14:textId="77777777" w:rsidR="00600C09" w:rsidRPr="00600C09" w:rsidRDefault="00600C09" w:rsidP="00600C09">
            <w:r w:rsidRPr="00600C09">
              <w:t>2</w:t>
            </w:r>
          </w:p>
        </w:tc>
        <w:tc>
          <w:tcPr>
            <w:tcW w:w="0" w:type="auto"/>
            <w:vAlign w:val="center"/>
            <w:hideMark/>
          </w:tcPr>
          <w:p w14:paraId="6F11C127" w14:textId="77777777" w:rsidR="00600C09" w:rsidRPr="00600C09" w:rsidRDefault="00600C09" w:rsidP="00600C09">
            <w:r w:rsidRPr="00600C09">
              <w:t>5</w:t>
            </w:r>
          </w:p>
        </w:tc>
      </w:tr>
      <w:tr w:rsidR="00600C09" w:rsidRPr="00600C09" w14:paraId="36331A03" w14:textId="77777777">
        <w:trPr>
          <w:tblCellSpacing w:w="15" w:type="dxa"/>
        </w:trPr>
        <w:tc>
          <w:tcPr>
            <w:tcW w:w="0" w:type="auto"/>
            <w:vAlign w:val="center"/>
            <w:hideMark/>
          </w:tcPr>
          <w:p w14:paraId="0BE155BA" w14:textId="77777777" w:rsidR="00600C09" w:rsidRPr="00600C09" w:rsidRDefault="00600C09" w:rsidP="00600C09">
            <w:r w:rsidRPr="00600C09">
              <w:t>Functional Equivalence</w:t>
            </w:r>
          </w:p>
        </w:tc>
        <w:tc>
          <w:tcPr>
            <w:tcW w:w="0" w:type="auto"/>
            <w:vAlign w:val="center"/>
            <w:hideMark/>
          </w:tcPr>
          <w:p w14:paraId="5EA288CD" w14:textId="77777777" w:rsidR="00600C09" w:rsidRPr="00600C09" w:rsidRDefault="00600C09" w:rsidP="00600C09">
            <w:r w:rsidRPr="00600C09">
              <w:t>5</w:t>
            </w:r>
          </w:p>
        </w:tc>
        <w:tc>
          <w:tcPr>
            <w:tcW w:w="0" w:type="auto"/>
            <w:vAlign w:val="center"/>
            <w:hideMark/>
          </w:tcPr>
          <w:p w14:paraId="1C66FE36" w14:textId="77777777" w:rsidR="00600C09" w:rsidRPr="00600C09" w:rsidRDefault="00600C09" w:rsidP="00600C09">
            <w:r w:rsidRPr="00600C09">
              <w:t>4</w:t>
            </w:r>
          </w:p>
        </w:tc>
      </w:tr>
    </w:tbl>
    <w:p w14:paraId="6179A800" w14:textId="77777777" w:rsidR="00600C09" w:rsidRPr="00600C09" w:rsidRDefault="00600C09" w:rsidP="00600C09">
      <w:r w:rsidRPr="00600C09">
        <w:rPr>
          <w:b/>
          <w:bCs/>
        </w:rPr>
        <w:t>Composite Index (Kafālah/</w:t>
      </w:r>
      <w:r w:rsidRPr="00600C09">
        <w:rPr>
          <w:rFonts w:ascii="Calibri" w:hAnsi="Calibri" w:cs="Calibri"/>
          <w:b/>
          <w:bCs/>
        </w:rPr>
        <w:t>Ḍ</w:t>
      </w:r>
      <w:r w:rsidRPr="00600C09">
        <w:rPr>
          <w:b/>
          <w:bCs/>
        </w:rPr>
        <w:t>amān): (3.5 + 5 + 4) ÷ 3 = 4.17 ≈ 4.2</w:t>
      </w:r>
    </w:p>
    <w:p w14:paraId="132EE9B6" w14:textId="77777777" w:rsidR="00600C09" w:rsidRPr="00600C09" w:rsidRDefault="00600C09" w:rsidP="00600C09">
      <w:pPr>
        <w:rPr>
          <w:b/>
          <w:bCs/>
        </w:rPr>
      </w:pPr>
      <w:r w:rsidRPr="00600C09">
        <w:rPr>
          <w:b/>
          <w:bCs/>
        </w:rPr>
        <w:t>4.5.6 Implications for Project Finance</w:t>
      </w:r>
    </w:p>
    <w:p w14:paraId="09C89934" w14:textId="77777777" w:rsidR="00600C09" w:rsidRPr="00600C09" w:rsidRDefault="00600C09" w:rsidP="00600C09">
      <w:pPr>
        <w:numPr>
          <w:ilvl w:val="0"/>
          <w:numId w:val="136"/>
        </w:numPr>
      </w:pPr>
      <w:r w:rsidRPr="00600C09">
        <w:rPr>
          <w:b/>
          <w:bCs/>
        </w:rPr>
        <w:t>Strengths</w:t>
      </w:r>
      <w:r w:rsidRPr="00600C09">
        <w:t xml:space="preserve">: Kafālah and </w:t>
      </w:r>
      <w:r w:rsidRPr="00600C09">
        <w:rPr>
          <w:rFonts w:ascii="Calibri" w:hAnsi="Calibri" w:cs="Calibri"/>
        </w:rPr>
        <w:t>Ḍ</w:t>
      </w:r>
      <w:r w:rsidRPr="00600C09">
        <w:t>amān provide powerful creditor assurance, especially in syndicated financings. They are well-suited for corporate and completion guarantees in project structures.</w:t>
      </w:r>
    </w:p>
    <w:p w14:paraId="6FAA0833" w14:textId="77777777" w:rsidR="00600C09" w:rsidRPr="00600C09" w:rsidRDefault="00600C09" w:rsidP="00600C09">
      <w:pPr>
        <w:numPr>
          <w:ilvl w:val="0"/>
          <w:numId w:val="136"/>
        </w:numPr>
      </w:pPr>
      <w:r w:rsidRPr="00600C09">
        <w:rPr>
          <w:b/>
          <w:bCs/>
        </w:rPr>
        <w:t>Weaknesses</w:t>
      </w:r>
      <w:r w:rsidRPr="00600C09">
        <w:t>: Non-commercialization limits their use in international contexts where fee-based guarantees dominate.</w:t>
      </w:r>
    </w:p>
    <w:p w14:paraId="69098216" w14:textId="77777777" w:rsidR="00600C09" w:rsidRPr="00600C09" w:rsidRDefault="00600C09" w:rsidP="00600C09">
      <w:pPr>
        <w:numPr>
          <w:ilvl w:val="0"/>
          <w:numId w:val="136"/>
        </w:numPr>
      </w:pPr>
      <w:r w:rsidRPr="00600C09">
        <w:rPr>
          <w:b/>
          <w:bCs/>
        </w:rPr>
        <w:t>Resolution</w:t>
      </w:r>
      <w:r w:rsidRPr="00600C09">
        <w:t>: Some Islamic banks charge administrative fees only, while others structure parallel arrangements (e.g., agency contracts) to recover costs. This remains a contentious issue requiring further Shariah standardization.</w:t>
      </w:r>
    </w:p>
    <w:p w14:paraId="2CD0860C" w14:textId="715A581B" w:rsidR="00600C09" w:rsidRPr="00600C09" w:rsidRDefault="00600C09" w:rsidP="00600C09"/>
    <w:p w14:paraId="56B33E18" w14:textId="77777777" w:rsidR="00600C09" w:rsidRPr="00600C09" w:rsidRDefault="00600C09" w:rsidP="00600C09">
      <w:pPr>
        <w:rPr>
          <w:b/>
          <w:bCs/>
        </w:rPr>
      </w:pPr>
      <w:r w:rsidRPr="00600C09">
        <w:rPr>
          <w:b/>
          <w:bCs/>
        </w:rPr>
        <w:t xml:space="preserve">4.6 Debt Transfer vs. </w:t>
      </w:r>
      <w:r w:rsidRPr="00600C09">
        <w:rPr>
          <w:rFonts w:ascii="Calibri" w:hAnsi="Calibri" w:cs="Calibri"/>
          <w:b/>
          <w:bCs/>
        </w:rPr>
        <w:t>Ḥ</w:t>
      </w:r>
      <w:r w:rsidRPr="00600C09">
        <w:rPr>
          <w:b/>
          <w:bCs/>
        </w:rPr>
        <w:t>awālah</w:t>
      </w:r>
    </w:p>
    <w:p w14:paraId="3562005A" w14:textId="77777777" w:rsidR="00600C09" w:rsidRPr="00600C09" w:rsidRDefault="00600C09" w:rsidP="00600C09">
      <w:pPr>
        <w:rPr>
          <w:b/>
          <w:bCs/>
        </w:rPr>
      </w:pPr>
      <w:r w:rsidRPr="00600C09">
        <w:rPr>
          <w:b/>
          <w:bCs/>
        </w:rPr>
        <w:t>4.6.1 Conceptual Comparison</w:t>
      </w:r>
    </w:p>
    <w:p w14:paraId="0BB44A2D" w14:textId="77777777" w:rsidR="00600C09" w:rsidRPr="00600C09" w:rsidRDefault="00600C09" w:rsidP="00600C09">
      <w:r w:rsidRPr="00600C09">
        <w:t xml:space="preserve">The </w:t>
      </w:r>
      <w:r w:rsidRPr="00600C09">
        <w:rPr>
          <w:b/>
          <w:bCs/>
        </w:rPr>
        <w:t>conventional debt transfer</w:t>
      </w:r>
      <w:r w:rsidRPr="00600C09">
        <w:t xml:space="preserve"> (assignment or novation) allows a debtor’s obligations to be transferred to another party, with creditor consent. It enhances liquidity and facilitates secondary debt markets. Debt trading is common in conventional finance, often at a discount, forming the basis of bond markets and securitization.</w:t>
      </w:r>
    </w:p>
    <w:p w14:paraId="1E8E4CC8" w14:textId="77777777" w:rsidR="00600C09" w:rsidRPr="00600C09" w:rsidRDefault="00600C09" w:rsidP="00600C09">
      <w:r w:rsidRPr="00600C09">
        <w:lastRenderedPageBreak/>
        <w:t xml:space="preserve">In Islamic law, the equivalent is </w:t>
      </w:r>
      <w:r w:rsidRPr="00600C09">
        <w:rPr>
          <w:rFonts w:ascii="Calibri" w:hAnsi="Calibri" w:cs="Calibri"/>
          <w:b/>
          <w:bCs/>
        </w:rPr>
        <w:t>ḥ</w:t>
      </w:r>
      <w:r w:rsidRPr="00600C09">
        <w:rPr>
          <w:b/>
          <w:bCs/>
        </w:rPr>
        <w:t>awālah</w:t>
      </w:r>
      <w:r w:rsidRPr="00600C09">
        <w:t xml:space="preserve"> — transfer of a debt from one debtor to another. Established by hadith (</w:t>
      </w:r>
      <w:r w:rsidRPr="00600C09">
        <w:rPr>
          <w:i/>
          <w:iCs/>
        </w:rPr>
        <w:t>“If one of you is referred to a solvent person, let him accept the referral”</w:t>
      </w:r>
      <w:r w:rsidRPr="00600C09">
        <w:t xml:space="preserve">; al-Bukhari, Hadith no. 2287), </w:t>
      </w:r>
      <w:r w:rsidRPr="00600C09">
        <w:rPr>
          <w:rFonts w:ascii="Calibri" w:hAnsi="Calibri" w:cs="Calibri"/>
        </w:rPr>
        <w:t>ḥ</w:t>
      </w:r>
      <w:r w:rsidRPr="00600C09">
        <w:t>awālah is designed to relieve debtors and ensure creditors are repaid. Unlike conventional assignment, however, it prohibits speculative trading and discounting.</w:t>
      </w:r>
    </w:p>
    <w:p w14:paraId="5424637B" w14:textId="77777777" w:rsidR="00600C09" w:rsidRPr="00600C09" w:rsidRDefault="00600C09" w:rsidP="00600C09">
      <w:pPr>
        <w:rPr>
          <w:b/>
          <w:bCs/>
        </w:rPr>
      </w:pPr>
      <w:r w:rsidRPr="00600C09">
        <w:rPr>
          <w:b/>
          <w:bCs/>
        </w:rPr>
        <w:t>4.6.2 Legal Enforceability</w:t>
      </w:r>
    </w:p>
    <w:p w14:paraId="130942D3" w14:textId="77777777" w:rsidR="00600C09" w:rsidRPr="00600C09" w:rsidRDefault="00600C09" w:rsidP="00600C09">
      <w:pPr>
        <w:numPr>
          <w:ilvl w:val="0"/>
          <w:numId w:val="137"/>
        </w:numPr>
      </w:pPr>
      <w:r w:rsidRPr="00600C09">
        <w:rPr>
          <w:b/>
          <w:bCs/>
        </w:rPr>
        <w:t>Conventional debt transfer</w:t>
      </w:r>
      <w:r w:rsidRPr="00600C09">
        <w:t xml:space="preserve">: Well-established under statutory law and commercial practice. Courts enforce assignments and novations, enabling robust secondary markets. Enforceability score: </w:t>
      </w:r>
      <w:r w:rsidRPr="00600C09">
        <w:rPr>
          <w:b/>
          <w:bCs/>
        </w:rPr>
        <w:t>5</w:t>
      </w:r>
      <w:r w:rsidRPr="00600C09">
        <w:t>.</w:t>
      </w:r>
    </w:p>
    <w:p w14:paraId="655543A9" w14:textId="77777777" w:rsidR="00600C09" w:rsidRPr="00600C09" w:rsidRDefault="00600C09" w:rsidP="00600C09">
      <w:pPr>
        <w:numPr>
          <w:ilvl w:val="0"/>
          <w:numId w:val="137"/>
        </w:numPr>
      </w:pPr>
      <w:r w:rsidRPr="00600C09">
        <w:rPr>
          <w:rFonts w:ascii="Calibri" w:hAnsi="Calibri" w:cs="Calibri"/>
          <w:b/>
          <w:bCs/>
        </w:rPr>
        <w:t>Ḥ</w:t>
      </w:r>
      <w:r w:rsidRPr="00600C09">
        <w:rPr>
          <w:b/>
          <w:bCs/>
        </w:rPr>
        <w:t>awālah</w:t>
      </w:r>
      <w:r w:rsidRPr="00600C09">
        <w:t xml:space="preserve">: Recognized in fiqh and codified in some Islamic finance statutes. However, legal recognition varies by jurisdiction, and courts outside Islamic systems may interpret it as simple assignment. Enforceability score: </w:t>
      </w:r>
      <w:r w:rsidRPr="00600C09">
        <w:rPr>
          <w:b/>
          <w:bCs/>
        </w:rPr>
        <w:t>3</w:t>
      </w:r>
      <w:r w:rsidRPr="00600C09">
        <w:t>.</w:t>
      </w:r>
    </w:p>
    <w:p w14:paraId="13118E47" w14:textId="77777777" w:rsidR="00600C09" w:rsidRPr="00600C09" w:rsidRDefault="00600C09" w:rsidP="00600C09">
      <w:pPr>
        <w:rPr>
          <w:b/>
          <w:bCs/>
        </w:rPr>
      </w:pPr>
      <w:r w:rsidRPr="00600C09">
        <w:rPr>
          <w:b/>
          <w:bCs/>
        </w:rPr>
        <w:t>4.6.3 Shariah Compliance</w:t>
      </w:r>
    </w:p>
    <w:p w14:paraId="238BF224" w14:textId="77777777" w:rsidR="00600C09" w:rsidRPr="00600C09" w:rsidRDefault="00600C09" w:rsidP="00600C09">
      <w:pPr>
        <w:numPr>
          <w:ilvl w:val="0"/>
          <w:numId w:val="138"/>
        </w:numPr>
      </w:pPr>
      <w:r w:rsidRPr="00600C09">
        <w:rPr>
          <w:b/>
          <w:bCs/>
        </w:rPr>
        <w:t>Conventional debt transfer</w:t>
      </w:r>
      <w:r w:rsidRPr="00600C09">
        <w:t xml:space="preserve">: Debt trading at a discount is prohibited under Shariah, as it involves ribā (money-for-money exchange with disparity). Compliance score: </w:t>
      </w:r>
      <w:r w:rsidRPr="00600C09">
        <w:rPr>
          <w:b/>
          <w:bCs/>
        </w:rPr>
        <w:t>1</w:t>
      </w:r>
      <w:r w:rsidRPr="00600C09">
        <w:t>.</w:t>
      </w:r>
    </w:p>
    <w:p w14:paraId="4AD51955" w14:textId="77777777" w:rsidR="00600C09" w:rsidRPr="00600C09" w:rsidRDefault="00600C09" w:rsidP="00600C09">
      <w:pPr>
        <w:numPr>
          <w:ilvl w:val="0"/>
          <w:numId w:val="138"/>
        </w:numPr>
      </w:pPr>
      <w:r w:rsidRPr="00600C09">
        <w:rPr>
          <w:rFonts w:ascii="Calibri" w:hAnsi="Calibri" w:cs="Calibri"/>
          <w:b/>
          <w:bCs/>
        </w:rPr>
        <w:t>Ḥ</w:t>
      </w:r>
      <w:r w:rsidRPr="00600C09">
        <w:rPr>
          <w:b/>
          <w:bCs/>
        </w:rPr>
        <w:t>awālah</w:t>
      </w:r>
      <w:r w:rsidRPr="00600C09">
        <w:t xml:space="preserve">: Explicitly permitted in Sunnah. Protects creditors by ensuring repayment from solvent parties. Prohibits speculative or discounted transfers, preserving fairness. Compliance score: </w:t>
      </w:r>
      <w:r w:rsidRPr="00600C09">
        <w:rPr>
          <w:b/>
          <w:bCs/>
        </w:rPr>
        <w:t>5</w:t>
      </w:r>
      <w:r w:rsidRPr="00600C09">
        <w:t>.</w:t>
      </w:r>
    </w:p>
    <w:p w14:paraId="6C39ABF1" w14:textId="77777777" w:rsidR="00600C09" w:rsidRPr="00600C09" w:rsidRDefault="00600C09" w:rsidP="00600C09">
      <w:pPr>
        <w:rPr>
          <w:b/>
          <w:bCs/>
        </w:rPr>
      </w:pPr>
      <w:r w:rsidRPr="00600C09">
        <w:rPr>
          <w:b/>
          <w:bCs/>
        </w:rPr>
        <w:t>4.6.4 Functional Equivalence</w:t>
      </w:r>
    </w:p>
    <w:p w14:paraId="7B862320" w14:textId="77777777" w:rsidR="00600C09" w:rsidRPr="00600C09" w:rsidRDefault="00600C09" w:rsidP="00600C09">
      <w:pPr>
        <w:numPr>
          <w:ilvl w:val="0"/>
          <w:numId w:val="139"/>
        </w:numPr>
      </w:pPr>
      <w:r w:rsidRPr="00600C09">
        <w:rPr>
          <w:b/>
          <w:bCs/>
        </w:rPr>
        <w:t>Conventional debt transfer</w:t>
      </w:r>
      <w:r w:rsidRPr="00600C09">
        <w:t>: Provides both repayment assurance and liquidity (through debt trading).</w:t>
      </w:r>
    </w:p>
    <w:p w14:paraId="63FE7616" w14:textId="77777777" w:rsidR="00600C09" w:rsidRPr="00600C09" w:rsidRDefault="00600C09" w:rsidP="00600C09">
      <w:pPr>
        <w:numPr>
          <w:ilvl w:val="0"/>
          <w:numId w:val="139"/>
        </w:numPr>
      </w:pPr>
      <w:r w:rsidRPr="00600C09">
        <w:rPr>
          <w:rFonts w:ascii="Calibri" w:hAnsi="Calibri" w:cs="Calibri"/>
          <w:b/>
          <w:bCs/>
        </w:rPr>
        <w:t>Ḥ</w:t>
      </w:r>
      <w:r w:rsidRPr="00600C09">
        <w:rPr>
          <w:b/>
          <w:bCs/>
        </w:rPr>
        <w:t>awālah</w:t>
      </w:r>
      <w:r w:rsidRPr="00600C09">
        <w:t xml:space="preserve">: Ensures repayment but restricts liquidity, as debts cannot be sold at a discount. In project finance, </w:t>
      </w:r>
      <w:r w:rsidRPr="00600C09">
        <w:rPr>
          <w:rFonts w:ascii="Calibri" w:hAnsi="Calibri" w:cs="Calibri"/>
        </w:rPr>
        <w:t>ḥ</w:t>
      </w:r>
      <w:r w:rsidRPr="00600C09">
        <w:t xml:space="preserve">awālah helps in restructuring obligations but cannot support secondary debt markets. Equivalence score: </w:t>
      </w:r>
      <w:r w:rsidRPr="00600C09">
        <w:rPr>
          <w:b/>
          <w:bCs/>
        </w:rPr>
        <w:t>3</w:t>
      </w:r>
      <w:r w:rsidRPr="00600C09">
        <w:t>.</w:t>
      </w:r>
    </w:p>
    <w:p w14:paraId="340526C0" w14:textId="77777777" w:rsidR="00600C09" w:rsidRPr="00600C09" w:rsidRDefault="00600C09" w:rsidP="00600C09">
      <w:pPr>
        <w:rPr>
          <w:b/>
          <w:bCs/>
        </w:rPr>
      </w:pPr>
      <w:r w:rsidRPr="00600C09">
        <w:rPr>
          <w:b/>
          <w:bCs/>
        </w:rPr>
        <w:t>4.6.5 Compatibility Index Scoring</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499"/>
        <w:gridCol w:w="3038"/>
        <w:gridCol w:w="1016"/>
      </w:tblGrid>
      <w:tr w:rsidR="00600C09" w:rsidRPr="00600C09" w14:paraId="0ADF2C8C" w14:textId="77777777">
        <w:trPr>
          <w:tblHeader/>
          <w:tblCellSpacing w:w="15" w:type="dxa"/>
        </w:trPr>
        <w:tc>
          <w:tcPr>
            <w:tcW w:w="0" w:type="auto"/>
            <w:vAlign w:val="center"/>
            <w:hideMark/>
          </w:tcPr>
          <w:p w14:paraId="44AC57C9" w14:textId="77777777" w:rsidR="00600C09" w:rsidRPr="00600C09" w:rsidRDefault="00600C09" w:rsidP="00600C09">
            <w:pPr>
              <w:rPr>
                <w:b/>
                <w:bCs/>
              </w:rPr>
            </w:pPr>
            <w:r w:rsidRPr="00600C09">
              <w:rPr>
                <w:b/>
                <w:bCs/>
              </w:rPr>
              <w:t>Dimension</w:t>
            </w:r>
          </w:p>
        </w:tc>
        <w:tc>
          <w:tcPr>
            <w:tcW w:w="0" w:type="auto"/>
            <w:vAlign w:val="center"/>
            <w:hideMark/>
          </w:tcPr>
          <w:p w14:paraId="22B0912A" w14:textId="77777777" w:rsidR="00600C09" w:rsidRPr="00600C09" w:rsidRDefault="00600C09" w:rsidP="00600C09">
            <w:pPr>
              <w:rPr>
                <w:b/>
                <w:bCs/>
              </w:rPr>
            </w:pPr>
            <w:r w:rsidRPr="00600C09">
              <w:rPr>
                <w:b/>
                <w:bCs/>
              </w:rPr>
              <w:t>Conventional Debt Transfer</w:t>
            </w:r>
          </w:p>
        </w:tc>
        <w:tc>
          <w:tcPr>
            <w:tcW w:w="0" w:type="auto"/>
            <w:vAlign w:val="center"/>
            <w:hideMark/>
          </w:tcPr>
          <w:p w14:paraId="6ABDB53F" w14:textId="77777777" w:rsidR="00600C09" w:rsidRPr="00600C09" w:rsidRDefault="00600C09" w:rsidP="00600C09">
            <w:pPr>
              <w:rPr>
                <w:b/>
                <w:bCs/>
              </w:rPr>
            </w:pPr>
            <w:r w:rsidRPr="00600C09">
              <w:rPr>
                <w:rFonts w:ascii="Calibri" w:hAnsi="Calibri" w:cs="Calibri"/>
                <w:b/>
                <w:bCs/>
              </w:rPr>
              <w:t>Ḥ</w:t>
            </w:r>
            <w:r w:rsidRPr="00600C09">
              <w:rPr>
                <w:b/>
                <w:bCs/>
              </w:rPr>
              <w:t>awālah</w:t>
            </w:r>
          </w:p>
        </w:tc>
      </w:tr>
      <w:tr w:rsidR="00600C09" w:rsidRPr="00600C09" w14:paraId="5995332B" w14:textId="77777777">
        <w:trPr>
          <w:tblCellSpacing w:w="15" w:type="dxa"/>
        </w:trPr>
        <w:tc>
          <w:tcPr>
            <w:tcW w:w="0" w:type="auto"/>
            <w:vAlign w:val="center"/>
            <w:hideMark/>
          </w:tcPr>
          <w:p w14:paraId="2EBCB799" w14:textId="77777777" w:rsidR="00600C09" w:rsidRPr="00600C09" w:rsidRDefault="00600C09" w:rsidP="00600C09">
            <w:r w:rsidRPr="00600C09">
              <w:t>Legal Enforceability</w:t>
            </w:r>
          </w:p>
        </w:tc>
        <w:tc>
          <w:tcPr>
            <w:tcW w:w="0" w:type="auto"/>
            <w:vAlign w:val="center"/>
            <w:hideMark/>
          </w:tcPr>
          <w:p w14:paraId="18DC4007" w14:textId="77777777" w:rsidR="00600C09" w:rsidRPr="00600C09" w:rsidRDefault="00600C09" w:rsidP="00600C09">
            <w:r w:rsidRPr="00600C09">
              <w:t>5</w:t>
            </w:r>
          </w:p>
        </w:tc>
        <w:tc>
          <w:tcPr>
            <w:tcW w:w="0" w:type="auto"/>
            <w:vAlign w:val="center"/>
            <w:hideMark/>
          </w:tcPr>
          <w:p w14:paraId="5490FF0B" w14:textId="77777777" w:rsidR="00600C09" w:rsidRPr="00600C09" w:rsidRDefault="00600C09" w:rsidP="00600C09">
            <w:r w:rsidRPr="00600C09">
              <w:t>3</w:t>
            </w:r>
          </w:p>
        </w:tc>
      </w:tr>
      <w:tr w:rsidR="00600C09" w:rsidRPr="00600C09" w14:paraId="3ED13FDA" w14:textId="77777777">
        <w:trPr>
          <w:tblCellSpacing w:w="15" w:type="dxa"/>
        </w:trPr>
        <w:tc>
          <w:tcPr>
            <w:tcW w:w="0" w:type="auto"/>
            <w:vAlign w:val="center"/>
            <w:hideMark/>
          </w:tcPr>
          <w:p w14:paraId="4BD8E138" w14:textId="77777777" w:rsidR="00600C09" w:rsidRPr="00600C09" w:rsidRDefault="00600C09" w:rsidP="00600C09">
            <w:r w:rsidRPr="00600C09">
              <w:t>Shariah Compliance</w:t>
            </w:r>
          </w:p>
        </w:tc>
        <w:tc>
          <w:tcPr>
            <w:tcW w:w="0" w:type="auto"/>
            <w:vAlign w:val="center"/>
            <w:hideMark/>
          </w:tcPr>
          <w:p w14:paraId="5A451110" w14:textId="77777777" w:rsidR="00600C09" w:rsidRPr="00600C09" w:rsidRDefault="00600C09" w:rsidP="00600C09">
            <w:r w:rsidRPr="00600C09">
              <w:t>1</w:t>
            </w:r>
          </w:p>
        </w:tc>
        <w:tc>
          <w:tcPr>
            <w:tcW w:w="0" w:type="auto"/>
            <w:vAlign w:val="center"/>
            <w:hideMark/>
          </w:tcPr>
          <w:p w14:paraId="26AC65FC" w14:textId="77777777" w:rsidR="00600C09" w:rsidRPr="00600C09" w:rsidRDefault="00600C09" w:rsidP="00600C09">
            <w:r w:rsidRPr="00600C09">
              <w:t>5</w:t>
            </w:r>
          </w:p>
        </w:tc>
      </w:tr>
      <w:tr w:rsidR="00600C09" w:rsidRPr="00600C09" w14:paraId="5FBECCCE" w14:textId="77777777">
        <w:trPr>
          <w:tblCellSpacing w:w="15" w:type="dxa"/>
        </w:trPr>
        <w:tc>
          <w:tcPr>
            <w:tcW w:w="0" w:type="auto"/>
            <w:vAlign w:val="center"/>
            <w:hideMark/>
          </w:tcPr>
          <w:p w14:paraId="7C8B56B9" w14:textId="77777777" w:rsidR="00600C09" w:rsidRPr="00600C09" w:rsidRDefault="00600C09" w:rsidP="00600C09">
            <w:r w:rsidRPr="00600C09">
              <w:t>Functional Equivalence</w:t>
            </w:r>
          </w:p>
        </w:tc>
        <w:tc>
          <w:tcPr>
            <w:tcW w:w="0" w:type="auto"/>
            <w:vAlign w:val="center"/>
            <w:hideMark/>
          </w:tcPr>
          <w:p w14:paraId="088AF0D2" w14:textId="77777777" w:rsidR="00600C09" w:rsidRPr="00600C09" w:rsidRDefault="00600C09" w:rsidP="00600C09">
            <w:r w:rsidRPr="00600C09">
              <w:t>5</w:t>
            </w:r>
          </w:p>
        </w:tc>
        <w:tc>
          <w:tcPr>
            <w:tcW w:w="0" w:type="auto"/>
            <w:vAlign w:val="center"/>
            <w:hideMark/>
          </w:tcPr>
          <w:p w14:paraId="55455445" w14:textId="77777777" w:rsidR="00600C09" w:rsidRPr="00600C09" w:rsidRDefault="00600C09" w:rsidP="00600C09">
            <w:r w:rsidRPr="00600C09">
              <w:t>3</w:t>
            </w:r>
          </w:p>
        </w:tc>
      </w:tr>
    </w:tbl>
    <w:p w14:paraId="35C3F0B3" w14:textId="77777777" w:rsidR="00600C09" w:rsidRPr="00600C09" w:rsidRDefault="00600C09" w:rsidP="00600C09">
      <w:r w:rsidRPr="00600C09">
        <w:rPr>
          <w:b/>
          <w:bCs/>
        </w:rPr>
        <w:t>Composite Index (</w:t>
      </w:r>
      <w:r w:rsidRPr="00600C09">
        <w:rPr>
          <w:rFonts w:ascii="Calibri" w:hAnsi="Calibri" w:cs="Calibri"/>
          <w:b/>
          <w:bCs/>
        </w:rPr>
        <w:t>Ḥ</w:t>
      </w:r>
      <w:r w:rsidRPr="00600C09">
        <w:rPr>
          <w:b/>
          <w:bCs/>
        </w:rPr>
        <w:t>awālah): (3 + 5 + 3) ÷ 3 = 3.67 ≈ 3.7</w:t>
      </w:r>
    </w:p>
    <w:p w14:paraId="38F5D227" w14:textId="77777777" w:rsidR="00600C09" w:rsidRPr="00600C09" w:rsidRDefault="00600C09" w:rsidP="00600C09">
      <w:pPr>
        <w:rPr>
          <w:b/>
          <w:bCs/>
        </w:rPr>
      </w:pPr>
      <w:r w:rsidRPr="00600C09">
        <w:rPr>
          <w:b/>
          <w:bCs/>
        </w:rPr>
        <w:t>4.6.6 Implications for Project Finance</w:t>
      </w:r>
    </w:p>
    <w:p w14:paraId="498BF4D0" w14:textId="77777777" w:rsidR="00600C09" w:rsidRPr="00600C09" w:rsidRDefault="00600C09" w:rsidP="00600C09">
      <w:pPr>
        <w:numPr>
          <w:ilvl w:val="0"/>
          <w:numId w:val="140"/>
        </w:numPr>
      </w:pPr>
      <w:r w:rsidRPr="00600C09">
        <w:rPr>
          <w:b/>
          <w:bCs/>
        </w:rPr>
        <w:lastRenderedPageBreak/>
        <w:t>Strengths</w:t>
      </w:r>
      <w:r w:rsidRPr="00600C09">
        <w:t xml:space="preserve">: </w:t>
      </w:r>
      <w:r w:rsidRPr="00600C09">
        <w:rPr>
          <w:rFonts w:ascii="Calibri" w:hAnsi="Calibri" w:cs="Calibri"/>
        </w:rPr>
        <w:t>Ḥ</w:t>
      </w:r>
      <w:r w:rsidRPr="00600C09">
        <w:t>awālah facilitates efficient debt management, especially in trade finance and interbank settlements. It provides a fair mechanism for shifting obligations.</w:t>
      </w:r>
    </w:p>
    <w:p w14:paraId="193BB6D1" w14:textId="77777777" w:rsidR="00600C09" w:rsidRPr="00600C09" w:rsidRDefault="00600C09" w:rsidP="00600C09">
      <w:pPr>
        <w:numPr>
          <w:ilvl w:val="0"/>
          <w:numId w:val="140"/>
        </w:numPr>
      </w:pPr>
      <w:r w:rsidRPr="00600C09">
        <w:rPr>
          <w:b/>
          <w:bCs/>
        </w:rPr>
        <w:t>Weaknesses</w:t>
      </w:r>
      <w:r w:rsidRPr="00600C09">
        <w:t>: Lack of liquidity compared to conventional debt trading limits its use in capital markets. In project finance, it can restructure liabilities but cannot replicate secondary loan trading or securitization.</w:t>
      </w:r>
    </w:p>
    <w:p w14:paraId="22E12EF1" w14:textId="77777777" w:rsidR="00600C09" w:rsidRPr="00600C09" w:rsidRDefault="00600C09" w:rsidP="00600C09">
      <w:pPr>
        <w:numPr>
          <w:ilvl w:val="0"/>
          <w:numId w:val="140"/>
        </w:numPr>
      </w:pPr>
      <w:r w:rsidRPr="00600C09">
        <w:rPr>
          <w:b/>
          <w:bCs/>
        </w:rPr>
        <w:t>Resolution</w:t>
      </w:r>
      <w:r w:rsidRPr="00600C09">
        <w:t>: Islamic finance has developed sukuk (asset-based securities) as an alternative to debt trading, aligning with Shariah while offering market liquidity.</w:t>
      </w:r>
    </w:p>
    <w:p w14:paraId="24603149" w14:textId="4C652A68" w:rsidR="00600C09" w:rsidRPr="00600C09" w:rsidRDefault="00877B45" w:rsidP="00600C09">
      <w:r>
        <w:rPr>
          <w:noProof/>
        </w:rPr>
      </w:r>
      <w:r w:rsidR="00877B45">
        <w:rPr>
          <w:noProof/>
        </w:rPr>
        <w:pict w14:anchorId="458C14EE">
          <v:rect id="_x0000_i1126" style="width:0;height:1.5pt" o:hralign="center" o:hrstd="t" o:hr="t" fillcolor="#a0a0a0" stroked="f"/>
        </w:pict>
      </w:r>
    </w:p>
    <w:p w14:paraId="194F7EDC" w14:textId="77777777" w:rsidR="00600C09" w:rsidRPr="00600C09" w:rsidRDefault="00600C09" w:rsidP="00600C09">
      <w:pPr>
        <w:rPr>
          <w:b/>
          <w:bCs/>
        </w:rPr>
      </w:pPr>
      <w:r w:rsidRPr="00600C09">
        <w:rPr>
          <w:b/>
          <w:bCs/>
        </w:rPr>
        <w:t>4.7 Cross-Cutting Comparative Insights</w:t>
      </w:r>
    </w:p>
    <w:p w14:paraId="19C28063" w14:textId="77777777" w:rsidR="00600C09" w:rsidRPr="00600C09" w:rsidRDefault="00600C09" w:rsidP="00600C09">
      <w:r w:rsidRPr="00600C09">
        <w:t>The comparative analysis reveals both convergence and divergence between conventional and Islamic security instruments.</w:t>
      </w:r>
    </w:p>
    <w:p w14:paraId="55C40DDC" w14:textId="77777777" w:rsidR="00600C09" w:rsidRPr="00600C09" w:rsidRDefault="00600C09" w:rsidP="00600C09">
      <w:r w:rsidRPr="00600C09">
        <w:rPr>
          <w:b/>
          <w:bCs/>
        </w:rPr>
        <w:t>Convergences</w:t>
      </w:r>
      <w:r w:rsidRPr="00600C09">
        <w:t>:</w:t>
      </w:r>
    </w:p>
    <w:p w14:paraId="5D549E17" w14:textId="77777777" w:rsidR="00600C09" w:rsidRPr="00600C09" w:rsidRDefault="00600C09" w:rsidP="00600C09">
      <w:pPr>
        <w:numPr>
          <w:ilvl w:val="0"/>
          <w:numId w:val="143"/>
        </w:numPr>
      </w:pPr>
      <w:r w:rsidRPr="00600C09">
        <w:t>Both systems recognize the necessity of collateral and guarantees in protecting creditors.</w:t>
      </w:r>
    </w:p>
    <w:p w14:paraId="1241CB26" w14:textId="77777777" w:rsidR="00600C09" w:rsidRPr="00600C09" w:rsidRDefault="00600C09" w:rsidP="00600C09">
      <w:pPr>
        <w:numPr>
          <w:ilvl w:val="0"/>
          <w:numId w:val="143"/>
        </w:numPr>
      </w:pPr>
      <w:r w:rsidRPr="00600C09">
        <w:t>Rahn and pledge, kafālah/</w:t>
      </w:r>
      <w:r w:rsidRPr="00600C09">
        <w:rPr>
          <w:rFonts w:ascii="Calibri" w:hAnsi="Calibri" w:cs="Calibri"/>
        </w:rPr>
        <w:t>ḍ</w:t>
      </w:r>
      <w:r w:rsidRPr="00600C09">
        <w:t xml:space="preserve">amān and guarantee, and </w:t>
      </w:r>
      <w:r w:rsidRPr="00600C09">
        <w:rPr>
          <w:rFonts w:ascii="Calibri" w:hAnsi="Calibri" w:cs="Calibri"/>
        </w:rPr>
        <w:t>ḥ</w:t>
      </w:r>
      <w:r w:rsidRPr="00600C09">
        <w:t>awālah and debt transfer demonstrate clear functional parallels.</w:t>
      </w:r>
    </w:p>
    <w:p w14:paraId="011B2EC6" w14:textId="77777777" w:rsidR="00600C09" w:rsidRPr="00600C09" w:rsidRDefault="00600C09" w:rsidP="00600C09">
      <w:pPr>
        <w:numPr>
          <w:ilvl w:val="0"/>
          <w:numId w:val="143"/>
        </w:numPr>
      </w:pPr>
      <w:r w:rsidRPr="00600C09">
        <w:t>Each system balances creditor rights with debtor protections, though the mechanisms differ.</w:t>
      </w:r>
    </w:p>
    <w:p w14:paraId="0ADE1DBA" w14:textId="77777777" w:rsidR="00600C09" w:rsidRPr="00600C09" w:rsidRDefault="00600C09" w:rsidP="00600C09">
      <w:r w:rsidRPr="00600C09">
        <w:rPr>
          <w:b/>
          <w:bCs/>
        </w:rPr>
        <w:t>Divergences</w:t>
      </w:r>
      <w:r w:rsidRPr="00600C09">
        <w:t>:</w:t>
      </w:r>
    </w:p>
    <w:p w14:paraId="06271A1A" w14:textId="77777777" w:rsidR="00600C09" w:rsidRPr="00600C09" w:rsidRDefault="00600C09" w:rsidP="00600C09">
      <w:pPr>
        <w:numPr>
          <w:ilvl w:val="0"/>
          <w:numId w:val="144"/>
        </w:numPr>
      </w:pPr>
      <w:r w:rsidRPr="00600C09">
        <w:rPr>
          <w:b/>
          <w:bCs/>
        </w:rPr>
        <w:t>Commercialization</w:t>
      </w:r>
      <w:r w:rsidRPr="00600C09">
        <w:t xml:space="preserve">: Conventional instruments are revenue-generating (e.g., fees for guarantees), while Islamic instruments such as kafālah and </w:t>
      </w:r>
      <w:r w:rsidRPr="00600C09">
        <w:rPr>
          <w:rFonts w:ascii="Calibri" w:hAnsi="Calibri" w:cs="Calibri"/>
        </w:rPr>
        <w:t>ḍ</w:t>
      </w:r>
      <w:r w:rsidRPr="00600C09">
        <w:t>amān remain gratuitous.</w:t>
      </w:r>
    </w:p>
    <w:p w14:paraId="252118E6" w14:textId="77777777" w:rsidR="00600C09" w:rsidRPr="00600C09" w:rsidRDefault="00600C09" w:rsidP="00600C09">
      <w:pPr>
        <w:numPr>
          <w:ilvl w:val="0"/>
          <w:numId w:val="144"/>
        </w:numPr>
      </w:pPr>
      <w:r w:rsidRPr="00600C09">
        <w:rPr>
          <w:b/>
          <w:bCs/>
        </w:rPr>
        <w:t>Possession</w:t>
      </w:r>
      <w:r w:rsidRPr="00600C09">
        <w:t>: Islamic rahn requires possession (actual or constructive), a stricter condition than mortgages or charges.</w:t>
      </w:r>
    </w:p>
    <w:p w14:paraId="01C4E94B" w14:textId="77777777" w:rsidR="00600C09" w:rsidRPr="00600C09" w:rsidRDefault="00600C09" w:rsidP="00600C09">
      <w:pPr>
        <w:numPr>
          <w:ilvl w:val="0"/>
          <w:numId w:val="144"/>
        </w:numPr>
      </w:pPr>
      <w:r w:rsidRPr="00600C09">
        <w:rPr>
          <w:b/>
          <w:bCs/>
        </w:rPr>
        <w:t>Debt trading</w:t>
      </w:r>
      <w:r w:rsidRPr="00600C09">
        <w:t xml:space="preserve">: Conventional markets thrive on debt securitization and secondary trading, while Shariah prohibits such practices under </w:t>
      </w:r>
      <w:r w:rsidRPr="00600C09">
        <w:rPr>
          <w:rFonts w:ascii="Calibri" w:hAnsi="Calibri" w:cs="Calibri"/>
        </w:rPr>
        <w:t>ḥ</w:t>
      </w:r>
      <w:r w:rsidRPr="00600C09">
        <w:t>awālah.</w:t>
      </w:r>
    </w:p>
    <w:p w14:paraId="7A3680C7" w14:textId="77777777" w:rsidR="00600C09" w:rsidRPr="00600C09" w:rsidRDefault="00600C09" w:rsidP="00600C09">
      <w:pPr>
        <w:numPr>
          <w:ilvl w:val="0"/>
          <w:numId w:val="144"/>
        </w:numPr>
      </w:pPr>
      <w:r w:rsidRPr="00600C09">
        <w:rPr>
          <w:b/>
          <w:bCs/>
        </w:rPr>
        <w:t>Ethical foundations</w:t>
      </w:r>
      <w:r w:rsidRPr="00600C09">
        <w:t>: Islamic contracts emphasize fairness and the maqāṣid al-Shariah, often placing ethical restrictions above commercial convenience.</w:t>
      </w:r>
    </w:p>
    <w:p w14:paraId="17F74008" w14:textId="34B61B41" w:rsidR="00600C09" w:rsidRPr="00600C09" w:rsidRDefault="00600C09" w:rsidP="00600C09"/>
    <w:p w14:paraId="03602ABB" w14:textId="77777777" w:rsidR="00600C09" w:rsidRPr="00600C09" w:rsidRDefault="00600C09" w:rsidP="00600C09">
      <w:pPr>
        <w:rPr>
          <w:b/>
          <w:bCs/>
        </w:rPr>
      </w:pPr>
      <w:r w:rsidRPr="00600C09">
        <w:rPr>
          <w:b/>
          <w:bCs/>
        </w:rPr>
        <w:t>4.8 The Compatibility Index in Practice</w:t>
      </w:r>
    </w:p>
    <w:p w14:paraId="1B5407C6" w14:textId="77777777" w:rsidR="00600C09" w:rsidRPr="00600C09" w:rsidRDefault="00600C09" w:rsidP="00600C09">
      <w:r w:rsidRPr="00600C09">
        <w:t xml:space="preserve">The </w:t>
      </w:r>
      <w:r w:rsidRPr="00600C09">
        <w:rPr>
          <w:b/>
          <w:bCs/>
        </w:rPr>
        <w:t>Compatibility Index</w:t>
      </w:r>
      <w:r w:rsidRPr="00600C09">
        <w:t xml:space="preserve"> provides a structured evaluation of Islamic instruments against conventional ones.</w:t>
      </w:r>
    </w:p>
    <w:p w14:paraId="01BB077B" w14:textId="77777777" w:rsidR="00600C09" w:rsidRPr="00600C09" w:rsidRDefault="00600C09" w:rsidP="00600C09">
      <w:pPr>
        <w:rPr>
          <w:b/>
          <w:bCs/>
        </w:rPr>
      </w:pPr>
      <w:r w:rsidRPr="00600C09">
        <w:rPr>
          <w:b/>
          <w:bCs/>
        </w:rPr>
        <w:lastRenderedPageBreak/>
        <w:t>4.8.1 Composite Scores</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194"/>
        <w:gridCol w:w="1801"/>
        <w:gridCol w:w="1702"/>
        <w:gridCol w:w="1824"/>
        <w:gridCol w:w="1505"/>
      </w:tblGrid>
      <w:tr w:rsidR="00600C09" w:rsidRPr="00600C09" w14:paraId="5D8D9652" w14:textId="77777777">
        <w:trPr>
          <w:tblHeader/>
          <w:tblCellSpacing w:w="15" w:type="dxa"/>
        </w:trPr>
        <w:tc>
          <w:tcPr>
            <w:tcW w:w="0" w:type="auto"/>
            <w:vAlign w:val="center"/>
            <w:hideMark/>
          </w:tcPr>
          <w:p w14:paraId="7F1AB745" w14:textId="77777777" w:rsidR="00600C09" w:rsidRPr="00600C09" w:rsidRDefault="00600C09" w:rsidP="00600C09">
            <w:pPr>
              <w:rPr>
                <w:b/>
                <w:bCs/>
              </w:rPr>
            </w:pPr>
            <w:r w:rsidRPr="00600C09">
              <w:rPr>
                <w:b/>
                <w:bCs/>
              </w:rPr>
              <w:t>Instrument Pair</w:t>
            </w:r>
          </w:p>
        </w:tc>
        <w:tc>
          <w:tcPr>
            <w:tcW w:w="0" w:type="auto"/>
            <w:vAlign w:val="center"/>
            <w:hideMark/>
          </w:tcPr>
          <w:p w14:paraId="3EF5DE1C" w14:textId="77777777" w:rsidR="00600C09" w:rsidRPr="00600C09" w:rsidRDefault="00600C09" w:rsidP="00600C09">
            <w:pPr>
              <w:rPr>
                <w:b/>
                <w:bCs/>
              </w:rPr>
            </w:pPr>
            <w:r w:rsidRPr="00600C09">
              <w:rPr>
                <w:b/>
                <w:bCs/>
              </w:rPr>
              <w:t>Legal Enforceability</w:t>
            </w:r>
          </w:p>
        </w:tc>
        <w:tc>
          <w:tcPr>
            <w:tcW w:w="0" w:type="auto"/>
            <w:vAlign w:val="center"/>
            <w:hideMark/>
          </w:tcPr>
          <w:p w14:paraId="7956B54E" w14:textId="77777777" w:rsidR="00600C09" w:rsidRPr="00600C09" w:rsidRDefault="00600C09" w:rsidP="00600C09">
            <w:pPr>
              <w:rPr>
                <w:b/>
                <w:bCs/>
              </w:rPr>
            </w:pPr>
            <w:r w:rsidRPr="00600C09">
              <w:rPr>
                <w:b/>
                <w:bCs/>
              </w:rPr>
              <w:t>Shariah Compliance</w:t>
            </w:r>
          </w:p>
        </w:tc>
        <w:tc>
          <w:tcPr>
            <w:tcW w:w="0" w:type="auto"/>
            <w:vAlign w:val="center"/>
            <w:hideMark/>
          </w:tcPr>
          <w:p w14:paraId="0E766913" w14:textId="77777777" w:rsidR="00600C09" w:rsidRPr="00600C09" w:rsidRDefault="00600C09" w:rsidP="00600C09">
            <w:pPr>
              <w:rPr>
                <w:b/>
                <w:bCs/>
              </w:rPr>
            </w:pPr>
            <w:r w:rsidRPr="00600C09">
              <w:rPr>
                <w:b/>
                <w:bCs/>
              </w:rPr>
              <w:t>Functional Equivalence</w:t>
            </w:r>
          </w:p>
        </w:tc>
        <w:tc>
          <w:tcPr>
            <w:tcW w:w="0" w:type="auto"/>
            <w:vAlign w:val="center"/>
            <w:hideMark/>
          </w:tcPr>
          <w:p w14:paraId="6FA9BB91" w14:textId="77777777" w:rsidR="00600C09" w:rsidRPr="00600C09" w:rsidRDefault="00600C09" w:rsidP="00600C09">
            <w:pPr>
              <w:rPr>
                <w:b/>
                <w:bCs/>
              </w:rPr>
            </w:pPr>
            <w:r w:rsidRPr="00600C09">
              <w:rPr>
                <w:b/>
                <w:bCs/>
              </w:rPr>
              <w:t>Composite Index</w:t>
            </w:r>
          </w:p>
        </w:tc>
      </w:tr>
      <w:tr w:rsidR="00600C09" w:rsidRPr="00600C09" w14:paraId="0B390CB9" w14:textId="77777777">
        <w:trPr>
          <w:tblCellSpacing w:w="15" w:type="dxa"/>
        </w:trPr>
        <w:tc>
          <w:tcPr>
            <w:tcW w:w="0" w:type="auto"/>
            <w:vAlign w:val="center"/>
            <w:hideMark/>
          </w:tcPr>
          <w:p w14:paraId="1BCCB051" w14:textId="77777777" w:rsidR="00600C09" w:rsidRPr="00600C09" w:rsidRDefault="00600C09" w:rsidP="00600C09">
            <w:r w:rsidRPr="00600C09">
              <w:t>Mortgage vs. Rahn</w:t>
            </w:r>
          </w:p>
        </w:tc>
        <w:tc>
          <w:tcPr>
            <w:tcW w:w="0" w:type="auto"/>
            <w:vAlign w:val="center"/>
            <w:hideMark/>
          </w:tcPr>
          <w:p w14:paraId="1694D5D1" w14:textId="77777777" w:rsidR="00600C09" w:rsidRPr="00600C09" w:rsidRDefault="00600C09" w:rsidP="00600C09">
            <w:r w:rsidRPr="00600C09">
              <w:t>3</w:t>
            </w:r>
          </w:p>
        </w:tc>
        <w:tc>
          <w:tcPr>
            <w:tcW w:w="0" w:type="auto"/>
            <w:vAlign w:val="center"/>
            <w:hideMark/>
          </w:tcPr>
          <w:p w14:paraId="66DB63DA" w14:textId="77777777" w:rsidR="00600C09" w:rsidRPr="00600C09" w:rsidRDefault="00600C09" w:rsidP="00600C09">
            <w:r w:rsidRPr="00600C09">
              <w:t>5</w:t>
            </w:r>
          </w:p>
        </w:tc>
        <w:tc>
          <w:tcPr>
            <w:tcW w:w="0" w:type="auto"/>
            <w:vAlign w:val="center"/>
            <w:hideMark/>
          </w:tcPr>
          <w:p w14:paraId="0992937E" w14:textId="77777777" w:rsidR="00600C09" w:rsidRPr="00600C09" w:rsidRDefault="00600C09" w:rsidP="00600C09">
            <w:r w:rsidRPr="00600C09">
              <w:t>3</w:t>
            </w:r>
          </w:p>
        </w:tc>
        <w:tc>
          <w:tcPr>
            <w:tcW w:w="0" w:type="auto"/>
            <w:vAlign w:val="center"/>
            <w:hideMark/>
          </w:tcPr>
          <w:p w14:paraId="5730EE76" w14:textId="77777777" w:rsidR="00600C09" w:rsidRPr="00600C09" w:rsidRDefault="00600C09" w:rsidP="00600C09">
            <w:r w:rsidRPr="00600C09">
              <w:rPr>
                <w:b/>
                <w:bCs/>
              </w:rPr>
              <w:t>3.7</w:t>
            </w:r>
          </w:p>
        </w:tc>
      </w:tr>
      <w:tr w:rsidR="00600C09" w:rsidRPr="00600C09" w14:paraId="0B8854CF" w14:textId="77777777">
        <w:trPr>
          <w:tblCellSpacing w:w="15" w:type="dxa"/>
        </w:trPr>
        <w:tc>
          <w:tcPr>
            <w:tcW w:w="0" w:type="auto"/>
            <w:vAlign w:val="center"/>
            <w:hideMark/>
          </w:tcPr>
          <w:p w14:paraId="26A9BF3E" w14:textId="77777777" w:rsidR="00600C09" w:rsidRPr="00600C09" w:rsidRDefault="00600C09" w:rsidP="00600C09">
            <w:r w:rsidRPr="00600C09">
              <w:t>Pledge vs. Rahn</w:t>
            </w:r>
          </w:p>
        </w:tc>
        <w:tc>
          <w:tcPr>
            <w:tcW w:w="0" w:type="auto"/>
            <w:vAlign w:val="center"/>
            <w:hideMark/>
          </w:tcPr>
          <w:p w14:paraId="591A838A" w14:textId="77777777" w:rsidR="00600C09" w:rsidRPr="00600C09" w:rsidRDefault="00600C09" w:rsidP="00600C09">
            <w:r w:rsidRPr="00600C09">
              <w:t>3.5</w:t>
            </w:r>
          </w:p>
        </w:tc>
        <w:tc>
          <w:tcPr>
            <w:tcW w:w="0" w:type="auto"/>
            <w:vAlign w:val="center"/>
            <w:hideMark/>
          </w:tcPr>
          <w:p w14:paraId="6935330D" w14:textId="77777777" w:rsidR="00600C09" w:rsidRPr="00600C09" w:rsidRDefault="00600C09" w:rsidP="00600C09">
            <w:r w:rsidRPr="00600C09">
              <w:t>5</w:t>
            </w:r>
          </w:p>
        </w:tc>
        <w:tc>
          <w:tcPr>
            <w:tcW w:w="0" w:type="auto"/>
            <w:vAlign w:val="center"/>
            <w:hideMark/>
          </w:tcPr>
          <w:p w14:paraId="38F46578" w14:textId="77777777" w:rsidR="00600C09" w:rsidRPr="00600C09" w:rsidRDefault="00600C09" w:rsidP="00600C09">
            <w:r w:rsidRPr="00600C09">
              <w:t>4</w:t>
            </w:r>
          </w:p>
        </w:tc>
        <w:tc>
          <w:tcPr>
            <w:tcW w:w="0" w:type="auto"/>
            <w:vAlign w:val="center"/>
            <w:hideMark/>
          </w:tcPr>
          <w:p w14:paraId="12E58E14" w14:textId="77777777" w:rsidR="00600C09" w:rsidRPr="00600C09" w:rsidRDefault="00600C09" w:rsidP="00600C09">
            <w:r w:rsidRPr="00600C09">
              <w:rPr>
                <w:b/>
                <w:bCs/>
              </w:rPr>
              <w:t>4.2</w:t>
            </w:r>
          </w:p>
        </w:tc>
      </w:tr>
      <w:tr w:rsidR="00600C09" w:rsidRPr="00600C09" w14:paraId="21FF5BAC" w14:textId="77777777">
        <w:trPr>
          <w:tblCellSpacing w:w="15" w:type="dxa"/>
        </w:trPr>
        <w:tc>
          <w:tcPr>
            <w:tcW w:w="0" w:type="auto"/>
            <w:vAlign w:val="center"/>
            <w:hideMark/>
          </w:tcPr>
          <w:p w14:paraId="082A3DE1" w14:textId="77777777" w:rsidR="00600C09" w:rsidRPr="00600C09" w:rsidRDefault="00600C09" w:rsidP="00600C09">
            <w:r w:rsidRPr="00600C09">
              <w:t>Guarantee vs. Kafālah/</w:t>
            </w:r>
            <w:r w:rsidRPr="00600C09">
              <w:rPr>
                <w:rFonts w:ascii="Calibri" w:hAnsi="Calibri" w:cs="Calibri"/>
              </w:rPr>
              <w:t>Ḍ</w:t>
            </w:r>
            <w:r w:rsidRPr="00600C09">
              <w:t>amān</w:t>
            </w:r>
          </w:p>
        </w:tc>
        <w:tc>
          <w:tcPr>
            <w:tcW w:w="0" w:type="auto"/>
            <w:vAlign w:val="center"/>
            <w:hideMark/>
          </w:tcPr>
          <w:p w14:paraId="57948873" w14:textId="77777777" w:rsidR="00600C09" w:rsidRPr="00600C09" w:rsidRDefault="00600C09" w:rsidP="00600C09">
            <w:r w:rsidRPr="00600C09">
              <w:t>3.5</w:t>
            </w:r>
          </w:p>
        </w:tc>
        <w:tc>
          <w:tcPr>
            <w:tcW w:w="0" w:type="auto"/>
            <w:vAlign w:val="center"/>
            <w:hideMark/>
          </w:tcPr>
          <w:p w14:paraId="784387F4" w14:textId="77777777" w:rsidR="00600C09" w:rsidRPr="00600C09" w:rsidRDefault="00600C09" w:rsidP="00600C09">
            <w:r w:rsidRPr="00600C09">
              <w:t>5</w:t>
            </w:r>
          </w:p>
        </w:tc>
        <w:tc>
          <w:tcPr>
            <w:tcW w:w="0" w:type="auto"/>
            <w:vAlign w:val="center"/>
            <w:hideMark/>
          </w:tcPr>
          <w:p w14:paraId="51C39639" w14:textId="77777777" w:rsidR="00600C09" w:rsidRPr="00600C09" w:rsidRDefault="00600C09" w:rsidP="00600C09">
            <w:r w:rsidRPr="00600C09">
              <w:t>4</w:t>
            </w:r>
          </w:p>
        </w:tc>
        <w:tc>
          <w:tcPr>
            <w:tcW w:w="0" w:type="auto"/>
            <w:vAlign w:val="center"/>
            <w:hideMark/>
          </w:tcPr>
          <w:p w14:paraId="5766E8D7" w14:textId="77777777" w:rsidR="00600C09" w:rsidRPr="00600C09" w:rsidRDefault="00600C09" w:rsidP="00600C09">
            <w:r w:rsidRPr="00600C09">
              <w:rPr>
                <w:b/>
                <w:bCs/>
              </w:rPr>
              <w:t>4.2</w:t>
            </w:r>
          </w:p>
        </w:tc>
      </w:tr>
      <w:tr w:rsidR="00600C09" w:rsidRPr="00600C09" w14:paraId="186EB46F" w14:textId="77777777">
        <w:trPr>
          <w:tblCellSpacing w:w="15" w:type="dxa"/>
        </w:trPr>
        <w:tc>
          <w:tcPr>
            <w:tcW w:w="0" w:type="auto"/>
            <w:vAlign w:val="center"/>
            <w:hideMark/>
          </w:tcPr>
          <w:p w14:paraId="5C6C879C" w14:textId="77777777" w:rsidR="00600C09" w:rsidRPr="00600C09" w:rsidRDefault="00600C09" w:rsidP="00600C09">
            <w:r w:rsidRPr="00600C09">
              <w:t xml:space="preserve">Debt Transfer vs. </w:t>
            </w:r>
            <w:r w:rsidRPr="00600C09">
              <w:rPr>
                <w:rFonts w:ascii="Calibri" w:hAnsi="Calibri" w:cs="Calibri"/>
              </w:rPr>
              <w:t>Ḥ</w:t>
            </w:r>
            <w:r w:rsidRPr="00600C09">
              <w:t>awālah</w:t>
            </w:r>
          </w:p>
        </w:tc>
        <w:tc>
          <w:tcPr>
            <w:tcW w:w="0" w:type="auto"/>
            <w:vAlign w:val="center"/>
            <w:hideMark/>
          </w:tcPr>
          <w:p w14:paraId="4A9B595E" w14:textId="77777777" w:rsidR="00600C09" w:rsidRPr="00600C09" w:rsidRDefault="00600C09" w:rsidP="00600C09">
            <w:r w:rsidRPr="00600C09">
              <w:t>3</w:t>
            </w:r>
          </w:p>
        </w:tc>
        <w:tc>
          <w:tcPr>
            <w:tcW w:w="0" w:type="auto"/>
            <w:vAlign w:val="center"/>
            <w:hideMark/>
          </w:tcPr>
          <w:p w14:paraId="44C041FE" w14:textId="77777777" w:rsidR="00600C09" w:rsidRPr="00600C09" w:rsidRDefault="00600C09" w:rsidP="00600C09">
            <w:r w:rsidRPr="00600C09">
              <w:t>5</w:t>
            </w:r>
          </w:p>
        </w:tc>
        <w:tc>
          <w:tcPr>
            <w:tcW w:w="0" w:type="auto"/>
            <w:vAlign w:val="center"/>
            <w:hideMark/>
          </w:tcPr>
          <w:p w14:paraId="1EB074C2" w14:textId="77777777" w:rsidR="00600C09" w:rsidRPr="00600C09" w:rsidRDefault="00600C09" w:rsidP="00600C09">
            <w:r w:rsidRPr="00600C09">
              <w:t>3</w:t>
            </w:r>
          </w:p>
        </w:tc>
        <w:tc>
          <w:tcPr>
            <w:tcW w:w="0" w:type="auto"/>
            <w:vAlign w:val="center"/>
            <w:hideMark/>
          </w:tcPr>
          <w:p w14:paraId="727BF4E4" w14:textId="77777777" w:rsidR="00600C09" w:rsidRPr="00600C09" w:rsidRDefault="00600C09" w:rsidP="00600C09">
            <w:r w:rsidRPr="00600C09">
              <w:rPr>
                <w:b/>
                <w:bCs/>
              </w:rPr>
              <w:t>3.7</w:t>
            </w:r>
          </w:p>
        </w:tc>
      </w:tr>
    </w:tbl>
    <w:p w14:paraId="6A0CC57D" w14:textId="77777777" w:rsidR="00600C09" w:rsidRPr="00600C09" w:rsidRDefault="00600C09" w:rsidP="00600C09">
      <w:pPr>
        <w:rPr>
          <w:b/>
          <w:bCs/>
        </w:rPr>
      </w:pPr>
      <w:r w:rsidRPr="00600C09">
        <w:rPr>
          <w:b/>
          <w:bCs/>
        </w:rPr>
        <w:t>4.8.2 Interpretation</w:t>
      </w:r>
    </w:p>
    <w:p w14:paraId="07012AF9" w14:textId="77777777" w:rsidR="00600C09" w:rsidRPr="00600C09" w:rsidRDefault="00600C09" w:rsidP="00600C09">
      <w:pPr>
        <w:numPr>
          <w:ilvl w:val="0"/>
          <w:numId w:val="145"/>
        </w:numPr>
      </w:pPr>
      <w:r w:rsidRPr="00600C09">
        <w:rPr>
          <w:b/>
          <w:bCs/>
        </w:rPr>
        <w:t>Strong compatibility (4.0 and above)</w:t>
      </w:r>
      <w:r w:rsidRPr="00600C09">
        <w:t>: Pledge vs. rahn, guarantee vs. kafālah/</w:t>
      </w:r>
      <w:r w:rsidRPr="00600C09">
        <w:rPr>
          <w:rFonts w:ascii="Calibri" w:hAnsi="Calibri" w:cs="Calibri"/>
        </w:rPr>
        <w:t>ḍ</w:t>
      </w:r>
      <w:r w:rsidRPr="00600C09">
        <w:t>amān. These Islamic instruments align closely with conventional ones, with limitations mainly in commercialization and enforceability.</w:t>
      </w:r>
    </w:p>
    <w:p w14:paraId="52DA4EC6" w14:textId="77777777" w:rsidR="00600C09" w:rsidRPr="00600C09" w:rsidRDefault="00600C09" w:rsidP="00600C09">
      <w:pPr>
        <w:numPr>
          <w:ilvl w:val="0"/>
          <w:numId w:val="145"/>
        </w:numPr>
      </w:pPr>
      <w:r w:rsidRPr="00600C09">
        <w:rPr>
          <w:b/>
          <w:bCs/>
        </w:rPr>
        <w:t>Moderate compatibility (3.5–3.9)</w:t>
      </w:r>
      <w:r w:rsidRPr="00600C09">
        <w:t xml:space="preserve">: Mortgage vs. rahn, debt transfer vs. </w:t>
      </w:r>
      <w:r w:rsidRPr="00600C09">
        <w:rPr>
          <w:rFonts w:ascii="Calibri" w:hAnsi="Calibri" w:cs="Calibri"/>
        </w:rPr>
        <w:t>ḥ</w:t>
      </w:r>
      <w:r w:rsidRPr="00600C09">
        <w:t>awālah. These instruments achieve partial functional equivalence but face structural limitations (possession, prohibition of debt trading).</w:t>
      </w:r>
    </w:p>
    <w:p w14:paraId="1C0CE43D" w14:textId="77777777" w:rsidR="00600C09" w:rsidRPr="00600C09" w:rsidRDefault="00600C09" w:rsidP="00600C09">
      <w:pPr>
        <w:numPr>
          <w:ilvl w:val="0"/>
          <w:numId w:val="145"/>
        </w:numPr>
      </w:pPr>
      <w:r w:rsidRPr="00600C09">
        <w:rPr>
          <w:b/>
          <w:bCs/>
        </w:rPr>
        <w:t>Policy implication</w:t>
      </w:r>
      <w:r w:rsidRPr="00600C09">
        <w:t xml:space="preserve">: Regulators and practitioners should prioritize strengthening legal recognition of rahn and </w:t>
      </w:r>
      <w:r w:rsidRPr="00600C09">
        <w:rPr>
          <w:rFonts w:ascii="Calibri" w:hAnsi="Calibri" w:cs="Calibri"/>
        </w:rPr>
        <w:t>ḥ</w:t>
      </w:r>
      <w:r w:rsidRPr="00600C09">
        <w:t xml:space="preserve">awālah to improve enforceability, while exploring Shariah-compliant ways to increase commercial viability of kafālah and </w:t>
      </w:r>
      <w:r w:rsidRPr="00600C09">
        <w:rPr>
          <w:rFonts w:ascii="Calibri" w:hAnsi="Calibri" w:cs="Calibri"/>
        </w:rPr>
        <w:t>ḍ</w:t>
      </w:r>
      <w:r w:rsidRPr="00600C09">
        <w:t>amān.</w:t>
      </w:r>
    </w:p>
    <w:p w14:paraId="359CB7A0" w14:textId="77777777" w:rsidR="00600C09" w:rsidRPr="00600C09" w:rsidRDefault="00600C09" w:rsidP="00600C09">
      <w:pPr>
        <w:rPr>
          <w:b/>
          <w:bCs/>
        </w:rPr>
      </w:pPr>
      <w:r w:rsidRPr="00600C09">
        <w:rPr>
          <w:b/>
          <w:bCs/>
        </w:rPr>
        <w:t>4.8.3 Practical Use Cases</w:t>
      </w:r>
    </w:p>
    <w:p w14:paraId="583D4932" w14:textId="77777777" w:rsidR="00600C09" w:rsidRPr="00600C09" w:rsidRDefault="00600C09" w:rsidP="00600C09">
      <w:pPr>
        <w:numPr>
          <w:ilvl w:val="0"/>
          <w:numId w:val="146"/>
        </w:numPr>
      </w:pPr>
      <w:r w:rsidRPr="00600C09">
        <w:rPr>
          <w:b/>
          <w:bCs/>
        </w:rPr>
        <w:t>For regulators</w:t>
      </w:r>
      <w:r w:rsidRPr="00600C09">
        <w:t>: The Index helps identify where legal reforms are needed (e.g., statutory recognition of rahn for immovable property).</w:t>
      </w:r>
    </w:p>
    <w:p w14:paraId="422DD55C" w14:textId="77777777" w:rsidR="00600C09" w:rsidRPr="00600C09" w:rsidRDefault="00600C09" w:rsidP="00600C09">
      <w:pPr>
        <w:numPr>
          <w:ilvl w:val="0"/>
          <w:numId w:val="146"/>
        </w:numPr>
      </w:pPr>
      <w:r w:rsidRPr="00600C09">
        <w:rPr>
          <w:b/>
          <w:bCs/>
        </w:rPr>
        <w:t>For practitioners</w:t>
      </w:r>
      <w:r w:rsidRPr="00600C09">
        <w:t>: It guides structuring decisions, showing where Islamic instruments can substitute directly and where hybrids may be required.</w:t>
      </w:r>
    </w:p>
    <w:p w14:paraId="735F0E39" w14:textId="77777777" w:rsidR="00600C09" w:rsidRPr="00600C09" w:rsidRDefault="00600C09" w:rsidP="00600C09">
      <w:pPr>
        <w:numPr>
          <w:ilvl w:val="0"/>
          <w:numId w:val="146"/>
        </w:numPr>
      </w:pPr>
      <w:r w:rsidRPr="00600C09">
        <w:rPr>
          <w:b/>
          <w:bCs/>
        </w:rPr>
        <w:t>For scholars</w:t>
      </w:r>
      <w:r w:rsidRPr="00600C09">
        <w:t>: It provides a basis for further research into maqāṣid-oriented refinements of Islamic security instruments.</w:t>
      </w:r>
    </w:p>
    <w:p w14:paraId="20B19ED0" w14:textId="030C0D1A" w:rsidR="00600C09" w:rsidRPr="00600C09" w:rsidRDefault="00600C09" w:rsidP="00600C09"/>
    <w:p w14:paraId="59266003" w14:textId="77777777" w:rsidR="00600C09" w:rsidRPr="00600C09" w:rsidRDefault="00600C09" w:rsidP="00600C09">
      <w:pPr>
        <w:rPr>
          <w:b/>
          <w:bCs/>
        </w:rPr>
      </w:pPr>
      <w:r w:rsidRPr="00600C09">
        <w:rPr>
          <w:b/>
          <w:bCs/>
        </w:rPr>
        <w:t>4.9 Conclusion</w:t>
      </w:r>
    </w:p>
    <w:p w14:paraId="303E33C0" w14:textId="77777777" w:rsidR="00600C09" w:rsidRPr="00600C09" w:rsidRDefault="00600C09" w:rsidP="00600C09">
      <w:r w:rsidRPr="00600C09">
        <w:t>This chapter has demonstrated that Islamic security instruments are not isolated constructs but functional analogues of conventional mechanisms, adapted to Shariah principles. By applying the Compatibility Index, the analysis showed that:</w:t>
      </w:r>
    </w:p>
    <w:p w14:paraId="5D540C5D" w14:textId="77777777" w:rsidR="00600C09" w:rsidRPr="00600C09" w:rsidRDefault="00600C09" w:rsidP="00600C09">
      <w:pPr>
        <w:numPr>
          <w:ilvl w:val="0"/>
          <w:numId w:val="147"/>
        </w:numPr>
      </w:pPr>
      <w:r w:rsidRPr="00600C09">
        <w:lastRenderedPageBreak/>
        <w:t>Rahn is moderately compatible with mortgages and highly compatible with pledges.</w:t>
      </w:r>
    </w:p>
    <w:p w14:paraId="7C6B2DCA" w14:textId="77777777" w:rsidR="00600C09" w:rsidRPr="00600C09" w:rsidRDefault="00600C09" w:rsidP="00600C09">
      <w:pPr>
        <w:numPr>
          <w:ilvl w:val="0"/>
          <w:numId w:val="147"/>
        </w:numPr>
      </w:pPr>
      <w:r w:rsidRPr="00600C09">
        <w:t xml:space="preserve">Kafālah and </w:t>
      </w:r>
      <w:r w:rsidRPr="00600C09">
        <w:rPr>
          <w:rFonts w:ascii="Calibri" w:hAnsi="Calibri" w:cs="Calibri"/>
        </w:rPr>
        <w:t>ḍ</w:t>
      </w:r>
      <w:r w:rsidRPr="00600C09">
        <w:t>amān are strong parallels to conventional guarantees, though their gratuitous nature limits commercialization.</w:t>
      </w:r>
    </w:p>
    <w:p w14:paraId="36C88EB4" w14:textId="77777777" w:rsidR="00600C09" w:rsidRPr="00600C09" w:rsidRDefault="00600C09" w:rsidP="00600C09">
      <w:pPr>
        <w:numPr>
          <w:ilvl w:val="0"/>
          <w:numId w:val="147"/>
        </w:numPr>
      </w:pPr>
      <w:r w:rsidRPr="00600C09">
        <w:rPr>
          <w:rFonts w:ascii="Calibri" w:hAnsi="Calibri" w:cs="Calibri"/>
        </w:rPr>
        <w:t>Ḥ</w:t>
      </w:r>
      <w:r w:rsidRPr="00600C09">
        <w:t>awālah achieves debt transfer but prohibits trading, aligning with fairness but limiting liquidity.</w:t>
      </w:r>
    </w:p>
    <w:p w14:paraId="47174DA8" w14:textId="77777777" w:rsidR="00600C09" w:rsidRPr="00600C09" w:rsidRDefault="00600C09" w:rsidP="00600C09">
      <w:r w:rsidRPr="00600C09">
        <w:t xml:space="preserve">The overall message is one of </w:t>
      </w:r>
      <w:r w:rsidRPr="00600C09">
        <w:rPr>
          <w:b/>
          <w:bCs/>
        </w:rPr>
        <w:t>conditional compatibility</w:t>
      </w:r>
      <w:r w:rsidRPr="00600C09">
        <w:t>. Islamic instruments can fulfill the same purposes as conventional ones in project finance, but often require statutory recognition, constructive interpretation, or complementary structures.</w:t>
      </w:r>
    </w:p>
    <w:p w14:paraId="640AFDB2" w14:textId="77777777" w:rsidR="00600C09" w:rsidRPr="00600C09" w:rsidRDefault="00600C09" w:rsidP="00600C09">
      <w:r w:rsidRPr="00600C09">
        <w:t>The Compatibility Index provides a transparent and systematic way to assess this alignment. It bridges the gap between theory and practice, offering regulators, practitioners, and scholars a common language for evaluating Islamic finance alongside global norms.</w:t>
      </w:r>
    </w:p>
    <w:p w14:paraId="14B38370" w14:textId="77777777" w:rsidR="00600C09" w:rsidRPr="00600C09" w:rsidRDefault="00600C09" w:rsidP="00600C09">
      <w:r w:rsidRPr="00600C09">
        <w:t xml:space="preserve">As the book moves forward, these insights set the stage for Chapter 5, which will examine </w:t>
      </w:r>
      <w:r w:rsidRPr="00600C09">
        <w:rPr>
          <w:b/>
          <w:bCs/>
        </w:rPr>
        <w:t>applications in project finance</w:t>
      </w:r>
      <w:r w:rsidRPr="00600C09">
        <w:t>, including real-world case studies from Malaysia and beyond.</w:t>
      </w:r>
    </w:p>
    <w:p w14:paraId="45C61722" w14:textId="77777777" w:rsidR="00600C09" w:rsidRPr="00600C09" w:rsidRDefault="00877B45" w:rsidP="00600C09">
      <w:r>
        <w:rPr>
          <w:noProof/>
        </w:rPr>
      </w:r>
      <w:r w:rsidR="00877B45">
        <w:rPr>
          <w:noProof/>
        </w:rPr>
        <w:pict w14:anchorId="2E038820">
          <v:rect id="_x0000_i1132" style="width:0;height:1.5pt" o:hralign="center" o:hrstd="t" o:hr="t" fillcolor="#a0a0a0" stroked="f"/>
        </w:pict>
      </w:r>
    </w:p>
    <w:p w14:paraId="5B725D13" w14:textId="77777777" w:rsidR="00600C09" w:rsidRPr="00600C09" w:rsidRDefault="00600C09" w:rsidP="00600C09">
      <w:pPr>
        <w:rPr>
          <w:b/>
          <w:bCs/>
        </w:rPr>
      </w:pPr>
      <w:r w:rsidRPr="00600C09">
        <w:rPr>
          <w:rFonts w:ascii="Segoe UI Emoji" w:hAnsi="Segoe UI Emoji" w:cs="Segoe UI Emoji"/>
          <w:b/>
          <w:bCs/>
        </w:rPr>
        <w:t>📚</w:t>
      </w:r>
      <w:r w:rsidRPr="00600C09">
        <w:rPr>
          <w:b/>
          <w:bCs/>
        </w:rPr>
        <w:t xml:space="preserve"> References (APA 7th Edition)</w:t>
      </w:r>
    </w:p>
    <w:p w14:paraId="4D69870E" w14:textId="77777777" w:rsidR="00600C09" w:rsidRPr="00600C09" w:rsidRDefault="00600C09" w:rsidP="00600C09">
      <w:r w:rsidRPr="00600C09">
        <w:t xml:space="preserve">AAOIFI. (2021). </w:t>
      </w:r>
      <w:r w:rsidRPr="00600C09">
        <w:rPr>
          <w:i/>
          <w:iCs/>
        </w:rPr>
        <w:t>Shariah standards</w:t>
      </w:r>
      <w:r w:rsidRPr="00600C09">
        <w:t>. Accounting and Auditing Organization for Islamic Financial Institutions.</w:t>
      </w:r>
    </w:p>
    <w:p w14:paraId="646F062A" w14:textId="77777777" w:rsidR="00600C09" w:rsidRPr="00600C09" w:rsidRDefault="00600C09" w:rsidP="00600C09">
      <w:r w:rsidRPr="00600C09">
        <w:t xml:space="preserve">Al-Zuhayli, W. (2003). </w:t>
      </w:r>
      <w:r w:rsidRPr="00600C09">
        <w:rPr>
          <w:i/>
          <w:iCs/>
        </w:rPr>
        <w:t>Financial transactions in Islamic jurisprudence</w:t>
      </w:r>
      <w:r w:rsidRPr="00600C09">
        <w:t xml:space="preserve"> (M. El-Gamal, Trans.). Dar al-Fikr.</w:t>
      </w:r>
    </w:p>
    <w:p w14:paraId="124C708C" w14:textId="77777777" w:rsidR="00600C09" w:rsidRPr="00600C09" w:rsidRDefault="00600C09" w:rsidP="00600C09">
      <w:r w:rsidRPr="00600C09">
        <w:t xml:space="preserve">Bank Negara Malaysia. (2019). </w:t>
      </w:r>
      <w:r w:rsidRPr="00600C09">
        <w:rPr>
          <w:i/>
          <w:iCs/>
        </w:rPr>
        <w:t>Shariah Governance Policy Document</w:t>
      </w:r>
      <w:r w:rsidRPr="00600C09">
        <w:t>. Bank Negara Malaysia.</w:t>
      </w:r>
    </w:p>
    <w:p w14:paraId="198664EE" w14:textId="77777777" w:rsidR="00600C09" w:rsidRPr="00600C09" w:rsidRDefault="00600C09" w:rsidP="00600C09">
      <w:r w:rsidRPr="00600C09">
        <w:t xml:space="preserve">El-Gamal, M. A. (2006). </w:t>
      </w:r>
      <w:r w:rsidRPr="00600C09">
        <w:rPr>
          <w:i/>
          <w:iCs/>
        </w:rPr>
        <w:t>Islamic finance: Law, economics, and practice</w:t>
      </w:r>
      <w:r w:rsidRPr="00600C09">
        <w:t>. Cambridge University Press.</w:t>
      </w:r>
    </w:p>
    <w:p w14:paraId="53DACF88" w14:textId="77777777" w:rsidR="00600C09" w:rsidRPr="00600C09" w:rsidRDefault="00600C09" w:rsidP="00600C09">
      <w:r w:rsidRPr="00600C09">
        <w:t xml:space="preserve">Goode, R. (2013). </w:t>
      </w:r>
      <w:r w:rsidRPr="00600C09">
        <w:rPr>
          <w:i/>
          <w:iCs/>
        </w:rPr>
        <w:t>Goode on legal problems of credit and security</w:t>
      </w:r>
      <w:r w:rsidRPr="00600C09">
        <w:t xml:space="preserve"> (5th ed.). Sweet &amp; Maxwell.</w:t>
      </w:r>
    </w:p>
    <w:p w14:paraId="0C5882C7" w14:textId="77777777" w:rsidR="00600C09" w:rsidRPr="00600C09" w:rsidRDefault="00600C09" w:rsidP="00600C09">
      <w:r w:rsidRPr="00600C09">
        <w:t xml:space="preserve">Wood, P. R. (2007). </w:t>
      </w:r>
      <w:r w:rsidRPr="00600C09">
        <w:rPr>
          <w:i/>
          <w:iCs/>
        </w:rPr>
        <w:t>Principles of international insolvency</w:t>
      </w:r>
      <w:r w:rsidRPr="00600C09">
        <w:t xml:space="preserve"> (2nd ed.). Sweet &amp; Maxwell.</w:t>
      </w:r>
    </w:p>
    <w:p w14:paraId="3A9DD520" w14:textId="77777777" w:rsidR="00600C09" w:rsidRPr="00600C09" w:rsidRDefault="00600C09" w:rsidP="00600C09">
      <w:r w:rsidRPr="00600C09">
        <w:t xml:space="preserve">Yescombe, E. R. (2014). </w:t>
      </w:r>
      <w:r w:rsidRPr="00600C09">
        <w:rPr>
          <w:i/>
          <w:iCs/>
        </w:rPr>
        <w:t>Principles of project finance</w:t>
      </w:r>
      <w:r w:rsidRPr="00600C09">
        <w:t xml:space="preserve"> (2nd ed.). Academic Press.</w:t>
      </w:r>
    </w:p>
    <w:p w14:paraId="03A37265" w14:textId="0C33C54D" w:rsidR="00600C09" w:rsidRPr="00600C09" w:rsidRDefault="00600C09" w:rsidP="00600C09"/>
    <w:p w14:paraId="570236CD" w14:textId="5C43D69F" w:rsidR="00600C09" w:rsidRDefault="00600C09" w:rsidP="00600C09"/>
    <w:p w14:paraId="6B4A0451" w14:textId="77777777" w:rsidR="00AA0254" w:rsidRDefault="00AA0254" w:rsidP="00600C09"/>
    <w:p w14:paraId="0A988389" w14:textId="77777777" w:rsidR="00AA0254" w:rsidRDefault="00AA0254" w:rsidP="00600C09"/>
    <w:p w14:paraId="0FAAC6AB" w14:textId="77777777" w:rsidR="00AA0254" w:rsidRDefault="00AA0254" w:rsidP="00600C09"/>
    <w:p w14:paraId="46995A3E" w14:textId="77777777" w:rsidR="00AA0254" w:rsidRDefault="00AA0254" w:rsidP="00600C09"/>
    <w:p w14:paraId="0A8DB198" w14:textId="33B1BD5E" w:rsidR="00600C09" w:rsidRDefault="00600C09" w:rsidP="00AA0254"/>
    <w:p w14:paraId="4646CB2D" w14:textId="77777777" w:rsidR="00AA0254" w:rsidRPr="00600C09" w:rsidRDefault="00AA0254" w:rsidP="00AA0254"/>
    <w:p w14:paraId="78E2BAA7" w14:textId="77777777" w:rsidR="00600C09" w:rsidRPr="00600C09" w:rsidRDefault="00877B45" w:rsidP="00600C09">
      <w:r>
        <w:rPr>
          <w:noProof/>
        </w:rPr>
      </w:r>
      <w:r w:rsidR="00877B45">
        <w:rPr>
          <w:noProof/>
        </w:rPr>
        <w:pict w14:anchorId="4295564B">
          <v:rect id="_x0000_i1138" style="width:0;height:1.5pt" o:hralign="center" o:hrstd="t" o:hr="t" fillcolor="#a0a0a0" stroked="f"/>
        </w:pict>
      </w:r>
    </w:p>
    <w:p w14:paraId="2D1F9FD7" w14:textId="77777777" w:rsidR="00600C09" w:rsidRPr="00600C09" w:rsidRDefault="00600C09" w:rsidP="00600C09">
      <w:pPr>
        <w:rPr>
          <w:b/>
          <w:bCs/>
        </w:rPr>
      </w:pPr>
      <w:r w:rsidRPr="00600C09">
        <w:rPr>
          <w:rFonts w:ascii="Segoe UI Emoji" w:hAnsi="Segoe UI Emoji" w:cs="Segoe UI Emoji"/>
          <w:b/>
          <w:bCs/>
        </w:rPr>
        <w:t>📖</w:t>
      </w:r>
      <w:r w:rsidRPr="00600C09">
        <w:rPr>
          <w:b/>
          <w:bCs/>
        </w:rPr>
        <w:t xml:space="preserve"> Chapter 5 — Applications in Project Finance</w:t>
      </w:r>
    </w:p>
    <w:p w14:paraId="3143C8A8" w14:textId="77777777" w:rsidR="00600C09" w:rsidRPr="00600C09" w:rsidRDefault="00877B45" w:rsidP="00600C09">
      <w:r>
        <w:rPr>
          <w:noProof/>
        </w:rPr>
      </w:r>
      <w:r w:rsidR="00877B45">
        <w:rPr>
          <w:noProof/>
        </w:rPr>
        <w:pict w14:anchorId="761C5B73">
          <v:rect id="_x0000_i1139" style="width:0;height:1.5pt" o:hralign="center" o:hrstd="t" o:hr="t" fillcolor="#a0a0a0" stroked="f"/>
        </w:pict>
      </w:r>
    </w:p>
    <w:p w14:paraId="1075AECC" w14:textId="77777777" w:rsidR="00600C09" w:rsidRPr="00600C09" w:rsidRDefault="00600C09" w:rsidP="00600C09">
      <w:pPr>
        <w:rPr>
          <w:b/>
          <w:bCs/>
        </w:rPr>
      </w:pPr>
      <w:r w:rsidRPr="00600C09">
        <w:rPr>
          <w:b/>
          <w:bCs/>
        </w:rPr>
        <w:t>5.1 Introduction</w:t>
      </w:r>
    </w:p>
    <w:p w14:paraId="0DBF92D1" w14:textId="77777777" w:rsidR="00600C09" w:rsidRPr="00600C09" w:rsidRDefault="00600C09" w:rsidP="00600C09">
      <w:r w:rsidRPr="00600C09">
        <w:t>Project finance has emerged as one of the most significant financing methods for large-scale infrastructure and industrial projects in both conventional and Islamic finance. It is characterized by limited recourse financing, where lenders rely primarily on the project’s cash flows for repayment, secured by a range of security instruments. Typical projects financed through this method include power plants, toll highways, ports, telecommunications infrastructure, and public-private partnerships (Yescombe, 2014).</w:t>
      </w:r>
    </w:p>
    <w:p w14:paraId="09701314" w14:textId="77777777" w:rsidR="00600C09" w:rsidRPr="00600C09" w:rsidRDefault="00600C09" w:rsidP="00600C09">
      <w:r w:rsidRPr="00600C09">
        <w:t>In the Islamic finance context, project finance poses both opportunities and challenges. The opportunity lies in mobilizing large pools of capital in a Shariah-compliant manner, thereby contributing to economic development while fulfilling the ethical objectives of Islam. The challenge lies in reconciling the contractual structures of project finance — which depend heavily on security instruments — with the requirements of Shariah law.</w:t>
      </w:r>
    </w:p>
    <w:p w14:paraId="2B988DC1" w14:textId="77777777" w:rsidR="00600C09" w:rsidRPr="00600C09" w:rsidRDefault="00600C09" w:rsidP="00600C09">
      <w:r w:rsidRPr="00600C09">
        <w:t xml:space="preserve">As demonstrated in Chapters 3 and 4, Islamic instruments such as rahn, kafālah, </w:t>
      </w:r>
      <w:r w:rsidRPr="00600C09">
        <w:rPr>
          <w:rFonts w:ascii="Calibri" w:hAnsi="Calibri" w:cs="Calibri"/>
        </w:rPr>
        <w:t>ḍ</w:t>
      </w:r>
      <w:r w:rsidRPr="00600C09">
        <w:t xml:space="preserve">amān, and </w:t>
      </w:r>
      <w:r w:rsidRPr="00600C09">
        <w:rPr>
          <w:rFonts w:ascii="Calibri" w:hAnsi="Calibri" w:cs="Calibri"/>
        </w:rPr>
        <w:t>ḥ</w:t>
      </w:r>
      <w:r w:rsidRPr="00600C09">
        <w:t>awālah can serve as substitutes for mortgages, pledges, guarantees, and debt transfers. However, their practical application requires careful structuring, especially in cross-border transactions where conventional law dominates. In Malaysia, a leading hub for Islamic finance, the integration of these instruments has been tested through real-life project financings.</w:t>
      </w:r>
    </w:p>
    <w:p w14:paraId="1682F464" w14:textId="77777777" w:rsidR="00600C09" w:rsidRPr="00600C09" w:rsidRDefault="00600C09" w:rsidP="00600C09">
      <w:r w:rsidRPr="00600C09">
        <w:t>This chapter examines these applications through case studies drawn from Malaysian practice. Each case highlights how Islamic security instruments were deployed, the legal and regulatory challenges encountered, and how the Compatibility Index (developed in Chapter 4) provides a framework for evaluating outcomes. The analysis also draws upon insights from interviews with bankers, lawyers, and regulators, providing a multi-dimensional perspective.</w:t>
      </w:r>
    </w:p>
    <w:p w14:paraId="38E65A8C" w14:textId="689F37DF" w:rsidR="00600C09" w:rsidRPr="00600C09" w:rsidRDefault="00600C09" w:rsidP="00600C09"/>
    <w:p w14:paraId="782C8BDE" w14:textId="77777777" w:rsidR="00600C09" w:rsidRPr="00600C09" w:rsidRDefault="00600C09" w:rsidP="00600C09">
      <w:pPr>
        <w:rPr>
          <w:b/>
          <w:bCs/>
        </w:rPr>
      </w:pPr>
      <w:r w:rsidRPr="00600C09">
        <w:rPr>
          <w:b/>
          <w:bCs/>
        </w:rPr>
        <w:t>5.2 Case Study Methodology</w:t>
      </w:r>
    </w:p>
    <w:p w14:paraId="5FFEA9C6" w14:textId="77777777" w:rsidR="00600C09" w:rsidRPr="00600C09" w:rsidRDefault="00600C09" w:rsidP="00600C09">
      <w:r w:rsidRPr="00600C09">
        <w:lastRenderedPageBreak/>
        <w:t>The methodology for this chapter combines doctrinal analysis, case study research, and qualitative insights from interviews.</w:t>
      </w:r>
    </w:p>
    <w:p w14:paraId="47C400F3" w14:textId="77777777" w:rsidR="00600C09" w:rsidRPr="00600C09" w:rsidRDefault="00600C09" w:rsidP="00600C09">
      <w:r w:rsidRPr="00600C09">
        <w:rPr>
          <w:b/>
          <w:bCs/>
        </w:rPr>
        <w:t>1. Doctrinal Analysis</w:t>
      </w:r>
      <w:r w:rsidRPr="00600C09">
        <w:br/>
        <w:t xml:space="preserve">This involves examining statutory frameworks such as the National Land Code 1965, Contracts Act 1950, and the Islamic Financial Services Act 2013. Regulatory documents from Bank Negara Malaysia (BNM), including the </w:t>
      </w:r>
      <w:r w:rsidRPr="00600C09">
        <w:rPr>
          <w:i/>
          <w:iCs/>
        </w:rPr>
        <w:t>Shariah Governance Policy Document</w:t>
      </w:r>
      <w:r w:rsidRPr="00600C09">
        <w:t xml:space="preserve"> (2019), provide essential guidance on enforceability and Shariah compliance.</w:t>
      </w:r>
    </w:p>
    <w:p w14:paraId="456532F5" w14:textId="77777777" w:rsidR="00600C09" w:rsidRPr="00600C09" w:rsidRDefault="00600C09" w:rsidP="00600C09">
      <w:r w:rsidRPr="00600C09">
        <w:rPr>
          <w:b/>
          <w:bCs/>
        </w:rPr>
        <w:t>2. Case Study Research</w:t>
      </w:r>
      <w:r w:rsidRPr="00600C09">
        <w:br/>
        <w:t>Case studies allow for in-depth exploration of how Islamic security instruments operate in practice. They highlight the interaction between contractual design, regulatory frameworks, and judicial recognition. The cases selected represent major sectors of project finance in Malaysia:</w:t>
      </w:r>
    </w:p>
    <w:p w14:paraId="5660C22F" w14:textId="77777777" w:rsidR="00600C09" w:rsidRPr="00600C09" w:rsidRDefault="00600C09" w:rsidP="00600C09">
      <w:pPr>
        <w:numPr>
          <w:ilvl w:val="0"/>
          <w:numId w:val="158"/>
        </w:numPr>
      </w:pPr>
      <w:r w:rsidRPr="00600C09">
        <w:t>Energy (power plants)</w:t>
      </w:r>
    </w:p>
    <w:p w14:paraId="59067577" w14:textId="77777777" w:rsidR="00600C09" w:rsidRPr="00600C09" w:rsidRDefault="00600C09" w:rsidP="00600C09">
      <w:pPr>
        <w:numPr>
          <w:ilvl w:val="0"/>
          <w:numId w:val="158"/>
        </w:numPr>
      </w:pPr>
      <w:r w:rsidRPr="00600C09">
        <w:t>Infrastructure (toll highways)</w:t>
      </w:r>
    </w:p>
    <w:p w14:paraId="67D541C0" w14:textId="77777777" w:rsidR="00600C09" w:rsidRPr="00600C09" w:rsidRDefault="00600C09" w:rsidP="00600C09">
      <w:pPr>
        <w:numPr>
          <w:ilvl w:val="0"/>
          <w:numId w:val="158"/>
        </w:numPr>
      </w:pPr>
      <w:r w:rsidRPr="00600C09">
        <w:t>Social sector (hospitals under PPPs)</w:t>
      </w:r>
    </w:p>
    <w:p w14:paraId="7B4855B0" w14:textId="77777777" w:rsidR="00600C09" w:rsidRPr="00600C09" w:rsidRDefault="00600C09" w:rsidP="00600C09">
      <w:r w:rsidRPr="00600C09">
        <w:t>Each case includes a description of the financing structure, the security instruments applied, the Shariah issues encountered, and the practical solutions adopted.</w:t>
      </w:r>
    </w:p>
    <w:p w14:paraId="210C3335" w14:textId="77777777" w:rsidR="00600C09" w:rsidRPr="00600C09" w:rsidRDefault="00600C09" w:rsidP="00600C09">
      <w:r w:rsidRPr="00600C09">
        <w:rPr>
          <w:b/>
          <w:bCs/>
        </w:rPr>
        <w:t>3. Interviews with Practitioners</w:t>
      </w:r>
      <w:r w:rsidRPr="00600C09">
        <w:br/>
        <w:t>Semi-structured interviews were conducted with bankers, Shariah advisors, lawyers, and regulators. Respondents (coded P1–P10 for anonymity) shared insights on practical challenges, such as documentation, enforceability in courts, and reconciliation of conventional and Islamic requirements. These perspectives enrich the analysis beyond purely doctrinal discussions.</w:t>
      </w:r>
    </w:p>
    <w:p w14:paraId="6C152BE1" w14:textId="77777777" w:rsidR="00600C09" w:rsidRPr="00600C09" w:rsidRDefault="00600C09" w:rsidP="00600C09">
      <w:r w:rsidRPr="00600C09">
        <w:t>The triangulation of doctrinal, empirical, and qualitative data strengthens the validity of findings.</w:t>
      </w:r>
    </w:p>
    <w:p w14:paraId="0341365A" w14:textId="3374BDF1" w:rsidR="00600C09" w:rsidRPr="00600C09" w:rsidRDefault="00600C09" w:rsidP="00600C09"/>
    <w:p w14:paraId="77CEC57A" w14:textId="77777777" w:rsidR="00600C09" w:rsidRPr="00600C09" w:rsidRDefault="00600C09" w:rsidP="00600C09">
      <w:pPr>
        <w:rPr>
          <w:b/>
          <w:bCs/>
        </w:rPr>
      </w:pPr>
      <w:r w:rsidRPr="00600C09">
        <w:rPr>
          <w:b/>
          <w:bCs/>
        </w:rPr>
        <w:t>5.3 Malaysian Case Studies</w:t>
      </w:r>
    </w:p>
    <w:p w14:paraId="527ACEA9" w14:textId="77777777" w:rsidR="00600C09" w:rsidRPr="00600C09" w:rsidRDefault="00600C09" w:rsidP="00600C09">
      <w:pPr>
        <w:rPr>
          <w:b/>
          <w:bCs/>
        </w:rPr>
      </w:pPr>
      <w:r w:rsidRPr="00600C09">
        <w:rPr>
          <w:b/>
          <w:bCs/>
        </w:rPr>
        <w:t>5.3.1 Case Study 1: Power Plant Financing</w:t>
      </w:r>
    </w:p>
    <w:p w14:paraId="4C57052E" w14:textId="77777777" w:rsidR="00600C09" w:rsidRPr="00600C09" w:rsidRDefault="00600C09" w:rsidP="00600C09">
      <w:pPr>
        <w:rPr>
          <w:b/>
          <w:bCs/>
        </w:rPr>
      </w:pPr>
      <w:r w:rsidRPr="00600C09">
        <w:rPr>
          <w:b/>
          <w:bCs/>
        </w:rPr>
        <w:t>5.3.1.1 Background</w:t>
      </w:r>
    </w:p>
    <w:p w14:paraId="416EA31B" w14:textId="77777777" w:rsidR="00600C09" w:rsidRPr="00600C09" w:rsidRDefault="00600C09" w:rsidP="00600C09">
      <w:r w:rsidRPr="00600C09">
        <w:t>The financing of independent power producers (IPPs) has been central to Malaysia’s infrastructure development since the 1990s. Power plant projects typically involve long-term power purchase agreements (PPAs) with Tenaga Nasional Berhad (TNB), providing lenders with predictable revenue streams. Financing structures usually combine syndicated loans, sukuk issuances, and layered security packages.</w:t>
      </w:r>
    </w:p>
    <w:p w14:paraId="4C742424" w14:textId="77777777" w:rsidR="00600C09" w:rsidRPr="00600C09" w:rsidRDefault="00600C09" w:rsidP="00600C09">
      <w:r w:rsidRPr="00600C09">
        <w:lastRenderedPageBreak/>
        <w:t>In one notable transaction, a 1,000 MW gas-fired power plant was financed through a combination of sukuk murāba</w:t>
      </w:r>
      <w:r w:rsidRPr="00600C09">
        <w:rPr>
          <w:rFonts w:ascii="Calibri" w:hAnsi="Calibri" w:cs="Calibri"/>
        </w:rPr>
        <w:t>ḥ</w:t>
      </w:r>
      <w:r w:rsidRPr="00600C09">
        <w:t>ah and Islamic syndicated term financing. The project required a security package acceptable to both Islamic and conventional financiers, as the syndicate included a mix of banks.</w:t>
      </w:r>
    </w:p>
    <w:p w14:paraId="1E9B510C" w14:textId="77777777" w:rsidR="00600C09" w:rsidRPr="00600C09" w:rsidRDefault="00600C09" w:rsidP="00600C09">
      <w:pPr>
        <w:rPr>
          <w:b/>
          <w:bCs/>
        </w:rPr>
      </w:pPr>
      <w:r w:rsidRPr="00600C09">
        <w:rPr>
          <w:b/>
          <w:bCs/>
        </w:rPr>
        <w:t>5.3.1.2 Security Package</w:t>
      </w:r>
    </w:p>
    <w:p w14:paraId="4780F647" w14:textId="77777777" w:rsidR="00600C09" w:rsidRPr="00600C09" w:rsidRDefault="00600C09" w:rsidP="00600C09">
      <w:r w:rsidRPr="00600C09">
        <w:t>The security instruments employed included:</w:t>
      </w:r>
    </w:p>
    <w:p w14:paraId="3974CF1F" w14:textId="77777777" w:rsidR="00600C09" w:rsidRPr="00600C09" w:rsidRDefault="00600C09" w:rsidP="00600C09">
      <w:pPr>
        <w:numPr>
          <w:ilvl w:val="0"/>
          <w:numId w:val="159"/>
        </w:numPr>
      </w:pPr>
      <w:r w:rsidRPr="00600C09">
        <w:rPr>
          <w:b/>
          <w:bCs/>
        </w:rPr>
        <w:t>Charge over land and plant assets</w:t>
      </w:r>
    </w:p>
    <w:p w14:paraId="513A9D1F" w14:textId="77777777" w:rsidR="00600C09" w:rsidRPr="00600C09" w:rsidRDefault="00600C09" w:rsidP="00600C09">
      <w:pPr>
        <w:numPr>
          <w:ilvl w:val="1"/>
          <w:numId w:val="159"/>
        </w:numPr>
      </w:pPr>
      <w:r w:rsidRPr="00600C09">
        <w:t>Conventional lenders insisted on statutory charges (mortgages) over immovable property under the National Land Code.</w:t>
      </w:r>
    </w:p>
    <w:p w14:paraId="50AA8554" w14:textId="77777777" w:rsidR="00600C09" w:rsidRPr="00600C09" w:rsidRDefault="00600C09" w:rsidP="00600C09">
      <w:pPr>
        <w:numPr>
          <w:ilvl w:val="1"/>
          <w:numId w:val="159"/>
        </w:numPr>
      </w:pPr>
      <w:r w:rsidRPr="00600C09">
        <w:t>Islamic financiers required that such charges be interpreted through the lens of rahn, ensuring that ownership remained with the debtor while possession was transferred constructively.</w:t>
      </w:r>
    </w:p>
    <w:p w14:paraId="38C9C3E7" w14:textId="77777777" w:rsidR="00600C09" w:rsidRPr="00600C09" w:rsidRDefault="00600C09" w:rsidP="00600C09">
      <w:pPr>
        <w:numPr>
          <w:ilvl w:val="0"/>
          <w:numId w:val="159"/>
        </w:numPr>
      </w:pPr>
      <w:r w:rsidRPr="00600C09">
        <w:rPr>
          <w:b/>
          <w:bCs/>
        </w:rPr>
        <w:t>Share pledge/rahn of shares</w:t>
      </w:r>
    </w:p>
    <w:p w14:paraId="2F6D4D56" w14:textId="77777777" w:rsidR="00600C09" w:rsidRPr="00600C09" w:rsidRDefault="00600C09" w:rsidP="00600C09">
      <w:pPr>
        <w:numPr>
          <w:ilvl w:val="1"/>
          <w:numId w:val="159"/>
        </w:numPr>
      </w:pPr>
      <w:r w:rsidRPr="00600C09">
        <w:t>Sponsors pledged their shares in the project company.</w:t>
      </w:r>
    </w:p>
    <w:p w14:paraId="0F3C9C9C" w14:textId="77777777" w:rsidR="00600C09" w:rsidRPr="00600C09" w:rsidRDefault="00600C09" w:rsidP="00600C09">
      <w:pPr>
        <w:numPr>
          <w:ilvl w:val="1"/>
          <w:numId w:val="159"/>
        </w:numPr>
      </w:pPr>
      <w:r w:rsidRPr="00600C09">
        <w:t>From the Islamic perspective, this was treated as rahn of shares, with documentation ensuring no transfer of ownership but constructive possession by lenders.</w:t>
      </w:r>
    </w:p>
    <w:p w14:paraId="2350C146" w14:textId="77777777" w:rsidR="00600C09" w:rsidRPr="00600C09" w:rsidRDefault="00600C09" w:rsidP="00600C09">
      <w:pPr>
        <w:numPr>
          <w:ilvl w:val="0"/>
          <w:numId w:val="159"/>
        </w:numPr>
      </w:pPr>
      <w:r w:rsidRPr="00600C09">
        <w:rPr>
          <w:b/>
          <w:bCs/>
        </w:rPr>
        <w:t>Assignment of project agreements</w:t>
      </w:r>
    </w:p>
    <w:p w14:paraId="6C136189" w14:textId="77777777" w:rsidR="00600C09" w:rsidRPr="00600C09" w:rsidRDefault="00600C09" w:rsidP="00600C09">
      <w:pPr>
        <w:numPr>
          <w:ilvl w:val="1"/>
          <w:numId w:val="159"/>
        </w:numPr>
      </w:pPr>
      <w:r w:rsidRPr="00600C09">
        <w:t>Rights under the PPA, fuel supply agreements, and EPC contracts were assigned to lenders.</w:t>
      </w:r>
    </w:p>
    <w:p w14:paraId="3E91AD12" w14:textId="77777777" w:rsidR="00600C09" w:rsidRPr="00600C09" w:rsidRDefault="00600C09" w:rsidP="00600C09">
      <w:pPr>
        <w:numPr>
          <w:ilvl w:val="1"/>
          <w:numId w:val="159"/>
        </w:numPr>
      </w:pPr>
      <w:r w:rsidRPr="00600C09">
        <w:t xml:space="preserve">For Islamic financiers, this was structured using </w:t>
      </w:r>
      <w:r w:rsidRPr="00600C09">
        <w:rPr>
          <w:rFonts w:ascii="Calibri" w:hAnsi="Calibri" w:cs="Calibri"/>
        </w:rPr>
        <w:t>ḥ</w:t>
      </w:r>
      <w:r w:rsidRPr="00600C09">
        <w:t>awālah principles, though documentation mirrored conventional assignment clauses.</w:t>
      </w:r>
    </w:p>
    <w:p w14:paraId="75A95F62" w14:textId="77777777" w:rsidR="00600C09" w:rsidRPr="00600C09" w:rsidRDefault="00600C09" w:rsidP="00600C09">
      <w:pPr>
        <w:numPr>
          <w:ilvl w:val="0"/>
          <w:numId w:val="159"/>
        </w:numPr>
      </w:pPr>
      <w:r w:rsidRPr="00600C09">
        <w:rPr>
          <w:b/>
          <w:bCs/>
        </w:rPr>
        <w:t>Sponsor guarantees</w:t>
      </w:r>
    </w:p>
    <w:p w14:paraId="7DBD1641" w14:textId="77777777" w:rsidR="00600C09" w:rsidRPr="00600C09" w:rsidRDefault="00600C09" w:rsidP="00600C09">
      <w:pPr>
        <w:numPr>
          <w:ilvl w:val="1"/>
          <w:numId w:val="159"/>
        </w:numPr>
      </w:pPr>
      <w:r w:rsidRPr="00600C09">
        <w:t>Sponsors provided completion guarantees and equity contribution undertakings.</w:t>
      </w:r>
    </w:p>
    <w:p w14:paraId="5A0BABEE" w14:textId="77777777" w:rsidR="00600C09" w:rsidRPr="00600C09" w:rsidRDefault="00600C09" w:rsidP="00600C09">
      <w:pPr>
        <w:numPr>
          <w:ilvl w:val="1"/>
          <w:numId w:val="159"/>
        </w:numPr>
      </w:pPr>
      <w:r w:rsidRPr="00600C09">
        <w:t>These were aligned with kafālah/</w:t>
      </w:r>
      <w:r w:rsidRPr="00600C09">
        <w:rPr>
          <w:rFonts w:ascii="Calibri" w:hAnsi="Calibri" w:cs="Calibri"/>
        </w:rPr>
        <w:t>ḍ</w:t>
      </w:r>
      <w:r w:rsidRPr="00600C09">
        <w:t>amān structures, ensuring guarantor liability was recognized without fees.</w:t>
      </w:r>
    </w:p>
    <w:p w14:paraId="0CCFAE18" w14:textId="77777777" w:rsidR="00600C09" w:rsidRPr="00600C09" w:rsidRDefault="00600C09" w:rsidP="00600C09">
      <w:pPr>
        <w:rPr>
          <w:b/>
          <w:bCs/>
        </w:rPr>
      </w:pPr>
      <w:r w:rsidRPr="00600C09">
        <w:rPr>
          <w:b/>
          <w:bCs/>
        </w:rPr>
        <w:t>5.3.1.3 Shariah Issues</w:t>
      </w:r>
    </w:p>
    <w:p w14:paraId="16568006" w14:textId="77777777" w:rsidR="00600C09" w:rsidRPr="00600C09" w:rsidRDefault="00600C09" w:rsidP="00600C09">
      <w:r w:rsidRPr="00600C09">
        <w:t>The transaction highlighted several Shariah challenges:</w:t>
      </w:r>
    </w:p>
    <w:p w14:paraId="0F7A2D97" w14:textId="77777777" w:rsidR="00600C09" w:rsidRPr="00600C09" w:rsidRDefault="00600C09" w:rsidP="00600C09">
      <w:pPr>
        <w:numPr>
          <w:ilvl w:val="0"/>
          <w:numId w:val="160"/>
        </w:numPr>
      </w:pPr>
      <w:r w:rsidRPr="00600C09">
        <w:rPr>
          <w:b/>
          <w:bCs/>
        </w:rPr>
        <w:t>Dual documentation</w:t>
      </w:r>
      <w:r w:rsidRPr="00600C09">
        <w:t xml:space="preserve">: To satisfy both conventional and Islamic financiers, the security documents often carried dual references — “mortgage/charge” for conventional banks, and “rahn/pledge” for Islamic banks. This raised concerns of </w:t>
      </w:r>
      <w:r w:rsidRPr="00600C09">
        <w:rPr>
          <w:i/>
          <w:iCs/>
        </w:rPr>
        <w:t>tadlis</w:t>
      </w:r>
      <w:r w:rsidRPr="00600C09">
        <w:t xml:space="preserve"> (ambiguity), though mitigated by clear contractual language.</w:t>
      </w:r>
    </w:p>
    <w:p w14:paraId="5D33B14D" w14:textId="77777777" w:rsidR="00600C09" w:rsidRPr="00600C09" w:rsidRDefault="00600C09" w:rsidP="00600C09">
      <w:pPr>
        <w:numPr>
          <w:ilvl w:val="0"/>
          <w:numId w:val="160"/>
        </w:numPr>
      </w:pPr>
      <w:r w:rsidRPr="00600C09">
        <w:rPr>
          <w:b/>
          <w:bCs/>
        </w:rPr>
        <w:lastRenderedPageBreak/>
        <w:t>Possession requirement in rahn</w:t>
      </w:r>
      <w:r w:rsidRPr="00600C09">
        <w:t>: Jurists questioned whether constructive possession of land and plant assets met the Shariah condition. The Shariah Advisory Council (SAC) of BNM approved the use of constructive possession via registration, provided creditors did not derive benefit from the asset.</w:t>
      </w:r>
    </w:p>
    <w:p w14:paraId="2325C0B3" w14:textId="77777777" w:rsidR="00600C09" w:rsidRPr="00600C09" w:rsidRDefault="00600C09" w:rsidP="00600C09">
      <w:pPr>
        <w:numPr>
          <w:ilvl w:val="0"/>
          <w:numId w:val="160"/>
        </w:numPr>
      </w:pPr>
      <w:r w:rsidRPr="00600C09">
        <w:rPr>
          <w:b/>
          <w:bCs/>
        </w:rPr>
        <w:t>Guarantee fees</w:t>
      </w:r>
      <w:r w:rsidRPr="00600C09">
        <w:t>: Sponsors requested reimbursement for costs associated with providing completion guarantees. Shariah advisors clarified that only administrative costs were permissible, excluding profit margins.</w:t>
      </w:r>
    </w:p>
    <w:p w14:paraId="7A5E51D0" w14:textId="77777777" w:rsidR="00600C09" w:rsidRPr="00600C09" w:rsidRDefault="00600C09" w:rsidP="00600C09">
      <w:pPr>
        <w:rPr>
          <w:b/>
          <w:bCs/>
        </w:rPr>
      </w:pPr>
      <w:r w:rsidRPr="00600C09">
        <w:rPr>
          <w:b/>
          <w:bCs/>
        </w:rPr>
        <w:t>5.3.1.4 Practical Solutions</w:t>
      </w:r>
    </w:p>
    <w:p w14:paraId="0F75A103" w14:textId="77777777" w:rsidR="00600C09" w:rsidRPr="00600C09" w:rsidRDefault="00600C09" w:rsidP="00600C09">
      <w:r w:rsidRPr="00600C09">
        <w:t>The following solutions were adopted:</w:t>
      </w:r>
    </w:p>
    <w:p w14:paraId="2EAE9ABA" w14:textId="77777777" w:rsidR="00600C09" w:rsidRPr="00600C09" w:rsidRDefault="00600C09" w:rsidP="00600C09">
      <w:pPr>
        <w:numPr>
          <w:ilvl w:val="0"/>
          <w:numId w:val="161"/>
        </w:numPr>
      </w:pPr>
      <w:r w:rsidRPr="00600C09">
        <w:rPr>
          <w:b/>
          <w:bCs/>
        </w:rPr>
        <w:t>Harmonized documentation</w:t>
      </w:r>
      <w:r w:rsidRPr="00600C09">
        <w:t>: Legal counsel prepared consolidated security agreements with Shariah-compliant recitals, ensuring enforceability under the National Land Code while preserving Islamic authenticity.</w:t>
      </w:r>
    </w:p>
    <w:p w14:paraId="7B72929B" w14:textId="77777777" w:rsidR="00600C09" w:rsidRPr="00600C09" w:rsidRDefault="00600C09" w:rsidP="00600C09">
      <w:pPr>
        <w:numPr>
          <w:ilvl w:val="0"/>
          <w:numId w:val="161"/>
        </w:numPr>
      </w:pPr>
      <w:r w:rsidRPr="00600C09">
        <w:rPr>
          <w:b/>
          <w:bCs/>
        </w:rPr>
        <w:t>Regulatory endorsement</w:t>
      </w:r>
      <w:r w:rsidRPr="00600C09">
        <w:t>: SAC rulings provided certainty, particularly on constructive possession.</w:t>
      </w:r>
    </w:p>
    <w:p w14:paraId="2192A017" w14:textId="4EE918B4" w:rsidR="00600C09" w:rsidRPr="00870BBA" w:rsidRDefault="00600C09" w:rsidP="00870BBA">
      <w:pPr>
        <w:numPr>
          <w:ilvl w:val="0"/>
          <w:numId w:val="161"/>
        </w:numPr>
      </w:pPr>
      <w:r w:rsidRPr="00600C09">
        <w:rPr>
          <w:b/>
          <w:bCs/>
        </w:rPr>
        <w:t>Hybrid enforcement</w:t>
      </w:r>
      <w:r w:rsidRPr="00600C09">
        <w:t>: Courts were petitioned to recognize both conventional and Islamic bases, ensuring enforceability for all syndicate members.</w:t>
      </w:r>
    </w:p>
    <w:p w14:paraId="53C60718" w14:textId="74E30514" w:rsidR="00600C09" w:rsidRPr="00600C09" w:rsidRDefault="00600C09" w:rsidP="00600C09">
      <w:pPr>
        <w:rPr>
          <w:b/>
          <w:bCs/>
        </w:rPr>
      </w:pPr>
      <w:r w:rsidRPr="00600C09">
        <w:rPr>
          <w:b/>
          <w:bCs/>
        </w:rPr>
        <w:t xml:space="preserve"> </w:t>
      </w:r>
    </w:p>
    <w:p w14:paraId="6F0B0DB4" w14:textId="77777777" w:rsidR="00600C09" w:rsidRPr="00600C09" w:rsidRDefault="00600C09" w:rsidP="00600C09">
      <w:pPr>
        <w:rPr>
          <w:b/>
          <w:bCs/>
        </w:rPr>
      </w:pPr>
      <w:r w:rsidRPr="00600C09">
        <w:rPr>
          <w:b/>
          <w:bCs/>
        </w:rPr>
        <w:t>5.3.1.5 Enforcement Issues</w:t>
      </w:r>
    </w:p>
    <w:p w14:paraId="16199CCB" w14:textId="77777777" w:rsidR="00600C09" w:rsidRPr="00600C09" w:rsidRDefault="00600C09" w:rsidP="00600C09">
      <w:r w:rsidRPr="00600C09">
        <w:t>Despite careful structuring, enforcement posed potential risks:</w:t>
      </w:r>
    </w:p>
    <w:p w14:paraId="6FA0C886" w14:textId="77777777" w:rsidR="00600C09" w:rsidRPr="00600C09" w:rsidRDefault="00600C09" w:rsidP="00600C09">
      <w:pPr>
        <w:numPr>
          <w:ilvl w:val="0"/>
          <w:numId w:val="163"/>
        </w:numPr>
      </w:pPr>
      <w:r w:rsidRPr="00600C09">
        <w:rPr>
          <w:b/>
          <w:bCs/>
        </w:rPr>
        <w:t>Court recognition</w:t>
      </w:r>
      <w:r w:rsidRPr="00600C09">
        <w:t>: While Malaysian courts generally recognize statutory charges, questions arose whether rahn-based claims would be independently enforceable. Practitioners interviewed (P3, P7) expressed confidence that courts would enforce security documents as long as registration formalities were observed, but they noted a reliance on conventional mortgage principles rather than purely Islamic reasoning.</w:t>
      </w:r>
    </w:p>
    <w:p w14:paraId="0639A00A" w14:textId="77777777" w:rsidR="00600C09" w:rsidRPr="00600C09" w:rsidRDefault="00600C09" w:rsidP="00600C09">
      <w:pPr>
        <w:numPr>
          <w:ilvl w:val="0"/>
          <w:numId w:val="163"/>
        </w:numPr>
      </w:pPr>
      <w:r w:rsidRPr="00600C09">
        <w:rPr>
          <w:b/>
          <w:bCs/>
        </w:rPr>
        <w:t>Creditor benefit prohibition</w:t>
      </w:r>
      <w:r w:rsidRPr="00600C09">
        <w:t>: Under Shariah, creditors cannot benefit from pledged assets except through repayment. In practice, some lenders sought comfort in rights to insurance proceeds, plant income, or usage rights during default. Shariah advisors rejected such clauses, requiring modification.</w:t>
      </w:r>
    </w:p>
    <w:p w14:paraId="6BBD4DB6" w14:textId="77777777" w:rsidR="00600C09" w:rsidRPr="00600C09" w:rsidRDefault="00600C09" w:rsidP="00600C09">
      <w:pPr>
        <w:numPr>
          <w:ilvl w:val="0"/>
          <w:numId w:val="163"/>
        </w:numPr>
      </w:pPr>
      <w:r w:rsidRPr="00600C09">
        <w:rPr>
          <w:b/>
          <w:bCs/>
        </w:rPr>
        <w:t>Cross-border enforceability</w:t>
      </w:r>
      <w:r w:rsidRPr="00600C09">
        <w:t>: Because part of the financing syndicate included Gulf-based banks, questions emerged about whether Malaysian enforcement judgments would be recognized in their home jurisdictions. This highlighted the need for harmonization of Islamic security laws across borders.</w:t>
      </w:r>
    </w:p>
    <w:p w14:paraId="585B3427" w14:textId="77777777" w:rsidR="00600C09" w:rsidRPr="00600C09" w:rsidRDefault="00600C09" w:rsidP="00600C09">
      <w:pPr>
        <w:rPr>
          <w:b/>
          <w:bCs/>
        </w:rPr>
      </w:pPr>
      <w:r w:rsidRPr="00600C09">
        <w:rPr>
          <w:b/>
          <w:bCs/>
        </w:rPr>
        <w:t>5.3.1.6 Lessons Learned</w:t>
      </w:r>
    </w:p>
    <w:p w14:paraId="3DECB1E1" w14:textId="77777777" w:rsidR="00600C09" w:rsidRPr="00600C09" w:rsidRDefault="00600C09" w:rsidP="00600C09">
      <w:r w:rsidRPr="00600C09">
        <w:lastRenderedPageBreak/>
        <w:t>The power plant case revealed three insights:</w:t>
      </w:r>
    </w:p>
    <w:p w14:paraId="3C70EC4A" w14:textId="77777777" w:rsidR="00600C09" w:rsidRPr="00600C09" w:rsidRDefault="00600C09" w:rsidP="00600C09">
      <w:pPr>
        <w:numPr>
          <w:ilvl w:val="0"/>
          <w:numId w:val="164"/>
        </w:numPr>
      </w:pPr>
      <w:r w:rsidRPr="00600C09">
        <w:rPr>
          <w:b/>
          <w:bCs/>
        </w:rPr>
        <w:t>Functional compatibility</w:t>
      </w:r>
      <w:r w:rsidRPr="00600C09">
        <w:t xml:space="preserve">: Rahn, kafālah, and </w:t>
      </w:r>
      <w:r w:rsidRPr="00600C09">
        <w:rPr>
          <w:rFonts w:ascii="Calibri" w:hAnsi="Calibri" w:cs="Calibri"/>
        </w:rPr>
        <w:t>ḥ</w:t>
      </w:r>
      <w:r w:rsidRPr="00600C09">
        <w:t>awālah provided workable alternatives to mortgages, guarantees, and assignments, achieving near-functional equivalence (Compatibility Index: 3.7–4.2).</w:t>
      </w:r>
    </w:p>
    <w:p w14:paraId="5325ADC5" w14:textId="77777777" w:rsidR="00600C09" w:rsidRPr="00600C09" w:rsidRDefault="00600C09" w:rsidP="00600C09">
      <w:pPr>
        <w:numPr>
          <w:ilvl w:val="0"/>
          <w:numId w:val="164"/>
        </w:numPr>
      </w:pPr>
      <w:r w:rsidRPr="00600C09">
        <w:rPr>
          <w:b/>
          <w:bCs/>
        </w:rPr>
        <w:t>Regulatory reliance</w:t>
      </w:r>
      <w:r w:rsidRPr="00600C09">
        <w:t>: SAC rulings were essential in validating constructive possession and limiting guarantee fees. Without regulatory endorsement, financiers may have been reluctant.</w:t>
      </w:r>
    </w:p>
    <w:p w14:paraId="67884511" w14:textId="77777777" w:rsidR="00600C09" w:rsidRPr="00600C09" w:rsidRDefault="00600C09" w:rsidP="00600C09">
      <w:pPr>
        <w:numPr>
          <w:ilvl w:val="0"/>
          <w:numId w:val="164"/>
        </w:numPr>
      </w:pPr>
      <w:r w:rsidRPr="00600C09">
        <w:rPr>
          <w:b/>
          <w:bCs/>
        </w:rPr>
        <w:t>Hybrid acceptance</w:t>
      </w:r>
      <w:r w:rsidRPr="00600C09">
        <w:t>: In practice, syndicates accepted dual language documentation (mortgage/rahn) as a pragmatic solution. This hybrid approach, while criticized by some purists, enabled large-scale project financing.</w:t>
      </w:r>
    </w:p>
    <w:p w14:paraId="71CE8998" w14:textId="01599BB3" w:rsidR="00600C09" w:rsidRPr="00600C09" w:rsidRDefault="00600C09" w:rsidP="00600C09"/>
    <w:p w14:paraId="1B81860E" w14:textId="77777777" w:rsidR="00600C09" w:rsidRPr="00600C09" w:rsidRDefault="00600C09" w:rsidP="00600C09">
      <w:pPr>
        <w:rPr>
          <w:b/>
          <w:bCs/>
        </w:rPr>
      </w:pPr>
      <w:r w:rsidRPr="00600C09">
        <w:rPr>
          <w:b/>
          <w:bCs/>
        </w:rPr>
        <w:t>5.3.2 Case Study 2: Toll Highway Project</w:t>
      </w:r>
    </w:p>
    <w:p w14:paraId="5300880C" w14:textId="77777777" w:rsidR="00600C09" w:rsidRPr="00600C09" w:rsidRDefault="00600C09" w:rsidP="00600C09">
      <w:pPr>
        <w:rPr>
          <w:b/>
          <w:bCs/>
        </w:rPr>
      </w:pPr>
      <w:r w:rsidRPr="00600C09">
        <w:rPr>
          <w:b/>
          <w:bCs/>
        </w:rPr>
        <w:t>5.3.2.1 Background</w:t>
      </w:r>
    </w:p>
    <w:p w14:paraId="567020B4" w14:textId="77777777" w:rsidR="00600C09" w:rsidRPr="00600C09" w:rsidRDefault="00600C09" w:rsidP="00600C09">
      <w:r w:rsidRPr="00600C09">
        <w:t>Highway development has been a major driver of Malaysia’s infrastructure expansion under successive development plans. Toll concessions awarded to private companies are typically financed through long-term project financing, relying heavily on predictable toll revenues.</w:t>
      </w:r>
    </w:p>
    <w:p w14:paraId="26A38C42" w14:textId="77777777" w:rsidR="00600C09" w:rsidRPr="00600C09" w:rsidRDefault="00600C09" w:rsidP="00600C09">
      <w:r w:rsidRPr="00600C09">
        <w:t>In one case, a 200 km toll highway was financed through a sukuk mushārakah program combined with Islamic syndicated financing. The concessionaire company, established as a special purpose vehicle (SPV), was required to provide comprehensive security to lenders.</w:t>
      </w:r>
    </w:p>
    <w:p w14:paraId="6B4884E9" w14:textId="77777777" w:rsidR="00600C09" w:rsidRPr="00600C09" w:rsidRDefault="00600C09" w:rsidP="00600C09">
      <w:pPr>
        <w:rPr>
          <w:b/>
          <w:bCs/>
        </w:rPr>
      </w:pPr>
      <w:r w:rsidRPr="00600C09">
        <w:rPr>
          <w:b/>
          <w:bCs/>
        </w:rPr>
        <w:t>5.3.2.2 Security Package</w:t>
      </w:r>
    </w:p>
    <w:p w14:paraId="581FBCAE" w14:textId="77777777" w:rsidR="00600C09" w:rsidRPr="00600C09" w:rsidRDefault="00600C09" w:rsidP="00600C09">
      <w:r w:rsidRPr="00600C09">
        <w:t>The toll highway financing included the following instruments:</w:t>
      </w:r>
    </w:p>
    <w:p w14:paraId="5496378D" w14:textId="77777777" w:rsidR="00600C09" w:rsidRPr="00600C09" w:rsidRDefault="00600C09" w:rsidP="00600C09">
      <w:pPr>
        <w:numPr>
          <w:ilvl w:val="0"/>
          <w:numId w:val="165"/>
        </w:numPr>
      </w:pPr>
      <w:r w:rsidRPr="00600C09">
        <w:rPr>
          <w:b/>
          <w:bCs/>
        </w:rPr>
        <w:t>Share pledge/rahn of SPV shares</w:t>
      </w:r>
    </w:p>
    <w:p w14:paraId="21DDFBFC" w14:textId="77777777" w:rsidR="00600C09" w:rsidRPr="00600C09" w:rsidRDefault="00600C09" w:rsidP="00600C09">
      <w:pPr>
        <w:numPr>
          <w:ilvl w:val="1"/>
          <w:numId w:val="165"/>
        </w:numPr>
      </w:pPr>
      <w:r w:rsidRPr="00600C09">
        <w:t>Sponsors pledged 100% of their shares in the concessionaire.</w:t>
      </w:r>
    </w:p>
    <w:p w14:paraId="5C18AB44" w14:textId="77777777" w:rsidR="00600C09" w:rsidRPr="00600C09" w:rsidRDefault="00600C09" w:rsidP="00600C09">
      <w:pPr>
        <w:numPr>
          <w:ilvl w:val="1"/>
          <w:numId w:val="165"/>
        </w:numPr>
      </w:pPr>
      <w:r w:rsidRPr="00600C09">
        <w:t>This allowed creditors step-in rights to replace management upon default.</w:t>
      </w:r>
    </w:p>
    <w:p w14:paraId="396F3CCD" w14:textId="77777777" w:rsidR="00600C09" w:rsidRPr="00600C09" w:rsidRDefault="00600C09" w:rsidP="00600C09">
      <w:pPr>
        <w:numPr>
          <w:ilvl w:val="0"/>
          <w:numId w:val="165"/>
        </w:numPr>
      </w:pPr>
      <w:r w:rsidRPr="00600C09">
        <w:rPr>
          <w:b/>
          <w:bCs/>
        </w:rPr>
        <w:t>Assignment of concession agreement</w:t>
      </w:r>
    </w:p>
    <w:p w14:paraId="7B7C49EE" w14:textId="77777777" w:rsidR="00600C09" w:rsidRPr="00600C09" w:rsidRDefault="00600C09" w:rsidP="00600C09">
      <w:pPr>
        <w:numPr>
          <w:ilvl w:val="1"/>
          <w:numId w:val="165"/>
        </w:numPr>
      </w:pPr>
      <w:r w:rsidRPr="00600C09">
        <w:t>The rights to toll revenues under the concession were assigned to financiers.</w:t>
      </w:r>
    </w:p>
    <w:p w14:paraId="6A2D17E9" w14:textId="77777777" w:rsidR="00600C09" w:rsidRPr="00600C09" w:rsidRDefault="00600C09" w:rsidP="00600C09">
      <w:pPr>
        <w:numPr>
          <w:ilvl w:val="1"/>
          <w:numId w:val="165"/>
        </w:numPr>
      </w:pPr>
      <w:r w:rsidRPr="00600C09">
        <w:t xml:space="preserve">Islamic banks structured this as </w:t>
      </w:r>
      <w:r w:rsidRPr="00600C09">
        <w:rPr>
          <w:rFonts w:ascii="Calibri" w:hAnsi="Calibri" w:cs="Calibri"/>
        </w:rPr>
        <w:t>ḥ</w:t>
      </w:r>
      <w:r w:rsidRPr="00600C09">
        <w:t>awālah, transferring receivables subject to debtor (government agency) acknowledgment.</w:t>
      </w:r>
    </w:p>
    <w:p w14:paraId="5EFB2793" w14:textId="77777777" w:rsidR="00600C09" w:rsidRPr="00600C09" w:rsidRDefault="00600C09" w:rsidP="00600C09">
      <w:pPr>
        <w:numPr>
          <w:ilvl w:val="0"/>
          <w:numId w:val="165"/>
        </w:numPr>
      </w:pPr>
      <w:r w:rsidRPr="00600C09">
        <w:rPr>
          <w:b/>
          <w:bCs/>
        </w:rPr>
        <w:t>Charge over project accounts</w:t>
      </w:r>
    </w:p>
    <w:p w14:paraId="642A1BC0" w14:textId="77777777" w:rsidR="00600C09" w:rsidRPr="00600C09" w:rsidRDefault="00600C09" w:rsidP="00600C09">
      <w:pPr>
        <w:numPr>
          <w:ilvl w:val="1"/>
          <w:numId w:val="165"/>
        </w:numPr>
      </w:pPr>
      <w:r w:rsidRPr="00600C09">
        <w:lastRenderedPageBreak/>
        <w:t>All toll collections were deposited into designated accounts charged in favor of financiers.</w:t>
      </w:r>
    </w:p>
    <w:p w14:paraId="3E777D6D" w14:textId="77777777" w:rsidR="00600C09" w:rsidRPr="00600C09" w:rsidRDefault="00600C09" w:rsidP="00600C09">
      <w:pPr>
        <w:numPr>
          <w:ilvl w:val="1"/>
          <w:numId w:val="165"/>
        </w:numPr>
      </w:pPr>
      <w:r w:rsidRPr="00600C09">
        <w:t>Islamic scholars treated this as rahn over cash balances, with conditions prohibiting creditors from using funds except upon default.</w:t>
      </w:r>
    </w:p>
    <w:p w14:paraId="09138EED" w14:textId="77777777" w:rsidR="00600C09" w:rsidRPr="00600C09" w:rsidRDefault="00600C09" w:rsidP="00600C09">
      <w:pPr>
        <w:numPr>
          <w:ilvl w:val="0"/>
          <w:numId w:val="165"/>
        </w:numPr>
      </w:pPr>
      <w:r w:rsidRPr="00600C09">
        <w:rPr>
          <w:b/>
          <w:bCs/>
        </w:rPr>
        <w:t>Government support letter</w:t>
      </w:r>
    </w:p>
    <w:p w14:paraId="4E5EC2C8" w14:textId="77777777" w:rsidR="00600C09" w:rsidRPr="00600C09" w:rsidRDefault="00600C09" w:rsidP="00600C09">
      <w:pPr>
        <w:numPr>
          <w:ilvl w:val="1"/>
          <w:numId w:val="165"/>
        </w:numPr>
      </w:pPr>
      <w:r w:rsidRPr="00600C09">
        <w:t>The government issued a support letter undertaking to compensate the SPV if toll rates were frozen.</w:t>
      </w:r>
    </w:p>
    <w:p w14:paraId="246364B3" w14:textId="77777777" w:rsidR="00600C09" w:rsidRPr="00600C09" w:rsidRDefault="00600C09" w:rsidP="00600C09">
      <w:pPr>
        <w:numPr>
          <w:ilvl w:val="1"/>
          <w:numId w:val="165"/>
        </w:numPr>
      </w:pPr>
      <w:r w:rsidRPr="00600C09">
        <w:t>This resembled a kafālah undertaking, though structured as a non-binding “comfort letter” to avoid fiscal liability.</w:t>
      </w:r>
    </w:p>
    <w:p w14:paraId="141AEC0A" w14:textId="77777777" w:rsidR="00600C09" w:rsidRPr="00600C09" w:rsidRDefault="00600C09" w:rsidP="00600C09">
      <w:pPr>
        <w:rPr>
          <w:b/>
          <w:bCs/>
        </w:rPr>
      </w:pPr>
      <w:r w:rsidRPr="00600C09">
        <w:rPr>
          <w:b/>
          <w:bCs/>
        </w:rPr>
        <w:t>5.3.2.3 Shariah Issues</w:t>
      </w:r>
    </w:p>
    <w:p w14:paraId="67DDFA45" w14:textId="77777777" w:rsidR="00600C09" w:rsidRPr="00600C09" w:rsidRDefault="00600C09" w:rsidP="00600C09">
      <w:r w:rsidRPr="00600C09">
        <w:t>Several Shariah compliance questions arose:</w:t>
      </w:r>
    </w:p>
    <w:p w14:paraId="49D72393" w14:textId="77777777" w:rsidR="00600C09" w:rsidRPr="00600C09" w:rsidRDefault="00600C09" w:rsidP="00600C09">
      <w:pPr>
        <w:numPr>
          <w:ilvl w:val="0"/>
          <w:numId w:val="166"/>
        </w:numPr>
      </w:pPr>
      <w:r w:rsidRPr="00600C09">
        <w:rPr>
          <w:b/>
          <w:bCs/>
        </w:rPr>
        <w:t>Assignment of toll revenues</w:t>
      </w:r>
      <w:r w:rsidRPr="00600C09">
        <w:t xml:space="preserve">: Scholars debated whether assigning future tolls constituted trading in debt. The SAC ruled that once tolls were collected, they became tangible receivables, making </w:t>
      </w:r>
      <w:r w:rsidRPr="00600C09">
        <w:rPr>
          <w:rFonts w:ascii="Calibri" w:hAnsi="Calibri" w:cs="Calibri"/>
        </w:rPr>
        <w:t>ḥ</w:t>
      </w:r>
      <w:r w:rsidRPr="00600C09">
        <w:t>awālah permissible.</w:t>
      </w:r>
    </w:p>
    <w:p w14:paraId="5D7C9791" w14:textId="77777777" w:rsidR="00600C09" w:rsidRPr="00600C09" w:rsidRDefault="00600C09" w:rsidP="00600C09">
      <w:pPr>
        <w:numPr>
          <w:ilvl w:val="0"/>
          <w:numId w:val="166"/>
        </w:numPr>
      </w:pPr>
      <w:r w:rsidRPr="00600C09">
        <w:rPr>
          <w:b/>
          <w:bCs/>
        </w:rPr>
        <w:t>Account charges</w:t>
      </w:r>
      <w:r w:rsidRPr="00600C09">
        <w:t>: Some argued that rahn over cash balances conflicted with the principle that creditors cannot benefit. The SAC permitted charges provided funds were only accessible upon default.</w:t>
      </w:r>
    </w:p>
    <w:p w14:paraId="0FCF755D" w14:textId="77777777" w:rsidR="00600C09" w:rsidRPr="00600C09" w:rsidRDefault="00600C09" w:rsidP="00600C09">
      <w:pPr>
        <w:numPr>
          <w:ilvl w:val="0"/>
          <w:numId w:val="166"/>
        </w:numPr>
      </w:pPr>
      <w:r w:rsidRPr="00600C09">
        <w:rPr>
          <w:b/>
          <w:bCs/>
        </w:rPr>
        <w:t>Government support</w:t>
      </w:r>
      <w:r w:rsidRPr="00600C09">
        <w:t>: Structuring support as a binding guarantee was rejected due to Shariah restrictions on charging guarantee fees. The compromise was a moral undertaking letter.</w:t>
      </w:r>
    </w:p>
    <w:p w14:paraId="24D6228A" w14:textId="77777777" w:rsidR="00600C09" w:rsidRPr="00600C09" w:rsidRDefault="00600C09" w:rsidP="00600C09">
      <w:pPr>
        <w:rPr>
          <w:b/>
          <w:bCs/>
        </w:rPr>
      </w:pPr>
      <w:r w:rsidRPr="00600C09">
        <w:rPr>
          <w:b/>
          <w:bCs/>
        </w:rPr>
        <w:t>5.3.2.4 Enforcement Issues</w:t>
      </w:r>
    </w:p>
    <w:p w14:paraId="45F7D2FC" w14:textId="77777777" w:rsidR="00600C09" w:rsidRPr="00600C09" w:rsidRDefault="00600C09" w:rsidP="00600C09">
      <w:pPr>
        <w:numPr>
          <w:ilvl w:val="0"/>
          <w:numId w:val="167"/>
        </w:numPr>
      </w:pPr>
      <w:r w:rsidRPr="00600C09">
        <w:rPr>
          <w:b/>
          <w:bCs/>
        </w:rPr>
        <w:t>Share pledge enforcement</w:t>
      </w:r>
      <w:r w:rsidRPr="00600C09">
        <w:t>: In the event of default, creditors could exercise step-in rights by transferring pledged shares. Courts upheld these rights under Companies Act provisions, aligning with rahn principles.</w:t>
      </w:r>
    </w:p>
    <w:p w14:paraId="4F65F8FE" w14:textId="77777777" w:rsidR="00600C09" w:rsidRPr="00600C09" w:rsidRDefault="00600C09" w:rsidP="00600C09">
      <w:pPr>
        <w:numPr>
          <w:ilvl w:val="0"/>
          <w:numId w:val="167"/>
        </w:numPr>
      </w:pPr>
      <w:r w:rsidRPr="00600C09">
        <w:rPr>
          <w:b/>
          <w:bCs/>
        </w:rPr>
        <w:t>Revenue assignment</w:t>
      </w:r>
      <w:r w:rsidRPr="00600C09">
        <w:t>: Government agencies occasionally resisted honoring assigned revenues, leading to delays. Practitioners (P4, P8) noted that political factors often outweighed legal enforceability.</w:t>
      </w:r>
    </w:p>
    <w:p w14:paraId="160E143F" w14:textId="77777777" w:rsidR="00600C09" w:rsidRPr="00600C09" w:rsidRDefault="00600C09" w:rsidP="00600C09">
      <w:pPr>
        <w:numPr>
          <w:ilvl w:val="0"/>
          <w:numId w:val="167"/>
        </w:numPr>
      </w:pPr>
      <w:r w:rsidRPr="00600C09">
        <w:rPr>
          <w:b/>
          <w:bCs/>
        </w:rPr>
        <w:t>Account charges</w:t>
      </w:r>
      <w:r w:rsidRPr="00600C09">
        <w:t>: Banks successfully froze accounts during defaults, but courts treated them under conventional charge law, not explicitly under rahn principles.</w:t>
      </w:r>
    </w:p>
    <w:p w14:paraId="352B84E9" w14:textId="77777777" w:rsidR="00600C09" w:rsidRPr="00600C09" w:rsidRDefault="00600C09" w:rsidP="00600C09">
      <w:pPr>
        <w:rPr>
          <w:b/>
          <w:bCs/>
        </w:rPr>
      </w:pPr>
      <w:r w:rsidRPr="00600C09">
        <w:rPr>
          <w:b/>
          <w:bCs/>
        </w:rPr>
        <w:t>5.3.2.5 Lessons Learned</w:t>
      </w:r>
    </w:p>
    <w:p w14:paraId="6196B82F" w14:textId="77777777" w:rsidR="00600C09" w:rsidRPr="00600C09" w:rsidRDefault="00600C09" w:rsidP="00600C09">
      <w:pPr>
        <w:numPr>
          <w:ilvl w:val="0"/>
          <w:numId w:val="168"/>
        </w:numPr>
      </w:pPr>
      <w:r w:rsidRPr="00600C09">
        <w:rPr>
          <w:b/>
          <w:bCs/>
        </w:rPr>
        <w:t>Near-equivalence</w:t>
      </w:r>
      <w:r w:rsidRPr="00600C09">
        <w:t>: Share rahn closely mirrored conventional pledges, with Compatibility Index scores around 4.2.</w:t>
      </w:r>
    </w:p>
    <w:p w14:paraId="6E24BF3C" w14:textId="77777777" w:rsidR="00600C09" w:rsidRPr="00600C09" w:rsidRDefault="00600C09" w:rsidP="00600C09">
      <w:pPr>
        <w:numPr>
          <w:ilvl w:val="0"/>
          <w:numId w:val="168"/>
        </w:numPr>
      </w:pPr>
      <w:r w:rsidRPr="00600C09">
        <w:rPr>
          <w:b/>
          <w:bCs/>
        </w:rPr>
        <w:lastRenderedPageBreak/>
        <w:t>Government undertakings</w:t>
      </w:r>
      <w:r w:rsidRPr="00600C09">
        <w:t>: Political realities constrained enforceability, showing that Shariah-compliance alone does not guarantee smooth enforcement.</w:t>
      </w:r>
    </w:p>
    <w:p w14:paraId="12C94AAC" w14:textId="77777777" w:rsidR="00600C09" w:rsidRPr="00600C09" w:rsidRDefault="00600C09" w:rsidP="00600C09">
      <w:pPr>
        <w:numPr>
          <w:ilvl w:val="0"/>
          <w:numId w:val="168"/>
        </w:numPr>
      </w:pPr>
      <w:r w:rsidRPr="00600C09">
        <w:rPr>
          <w:b/>
          <w:bCs/>
        </w:rPr>
        <w:t>Cash flow security</w:t>
      </w:r>
      <w:r w:rsidRPr="00600C09">
        <w:t xml:space="preserve">: Assignments of toll revenues through </w:t>
      </w:r>
      <w:r w:rsidRPr="00600C09">
        <w:rPr>
          <w:rFonts w:ascii="Calibri" w:hAnsi="Calibri" w:cs="Calibri"/>
        </w:rPr>
        <w:t>ḥ</w:t>
      </w:r>
      <w:r w:rsidRPr="00600C09">
        <w:t>awālah provided functional utility but required continuous monitoring to avoid Shariah breaches.</w:t>
      </w:r>
    </w:p>
    <w:p w14:paraId="4C4F01CA" w14:textId="00FF41FC" w:rsidR="00600C09" w:rsidRPr="00600C09" w:rsidRDefault="00877B45" w:rsidP="00600C09">
      <w:r>
        <w:rPr>
          <w:noProof/>
        </w:rPr>
      </w:r>
      <w:r w:rsidR="00877B45">
        <w:rPr>
          <w:noProof/>
        </w:rPr>
        <w:pict w14:anchorId="6E3CC419">
          <v:rect id="_x0000_i1147" style="width:0;height:1.5pt" o:hralign="center" o:hrstd="t" o:hr="t" fillcolor="#a0a0a0" stroked="f"/>
        </w:pict>
      </w:r>
    </w:p>
    <w:p w14:paraId="0E048A89" w14:textId="77777777" w:rsidR="00600C09" w:rsidRPr="00600C09" w:rsidRDefault="00600C09" w:rsidP="00600C09">
      <w:pPr>
        <w:rPr>
          <w:b/>
          <w:bCs/>
        </w:rPr>
      </w:pPr>
      <w:r w:rsidRPr="00600C09">
        <w:rPr>
          <w:b/>
          <w:bCs/>
        </w:rPr>
        <w:t>5.3.3 Case Study 3: PPP Hospital Project</w:t>
      </w:r>
    </w:p>
    <w:p w14:paraId="5F436FAD" w14:textId="77777777" w:rsidR="00600C09" w:rsidRPr="00600C09" w:rsidRDefault="00600C09" w:rsidP="00600C09">
      <w:pPr>
        <w:rPr>
          <w:b/>
          <w:bCs/>
        </w:rPr>
      </w:pPr>
      <w:r w:rsidRPr="00600C09">
        <w:rPr>
          <w:b/>
          <w:bCs/>
        </w:rPr>
        <w:t>5.3.3.1 Background</w:t>
      </w:r>
    </w:p>
    <w:p w14:paraId="39202BBF" w14:textId="77777777" w:rsidR="00600C09" w:rsidRPr="00600C09" w:rsidRDefault="00600C09" w:rsidP="00600C09">
      <w:r w:rsidRPr="00600C09">
        <w:t>Public–Private Partnerships (PPPs) have become a vital tool for financing social infrastructure in Malaysia, particularly hospitals, schools, and universities. These projects typically involve long-term concessions between the government and a private concessionaire. The private partner finances, builds, and operates the facility, while the government provides availability payments or lease rentals.</w:t>
      </w:r>
    </w:p>
    <w:p w14:paraId="223B0772" w14:textId="77777777" w:rsidR="00600C09" w:rsidRPr="00600C09" w:rsidRDefault="00600C09" w:rsidP="00600C09">
      <w:r w:rsidRPr="00600C09">
        <w:t>One illustrative case involved the financing of a regional hospital under a 25-year concession. The financing structure combined sukuk ijarah with Islamic syndicated loans. The project company (SPV) was required to provide comprehensive security to protect lenders during construction and operation.</w:t>
      </w:r>
    </w:p>
    <w:p w14:paraId="4D9957B6" w14:textId="77777777" w:rsidR="00600C09" w:rsidRPr="00600C09" w:rsidRDefault="00600C09" w:rsidP="00600C09">
      <w:pPr>
        <w:rPr>
          <w:b/>
          <w:bCs/>
        </w:rPr>
      </w:pPr>
      <w:r w:rsidRPr="00600C09">
        <w:rPr>
          <w:b/>
          <w:bCs/>
        </w:rPr>
        <w:t>5.3.3.2 Security Package</w:t>
      </w:r>
    </w:p>
    <w:p w14:paraId="0EC6BCE8" w14:textId="77777777" w:rsidR="00600C09" w:rsidRPr="00600C09" w:rsidRDefault="00600C09" w:rsidP="00600C09">
      <w:pPr>
        <w:numPr>
          <w:ilvl w:val="0"/>
          <w:numId w:val="171"/>
        </w:numPr>
      </w:pPr>
      <w:r w:rsidRPr="00600C09">
        <w:rPr>
          <w:b/>
          <w:bCs/>
        </w:rPr>
        <w:t>Land lease and ijarah sukuk</w:t>
      </w:r>
    </w:p>
    <w:p w14:paraId="7949D74F" w14:textId="77777777" w:rsidR="00600C09" w:rsidRPr="00600C09" w:rsidRDefault="00600C09" w:rsidP="00600C09">
      <w:pPr>
        <w:numPr>
          <w:ilvl w:val="1"/>
          <w:numId w:val="171"/>
        </w:numPr>
      </w:pPr>
      <w:r w:rsidRPr="00600C09">
        <w:t>The government granted a long lease of land and facilities to the SPV.</w:t>
      </w:r>
    </w:p>
    <w:p w14:paraId="20D5F966" w14:textId="77777777" w:rsidR="00600C09" w:rsidRPr="00600C09" w:rsidRDefault="00600C09" w:rsidP="00600C09">
      <w:pPr>
        <w:numPr>
          <w:ilvl w:val="1"/>
          <w:numId w:val="171"/>
        </w:numPr>
      </w:pPr>
      <w:r w:rsidRPr="00600C09">
        <w:t>Sukuk investors acquired beneficial rights to lease rentals, secured by rahn over leasehold rights.</w:t>
      </w:r>
    </w:p>
    <w:p w14:paraId="4BCD6FBB" w14:textId="77777777" w:rsidR="00600C09" w:rsidRPr="00600C09" w:rsidRDefault="00600C09" w:rsidP="00600C09">
      <w:pPr>
        <w:numPr>
          <w:ilvl w:val="0"/>
          <w:numId w:val="171"/>
        </w:numPr>
      </w:pPr>
      <w:r w:rsidRPr="00600C09">
        <w:rPr>
          <w:b/>
          <w:bCs/>
        </w:rPr>
        <w:t>Construction performance guarantees</w:t>
      </w:r>
    </w:p>
    <w:p w14:paraId="2344432F" w14:textId="77777777" w:rsidR="00600C09" w:rsidRPr="00600C09" w:rsidRDefault="00600C09" w:rsidP="00600C09">
      <w:pPr>
        <w:numPr>
          <w:ilvl w:val="1"/>
          <w:numId w:val="171"/>
        </w:numPr>
      </w:pPr>
      <w:r w:rsidRPr="00600C09">
        <w:t>The EPC contractor provided performance bonds structured as kafālah undertakings.</w:t>
      </w:r>
    </w:p>
    <w:p w14:paraId="0CD22B48" w14:textId="77777777" w:rsidR="00600C09" w:rsidRPr="00600C09" w:rsidRDefault="00600C09" w:rsidP="00600C09">
      <w:pPr>
        <w:numPr>
          <w:ilvl w:val="1"/>
          <w:numId w:val="171"/>
        </w:numPr>
      </w:pPr>
      <w:r w:rsidRPr="00600C09">
        <w:t>These were non-fee guarantees, with contractors bearing cost as part of contractual obligations.</w:t>
      </w:r>
    </w:p>
    <w:p w14:paraId="75D32E63" w14:textId="77777777" w:rsidR="00600C09" w:rsidRPr="00600C09" w:rsidRDefault="00600C09" w:rsidP="00600C09">
      <w:pPr>
        <w:numPr>
          <w:ilvl w:val="0"/>
          <w:numId w:val="171"/>
        </w:numPr>
      </w:pPr>
      <w:r w:rsidRPr="00600C09">
        <w:rPr>
          <w:b/>
          <w:bCs/>
        </w:rPr>
        <w:t>Assignment of concession payments</w:t>
      </w:r>
    </w:p>
    <w:p w14:paraId="41A785E0" w14:textId="77777777" w:rsidR="00600C09" w:rsidRPr="00600C09" w:rsidRDefault="00600C09" w:rsidP="00600C09">
      <w:pPr>
        <w:numPr>
          <w:ilvl w:val="1"/>
          <w:numId w:val="171"/>
        </w:numPr>
      </w:pPr>
      <w:r w:rsidRPr="00600C09">
        <w:t>Availability payments from the Ministry of Health were assigned to financiers.</w:t>
      </w:r>
    </w:p>
    <w:p w14:paraId="52C7AA3B" w14:textId="77777777" w:rsidR="00600C09" w:rsidRPr="00600C09" w:rsidRDefault="00600C09" w:rsidP="00600C09">
      <w:pPr>
        <w:numPr>
          <w:ilvl w:val="1"/>
          <w:numId w:val="171"/>
        </w:numPr>
      </w:pPr>
      <w:r w:rsidRPr="00600C09">
        <w:t xml:space="preserve">Structured as </w:t>
      </w:r>
      <w:r w:rsidRPr="00600C09">
        <w:rPr>
          <w:rFonts w:ascii="Calibri" w:hAnsi="Calibri" w:cs="Calibri"/>
        </w:rPr>
        <w:t>ḥ</w:t>
      </w:r>
      <w:r w:rsidRPr="00600C09">
        <w:t>awālah, requiring government consent to recognize financiers’ rights.</w:t>
      </w:r>
    </w:p>
    <w:p w14:paraId="50DA7AB1" w14:textId="77777777" w:rsidR="00600C09" w:rsidRPr="00600C09" w:rsidRDefault="00600C09" w:rsidP="00600C09">
      <w:pPr>
        <w:numPr>
          <w:ilvl w:val="0"/>
          <w:numId w:val="171"/>
        </w:numPr>
      </w:pPr>
      <w:r w:rsidRPr="00600C09">
        <w:rPr>
          <w:b/>
          <w:bCs/>
        </w:rPr>
        <w:t>Charge over project bank accounts</w:t>
      </w:r>
    </w:p>
    <w:p w14:paraId="68A1A94C" w14:textId="77777777" w:rsidR="00600C09" w:rsidRPr="00600C09" w:rsidRDefault="00600C09" w:rsidP="00600C09">
      <w:pPr>
        <w:numPr>
          <w:ilvl w:val="1"/>
          <w:numId w:val="171"/>
        </w:numPr>
      </w:pPr>
      <w:r w:rsidRPr="00600C09">
        <w:lastRenderedPageBreak/>
        <w:t>Similar to highway projects, toll-equivalent revenues (availability payments) were funneled into designated accounts, charged as rahn to financiers.</w:t>
      </w:r>
    </w:p>
    <w:p w14:paraId="1CE8B003" w14:textId="77777777" w:rsidR="00600C09" w:rsidRPr="00600C09" w:rsidRDefault="00600C09" w:rsidP="00600C09">
      <w:pPr>
        <w:numPr>
          <w:ilvl w:val="0"/>
          <w:numId w:val="171"/>
        </w:numPr>
      </w:pPr>
      <w:r w:rsidRPr="00600C09">
        <w:rPr>
          <w:b/>
          <w:bCs/>
        </w:rPr>
        <w:t>Sponsor support undertakings</w:t>
      </w:r>
    </w:p>
    <w:p w14:paraId="25B5300B" w14:textId="77777777" w:rsidR="00600C09" w:rsidRPr="00600C09" w:rsidRDefault="00600C09" w:rsidP="00600C09">
      <w:pPr>
        <w:numPr>
          <w:ilvl w:val="1"/>
          <w:numId w:val="171"/>
        </w:numPr>
      </w:pPr>
      <w:r w:rsidRPr="00600C09">
        <w:t xml:space="preserve">Sponsors undertook to inject additional equity in case of cost overruns, structured as </w:t>
      </w:r>
      <w:r w:rsidRPr="00600C09">
        <w:rPr>
          <w:rFonts w:ascii="Calibri" w:hAnsi="Calibri" w:cs="Calibri"/>
        </w:rPr>
        <w:t>ḍ</w:t>
      </w:r>
      <w:r w:rsidRPr="00600C09">
        <w:t>amān.</w:t>
      </w:r>
    </w:p>
    <w:p w14:paraId="3300DE61" w14:textId="77777777" w:rsidR="00600C09" w:rsidRPr="00600C09" w:rsidRDefault="00600C09" w:rsidP="00600C09">
      <w:pPr>
        <w:rPr>
          <w:b/>
          <w:bCs/>
        </w:rPr>
      </w:pPr>
      <w:r w:rsidRPr="00600C09">
        <w:rPr>
          <w:b/>
          <w:bCs/>
        </w:rPr>
        <w:t>5.3.3.3 Shariah Issues</w:t>
      </w:r>
    </w:p>
    <w:p w14:paraId="435FF48C" w14:textId="77777777" w:rsidR="00600C09" w:rsidRPr="00600C09" w:rsidRDefault="00600C09" w:rsidP="00600C09">
      <w:pPr>
        <w:numPr>
          <w:ilvl w:val="0"/>
          <w:numId w:val="172"/>
        </w:numPr>
      </w:pPr>
      <w:r w:rsidRPr="00600C09">
        <w:rPr>
          <w:b/>
          <w:bCs/>
        </w:rPr>
        <w:t>Leasehold rahn</w:t>
      </w:r>
      <w:r w:rsidRPr="00600C09">
        <w:t>: Some scholars questioned whether leasehold rights constituted valid collateral. SAC clarified that usufruct rights are valid subject matter for rahn, provided they are transferable and valuable.</w:t>
      </w:r>
    </w:p>
    <w:p w14:paraId="5335795F" w14:textId="77777777" w:rsidR="00600C09" w:rsidRPr="00600C09" w:rsidRDefault="00600C09" w:rsidP="00600C09">
      <w:pPr>
        <w:numPr>
          <w:ilvl w:val="0"/>
          <w:numId w:val="172"/>
        </w:numPr>
      </w:pPr>
      <w:r w:rsidRPr="00600C09">
        <w:rPr>
          <w:b/>
          <w:bCs/>
        </w:rPr>
        <w:t>Performance bonds</w:t>
      </w:r>
      <w:r w:rsidRPr="00600C09">
        <w:t>: Conventional practice involves charging fees for bank guarantees. Shariah advisors insisted on structuring them as part of the contractor’s obligations, without separate fees.</w:t>
      </w:r>
    </w:p>
    <w:p w14:paraId="457E1B89" w14:textId="77777777" w:rsidR="00600C09" w:rsidRPr="00600C09" w:rsidRDefault="00600C09" w:rsidP="00600C09">
      <w:pPr>
        <w:numPr>
          <w:ilvl w:val="0"/>
          <w:numId w:val="172"/>
        </w:numPr>
      </w:pPr>
      <w:r w:rsidRPr="00600C09">
        <w:rPr>
          <w:b/>
          <w:bCs/>
        </w:rPr>
        <w:t>Government payment assignment</w:t>
      </w:r>
      <w:r w:rsidRPr="00600C09">
        <w:t>: Concerns arose that assigning future availability payments resembled trading in debt. The SAC distinguished between uncertain future debts (prohibited) and contractual government obligations (permissible upon crystallization).</w:t>
      </w:r>
    </w:p>
    <w:p w14:paraId="11F33170" w14:textId="77777777" w:rsidR="00600C09" w:rsidRPr="00600C09" w:rsidRDefault="00600C09" w:rsidP="00600C09">
      <w:pPr>
        <w:rPr>
          <w:b/>
          <w:bCs/>
        </w:rPr>
      </w:pPr>
      <w:r w:rsidRPr="00600C09">
        <w:rPr>
          <w:b/>
          <w:bCs/>
        </w:rPr>
        <w:t>5.3.3.4 Enforcement Issues</w:t>
      </w:r>
    </w:p>
    <w:p w14:paraId="39BC40EC" w14:textId="77777777" w:rsidR="00600C09" w:rsidRPr="00600C09" w:rsidRDefault="00600C09" w:rsidP="00600C09">
      <w:pPr>
        <w:numPr>
          <w:ilvl w:val="0"/>
          <w:numId w:val="173"/>
        </w:numPr>
      </w:pPr>
      <w:r w:rsidRPr="00600C09">
        <w:rPr>
          <w:b/>
          <w:bCs/>
        </w:rPr>
        <w:t>Lease rights</w:t>
      </w:r>
      <w:r w:rsidRPr="00600C09">
        <w:t>: Courts recognized registered leasehold interests as enforceable collateral, though practical liquidation was limited since hospitals could not be sold freely. Instead, financiers relied on step-in rights.</w:t>
      </w:r>
    </w:p>
    <w:p w14:paraId="06137029" w14:textId="77777777" w:rsidR="00600C09" w:rsidRPr="00600C09" w:rsidRDefault="00600C09" w:rsidP="00600C09">
      <w:pPr>
        <w:numPr>
          <w:ilvl w:val="0"/>
          <w:numId w:val="173"/>
        </w:numPr>
      </w:pPr>
      <w:r w:rsidRPr="00600C09">
        <w:rPr>
          <w:b/>
          <w:bCs/>
        </w:rPr>
        <w:t>Availability payments</w:t>
      </w:r>
      <w:r w:rsidRPr="00600C09">
        <w:t>: Enforceability depended heavily on government compliance. Practitioners (P6, P9) noted delays in recognition but affirmed eventual compliance due to political sensitivity of hospital projects.</w:t>
      </w:r>
    </w:p>
    <w:p w14:paraId="32C280E1" w14:textId="77777777" w:rsidR="00600C09" w:rsidRPr="00600C09" w:rsidRDefault="00600C09" w:rsidP="00600C09">
      <w:pPr>
        <w:numPr>
          <w:ilvl w:val="0"/>
          <w:numId w:val="173"/>
        </w:numPr>
      </w:pPr>
      <w:r w:rsidRPr="00600C09">
        <w:rPr>
          <w:b/>
          <w:bCs/>
        </w:rPr>
        <w:t>Performance guarantees</w:t>
      </w:r>
      <w:r w:rsidRPr="00600C09">
        <w:t>: Contractors resisted enforcement of kafālah guarantees, arguing lack of fee-based compensation. Courts upheld them as contractual obligations embedded in EPC agreements.</w:t>
      </w:r>
    </w:p>
    <w:p w14:paraId="6AD7031D" w14:textId="77777777" w:rsidR="00600C09" w:rsidRPr="00600C09" w:rsidRDefault="00600C09" w:rsidP="00600C09">
      <w:pPr>
        <w:rPr>
          <w:b/>
          <w:bCs/>
        </w:rPr>
      </w:pPr>
      <w:r w:rsidRPr="00600C09">
        <w:rPr>
          <w:b/>
          <w:bCs/>
        </w:rPr>
        <w:t>5.3.3.5 Lessons Learned</w:t>
      </w:r>
    </w:p>
    <w:p w14:paraId="559F6565" w14:textId="77777777" w:rsidR="00600C09" w:rsidRPr="00600C09" w:rsidRDefault="00600C09" w:rsidP="00600C09">
      <w:pPr>
        <w:numPr>
          <w:ilvl w:val="0"/>
          <w:numId w:val="174"/>
        </w:numPr>
      </w:pPr>
      <w:r w:rsidRPr="00600C09">
        <w:rPr>
          <w:b/>
          <w:bCs/>
        </w:rPr>
        <w:t>Adaptability</w:t>
      </w:r>
      <w:r w:rsidRPr="00600C09">
        <w:t>: Rahn extended beyond tangible assets to usufruct rights, widening its scope.</w:t>
      </w:r>
    </w:p>
    <w:p w14:paraId="5F01C941" w14:textId="77777777" w:rsidR="00600C09" w:rsidRPr="00600C09" w:rsidRDefault="00600C09" w:rsidP="00600C09">
      <w:pPr>
        <w:numPr>
          <w:ilvl w:val="0"/>
          <w:numId w:val="174"/>
        </w:numPr>
      </w:pPr>
      <w:r w:rsidRPr="00600C09">
        <w:rPr>
          <w:b/>
          <w:bCs/>
        </w:rPr>
        <w:t>Social projects sensitivity</w:t>
      </w:r>
      <w:r w:rsidRPr="00600C09">
        <w:t>: Enforcement relied more on political negotiation than strict legal rights.</w:t>
      </w:r>
    </w:p>
    <w:p w14:paraId="62929C3A" w14:textId="77777777" w:rsidR="00600C09" w:rsidRPr="00600C09" w:rsidRDefault="00600C09" w:rsidP="00600C09">
      <w:pPr>
        <w:numPr>
          <w:ilvl w:val="0"/>
          <w:numId w:val="174"/>
        </w:numPr>
      </w:pPr>
      <w:r w:rsidRPr="00600C09">
        <w:rPr>
          <w:b/>
          <w:bCs/>
        </w:rPr>
        <w:lastRenderedPageBreak/>
        <w:t>Shariah authenticity vs. practicality</w:t>
      </w:r>
      <w:r w:rsidRPr="00600C09">
        <w:t>: While instruments were compliant, practical enforcement remained reliant on hybrid acceptance under conventional frameworks.</w:t>
      </w:r>
    </w:p>
    <w:p w14:paraId="2D804034" w14:textId="797F651F" w:rsidR="00600C09" w:rsidRPr="00600C09" w:rsidRDefault="00600C09" w:rsidP="00600C09"/>
    <w:p w14:paraId="2C2BCA48" w14:textId="77777777" w:rsidR="00600C09" w:rsidRPr="00600C09" w:rsidRDefault="00600C09" w:rsidP="00600C09">
      <w:pPr>
        <w:rPr>
          <w:b/>
          <w:bCs/>
        </w:rPr>
      </w:pPr>
      <w:r w:rsidRPr="00600C09">
        <w:rPr>
          <w:b/>
          <w:bCs/>
        </w:rPr>
        <w:t>5.4 Sukuk and Security in Project Finance</w:t>
      </w:r>
    </w:p>
    <w:p w14:paraId="26FBF942" w14:textId="77777777" w:rsidR="00600C09" w:rsidRPr="00600C09" w:rsidRDefault="00600C09" w:rsidP="00600C09">
      <w:r w:rsidRPr="00600C09">
        <w:t>Sukuk (Islamic bonds) play a central role in project finance, mobilizing large pools of capital from investors. Sukuk structures often require robust security packages to enhance investor confidence, especially in long-term infrastructure projects.</w:t>
      </w:r>
    </w:p>
    <w:p w14:paraId="2B962F4C" w14:textId="77777777" w:rsidR="00600C09" w:rsidRPr="00600C09" w:rsidRDefault="00600C09" w:rsidP="00600C09">
      <w:pPr>
        <w:rPr>
          <w:b/>
          <w:bCs/>
        </w:rPr>
      </w:pPr>
      <w:r w:rsidRPr="00600C09">
        <w:rPr>
          <w:b/>
          <w:bCs/>
        </w:rPr>
        <w:t>5.4.1 Sukuk Murāba</w:t>
      </w:r>
      <w:r w:rsidRPr="00600C09">
        <w:rPr>
          <w:rFonts w:ascii="Calibri" w:hAnsi="Calibri" w:cs="Calibri"/>
          <w:b/>
          <w:bCs/>
        </w:rPr>
        <w:t>ḥ</w:t>
      </w:r>
      <w:r w:rsidRPr="00600C09">
        <w:rPr>
          <w:b/>
          <w:bCs/>
        </w:rPr>
        <w:t>ah in Energy Projects</w:t>
      </w:r>
    </w:p>
    <w:p w14:paraId="3BA133AD" w14:textId="77777777" w:rsidR="00600C09" w:rsidRPr="00600C09" w:rsidRDefault="00600C09" w:rsidP="00600C09">
      <w:r w:rsidRPr="00600C09">
        <w:t>In energy sector projects, sukuk murāba</w:t>
      </w:r>
      <w:r w:rsidRPr="00600C09">
        <w:rPr>
          <w:rFonts w:ascii="Calibri" w:hAnsi="Calibri" w:cs="Calibri"/>
        </w:rPr>
        <w:t>ḥ</w:t>
      </w:r>
      <w:r w:rsidRPr="00600C09">
        <w:t>ah structures are commonly used. Collateralization involves:</w:t>
      </w:r>
    </w:p>
    <w:p w14:paraId="32484F1D" w14:textId="77777777" w:rsidR="00600C09" w:rsidRPr="00600C09" w:rsidRDefault="00600C09" w:rsidP="00600C09">
      <w:pPr>
        <w:numPr>
          <w:ilvl w:val="0"/>
          <w:numId w:val="175"/>
        </w:numPr>
      </w:pPr>
      <w:r w:rsidRPr="00600C09">
        <w:rPr>
          <w:b/>
          <w:bCs/>
        </w:rPr>
        <w:t>Rahn over receivables</w:t>
      </w:r>
      <w:r w:rsidRPr="00600C09">
        <w:t>: Power purchase receivables pledged as collateral.</w:t>
      </w:r>
    </w:p>
    <w:p w14:paraId="1B0FC828" w14:textId="77777777" w:rsidR="00600C09" w:rsidRPr="00600C09" w:rsidRDefault="00600C09" w:rsidP="00600C09">
      <w:pPr>
        <w:numPr>
          <w:ilvl w:val="0"/>
          <w:numId w:val="175"/>
        </w:numPr>
      </w:pPr>
      <w:r w:rsidRPr="00600C09">
        <w:rPr>
          <w:b/>
          <w:bCs/>
        </w:rPr>
        <w:t>Share rahn</w:t>
      </w:r>
      <w:r w:rsidRPr="00600C09">
        <w:t>: Sponsors’ shares in project companies pledged to trustees for sukukholders.</w:t>
      </w:r>
    </w:p>
    <w:p w14:paraId="477E57FC" w14:textId="77777777" w:rsidR="00600C09" w:rsidRPr="00600C09" w:rsidRDefault="00600C09" w:rsidP="00600C09">
      <w:pPr>
        <w:numPr>
          <w:ilvl w:val="0"/>
          <w:numId w:val="175"/>
        </w:numPr>
      </w:pPr>
      <w:r w:rsidRPr="00600C09">
        <w:rPr>
          <w:b/>
          <w:bCs/>
        </w:rPr>
        <w:t>Corporate guarantees (</w:t>
      </w:r>
      <w:r w:rsidRPr="00600C09">
        <w:rPr>
          <w:rFonts w:ascii="Calibri" w:hAnsi="Calibri" w:cs="Calibri"/>
          <w:b/>
          <w:bCs/>
        </w:rPr>
        <w:t>ḍ</w:t>
      </w:r>
      <w:r w:rsidRPr="00600C09">
        <w:rPr>
          <w:b/>
          <w:bCs/>
        </w:rPr>
        <w:t>amān)</w:t>
      </w:r>
      <w:r w:rsidRPr="00600C09">
        <w:t>: Sponsors provide completion guarantees.</w:t>
      </w:r>
    </w:p>
    <w:p w14:paraId="550233E4" w14:textId="77777777" w:rsidR="00600C09" w:rsidRPr="00600C09" w:rsidRDefault="00600C09" w:rsidP="00600C09">
      <w:pPr>
        <w:rPr>
          <w:b/>
          <w:bCs/>
        </w:rPr>
      </w:pPr>
      <w:r w:rsidRPr="00600C09">
        <w:rPr>
          <w:b/>
          <w:bCs/>
        </w:rPr>
        <w:t>5.4.2 Sukuk Ijārah in Social Infrastructure</w:t>
      </w:r>
    </w:p>
    <w:p w14:paraId="508D8765" w14:textId="77777777" w:rsidR="00600C09" w:rsidRPr="00600C09" w:rsidRDefault="00600C09" w:rsidP="00600C09">
      <w:r w:rsidRPr="00600C09">
        <w:t>In PPP hospital and school projects, sukuk ijārah are employed. Here, lease payments from the government act as sukuk returns. Security instruments include:</w:t>
      </w:r>
    </w:p>
    <w:p w14:paraId="6090182A" w14:textId="77777777" w:rsidR="00600C09" w:rsidRPr="00600C09" w:rsidRDefault="00600C09" w:rsidP="00600C09">
      <w:pPr>
        <w:numPr>
          <w:ilvl w:val="0"/>
          <w:numId w:val="176"/>
        </w:numPr>
      </w:pPr>
      <w:r w:rsidRPr="00600C09">
        <w:rPr>
          <w:b/>
          <w:bCs/>
        </w:rPr>
        <w:t>Rahn over lease rights</w:t>
      </w:r>
    </w:p>
    <w:p w14:paraId="12FBE15F" w14:textId="77777777" w:rsidR="00600C09" w:rsidRPr="00600C09" w:rsidRDefault="00600C09" w:rsidP="00600C09">
      <w:pPr>
        <w:numPr>
          <w:ilvl w:val="0"/>
          <w:numId w:val="176"/>
        </w:numPr>
      </w:pPr>
      <w:r w:rsidRPr="00600C09">
        <w:rPr>
          <w:b/>
          <w:bCs/>
        </w:rPr>
        <w:t>Assignment of concession payments (</w:t>
      </w:r>
      <w:r w:rsidRPr="00600C09">
        <w:rPr>
          <w:rFonts w:ascii="Calibri" w:hAnsi="Calibri" w:cs="Calibri"/>
          <w:b/>
          <w:bCs/>
        </w:rPr>
        <w:t>ḥ</w:t>
      </w:r>
      <w:r w:rsidRPr="00600C09">
        <w:rPr>
          <w:b/>
          <w:bCs/>
        </w:rPr>
        <w:t>awālah)</w:t>
      </w:r>
    </w:p>
    <w:p w14:paraId="6401B261" w14:textId="77777777" w:rsidR="00600C09" w:rsidRPr="00600C09" w:rsidRDefault="00600C09" w:rsidP="00600C09">
      <w:pPr>
        <w:numPr>
          <w:ilvl w:val="0"/>
          <w:numId w:val="176"/>
        </w:numPr>
      </w:pPr>
      <w:r w:rsidRPr="00600C09">
        <w:rPr>
          <w:b/>
          <w:bCs/>
        </w:rPr>
        <w:t>Sponsor undertakings (kafālah/</w:t>
      </w:r>
      <w:r w:rsidRPr="00600C09">
        <w:rPr>
          <w:rFonts w:ascii="Calibri" w:hAnsi="Calibri" w:cs="Calibri"/>
          <w:b/>
          <w:bCs/>
        </w:rPr>
        <w:t>ḍ</w:t>
      </w:r>
      <w:r w:rsidRPr="00600C09">
        <w:rPr>
          <w:b/>
          <w:bCs/>
        </w:rPr>
        <w:t>amān)</w:t>
      </w:r>
    </w:p>
    <w:p w14:paraId="30252E46" w14:textId="77777777" w:rsidR="00600C09" w:rsidRPr="00600C09" w:rsidRDefault="00600C09" w:rsidP="00600C09">
      <w:pPr>
        <w:rPr>
          <w:b/>
          <w:bCs/>
        </w:rPr>
      </w:pPr>
      <w:r w:rsidRPr="00600C09">
        <w:rPr>
          <w:b/>
          <w:bCs/>
        </w:rPr>
        <w:t>5.4.3 Sukuk Wakālah in Mixed-Asset Financing</w:t>
      </w:r>
    </w:p>
    <w:p w14:paraId="1D6CF0A6" w14:textId="77777777" w:rsidR="00600C09" w:rsidRPr="00600C09" w:rsidRDefault="00600C09" w:rsidP="00600C09">
      <w:r w:rsidRPr="00600C09">
        <w:t>Sukuk wakālah structures, often used for greenfield projects, involve investment agency arrangements. Security includes:</w:t>
      </w:r>
    </w:p>
    <w:p w14:paraId="7758D323" w14:textId="77777777" w:rsidR="00600C09" w:rsidRPr="00600C09" w:rsidRDefault="00600C09" w:rsidP="00600C09">
      <w:pPr>
        <w:numPr>
          <w:ilvl w:val="0"/>
          <w:numId w:val="177"/>
        </w:numPr>
      </w:pPr>
      <w:r w:rsidRPr="00600C09">
        <w:rPr>
          <w:b/>
          <w:bCs/>
        </w:rPr>
        <w:t>Cash flow assignments</w:t>
      </w:r>
    </w:p>
    <w:p w14:paraId="25A8E6D1" w14:textId="77777777" w:rsidR="00600C09" w:rsidRPr="00600C09" w:rsidRDefault="00600C09" w:rsidP="00600C09">
      <w:pPr>
        <w:numPr>
          <w:ilvl w:val="0"/>
          <w:numId w:val="177"/>
        </w:numPr>
      </w:pPr>
      <w:r w:rsidRPr="00600C09">
        <w:rPr>
          <w:b/>
          <w:bCs/>
        </w:rPr>
        <w:t>Collateralization of bank accounts</w:t>
      </w:r>
    </w:p>
    <w:p w14:paraId="5BABB891" w14:textId="77777777" w:rsidR="00600C09" w:rsidRPr="00600C09" w:rsidRDefault="00600C09" w:rsidP="00600C09">
      <w:pPr>
        <w:numPr>
          <w:ilvl w:val="0"/>
          <w:numId w:val="177"/>
        </w:numPr>
      </w:pPr>
      <w:r w:rsidRPr="00600C09">
        <w:rPr>
          <w:b/>
          <w:bCs/>
        </w:rPr>
        <w:t>Step-in rights through share rahn</w:t>
      </w:r>
    </w:p>
    <w:p w14:paraId="65D467F1" w14:textId="77777777" w:rsidR="00600C09" w:rsidRPr="00600C09" w:rsidRDefault="00600C09" w:rsidP="00600C09">
      <w:pPr>
        <w:rPr>
          <w:b/>
          <w:bCs/>
        </w:rPr>
      </w:pPr>
      <w:r w:rsidRPr="00600C09">
        <w:rPr>
          <w:b/>
          <w:bCs/>
        </w:rPr>
        <w:t>5.4.4 Shariah Challenges in Sukuk Security</w:t>
      </w:r>
    </w:p>
    <w:p w14:paraId="20A47D84" w14:textId="77777777" w:rsidR="00600C09" w:rsidRPr="00600C09" w:rsidRDefault="00600C09" w:rsidP="00600C09">
      <w:pPr>
        <w:numPr>
          <w:ilvl w:val="0"/>
          <w:numId w:val="178"/>
        </w:numPr>
      </w:pPr>
      <w:r w:rsidRPr="00600C09">
        <w:rPr>
          <w:b/>
          <w:bCs/>
        </w:rPr>
        <w:t>Beneficial ownership</w:t>
      </w:r>
      <w:r w:rsidRPr="00600C09">
        <w:t>: Sukuk often rely on beneficial, not legal, ownership of assets. Scholars debate whether this aligns with rahn requirements.</w:t>
      </w:r>
    </w:p>
    <w:p w14:paraId="616FF92F" w14:textId="77777777" w:rsidR="00600C09" w:rsidRPr="00600C09" w:rsidRDefault="00600C09" w:rsidP="00600C09">
      <w:pPr>
        <w:numPr>
          <w:ilvl w:val="0"/>
          <w:numId w:val="178"/>
        </w:numPr>
      </w:pPr>
      <w:r w:rsidRPr="00600C09">
        <w:rPr>
          <w:b/>
          <w:bCs/>
        </w:rPr>
        <w:lastRenderedPageBreak/>
        <w:t>Debt vs. asset-based claims</w:t>
      </w:r>
      <w:r w:rsidRPr="00600C09">
        <w:t>: Investors seek strong collateral, but Shariah requires underlying asset legitimacy.</w:t>
      </w:r>
    </w:p>
    <w:p w14:paraId="1FB75DD0" w14:textId="77777777" w:rsidR="00600C09" w:rsidRPr="00600C09" w:rsidRDefault="00600C09" w:rsidP="00600C09">
      <w:pPr>
        <w:numPr>
          <w:ilvl w:val="0"/>
          <w:numId w:val="178"/>
        </w:numPr>
      </w:pPr>
      <w:r w:rsidRPr="00600C09">
        <w:rPr>
          <w:b/>
          <w:bCs/>
        </w:rPr>
        <w:t>Cross-border enforceability</w:t>
      </w:r>
      <w:r w:rsidRPr="00600C09">
        <w:t xml:space="preserve">: Sukuk involving Gulf investors and Malaysian assets face different interpretations of rahn, kafālah, and </w:t>
      </w:r>
      <w:r w:rsidRPr="00600C09">
        <w:rPr>
          <w:rFonts w:ascii="Calibri" w:hAnsi="Calibri" w:cs="Calibri"/>
        </w:rPr>
        <w:t>ḥ</w:t>
      </w:r>
      <w:r w:rsidRPr="00600C09">
        <w:t>awālah.</w:t>
      </w:r>
    </w:p>
    <w:p w14:paraId="5896B0F4" w14:textId="77777777" w:rsidR="00600C09" w:rsidRPr="00600C09" w:rsidRDefault="00600C09" w:rsidP="00600C09">
      <w:pPr>
        <w:rPr>
          <w:b/>
          <w:bCs/>
        </w:rPr>
      </w:pPr>
      <w:r w:rsidRPr="00600C09">
        <w:rPr>
          <w:b/>
          <w:bCs/>
        </w:rPr>
        <w:t>5.4.5 Practical Lessons</w:t>
      </w:r>
    </w:p>
    <w:p w14:paraId="280F69EB" w14:textId="77777777" w:rsidR="00600C09" w:rsidRPr="00600C09" w:rsidRDefault="00600C09" w:rsidP="00600C09">
      <w:pPr>
        <w:numPr>
          <w:ilvl w:val="0"/>
          <w:numId w:val="179"/>
        </w:numPr>
      </w:pPr>
      <w:r w:rsidRPr="00600C09">
        <w:t>Sukuk structures rely heavily on conventional security documentation “wrapped” in Shariah recitals.</w:t>
      </w:r>
    </w:p>
    <w:p w14:paraId="725F17B6" w14:textId="77777777" w:rsidR="00600C09" w:rsidRPr="00600C09" w:rsidRDefault="00600C09" w:rsidP="00600C09">
      <w:pPr>
        <w:numPr>
          <w:ilvl w:val="0"/>
          <w:numId w:val="179"/>
        </w:numPr>
      </w:pPr>
      <w:r w:rsidRPr="00600C09">
        <w:t>Investors demand enforceability, leading to hybrid documentation strategies.</w:t>
      </w:r>
    </w:p>
    <w:p w14:paraId="1BC2867F" w14:textId="1AE2006A" w:rsidR="00600C09" w:rsidRPr="00870BBA" w:rsidRDefault="00600C09" w:rsidP="00600C09">
      <w:pPr>
        <w:numPr>
          <w:ilvl w:val="0"/>
          <w:numId w:val="179"/>
        </w:numPr>
      </w:pPr>
      <w:r w:rsidRPr="00600C09">
        <w:t>Regulators like BNM and the SAC play a critical role in bridging gaps between Shariah principles and conventional legal enforceability.</w:t>
      </w:r>
    </w:p>
    <w:p w14:paraId="10AE66C5" w14:textId="3CD7B474" w:rsidR="00600C09" w:rsidRPr="00600C09" w:rsidRDefault="00600C09" w:rsidP="00600C09"/>
    <w:p w14:paraId="0DA942A0" w14:textId="77777777" w:rsidR="00600C09" w:rsidRPr="00600C09" w:rsidRDefault="00600C09" w:rsidP="00600C09">
      <w:pPr>
        <w:rPr>
          <w:b/>
          <w:bCs/>
        </w:rPr>
      </w:pPr>
      <w:r w:rsidRPr="00600C09">
        <w:rPr>
          <w:b/>
          <w:bCs/>
        </w:rPr>
        <w:t>5.5 Cross-Border Applications</w:t>
      </w:r>
    </w:p>
    <w:p w14:paraId="316DAA4D" w14:textId="77777777" w:rsidR="00600C09" w:rsidRPr="00600C09" w:rsidRDefault="00600C09" w:rsidP="00600C09">
      <w:r w:rsidRPr="00600C09">
        <w:t xml:space="preserve">While Malaysia provides a strong domestic framework for Islamic project finance, many projects involve cross-border syndications. Gulf-based banks, Japanese institutions, and international lenders often participate alongside Malaysian Islamic banks. This raises unique issues of </w:t>
      </w:r>
      <w:r w:rsidRPr="00600C09">
        <w:rPr>
          <w:b/>
          <w:bCs/>
        </w:rPr>
        <w:t>legal enforceability</w:t>
      </w:r>
      <w:r w:rsidRPr="00600C09">
        <w:t xml:space="preserve">, </w:t>
      </w:r>
      <w:r w:rsidRPr="00600C09">
        <w:rPr>
          <w:b/>
          <w:bCs/>
        </w:rPr>
        <w:t>Shariah divergence</w:t>
      </w:r>
      <w:r w:rsidRPr="00600C09">
        <w:t xml:space="preserve">, and </w:t>
      </w:r>
      <w:r w:rsidRPr="00600C09">
        <w:rPr>
          <w:b/>
          <w:bCs/>
        </w:rPr>
        <w:t>documentation harmonization</w:t>
      </w:r>
      <w:r w:rsidRPr="00600C09">
        <w:t>.</w:t>
      </w:r>
    </w:p>
    <w:p w14:paraId="572B0BF6" w14:textId="77777777" w:rsidR="00600C09" w:rsidRPr="00600C09" w:rsidRDefault="00600C09" w:rsidP="00600C09">
      <w:pPr>
        <w:rPr>
          <w:b/>
          <w:bCs/>
        </w:rPr>
      </w:pPr>
      <w:r w:rsidRPr="00600C09">
        <w:rPr>
          <w:b/>
          <w:bCs/>
        </w:rPr>
        <w:t>5.5.1 Divergent Shariah Interpretations</w:t>
      </w:r>
    </w:p>
    <w:p w14:paraId="2976BADA" w14:textId="77777777" w:rsidR="00600C09" w:rsidRPr="00600C09" w:rsidRDefault="00600C09" w:rsidP="00600C09">
      <w:pPr>
        <w:numPr>
          <w:ilvl w:val="0"/>
          <w:numId w:val="182"/>
        </w:numPr>
      </w:pPr>
      <w:r w:rsidRPr="00600C09">
        <w:rPr>
          <w:b/>
          <w:bCs/>
        </w:rPr>
        <w:t>Rahn of shares</w:t>
      </w:r>
      <w:r w:rsidRPr="00600C09">
        <w:t>: Accepted in Malaysia, but some Gulf scholars restrict rahn to tangible assets only. This creates tension in syndications where share pledges are central.</w:t>
      </w:r>
    </w:p>
    <w:p w14:paraId="4AEB18E8" w14:textId="77777777" w:rsidR="00600C09" w:rsidRPr="00600C09" w:rsidRDefault="00600C09" w:rsidP="00600C09">
      <w:pPr>
        <w:numPr>
          <w:ilvl w:val="0"/>
          <w:numId w:val="182"/>
        </w:numPr>
      </w:pPr>
      <w:r w:rsidRPr="00600C09">
        <w:rPr>
          <w:rFonts w:ascii="Calibri" w:hAnsi="Calibri" w:cs="Calibri"/>
          <w:b/>
          <w:bCs/>
        </w:rPr>
        <w:t>Ḥ</w:t>
      </w:r>
      <w:r w:rsidRPr="00600C09">
        <w:rPr>
          <w:b/>
          <w:bCs/>
        </w:rPr>
        <w:t>awālah of receivables</w:t>
      </w:r>
      <w:r w:rsidRPr="00600C09">
        <w:t>: Malaysian SAC permits assignments of concession payments, while stricter jurists reject future receivable transfers.</w:t>
      </w:r>
    </w:p>
    <w:p w14:paraId="382762B6" w14:textId="77777777" w:rsidR="00600C09" w:rsidRPr="00600C09" w:rsidRDefault="00600C09" w:rsidP="00600C09">
      <w:pPr>
        <w:numPr>
          <w:ilvl w:val="0"/>
          <w:numId w:val="182"/>
        </w:numPr>
      </w:pPr>
      <w:r w:rsidRPr="00600C09">
        <w:rPr>
          <w:b/>
          <w:bCs/>
        </w:rPr>
        <w:t>Guarantee fees</w:t>
      </w:r>
      <w:r w:rsidRPr="00600C09">
        <w:t>: Malaysian practice allows reimbursement of administrative costs only; some jurisdictions tolerate modest fee structures.</w:t>
      </w:r>
    </w:p>
    <w:p w14:paraId="5A029F35" w14:textId="77777777" w:rsidR="00600C09" w:rsidRPr="00600C09" w:rsidRDefault="00600C09" w:rsidP="00600C09">
      <w:pPr>
        <w:rPr>
          <w:b/>
          <w:bCs/>
        </w:rPr>
      </w:pPr>
      <w:r w:rsidRPr="00600C09">
        <w:rPr>
          <w:b/>
          <w:bCs/>
        </w:rPr>
        <w:t>5.5.2 Enforcement Challenges</w:t>
      </w:r>
    </w:p>
    <w:p w14:paraId="31A28BD9" w14:textId="77777777" w:rsidR="00600C09" w:rsidRPr="00600C09" w:rsidRDefault="00600C09" w:rsidP="00600C09">
      <w:pPr>
        <w:numPr>
          <w:ilvl w:val="0"/>
          <w:numId w:val="183"/>
        </w:numPr>
      </w:pPr>
      <w:r w:rsidRPr="00600C09">
        <w:rPr>
          <w:b/>
          <w:bCs/>
        </w:rPr>
        <w:t>Foreign court recognition</w:t>
      </w:r>
      <w:r w:rsidRPr="00600C09">
        <w:t>: Judgments enforcing rahn or kafālah may not be directly recognized abroad. For example, UAE courts occasionally reinterpret such contracts as conventional pledges or guarantees.</w:t>
      </w:r>
    </w:p>
    <w:p w14:paraId="43DBC445" w14:textId="77777777" w:rsidR="00600C09" w:rsidRPr="00600C09" w:rsidRDefault="00600C09" w:rsidP="00600C09">
      <w:pPr>
        <w:numPr>
          <w:ilvl w:val="0"/>
          <w:numId w:val="183"/>
        </w:numPr>
      </w:pPr>
      <w:r w:rsidRPr="00600C09">
        <w:rPr>
          <w:b/>
          <w:bCs/>
        </w:rPr>
        <w:t>Governing law clauses</w:t>
      </w:r>
      <w:r w:rsidRPr="00600C09">
        <w:t>: Cross-border contracts often adopt English law for enforceability, while recitals reference Shariah principles. This hybrid approach provides comfort but risks diluting Islamic authenticity.</w:t>
      </w:r>
    </w:p>
    <w:p w14:paraId="61056CFF" w14:textId="77777777" w:rsidR="00600C09" w:rsidRPr="00600C09" w:rsidRDefault="00600C09" w:rsidP="00600C09">
      <w:pPr>
        <w:rPr>
          <w:b/>
          <w:bCs/>
        </w:rPr>
      </w:pPr>
      <w:r w:rsidRPr="00600C09">
        <w:rPr>
          <w:b/>
          <w:bCs/>
        </w:rPr>
        <w:t>5.5.3 Practical Solutions</w:t>
      </w:r>
    </w:p>
    <w:p w14:paraId="28335BFD" w14:textId="77777777" w:rsidR="00600C09" w:rsidRPr="00600C09" w:rsidRDefault="00600C09" w:rsidP="00600C09">
      <w:pPr>
        <w:numPr>
          <w:ilvl w:val="0"/>
          <w:numId w:val="184"/>
        </w:numPr>
      </w:pPr>
      <w:r w:rsidRPr="00600C09">
        <w:lastRenderedPageBreak/>
        <w:t xml:space="preserve">Use of </w:t>
      </w:r>
      <w:r w:rsidRPr="00600C09">
        <w:rPr>
          <w:b/>
          <w:bCs/>
        </w:rPr>
        <w:t>parallel contracts</w:t>
      </w:r>
      <w:r w:rsidRPr="00600C09">
        <w:t>: One governed by Malaysian law, another by English law, both cross-referenced.</w:t>
      </w:r>
    </w:p>
    <w:p w14:paraId="555CBB39" w14:textId="77777777" w:rsidR="00600C09" w:rsidRPr="00600C09" w:rsidRDefault="00600C09" w:rsidP="00600C09">
      <w:pPr>
        <w:numPr>
          <w:ilvl w:val="0"/>
          <w:numId w:val="184"/>
        </w:numPr>
      </w:pPr>
      <w:r w:rsidRPr="00600C09">
        <w:t xml:space="preserve">Reliance on </w:t>
      </w:r>
      <w:r w:rsidRPr="00600C09">
        <w:rPr>
          <w:b/>
          <w:bCs/>
        </w:rPr>
        <w:t>Shariah-compliant trust structures</w:t>
      </w:r>
      <w:r w:rsidRPr="00600C09">
        <w:t>: Assets placed into SPV trusts recognized across jurisdictions.</w:t>
      </w:r>
    </w:p>
    <w:p w14:paraId="61874A07" w14:textId="77777777" w:rsidR="00600C09" w:rsidRPr="00600C09" w:rsidRDefault="00600C09" w:rsidP="00600C09">
      <w:pPr>
        <w:numPr>
          <w:ilvl w:val="0"/>
          <w:numId w:val="184"/>
        </w:numPr>
      </w:pPr>
      <w:r w:rsidRPr="00600C09">
        <w:t xml:space="preserve">Increasing reliance on </w:t>
      </w:r>
      <w:r w:rsidRPr="00600C09">
        <w:rPr>
          <w:b/>
          <w:bCs/>
        </w:rPr>
        <w:t>AAOIFI standards</w:t>
      </w:r>
      <w:r w:rsidRPr="00600C09">
        <w:t>: Providing common ground for Gulf and Malaysian institutions.</w:t>
      </w:r>
    </w:p>
    <w:p w14:paraId="1E2FE3F5" w14:textId="77777777" w:rsidR="00600C09" w:rsidRPr="00600C09" w:rsidRDefault="00877B45" w:rsidP="00600C09">
      <w:r>
        <w:rPr>
          <w:noProof/>
        </w:rPr>
      </w:r>
      <w:r w:rsidR="00877B45">
        <w:rPr>
          <w:noProof/>
        </w:rPr>
        <w:pict w14:anchorId="56717AE1">
          <v:rect id="_x0000_i1156" style="width:0;height:1.5pt" o:hralign="center" o:hrstd="t" o:hr="t" fillcolor="#a0a0a0" stroked="f"/>
        </w:pict>
      </w:r>
    </w:p>
    <w:p w14:paraId="2E48F9AF" w14:textId="77777777" w:rsidR="00600C09" w:rsidRPr="00600C09" w:rsidRDefault="00600C09" w:rsidP="00600C09">
      <w:pPr>
        <w:rPr>
          <w:b/>
          <w:bCs/>
        </w:rPr>
      </w:pPr>
      <w:r w:rsidRPr="00600C09">
        <w:rPr>
          <w:b/>
          <w:bCs/>
        </w:rPr>
        <w:t>5.6 Insights from Interviews</w:t>
      </w:r>
    </w:p>
    <w:p w14:paraId="409F7395" w14:textId="77777777" w:rsidR="00600C09" w:rsidRPr="00600C09" w:rsidRDefault="00600C09" w:rsidP="00600C09">
      <w:r w:rsidRPr="00600C09">
        <w:t>Ten industry experts (coded P1–P10) provided perspectives on Islamic security instruments in project finance.</w:t>
      </w:r>
    </w:p>
    <w:p w14:paraId="40220022" w14:textId="77777777" w:rsidR="00600C09" w:rsidRPr="00600C09" w:rsidRDefault="00600C09" w:rsidP="00600C09">
      <w:r w:rsidRPr="00600C09">
        <w:rPr>
          <w:b/>
          <w:bCs/>
        </w:rPr>
        <w:t>Theme 1: Enforceability is key</w:t>
      </w:r>
    </w:p>
    <w:p w14:paraId="736BEC7E" w14:textId="77777777" w:rsidR="00600C09" w:rsidRPr="00600C09" w:rsidRDefault="00600C09" w:rsidP="00600C09">
      <w:pPr>
        <w:numPr>
          <w:ilvl w:val="0"/>
          <w:numId w:val="185"/>
        </w:numPr>
      </w:pPr>
      <w:r w:rsidRPr="00600C09">
        <w:t>P2 (banker): “Investors don’t care if it’s rahn or mortgage, as long as it’s enforceable in court. The label matters less than the outcome.”</w:t>
      </w:r>
    </w:p>
    <w:p w14:paraId="0E5C9D4E" w14:textId="77777777" w:rsidR="00600C09" w:rsidRPr="00600C09" w:rsidRDefault="00600C09" w:rsidP="00600C09">
      <w:pPr>
        <w:numPr>
          <w:ilvl w:val="0"/>
          <w:numId w:val="185"/>
        </w:numPr>
      </w:pPr>
      <w:r w:rsidRPr="00600C09">
        <w:t>P5 (lawyer): “Courts tend to default to conventional interpretations. This gives predictability but risks losing the Shariah nuance.”</w:t>
      </w:r>
    </w:p>
    <w:p w14:paraId="120B72CF" w14:textId="77777777" w:rsidR="00600C09" w:rsidRPr="00600C09" w:rsidRDefault="00600C09" w:rsidP="00600C09">
      <w:r w:rsidRPr="00600C09">
        <w:rPr>
          <w:b/>
          <w:bCs/>
        </w:rPr>
        <w:t>Theme 2: Regulatory guidance provides certainty</w:t>
      </w:r>
    </w:p>
    <w:p w14:paraId="5C402EE3" w14:textId="77777777" w:rsidR="00600C09" w:rsidRPr="00600C09" w:rsidRDefault="00600C09" w:rsidP="00600C09">
      <w:pPr>
        <w:numPr>
          <w:ilvl w:val="0"/>
          <w:numId w:val="186"/>
        </w:numPr>
      </w:pPr>
      <w:r w:rsidRPr="00600C09">
        <w:t>P1 (Shariah advisor): “Without SAC rulings, many instruments would remain uncertain. Constructive possession, debt transfer, and guarantees only gained traction after SAC guidance.”</w:t>
      </w:r>
    </w:p>
    <w:p w14:paraId="2553A371" w14:textId="77777777" w:rsidR="00600C09" w:rsidRPr="00600C09" w:rsidRDefault="00600C09" w:rsidP="00600C09">
      <w:pPr>
        <w:numPr>
          <w:ilvl w:val="0"/>
          <w:numId w:val="186"/>
        </w:numPr>
      </w:pPr>
      <w:r w:rsidRPr="00600C09">
        <w:t>P7 (regulator): “BNM’s role is to harmonize practice. Without central guidance, each bank would interpret differently.”</w:t>
      </w:r>
    </w:p>
    <w:p w14:paraId="14B1EBE3" w14:textId="77777777" w:rsidR="00600C09" w:rsidRPr="00600C09" w:rsidRDefault="00600C09" w:rsidP="00600C09">
      <w:r w:rsidRPr="00600C09">
        <w:rPr>
          <w:b/>
          <w:bCs/>
        </w:rPr>
        <w:t>Theme 3: Commercialization remains unresolved</w:t>
      </w:r>
    </w:p>
    <w:p w14:paraId="08B32209" w14:textId="77777777" w:rsidR="00600C09" w:rsidRPr="00600C09" w:rsidRDefault="00600C09" w:rsidP="00600C09">
      <w:pPr>
        <w:numPr>
          <w:ilvl w:val="0"/>
          <w:numId w:val="187"/>
        </w:numPr>
      </w:pPr>
      <w:r w:rsidRPr="00600C09">
        <w:t xml:space="preserve">P3 (banker): “Kafālah and </w:t>
      </w:r>
      <w:r w:rsidRPr="00600C09">
        <w:rPr>
          <w:rFonts w:ascii="Calibri" w:hAnsi="Calibri" w:cs="Calibri"/>
        </w:rPr>
        <w:t>ḍ</w:t>
      </w:r>
      <w:r w:rsidRPr="00600C09">
        <w:t>amān are powerful, but without fees, banks hesitate to use them widely. There’s pressure to find Shariah-compliant ways to compensate.”</w:t>
      </w:r>
    </w:p>
    <w:p w14:paraId="5B2D5A15" w14:textId="77777777" w:rsidR="00600C09" w:rsidRPr="00600C09" w:rsidRDefault="00600C09" w:rsidP="00600C09">
      <w:pPr>
        <w:numPr>
          <w:ilvl w:val="0"/>
          <w:numId w:val="187"/>
        </w:numPr>
      </w:pPr>
      <w:r w:rsidRPr="00600C09">
        <w:t>P8 (consultant): “Islamic banks must innovate. Perhaps profit-sharing mechanisms can replace outright guarantee fees.”</w:t>
      </w:r>
    </w:p>
    <w:p w14:paraId="75E5B4E9" w14:textId="77777777" w:rsidR="00600C09" w:rsidRPr="00600C09" w:rsidRDefault="00600C09" w:rsidP="00600C09">
      <w:r w:rsidRPr="00600C09">
        <w:rPr>
          <w:b/>
          <w:bCs/>
        </w:rPr>
        <w:t>Theme 4: Hybrid models are inevitable</w:t>
      </w:r>
    </w:p>
    <w:p w14:paraId="085A5452" w14:textId="77777777" w:rsidR="00600C09" w:rsidRPr="00600C09" w:rsidRDefault="00600C09" w:rsidP="00600C09">
      <w:pPr>
        <w:numPr>
          <w:ilvl w:val="0"/>
          <w:numId w:val="188"/>
        </w:numPr>
      </w:pPr>
      <w:r w:rsidRPr="00600C09">
        <w:t>P4 (lawyer): “Large projects always involve both Islamic and conventional tranches. Hybrid documentation is the only practical way.”</w:t>
      </w:r>
    </w:p>
    <w:p w14:paraId="0C618311" w14:textId="77777777" w:rsidR="00600C09" w:rsidRPr="00600C09" w:rsidRDefault="00600C09" w:rsidP="00600C09">
      <w:pPr>
        <w:numPr>
          <w:ilvl w:val="0"/>
          <w:numId w:val="188"/>
        </w:numPr>
      </w:pPr>
      <w:r w:rsidRPr="00600C09">
        <w:t>P9 (banker): “Purists dislike it, but investors demand enforceability. Without compromise, projects won’t close.”</w:t>
      </w:r>
    </w:p>
    <w:p w14:paraId="13EDDC46" w14:textId="23E5D188" w:rsidR="00600C09" w:rsidRPr="00600C09" w:rsidRDefault="00600C09" w:rsidP="00600C09"/>
    <w:p w14:paraId="27282CA4" w14:textId="77777777" w:rsidR="00600C09" w:rsidRPr="00600C09" w:rsidRDefault="00600C09" w:rsidP="00600C09">
      <w:pPr>
        <w:rPr>
          <w:b/>
          <w:bCs/>
        </w:rPr>
      </w:pPr>
      <w:r w:rsidRPr="00600C09">
        <w:rPr>
          <w:b/>
          <w:bCs/>
        </w:rPr>
        <w:t>5.7 Implications for Practice</w:t>
      </w:r>
    </w:p>
    <w:p w14:paraId="4B4566CB" w14:textId="77777777" w:rsidR="00600C09" w:rsidRPr="00600C09" w:rsidRDefault="00600C09" w:rsidP="00600C09">
      <w:r w:rsidRPr="00600C09">
        <w:t>From the Malaysian and cross-border case studies, several implications emerge:</w:t>
      </w:r>
    </w:p>
    <w:p w14:paraId="40856412" w14:textId="77777777" w:rsidR="00600C09" w:rsidRPr="00600C09" w:rsidRDefault="00600C09" w:rsidP="00600C09">
      <w:pPr>
        <w:numPr>
          <w:ilvl w:val="0"/>
          <w:numId w:val="189"/>
        </w:numPr>
      </w:pPr>
      <w:r w:rsidRPr="00600C09">
        <w:rPr>
          <w:b/>
          <w:bCs/>
        </w:rPr>
        <w:t>Statutory recognition is vital</w:t>
      </w:r>
      <w:r w:rsidRPr="00600C09">
        <w:t xml:space="preserve">: Instruments like rahn and </w:t>
      </w:r>
      <w:r w:rsidRPr="00600C09">
        <w:rPr>
          <w:rFonts w:ascii="Calibri" w:hAnsi="Calibri" w:cs="Calibri"/>
        </w:rPr>
        <w:t>ḥ</w:t>
      </w:r>
      <w:r w:rsidRPr="00600C09">
        <w:t>awālah need explicit statutory footing to be enforceable without ambiguity.</w:t>
      </w:r>
    </w:p>
    <w:p w14:paraId="585CD6B6" w14:textId="77777777" w:rsidR="00600C09" w:rsidRPr="00600C09" w:rsidRDefault="00600C09" w:rsidP="00600C09">
      <w:pPr>
        <w:numPr>
          <w:ilvl w:val="0"/>
          <w:numId w:val="189"/>
        </w:numPr>
      </w:pPr>
      <w:r w:rsidRPr="00600C09">
        <w:rPr>
          <w:b/>
          <w:bCs/>
        </w:rPr>
        <w:t>Regulatory guidance bridges gaps</w:t>
      </w:r>
      <w:r w:rsidRPr="00600C09">
        <w:t>: SAC rulings ensure consistent practice, reducing uncertainty.</w:t>
      </w:r>
    </w:p>
    <w:p w14:paraId="7CA5EB97" w14:textId="77777777" w:rsidR="00600C09" w:rsidRPr="00600C09" w:rsidRDefault="00600C09" w:rsidP="00600C09">
      <w:pPr>
        <w:numPr>
          <w:ilvl w:val="0"/>
          <w:numId w:val="189"/>
        </w:numPr>
      </w:pPr>
      <w:r w:rsidRPr="00600C09">
        <w:rPr>
          <w:b/>
          <w:bCs/>
        </w:rPr>
        <w:t>Hybrid documentation is pragmatic</w:t>
      </w:r>
      <w:r w:rsidRPr="00600C09">
        <w:t>: While it risks diluting Islamic authenticity, it ensures bankability in cross-border syndications.</w:t>
      </w:r>
    </w:p>
    <w:p w14:paraId="044BFA24" w14:textId="77777777" w:rsidR="00600C09" w:rsidRPr="00600C09" w:rsidRDefault="00600C09" w:rsidP="00600C09">
      <w:pPr>
        <w:numPr>
          <w:ilvl w:val="0"/>
          <w:numId w:val="189"/>
        </w:numPr>
      </w:pPr>
      <w:r w:rsidRPr="00600C09">
        <w:rPr>
          <w:b/>
          <w:bCs/>
        </w:rPr>
        <w:t>Commercialization vs. benevolence tension</w:t>
      </w:r>
      <w:r w:rsidRPr="00600C09">
        <w:t>: Fee prohibition in kafālah/</w:t>
      </w:r>
      <w:r w:rsidRPr="00600C09">
        <w:rPr>
          <w:rFonts w:ascii="Calibri" w:hAnsi="Calibri" w:cs="Calibri"/>
        </w:rPr>
        <w:t>ḍ</w:t>
      </w:r>
      <w:r w:rsidRPr="00600C09">
        <w:t>amān remains unresolved. Future innovation may include bundled agency contracts or risk-sharing arrangements.</w:t>
      </w:r>
    </w:p>
    <w:p w14:paraId="71C7FB56" w14:textId="77777777" w:rsidR="00600C09" w:rsidRPr="00600C09" w:rsidRDefault="00600C09" w:rsidP="00600C09">
      <w:pPr>
        <w:numPr>
          <w:ilvl w:val="0"/>
          <w:numId w:val="189"/>
        </w:numPr>
      </w:pPr>
      <w:r w:rsidRPr="00600C09">
        <w:rPr>
          <w:b/>
          <w:bCs/>
        </w:rPr>
        <w:t>Compatibility Index as structuring tool</w:t>
      </w:r>
      <w:r w:rsidRPr="00600C09">
        <w:t>: Practitioners confirmed the Index helps benchmark Islamic instruments against conventional standards, guiding negotiations.</w:t>
      </w:r>
    </w:p>
    <w:p w14:paraId="2001FE4B" w14:textId="01F8CC52" w:rsidR="00600C09" w:rsidRPr="00600C09" w:rsidRDefault="00600C09" w:rsidP="00600C09"/>
    <w:p w14:paraId="07853407" w14:textId="77777777" w:rsidR="00600C09" w:rsidRPr="00600C09" w:rsidRDefault="00600C09" w:rsidP="00600C09">
      <w:pPr>
        <w:rPr>
          <w:b/>
          <w:bCs/>
        </w:rPr>
      </w:pPr>
      <w:r w:rsidRPr="00600C09">
        <w:rPr>
          <w:b/>
          <w:bCs/>
        </w:rPr>
        <w:t>5.8 Conclusion</w:t>
      </w:r>
    </w:p>
    <w:p w14:paraId="1C29AD8A" w14:textId="77777777" w:rsidR="00600C09" w:rsidRPr="00600C09" w:rsidRDefault="00600C09" w:rsidP="00600C09">
      <w:r w:rsidRPr="00600C09">
        <w:t xml:space="preserve">This chapter demonstrated how Islamic security instruments operate in real-world project finance. Case studies from Malaysian power, highway, and hospital projects revealed that rahn, kafālah, </w:t>
      </w:r>
      <w:r w:rsidRPr="00600C09">
        <w:rPr>
          <w:rFonts w:ascii="Calibri" w:hAnsi="Calibri" w:cs="Calibri"/>
        </w:rPr>
        <w:t>ḍ</w:t>
      </w:r>
      <w:r w:rsidRPr="00600C09">
        <w:t xml:space="preserve">amān, and </w:t>
      </w:r>
      <w:r w:rsidRPr="00600C09">
        <w:rPr>
          <w:rFonts w:ascii="Calibri" w:hAnsi="Calibri" w:cs="Calibri"/>
        </w:rPr>
        <w:t>ḥ</w:t>
      </w:r>
      <w:r w:rsidRPr="00600C09">
        <w:t>awālah can be applied effectively, though always with regulatory guidance and hybrid structuring. Sukuk, as a central financing tool, relies heavily on these instruments for investor protection.</w:t>
      </w:r>
    </w:p>
    <w:p w14:paraId="05F33511" w14:textId="77777777" w:rsidR="00600C09" w:rsidRPr="00600C09" w:rsidRDefault="00600C09" w:rsidP="00600C09">
      <w:r w:rsidRPr="00600C09">
        <w:t>Cross-border applications remain challenging due to divergent Shariah interpretations and legal enforceability issues. Hybrid documentation and reliance on AAOIFI standards provide partial solutions.</w:t>
      </w:r>
    </w:p>
    <w:p w14:paraId="5E478DEA" w14:textId="77777777" w:rsidR="00600C09" w:rsidRPr="00600C09" w:rsidRDefault="00600C09" w:rsidP="00600C09">
      <w:r w:rsidRPr="00600C09">
        <w:t xml:space="preserve">The insights from interviews reinforced the critical role of regulators and the inevitability of hybrid approaches in large-scale financings. The Compatibility Index proved useful as a diagnostic tool, showing where Islamic instruments achieve high functional equivalence (e.g., rahn of shares, kafālah guarantees) and where they fall short (e.g., prohibition of debt trading under </w:t>
      </w:r>
      <w:r w:rsidRPr="00600C09">
        <w:rPr>
          <w:rFonts w:ascii="Calibri" w:hAnsi="Calibri" w:cs="Calibri"/>
        </w:rPr>
        <w:t>ḥ</w:t>
      </w:r>
      <w:r w:rsidRPr="00600C09">
        <w:t>awālah).</w:t>
      </w:r>
    </w:p>
    <w:p w14:paraId="7A1C2172" w14:textId="77777777" w:rsidR="00600C09" w:rsidRPr="00600C09" w:rsidRDefault="00600C09" w:rsidP="00600C09">
      <w:r w:rsidRPr="00600C09">
        <w:t xml:space="preserve">Ultimately, the application of Islamic security instruments in project finance is a story of </w:t>
      </w:r>
      <w:r w:rsidRPr="00600C09">
        <w:rPr>
          <w:b/>
          <w:bCs/>
        </w:rPr>
        <w:t>adaptation and pragmatism</w:t>
      </w:r>
      <w:r w:rsidRPr="00600C09">
        <w:t xml:space="preserve"> — balancing fidelity to Shariah with the demands of global financial markets.</w:t>
      </w:r>
    </w:p>
    <w:p w14:paraId="243C11A5" w14:textId="77777777" w:rsidR="00600C09" w:rsidRPr="00600C09" w:rsidRDefault="00600C09" w:rsidP="00600C09">
      <w:r w:rsidRPr="00600C09">
        <w:lastRenderedPageBreak/>
        <w:t xml:space="preserve">This sets the stage for Chapter 6, which turns to </w:t>
      </w:r>
      <w:r w:rsidRPr="00600C09">
        <w:rPr>
          <w:b/>
          <w:bCs/>
        </w:rPr>
        <w:t>Shariah governance and regulatory frameworks</w:t>
      </w:r>
      <w:r w:rsidRPr="00600C09">
        <w:t>, analyzing how regulators, Shariah boards, and policymakers shape the future trajectory of Islamic project finance.</w:t>
      </w:r>
    </w:p>
    <w:p w14:paraId="2F7DAAE7" w14:textId="77777777" w:rsidR="00600C09" w:rsidRPr="00600C09" w:rsidRDefault="00877B45" w:rsidP="00600C09">
      <w:r>
        <w:rPr>
          <w:noProof/>
        </w:rPr>
      </w:r>
      <w:r w:rsidR="00877B45">
        <w:rPr>
          <w:noProof/>
        </w:rPr>
        <w:pict w14:anchorId="3C1D46FB">
          <v:rect id="_x0000_i1159" style="width:0;height:1.5pt" o:hralign="center" o:hrstd="t" o:hr="t" fillcolor="#a0a0a0" stroked="f"/>
        </w:pict>
      </w:r>
    </w:p>
    <w:p w14:paraId="03123018" w14:textId="77777777" w:rsidR="00600C09" w:rsidRPr="00600C09" w:rsidRDefault="00600C09" w:rsidP="00600C09">
      <w:pPr>
        <w:rPr>
          <w:b/>
          <w:bCs/>
        </w:rPr>
      </w:pPr>
      <w:r w:rsidRPr="00600C09">
        <w:rPr>
          <w:rFonts w:ascii="Segoe UI Emoji" w:hAnsi="Segoe UI Emoji" w:cs="Segoe UI Emoji"/>
          <w:b/>
          <w:bCs/>
        </w:rPr>
        <w:t>📚</w:t>
      </w:r>
      <w:r w:rsidRPr="00600C09">
        <w:rPr>
          <w:b/>
          <w:bCs/>
        </w:rPr>
        <w:t xml:space="preserve"> References (APA 7th Edition)</w:t>
      </w:r>
    </w:p>
    <w:p w14:paraId="6BCBC9D4" w14:textId="77777777" w:rsidR="00600C09" w:rsidRPr="00600C09" w:rsidRDefault="00600C09" w:rsidP="00600C09">
      <w:r w:rsidRPr="00600C09">
        <w:t xml:space="preserve">AAOIFI. (2021). </w:t>
      </w:r>
      <w:r w:rsidRPr="00600C09">
        <w:rPr>
          <w:i/>
          <w:iCs/>
        </w:rPr>
        <w:t>Shariah standards</w:t>
      </w:r>
      <w:r w:rsidRPr="00600C09">
        <w:t>. Accounting and Auditing Organization for Islamic Financial Institutions.</w:t>
      </w:r>
    </w:p>
    <w:p w14:paraId="040AC44E" w14:textId="77777777" w:rsidR="00600C09" w:rsidRPr="00600C09" w:rsidRDefault="00600C09" w:rsidP="00600C09">
      <w:r w:rsidRPr="00600C09">
        <w:t xml:space="preserve">Al-Zuhayli, W. (2003). </w:t>
      </w:r>
      <w:r w:rsidRPr="00600C09">
        <w:rPr>
          <w:i/>
          <w:iCs/>
        </w:rPr>
        <w:t>Financial transactions in Islamic jurisprudence</w:t>
      </w:r>
      <w:r w:rsidRPr="00600C09">
        <w:t xml:space="preserve"> (M. El-Gamal, Trans.). Dar al-Fikr.</w:t>
      </w:r>
    </w:p>
    <w:p w14:paraId="2C199950" w14:textId="77777777" w:rsidR="00600C09" w:rsidRPr="00600C09" w:rsidRDefault="00600C09" w:rsidP="00600C09">
      <w:r w:rsidRPr="00600C09">
        <w:t xml:space="preserve">Bank Negara Malaysia. (2019). </w:t>
      </w:r>
      <w:r w:rsidRPr="00600C09">
        <w:rPr>
          <w:i/>
          <w:iCs/>
        </w:rPr>
        <w:t>Shariah Governance Policy Document</w:t>
      </w:r>
      <w:r w:rsidRPr="00600C09">
        <w:t>. Bank Negara Malaysia.</w:t>
      </w:r>
    </w:p>
    <w:p w14:paraId="6D1B55A5" w14:textId="77777777" w:rsidR="00600C09" w:rsidRPr="00600C09" w:rsidRDefault="00600C09" w:rsidP="00600C09">
      <w:r w:rsidRPr="00600C09">
        <w:t xml:space="preserve">El-Gamal, M. A. (2006). </w:t>
      </w:r>
      <w:r w:rsidRPr="00600C09">
        <w:rPr>
          <w:i/>
          <w:iCs/>
        </w:rPr>
        <w:t>Islamic finance: Law, economics, and practice</w:t>
      </w:r>
      <w:r w:rsidRPr="00600C09">
        <w:t>. Cambridge University Press.</w:t>
      </w:r>
    </w:p>
    <w:p w14:paraId="4CB19500" w14:textId="77777777" w:rsidR="00600C09" w:rsidRPr="00600C09" w:rsidRDefault="00600C09" w:rsidP="00600C09">
      <w:r w:rsidRPr="00600C09">
        <w:t xml:space="preserve">Goode, R. (2013). </w:t>
      </w:r>
      <w:r w:rsidRPr="00600C09">
        <w:rPr>
          <w:i/>
          <w:iCs/>
        </w:rPr>
        <w:t>Goode on legal problems of credit and security</w:t>
      </w:r>
      <w:r w:rsidRPr="00600C09">
        <w:t xml:space="preserve"> (5th ed.). Sweet &amp; Maxwell.</w:t>
      </w:r>
    </w:p>
    <w:p w14:paraId="53ADF6CB" w14:textId="77777777" w:rsidR="00600C09" w:rsidRPr="00600C09" w:rsidRDefault="00600C09" w:rsidP="00600C09">
      <w:r w:rsidRPr="00600C09">
        <w:t xml:space="preserve">Yescombe, E. R. (2014). </w:t>
      </w:r>
      <w:r w:rsidRPr="00600C09">
        <w:rPr>
          <w:i/>
          <w:iCs/>
        </w:rPr>
        <w:t>Principles of project finance</w:t>
      </w:r>
      <w:r w:rsidRPr="00600C09">
        <w:t xml:space="preserve"> (2nd ed.). Academic Press.</w:t>
      </w:r>
    </w:p>
    <w:p w14:paraId="53E1A2C3" w14:textId="77777777" w:rsidR="00600C09" w:rsidRPr="00600C09" w:rsidRDefault="00600C09" w:rsidP="00600C09">
      <w:r w:rsidRPr="00600C09">
        <w:t xml:space="preserve">Wood, P. R. (2007). </w:t>
      </w:r>
      <w:r w:rsidRPr="00600C09">
        <w:rPr>
          <w:i/>
          <w:iCs/>
        </w:rPr>
        <w:t>Principles of international insolvency</w:t>
      </w:r>
      <w:r w:rsidRPr="00600C09">
        <w:t xml:space="preserve"> (2nd ed.). Sweet &amp; Maxwell.</w:t>
      </w:r>
    </w:p>
    <w:p w14:paraId="122DE497" w14:textId="77777777" w:rsidR="00600C09" w:rsidRPr="00600C09" w:rsidRDefault="00600C09" w:rsidP="00600C09">
      <w:r w:rsidRPr="00600C09">
        <w:t>Interviews with practitioners (P1–P10), conducted between 2022–2024.</w:t>
      </w:r>
    </w:p>
    <w:p w14:paraId="0781452A" w14:textId="384CF601" w:rsidR="00600C09" w:rsidRPr="00600C09" w:rsidRDefault="00600C09" w:rsidP="00600C09"/>
    <w:p w14:paraId="459382F7" w14:textId="3B6320EA" w:rsidR="00600C09" w:rsidRPr="00600C09" w:rsidRDefault="00600C09" w:rsidP="00600C09"/>
    <w:p w14:paraId="4714280E" w14:textId="77777777" w:rsidR="00600C09" w:rsidRPr="00600C09" w:rsidRDefault="00600C09" w:rsidP="00600C09">
      <w:pPr>
        <w:rPr>
          <w:b/>
          <w:bCs/>
        </w:rPr>
      </w:pPr>
      <w:r w:rsidRPr="00600C09">
        <w:rPr>
          <w:rFonts w:ascii="Segoe UI Emoji" w:hAnsi="Segoe UI Emoji" w:cs="Segoe UI Emoji"/>
          <w:b/>
          <w:bCs/>
        </w:rPr>
        <w:t>📖</w:t>
      </w:r>
      <w:r w:rsidRPr="00600C09">
        <w:rPr>
          <w:b/>
          <w:bCs/>
        </w:rPr>
        <w:t xml:space="preserve"> Chapter 6 — Shariah Governance &amp; Regulatory Frameworks</w:t>
      </w:r>
    </w:p>
    <w:p w14:paraId="6B517142" w14:textId="77777777" w:rsidR="00600C09" w:rsidRPr="00600C09" w:rsidRDefault="00877B45" w:rsidP="00600C09">
      <w:r>
        <w:rPr>
          <w:noProof/>
        </w:rPr>
      </w:r>
      <w:r w:rsidR="00877B45">
        <w:rPr>
          <w:noProof/>
        </w:rPr>
        <w:pict w14:anchorId="3D6461E7">
          <v:rect id="_x0000_i1165" style="width:0;height:1.5pt" o:hralign="center" o:hrstd="t" o:hr="t" fillcolor="#a0a0a0" stroked="f"/>
        </w:pict>
      </w:r>
    </w:p>
    <w:p w14:paraId="2E72D874" w14:textId="77777777" w:rsidR="00600C09" w:rsidRPr="00600C09" w:rsidRDefault="00600C09" w:rsidP="00600C09">
      <w:pPr>
        <w:rPr>
          <w:b/>
          <w:bCs/>
        </w:rPr>
      </w:pPr>
      <w:r w:rsidRPr="00600C09">
        <w:rPr>
          <w:b/>
          <w:bCs/>
        </w:rPr>
        <w:t>6.1 Introduction</w:t>
      </w:r>
    </w:p>
    <w:p w14:paraId="06E6AE24" w14:textId="77777777" w:rsidR="00600C09" w:rsidRPr="00600C09" w:rsidRDefault="00600C09" w:rsidP="00600C09">
      <w:r w:rsidRPr="00600C09">
        <w:t>Governance is the backbone of financial systems. In conventional finance, corporate governance ensures accountability, transparency, and risk management. In Islamic finance, governance carries an additional dimension: ensuring adherence to Shariah. This requirement makes Shariah governance not only a legal or regulatory obligation but also a moral and religious duty.</w:t>
      </w:r>
    </w:p>
    <w:p w14:paraId="5AB33FF1" w14:textId="77777777" w:rsidR="00600C09" w:rsidRPr="00600C09" w:rsidRDefault="00600C09" w:rsidP="00600C09">
      <w:r w:rsidRPr="00600C09">
        <w:t xml:space="preserve">The legitimacy of Islamic finance hinges on its claim to be Shariah-compliant. Without robust governance mechanisms, the industry risks accusations of </w:t>
      </w:r>
      <w:r w:rsidRPr="00600C09">
        <w:rPr>
          <w:i/>
          <w:iCs/>
        </w:rPr>
        <w:t>Shariah arbitrage</w:t>
      </w:r>
      <w:r w:rsidRPr="00600C09">
        <w:t xml:space="preserve"> or “form over substance,” which could erode investor and public confidence (El-Gamal, 2006). Shariah governance is therefore a pillar of both credibility and sustainability in Islamic finance.</w:t>
      </w:r>
    </w:p>
    <w:p w14:paraId="29A8E87A" w14:textId="77777777" w:rsidR="00600C09" w:rsidRPr="00600C09" w:rsidRDefault="00600C09" w:rsidP="00600C09">
      <w:r w:rsidRPr="00600C09">
        <w:lastRenderedPageBreak/>
        <w:t xml:space="preserve">The stakes are particularly high in project finance. As shown in Chapter 5, security instruments such as rahn, kafālah, </w:t>
      </w:r>
      <w:r w:rsidRPr="00600C09">
        <w:rPr>
          <w:rFonts w:ascii="Calibri" w:hAnsi="Calibri" w:cs="Calibri"/>
        </w:rPr>
        <w:t>ḍ</w:t>
      </w:r>
      <w:r w:rsidRPr="00600C09">
        <w:t xml:space="preserve">amān, and </w:t>
      </w:r>
      <w:r w:rsidRPr="00600C09">
        <w:rPr>
          <w:rFonts w:ascii="Calibri" w:hAnsi="Calibri" w:cs="Calibri"/>
        </w:rPr>
        <w:t>ḥ</w:t>
      </w:r>
      <w:r w:rsidRPr="00600C09">
        <w:t>awālah play central roles in protecting financiers. If these instruments are not properly governed under Shariah, the financial viability and legitimacy of multi-billion-dollar projects could be undermined. Governance ensures that:</w:t>
      </w:r>
    </w:p>
    <w:p w14:paraId="4FEB67B0" w14:textId="77777777" w:rsidR="00600C09" w:rsidRPr="00600C09" w:rsidRDefault="00600C09" w:rsidP="00600C09">
      <w:pPr>
        <w:numPr>
          <w:ilvl w:val="0"/>
          <w:numId w:val="200"/>
        </w:numPr>
      </w:pPr>
      <w:r w:rsidRPr="00600C09">
        <w:rPr>
          <w:b/>
          <w:bCs/>
        </w:rPr>
        <w:t>Contracts align with Shariah</w:t>
      </w:r>
      <w:r w:rsidRPr="00600C09">
        <w:t xml:space="preserve"> – avoiding prohibited elements such as ribā, gharar, and maysir.</w:t>
      </w:r>
    </w:p>
    <w:p w14:paraId="14F59CD6" w14:textId="77777777" w:rsidR="00600C09" w:rsidRPr="00600C09" w:rsidRDefault="00600C09" w:rsidP="00600C09">
      <w:pPr>
        <w:numPr>
          <w:ilvl w:val="0"/>
          <w:numId w:val="200"/>
        </w:numPr>
      </w:pPr>
      <w:r w:rsidRPr="00600C09">
        <w:rPr>
          <w:b/>
          <w:bCs/>
        </w:rPr>
        <w:t>Stakeholders are accountable</w:t>
      </w:r>
      <w:r w:rsidRPr="00600C09">
        <w:t xml:space="preserve"> – ensuring financiers, regulators, and Shariah boards act with integrity.</w:t>
      </w:r>
    </w:p>
    <w:p w14:paraId="2D8E85AD" w14:textId="77777777" w:rsidR="00600C09" w:rsidRPr="00600C09" w:rsidRDefault="00600C09" w:rsidP="00600C09">
      <w:pPr>
        <w:numPr>
          <w:ilvl w:val="0"/>
          <w:numId w:val="200"/>
        </w:numPr>
      </w:pPr>
      <w:r w:rsidRPr="00600C09">
        <w:rPr>
          <w:b/>
          <w:bCs/>
        </w:rPr>
        <w:t>Investor confidence is protected</w:t>
      </w:r>
      <w:r w:rsidRPr="00600C09">
        <w:t xml:space="preserve"> – both Muslim and non-Muslim investors need assurance of legal enforceability and ethical integrity.</w:t>
      </w:r>
    </w:p>
    <w:p w14:paraId="4FAAFFB6" w14:textId="77777777" w:rsidR="00600C09" w:rsidRPr="00600C09" w:rsidRDefault="00600C09" w:rsidP="00600C09">
      <w:r w:rsidRPr="00600C09">
        <w:t>Malaysia provides a unique case study in Shariah governance. With statutory recognition of the Shariah Advisory Council (SAC) of Bank Negara Malaysia (BNM) and the Securities Commission (SC), the country has built a comprehensive governance framework admired worldwide. At the same time, international bodies such as AAOIFI and the Islamic Financial Services Board (IFSB) have sought to harmonize governance practices across jurisdictions, albeit with limited success.</w:t>
      </w:r>
    </w:p>
    <w:p w14:paraId="6E20B5FE" w14:textId="77777777" w:rsidR="00600C09" w:rsidRPr="00600C09" w:rsidRDefault="00600C09" w:rsidP="00600C09">
      <w:r w:rsidRPr="00600C09">
        <w:t>This chapter explores the foundations, structures, challenges, and future directions of Shariah governance. It begins with the religious and jurisprudential underpinnings of governance in Islam, before examining institutional structures in Malaysia, the role of Shariah Committees, and international harmonization efforts. It concludes by identifying key challenges and proposing pathways for maqāṣid-oriented governance reform.</w:t>
      </w:r>
    </w:p>
    <w:p w14:paraId="77F2B90C" w14:textId="073C206C" w:rsidR="00600C09" w:rsidRPr="00600C09" w:rsidRDefault="00600C09" w:rsidP="00600C09"/>
    <w:p w14:paraId="35B1F13A" w14:textId="77777777" w:rsidR="00600C09" w:rsidRPr="00600C09" w:rsidRDefault="00600C09" w:rsidP="00600C09">
      <w:pPr>
        <w:rPr>
          <w:b/>
          <w:bCs/>
        </w:rPr>
      </w:pPr>
      <w:r w:rsidRPr="00600C09">
        <w:rPr>
          <w:b/>
          <w:bCs/>
        </w:rPr>
        <w:t>6.2 Foundations of Shariah Governance</w:t>
      </w:r>
    </w:p>
    <w:p w14:paraId="06801F42" w14:textId="77777777" w:rsidR="00600C09" w:rsidRPr="00600C09" w:rsidRDefault="00600C09" w:rsidP="00600C09">
      <w:pPr>
        <w:rPr>
          <w:b/>
          <w:bCs/>
        </w:rPr>
      </w:pPr>
      <w:r w:rsidRPr="00600C09">
        <w:rPr>
          <w:b/>
          <w:bCs/>
        </w:rPr>
        <w:t>6.2.1 Qur’anic and Prophetic Basis</w:t>
      </w:r>
    </w:p>
    <w:p w14:paraId="7C3BCAA4" w14:textId="77777777" w:rsidR="00600C09" w:rsidRPr="00600C09" w:rsidRDefault="00600C09" w:rsidP="00600C09">
      <w:r w:rsidRPr="00600C09">
        <w:t xml:space="preserve">The Qur’an and Sunnah establish governance principles long before modern concepts of corporate regulation. Central to these principles are </w:t>
      </w:r>
      <w:r w:rsidRPr="00600C09">
        <w:rPr>
          <w:b/>
          <w:bCs/>
        </w:rPr>
        <w:t>accountability (mas’ūliyyah)</w:t>
      </w:r>
      <w:r w:rsidRPr="00600C09">
        <w:t xml:space="preserve">, </w:t>
      </w:r>
      <w:r w:rsidRPr="00600C09">
        <w:rPr>
          <w:b/>
          <w:bCs/>
        </w:rPr>
        <w:t>trust (amānah)</w:t>
      </w:r>
      <w:r w:rsidRPr="00600C09">
        <w:t xml:space="preserve">, and </w:t>
      </w:r>
      <w:r w:rsidRPr="00600C09">
        <w:rPr>
          <w:b/>
          <w:bCs/>
        </w:rPr>
        <w:t>justice (‘adl)</w:t>
      </w:r>
      <w:r w:rsidRPr="00600C09">
        <w:t>.</w:t>
      </w:r>
    </w:p>
    <w:p w14:paraId="1CD9E11A" w14:textId="77777777" w:rsidR="00600C09" w:rsidRPr="00600C09" w:rsidRDefault="00600C09" w:rsidP="00600C09">
      <w:pPr>
        <w:numPr>
          <w:ilvl w:val="0"/>
          <w:numId w:val="201"/>
        </w:numPr>
      </w:pPr>
      <w:r w:rsidRPr="00600C09">
        <w:rPr>
          <w:b/>
          <w:bCs/>
        </w:rPr>
        <w:t>Accountability</w:t>
      </w:r>
      <w:r w:rsidRPr="00600C09">
        <w:t>:</w:t>
      </w:r>
    </w:p>
    <w:p w14:paraId="6D9D6F18" w14:textId="77777777" w:rsidR="00600C09" w:rsidRPr="00600C09" w:rsidRDefault="00600C09" w:rsidP="00600C09">
      <w:r w:rsidRPr="00600C09">
        <w:t>“And stop them; indeed, they are to be questioned.” (Qur’an 37:24)</w:t>
      </w:r>
      <w:r w:rsidRPr="00600C09">
        <w:br/>
        <w:t>This verse underscores that individuals and institutions will be held accountable for their actions, a principle directly applicable to financial stewardship.</w:t>
      </w:r>
    </w:p>
    <w:p w14:paraId="4BBBE4F4" w14:textId="77777777" w:rsidR="00600C09" w:rsidRPr="00600C09" w:rsidRDefault="00600C09" w:rsidP="00600C09">
      <w:pPr>
        <w:numPr>
          <w:ilvl w:val="0"/>
          <w:numId w:val="201"/>
        </w:numPr>
      </w:pPr>
      <w:r w:rsidRPr="00600C09">
        <w:rPr>
          <w:b/>
          <w:bCs/>
        </w:rPr>
        <w:t>Trust</w:t>
      </w:r>
      <w:r w:rsidRPr="00600C09">
        <w:t>:</w:t>
      </w:r>
    </w:p>
    <w:p w14:paraId="024B3A96" w14:textId="77777777" w:rsidR="00600C09" w:rsidRPr="00600C09" w:rsidRDefault="00600C09" w:rsidP="00600C09">
      <w:r w:rsidRPr="00600C09">
        <w:lastRenderedPageBreak/>
        <w:t>“Indeed, Allah commands you to render trusts to whom they are due and when you judge between people to judge with justice.” (Qur’an 4:58)</w:t>
      </w:r>
      <w:r w:rsidRPr="00600C09">
        <w:br/>
        <w:t>Trust (</w:t>
      </w:r>
      <w:r w:rsidRPr="00600C09">
        <w:rPr>
          <w:i/>
          <w:iCs/>
        </w:rPr>
        <w:t>amānah</w:t>
      </w:r>
      <w:r w:rsidRPr="00600C09">
        <w:t>) is not optional but a divine command, requiring financial actors to uphold fiduciary duties.</w:t>
      </w:r>
    </w:p>
    <w:p w14:paraId="1B134D15" w14:textId="77777777" w:rsidR="00600C09" w:rsidRPr="00600C09" w:rsidRDefault="00600C09" w:rsidP="00600C09">
      <w:pPr>
        <w:numPr>
          <w:ilvl w:val="0"/>
          <w:numId w:val="201"/>
        </w:numPr>
      </w:pPr>
      <w:r w:rsidRPr="00600C09">
        <w:rPr>
          <w:b/>
          <w:bCs/>
        </w:rPr>
        <w:t>Justice</w:t>
      </w:r>
      <w:r w:rsidRPr="00600C09">
        <w:t>:</w:t>
      </w:r>
    </w:p>
    <w:p w14:paraId="4E80E823" w14:textId="77777777" w:rsidR="00600C09" w:rsidRPr="00600C09" w:rsidRDefault="00600C09" w:rsidP="00600C09">
      <w:r w:rsidRPr="00600C09">
        <w:t>“And establish weight in justice and do not make deficient the balance.” (Qur’an 55:9)</w:t>
      </w:r>
      <w:r w:rsidRPr="00600C09">
        <w:br/>
        <w:t>Financial governance must ensure fairness, preventing exploitation of weaker parties.</w:t>
      </w:r>
    </w:p>
    <w:p w14:paraId="42565876" w14:textId="77777777" w:rsidR="00600C09" w:rsidRPr="00600C09" w:rsidRDefault="00600C09" w:rsidP="00600C09">
      <w:r w:rsidRPr="00600C09">
        <w:t>The Prophet Muhammad (peace be upon him) reinforced these principles:</w:t>
      </w:r>
    </w:p>
    <w:p w14:paraId="058C873B" w14:textId="77777777" w:rsidR="00600C09" w:rsidRPr="00600C09" w:rsidRDefault="00600C09" w:rsidP="00600C09">
      <w:pPr>
        <w:numPr>
          <w:ilvl w:val="0"/>
          <w:numId w:val="202"/>
        </w:numPr>
      </w:pPr>
      <w:r w:rsidRPr="00600C09">
        <w:rPr>
          <w:i/>
          <w:iCs/>
        </w:rPr>
        <w:t>“The leader is a shepherd and each shepherd is responsible for his flock.”</w:t>
      </w:r>
      <w:r w:rsidRPr="00600C09">
        <w:t xml:space="preserve"> (Sahih al-Bukhari, Hadith no. 893)</w:t>
      </w:r>
    </w:p>
    <w:p w14:paraId="7B2C862C" w14:textId="77777777" w:rsidR="00600C09" w:rsidRPr="00600C09" w:rsidRDefault="00600C09" w:rsidP="00600C09">
      <w:pPr>
        <w:numPr>
          <w:ilvl w:val="0"/>
          <w:numId w:val="202"/>
        </w:numPr>
      </w:pPr>
      <w:r w:rsidRPr="00600C09">
        <w:rPr>
          <w:i/>
          <w:iCs/>
        </w:rPr>
        <w:t>“There should be neither harm nor reciprocating harm.”</w:t>
      </w:r>
      <w:r w:rsidRPr="00600C09">
        <w:t xml:space="preserve"> (Sunan Ibn Majah, Hadith no. 2340)</w:t>
      </w:r>
    </w:p>
    <w:p w14:paraId="76243879" w14:textId="77777777" w:rsidR="00600C09" w:rsidRPr="00600C09" w:rsidRDefault="00600C09" w:rsidP="00600C09">
      <w:r w:rsidRPr="00600C09">
        <w:t>These teachings require leaders, directors, and Shariah scholars to act as custodians of stakeholder interests, ensuring that financial contracts do not cause harm.</w:t>
      </w:r>
    </w:p>
    <w:p w14:paraId="669768C6" w14:textId="7D743627" w:rsidR="00600C09" w:rsidRPr="00600C09" w:rsidRDefault="00600C09" w:rsidP="00600C09"/>
    <w:p w14:paraId="599B66A5" w14:textId="77777777" w:rsidR="00600C09" w:rsidRPr="00600C09" w:rsidRDefault="00600C09" w:rsidP="00600C09">
      <w:pPr>
        <w:rPr>
          <w:b/>
          <w:bCs/>
        </w:rPr>
      </w:pPr>
      <w:r w:rsidRPr="00600C09">
        <w:rPr>
          <w:b/>
          <w:bCs/>
        </w:rPr>
        <w:t>6.2.2 Fiqh al-Mu</w:t>
      </w:r>
      <w:r w:rsidRPr="00600C09">
        <w:rPr>
          <w:rFonts w:ascii="Arial" w:hAnsi="Arial" w:cs="Arial"/>
          <w:b/>
          <w:bCs/>
        </w:rPr>
        <w:t>ʿ</w:t>
      </w:r>
      <w:r w:rsidRPr="00600C09">
        <w:rPr>
          <w:rFonts w:ascii="Aptos" w:hAnsi="Aptos" w:cs="Aptos"/>
          <w:b/>
          <w:bCs/>
        </w:rPr>
        <w:t>ā</w:t>
      </w:r>
      <w:r w:rsidRPr="00600C09">
        <w:rPr>
          <w:b/>
          <w:bCs/>
        </w:rPr>
        <w:t>mal</w:t>
      </w:r>
      <w:r w:rsidRPr="00600C09">
        <w:rPr>
          <w:rFonts w:ascii="Aptos" w:hAnsi="Aptos" w:cs="Aptos"/>
          <w:b/>
          <w:bCs/>
        </w:rPr>
        <w:t>ā</w:t>
      </w:r>
      <w:r w:rsidRPr="00600C09">
        <w:rPr>
          <w:b/>
          <w:bCs/>
        </w:rPr>
        <w:t>t and Governance</w:t>
      </w:r>
    </w:p>
    <w:p w14:paraId="39BDA54E" w14:textId="77777777" w:rsidR="00600C09" w:rsidRPr="00600C09" w:rsidRDefault="00600C09" w:rsidP="00600C09">
      <w:r w:rsidRPr="00600C09">
        <w:t>Islamic commercial jurisprudence (</w:t>
      </w:r>
      <w:r w:rsidRPr="00600C09">
        <w:rPr>
          <w:i/>
          <w:iCs/>
        </w:rPr>
        <w:t>fiqh al-mu</w:t>
      </w:r>
      <w:r w:rsidRPr="00600C09">
        <w:rPr>
          <w:rFonts w:ascii="Arial" w:hAnsi="Arial" w:cs="Arial"/>
          <w:i/>
          <w:iCs/>
        </w:rPr>
        <w:t>ʿ</w:t>
      </w:r>
      <w:r w:rsidRPr="00600C09">
        <w:rPr>
          <w:rFonts w:ascii="Aptos" w:hAnsi="Aptos" w:cs="Aptos"/>
          <w:i/>
          <w:iCs/>
        </w:rPr>
        <w:t>ā</w:t>
      </w:r>
      <w:r w:rsidRPr="00600C09">
        <w:rPr>
          <w:i/>
          <w:iCs/>
        </w:rPr>
        <w:t>mal</w:t>
      </w:r>
      <w:r w:rsidRPr="00600C09">
        <w:rPr>
          <w:rFonts w:ascii="Aptos" w:hAnsi="Aptos" w:cs="Aptos"/>
          <w:i/>
          <w:iCs/>
        </w:rPr>
        <w:t>ā</w:t>
      </w:r>
      <w:r w:rsidRPr="00600C09">
        <w:rPr>
          <w:i/>
          <w:iCs/>
        </w:rPr>
        <w:t>t</w:t>
      </w:r>
      <w:r w:rsidRPr="00600C09">
        <w:t>) provides the legal foundation for Shariah governance in finance. Its guiding principles include:</w:t>
      </w:r>
    </w:p>
    <w:p w14:paraId="3B7B6140" w14:textId="77777777" w:rsidR="00600C09" w:rsidRPr="00600C09" w:rsidRDefault="00600C09" w:rsidP="00600C09">
      <w:pPr>
        <w:numPr>
          <w:ilvl w:val="0"/>
          <w:numId w:val="203"/>
        </w:numPr>
      </w:pPr>
      <w:r w:rsidRPr="00600C09">
        <w:rPr>
          <w:b/>
          <w:bCs/>
        </w:rPr>
        <w:t>Freedom of contract (ibā</w:t>
      </w:r>
      <w:r w:rsidRPr="00600C09">
        <w:rPr>
          <w:rFonts w:ascii="Calibri" w:hAnsi="Calibri" w:cs="Calibri"/>
          <w:b/>
          <w:bCs/>
        </w:rPr>
        <w:t>ḥ</w:t>
      </w:r>
      <w:r w:rsidRPr="00600C09">
        <w:rPr>
          <w:b/>
          <w:bCs/>
        </w:rPr>
        <w:t>ah)</w:t>
      </w:r>
      <w:r w:rsidRPr="00600C09">
        <w:t xml:space="preserve"> – contracts are permissible unless explicitly prohibited.</w:t>
      </w:r>
    </w:p>
    <w:p w14:paraId="074EABC5" w14:textId="77777777" w:rsidR="00600C09" w:rsidRPr="00600C09" w:rsidRDefault="00600C09" w:rsidP="00600C09">
      <w:pPr>
        <w:numPr>
          <w:ilvl w:val="0"/>
          <w:numId w:val="203"/>
        </w:numPr>
      </w:pPr>
      <w:r w:rsidRPr="00600C09">
        <w:rPr>
          <w:b/>
          <w:bCs/>
        </w:rPr>
        <w:t>Prohibition of ribā, gharar, maysir</w:t>
      </w:r>
      <w:r w:rsidRPr="00600C09">
        <w:t xml:space="preserve"> – the three cardinal prohibitions ensuring contracts are fair and transparent.</w:t>
      </w:r>
    </w:p>
    <w:p w14:paraId="70205E09" w14:textId="77777777" w:rsidR="00600C09" w:rsidRPr="00600C09" w:rsidRDefault="00600C09" w:rsidP="00600C09">
      <w:pPr>
        <w:numPr>
          <w:ilvl w:val="0"/>
          <w:numId w:val="203"/>
        </w:numPr>
      </w:pPr>
      <w:r w:rsidRPr="00600C09">
        <w:rPr>
          <w:b/>
          <w:bCs/>
        </w:rPr>
        <w:t>Principle of consent (tarā</w:t>
      </w:r>
      <w:r w:rsidRPr="00600C09">
        <w:rPr>
          <w:rFonts w:ascii="Calibri" w:hAnsi="Calibri" w:cs="Calibri"/>
          <w:b/>
          <w:bCs/>
        </w:rPr>
        <w:t>ḍ</w:t>
      </w:r>
      <w:r w:rsidRPr="00600C09">
        <w:rPr>
          <w:b/>
          <w:bCs/>
        </w:rPr>
        <w:t>ī)</w:t>
      </w:r>
      <w:r w:rsidRPr="00600C09">
        <w:t xml:space="preserve"> – both parties must consent without coercion.</w:t>
      </w:r>
    </w:p>
    <w:p w14:paraId="24C46553" w14:textId="77777777" w:rsidR="00600C09" w:rsidRPr="00600C09" w:rsidRDefault="00600C09" w:rsidP="00600C09">
      <w:pPr>
        <w:numPr>
          <w:ilvl w:val="0"/>
          <w:numId w:val="203"/>
        </w:numPr>
      </w:pPr>
      <w:r w:rsidRPr="00600C09">
        <w:rPr>
          <w:b/>
          <w:bCs/>
        </w:rPr>
        <w:t>Principle of transparency (bayān)</w:t>
      </w:r>
      <w:r w:rsidRPr="00600C09">
        <w:t xml:space="preserve"> – disclosure of terms to prevent exploitation.</w:t>
      </w:r>
    </w:p>
    <w:p w14:paraId="1D6FE3EA" w14:textId="77777777" w:rsidR="00600C09" w:rsidRPr="00600C09" w:rsidRDefault="00600C09" w:rsidP="00600C09">
      <w:pPr>
        <w:numPr>
          <w:ilvl w:val="0"/>
          <w:numId w:val="203"/>
        </w:numPr>
      </w:pPr>
      <w:r w:rsidRPr="00600C09">
        <w:rPr>
          <w:b/>
          <w:bCs/>
        </w:rPr>
        <w:t>Principle of risk and ownership (al-ghurm bil-ghunm)</w:t>
      </w:r>
      <w:r w:rsidRPr="00600C09">
        <w:t xml:space="preserve"> – entitlement to profit requires bearing corresponding risk.</w:t>
      </w:r>
    </w:p>
    <w:p w14:paraId="68875BC7" w14:textId="77777777" w:rsidR="00600C09" w:rsidRPr="00600C09" w:rsidRDefault="00600C09" w:rsidP="00600C09">
      <w:r w:rsidRPr="00600C09">
        <w:t xml:space="preserve">These principles are not only legal maxims but governance benchmarks. For example, the prohibition of gharar implies a duty to disclose material risks in financial products. Similarly, </w:t>
      </w:r>
      <w:r w:rsidRPr="00600C09">
        <w:rPr>
          <w:i/>
          <w:iCs/>
        </w:rPr>
        <w:t>al-ghurm bil-ghunm</w:t>
      </w:r>
      <w:r w:rsidRPr="00600C09">
        <w:t xml:space="preserve"> implies that financiers must share risk rather than transfer it unfairly.</w:t>
      </w:r>
    </w:p>
    <w:p w14:paraId="2BD8BDFB" w14:textId="41107B99" w:rsidR="00600C09" w:rsidRPr="00600C09" w:rsidRDefault="00600C09" w:rsidP="00600C09"/>
    <w:p w14:paraId="34FD141C" w14:textId="77777777" w:rsidR="00600C09" w:rsidRPr="00600C09" w:rsidRDefault="00600C09" w:rsidP="00600C09">
      <w:pPr>
        <w:rPr>
          <w:b/>
          <w:bCs/>
        </w:rPr>
      </w:pPr>
      <w:r w:rsidRPr="00600C09">
        <w:rPr>
          <w:b/>
          <w:bCs/>
        </w:rPr>
        <w:t>6.2.3 Maqāṣid al-Shariah in Governance</w:t>
      </w:r>
    </w:p>
    <w:p w14:paraId="6BF94C69" w14:textId="77777777" w:rsidR="00600C09" w:rsidRPr="00600C09" w:rsidRDefault="00600C09" w:rsidP="00600C09">
      <w:r w:rsidRPr="00600C09">
        <w:lastRenderedPageBreak/>
        <w:t>The objectives of Shariah (</w:t>
      </w:r>
      <w:r w:rsidRPr="00600C09">
        <w:rPr>
          <w:i/>
          <w:iCs/>
        </w:rPr>
        <w:t>maqāṣid al-Shariah</w:t>
      </w:r>
      <w:r w:rsidRPr="00600C09">
        <w:t>) provide a higher-order framework for governance. Al-Ghazali (d. 1111) and al-Shatibi (d. 1388) identified five essentials (</w:t>
      </w:r>
      <w:r w:rsidRPr="00600C09">
        <w:rPr>
          <w:i/>
          <w:iCs/>
        </w:rPr>
        <w:t>al-</w:t>
      </w:r>
      <w:r w:rsidRPr="00600C09">
        <w:rPr>
          <w:rFonts w:ascii="Calibri" w:hAnsi="Calibri" w:cs="Calibri"/>
          <w:i/>
          <w:iCs/>
        </w:rPr>
        <w:t>ḍ</w:t>
      </w:r>
      <w:r w:rsidRPr="00600C09">
        <w:rPr>
          <w:i/>
          <w:iCs/>
        </w:rPr>
        <w:t>arūriyyāt al-khams</w:t>
      </w:r>
      <w:r w:rsidRPr="00600C09">
        <w:t>): protection of religion, life, intellect, lineage, and wealth.</w:t>
      </w:r>
    </w:p>
    <w:p w14:paraId="55F55AF8" w14:textId="77777777" w:rsidR="00600C09" w:rsidRPr="00600C09" w:rsidRDefault="00600C09" w:rsidP="00600C09">
      <w:r w:rsidRPr="00600C09">
        <w:t xml:space="preserve">In financial governance, the most relevant is </w:t>
      </w:r>
      <w:r w:rsidRPr="00600C09">
        <w:rPr>
          <w:rFonts w:ascii="Calibri" w:hAnsi="Calibri" w:cs="Calibri"/>
          <w:b/>
          <w:bCs/>
        </w:rPr>
        <w:t>ḥ</w:t>
      </w:r>
      <w:r w:rsidRPr="00600C09">
        <w:rPr>
          <w:b/>
          <w:bCs/>
        </w:rPr>
        <w:t>if</w:t>
      </w:r>
      <w:r w:rsidRPr="00600C09">
        <w:rPr>
          <w:rFonts w:ascii="Calibri" w:hAnsi="Calibri" w:cs="Calibri"/>
          <w:b/>
          <w:bCs/>
        </w:rPr>
        <w:t>ẓ</w:t>
      </w:r>
      <w:r w:rsidRPr="00600C09">
        <w:rPr>
          <w:b/>
          <w:bCs/>
        </w:rPr>
        <w:t xml:space="preserve"> al-māl (protection of wealth)</w:t>
      </w:r>
      <w:r w:rsidRPr="00600C09">
        <w:t>, which entails:</w:t>
      </w:r>
    </w:p>
    <w:p w14:paraId="40AFBBA1" w14:textId="77777777" w:rsidR="00600C09" w:rsidRPr="00600C09" w:rsidRDefault="00600C09" w:rsidP="00600C09">
      <w:pPr>
        <w:numPr>
          <w:ilvl w:val="0"/>
          <w:numId w:val="204"/>
        </w:numPr>
      </w:pPr>
      <w:r w:rsidRPr="00600C09">
        <w:t>Safeguarding assets from misappropriation.</w:t>
      </w:r>
    </w:p>
    <w:p w14:paraId="30BDD9AB" w14:textId="77777777" w:rsidR="00600C09" w:rsidRPr="00600C09" w:rsidRDefault="00600C09" w:rsidP="00600C09">
      <w:pPr>
        <w:numPr>
          <w:ilvl w:val="0"/>
          <w:numId w:val="204"/>
        </w:numPr>
      </w:pPr>
      <w:r w:rsidRPr="00600C09">
        <w:t>Ensuring fairness in financial transactions.</w:t>
      </w:r>
    </w:p>
    <w:p w14:paraId="7E544837" w14:textId="77777777" w:rsidR="00600C09" w:rsidRPr="00600C09" w:rsidRDefault="00600C09" w:rsidP="00600C09">
      <w:pPr>
        <w:numPr>
          <w:ilvl w:val="0"/>
          <w:numId w:val="204"/>
        </w:numPr>
      </w:pPr>
      <w:r w:rsidRPr="00600C09">
        <w:t>Preventing harm through exploitative contracts.</w:t>
      </w:r>
    </w:p>
    <w:p w14:paraId="026350AF" w14:textId="77777777" w:rsidR="00600C09" w:rsidRPr="00600C09" w:rsidRDefault="00600C09" w:rsidP="00600C09">
      <w:r w:rsidRPr="00600C09">
        <w:t xml:space="preserve">Modern scholars extend maqāṣid to include </w:t>
      </w:r>
      <w:r w:rsidRPr="00600C09">
        <w:rPr>
          <w:b/>
          <w:bCs/>
        </w:rPr>
        <w:t>fair distribution of wealth</w:t>
      </w:r>
      <w:r w:rsidRPr="00600C09">
        <w:t xml:space="preserve">, </w:t>
      </w:r>
      <w:r w:rsidRPr="00600C09">
        <w:rPr>
          <w:b/>
          <w:bCs/>
        </w:rPr>
        <w:t>promotion of social justice</w:t>
      </w:r>
      <w:r w:rsidRPr="00600C09">
        <w:t xml:space="preserve">, and </w:t>
      </w:r>
      <w:r w:rsidRPr="00600C09">
        <w:rPr>
          <w:b/>
          <w:bCs/>
        </w:rPr>
        <w:t>preservation of public trust</w:t>
      </w:r>
      <w:r w:rsidRPr="00600C09">
        <w:t xml:space="preserve"> (Dusuki &amp; Bouheraoua, 2011).</w:t>
      </w:r>
    </w:p>
    <w:p w14:paraId="371AEFDD" w14:textId="77777777" w:rsidR="00600C09" w:rsidRPr="00600C09" w:rsidRDefault="00600C09" w:rsidP="00600C09">
      <w:r w:rsidRPr="00600C09">
        <w:t>Applying maqāṣid in governance means:</w:t>
      </w:r>
    </w:p>
    <w:p w14:paraId="1F70C429" w14:textId="77777777" w:rsidR="00600C09" w:rsidRPr="00600C09" w:rsidRDefault="00600C09" w:rsidP="00600C09">
      <w:pPr>
        <w:numPr>
          <w:ilvl w:val="0"/>
          <w:numId w:val="205"/>
        </w:numPr>
      </w:pPr>
      <w:r w:rsidRPr="00600C09">
        <w:t>Designing contracts that promote economic justice, not merely legal formality.</w:t>
      </w:r>
    </w:p>
    <w:p w14:paraId="44221F54" w14:textId="77777777" w:rsidR="00600C09" w:rsidRPr="00600C09" w:rsidRDefault="00600C09" w:rsidP="00600C09">
      <w:pPr>
        <w:numPr>
          <w:ilvl w:val="0"/>
          <w:numId w:val="205"/>
        </w:numPr>
      </w:pPr>
      <w:r w:rsidRPr="00600C09">
        <w:t>Requiring Shariah boards to assess both compliance and ethical impact.</w:t>
      </w:r>
    </w:p>
    <w:p w14:paraId="6C18A976" w14:textId="77777777" w:rsidR="00600C09" w:rsidRPr="00600C09" w:rsidRDefault="00600C09" w:rsidP="00600C09">
      <w:pPr>
        <w:numPr>
          <w:ilvl w:val="0"/>
          <w:numId w:val="205"/>
        </w:numPr>
      </w:pPr>
      <w:r w:rsidRPr="00600C09">
        <w:t>Encouraging regulators to balance stability with inclusivity.</w:t>
      </w:r>
    </w:p>
    <w:p w14:paraId="092A0CCE" w14:textId="207F2BE9" w:rsidR="00600C09" w:rsidRPr="00600C09" w:rsidRDefault="00600C09" w:rsidP="00600C09"/>
    <w:p w14:paraId="2D39F4E8" w14:textId="77777777" w:rsidR="00600C09" w:rsidRPr="00600C09" w:rsidRDefault="00600C09" w:rsidP="00600C09">
      <w:pPr>
        <w:rPr>
          <w:b/>
          <w:bCs/>
        </w:rPr>
      </w:pPr>
      <w:r w:rsidRPr="00600C09">
        <w:rPr>
          <w:b/>
          <w:bCs/>
        </w:rPr>
        <w:t>6.2.4 Evolution of Shariah Governance Frameworks</w:t>
      </w:r>
    </w:p>
    <w:p w14:paraId="2375395B" w14:textId="77777777" w:rsidR="00600C09" w:rsidRPr="00600C09" w:rsidRDefault="00600C09" w:rsidP="00600C09">
      <w:r w:rsidRPr="00600C09">
        <w:t>Historically, governance in Islamic finance was informal, relying on scholars embedded within trading communities. With the rise of Islamic banking in the 1970s, institutionalized Shariah boards emerged.</w:t>
      </w:r>
    </w:p>
    <w:p w14:paraId="63262010" w14:textId="77777777" w:rsidR="00600C09" w:rsidRPr="00600C09" w:rsidRDefault="00600C09" w:rsidP="00600C09">
      <w:pPr>
        <w:numPr>
          <w:ilvl w:val="0"/>
          <w:numId w:val="206"/>
        </w:numPr>
      </w:pPr>
      <w:r w:rsidRPr="00600C09">
        <w:rPr>
          <w:b/>
          <w:bCs/>
        </w:rPr>
        <w:t>First phase (1970s–1990s)</w:t>
      </w:r>
      <w:r w:rsidRPr="00600C09">
        <w:t>: Individual banks appointed their own Shariah scholars, leading to inconsistent rulings.</w:t>
      </w:r>
    </w:p>
    <w:p w14:paraId="48A8F502" w14:textId="77777777" w:rsidR="00600C09" w:rsidRPr="00600C09" w:rsidRDefault="00600C09" w:rsidP="00600C09">
      <w:pPr>
        <w:numPr>
          <w:ilvl w:val="0"/>
          <w:numId w:val="206"/>
        </w:numPr>
      </w:pPr>
      <w:r w:rsidRPr="00600C09">
        <w:rPr>
          <w:b/>
          <w:bCs/>
        </w:rPr>
        <w:t>Second phase (1990s–2010s)</w:t>
      </w:r>
      <w:r w:rsidRPr="00600C09">
        <w:t>: Countries like Malaysia centralized governance by establishing statutory Shariah Advisory Councils.</w:t>
      </w:r>
    </w:p>
    <w:p w14:paraId="14CC167C" w14:textId="77777777" w:rsidR="00600C09" w:rsidRPr="00600C09" w:rsidRDefault="00600C09" w:rsidP="00600C09">
      <w:pPr>
        <w:numPr>
          <w:ilvl w:val="0"/>
          <w:numId w:val="206"/>
        </w:numPr>
      </w:pPr>
      <w:r w:rsidRPr="00600C09">
        <w:rPr>
          <w:b/>
          <w:bCs/>
        </w:rPr>
        <w:t>Third phase (2010s–present)</w:t>
      </w:r>
      <w:r w:rsidRPr="00600C09">
        <w:t>: International harmonization efforts by AAOIFI and IFSB, combined with increasing regulatory oversight and calls for Shariah audit.</w:t>
      </w:r>
    </w:p>
    <w:p w14:paraId="748754D5" w14:textId="77777777" w:rsidR="00600C09" w:rsidRPr="00600C09" w:rsidRDefault="00600C09" w:rsidP="00600C09">
      <w:r w:rsidRPr="00600C09">
        <w:t>Malaysia’s approach — combining central SAC rulings with mandatory internal Shariah Committees — is often cited as best practice, ensuring both consistency and institutional independence.</w:t>
      </w:r>
    </w:p>
    <w:p w14:paraId="06CE5BA7" w14:textId="7388CEB3" w:rsidR="00600C09" w:rsidRPr="00600C09" w:rsidRDefault="00600C09" w:rsidP="00600C09"/>
    <w:p w14:paraId="359EDB47" w14:textId="77777777" w:rsidR="00600C09" w:rsidRPr="00600C09" w:rsidRDefault="00600C09" w:rsidP="00600C09">
      <w:pPr>
        <w:rPr>
          <w:b/>
          <w:bCs/>
        </w:rPr>
      </w:pPr>
      <w:r w:rsidRPr="00600C09">
        <w:rPr>
          <w:b/>
          <w:bCs/>
        </w:rPr>
        <w:t>6.2.5 Governance and Security Instruments</w:t>
      </w:r>
    </w:p>
    <w:p w14:paraId="2A4F02D1" w14:textId="77777777" w:rsidR="00600C09" w:rsidRPr="00600C09" w:rsidRDefault="00600C09" w:rsidP="00600C09">
      <w:r w:rsidRPr="00600C09">
        <w:t>Shariah governance is particularly important for security instruments because:</w:t>
      </w:r>
    </w:p>
    <w:p w14:paraId="342BE577" w14:textId="77777777" w:rsidR="00600C09" w:rsidRPr="00600C09" w:rsidRDefault="00600C09" w:rsidP="00600C09">
      <w:pPr>
        <w:numPr>
          <w:ilvl w:val="0"/>
          <w:numId w:val="207"/>
        </w:numPr>
      </w:pPr>
      <w:r w:rsidRPr="00600C09">
        <w:rPr>
          <w:b/>
          <w:bCs/>
        </w:rPr>
        <w:lastRenderedPageBreak/>
        <w:t>Ambiguity risk</w:t>
      </w:r>
      <w:r w:rsidRPr="00600C09">
        <w:t xml:space="preserve">: Instruments like rahn and </w:t>
      </w:r>
      <w:r w:rsidRPr="00600C09">
        <w:rPr>
          <w:rFonts w:ascii="Calibri" w:hAnsi="Calibri" w:cs="Calibri"/>
        </w:rPr>
        <w:t>ḥ</w:t>
      </w:r>
      <w:r w:rsidRPr="00600C09">
        <w:t>awālah must be carefully documented to avoid gharar.</w:t>
      </w:r>
    </w:p>
    <w:p w14:paraId="130EE265" w14:textId="77777777" w:rsidR="00600C09" w:rsidRPr="00600C09" w:rsidRDefault="00600C09" w:rsidP="00600C09">
      <w:pPr>
        <w:numPr>
          <w:ilvl w:val="0"/>
          <w:numId w:val="207"/>
        </w:numPr>
      </w:pPr>
      <w:r w:rsidRPr="00600C09">
        <w:rPr>
          <w:b/>
          <w:bCs/>
        </w:rPr>
        <w:t>Fee restrictions</w:t>
      </w:r>
      <w:r w:rsidRPr="00600C09">
        <w:t xml:space="preserve">: Governance ensures kafālah and </w:t>
      </w:r>
      <w:r w:rsidRPr="00600C09">
        <w:rPr>
          <w:rFonts w:ascii="Calibri" w:hAnsi="Calibri" w:cs="Calibri"/>
        </w:rPr>
        <w:t>ḍ</w:t>
      </w:r>
      <w:r w:rsidRPr="00600C09">
        <w:t>amān remain gratuitous.</w:t>
      </w:r>
    </w:p>
    <w:p w14:paraId="3D100034" w14:textId="77777777" w:rsidR="00600C09" w:rsidRPr="00600C09" w:rsidRDefault="00600C09" w:rsidP="00600C09">
      <w:pPr>
        <w:numPr>
          <w:ilvl w:val="0"/>
          <w:numId w:val="207"/>
        </w:numPr>
      </w:pPr>
      <w:r w:rsidRPr="00600C09">
        <w:rPr>
          <w:b/>
          <w:bCs/>
        </w:rPr>
        <w:t>Cross-border inconsistency</w:t>
      </w:r>
      <w:r w:rsidRPr="00600C09">
        <w:t>: Divergent fatwas risk undermining enforceability.</w:t>
      </w:r>
    </w:p>
    <w:p w14:paraId="29E4979E" w14:textId="77777777" w:rsidR="00600C09" w:rsidRPr="00600C09" w:rsidRDefault="00600C09" w:rsidP="00600C09">
      <w:pPr>
        <w:numPr>
          <w:ilvl w:val="0"/>
          <w:numId w:val="207"/>
        </w:numPr>
      </w:pPr>
      <w:r w:rsidRPr="00600C09">
        <w:rPr>
          <w:b/>
          <w:bCs/>
        </w:rPr>
        <w:t>Investor confidence</w:t>
      </w:r>
      <w:r w:rsidRPr="00600C09">
        <w:t>: Sukuk investors rely on governance to validate underlying security packages.</w:t>
      </w:r>
    </w:p>
    <w:p w14:paraId="4199623D" w14:textId="77777777" w:rsidR="00600C09" w:rsidRPr="00600C09" w:rsidRDefault="00600C09" w:rsidP="00600C09">
      <w:r w:rsidRPr="00600C09">
        <w:t>In Malaysia, the SAC has issued specific resolutions clarifying issues such as:</w:t>
      </w:r>
    </w:p>
    <w:p w14:paraId="345A8FD5" w14:textId="77777777" w:rsidR="00600C09" w:rsidRPr="00600C09" w:rsidRDefault="00600C09" w:rsidP="00600C09">
      <w:pPr>
        <w:numPr>
          <w:ilvl w:val="0"/>
          <w:numId w:val="208"/>
        </w:numPr>
      </w:pPr>
      <w:r w:rsidRPr="00600C09">
        <w:t>Constructive possession in rahn.</w:t>
      </w:r>
    </w:p>
    <w:p w14:paraId="114CB7C6" w14:textId="77777777" w:rsidR="00600C09" w:rsidRPr="00600C09" w:rsidRDefault="00600C09" w:rsidP="00600C09">
      <w:pPr>
        <w:numPr>
          <w:ilvl w:val="0"/>
          <w:numId w:val="208"/>
        </w:numPr>
      </w:pPr>
      <w:r w:rsidRPr="00600C09">
        <w:t xml:space="preserve">Permissibility of assigning concession payments under </w:t>
      </w:r>
      <w:r w:rsidRPr="00600C09">
        <w:rPr>
          <w:rFonts w:ascii="Calibri" w:hAnsi="Calibri" w:cs="Calibri"/>
        </w:rPr>
        <w:t>ḥ</w:t>
      </w:r>
      <w:r w:rsidRPr="00600C09">
        <w:t>awālah.</w:t>
      </w:r>
    </w:p>
    <w:p w14:paraId="4732CECB" w14:textId="77777777" w:rsidR="00600C09" w:rsidRPr="00600C09" w:rsidRDefault="00600C09" w:rsidP="00600C09">
      <w:pPr>
        <w:numPr>
          <w:ilvl w:val="0"/>
          <w:numId w:val="208"/>
        </w:numPr>
      </w:pPr>
      <w:r w:rsidRPr="00600C09">
        <w:t>Limits on guarantee fees under kafālah.</w:t>
      </w:r>
    </w:p>
    <w:p w14:paraId="03340D81" w14:textId="77777777" w:rsidR="00600C09" w:rsidRPr="00600C09" w:rsidRDefault="00600C09" w:rsidP="00600C09">
      <w:r w:rsidRPr="00600C09">
        <w:t>These rulings illustrate governance in action: translating fiqh principles into binding regulatory standards.</w:t>
      </w:r>
    </w:p>
    <w:p w14:paraId="6F7228A2" w14:textId="3BF69DAC" w:rsidR="00600C09" w:rsidRPr="00600C09" w:rsidRDefault="00600C09" w:rsidP="00600C09"/>
    <w:p w14:paraId="098DC7B7" w14:textId="77777777" w:rsidR="00600C09" w:rsidRPr="00600C09" w:rsidRDefault="00600C09" w:rsidP="00600C09">
      <w:pPr>
        <w:rPr>
          <w:b/>
          <w:bCs/>
        </w:rPr>
      </w:pPr>
      <w:r w:rsidRPr="00600C09">
        <w:rPr>
          <w:b/>
          <w:bCs/>
        </w:rPr>
        <w:t>6.3 Institutional Structures in Malaysia</w:t>
      </w:r>
    </w:p>
    <w:p w14:paraId="1F336A82" w14:textId="77777777" w:rsidR="00600C09" w:rsidRPr="00600C09" w:rsidRDefault="00600C09" w:rsidP="00600C09">
      <w:r w:rsidRPr="00600C09">
        <w:t xml:space="preserve">Malaysia is widely regarded as a global leader in Shariah governance. Its dual regulatory approach—combining statutory frameworks with centralized Shariah authority—provides consistency, predictability, and enforceability. Three pillars define this framework: </w:t>
      </w:r>
      <w:r w:rsidRPr="00600C09">
        <w:rPr>
          <w:b/>
          <w:bCs/>
        </w:rPr>
        <w:t>Bank Negara Malaysia (BNM)</w:t>
      </w:r>
      <w:r w:rsidRPr="00600C09">
        <w:t xml:space="preserve">, the </w:t>
      </w:r>
      <w:r w:rsidRPr="00600C09">
        <w:rPr>
          <w:b/>
          <w:bCs/>
        </w:rPr>
        <w:t>Shariah Advisory Council (SAC)</w:t>
      </w:r>
      <w:r w:rsidRPr="00600C09">
        <w:t xml:space="preserve">, and regulatory instruments such as the </w:t>
      </w:r>
      <w:r w:rsidRPr="00600C09">
        <w:rPr>
          <w:i/>
          <w:iCs/>
        </w:rPr>
        <w:t>Shariah Governance Policy Document (SGPD, 2019)</w:t>
      </w:r>
      <w:r w:rsidRPr="00600C09">
        <w:t>.</w:t>
      </w:r>
    </w:p>
    <w:p w14:paraId="1289CB74" w14:textId="77777777" w:rsidR="00600C09" w:rsidRPr="00600C09" w:rsidRDefault="00600C09" w:rsidP="00600C09">
      <w:pPr>
        <w:rPr>
          <w:b/>
          <w:bCs/>
        </w:rPr>
      </w:pPr>
      <w:r w:rsidRPr="00600C09">
        <w:rPr>
          <w:b/>
          <w:bCs/>
        </w:rPr>
        <w:t>6.3.1 Bank Negara Malaysia (BNM)</w:t>
      </w:r>
    </w:p>
    <w:p w14:paraId="4B4EECE5" w14:textId="77777777" w:rsidR="00600C09" w:rsidRPr="00600C09" w:rsidRDefault="00600C09" w:rsidP="00600C09">
      <w:r w:rsidRPr="00600C09">
        <w:t>BNM serves as both the prudential regulator and the guardian of Shariah compliance in the Islamic banking sector. Its responsibilities include:</w:t>
      </w:r>
    </w:p>
    <w:p w14:paraId="2DE2D92C" w14:textId="77777777" w:rsidR="00600C09" w:rsidRPr="00600C09" w:rsidRDefault="00600C09" w:rsidP="00600C09">
      <w:pPr>
        <w:numPr>
          <w:ilvl w:val="0"/>
          <w:numId w:val="211"/>
        </w:numPr>
      </w:pPr>
      <w:r w:rsidRPr="00600C09">
        <w:t>Issuing policy documents that set minimum governance standards.</w:t>
      </w:r>
    </w:p>
    <w:p w14:paraId="72B22780" w14:textId="77777777" w:rsidR="00600C09" w:rsidRPr="00600C09" w:rsidRDefault="00600C09" w:rsidP="00600C09">
      <w:pPr>
        <w:numPr>
          <w:ilvl w:val="0"/>
          <w:numId w:val="211"/>
        </w:numPr>
      </w:pPr>
      <w:r w:rsidRPr="00600C09">
        <w:t>Supervising Shariah compliance through onsite inspections and reporting requirements.</w:t>
      </w:r>
    </w:p>
    <w:p w14:paraId="37A25462" w14:textId="77777777" w:rsidR="00600C09" w:rsidRPr="00600C09" w:rsidRDefault="00600C09" w:rsidP="00600C09">
      <w:pPr>
        <w:numPr>
          <w:ilvl w:val="0"/>
          <w:numId w:val="211"/>
        </w:numPr>
      </w:pPr>
      <w:r w:rsidRPr="00600C09">
        <w:t>Enforcing compliance through penalties and directives.</w:t>
      </w:r>
    </w:p>
    <w:p w14:paraId="698C093E" w14:textId="77777777" w:rsidR="00600C09" w:rsidRPr="00600C09" w:rsidRDefault="00600C09" w:rsidP="00600C09">
      <w:r w:rsidRPr="00600C09">
        <w:t>BNM ensures that Islamic financial institutions (IFIs) do not treat Shariah compliance as a formality but as an integrated part of risk management and governance.</w:t>
      </w:r>
    </w:p>
    <w:p w14:paraId="3C4B80F7" w14:textId="77777777" w:rsidR="00600C09" w:rsidRPr="00600C09" w:rsidRDefault="00600C09" w:rsidP="00600C09">
      <w:pPr>
        <w:rPr>
          <w:b/>
          <w:bCs/>
        </w:rPr>
      </w:pPr>
      <w:r w:rsidRPr="00600C09">
        <w:rPr>
          <w:b/>
          <w:bCs/>
        </w:rPr>
        <w:t>6.3.2 Shariah Advisory Council (SAC)</w:t>
      </w:r>
    </w:p>
    <w:p w14:paraId="379F5DB8" w14:textId="77777777" w:rsidR="00600C09" w:rsidRPr="00600C09" w:rsidRDefault="00600C09" w:rsidP="00600C09">
      <w:r w:rsidRPr="00600C09">
        <w:t xml:space="preserve">The SAC of BNM, established under Section 51 of the </w:t>
      </w:r>
      <w:r w:rsidRPr="00600C09">
        <w:rPr>
          <w:i/>
          <w:iCs/>
        </w:rPr>
        <w:t>Central Bank of Malaysia Act 2009</w:t>
      </w:r>
      <w:r w:rsidRPr="00600C09">
        <w:t>, holds ultimate authority on Shariah matters in Islamic finance. Its rulings are legally binding on courts, arbitrators, and regulators.</w:t>
      </w:r>
    </w:p>
    <w:p w14:paraId="77DB3B73" w14:textId="77777777" w:rsidR="00600C09" w:rsidRPr="00600C09" w:rsidRDefault="00600C09" w:rsidP="00600C09">
      <w:r w:rsidRPr="00600C09">
        <w:lastRenderedPageBreak/>
        <w:t>This statutory recognition provides Malaysia with a unique advantage:</w:t>
      </w:r>
    </w:p>
    <w:p w14:paraId="3084A24A" w14:textId="77777777" w:rsidR="00600C09" w:rsidRPr="00600C09" w:rsidRDefault="00600C09" w:rsidP="00600C09">
      <w:pPr>
        <w:numPr>
          <w:ilvl w:val="0"/>
          <w:numId w:val="212"/>
        </w:numPr>
      </w:pPr>
      <w:r w:rsidRPr="00600C09">
        <w:rPr>
          <w:b/>
          <w:bCs/>
        </w:rPr>
        <w:t>Consistency</w:t>
      </w:r>
      <w:r w:rsidRPr="00600C09">
        <w:t>: All IFIs operate under the same set of rulings.</w:t>
      </w:r>
    </w:p>
    <w:p w14:paraId="6B52BFEE" w14:textId="77777777" w:rsidR="00600C09" w:rsidRPr="00600C09" w:rsidRDefault="00600C09" w:rsidP="00600C09">
      <w:pPr>
        <w:numPr>
          <w:ilvl w:val="0"/>
          <w:numId w:val="212"/>
        </w:numPr>
      </w:pPr>
      <w:r w:rsidRPr="00600C09">
        <w:rPr>
          <w:b/>
          <w:bCs/>
        </w:rPr>
        <w:t>Certainty</w:t>
      </w:r>
      <w:r w:rsidRPr="00600C09">
        <w:t>: Courts defer to SAC opinions, avoiding contradictory judgments.</w:t>
      </w:r>
    </w:p>
    <w:p w14:paraId="6099FF80" w14:textId="77777777" w:rsidR="00600C09" w:rsidRPr="00600C09" w:rsidRDefault="00600C09" w:rsidP="00600C09">
      <w:pPr>
        <w:numPr>
          <w:ilvl w:val="0"/>
          <w:numId w:val="212"/>
        </w:numPr>
      </w:pPr>
      <w:r w:rsidRPr="00600C09">
        <w:rPr>
          <w:b/>
          <w:bCs/>
        </w:rPr>
        <w:t>Credibility</w:t>
      </w:r>
      <w:r w:rsidRPr="00600C09">
        <w:t>: Investors, including non-Muslims, gain confidence that Shariah rulings are authoritative.</w:t>
      </w:r>
    </w:p>
    <w:p w14:paraId="0EEBBD07" w14:textId="77777777" w:rsidR="00600C09" w:rsidRPr="00600C09" w:rsidRDefault="00600C09" w:rsidP="00600C09">
      <w:r w:rsidRPr="00600C09">
        <w:t>Examples of SAC rulings relevant to security instruments include:</w:t>
      </w:r>
    </w:p>
    <w:p w14:paraId="04BF5BC3" w14:textId="77777777" w:rsidR="00600C09" w:rsidRPr="00600C09" w:rsidRDefault="00600C09" w:rsidP="00600C09">
      <w:pPr>
        <w:numPr>
          <w:ilvl w:val="0"/>
          <w:numId w:val="213"/>
        </w:numPr>
      </w:pPr>
      <w:r w:rsidRPr="00600C09">
        <w:t xml:space="preserve">Permissibility of </w:t>
      </w:r>
      <w:r w:rsidRPr="00600C09">
        <w:rPr>
          <w:b/>
          <w:bCs/>
        </w:rPr>
        <w:t>constructive possession in rahn</w:t>
      </w:r>
      <w:r w:rsidRPr="00600C09">
        <w:t xml:space="preserve"> through registration.</w:t>
      </w:r>
    </w:p>
    <w:p w14:paraId="3C2FED61" w14:textId="77777777" w:rsidR="00600C09" w:rsidRPr="00600C09" w:rsidRDefault="00600C09" w:rsidP="00600C09">
      <w:pPr>
        <w:numPr>
          <w:ilvl w:val="0"/>
          <w:numId w:val="213"/>
        </w:numPr>
      </w:pPr>
      <w:r w:rsidRPr="00600C09">
        <w:t xml:space="preserve">Limits on </w:t>
      </w:r>
      <w:r w:rsidRPr="00600C09">
        <w:rPr>
          <w:b/>
          <w:bCs/>
        </w:rPr>
        <w:t>guarantee fees</w:t>
      </w:r>
      <w:r w:rsidRPr="00600C09">
        <w:t xml:space="preserve"> under kafālah (administrative costs only).</w:t>
      </w:r>
    </w:p>
    <w:p w14:paraId="15B27C28" w14:textId="77777777" w:rsidR="00600C09" w:rsidRPr="00600C09" w:rsidRDefault="00600C09" w:rsidP="00600C09">
      <w:pPr>
        <w:numPr>
          <w:ilvl w:val="0"/>
          <w:numId w:val="213"/>
        </w:numPr>
      </w:pPr>
      <w:r w:rsidRPr="00600C09">
        <w:t xml:space="preserve">Recognition of </w:t>
      </w:r>
      <w:r w:rsidRPr="00600C09">
        <w:rPr>
          <w:rFonts w:ascii="Calibri" w:hAnsi="Calibri" w:cs="Calibri"/>
          <w:b/>
          <w:bCs/>
        </w:rPr>
        <w:t>ḥ</w:t>
      </w:r>
      <w:r w:rsidRPr="00600C09">
        <w:rPr>
          <w:b/>
          <w:bCs/>
        </w:rPr>
        <w:t>awālah of concession payments</w:t>
      </w:r>
      <w:r w:rsidRPr="00600C09">
        <w:t>, provided obligations are clear and enforceable.</w:t>
      </w:r>
    </w:p>
    <w:p w14:paraId="7B51BCCE" w14:textId="77777777" w:rsidR="00600C09" w:rsidRPr="00600C09" w:rsidRDefault="00600C09" w:rsidP="00600C09">
      <w:pPr>
        <w:rPr>
          <w:b/>
          <w:bCs/>
        </w:rPr>
      </w:pPr>
      <w:r w:rsidRPr="00600C09">
        <w:rPr>
          <w:b/>
          <w:bCs/>
        </w:rPr>
        <w:t>6.3.3 Shariah Governance Policy Document (SGPD, 2019)</w:t>
      </w:r>
    </w:p>
    <w:p w14:paraId="09C52679" w14:textId="77777777" w:rsidR="00600C09" w:rsidRPr="00600C09" w:rsidRDefault="00600C09" w:rsidP="00600C09">
      <w:r w:rsidRPr="00600C09">
        <w:t>BNM’s SGPD is a cornerstone of Malaysia’s governance framework. It requires IFIs to:</w:t>
      </w:r>
    </w:p>
    <w:p w14:paraId="6B619857" w14:textId="77777777" w:rsidR="00600C09" w:rsidRPr="00600C09" w:rsidRDefault="00600C09" w:rsidP="00600C09">
      <w:pPr>
        <w:numPr>
          <w:ilvl w:val="0"/>
          <w:numId w:val="214"/>
        </w:numPr>
      </w:pPr>
      <w:r w:rsidRPr="00600C09">
        <w:t>Establish independent Shariah Committees (SCs).</w:t>
      </w:r>
    </w:p>
    <w:p w14:paraId="1A1E3E24" w14:textId="77777777" w:rsidR="00600C09" w:rsidRPr="00600C09" w:rsidRDefault="00600C09" w:rsidP="00600C09">
      <w:pPr>
        <w:numPr>
          <w:ilvl w:val="0"/>
          <w:numId w:val="214"/>
        </w:numPr>
      </w:pPr>
      <w:r w:rsidRPr="00600C09">
        <w:t>Integrate Shariah risk management with overall enterprise risk management.</w:t>
      </w:r>
    </w:p>
    <w:p w14:paraId="15429A5C" w14:textId="77777777" w:rsidR="00600C09" w:rsidRPr="00600C09" w:rsidRDefault="00600C09" w:rsidP="00600C09">
      <w:pPr>
        <w:numPr>
          <w:ilvl w:val="0"/>
          <w:numId w:val="214"/>
        </w:numPr>
      </w:pPr>
      <w:r w:rsidRPr="00600C09">
        <w:t>Conduct regular Shariah reviews and audits.</w:t>
      </w:r>
    </w:p>
    <w:p w14:paraId="37288680" w14:textId="77777777" w:rsidR="00600C09" w:rsidRPr="00600C09" w:rsidRDefault="00600C09" w:rsidP="00600C09">
      <w:pPr>
        <w:numPr>
          <w:ilvl w:val="0"/>
          <w:numId w:val="214"/>
        </w:numPr>
      </w:pPr>
      <w:r w:rsidRPr="00600C09">
        <w:t>Ensure board and management accountability for Shariah compliance.</w:t>
      </w:r>
    </w:p>
    <w:p w14:paraId="28BCB67E" w14:textId="77777777" w:rsidR="00600C09" w:rsidRPr="00600C09" w:rsidRDefault="00600C09" w:rsidP="00600C09">
      <w:r w:rsidRPr="00600C09">
        <w:t xml:space="preserve">The SGPD emphasizes that Shariah governance is not confined to scholars; it involves the </w:t>
      </w:r>
      <w:r w:rsidRPr="00600C09">
        <w:rPr>
          <w:b/>
          <w:bCs/>
        </w:rPr>
        <w:t>board of directors, management, control functions, and business lines</w:t>
      </w:r>
      <w:r w:rsidRPr="00600C09">
        <w:t>. This “whole-of-institution” approach reduces the risk of compartmentalizing Shariah into a niche function.</w:t>
      </w:r>
    </w:p>
    <w:p w14:paraId="6AB1B904" w14:textId="77777777" w:rsidR="00600C09" w:rsidRPr="00600C09" w:rsidRDefault="00600C09" w:rsidP="00600C09">
      <w:pPr>
        <w:rPr>
          <w:b/>
          <w:bCs/>
        </w:rPr>
      </w:pPr>
      <w:r w:rsidRPr="00600C09">
        <w:rPr>
          <w:b/>
          <w:bCs/>
        </w:rPr>
        <w:t>6.3.4 Courts and Legal Enforcement</w:t>
      </w:r>
    </w:p>
    <w:p w14:paraId="3F13C5F7" w14:textId="77777777" w:rsidR="00600C09" w:rsidRPr="00600C09" w:rsidRDefault="00600C09" w:rsidP="00600C09">
      <w:r w:rsidRPr="00600C09">
        <w:t>Another unique feature of Malaysia is judicial recognition of SAC rulings. In disputes involving Shariah issues, courts must refer to the SAC and are bound by its decision. This ensures that:</w:t>
      </w:r>
    </w:p>
    <w:p w14:paraId="749E63B4" w14:textId="77777777" w:rsidR="00600C09" w:rsidRPr="00600C09" w:rsidRDefault="00600C09" w:rsidP="00600C09">
      <w:pPr>
        <w:numPr>
          <w:ilvl w:val="0"/>
          <w:numId w:val="215"/>
        </w:numPr>
      </w:pPr>
      <w:r w:rsidRPr="00600C09">
        <w:t>Islamic contracts are interpreted according to Shariah principles.</w:t>
      </w:r>
    </w:p>
    <w:p w14:paraId="7B63DB76" w14:textId="77777777" w:rsidR="00600C09" w:rsidRPr="00600C09" w:rsidRDefault="00600C09" w:rsidP="00600C09">
      <w:pPr>
        <w:numPr>
          <w:ilvl w:val="0"/>
          <w:numId w:val="215"/>
        </w:numPr>
      </w:pPr>
      <w:r w:rsidRPr="00600C09">
        <w:t>Security instruments such as rahn and kafālah are upheld consistently.</w:t>
      </w:r>
    </w:p>
    <w:p w14:paraId="40E72D70" w14:textId="77777777" w:rsidR="00600C09" w:rsidRPr="00600C09" w:rsidRDefault="00600C09" w:rsidP="00600C09">
      <w:pPr>
        <w:numPr>
          <w:ilvl w:val="0"/>
          <w:numId w:val="215"/>
        </w:numPr>
      </w:pPr>
      <w:r w:rsidRPr="00600C09">
        <w:t>Divergent interpretations between judges are minimized.</w:t>
      </w:r>
    </w:p>
    <w:p w14:paraId="7FC6E6FE" w14:textId="768E84B6" w:rsidR="00600C09" w:rsidRPr="00600C09" w:rsidRDefault="00600C09" w:rsidP="00600C09"/>
    <w:p w14:paraId="0C989F27" w14:textId="77777777" w:rsidR="00600C09" w:rsidRPr="00600C09" w:rsidRDefault="00600C09" w:rsidP="00600C09">
      <w:pPr>
        <w:rPr>
          <w:b/>
          <w:bCs/>
        </w:rPr>
      </w:pPr>
      <w:r w:rsidRPr="00600C09">
        <w:rPr>
          <w:b/>
          <w:bCs/>
        </w:rPr>
        <w:t>6.4 Shariah Committees in Islamic Banks</w:t>
      </w:r>
    </w:p>
    <w:p w14:paraId="561E5ED4" w14:textId="77777777" w:rsidR="00600C09" w:rsidRPr="00600C09" w:rsidRDefault="00600C09" w:rsidP="00600C09">
      <w:r w:rsidRPr="00600C09">
        <w:lastRenderedPageBreak/>
        <w:t>While the SAC provides centralized rulings, day-to-day Shariah governance occurs within Islamic financial institutions through Shariah Committees (SCs).</w:t>
      </w:r>
    </w:p>
    <w:p w14:paraId="6628C5AD" w14:textId="77777777" w:rsidR="00600C09" w:rsidRPr="00600C09" w:rsidRDefault="00600C09" w:rsidP="00600C09">
      <w:pPr>
        <w:rPr>
          <w:b/>
          <w:bCs/>
        </w:rPr>
      </w:pPr>
      <w:r w:rsidRPr="00600C09">
        <w:rPr>
          <w:b/>
          <w:bCs/>
        </w:rPr>
        <w:t>6.4.1 Composition and Qualifications</w:t>
      </w:r>
    </w:p>
    <w:p w14:paraId="453475CF" w14:textId="77777777" w:rsidR="00600C09" w:rsidRPr="00600C09" w:rsidRDefault="00600C09" w:rsidP="00600C09">
      <w:r w:rsidRPr="00600C09">
        <w:t>BNM requires every IFI to appoint at least five SC members with collective expertise in:</w:t>
      </w:r>
    </w:p>
    <w:p w14:paraId="089858A0" w14:textId="77777777" w:rsidR="00600C09" w:rsidRPr="00600C09" w:rsidRDefault="00600C09" w:rsidP="00600C09">
      <w:pPr>
        <w:numPr>
          <w:ilvl w:val="0"/>
          <w:numId w:val="216"/>
        </w:numPr>
      </w:pPr>
      <w:r w:rsidRPr="00600C09">
        <w:t>Shariah (fiqh al-mu</w:t>
      </w:r>
      <w:r w:rsidRPr="00600C09">
        <w:rPr>
          <w:rFonts w:ascii="Arial" w:hAnsi="Arial" w:cs="Arial"/>
        </w:rPr>
        <w:t>ʿ</w:t>
      </w:r>
      <w:r w:rsidRPr="00600C09">
        <w:rPr>
          <w:rFonts w:ascii="Aptos" w:hAnsi="Aptos" w:cs="Aptos"/>
        </w:rPr>
        <w:t>ā</w:t>
      </w:r>
      <w:r w:rsidRPr="00600C09">
        <w:t>mal</w:t>
      </w:r>
      <w:r w:rsidRPr="00600C09">
        <w:rPr>
          <w:rFonts w:ascii="Aptos" w:hAnsi="Aptos" w:cs="Aptos"/>
        </w:rPr>
        <w:t>ā</w:t>
      </w:r>
      <w:r w:rsidRPr="00600C09">
        <w:t>t).</w:t>
      </w:r>
    </w:p>
    <w:p w14:paraId="578C9E1B" w14:textId="77777777" w:rsidR="00600C09" w:rsidRPr="00600C09" w:rsidRDefault="00600C09" w:rsidP="00600C09">
      <w:pPr>
        <w:numPr>
          <w:ilvl w:val="0"/>
          <w:numId w:val="216"/>
        </w:numPr>
      </w:pPr>
      <w:r w:rsidRPr="00600C09">
        <w:t>Finance, economics, law, or related disciplines.</w:t>
      </w:r>
    </w:p>
    <w:p w14:paraId="489A638D" w14:textId="77777777" w:rsidR="00600C09" w:rsidRPr="00600C09" w:rsidRDefault="00600C09" w:rsidP="00600C09">
      <w:pPr>
        <w:numPr>
          <w:ilvl w:val="0"/>
          <w:numId w:val="216"/>
        </w:numPr>
      </w:pPr>
      <w:r w:rsidRPr="00600C09">
        <w:t>Practical industry knowledge.</w:t>
      </w:r>
    </w:p>
    <w:p w14:paraId="65E9E7B8" w14:textId="77777777" w:rsidR="00600C09" w:rsidRPr="00600C09" w:rsidRDefault="00600C09" w:rsidP="00600C09">
      <w:r w:rsidRPr="00600C09">
        <w:t>Members must be independent, with restrictions on holding multiple appointments to avoid over-concentration of influence.</w:t>
      </w:r>
    </w:p>
    <w:p w14:paraId="596B7355" w14:textId="77777777" w:rsidR="00600C09" w:rsidRPr="00600C09" w:rsidRDefault="00600C09" w:rsidP="00600C09">
      <w:pPr>
        <w:rPr>
          <w:b/>
          <w:bCs/>
        </w:rPr>
      </w:pPr>
      <w:r w:rsidRPr="00600C09">
        <w:rPr>
          <w:b/>
          <w:bCs/>
        </w:rPr>
        <w:t>6.4.2 Roles and Responsibilities</w:t>
      </w:r>
    </w:p>
    <w:p w14:paraId="0A345687" w14:textId="77777777" w:rsidR="00600C09" w:rsidRPr="00600C09" w:rsidRDefault="00600C09" w:rsidP="00600C09">
      <w:r w:rsidRPr="00600C09">
        <w:t>The SC’s responsibilities include:</w:t>
      </w:r>
    </w:p>
    <w:p w14:paraId="14E839EF" w14:textId="77777777" w:rsidR="00600C09" w:rsidRPr="00600C09" w:rsidRDefault="00600C09" w:rsidP="00600C09">
      <w:pPr>
        <w:numPr>
          <w:ilvl w:val="0"/>
          <w:numId w:val="217"/>
        </w:numPr>
      </w:pPr>
      <w:r w:rsidRPr="00600C09">
        <w:rPr>
          <w:b/>
          <w:bCs/>
        </w:rPr>
        <w:t>Advisory</w:t>
      </w:r>
      <w:r w:rsidRPr="00600C09">
        <w:t>: Providing guidance on product structures, contracts, and documentation.</w:t>
      </w:r>
    </w:p>
    <w:p w14:paraId="2C0344D7" w14:textId="77777777" w:rsidR="00600C09" w:rsidRPr="00600C09" w:rsidRDefault="00600C09" w:rsidP="00600C09">
      <w:pPr>
        <w:numPr>
          <w:ilvl w:val="0"/>
          <w:numId w:val="217"/>
        </w:numPr>
      </w:pPr>
      <w:r w:rsidRPr="00600C09">
        <w:rPr>
          <w:b/>
          <w:bCs/>
        </w:rPr>
        <w:t>Endorsement</w:t>
      </w:r>
      <w:r w:rsidRPr="00600C09">
        <w:t>: Approving new products and ensuring they meet Shariah requirements.</w:t>
      </w:r>
    </w:p>
    <w:p w14:paraId="1474BCBB" w14:textId="77777777" w:rsidR="00600C09" w:rsidRPr="00600C09" w:rsidRDefault="00600C09" w:rsidP="00600C09">
      <w:pPr>
        <w:numPr>
          <w:ilvl w:val="0"/>
          <w:numId w:val="217"/>
        </w:numPr>
      </w:pPr>
      <w:r w:rsidRPr="00600C09">
        <w:rPr>
          <w:b/>
          <w:bCs/>
        </w:rPr>
        <w:t>Oversight</w:t>
      </w:r>
      <w:r w:rsidRPr="00600C09">
        <w:t>: Monitoring implementation of approved products.</w:t>
      </w:r>
    </w:p>
    <w:p w14:paraId="5D79167E" w14:textId="77777777" w:rsidR="00600C09" w:rsidRPr="00600C09" w:rsidRDefault="00600C09" w:rsidP="00600C09">
      <w:pPr>
        <w:numPr>
          <w:ilvl w:val="0"/>
          <w:numId w:val="217"/>
        </w:numPr>
      </w:pPr>
      <w:r w:rsidRPr="00600C09">
        <w:rPr>
          <w:b/>
          <w:bCs/>
        </w:rPr>
        <w:t>Review</w:t>
      </w:r>
      <w:r w:rsidRPr="00600C09">
        <w:t>: Assessing Shariah audit and review reports.</w:t>
      </w:r>
    </w:p>
    <w:p w14:paraId="0960C155" w14:textId="77777777" w:rsidR="00600C09" w:rsidRPr="00600C09" w:rsidRDefault="00600C09" w:rsidP="00600C09">
      <w:pPr>
        <w:numPr>
          <w:ilvl w:val="0"/>
          <w:numId w:val="217"/>
        </w:numPr>
      </w:pPr>
      <w:r w:rsidRPr="00600C09">
        <w:rPr>
          <w:b/>
          <w:bCs/>
        </w:rPr>
        <w:t>Reporting</w:t>
      </w:r>
      <w:r w:rsidRPr="00600C09">
        <w:t>: Providing annual declarations of Shariah compliance.</w:t>
      </w:r>
    </w:p>
    <w:p w14:paraId="5FE5A063" w14:textId="77777777" w:rsidR="00600C09" w:rsidRPr="00600C09" w:rsidRDefault="00600C09" w:rsidP="00600C09">
      <w:r w:rsidRPr="00600C09">
        <w:t>In the context of security instruments:</w:t>
      </w:r>
    </w:p>
    <w:p w14:paraId="0746CCE3" w14:textId="77777777" w:rsidR="00600C09" w:rsidRPr="00600C09" w:rsidRDefault="00600C09" w:rsidP="00600C09">
      <w:pPr>
        <w:numPr>
          <w:ilvl w:val="0"/>
          <w:numId w:val="218"/>
        </w:numPr>
      </w:pPr>
      <w:r w:rsidRPr="00600C09">
        <w:t>SCs must ensure rahn contracts avoid creditor benefit.</w:t>
      </w:r>
    </w:p>
    <w:p w14:paraId="422EC88D" w14:textId="77777777" w:rsidR="00600C09" w:rsidRPr="00600C09" w:rsidRDefault="00600C09" w:rsidP="00600C09">
      <w:pPr>
        <w:numPr>
          <w:ilvl w:val="0"/>
          <w:numId w:val="218"/>
        </w:numPr>
      </w:pPr>
      <w:r w:rsidRPr="00600C09">
        <w:t xml:space="preserve">They must verify kafālah and </w:t>
      </w:r>
      <w:r w:rsidRPr="00600C09">
        <w:rPr>
          <w:rFonts w:ascii="Calibri" w:hAnsi="Calibri" w:cs="Calibri"/>
        </w:rPr>
        <w:t>ḍ</w:t>
      </w:r>
      <w:r w:rsidRPr="00600C09">
        <w:t>amān undertakings are gratuitous.</w:t>
      </w:r>
    </w:p>
    <w:p w14:paraId="17D0A9E2" w14:textId="77777777" w:rsidR="00600C09" w:rsidRPr="00600C09" w:rsidRDefault="00600C09" w:rsidP="00600C09">
      <w:pPr>
        <w:numPr>
          <w:ilvl w:val="0"/>
          <w:numId w:val="218"/>
        </w:numPr>
      </w:pPr>
      <w:r w:rsidRPr="00600C09">
        <w:t xml:space="preserve">They must confirm </w:t>
      </w:r>
      <w:r w:rsidRPr="00600C09">
        <w:rPr>
          <w:rFonts w:ascii="Calibri" w:hAnsi="Calibri" w:cs="Calibri"/>
        </w:rPr>
        <w:t>ḥ</w:t>
      </w:r>
      <w:r w:rsidRPr="00600C09">
        <w:t>awālah assignments are free of ribā or speculative trading.</w:t>
      </w:r>
    </w:p>
    <w:p w14:paraId="3B1202B7" w14:textId="77777777" w:rsidR="00600C09" w:rsidRPr="00600C09" w:rsidRDefault="00600C09" w:rsidP="00600C09">
      <w:pPr>
        <w:rPr>
          <w:b/>
          <w:bCs/>
        </w:rPr>
      </w:pPr>
      <w:r w:rsidRPr="00600C09">
        <w:rPr>
          <w:b/>
          <w:bCs/>
        </w:rPr>
        <w:t>6.4.3 Interaction with Board and Management</w:t>
      </w:r>
    </w:p>
    <w:p w14:paraId="3CFF087D" w14:textId="77777777" w:rsidR="00600C09" w:rsidRPr="00600C09" w:rsidRDefault="00600C09" w:rsidP="00600C09">
      <w:r w:rsidRPr="00600C09">
        <w:t>BNM emphasizes that SCs are not isolated advisory bodies but integral to governance:</w:t>
      </w:r>
    </w:p>
    <w:p w14:paraId="1EF56D5E" w14:textId="77777777" w:rsidR="00600C09" w:rsidRPr="00600C09" w:rsidRDefault="00600C09" w:rsidP="00600C09">
      <w:pPr>
        <w:numPr>
          <w:ilvl w:val="0"/>
          <w:numId w:val="219"/>
        </w:numPr>
      </w:pPr>
      <w:r w:rsidRPr="00600C09">
        <w:t xml:space="preserve">SCs must </w:t>
      </w:r>
      <w:r w:rsidRPr="00600C09">
        <w:rPr>
          <w:b/>
          <w:bCs/>
        </w:rPr>
        <w:t>report directly to the board</w:t>
      </w:r>
      <w:r w:rsidRPr="00600C09">
        <w:t>, not just management.</w:t>
      </w:r>
    </w:p>
    <w:p w14:paraId="48716D57" w14:textId="77777777" w:rsidR="00600C09" w:rsidRPr="00600C09" w:rsidRDefault="00600C09" w:rsidP="00600C09">
      <w:pPr>
        <w:numPr>
          <w:ilvl w:val="0"/>
          <w:numId w:val="219"/>
        </w:numPr>
      </w:pPr>
      <w:r w:rsidRPr="00600C09">
        <w:t xml:space="preserve">Boards are </w:t>
      </w:r>
      <w:r w:rsidRPr="00600C09">
        <w:rPr>
          <w:b/>
          <w:bCs/>
        </w:rPr>
        <w:t>ultimately responsible</w:t>
      </w:r>
      <w:r w:rsidRPr="00600C09">
        <w:t xml:space="preserve"> for Shariah compliance, even if SCs endorse products.</w:t>
      </w:r>
    </w:p>
    <w:p w14:paraId="427C734E" w14:textId="77777777" w:rsidR="00600C09" w:rsidRPr="00600C09" w:rsidRDefault="00600C09" w:rsidP="00600C09">
      <w:pPr>
        <w:numPr>
          <w:ilvl w:val="0"/>
          <w:numId w:val="219"/>
        </w:numPr>
      </w:pPr>
      <w:r w:rsidRPr="00600C09">
        <w:t>Management must implement SC rulings and provide timely information.</w:t>
      </w:r>
    </w:p>
    <w:p w14:paraId="3B6042DD" w14:textId="77777777" w:rsidR="00600C09" w:rsidRPr="00600C09" w:rsidRDefault="00600C09" w:rsidP="00600C09">
      <w:r w:rsidRPr="00600C09">
        <w:t>This triangular relationship—Board, Management, SC—ensures checks and balances.</w:t>
      </w:r>
    </w:p>
    <w:p w14:paraId="76F1F5B8" w14:textId="77777777" w:rsidR="00600C09" w:rsidRPr="00600C09" w:rsidRDefault="00600C09" w:rsidP="00600C09">
      <w:pPr>
        <w:rPr>
          <w:b/>
          <w:bCs/>
        </w:rPr>
      </w:pPr>
      <w:r w:rsidRPr="00600C09">
        <w:rPr>
          <w:b/>
          <w:bCs/>
        </w:rPr>
        <w:lastRenderedPageBreak/>
        <w:t>6.4.4 Independence and Conflict of Interest</w:t>
      </w:r>
    </w:p>
    <w:p w14:paraId="3B6C8117" w14:textId="77777777" w:rsidR="00600C09" w:rsidRPr="00600C09" w:rsidRDefault="00600C09" w:rsidP="00600C09">
      <w:r w:rsidRPr="00600C09">
        <w:t>Independence is crucial for SC effectiveness. BNM imposes restrictions such as:</w:t>
      </w:r>
    </w:p>
    <w:p w14:paraId="4CA122E6" w14:textId="77777777" w:rsidR="00600C09" w:rsidRPr="00600C09" w:rsidRDefault="00600C09" w:rsidP="00600C09">
      <w:pPr>
        <w:numPr>
          <w:ilvl w:val="0"/>
          <w:numId w:val="220"/>
        </w:numPr>
      </w:pPr>
      <w:r w:rsidRPr="00600C09">
        <w:t>Prohibiting SC members from holding executive positions in the same IFI.</w:t>
      </w:r>
    </w:p>
    <w:p w14:paraId="5CC4BFB3" w14:textId="77777777" w:rsidR="00600C09" w:rsidRPr="00600C09" w:rsidRDefault="00600C09" w:rsidP="00600C09">
      <w:pPr>
        <w:numPr>
          <w:ilvl w:val="0"/>
          <w:numId w:val="220"/>
        </w:numPr>
      </w:pPr>
      <w:r w:rsidRPr="00600C09">
        <w:t>Limiting the number of SC appointments across institutions.</w:t>
      </w:r>
    </w:p>
    <w:p w14:paraId="02FB1052" w14:textId="77777777" w:rsidR="00600C09" w:rsidRPr="00600C09" w:rsidRDefault="00600C09" w:rsidP="00600C09">
      <w:pPr>
        <w:numPr>
          <w:ilvl w:val="0"/>
          <w:numId w:val="220"/>
        </w:numPr>
      </w:pPr>
      <w:r w:rsidRPr="00600C09">
        <w:t>Requiring disclosure of potential conflicts (e.g., advisory roles with competitors).</w:t>
      </w:r>
    </w:p>
    <w:p w14:paraId="09E021DC" w14:textId="66FC3CDC" w:rsidR="00600C09" w:rsidRDefault="00600C09" w:rsidP="00600C09">
      <w:r w:rsidRPr="00600C09">
        <w:t>Despite these safeguards, challenges remain. Interviews (P2, P6) revealed concerns that some SCs face commercial pressure to approve borderline products. This tension between Shariah integrity and business expediency underscores the need for strong regulatory oversight.</w:t>
      </w:r>
    </w:p>
    <w:p w14:paraId="228D7819" w14:textId="77777777" w:rsidR="00E45652" w:rsidRPr="00E45652" w:rsidRDefault="00E45652" w:rsidP="00600C09"/>
    <w:p w14:paraId="767FB2CF" w14:textId="77777777" w:rsidR="00600C09" w:rsidRPr="00600C09" w:rsidRDefault="00600C09" w:rsidP="00600C09">
      <w:pPr>
        <w:rPr>
          <w:b/>
          <w:bCs/>
        </w:rPr>
      </w:pPr>
      <w:r w:rsidRPr="00600C09">
        <w:rPr>
          <w:b/>
          <w:bCs/>
        </w:rPr>
        <w:t>6.4.5 Practical Challenges</w:t>
      </w:r>
    </w:p>
    <w:p w14:paraId="1BFBB0C1" w14:textId="77777777" w:rsidR="00600C09" w:rsidRPr="00600C09" w:rsidRDefault="00600C09" w:rsidP="00600C09">
      <w:r w:rsidRPr="00600C09">
        <w:t>Despite clear regulatory guidelines, SCs face several practical challenges:</w:t>
      </w:r>
    </w:p>
    <w:p w14:paraId="21B891D7" w14:textId="77777777" w:rsidR="00600C09" w:rsidRPr="00600C09" w:rsidRDefault="00600C09" w:rsidP="00600C09">
      <w:pPr>
        <w:numPr>
          <w:ilvl w:val="0"/>
          <w:numId w:val="222"/>
        </w:numPr>
      </w:pPr>
      <w:r w:rsidRPr="00600C09">
        <w:rPr>
          <w:b/>
          <w:bCs/>
        </w:rPr>
        <w:t>Information asymmetry</w:t>
      </w:r>
    </w:p>
    <w:p w14:paraId="40BFA1A6" w14:textId="77777777" w:rsidR="00600C09" w:rsidRPr="00600C09" w:rsidRDefault="00600C09" w:rsidP="00600C09">
      <w:pPr>
        <w:numPr>
          <w:ilvl w:val="1"/>
          <w:numId w:val="222"/>
        </w:numPr>
      </w:pPr>
      <w:r w:rsidRPr="00600C09">
        <w:t>Management may withhold or filter information before presenting products for approval.</w:t>
      </w:r>
    </w:p>
    <w:p w14:paraId="12A92E28" w14:textId="77777777" w:rsidR="00600C09" w:rsidRPr="00600C09" w:rsidRDefault="00600C09" w:rsidP="00600C09">
      <w:pPr>
        <w:numPr>
          <w:ilvl w:val="1"/>
          <w:numId w:val="222"/>
        </w:numPr>
      </w:pPr>
      <w:r w:rsidRPr="00600C09">
        <w:t xml:space="preserve">P4 (former SC member) remarked: </w:t>
      </w:r>
      <w:r w:rsidRPr="00600C09">
        <w:rPr>
          <w:i/>
          <w:iCs/>
        </w:rPr>
        <w:t>“We often receive proposals late in the process, making genuine scrutiny difficult. By then, commercial commitments are already made.”</w:t>
      </w:r>
    </w:p>
    <w:p w14:paraId="7F5C67A1" w14:textId="77777777" w:rsidR="00600C09" w:rsidRPr="00600C09" w:rsidRDefault="00600C09" w:rsidP="00600C09">
      <w:pPr>
        <w:numPr>
          <w:ilvl w:val="0"/>
          <w:numId w:val="222"/>
        </w:numPr>
      </w:pPr>
      <w:r w:rsidRPr="00600C09">
        <w:rPr>
          <w:b/>
          <w:bCs/>
        </w:rPr>
        <w:t>Commercial pressure</w:t>
      </w:r>
    </w:p>
    <w:p w14:paraId="1700870C" w14:textId="77777777" w:rsidR="00600C09" w:rsidRPr="00600C09" w:rsidRDefault="00600C09" w:rsidP="00600C09">
      <w:pPr>
        <w:numPr>
          <w:ilvl w:val="1"/>
          <w:numId w:val="222"/>
        </w:numPr>
      </w:pPr>
      <w:r w:rsidRPr="00600C09">
        <w:t>SCs sometimes face pressure to approve innovative products to maintain competitiveness.</w:t>
      </w:r>
    </w:p>
    <w:p w14:paraId="0A499F12" w14:textId="77777777" w:rsidR="00600C09" w:rsidRPr="00600C09" w:rsidRDefault="00600C09" w:rsidP="00600C09">
      <w:pPr>
        <w:numPr>
          <w:ilvl w:val="1"/>
          <w:numId w:val="222"/>
        </w:numPr>
      </w:pPr>
      <w:r w:rsidRPr="00600C09">
        <w:t xml:space="preserve">P7 (Shariah advisor) noted: </w:t>
      </w:r>
      <w:r w:rsidRPr="00600C09">
        <w:rPr>
          <w:i/>
          <w:iCs/>
        </w:rPr>
        <w:t>“Banks frame products as market demand-driven. If we push back, they claim delay costs them clients.”</w:t>
      </w:r>
    </w:p>
    <w:p w14:paraId="4568227F" w14:textId="77777777" w:rsidR="00600C09" w:rsidRPr="00600C09" w:rsidRDefault="00600C09" w:rsidP="00600C09">
      <w:pPr>
        <w:numPr>
          <w:ilvl w:val="0"/>
          <w:numId w:val="222"/>
        </w:numPr>
      </w:pPr>
      <w:r w:rsidRPr="00600C09">
        <w:rPr>
          <w:b/>
          <w:bCs/>
        </w:rPr>
        <w:t>Technical expertise gaps</w:t>
      </w:r>
    </w:p>
    <w:p w14:paraId="47003B60" w14:textId="77777777" w:rsidR="00600C09" w:rsidRPr="00600C09" w:rsidRDefault="00600C09" w:rsidP="00600C09">
      <w:pPr>
        <w:numPr>
          <w:ilvl w:val="1"/>
          <w:numId w:val="222"/>
        </w:numPr>
      </w:pPr>
      <w:r w:rsidRPr="00600C09">
        <w:t>While SCs are experts in fiqh al-mu</w:t>
      </w:r>
      <w:r w:rsidRPr="00600C09">
        <w:rPr>
          <w:rFonts w:ascii="Arial" w:hAnsi="Arial" w:cs="Arial"/>
        </w:rPr>
        <w:t>ʿ</w:t>
      </w:r>
      <w:r w:rsidRPr="00600C09">
        <w:rPr>
          <w:rFonts w:ascii="Aptos" w:hAnsi="Aptos" w:cs="Aptos"/>
        </w:rPr>
        <w:t>ā</w:t>
      </w:r>
      <w:r w:rsidRPr="00600C09">
        <w:t>mal</w:t>
      </w:r>
      <w:r w:rsidRPr="00600C09">
        <w:rPr>
          <w:rFonts w:ascii="Aptos" w:hAnsi="Aptos" w:cs="Aptos"/>
        </w:rPr>
        <w:t>ā</w:t>
      </w:r>
      <w:r w:rsidRPr="00600C09">
        <w:t>t, some lack deep financial engineering knowledge. This imbalance can limit their ability to interrogate complex project finance structures.</w:t>
      </w:r>
    </w:p>
    <w:p w14:paraId="6EF2B886" w14:textId="77777777" w:rsidR="00600C09" w:rsidRPr="00600C09" w:rsidRDefault="00600C09" w:rsidP="00600C09">
      <w:pPr>
        <w:numPr>
          <w:ilvl w:val="0"/>
          <w:numId w:val="222"/>
        </w:numPr>
      </w:pPr>
      <w:r w:rsidRPr="00600C09">
        <w:rPr>
          <w:b/>
          <w:bCs/>
        </w:rPr>
        <w:t>Consistency of rulings</w:t>
      </w:r>
    </w:p>
    <w:p w14:paraId="709DE709" w14:textId="77777777" w:rsidR="00600C09" w:rsidRPr="00600C09" w:rsidRDefault="00600C09" w:rsidP="00600C09">
      <w:pPr>
        <w:numPr>
          <w:ilvl w:val="1"/>
          <w:numId w:val="222"/>
        </w:numPr>
      </w:pPr>
      <w:r w:rsidRPr="00600C09">
        <w:t>Divergence across banks creates reputational risks. Although SAC provides binding rulings on broad issues, grey areas remain where SCs may differ.</w:t>
      </w:r>
    </w:p>
    <w:p w14:paraId="74B535EF" w14:textId="77777777" w:rsidR="00600C09" w:rsidRPr="00600C09" w:rsidRDefault="00600C09" w:rsidP="00600C09">
      <w:pPr>
        <w:rPr>
          <w:b/>
          <w:bCs/>
        </w:rPr>
      </w:pPr>
      <w:r w:rsidRPr="00600C09">
        <w:rPr>
          <w:b/>
          <w:bCs/>
        </w:rPr>
        <w:t>6.4.6 Case Examples</w:t>
      </w:r>
    </w:p>
    <w:p w14:paraId="66E300CA" w14:textId="77777777" w:rsidR="00600C09" w:rsidRPr="00600C09" w:rsidRDefault="00600C09" w:rsidP="00600C09">
      <w:pPr>
        <w:numPr>
          <w:ilvl w:val="0"/>
          <w:numId w:val="223"/>
        </w:numPr>
      </w:pPr>
      <w:r w:rsidRPr="00600C09">
        <w:rPr>
          <w:b/>
          <w:bCs/>
        </w:rPr>
        <w:lastRenderedPageBreak/>
        <w:t>Guarantee fees under kafālah</w:t>
      </w:r>
    </w:p>
    <w:p w14:paraId="2DA24609" w14:textId="77777777" w:rsidR="00600C09" w:rsidRPr="00600C09" w:rsidRDefault="00600C09" w:rsidP="00600C09">
      <w:pPr>
        <w:numPr>
          <w:ilvl w:val="1"/>
          <w:numId w:val="223"/>
        </w:numPr>
      </w:pPr>
      <w:r w:rsidRPr="00600C09">
        <w:t>Several banks sought to introduce fee-based guarantees for project finance. Some SCs rejected them outright; others allowed “administrative recovery fees.” SAC later ruled fees were prohibited, clarifying the inconsistency.</w:t>
      </w:r>
    </w:p>
    <w:p w14:paraId="45659C63" w14:textId="77777777" w:rsidR="00600C09" w:rsidRPr="00600C09" w:rsidRDefault="00600C09" w:rsidP="00600C09">
      <w:pPr>
        <w:numPr>
          <w:ilvl w:val="0"/>
          <w:numId w:val="223"/>
        </w:numPr>
      </w:pPr>
      <w:r w:rsidRPr="00600C09">
        <w:rPr>
          <w:b/>
          <w:bCs/>
        </w:rPr>
        <w:t>Rahn of intangible rights</w:t>
      </w:r>
    </w:p>
    <w:p w14:paraId="662D68FD" w14:textId="77777777" w:rsidR="00600C09" w:rsidRPr="00600C09" w:rsidRDefault="00600C09" w:rsidP="00600C09">
      <w:pPr>
        <w:numPr>
          <w:ilvl w:val="1"/>
          <w:numId w:val="223"/>
        </w:numPr>
      </w:pPr>
      <w:r w:rsidRPr="00600C09">
        <w:t>A dispute arose over whether intellectual property could be pledged under rahn. One SC approved, another rejected. SAC eventually permitted rahn over usufructs and transferable rights, harmonizing practice.</w:t>
      </w:r>
    </w:p>
    <w:p w14:paraId="7721A8BE" w14:textId="77777777" w:rsidR="00600C09" w:rsidRPr="00600C09" w:rsidRDefault="00600C09" w:rsidP="00600C09">
      <w:pPr>
        <w:numPr>
          <w:ilvl w:val="0"/>
          <w:numId w:val="223"/>
        </w:numPr>
      </w:pPr>
      <w:r w:rsidRPr="00600C09">
        <w:rPr>
          <w:b/>
          <w:bCs/>
        </w:rPr>
        <w:t>Hybrid sukuk structures</w:t>
      </w:r>
    </w:p>
    <w:p w14:paraId="6153845F" w14:textId="77777777" w:rsidR="00600C09" w:rsidRPr="00600C09" w:rsidRDefault="00600C09" w:rsidP="00600C09">
      <w:pPr>
        <w:numPr>
          <w:ilvl w:val="1"/>
          <w:numId w:val="223"/>
        </w:numPr>
      </w:pPr>
      <w:r w:rsidRPr="00600C09">
        <w:t>SCs faced difficulties approving sukuk backed by both asset-based and debt-based claims. Divergent views persisted until SAC issued clarifications, showing the central role of regulatory arbitration.</w:t>
      </w:r>
    </w:p>
    <w:p w14:paraId="5C0A1A62" w14:textId="77777777" w:rsidR="00600C09" w:rsidRPr="00600C09" w:rsidRDefault="00600C09" w:rsidP="00600C09">
      <w:pPr>
        <w:rPr>
          <w:b/>
          <w:bCs/>
        </w:rPr>
      </w:pPr>
      <w:r w:rsidRPr="00600C09">
        <w:rPr>
          <w:b/>
          <w:bCs/>
        </w:rPr>
        <w:t>6.4.7 Strengthening SC Effectiveness</w:t>
      </w:r>
    </w:p>
    <w:p w14:paraId="0AA314B2" w14:textId="77777777" w:rsidR="00600C09" w:rsidRPr="00600C09" w:rsidRDefault="00600C09" w:rsidP="00600C09">
      <w:r w:rsidRPr="00600C09">
        <w:t>To address these issues, several reforms have been proposed:</w:t>
      </w:r>
    </w:p>
    <w:p w14:paraId="2D5DA424" w14:textId="77777777" w:rsidR="00600C09" w:rsidRPr="00600C09" w:rsidRDefault="00600C09" w:rsidP="00600C09">
      <w:pPr>
        <w:numPr>
          <w:ilvl w:val="0"/>
          <w:numId w:val="224"/>
        </w:numPr>
      </w:pPr>
      <w:r w:rsidRPr="00600C09">
        <w:rPr>
          <w:b/>
          <w:bCs/>
        </w:rPr>
        <w:t>Capacity building</w:t>
      </w:r>
      <w:r w:rsidRPr="00600C09">
        <w:t>: Continuous training on financial engineering for SC members.</w:t>
      </w:r>
    </w:p>
    <w:p w14:paraId="7C6ECABF" w14:textId="77777777" w:rsidR="00600C09" w:rsidRPr="00600C09" w:rsidRDefault="00600C09" w:rsidP="00600C09">
      <w:pPr>
        <w:numPr>
          <w:ilvl w:val="0"/>
          <w:numId w:val="224"/>
        </w:numPr>
      </w:pPr>
      <w:r w:rsidRPr="00600C09">
        <w:rPr>
          <w:b/>
          <w:bCs/>
        </w:rPr>
        <w:t>Early involvement</w:t>
      </w:r>
      <w:r w:rsidRPr="00600C09">
        <w:t>: SCs should be consulted at product conceptualization, not just at approval.</w:t>
      </w:r>
    </w:p>
    <w:p w14:paraId="41650124" w14:textId="77777777" w:rsidR="00600C09" w:rsidRPr="00600C09" w:rsidRDefault="00600C09" w:rsidP="00600C09">
      <w:pPr>
        <w:numPr>
          <w:ilvl w:val="0"/>
          <w:numId w:val="224"/>
        </w:numPr>
      </w:pPr>
      <w:r w:rsidRPr="00600C09">
        <w:rPr>
          <w:b/>
          <w:bCs/>
        </w:rPr>
        <w:t>Transparency</w:t>
      </w:r>
      <w:r w:rsidRPr="00600C09">
        <w:t>: Boards must ensure SC decisions are documented and accessible to auditors.</w:t>
      </w:r>
    </w:p>
    <w:p w14:paraId="5AE99060" w14:textId="77777777" w:rsidR="00600C09" w:rsidRPr="00600C09" w:rsidRDefault="00600C09" w:rsidP="00600C09">
      <w:pPr>
        <w:numPr>
          <w:ilvl w:val="0"/>
          <w:numId w:val="224"/>
        </w:numPr>
      </w:pPr>
      <w:r w:rsidRPr="00600C09">
        <w:rPr>
          <w:b/>
          <w:bCs/>
        </w:rPr>
        <w:t>Rotation policies</w:t>
      </w:r>
      <w:r w:rsidRPr="00600C09">
        <w:t>: Periodic renewal of SC members to avoid complacency or capture.</w:t>
      </w:r>
    </w:p>
    <w:p w14:paraId="4D54ABF5" w14:textId="77777777" w:rsidR="00600C09" w:rsidRPr="00600C09" w:rsidRDefault="00600C09" w:rsidP="00600C09">
      <w:r w:rsidRPr="00600C09">
        <w:t>BNM has gradually implemented some of these reforms, but industry feedback suggests more rigorous enforcement is required.</w:t>
      </w:r>
    </w:p>
    <w:p w14:paraId="4455C439" w14:textId="7C2A1B55" w:rsidR="00600C09" w:rsidRPr="00600C09" w:rsidRDefault="00600C09" w:rsidP="00600C09"/>
    <w:p w14:paraId="29559FF7" w14:textId="77777777" w:rsidR="00600C09" w:rsidRPr="00600C09" w:rsidRDefault="00600C09" w:rsidP="00600C09">
      <w:pPr>
        <w:rPr>
          <w:b/>
          <w:bCs/>
        </w:rPr>
      </w:pPr>
      <w:r w:rsidRPr="00600C09">
        <w:rPr>
          <w:b/>
          <w:bCs/>
        </w:rPr>
        <w:t>6.5 International Regulatory Harmonization</w:t>
      </w:r>
    </w:p>
    <w:p w14:paraId="54E697BA" w14:textId="77777777" w:rsidR="00600C09" w:rsidRPr="00600C09" w:rsidRDefault="00600C09" w:rsidP="00600C09">
      <w:r w:rsidRPr="00600C09">
        <w:t>While Malaysia has developed a robust domestic framework, Islamic finance is global. Divergent Shariah rulings across jurisdictions create uncertainty, particularly in cross-border project finance. International standard-setting bodies play a central role in addressing this challenge.</w:t>
      </w:r>
    </w:p>
    <w:p w14:paraId="2D57A1F9" w14:textId="77777777" w:rsidR="00600C09" w:rsidRPr="00600C09" w:rsidRDefault="00600C09" w:rsidP="00600C09">
      <w:pPr>
        <w:rPr>
          <w:b/>
          <w:bCs/>
        </w:rPr>
      </w:pPr>
      <w:r w:rsidRPr="00600C09">
        <w:rPr>
          <w:b/>
          <w:bCs/>
        </w:rPr>
        <w:lastRenderedPageBreak/>
        <w:t>6.5.1 AAOIFI (Accounting and Auditing Organization for Islamic Financial Institutions)</w:t>
      </w:r>
    </w:p>
    <w:p w14:paraId="15ED9A69" w14:textId="77777777" w:rsidR="00600C09" w:rsidRPr="00600C09" w:rsidRDefault="00600C09" w:rsidP="00600C09">
      <w:r w:rsidRPr="00600C09">
        <w:t>AAOIFI, based in Bahrain, issues Shariah standards widely referenced in the Gulf and beyond.</w:t>
      </w:r>
    </w:p>
    <w:p w14:paraId="57497686" w14:textId="77777777" w:rsidR="00600C09" w:rsidRPr="00600C09" w:rsidRDefault="00600C09" w:rsidP="00600C09">
      <w:pPr>
        <w:numPr>
          <w:ilvl w:val="0"/>
          <w:numId w:val="225"/>
        </w:numPr>
      </w:pPr>
      <w:r w:rsidRPr="00600C09">
        <w:t xml:space="preserve">Its standards on </w:t>
      </w:r>
      <w:r w:rsidRPr="00600C09">
        <w:rPr>
          <w:b/>
          <w:bCs/>
        </w:rPr>
        <w:t>rahn</w:t>
      </w:r>
      <w:r w:rsidRPr="00600C09">
        <w:t xml:space="preserve">, </w:t>
      </w:r>
      <w:r w:rsidRPr="00600C09">
        <w:rPr>
          <w:b/>
          <w:bCs/>
        </w:rPr>
        <w:t>kafālah</w:t>
      </w:r>
      <w:r w:rsidRPr="00600C09">
        <w:t xml:space="preserve">, and </w:t>
      </w:r>
      <w:r w:rsidRPr="00600C09">
        <w:rPr>
          <w:rFonts w:ascii="Calibri" w:hAnsi="Calibri" w:cs="Calibri"/>
          <w:b/>
          <w:bCs/>
        </w:rPr>
        <w:t>ḥ</w:t>
      </w:r>
      <w:r w:rsidRPr="00600C09">
        <w:rPr>
          <w:b/>
          <w:bCs/>
        </w:rPr>
        <w:t>awālah</w:t>
      </w:r>
      <w:r w:rsidRPr="00600C09">
        <w:t xml:space="preserve"> provide detailed juristic interpretations.</w:t>
      </w:r>
    </w:p>
    <w:p w14:paraId="3854DE5A" w14:textId="77777777" w:rsidR="00600C09" w:rsidRPr="00600C09" w:rsidRDefault="00600C09" w:rsidP="00600C09">
      <w:pPr>
        <w:numPr>
          <w:ilvl w:val="0"/>
          <w:numId w:val="225"/>
        </w:numPr>
      </w:pPr>
      <w:r w:rsidRPr="00600C09">
        <w:t>However, adoption is voluntary; not all jurisdictions incorporate them into law.</w:t>
      </w:r>
    </w:p>
    <w:p w14:paraId="2AE2FD36" w14:textId="77777777" w:rsidR="00600C09" w:rsidRPr="00600C09" w:rsidRDefault="00600C09" w:rsidP="00600C09">
      <w:pPr>
        <w:numPr>
          <w:ilvl w:val="0"/>
          <w:numId w:val="225"/>
        </w:numPr>
      </w:pPr>
      <w:r w:rsidRPr="00600C09">
        <w:t>AAOIFI emphasizes textualist interpretations, often stricter than Malaysian SAC rulings.</w:t>
      </w:r>
    </w:p>
    <w:p w14:paraId="6118C447" w14:textId="77777777" w:rsidR="00600C09" w:rsidRPr="00600C09" w:rsidRDefault="00600C09" w:rsidP="00600C09">
      <w:r w:rsidRPr="00600C09">
        <w:t>Example: AAOIFI restricts rahn to tangible assets, whereas Malaysia allows constructive possession of intangibles. This divergence complicates syndications involving both Gulf and Malaysian banks.</w:t>
      </w:r>
    </w:p>
    <w:p w14:paraId="0E2EB276" w14:textId="77777777" w:rsidR="00600C09" w:rsidRPr="00600C09" w:rsidRDefault="00600C09" w:rsidP="00600C09">
      <w:pPr>
        <w:rPr>
          <w:b/>
          <w:bCs/>
        </w:rPr>
      </w:pPr>
      <w:r w:rsidRPr="00600C09">
        <w:rPr>
          <w:b/>
          <w:bCs/>
        </w:rPr>
        <w:t>6.5.2 IFSB (Islamic Financial Services Board)</w:t>
      </w:r>
    </w:p>
    <w:p w14:paraId="3081041A" w14:textId="77777777" w:rsidR="00600C09" w:rsidRPr="00600C09" w:rsidRDefault="00600C09" w:rsidP="00600C09">
      <w:r w:rsidRPr="00600C09">
        <w:t>Headquartered in Kuala Lumpur, IFSB develops prudential standards comparable to Basel frameworks.</w:t>
      </w:r>
    </w:p>
    <w:p w14:paraId="60872BDD" w14:textId="77777777" w:rsidR="00600C09" w:rsidRPr="00600C09" w:rsidRDefault="00600C09" w:rsidP="00600C09">
      <w:pPr>
        <w:numPr>
          <w:ilvl w:val="0"/>
          <w:numId w:val="226"/>
        </w:numPr>
      </w:pPr>
      <w:r w:rsidRPr="00600C09">
        <w:t xml:space="preserve">Its </w:t>
      </w:r>
      <w:r w:rsidRPr="00600C09">
        <w:rPr>
          <w:i/>
          <w:iCs/>
        </w:rPr>
        <w:t>Guiding Principles on Shariah Governance Systems</w:t>
      </w:r>
      <w:r w:rsidRPr="00600C09">
        <w:t xml:space="preserve"> (2009) stress independence, competence, and transparency of Shariah boards.</w:t>
      </w:r>
    </w:p>
    <w:p w14:paraId="3CAAB5FF" w14:textId="77777777" w:rsidR="00600C09" w:rsidRPr="00600C09" w:rsidRDefault="00600C09" w:rsidP="00600C09">
      <w:pPr>
        <w:numPr>
          <w:ilvl w:val="0"/>
          <w:numId w:val="226"/>
        </w:numPr>
      </w:pPr>
      <w:r w:rsidRPr="00600C09">
        <w:t>It encourages integration of Shariah compliance into overall risk management.</w:t>
      </w:r>
    </w:p>
    <w:p w14:paraId="7C14C303" w14:textId="77777777" w:rsidR="00600C09" w:rsidRPr="00600C09" w:rsidRDefault="00600C09" w:rsidP="00600C09">
      <w:pPr>
        <w:numPr>
          <w:ilvl w:val="0"/>
          <w:numId w:val="226"/>
        </w:numPr>
      </w:pPr>
      <w:r w:rsidRPr="00600C09">
        <w:t>While influential, IFSB standards lack binding force; adoption depends on national regulators.</w:t>
      </w:r>
    </w:p>
    <w:p w14:paraId="438A3FF4" w14:textId="77777777" w:rsidR="00600C09" w:rsidRPr="00600C09" w:rsidRDefault="00600C09" w:rsidP="00600C09">
      <w:pPr>
        <w:rPr>
          <w:b/>
          <w:bCs/>
        </w:rPr>
      </w:pPr>
      <w:r w:rsidRPr="00600C09">
        <w:rPr>
          <w:b/>
          <w:bCs/>
        </w:rPr>
        <w:t>6.5.3 Divergences Across Jurisdictions</w:t>
      </w:r>
    </w:p>
    <w:p w14:paraId="29C442D7" w14:textId="77777777" w:rsidR="00600C09" w:rsidRPr="00600C09" w:rsidRDefault="00600C09" w:rsidP="00600C09">
      <w:pPr>
        <w:numPr>
          <w:ilvl w:val="0"/>
          <w:numId w:val="227"/>
        </w:numPr>
      </w:pPr>
      <w:r w:rsidRPr="00600C09">
        <w:rPr>
          <w:b/>
          <w:bCs/>
        </w:rPr>
        <w:t>Malaysia vs. Gulf</w:t>
      </w:r>
      <w:r w:rsidRPr="00600C09">
        <w:t>: Malaysia’s pragmatic approach (constructive possession, government support undertakings) contrasts with Gulf conservatism.</w:t>
      </w:r>
    </w:p>
    <w:p w14:paraId="69450BB8" w14:textId="77777777" w:rsidR="00600C09" w:rsidRPr="00600C09" w:rsidRDefault="00600C09" w:rsidP="00600C09">
      <w:pPr>
        <w:numPr>
          <w:ilvl w:val="0"/>
          <w:numId w:val="227"/>
        </w:numPr>
      </w:pPr>
      <w:r w:rsidRPr="00600C09">
        <w:rPr>
          <w:b/>
          <w:bCs/>
        </w:rPr>
        <w:t>Indonesia</w:t>
      </w:r>
      <w:r w:rsidRPr="00600C09">
        <w:t>: Shariah governance relies on fatwas of the National Shariah Board (DSN-MUI), similar to SAC but less binding on courts.</w:t>
      </w:r>
    </w:p>
    <w:p w14:paraId="18DF74FA" w14:textId="77777777" w:rsidR="00600C09" w:rsidRPr="00600C09" w:rsidRDefault="00600C09" w:rsidP="00600C09">
      <w:pPr>
        <w:numPr>
          <w:ilvl w:val="0"/>
          <w:numId w:val="227"/>
        </w:numPr>
      </w:pPr>
      <w:r w:rsidRPr="00600C09">
        <w:rPr>
          <w:b/>
          <w:bCs/>
        </w:rPr>
        <w:t>UK</w:t>
      </w:r>
      <w:r w:rsidRPr="00600C09">
        <w:t>: No centralized Shariah authority; banks rely on their own Shariah boards, leading to diversity of practice.</w:t>
      </w:r>
    </w:p>
    <w:p w14:paraId="4F975A36" w14:textId="77777777" w:rsidR="00600C09" w:rsidRPr="00600C09" w:rsidRDefault="00600C09" w:rsidP="00600C09">
      <w:pPr>
        <w:rPr>
          <w:b/>
          <w:bCs/>
        </w:rPr>
      </w:pPr>
      <w:r w:rsidRPr="00600C09">
        <w:rPr>
          <w:b/>
          <w:bCs/>
        </w:rPr>
        <w:t>6.5.4 Prospects for Convergence</w:t>
      </w:r>
    </w:p>
    <w:p w14:paraId="7C6C96B7" w14:textId="77777777" w:rsidR="00600C09" w:rsidRPr="00600C09" w:rsidRDefault="00600C09" w:rsidP="00600C09">
      <w:pPr>
        <w:numPr>
          <w:ilvl w:val="0"/>
          <w:numId w:val="228"/>
        </w:numPr>
      </w:pPr>
      <w:r w:rsidRPr="00600C09">
        <w:rPr>
          <w:b/>
          <w:bCs/>
        </w:rPr>
        <w:t>Greater reliance on AAOIFI standards</w:t>
      </w:r>
      <w:r w:rsidRPr="00600C09">
        <w:t xml:space="preserve"> for cross-border sukuk and project finance, as they are widely accepted in the Gulf.</w:t>
      </w:r>
    </w:p>
    <w:p w14:paraId="6CDEE729" w14:textId="77777777" w:rsidR="00600C09" w:rsidRPr="00600C09" w:rsidRDefault="00600C09" w:rsidP="00600C09">
      <w:pPr>
        <w:numPr>
          <w:ilvl w:val="0"/>
          <w:numId w:val="228"/>
        </w:numPr>
      </w:pPr>
      <w:r w:rsidRPr="00600C09">
        <w:rPr>
          <w:b/>
          <w:bCs/>
        </w:rPr>
        <w:t>Mutual recognition agreements</w:t>
      </w:r>
      <w:r w:rsidRPr="00600C09">
        <w:t xml:space="preserve"> between SAC (Malaysia) and Gulf Shariah boards to streamline rulings.</w:t>
      </w:r>
    </w:p>
    <w:p w14:paraId="3E56F353" w14:textId="77777777" w:rsidR="00600C09" w:rsidRPr="00600C09" w:rsidRDefault="00600C09" w:rsidP="00600C09">
      <w:pPr>
        <w:numPr>
          <w:ilvl w:val="0"/>
          <w:numId w:val="228"/>
        </w:numPr>
      </w:pPr>
      <w:r w:rsidRPr="00600C09">
        <w:rPr>
          <w:b/>
          <w:bCs/>
        </w:rPr>
        <w:lastRenderedPageBreak/>
        <w:t>Hybrid structures</w:t>
      </w:r>
      <w:r w:rsidRPr="00600C09">
        <w:t xml:space="preserve"> referencing both SAC and AAOIFI standards, ensuring acceptance across jurisdictions.</w:t>
      </w:r>
    </w:p>
    <w:p w14:paraId="28C1927E" w14:textId="77777777" w:rsidR="00600C09" w:rsidRPr="00600C09" w:rsidRDefault="00600C09" w:rsidP="00600C09">
      <w:pPr>
        <w:rPr>
          <w:b/>
          <w:bCs/>
        </w:rPr>
      </w:pPr>
      <w:r w:rsidRPr="00600C09">
        <w:rPr>
          <w:b/>
          <w:bCs/>
        </w:rPr>
        <w:t>6.5.5 Challenges to Harmonization</w:t>
      </w:r>
    </w:p>
    <w:p w14:paraId="251DAF5C" w14:textId="77777777" w:rsidR="00600C09" w:rsidRPr="00600C09" w:rsidRDefault="00600C09" w:rsidP="00600C09">
      <w:pPr>
        <w:numPr>
          <w:ilvl w:val="0"/>
          <w:numId w:val="229"/>
        </w:numPr>
      </w:pPr>
      <w:r w:rsidRPr="00600C09">
        <w:rPr>
          <w:b/>
          <w:bCs/>
        </w:rPr>
        <w:t>Juristic pluralism</w:t>
      </w:r>
      <w:r w:rsidRPr="00600C09">
        <w:t>: Diversity of fiqh opinions is both strength and obstacle.</w:t>
      </w:r>
    </w:p>
    <w:p w14:paraId="7EDD301D" w14:textId="77777777" w:rsidR="00600C09" w:rsidRPr="00600C09" w:rsidRDefault="00600C09" w:rsidP="00600C09">
      <w:pPr>
        <w:numPr>
          <w:ilvl w:val="0"/>
          <w:numId w:val="229"/>
        </w:numPr>
      </w:pPr>
      <w:r w:rsidRPr="00600C09">
        <w:rPr>
          <w:b/>
          <w:bCs/>
        </w:rPr>
        <w:t>Regulatory sovereignty</w:t>
      </w:r>
      <w:r w:rsidRPr="00600C09">
        <w:t>: National regulators are reluctant to cede authority.</w:t>
      </w:r>
    </w:p>
    <w:p w14:paraId="068BC49F" w14:textId="77777777" w:rsidR="00600C09" w:rsidRPr="00600C09" w:rsidRDefault="00600C09" w:rsidP="00600C09">
      <w:pPr>
        <w:numPr>
          <w:ilvl w:val="0"/>
          <w:numId w:val="229"/>
        </w:numPr>
      </w:pPr>
      <w:r w:rsidRPr="00600C09">
        <w:rPr>
          <w:b/>
          <w:bCs/>
        </w:rPr>
        <w:t>Commercial incentives</w:t>
      </w:r>
      <w:r w:rsidRPr="00600C09">
        <w:t>: Some banks exploit divergences to engage in Shariah arbitrage.</w:t>
      </w:r>
    </w:p>
    <w:p w14:paraId="3B02B372" w14:textId="77777777" w:rsidR="00600C09" w:rsidRPr="00600C09" w:rsidRDefault="00600C09" w:rsidP="00600C09">
      <w:pPr>
        <w:rPr>
          <w:b/>
          <w:bCs/>
        </w:rPr>
      </w:pPr>
      <w:r w:rsidRPr="00600C09">
        <w:rPr>
          <w:b/>
          <w:bCs/>
        </w:rPr>
        <w:t>6.5.6 The Way Forward</w:t>
      </w:r>
    </w:p>
    <w:p w14:paraId="71AAF247" w14:textId="77777777" w:rsidR="00600C09" w:rsidRPr="00600C09" w:rsidRDefault="00600C09" w:rsidP="00600C09">
      <w:r w:rsidRPr="00600C09">
        <w:t>International harmonization will likely remain partial. However, convergence can be improved through:</w:t>
      </w:r>
    </w:p>
    <w:p w14:paraId="461D9424" w14:textId="77777777" w:rsidR="00600C09" w:rsidRPr="00600C09" w:rsidRDefault="00600C09" w:rsidP="00600C09">
      <w:pPr>
        <w:numPr>
          <w:ilvl w:val="0"/>
          <w:numId w:val="230"/>
        </w:numPr>
      </w:pPr>
      <w:r w:rsidRPr="00600C09">
        <w:t>Wider adoption of AAOIFI standards in the Gulf.</w:t>
      </w:r>
    </w:p>
    <w:p w14:paraId="77C8F6C7" w14:textId="77777777" w:rsidR="00600C09" w:rsidRPr="00600C09" w:rsidRDefault="00600C09" w:rsidP="00600C09">
      <w:pPr>
        <w:numPr>
          <w:ilvl w:val="0"/>
          <w:numId w:val="230"/>
        </w:numPr>
      </w:pPr>
      <w:r w:rsidRPr="00600C09">
        <w:t>Wider reference to SAC rulings in Asia-Pacific.</w:t>
      </w:r>
    </w:p>
    <w:p w14:paraId="253DA6F7" w14:textId="7EA39F6F" w:rsidR="006F03F2" w:rsidRPr="006F03F2" w:rsidRDefault="00600C09" w:rsidP="00600C09">
      <w:pPr>
        <w:numPr>
          <w:ilvl w:val="0"/>
          <w:numId w:val="230"/>
        </w:numPr>
      </w:pPr>
      <w:r w:rsidRPr="00600C09">
        <w:t>Increased dialogue between regulators, facilitated by IFSB and IDB (Islamic Development Bank).</w:t>
      </w:r>
    </w:p>
    <w:p w14:paraId="246D98F2" w14:textId="4DB1FDF9" w:rsidR="00600C09" w:rsidRPr="00600C09" w:rsidRDefault="00600C09" w:rsidP="00600C09"/>
    <w:p w14:paraId="1B913E4E" w14:textId="77777777" w:rsidR="00600C09" w:rsidRPr="00600C09" w:rsidRDefault="00600C09" w:rsidP="00600C09">
      <w:pPr>
        <w:rPr>
          <w:b/>
          <w:bCs/>
        </w:rPr>
      </w:pPr>
      <w:r w:rsidRPr="00600C09">
        <w:rPr>
          <w:b/>
          <w:bCs/>
        </w:rPr>
        <w:t>6.6 Challenges in Shariah Governance</w:t>
      </w:r>
    </w:p>
    <w:p w14:paraId="2E0FE744" w14:textId="77777777" w:rsidR="00600C09" w:rsidRPr="00600C09" w:rsidRDefault="00600C09" w:rsidP="00600C09">
      <w:r w:rsidRPr="00600C09">
        <w:t>Despite significant progress, Shariah governance continues to face several challenges.</w:t>
      </w:r>
    </w:p>
    <w:p w14:paraId="3327E6A2" w14:textId="77777777" w:rsidR="00600C09" w:rsidRPr="00600C09" w:rsidRDefault="00600C09" w:rsidP="00600C09">
      <w:pPr>
        <w:rPr>
          <w:b/>
          <w:bCs/>
        </w:rPr>
      </w:pPr>
      <w:r w:rsidRPr="00600C09">
        <w:rPr>
          <w:b/>
          <w:bCs/>
        </w:rPr>
        <w:t>6.6.1 Regulatory Arbitrage</w:t>
      </w:r>
    </w:p>
    <w:p w14:paraId="1CC7A0E8" w14:textId="77777777" w:rsidR="00600C09" w:rsidRPr="00600C09" w:rsidRDefault="00600C09" w:rsidP="00600C09">
      <w:r w:rsidRPr="00600C09">
        <w:t>Different jurisdictions interpret Shariah differently, allowing institutions to “shop” for favorable rulings. This undermines credibility and creates uncertainty in cross-border project finance.</w:t>
      </w:r>
    </w:p>
    <w:p w14:paraId="3174A5C5" w14:textId="77777777" w:rsidR="00600C09" w:rsidRPr="00600C09" w:rsidRDefault="00600C09" w:rsidP="00600C09">
      <w:pPr>
        <w:rPr>
          <w:b/>
          <w:bCs/>
        </w:rPr>
      </w:pPr>
      <w:r w:rsidRPr="00600C09">
        <w:rPr>
          <w:b/>
          <w:bCs/>
        </w:rPr>
        <w:t>6.6.2 Inconsistent Fatwas</w:t>
      </w:r>
    </w:p>
    <w:p w14:paraId="630846F6" w14:textId="77777777" w:rsidR="00600C09" w:rsidRPr="00600C09" w:rsidRDefault="00600C09" w:rsidP="00600C09">
      <w:r w:rsidRPr="00600C09">
        <w:t>Even within one jurisdiction, inconsistencies occur. Shariah committees may differ in opinions until regulators intervene. This inconsistency confuses stakeholders and may discourage investment.</w:t>
      </w:r>
    </w:p>
    <w:p w14:paraId="4F9747BF" w14:textId="77777777" w:rsidR="00600C09" w:rsidRPr="00600C09" w:rsidRDefault="00600C09" w:rsidP="00600C09">
      <w:pPr>
        <w:rPr>
          <w:b/>
          <w:bCs/>
        </w:rPr>
      </w:pPr>
      <w:r w:rsidRPr="00600C09">
        <w:rPr>
          <w:b/>
          <w:bCs/>
        </w:rPr>
        <w:t>6.6.3 Commercial Pressures vs. Integrity</w:t>
      </w:r>
    </w:p>
    <w:p w14:paraId="79A8584E" w14:textId="77777777" w:rsidR="00600C09" w:rsidRPr="00600C09" w:rsidRDefault="00600C09" w:rsidP="00600C09">
      <w:r w:rsidRPr="00600C09">
        <w:t>Shariah committees sometimes face pressure to approve products quickly to maintain competitiveness. While regulators emphasize independence, interview data (P3, P7) suggest commercial expediency often prevails.</w:t>
      </w:r>
    </w:p>
    <w:p w14:paraId="4A509415" w14:textId="77777777" w:rsidR="00600C09" w:rsidRPr="00600C09" w:rsidRDefault="00600C09" w:rsidP="00600C09">
      <w:pPr>
        <w:rPr>
          <w:b/>
          <w:bCs/>
        </w:rPr>
      </w:pPr>
      <w:r w:rsidRPr="00600C09">
        <w:rPr>
          <w:b/>
          <w:bCs/>
        </w:rPr>
        <w:t>6.6.4 Shariah Audit Limitations</w:t>
      </w:r>
    </w:p>
    <w:p w14:paraId="104DCB44" w14:textId="77777777" w:rsidR="00600C09" w:rsidRPr="00600C09" w:rsidRDefault="00600C09" w:rsidP="00600C09">
      <w:r w:rsidRPr="00600C09">
        <w:lastRenderedPageBreak/>
        <w:t>Although the SGPD requires Shariah audits, these functions are often under-resourced. Auditors may lack deep fiqh expertise, reducing the effectiveness of compliance checks.</w:t>
      </w:r>
    </w:p>
    <w:p w14:paraId="137B96D2" w14:textId="77777777" w:rsidR="00600C09" w:rsidRPr="00600C09" w:rsidRDefault="00600C09" w:rsidP="00600C09">
      <w:pPr>
        <w:rPr>
          <w:b/>
          <w:bCs/>
        </w:rPr>
      </w:pPr>
      <w:r w:rsidRPr="00600C09">
        <w:rPr>
          <w:b/>
          <w:bCs/>
        </w:rPr>
        <w:t>6.6.5 International Divergence</w:t>
      </w:r>
    </w:p>
    <w:p w14:paraId="0755A2BA" w14:textId="77777777" w:rsidR="00600C09" w:rsidRPr="00600C09" w:rsidRDefault="00600C09" w:rsidP="00600C09">
      <w:r w:rsidRPr="00600C09">
        <w:t>AAOIFI’s stricter stance vs. Malaysia’s pragmatic rulings complicates cross-border syndications. Without harmonization, Islamic project finance risks fragmentation.</w:t>
      </w:r>
    </w:p>
    <w:p w14:paraId="7B506207" w14:textId="58537832" w:rsidR="00600C09" w:rsidRDefault="00600C09" w:rsidP="00600C09">
      <w:pPr>
        <w:rPr>
          <w:noProof/>
        </w:rPr>
      </w:pPr>
    </w:p>
    <w:p w14:paraId="734807A4" w14:textId="77777777" w:rsidR="00DC6830" w:rsidRPr="00600C09" w:rsidRDefault="00DC6830" w:rsidP="00600C09"/>
    <w:p w14:paraId="55CDAA0B" w14:textId="77777777" w:rsidR="00600C09" w:rsidRPr="00600C09" w:rsidRDefault="00600C09" w:rsidP="00600C09">
      <w:pPr>
        <w:rPr>
          <w:b/>
          <w:bCs/>
        </w:rPr>
      </w:pPr>
      <w:r w:rsidRPr="00600C09">
        <w:rPr>
          <w:b/>
          <w:bCs/>
        </w:rPr>
        <w:t>6.7 Future Directions</w:t>
      </w:r>
    </w:p>
    <w:p w14:paraId="4E013971" w14:textId="77777777" w:rsidR="00600C09" w:rsidRPr="00600C09" w:rsidRDefault="00600C09" w:rsidP="00600C09">
      <w:r w:rsidRPr="00600C09">
        <w:t>Shariah governance must evolve to remain credible and effective. Several directions are critical:</w:t>
      </w:r>
    </w:p>
    <w:p w14:paraId="20058EE7" w14:textId="77777777" w:rsidR="00600C09" w:rsidRPr="00600C09" w:rsidRDefault="00600C09" w:rsidP="00600C09">
      <w:pPr>
        <w:rPr>
          <w:b/>
          <w:bCs/>
        </w:rPr>
      </w:pPr>
      <w:r w:rsidRPr="00600C09">
        <w:rPr>
          <w:b/>
          <w:bCs/>
        </w:rPr>
        <w:t>6.7.1 Embracing Technology (RegTech)</w:t>
      </w:r>
    </w:p>
    <w:p w14:paraId="1047E825" w14:textId="77777777" w:rsidR="00600C09" w:rsidRPr="00600C09" w:rsidRDefault="00600C09" w:rsidP="00600C09">
      <w:r w:rsidRPr="00600C09">
        <w:t>Artificial intelligence and blockchain can enhance compliance monitoring:</w:t>
      </w:r>
    </w:p>
    <w:p w14:paraId="31A19E12" w14:textId="77777777" w:rsidR="00600C09" w:rsidRPr="00600C09" w:rsidRDefault="00600C09" w:rsidP="00600C09">
      <w:pPr>
        <w:numPr>
          <w:ilvl w:val="0"/>
          <w:numId w:val="233"/>
        </w:numPr>
      </w:pPr>
      <w:r w:rsidRPr="00600C09">
        <w:t>Smart contracts can automatically block non-compliant transactions.</w:t>
      </w:r>
    </w:p>
    <w:p w14:paraId="2039EF15" w14:textId="77777777" w:rsidR="00600C09" w:rsidRPr="00600C09" w:rsidRDefault="00600C09" w:rsidP="00600C09">
      <w:pPr>
        <w:numPr>
          <w:ilvl w:val="0"/>
          <w:numId w:val="233"/>
        </w:numPr>
      </w:pPr>
      <w:r w:rsidRPr="00600C09">
        <w:t>AI can analyze documentation for Shariah compliance risks.</w:t>
      </w:r>
    </w:p>
    <w:p w14:paraId="6995CA99" w14:textId="77777777" w:rsidR="00600C09" w:rsidRPr="00600C09" w:rsidRDefault="00600C09" w:rsidP="00600C09">
      <w:pPr>
        <w:rPr>
          <w:b/>
          <w:bCs/>
        </w:rPr>
      </w:pPr>
      <w:r w:rsidRPr="00600C09">
        <w:rPr>
          <w:b/>
          <w:bCs/>
        </w:rPr>
        <w:t>6.7.2 Strengthening Maqāṣid Orientation</w:t>
      </w:r>
    </w:p>
    <w:p w14:paraId="328A44D9" w14:textId="77777777" w:rsidR="00600C09" w:rsidRPr="00600C09" w:rsidRDefault="00600C09" w:rsidP="00600C09">
      <w:r w:rsidRPr="00600C09">
        <w:t>Current governance often focuses on form rather than substance. A maqāṣid-based approach would:</w:t>
      </w:r>
    </w:p>
    <w:p w14:paraId="7D7FF692" w14:textId="77777777" w:rsidR="00600C09" w:rsidRPr="00600C09" w:rsidRDefault="00600C09" w:rsidP="00600C09">
      <w:pPr>
        <w:numPr>
          <w:ilvl w:val="0"/>
          <w:numId w:val="234"/>
        </w:numPr>
      </w:pPr>
      <w:r w:rsidRPr="00600C09">
        <w:t>Assess whether products promote justice and fairness.</w:t>
      </w:r>
    </w:p>
    <w:p w14:paraId="312332A8" w14:textId="77777777" w:rsidR="00600C09" w:rsidRPr="00600C09" w:rsidRDefault="00600C09" w:rsidP="00600C09">
      <w:pPr>
        <w:numPr>
          <w:ilvl w:val="0"/>
          <w:numId w:val="234"/>
        </w:numPr>
      </w:pPr>
      <w:r w:rsidRPr="00600C09">
        <w:t>Evaluate impact on social welfare, not just legal compliance.</w:t>
      </w:r>
    </w:p>
    <w:p w14:paraId="2E5B1500" w14:textId="77777777" w:rsidR="00600C09" w:rsidRPr="00600C09" w:rsidRDefault="00600C09" w:rsidP="00600C09">
      <w:pPr>
        <w:rPr>
          <w:b/>
          <w:bCs/>
        </w:rPr>
      </w:pPr>
      <w:r w:rsidRPr="00600C09">
        <w:rPr>
          <w:b/>
          <w:bCs/>
        </w:rPr>
        <w:t>6.7.3 Enhancing Global Harmonization</w:t>
      </w:r>
    </w:p>
    <w:p w14:paraId="77415CCA" w14:textId="77777777" w:rsidR="00600C09" w:rsidRPr="00600C09" w:rsidRDefault="00600C09" w:rsidP="00600C09">
      <w:pPr>
        <w:numPr>
          <w:ilvl w:val="0"/>
          <w:numId w:val="235"/>
        </w:numPr>
      </w:pPr>
      <w:r w:rsidRPr="00600C09">
        <w:t>More structured dialogue between SAC, AAOIFI, and IFSB.</w:t>
      </w:r>
    </w:p>
    <w:p w14:paraId="2191AFA4" w14:textId="77777777" w:rsidR="00600C09" w:rsidRPr="00600C09" w:rsidRDefault="00600C09" w:rsidP="00600C09">
      <w:pPr>
        <w:numPr>
          <w:ilvl w:val="0"/>
          <w:numId w:val="235"/>
        </w:numPr>
      </w:pPr>
      <w:r w:rsidRPr="00600C09">
        <w:t>Development of “core Shariah principles” accepted globally, akin to Basel standards.</w:t>
      </w:r>
    </w:p>
    <w:p w14:paraId="6D0BDC99" w14:textId="77777777" w:rsidR="00600C09" w:rsidRPr="00600C09" w:rsidRDefault="00600C09" w:rsidP="00600C09">
      <w:pPr>
        <w:numPr>
          <w:ilvl w:val="0"/>
          <w:numId w:val="235"/>
        </w:numPr>
      </w:pPr>
      <w:r w:rsidRPr="00600C09">
        <w:t>Mutual recognition of fatwas to reduce cross-border disputes.</w:t>
      </w:r>
    </w:p>
    <w:p w14:paraId="7B1AD85B" w14:textId="77777777" w:rsidR="00600C09" w:rsidRPr="00600C09" w:rsidRDefault="00600C09" w:rsidP="00600C09">
      <w:pPr>
        <w:rPr>
          <w:b/>
          <w:bCs/>
        </w:rPr>
      </w:pPr>
      <w:r w:rsidRPr="00600C09">
        <w:rPr>
          <w:b/>
          <w:bCs/>
        </w:rPr>
        <w:t>6.7.4 Professionalization of Shariah Scholars</w:t>
      </w:r>
    </w:p>
    <w:p w14:paraId="4FEB2826" w14:textId="77777777" w:rsidR="00600C09" w:rsidRPr="00600C09" w:rsidRDefault="00600C09" w:rsidP="00600C09">
      <w:pPr>
        <w:numPr>
          <w:ilvl w:val="0"/>
          <w:numId w:val="236"/>
        </w:numPr>
      </w:pPr>
      <w:r w:rsidRPr="00600C09">
        <w:t>Establishing global certification for Shariah advisors (e.g., via IFSB or AAOIFI).</w:t>
      </w:r>
    </w:p>
    <w:p w14:paraId="0B7014D9" w14:textId="77777777" w:rsidR="00600C09" w:rsidRPr="00600C09" w:rsidRDefault="00600C09" w:rsidP="00600C09">
      <w:pPr>
        <w:numPr>
          <w:ilvl w:val="0"/>
          <w:numId w:val="236"/>
        </w:numPr>
      </w:pPr>
      <w:r w:rsidRPr="00600C09">
        <w:t>Mandatory continuing education in finance, law, and risk management.</w:t>
      </w:r>
    </w:p>
    <w:p w14:paraId="65DC708B" w14:textId="77777777" w:rsidR="00600C09" w:rsidRPr="00600C09" w:rsidRDefault="00600C09" w:rsidP="00600C09">
      <w:pPr>
        <w:numPr>
          <w:ilvl w:val="0"/>
          <w:numId w:val="236"/>
        </w:numPr>
      </w:pPr>
      <w:r w:rsidRPr="00600C09">
        <w:t>Clear rotation and tenure policies to avoid conflicts of interest.</w:t>
      </w:r>
    </w:p>
    <w:p w14:paraId="54D668AD" w14:textId="77777777" w:rsidR="00600C09" w:rsidRPr="00600C09" w:rsidRDefault="00600C09" w:rsidP="00600C09">
      <w:pPr>
        <w:rPr>
          <w:b/>
          <w:bCs/>
        </w:rPr>
      </w:pPr>
      <w:r w:rsidRPr="00600C09">
        <w:rPr>
          <w:b/>
          <w:bCs/>
        </w:rPr>
        <w:t>6.7.5 Strengthening Shariah Audit and Review</w:t>
      </w:r>
    </w:p>
    <w:p w14:paraId="407A8911" w14:textId="77777777" w:rsidR="00600C09" w:rsidRPr="00600C09" w:rsidRDefault="00600C09" w:rsidP="00600C09">
      <w:pPr>
        <w:numPr>
          <w:ilvl w:val="0"/>
          <w:numId w:val="237"/>
        </w:numPr>
      </w:pPr>
      <w:r w:rsidRPr="00600C09">
        <w:lastRenderedPageBreak/>
        <w:t>Greater investment in Shariah audit departments.</w:t>
      </w:r>
    </w:p>
    <w:p w14:paraId="37E9314F" w14:textId="77777777" w:rsidR="00600C09" w:rsidRPr="00600C09" w:rsidRDefault="00600C09" w:rsidP="00600C09">
      <w:pPr>
        <w:numPr>
          <w:ilvl w:val="0"/>
          <w:numId w:val="237"/>
        </w:numPr>
      </w:pPr>
      <w:r w:rsidRPr="00600C09">
        <w:t>Training Shariah auditors with dual expertise in fiqh and accounting.</w:t>
      </w:r>
    </w:p>
    <w:p w14:paraId="08157F44" w14:textId="77777777" w:rsidR="00600C09" w:rsidRPr="00600C09" w:rsidRDefault="00600C09" w:rsidP="00600C09">
      <w:pPr>
        <w:numPr>
          <w:ilvl w:val="0"/>
          <w:numId w:val="237"/>
        </w:numPr>
      </w:pPr>
      <w:r w:rsidRPr="00600C09">
        <w:t>Independent reporting lines to boards rather than management.</w:t>
      </w:r>
    </w:p>
    <w:p w14:paraId="3BC005D5" w14:textId="2E39971B" w:rsidR="00600C09" w:rsidRDefault="00600C09" w:rsidP="00600C09">
      <w:pPr>
        <w:rPr>
          <w:noProof/>
        </w:rPr>
      </w:pPr>
    </w:p>
    <w:p w14:paraId="034975F4" w14:textId="77777777" w:rsidR="00DC6830" w:rsidRDefault="00DC6830" w:rsidP="00600C09">
      <w:pPr>
        <w:rPr>
          <w:noProof/>
        </w:rPr>
      </w:pPr>
    </w:p>
    <w:p w14:paraId="71E132CC" w14:textId="77777777" w:rsidR="00DC6830" w:rsidRDefault="00DC6830" w:rsidP="00600C09">
      <w:pPr>
        <w:rPr>
          <w:noProof/>
        </w:rPr>
      </w:pPr>
    </w:p>
    <w:p w14:paraId="6B4D5B11" w14:textId="77777777" w:rsidR="00DC6830" w:rsidRPr="00600C09" w:rsidRDefault="00DC6830" w:rsidP="00600C09"/>
    <w:p w14:paraId="50AC83B6" w14:textId="77777777" w:rsidR="00600C09" w:rsidRPr="00600C09" w:rsidRDefault="00600C09" w:rsidP="00600C09">
      <w:pPr>
        <w:rPr>
          <w:b/>
          <w:bCs/>
        </w:rPr>
      </w:pPr>
      <w:r w:rsidRPr="00600C09">
        <w:rPr>
          <w:b/>
          <w:bCs/>
        </w:rPr>
        <w:t>6.8 Conclusion</w:t>
      </w:r>
    </w:p>
    <w:p w14:paraId="0545B3F7" w14:textId="77777777" w:rsidR="00600C09" w:rsidRPr="00600C09" w:rsidRDefault="00600C09" w:rsidP="00600C09">
      <w:r w:rsidRPr="00600C09">
        <w:t>Shariah governance is the cornerstone of Islamic finance. It transforms Shariah from a symbolic label into a living framework that ensures integrity, accountability, and fairness. Malaysia’s centralized model—anchored in the SAC and BNM’s SGPD—offers best practices for consistency and enforceability. However, global divergence remains a significant challenge.</w:t>
      </w:r>
    </w:p>
    <w:p w14:paraId="5E15ABD9" w14:textId="77777777" w:rsidR="00600C09" w:rsidRPr="00600C09" w:rsidRDefault="00600C09" w:rsidP="00600C09">
      <w:r w:rsidRPr="00600C09">
        <w:t xml:space="preserve">For project finance, governance is especially critical. Security instruments such as rahn, kafālah, </w:t>
      </w:r>
      <w:r w:rsidRPr="00600C09">
        <w:rPr>
          <w:rFonts w:ascii="Calibri" w:hAnsi="Calibri" w:cs="Calibri"/>
        </w:rPr>
        <w:t>ḍ</w:t>
      </w:r>
      <w:r w:rsidRPr="00600C09">
        <w:t xml:space="preserve">amān, and </w:t>
      </w:r>
      <w:r w:rsidRPr="00600C09">
        <w:rPr>
          <w:rFonts w:ascii="Calibri" w:hAnsi="Calibri" w:cs="Calibri"/>
        </w:rPr>
        <w:t>ḥ</w:t>
      </w:r>
      <w:r w:rsidRPr="00600C09">
        <w:t>awālah must not only be structured correctly but also monitored and enforced with integrity. Without strong governance, even the most elegant contracts risk being reduced to formalities.</w:t>
      </w:r>
    </w:p>
    <w:p w14:paraId="006E889D" w14:textId="77777777" w:rsidR="00600C09" w:rsidRPr="00600C09" w:rsidRDefault="00600C09" w:rsidP="00600C09">
      <w:r w:rsidRPr="00600C09">
        <w:t>Looking ahead, Shariah governance must embrace maqāṣid, technology, and global harmonization. Only then can Islamic finance offer a credible, ethical, and sustainable alternative in the complex world of project finance.</w:t>
      </w:r>
    </w:p>
    <w:p w14:paraId="2B7BAE47" w14:textId="77777777" w:rsidR="00600C09" w:rsidRPr="00600C09" w:rsidRDefault="00600C09" w:rsidP="00600C09">
      <w:r w:rsidRPr="00600C09">
        <w:t xml:space="preserve">This chapter paves the way for Chapter 7, which will argue for </w:t>
      </w:r>
      <w:r w:rsidRPr="00600C09">
        <w:rPr>
          <w:b/>
          <w:bCs/>
        </w:rPr>
        <w:t>reform and innovation</w:t>
      </w:r>
      <w:r w:rsidRPr="00600C09">
        <w:t xml:space="preserve"> in Islamic security instruments, proposing new models that blend authenticity with practicality.</w:t>
      </w:r>
    </w:p>
    <w:p w14:paraId="42D998F5" w14:textId="77777777" w:rsidR="00600C09" w:rsidRPr="00600C09" w:rsidRDefault="00877B45" w:rsidP="00600C09">
      <w:r>
        <w:rPr>
          <w:noProof/>
        </w:rPr>
      </w:r>
      <w:r w:rsidR="00877B45">
        <w:rPr>
          <w:noProof/>
        </w:rPr>
        <w:pict w14:anchorId="0F235CF9">
          <v:rect id="_x0000_i1187" style="width:0;height:1.5pt" o:hralign="center" o:hrstd="t" o:hr="t" fillcolor="#a0a0a0" stroked="f"/>
        </w:pict>
      </w:r>
    </w:p>
    <w:p w14:paraId="30CDD911" w14:textId="77777777" w:rsidR="00600C09" w:rsidRPr="00600C09" w:rsidRDefault="00600C09" w:rsidP="00600C09">
      <w:pPr>
        <w:rPr>
          <w:b/>
          <w:bCs/>
        </w:rPr>
      </w:pPr>
      <w:r w:rsidRPr="00600C09">
        <w:rPr>
          <w:rFonts w:ascii="Segoe UI Emoji" w:hAnsi="Segoe UI Emoji" w:cs="Segoe UI Emoji"/>
          <w:b/>
          <w:bCs/>
        </w:rPr>
        <w:t>📚</w:t>
      </w:r>
      <w:r w:rsidRPr="00600C09">
        <w:rPr>
          <w:b/>
          <w:bCs/>
        </w:rPr>
        <w:t xml:space="preserve"> References (APA 7th Edition)</w:t>
      </w:r>
    </w:p>
    <w:p w14:paraId="640D2C1A" w14:textId="77777777" w:rsidR="00600C09" w:rsidRPr="00600C09" w:rsidRDefault="00600C09" w:rsidP="00600C09">
      <w:r w:rsidRPr="00600C09">
        <w:t xml:space="preserve">AAOIFI. (2021). </w:t>
      </w:r>
      <w:r w:rsidRPr="00600C09">
        <w:rPr>
          <w:i/>
          <w:iCs/>
        </w:rPr>
        <w:t>Shariah standards</w:t>
      </w:r>
      <w:r w:rsidRPr="00600C09">
        <w:t>. Accounting and Auditing Organization for Islamic Financial Institutions.</w:t>
      </w:r>
    </w:p>
    <w:p w14:paraId="6861D3DC" w14:textId="77777777" w:rsidR="00600C09" w:rsidRPr="00600C09" w:rsidRDefault="00600C09" w:rsidP="00600C09">
      <w:r w:rsidRPr="00600C09">
        <w:t xml:space="preserve">Al-Ghazali, A. H. (1997). </w:t>
      </w:r>
      <w:r w:rsidRPr="00600C09">
        <w:rPr>
          <w:i/>
          <w:iCs/>
        </w:rPr>
        <w:t>Al-Mustasfa min ‘ilm al-usul</w:t>
      </w:r>
      <w:r w:rsidRPr="00600C09">
        <w:t>. Dar al-Kutub al-‘Ilmiyyah.</w:t>
      </w:r>
    </w:p>
    <w:p w14:paraId="0C0986C7" w14:textId="77777777" w:rsidR="00600C09" w:rsidRPr="00600C09" w:rsidRDefault="00600C09" w:rsidP="00600C09">
      <w:r w:rsidRPr="00600C09">
        <w:t xml:space="preserve">Al-Shatibi, A. I. (1997). </w:t>
      </w:r>
      <w:r w:rsidRPr="00600C09">
        <w:rPr>
          <w:i/>
          <w:iCs/>
        </w:rPr>
        <w:t>Al-Muwafaqat fi usul al-shariah</w:t>
      </w:r>
      <w:r w:rsidRPr="00600C09">
        <w:t>. Dar Ibn ‘Affan.</w:t>
      </w:r>
    </w:p>
    <w:p w14:paraId="64842A53" w14:textId="77777777" w:rsidR="00600C09" w:rsidRPr="00600C09" w:rsidRDefault="00600C09" w:rsidP="00600C09">
      <w:r w:rsidRPr="00600C09">
        <w:t xml:space="preserve">Al-Zuhayli, W. (2003). </w:t>
      </w:r>
      <w:r w:rsidRPr="00600C09">
        <w:rPr>
          <w:i/>
          <w:iCs/>
        </w:rPr>
        <w:t>Financial transactions in Islamic jurisprudence</w:t>
      </w:r>
      <w:r w:rsidRPr="00600C09">
        <w:t xml:space="preserve"> (M. El-Gamal, Trans.). Dar al-Fikr.</w:t>
      </w:r>
    </w:p>
    <w:p w14:paraId="3D58AE89" w14:textId="77777777" w:rsidR="00600C09" w:rsidRPr="00600C09" w:rsidRDefault="00600C09" w:rsidP="00600C09">
      <w:r w:rsidRPr="00600C09">
        <w:lastRenderedPageBreak/>
        <w:t xml:space="preserve">Bank Negara Malaysia. (2019). </w:t>
      </w:r>
      <w:r w:rsidRPr="00600C09">
        <w:rPr>
          <w:i/>
          <w:iCs/>
        </w:rPr>
        <w:t>Shariah Governance Policy Document</w:t>
      </w:r>
      <w:r w:rsidRPr="00600C09">
        <w:t>. Bank Negara Malaysia.</w:t>
      </w:r>
    </w:p>
    <w:p w14:paraId="0E2C8554" w14:textId="77777777" w:rsidR="00600C09" w:rsidRPr="00600C09" w:rsidRDefault="00600C09" w:rsidP="00600C09">
      <w:r w:rsidRPr="00600C09">
        <w:t xml:space="preserve">Dusuki, A. W., &amp; Bouheraoua, S. (2011). The framework of maqasid al-shariah and its implications for Islamic finance. </w:t>
      </w:r>
      <w:r w:rsidRPr="00600C09">
        <w:rPr>
          <w:i/>
          <w:iCs/>
        </w:rPr>
        <w:t>Islamic Finance Research Papers</w:t>
      </w:r>
      <w:r w:rsidRPr="00600C09">
        <w:t>. ISRA.</w:t>
      </w:r>
    </w:p>
    <w:p w14:paraId="5D03ACE6" w14:textId="77777777" w:rsidR="00600C09" w:rsidRPr="00600C09" w:rsidRDefault="00600C09" w:rsidP="00600C09">
      <w:r w:rsidRPr="00600C09">
        <w:t xml:space="preserve">El-Gamal, M. A. (2006). </w:t>
      </w:r>
      <w:r w:rsidRPr="00600C09">
        <w:rPr>
          <w:i/>
          <w:iCs/>
        </w:rPr>
        <w:t>Islamic finance: Law, economics, and practice</w:t>
      </w:r>
      <w:r w:rsidRPr="00600C09">
        <w:t>. Cambridge University Press.</w:t>
      </w:r>
    </w:p>
    <w:p w14:paraId="710CD509" w14:textId="77777777" w:rsidR="00600C09" w:rsidRPr="00600C09" w:rsidRDefault="00600C09" w:rsidP="00600C09">
      <w:r w:rsidRPr="00600C09">
        <w:t xml:space="preserve">Yescombe, E. R. (2014). </w:t>
      </w:r>
      <w:r w:rsidRPr="00600C09">
        <w:rPr>
          <w:i/>
          <w:iCs/>
        </w:rPr>
        <w:t>Principles of project finance</w:t>
      </w:r>
      <w:r w:rsidRPr="00600C09">
        <w:t xml:space="preserve"> (2nd ed.). Academic Press.</w:t>
      </w:r>
    </w:p>
    <w:p w14:paraId="628B1B41" w14:textId="132F8906" w:rsidR="00600C09" w:rsidRPr="00600C09" w:rsidRDefault="00600C09" w:rsidP="00600C09"/>
    <w:p w14:paraId="7BB06B15" w14:textId="234D9228" w:rsidR="00600C09" w:rsidRPr="00600C09" w:rsidRDefault="00600C09" w:rsidP="00646A70"/>
    <w:p w14:paraId="3A08F41F" w14:textId="77777777" w:rsidR="00600C09" w:rsidRPr="00600C09" w:rsidRDefault="00877B45" w:rsidP="00600C09">
      <w:r>
        <w:rPr>
          <w:noProof/>
        </w:rPr>
      </w:r>
      <w:r w:rsidR="00877B45">
        <w:rPr>
          <w:noProof/>
        </w:rPr>
        <w:pict w14:anchorId="1F641EDF">
          <v:rect id="_x0000_i1192" style="width:0;height:1.5pt" o:hralign="center" o:hrstd="t" o:hr="t" fillcolor="#a0a0a0" stroked="f"/>
        </w:pict>
      </w:r>
    </w:p>
    <w:p w14:paraId="048A2DE5" w14:textId="77777777" w:rsidR="00600C09" w:rsidRPr="00600C09" w:rsidRDefault="00600C09" w:rsidP="00600C09">
      <w:pPr>
        <w:rPr>
          <w:b/>
          <w:bCs/>
        </w:rPr>
      </w:pPr>
      <w:r w:rsidRPr="00600C09">
        <w:rPr>
          <w:rFonts w:ascii="Segoe UI Emoji" w:hAnsi="Segoe UI Emoji" w:cs="Segoe UI Emoji"/>
          <w:b/>
          <w:bCs/>
        </w:rPr>
        <w:t>📖</w:t>
      </w:r>
      <w:r w:rsidRPr="00600C09">
        <w:rPr>
          <w:b/>
          <w:bCs/>
        </w:rPr>
        <w:t xml:space="preserve"> Chapter 7 — Reform and Innovation in Islamic Security Instruments</w:t>
      </w:r>
    </w:p>
    <w:p w14:paraId="440F5B7F" w14:textId="77777777" w:rsidR="00600C09" w:rsidRPr="00600C09" w:rsidRDefault="00877B45" w:rsidP="00600C09">
      <w:r>
        <w:rPr>
          <w:noProof/>
        </w:rPr>
      </w:r>
      <w:r w:rsidR="00877B45">
        <w:rPr>
          <w:noProof/>
        </w:rPr>
        <w:pict w14:anchorId="5F010203">
          <v:rect id="_x0000_i1193" style="width:0;height:1.5pt" o:hralign="center" o:hrstd="t" o:hr="t" fillcolor="#a0a0a0" stroked="f"/>
        </w:pict>
      </w:r>
    </w:p>
    <w:p w14:paraId="1C35DE8C" w14:textId="77777777" w:rsidR="00600C09" w:rsidRPr="00600C09" w:rsidRDefault="00600C09" w:rsidP="00600C09">
      <w:pPr>
        <w:rPr>
          <w:b/>
          <w:bCs/>
        </w:rPr>
      </w:pPr>
      <w:r w:rsidRPr="00600C09">
        <w:rPr>
          <w:b/>
          <w:bCs/>
        </w:rPr>
        <w:t>7.1 Introduction</w:t>
      </w:r>
    </w:p>
    <w:p w14:paraId="59A7584E" w14:textId="77777777" w:rsidR="00600C09" w:rsidRPr="00600C09" w:rsidRDefault="00600C09" w:rsidP="00600C09">
      <w:r w:rsidRPr="00600C09">
        <w:t xml:space="preserve">Islamic security instruments — rahn, kafālah, </w:t>
      </w:r>
      <w:r w:rsidRPr="00600C09">
        <w:rPr>
          <w:rFonts w:ascii="Calibri" w:hAnsi="Calibri" w:cs="Calibri"/>
        </w:rPr>
        <w:t>ḍ</w:t>
      </w:r>
      <w:r w:rsidRPr="00600C09">
        <w:t xml:space="preserve">amān, and </w:t>
      </w:r>
      <w:r w:rsidRPr="00600C09">
        <w:rPr>
          <w:rFonts w:ascii="Calibri" w:hAnsi="Calibri" w:cs="Calibri"/>
        </w:rPr>
        <w:t>ḥ</w:t>
      </w:r>
      <w:r w:rsidRPr="00600C09">
        <w:t xml:space="preserve">awālah — have been examined in earlier chapters from theoretical, comparative, and applied perspectives. While these instruments provide legitimate Shariah-compliant alternatives to mortgages, pledges, guarantees, and debt transfers, the analysis has revealed persistent </w:t>
      </w:r>
      <w:r w:rsidRPr="00600C09">
        <w:rPr>
          <w:b/>
          <w:bCs/>
        </w:rPr>
        <w:t>gaps and limitations</w:t>
      </w:r>
      <w:r w:rsidRPr="00600C09">
        <w:t>. These include:</w:t>
      </w:r>
    </w:p>
    <w:p w14:paraId="03F39210" w14:textId="77777777" w:rsidR="00600C09" w:rsidRPr="00600C09" w:rsidRDefault="00600C09" w:rsidP="00600C09">
      <w:pPr>
        <w:numPr>
          <w:ilvl w:val="0"/>
          <w:numId w:val="248"/>
        </w:numPr>
      </w:pPr>
      <w:r w:rsidRPr="00600C09">
        <w:rPr>
          <w:b/>
          <w:bCs/>
        </w:rPr>
        <w:t>Restricted scope</w:t>
      </w:r>
      <w:r w:rsidRPr="00600C09">
        <w:t>: Rahn traditionally requires physical possession, which complicates its application to large-scale, intangible, or complex assets in project finance.</w:t>
      </w:r>
    </w:p>
    <w:p w14:paraId="32372E9B" w14:textId="77777777" w:rsidR="00600C09" w:rsidRPr="00600C09" w:rsidRDefault="00600C09" w:rsidP="00600C09">
      <w:pPr>
        <w:numPr>
          <w:ilvl w:val="0"/>
          <w:numId w:val="248"/>
        </w:numPr>
      </w:pPr>
      <w:r w:rsidRPr="00600C09">
        <w:rPr>
          <w:b/>
          <w:bCs/>
        </w:rPr>
        <w:t>Prohibition of fees</w:t>
      </w:r>
      <w:r w:rsidRPr="00600C09">
        <w:t xml:space="preserve">: Kafālah and </w:t>
      </w:r>
      <w:r w:rsidRPr="00600C09">
        <w:rPr>
          <w:rFonts w:ascii="Calibri" w:hAnsi="Calibri" w:cs="Calibri"/>
        </w:rPr>
        <w:t>ḍ</w:t>
      </w:r>
      <w:r w:rsidRPr="00600C09">
        <w:t>amān are considered gratuitous acts, limiting their commercial attractiveness compared to fee-based conventional guarantees.</w:t>
      </w:r>
    </w:p>
    <w:p w14:paraId="0A03AC08" w14:textId="77777777" w:rsidR="00600C09" w:rsidRPr="00600C09" w:rsidRDefault="00600C09" w:rsidP="00600C09">
      <w:pPr>
        <w:numPr>
          <w:ilvl w:val="0"/>
          <w:numId w:val="248"/>
        </w:numPr>
      </w:pPr>
      <w:r w:rsidRPr="00600C09">
        <w:rPr>
          <w:b/>
          <w:bCs/>
        </w:rPr>
        <w:t>Liquidity limitations</w:t>
      </w:r>
      <w:r w:rsidRPr="00600C09">
        <w:t xml:space="preserve">: </w:t>
      </w:r>
      <w:r w:rsidRPr="00600C09">
        <w:rPr>
          <w:rFonts w:ascii="Calibri" w:hAnsi="Calibri" w:cs="Calibri"/>
        </w:rPr>
        <w:t>Ḥ</w:t>
      </w:r>
      <w:r w:rsidRPr="00600C09">
        <w:t>awālah prohibits discounted debt trading, restricting secondary market liquidity that is crucial in global finance.</w:t>
      </w:r>
    </w:p>
    <w:p w14:paraId="49EB5977" w14:textId="77777777" w:rsidR="00600C09" w:rsidRPr="00600C09" w:rsidRDefault="00600C09" w:rsidP="00600C09">
      <w:pPr>
        <w:numPr>
          <w:ilvl w:val="0"/>
          <w:numId w:val="248"/>
        </w:numPr>
      </w:pPr>
      <w:r w:rsidRPr="00600C09">
        <w:rPr>
          <w:b/>
          <w:bCs/>
        </w:rPr>
        <w:t>Enforceability gaps</w:t>
      </w:r>
      <w:r w:rsidRPr="00600C09">
        <w:t>: Jurisdictions differ in recognition and treatment of Islamic contracts, creating uncertainty in cross-border project finance.</w:t>
      </w:r>
    </w:p>
    <w:p w14:paraId="64D40AA9" w14:textId="77777777" w:rsidR="00600C09" w:rsidRPr="00600C09" w:rsidRDefault="00600C09" w:rsidP="00600C09">
      <w:r w:rsidRPr="00600C09">
        <w:t xml:space="preserve">Without reform and innovation, Islamic finance risks being constrained to niche applications, unable to compete with conventional instruments in large-scale international financing. Yet reform must balance </w:t>
      </w:r>
      <w:r w:rsidRPr="00600C09">
        <w:rPr>
          <w:b/>
          <w:bCs/>
        </w:rPr>
        <w:t>authenticity (Shariah integrity)</w:t>
      </w:r>
      <w:r w:rsidRPr="00600C09">
        <w:t xml:space="preserve"> with </w:t>
      </w:r>
      <w:r w:rsidRPr="00600C09">
        <w:rPr>
          <w:b/>
          <w:bCs/>
        </w:rPr>
        <w:t>practicality (market competitiveness)</w:t>
      </w:r>
      <w:r w:rsidRPr="00600C09">
        <w:t>.</w:t>
      </w:r>
    </w:p>
    <w:p w14:paraId="35A9ECD5" w14:textId="77777777" w:rsidR="00600C09" w:rsidRPr="00600C09" w:rsidRDefault="00600C09" w:rsidP="00600C09">
      <w:r w:rsidRPr="00600C09">
        <w:lastRenderedPageBreak/>
        <w:t xml:space="preserve">This chapter addresses the need for reform and innovation in Islamic security instruments. It begins by identifying the </w:t>
      </w:r>
      <w:r w:rsidRPr="00600C09">
        <w:rPr>
          <w:b/>
          <w:bCs/>
        </w:rPr>
        <w:t>drivers of reform</w:t>
      </w:r>
      <w:r w:rsidRPr="00600C09">
        <w:t xml:space="preserve"> — regulatory, market, cross-border, and ethical. It then explores how classical instruments may be reformed, highlights innovative models already in practice, and outlines policy and regulatory developments. Finally, it presents a maqāṣid-oriented reform agenda and revisits the Compatibility Index, projecting how reforms could improve alignment between Islamic and conventional security frameworks.</w:t>
      </w:r>
    </w:p>
    <w:p w14:paraId="52EF6F62" w14:textId="07FFEA4E" w:rsidR="00600C09" w:rsidRPr="00600C09" w:rsidRDefault="00600C09" w:rsidP="00600C09"/>
    <w:p w14:paraId="4690F1CC" w14:textId="77777777" w:rsidR="00600C09" w:rsidRPr="00600C09" w:rsidRDefault="00600C09" w:rsidP="00600C09">
      <w:pPr>
        <w:rPr>
          <w:b/>
          <w:bCs/>
        </w:rPr>
      </w:pPr>
      <w:r w:rsidRPr="00600C09">
        <w:rPr>
          <w:b/>
          <w:bCs/>
        </w:rPr>
        <w:t>7.2 Drivers of Reform</w:t>
      </w:r>
    </w:p>
    <w:p w14:paraId="7183F3F4" w14:textId="67AC6938" w:rsidR="00923425" w:rsidRPr="00600C09" w:rsidRDefault="00600C09" w:rsidP="00600C09">
      <w:r w:rsidRPr="00600C09">
        <w:t>Reform in Islamic security instruments is not optional but necessary, driven by multiple forces within the financial ecosystem.</w:t>
      </w:r>
    </w:p>
    <w:p w14:paraId="0C521B99" w14:textId="77777777" w:rsidR="00600C09" w:rsidRPr="00600C09" w:rsidRDefault="00600C09" w:rsidP="00600C09">
      <w:pPr>
        <w:rPr>
          <w:b/>
          <w:bCs/>
        </w:rPr>
      </w:pPr>
      <w:r w:rsidRPr="00600C09">
        <w:rPr>
          <w:b/>
          <w:bCs/>
        </w:rPr>
        <w:t>7.2.1 Regulatory Demands</w:t>
      </w:r>
    </w:p>
    <w:p w14:paraId="44F9821E" w14:textId="77777777" w:rsidR="00600C09" w:rsidRPr="00600C09" w:rsidRDefault="00600C09" w:rsidP="00600C09">
      <w:r w:rsidRPr="00600C09">
        <w:rPr>
          <w:b/>
          <w:bCs/>
        </w:rPr>
        <w:t>1. Central Bank Oversight</w:t>
      </w:r>
      <w:r w:rsidRPr="00600C09">
        <w:br/>
        <w:t xml:space="preserve">Regulators such as Bank Negara Malaysia (BNM), the Saudi Arabian Monetary Authority (SAMA), and the Central Bank of the UAE increasingly emphasize that Shariah compliance must be </w:t>
      </w:r>
      <w:r w:rsidRPr="00600C09">
        <w:rPr>
          <w:b/>
          <w:bCs/>
        </w:rPr>
        <w:t>substantive</w:t>
      </w:r>
      <w:r w:rsidRPr="00600C09">
        <w:t xml:space="preserve"> rather than merely formal. This requires security instruments to be enforceable in court, integrated into risk management, and consistent with Shariah rulings.</w:t>
      </w:r>
    </w:p>
    <w:p w14:paraId="330181F4" w14:textId="77777777" w:rsidR="00600C09" w:rsidRPr="00600C09" w:rsidRDefault="00600C09" w:rsidP="00600C09">
      <w:r w:rsidRPr="00600C09">
        <w:rPr>
          <w:b/>
          <w:bCs/>
        </w:rPr>
        <w:t>2. Shariah Governance Standards</w:t>
      </w:r>
      <w:r w:rsidRPr="00600C09">
        <w:br/>
        <w:t xml:space="preserve">BNM’s </w:t>
      </w:r>
      <w:r w:rsidRPr="00600C09">
        <w:rPr>
          <w:i/>
          <w:iCs/>
        </w:rPr>
        <w:t>Shariah Governance Policy Document (2019)</w:t>
      </w:r>
      <w:r w:rsidRPr="00600C09">
        <w:t xml:space="preserve"> requires Shariah Committees to evaluate not only contracts but also their commercial implications. Similarly, AAOIFI Shariah Standards set out detailed rules on rahn, kafālah, and </w:t>
      </w:r>
      <w:r w:rsidRPr="00600C09">
        <w:rPr>
          <w:rFonts w:ascii="Calibri" w:hAnsi="Calibri" w:cs="Calibri"/>
        </w:rPr>
        <w:t>ḥ</w:t>
      </w:r>
      <w:r w:rsidRPr="00600C09">
        <w:t>awālah, but these often clash with national practices, driving demand for harmonization.</w:t>
      </w:r>
    </w:p>
    <w:p w14:paraId="5BE34B4D" w14:textId="77777777" w:rsidR="00600C09" w:rsidRPr="00600C09" w:rsidRDefault="00600C09" w:rsidP="00600C09">
      <w:r w:rsidRPr="00600C09">
        <w:rPr>
          <w:b/>
          <w:bCs/>
        </w:rPr>
        <w:t>3. Basel and Prudential Standards</w:t>
      </w:r>
      <w:r w:rsidRPr="00600C09">
        <w:br/>
        <w:t>Islamic banks are required to meet international prudential standards (Basel III), including capital adequacy and collateral management. This requires Islamic security instruments to provide risk mitigation equivalent to conventional instruments, pressuring regulators to allow wider interpretations of rahn and guarantees.</w:t>
      </w:r>
    </w:p>
    <w:p w14:paraId="39CCA4C3" w14:textId="4909F834" w:rsidR="00600C09" w:rsidRPr="00600C09" w:rsidRDefault="00600C09" w:rsidP="00600C09"/>
    <w:p w14:paraId="7AD993DE" w14:textId="77777777" w:rsidR="00600C09" w:rsidRPr="00600C09" w:rsidRDefault="00600C09" w:rsidP="00600C09">
      <w:pPr>
        <w:rPr>
          <w:b/>
          <w:bCs/>
        </w:rPr>
      </w:pPr>
      <w:r w:rsidRPr="00600C09">
        <w:rPr>
          <w:b/>
          <w:bCs/>
        </w:rPr>
        <w:t>7.2.2 Market Competitiveness</w:t>
      </w:r>
    </w:p>
    <w:p w14:paraId="080AB359" w14:textId="77777777" w:rsidR="00600C09" w:rsidRPr="00600C09" w:rsidRDefault="00600C09" w:rsidP="00600C09">
      <w:r w:rsidRPr="00600C09">
        <w:rPr>
          <w:b/>
          <w:bCs/>
        </w:rPr>
        <w:t>1. Global Financing Needs</w:t>
      </w:r>
      <w:r w:rsidRPr="00600C09">
        <w:br/>
        <w:t>Project finance requires security packages acceptable to both Islamic and conventional financiers. If Islamic instruments cannot provide equivalent protection, Islamic banks risk exclusion from major syndications.</w:t>
      </w:r>
    </w:p>
    <w:p w14:paraId="1D8F0F03" w14:textId="77777777" w:rsidR="00600C09" w:rsidRPr="00600C09" w:rsidRDefault="00600C09" w:rsidP="00600C09">
      <w:r w:rsidRPr="00600C09">
        <w:rPr>
          <w:b/>
          <w:bCs/>
        </w:rPr>
        <w:t>2. Investor Confidence</w:t>
      </w:r>
      <w:r w:rsidRPr="00600C09">
        <w:br/>
        <w:t xml:space="preserve">Sukuk investors demand robust collateralization to protect their capital. Without </w:t>
      </w:r>
      <w:r w:rsidRPr="00600C09">
        <w:lastRenderedPageBreak/>
        <w:t>credible Islamic security instruments, sukuk may be perceived as riskier than conventional bonds, undermining their attractiveness.</w:t>
      </w:r>
    </w:p>
    <w:p w14:paraId="143FA9FA" w14:textId="77777777" w:rsidR="00600C09" w:rsidRPr="00600C09" w:rsidRDefault="00600C09" w:rsidP="00600C09">
      <w:r w:rsidRPr="00600C09">
        <w:rPr>
          <w:b/>
          <w:bCs/>
        </w:rPr>
        <w:t>3. Product Innovation Race</w:t>
      </w:r>
      <w:r w:rsidRPr="00600C09">
        <w:br/>
        <w:t>Financial markets constantly innovate. Conventional finance has developed derivatives, structured guarantees, and securitization. Islamic finance must innovate within Shariah boundaries to remain competitive, or risk irrelevance.</w:t>
      </w:r>
    </w:p>
    <w:p w14:paraId="6968A506" w14:textId="21F488CC" w:rsidR="00600C09" w:rsidRPr="00600C09" w:rsidRDefault="00600C09" w:rsidP="00600C09"/>
    <w:p w14:paraId="6E8FC2C6" w14:textId="77777777" w:rsidR="00600C09" w:rsidRPr="00600C09" w:rsidRDefault="00600C09" w:rsidP="00600C09">
      <w:pPr>
        <w:rPr>
          <w:b/>
          <w:bCs/>
        </w:rPr>
      </w:pPr>
      <w:r w:rsidRPr="00600C09">
        <w:rPr>
          <w:b/>
          <w:bCs/>
        </w:rPr>
        <w:t>7.2.3 Cross-Border Harmonization</w:t>
      </w:r>
    </w:p>
    <w:p w14:paraId="1C301FD7" w14:textId="77777777" w:rsidR="00600C09" w:rsidRPr="00600C09" w:rsidRDefault="00600C09" w:rsidP="00600C09">
      <w:r w:rsidRPr="00600C09">
        <w:rPr>
          <w:b/>
          <w:bCs/>
        </w:rPr>
        <w:t>1. Divergent Fatwas</w:t>
      </w:r>
      <w:r w:rsidRPr="00600C09">
        <w:br/>
        <w:t>As noted in Chapter 6, differences between Malaysian SAC rulings (pragmatic, constructive possession allowed) and Gulf interpretations (textualist, tangible assets only) complicate cross-border transactions. Reform is needed to harmonize interpretations or at least provide mutual recognition.</w:t>
      </w:r>
    </w:p>
    <w:p w14:paraId="7D4242F5" w14:textId="77777777" w:rsidR="00600C09" w:rsidRPr="00600C09" w:rsidRDefault="00600C09" w:rsidP="00600C09">
      <w:r w:rsidRPr="00600C09">
        <w:rPr>
          <w:b/>
          <w:bCs/>
        </w:rPr>
        <w:t>2. International Participation</w:t>
      </w:r>
      <w:r w:rsidRPr="00600C09">
        <w:br/>
        <w:t>Large infrastructure projects often involve multinational syndicates. If Islamic security instruments lack cross-border enforceability, Islamic banks may be sidelined. Harmonized frameworks would allow smoother participation.</w:t>
      </w:r>
    </w:p>
    <w:p w14:paraId="720FB89F" w14:textId="77777777" w:rsidR="00600C09" w:rsidRPr="00600C09" w:rsidRDefault="00600C09" w:rsidP="00600C09">
      <w:r w:rsidRPr="00600C09">
        <w:rPr>
          <w:b/>
          <w:bCs/>
        </w:rPr>
        <w:t>3. Standard-Setting Pressure</w:t>
      </w:r>
      <w:r w:rsidRPr="00600C09">
        <w:br/>
        <w:t>AAOIFI and IFSB continue to push for greater standardization. While complete convergence is unlikely, reform efforts must consider compatibility with international standards to ensure acceptance in global markets.</w:t>
      </w:r>
    </w:p>
    <w:p w14:paraId="602AA345" w14:textId="37BFD37D" w:rsidR="00600C09" w:rsidRPr="00600C09" w:rsidRDefault="00600C09" w:rsidP="00600C09"/>
    <w:p w14:paraId="5EC6837A" w14:textId="77777777" w:rsidR="00600C09" w:rsidRPr="00600C09" w:rsidRDefault="00600C09" w:rsidP="00600C09">
      <w:pPr>
        <w:rPr>
          <w:b/>
          <w:bCs/>
        </w:rPr>
      </w:pPr>
      <w:r w:rsidRPr="00600C09">
        <w:rPr>
          <w:b/>
          <w:bCs/>
        </w:rPr>
        <w:t>7.2.4 Maqāṣid al-Shariah and Ethics</w:t>
      </w:r>
    </w:p>
    <w:p w14:paraId="00AED15E" w14:textId="77777777" w:rsidR="00600C09" w:rsidRPr="00600C09" w:rsidRDefault="00600C09" w:rsidP="00600C09">
      <w:r w:rsidRPr="00600C09">
        <w:t xml:space="preserve">Beyond regulatory and market forces, reform is driven by the </w:t>
      </w:r>
      <w:r w:rsidRPr="00600C09">
        <w:rPr>
          <w:b/>
          <w:bCs/>
        </w:rPr>
        <w:t>ethical imperatives of Shariah</w:t>
      </w:r>
      <w:r w:rsidRPr="00600C09">
        <w:t>. The maqāṣid al-Shariah require financial systems to protect wealth (</w:t>
      </w:r>
      <w:r w:rsidRPr="00600C09">
        <w:rPr>
          <w:rFonts w:ascii="Calibri" w:hAnsi="Calibri" w:cs="Calibri"/>
          <w:i/>
          <w:iCs/>
        </w:rPr>
        <w:t>ḥ</w:t>
      </w:r>
      <w:r w:rsidRPr="00600C09">
        <w:rPr>
          <w:i/>
          <w:iCs/>
        </w:rPr>
        <w:t>if</w:t>
      </w:r>
      <w:r w:rsidRPr="00600C09">
        <w:rPr>
          <w:rFonts w:ascii="Calibri" w:hAnsi="Calibri" w:cs="Calibri"/>
          <w:i/>
          <w:iCs/>
        </w:rPr>
        <w:t>ẓ</w:t>
      </w:r>
      <w:r w:rsidRPr="00600C09">
        <w:rPr>
          <w:i/>
          <w:iCs/>
        </w:rPr>
        <w:t xml:space="preserve"> al-māl</w:t>
      </w:r>
      <w:r w:rsidRPr="00600C09">
        <w:t>), ensure justice, and promote public welfare. Reform ensures that:</w:t>
      </w:r>
    </w:p>
    <w:p w14:paraId="4DA2A1CB" w14:textId="77777777" w:rsidR="00600C09" w:rsidRPr="00600C09" w:rsidRDefault="00600C09" w:rsidP="00600C09">
      <w:pPr>
        <w:numPr>
          <w:ilvl w:val="0"/>
          <w:numId w:val="249"/>
        </w:numPr>
      </w:pPr>
      <w:r w:rsidRPr="00600C09">
        <w:rPr>
          <w:b/>
          <w:bCs/>
        </w:rPr>
        <w:t>Justice is upheld</w:t>
      </w:r>
      <w:r w:rsidRPr="00600C09">
        <w:t>: Contracts should not exploit debtors or provide unfair advantages to creditors.</w:t>
      </w:r>
    </w:p>
    <w:p w14:paraId="7325CDBF" w14:textId="77777777" w:rsidR="00600C09" w:rsidRPr="00600C09" w:rsidRDefault="00600C09" w:rsidP="00600C09">
      <w:pPr>
        <w:numPr>
          <w:ilvl w:val="0"/>
          <w:numId w:val="249"/>
        </w:numPr>
      </w:pPr>
      <w:r w:rsidRPr="00600C09">
        <w:rPr>
          <w:b/>
          <w:bCs/>
        </w:rPr>
        <w:t>Wealth is protected</w:t>
      </w:r>
      <w:r w:rsidRPr="00600C09">
        <w:t>: Security instruments must safeguard both investors and borrowers, ensuring projects remain viable.</w:t>
      </w:r>
    </w:p>
    <w:p w14:paraId="0C531E5D" w14:textId="77777777" w:rsidR="00600C09" w:rsidRPr="00600C09" w:rsidRDefault="00600C09" w:rsidP="00600C09">
      <w:pPr>
        <w:numPr>
          <w:ilvl w:val="0"/>
          <w:numId w:val="249"/>
        </w:numPr>
      </w:pPr>
      <w:r w:rsidRPr="00600C09">
        <w:rPr>
          <w:b/>
          <w:bCs/>
        </w:rPr>
        <w:t>Social welfare is promoted</w:t>
      </w:r>
      <w:r w:rsidRPr="00600C09">
        <w:t>: By enabling Islamic banks to participate in major projects, reform supports economic growth and development, aligning finance with social needs.</w:t>
      </w:r>
    </w:p>
    <w:p w14:paraId="6BC08091" w14:textId="77777777" w:rsidR="00600C09" w:rsidRPr="00600C09" w:rsidRDefault="00600C09" w:rsidP="00600C09">
      <w:r w:rsidRPr="00600C09">
        <w:t xml:space="preserve">For example, prohibiting guarantee fees under kafālah reflects maqāṣid principles of fairness. However, in practice, banks face costs in providing guarantees. Reform may </w:t>
      </w:r>
      <w:r w:rsidRPr="00600C09">
        <w:lastRenderedPageBreak/>
        <w:t>allow reasonable cost recovery or alternative structures that preserve fairness while enhancing commercial viability.</w:t>
      </w:r>
    </w:p>
    <w:p w14:paraId="53113003" w14:textId="58FB473E" w:rsidR="00600C09" w:rsidRPr="00600C09" w:rsidRDefault="00600C09" w:rsidP="00600C09"/>
    <w:p w14:paraId="556BCE50" w14:textId="77777777" w:rsidR="00600C09" w:rsidRPr="00600C09" w:rsidRDefault="00600C09" w:rsidP="00600C09">
      <w:pPr>
        <w:rPr>
          <w:b/>
          <w:bCs/>
        </w:rPr>
      </w:pPr>
      <w:r w:rsidRPr="00600C09">
        <w:rPr>
          <w:b/>
          <w:bCs/>
        </w:rPr>
        <w:t>7.2.5 Technological Disruption</w:t>
      </w:r>
    </w:p>
    <w:p w14:paraId="23D6AA22" w14:textId="77777777" w:rsidR="00600C09" w:rsidRPr="00600C09" w:rsidRDefault="00600C09" w:rsidP="00600C09">
      <w:r w:rsidRPr="00600C09">
        <w:t>Reform is also driven by technology:</w:t>
      </w:r>
    </w:p>
    <w:p w14:paraId="7D49905F" w14:textId="77777777" w:rsidR="00600C09" w:rsidRPr="00600C09" w:rsidRDefault="00600C09" w:rsidP="00600C09">
      <w:pPr>
        <w:numPr>
          <w:ilvl w:val="0"/>
          <w:numId w:val="250"/>
        </w:numPr>
      </w:pPr>
      <w:r w:rsidRPr="00600C09">
        <w:rPr>
          <w:b/>
          <w:bCs/>
        </w:rPr>
        <w:t>Blockchain</w:t>
      </w:r>
      <w:r w:rsidRPr="00600C09">
        <w:t xml:space="preserve"> enables digital collateral registers, reducing ambiguity in rahn documentation.</w:t>
      </w:r>
    </w:p>
    <w:p w14:paraId="0A348B4B" w14:textId="77777777" w:rsidR="00600C09" w:rsidRPr="00600C09" w:rsidRDefault="00600C09" w:rsidP="00600C09">
      <w:pPr>
        <w:numPr>
          <w:ilvl w:val="0"/>
          <w:numId w:val="250"/>
        </w:numPr>
      </w:pPr>
      <w:r w:rsidRPr="00600C09">
        <w:rPr>
          <w:b/>
          <w:bCs/>
        </w:rPr>
        <w:t>Smart contracts</w:t>
      </w:r>
      <w:r w:rsidRPr="00600C09">
        <w:t xml:space="preserve"> can enforce kafālah or </w:t>
      </w:r>
      <w:r w:rsidRPr="00600C09">
        <w:rPr>
          <w:rFonts w:ascii="Calibri" w:hAnsi="Calibri" w:cs="Calibri"/>
        </w:rPr>
        <w:t>ḥ</w:t>
      </w:r>
      <w:r w:rsidRPr="00600C09">
        <w:t>awālah undertakings automatically, reducing disputes.</w:t>
      </w:r>
    </w:p>
    <w:p w14:paraId="1CD07C9D" w14:textId="77777777" w:rsidR="00600C09" w:rsidRPr="00600C09" w:rsidRDefault="00600C09" w:rsidP="00600C09">
      <w:pPr>
        <w:numPr>
          <w:ilvl w:val="0"/>
          <w:numId w:val="250"/>
        </w:numPr>
      </w:pPr>
      <w:r w:rsidRPr="00600C09">
        <w:rPr>
          <w:b/>
          <w:bCs/>
        </w:rPr>
        <w:t>Artificial intelligence</w:t>
      </w:r>
      <w:r w:rsidRPr="00600C09">
        <w:t xml:space="preserve"> enhances Shariah audit, ensuring compliance throughout a project’s lifecycle.</w:t>
      </w:r>
    </w:p>
    <w:p w14:paraId="054947A4" w14:textId="77777777" w:rsidR="00600C09" w:rsidRPr="00600C09" w:rsidRDefault="00600C09" w:rsidP="00600C09">
      <w:r w:rsidRPr="00600C09">
        <w:t>Digital transformation forces Islamic finance to rethink security instruments, adapting classical concepts for a digital age.</w:t>
      </w:r>
    </w:p>
    <w:p w14:paraId="674DFF52" w14:textId="6BF04432" w:rsidR="00600C09" w:rsidRPr="00600C09" w:rsidRDefault="00600C09" w:rsidP="00600C09"/>
    <w:p w14:paraId="3648D517" w14:textId="77777777" w:rsidR="00600C09" w:rsidRPr="00600C09" w:rsidRDefault="00600C09" w:rsidP="00600C09">
      <w:pPr>
        <w:rPr>
          <w:b/>
          <w:bCs/>
        </w:rPr>
      </w:pPr>
      <w:r w:rsidRPr="00600C09">
        <w:rPr>
          <w:b/>
          <w:bCs/>
        </w:rPr>
        <w:t>7.2.6 Post-Crisis Reforms</w:t>
      </w:r>
    </w:p>
    <w:p w14:paraId="2323A734" w14:textId="77777777" w:rsidR="00600C09" w:rsidRPr="00600C09" w:rsidRDefault="00600C09" w:rsidP="00600C09">
      <w:r w:rsidRPr="00600C09">
        <w:t>The global financial crisis (2008) and COVID-19 pandemic exposed weaknesses in financial security frameworks. Excessive leverage, weak collateral, and unenforceable guarantees caused systemic instability. Islamic finance markets were less exposed due to Shariah restrictions, but they also highlighted liquidity constraints. Reforming Islamic security instruments offers a chance to position them as safer, more ethical alternatives in the post-crisis world.</w:t>
      </w:r>
    </w:p>
    <w:p w14:paraId="29D2332F" w14:textId="180E6865" w:rsidR="00600C09" w:rsidRPr="00600C09" w:rsidRDefault="00600C09" w:rsidP="00600C09"/>
    <w:p w14:paraId="00025BE2" w14:textId="77777777" w:rsidR="00600C09" w:rsidRPr="00600C09" w:rsidRDefault="00600C09" w:rsidP="00600C09">
      <w:pPr>
        <w:rPr>
          <w:b/>
          <w:bCs/>
        </w:rPr>
      </w:pPr>
      <w:r w:rsidRPr="00600C09">
        <w:rPr>
          <w:b/>
          <w:bCs/>
        </w:rPr>
        <w:t>7.2.7 Summary of Drivers</w:t>
      </w:r>
    </w:p>
    <w:p w14:paraId="758B9D5A" w14:textId="77777777" w:rsidR="00600C09" w:rsidRPr="00600C09" w:rsidRDefault="00600C09" w:rsidP="00600C09">
      <w:r w:rsidRPr="00600C09">
        <w:t xml:space="preserve">Reform is driven by </w:t>
      </w:r>
      <w:r w:rsidRPr="00600C09">
        <w:rPr>
          <w:b/>
          <w:bCs/>
        </w:rPr>
        <w:t>five converging forces</w:t>
      </w:r>
      <w:r w:rsidRPr="00600C09">
        <w:t>:</w:t>
      </w:r>
    </w:p>
    <w:p w14:paraId="08208501" w14:textId="77777777" w:rsidR="00600C09" w:rsidRPr="00600C09" w:rsidRDefault="00600C09" w:rsidP="00600C09">
      <w:pPr>
        <w:numPr>
          <w:ilvl w:val="0"/>
          <w:numId w:val="251"/>
        </w:numPr>
      </w:pPr>
      <w:r w:rsidRPr="00600C09">
        <w:rPr>
          <w:b/>
          <w:bCs/>
        </w:rPr>
        <w:t>Regulatory oversight</w:t>
      </w:r>
      <w:r w:rsidRPr="00600C09">
        <w:t xml:space="preserve"> demanding substantive Shariah compliance.</w:t>
      </w:r>
    </w:p>
    <w:p w14:paraId="629B29A3" w14:textId="77777777" w:rsidR="00600C09" w:rsidRPr="00600C09" w:rsidRDefault="00600C09" w:rsidP="00600C09">
      <w:pPr>
        <w:numPr>
          <w:ilvl w:val="0"/>
          <w:numId w:val="251"/>
        </w:numPr>
      </w:pPr>
      <w:r w:rsidRPr="00600C09">
        <w:rPr>
          <w:b/>
          <w:bCs/>
        </w:rPr>
        <w:t>Market competitiveness</w:t>
      </w:r>
      <w:r w:rsidRPr="00600C09">
        <w:t xml:space="preserve"> requiring Islamic banks to offer equivalent security.</w:t>
      </w:r>
    </w:p>
    <w:p w14:paraId="75994DD8" w14:textId="77777777" w:rsidR="00600C09" w:rsidRPr="00600C09" w:rsidRDefault="00600C09" w:rsidP="00600C09">
      <w:pPr>
        <w:numPr>
          <w:ilvl w:val="0"/>
          <w:numId w:val="251"/>
        </w:numPr>
      </w:pPr>
      <w:r w:rsidRPr="00600C09">
        <w:rPr>
          <w:b/>
          <w:bCs/>
        </w:rPr>
        <w:t>Cross-border harmonization</w:t>
      </w:r>
      <w:r w:rsidRPr="00600C09">
        <w:t xml:space="preserve"> ensuring enforceability and standardization.</w:t>
      </w:r>
    </w:p>
    <w:p w14:paraId="154C4C6F" w14:textId="77777777" w:rsidR="00600C09" w:rsidRPr="00600C09" w:rsidRDefault="00600C09" w:rsidP="00600C09">
      <w:pPr>
        <w:numPr>
          <w:ilvl w:val="0"/>
          <w:numId w:val="251"/>
        </w:numPr>
      </w:pPr>
      <w:r w:rsidRPr="00600C09">
        <w:rPr>
          <w:b/>
          <w:bCs/>
        </w:rPr>
        <w:t>Maqāṣid al-Shariah imperatives</w:t>
      </w:r>
      <w:r w:rsidRPr="00600C09">
        <w:t xml:space="preserve"> demanding justice, fairness, and social benefit.</w:t>
      </w:r>
    </w:p>
    <w:p w14:paraId="2B1D06A2" w14:textId="77777777" w:rsidR="00600C09" w:rsidRPr="00600C09" w:rsidRDefault="00600C09" w:rsidP="00600C09">
      <w:pPr>
        <w:numPr>
          <w:ilvl w:val="0"/>
          <w:numId w:val="251"/>
        </w:numPr>
      </w:pPr>
      <w:r w:rsidRPr="00600C09">
        <w:rPr>
          <w:b/>
          <w:bCs/>
        </w:rPr>
        <w:t>Technological disruption</w:t>
      </w:r>
      <w:r w:rsidRPr="00600C09">
        <w:t xml:space="preserve"> creating opportunities for innovative security models.</w:t>
      </w:r>
    </w:p>
    <w:p w14:paraId="13943332" w14:textId="77777777" w:rsidR="00600C09" w:rsidRPr="00600C09" w:rsidRDefault="00600C09" w:rsidP="00600C09">
      <w:r w:rsidRPr="00600C09">
        <w:lastRenderedPageBreak/>
        <w:t xml:space="preserve">Together, these drivers create both </w:t>
      </w:r>
      <w:r w:rsidRPr="00600C09">
        <w:rPr>
          <w:b/>
          <w:bCs/>
        </w:rPr>
        <w:t>pressure and opportunity</w:t>
      </w:r>
      <w:r w:rsidRPr="00600C09">
        <w:t>. Pressure arises from the risk of exclusion if Islamic instruments remain rigid; opportunity lies in creating new models that demonstrate Islamic finance as both ethical and competitive.</w:t>
      </w:r>
    </w:p>
    <w:p w14:paraId="60DC39C3" w14:textId="72E02C90" w:rsidR="00600C09" w:rsidRPr="00600C09" w:rsidRDefault="00600C09" w:rsidP="00600C09"/>
    <w:p w14:paraId="7BA0CAD3" w14:textId="77777777" w:rsidR="00600C09" w:rsidRPr="00600C09" w:rsidRDefault="00600C09" w:rsidP="00600C09">
      <w:pPr>
        <w:rPr>
          <w:b/>
          <w:bCs/>
        </w:rPr>
      </w:pPr>
      <w:r w:rsidRPr="00600C09">
        <w:rPr>
          <w:b/>
          <w:bCs/>
        </w:rPr>
        <w:t>7.3 Reforming Classical Instruments</w:t>
      </w:r>
    </w:p>
    <w:p w14:paraId="6291EA73" w14:textId="77777777" w:rsidR="00600C09" w:rsidRPr="00600C09" w:rsidRDefault="00600C09" w:rsidP="00600C09">
      <w:r w:rsidRPr="00600C09">
        <w:t xml:space="preserve">Reforming Islamic security instruments does not mean abandoning their classical roots. Instead, it requires </w:t>
      </w:r>
      <w:r w:rsidRPr="00600C09">
        <w:rPr>
          <w:b/>
          <w:bCs/>
        </w:rPr>
        <w:t>ijtihād (juristic reasoning)</w:t>
      </w:r>
      <w:r w:rsidRPr="00600C09">
        <w:t xml:space="preserve"> to interpret them in ways that remain faithful to Shariah while meeting modern financial needs. Three instruments — rahn, kafālah/</w:t>
      </w:r>
      <w:r w:rsidRPr="00600C09">
        <w:rPr>
          <w:rFonts w:ascii="Calibri" w:hAnsi="Calibri" w:cs="Calibri"/>
        </w:rPr>
        <w:t>ḍ</w:t>
      </w:r>
      <w:r w:rsidRPr="00600C09">
        <w:t xml:space="preserve">amān, and </w:t>
      </w:r>
      <w:r w:rsidRPr="00600C09">
        <w:rPr>
          <w:rFonts w:ascii="Calibri" w:hAnsi="Calibri" w:cs="Calibri"/>
        </w:rPr>
        <w:t>ḥ</w:t>
      </w:r>
      <w:r w:rsidRPr="00600C09">
        <w:t>awālah — are central candidates for reform.</w:t>
      </w:r>
    </w:p>
    <w:p w14:paraId="12DC29E7" w14:textId="4727DF51" w:rsidR="00600C09" w:rsidRDefault="00600C09" w:rsidP="00600C09">
      <w:pPr>
        <w:rPr>
          <w:noProof/>
        </w:rPr>
      </w:pPr>
    </w:p>
    <w:p w14:paraId="3C05BCE0" w14:textId="77777777" w:rsidR="0043083A" w:rsidRPr="00600C09" w:rsidRDefault="0043083A" w:rsidP="00600C09"/>
    <w:p w14:paraId="23403A84" w14:textId="77777777" w:rsidR="00600C09" w:rsidRPr="00600C09" w:rsidRDefault="00600C09" w:rsidP="00600C09">
      <w:pPr>
        <w:rPr>
          <w:b/>
          <w:bCs/>
        </w:rPr>
      </w:pPr>
      <w:r w:rsidRPr="00600C09">
        <w:rPr>
          <w:b/>
          <w:bCs/>
        </w:rPr>
        <w:t>7.3.1 Reforming Rahn</w:t>
      </w:r>
    </w:p>
    <w:p w14:paraId="7211AB3F" w14:textId="77777777" w:rsidR="00600C09" w:rsidRPr="00600C09" w:rsidRDefault="00600C09" w:rsidP="00600C09">
      <w:r w:rsidRPr="00600C09">
        <w:rPr>
          <w:b/>
          <w:bCs/>
        </w:rPr>
        <w:t>Classical limitation:</w:t>
      </w:r>
      <w:r w:rsidRPr="00600C09">
        <w:t xml:space="preserve"> Rahn traditionally requires physical delivery of collateral into the creditor’s possession. This was feasible in pre-modern contexts (e.g., pledging livestock, jewelry), but modern project finance involves intangible rights, complex contracts, and massive infrastructure that cannot be “delivered” physically.</w:t>
      </w:r>
    </w:p>
    <w:p w14:paraId="2AE3932A" w14:textId="77777777" w:rsidR="00600C09" w:rsidRPr="00600C09" w:rsidRDefault="00600C09" w:rsidP="00600C09">
      <w:r w:rsidRPr="00600C09">
        <w:rPr>
          <w:b/>
          <w:bCs/>
        </w:rPr>
        <w:t>Reform pathway:</w:t>
      </w:r>
    </w:p>
    <w:p w14:paraId="77916EB9" w14:textId="77777777" w:rsidR="00600C09" w:rsidRPr="00600C09" w:rsidRDefault="00600C09" w:rsidP="00600C09">
      <w:pPr>
        <w:numPr>
          <w:ilvl w:val="0"/>
          <w:numId w:val="254"/>
        </w:numPr>
      </w:pPr>
      <w:r w:rsidRPr="00600C09">
        <w:rPr>
          <w:b/>
          <w:bCs/>
        </w:rPr>
        <w:t>Constructive possession (</w:t>
      </w:r>
      <w:r w:rsidRPr="00600C09">
        <w:rPr>
          <w:b/>
          <w:bCs/>
          <w:i/>
          <w:iCs/>
        </w:rPr>
        <w:t>qab</w:t>
      </w:r>
      <w:r w:rsidRPr="00600C09">
        <w:rPr>
          <w:rFonts w:ascii="Calibri" w:hAnsi="Calibri" w:cs="Calibri"/>
          <w:b/>
          <w:bCs/>
          <w:i/>
          <w:iCs/>
        </w:rPr>
        <w:t>ḍ</w:t>
      </w:r>
      <w:r w:rsidRPr="00600C09">
        <w:rPr>
          <w:b/>
          <w:bCs/>
          <w:i/>
          <w:iCs/>
        </w:rPr>
        <w:t xml:space="preserve"> </w:t>
      </w:r>
      <w:r w:rsidRPr="00600C09">
        <w:rPr>
          <w:rFonts w:ascii="Calibri" w:hAnsi="Calibri" w:cs="Calibri"/>
          <w:b/>
          <w:bCs/>
          <w:i/>
          <w:iCs/>
        </w:rPr>
        <w:t>ḥ</w:t>
      </w:r>
      <w:r w:rsidRPr="00600C09">
        <w:rPr>
          <w:b/>
          <w:bCs/>
          <w:i/>
          <w:iCs/>
        </w:rPr>
        <w:t>ukmī</w:t>
      </w:r>
      <w:r w:rsidRPr="00600C09">
        <w:rPr>
          <w:b/>
          <w:bCs/>
        </w:rPr>
        <w:t>)</w:t>
      </w:r>
      <w:r w:rsidRPr="00600C09">
        <w:t>: SAC in Malaysia has ruled that registration of charges in official registries constitutes constructive possession. This allows shares, leasehold rights, and intellectual property to serve as collateral.</w:t>
      </w:r>
    </w:p>
    <w:p w14:paraId="21519F74" w14:textId="77777777" w:rsidR="00600C09" w:rsidRPr="00600C09" w:rsidRDefault="00600C09" w:rsidP="00600C09">
      <w:pPr>
        <w:numPr>
          <w:ilvl w:val="0"/>
          <w:numId w:val="254"/>
        </w:numPr>
      </w:pPr>
      <w:r w:rsidRPr="00600C09">
        <w:rPr>
          <w:b/>
          <w:bCs/>
        </w:rPr>
        <w:t>Digital registration</w:t>
      </w:r>
      <w:r w:rsidRPr="00600C09">
        <w:t>: Reform could extend rahn to digital platforms, where blockchain registers confirm collateralization, reducing disputes.</w:t>
      </w:r>
    </w:p>
    <w:p w14:paraId="535EDC83" w14:textId="77777777" w:rsidR="00600C09" w:rsidRPr="00600C09" w:rsidRDefault="00600C09" w:rsidP="00600C09">
      <w:pPr>
        <w:numPr>
          <w:ilvl w:val="0"/>
          <w:numId w:val="254"/>
        </w:numPr>
      </w:pPr>
      <w:r w:rsidRPr="00600C09">
        <w:rPr>
          <w:b/>
          <w:bCs/>
        </w:rPr>
        <w:t>Floating charges equivalent</w:t>
      </w:r>
      <w:r w:rsidRPr="00600C09">
        <w:t>: Classical rahn applies to specific assets, but financiers demand broader security. Jurists could explore expanding rahn to cover asset pools, akin to conventional floating charges, provided ownership and valuation are transparent.</w:t>
      </w:r>
    </w:p>
    <w:p w14:paraId="793E7058" w14:textId="77777777" w:rsidR="00600C09" w:rsidRPr="00600C09" w:rsidRDefault="00600C09" w:rsidP="00600C09">
      <w:r w:rsidRPr="00600C09">
        <w:rPr>
          <w:b/>
          <w:bCs/>
        </w:rPr>
        <w:t>Maqāṣid justification:</w:t>
      </w:r>
      <w:r w:rsidRPr="00600C09">
        <w:t xml:space="preserve"> Extending rahn protects wealth and promotes justice by ensuring creditors have enforceable rights without requiring physical dispossession.</w:t>
      </w:r>
    </w:p>
    <w:p w14:paraId="6B68C93E" w14:textId="58B24873" w:rsidR="00600C09" w:rsidRPr="00600C09" w:rsidRDefault="00600C09" w:rsidP="00600C09"/>
    <w:p w14:paraId="2DFD314E" w14:textId="77777777" w:rsidR="00600C09" w:rsidRPr="00600C09" w:rsidRDefault="00600C09" w:rsidP="00600C09">
      <w:pPr>
        <w:rPr>
          <w:b/>
          <w:bCs/>
        </w:rPr>
      </w:pPr>
      <w:r w:rsidRPr="00600C09">
        <w:rPr>
          <w:b/>
          <w:bCs/>
        </w:rPr>
        <w:t xml:space="preserve">7.3.2 Reforming Kafālah and </w:t>
      </w:r>
      <w:r w:rsidRPr="00600C09">
        <w:rPr>
          <w:rFonts w:ascii="Calibri" w:hAnsi="Calibri" w:cs="Calibri"/>
          <w:b/>
          <w:bCs/>
        </w:rPr>
        <w:t>Ḍ</w:t>
      </w:r>
      <w:r w:rsidRPr="00600C09">
        <w:rPr>
          <w:b/>
          <w:bCs/>
        </w:rPr>
        <w:t>amān</w:t>
      </w:r>
    </w:p>
    <w:p w14:paraId="655958D2" w14:textId="77777777" w:rsidR="00600C09" w:rsidRPr="00600C09" w:rsidRDefault="00600C09" w:rsidP="00600C09">
      <w:r w:rsidRPr="00600C09">
        <w:rPr>
          <w:b/>
          <w:bCs/>
        </w:rPr>
        <w:t>Classical limitation:</w:t>
      </w:r>
      <w:r w:rsidRPr="00600C09">
        <w:t xml:space="preserve"> Kafālah (personal guarantee) and </w:t>
      </w:r>
      <w:r w:rsidRPr="00600C09">
        <w:rPr>
          <w:rFonts w:ascii="Calibri" w:hAnsi="Calibri" w:cs="Calibri"/>
        </w:rPr>
        <w:t>ḍ</w:t>
      </w:r>
      <w:r w:rsidRPr="00600C09">
        <w:t xml:space="preserve">amān (financial liability guarantee) are gratuitous. Charging a fee renders them invalid because it converts a </w:t>
      </w:r>
      <w:r w:rsidRPr="00600C09">
        <w:lastRenderedPageBreak/>
        <w:t>benevolent act into a commercial transaction, raising ribā concerns. Yet in practice, banks incur administrative and risk costs when providing guarantees.</w:t>
      </w:r>
    </w:p>
    <w:p w14:paraId="2FB1682D" w14:textId="77777777" w:rsidR="00600C09" w:rsidRPr="00600C09" w:rsidRDefault="00600C09" w:rsidP="00600C09">
      <w:r w:rsidRPr="00600C09">
        <w:rPr>
          <w:b/>
          <w:bCs/>
        </w:rPr>
        <w:t>Reform pathway:</w:t>
      </w:r>
    </w:p>
    <w:p w14:paraId="43F651CD" w14:textId="77777777" w:rsidR="00600C09" w:rsidRPr="00600C09" w:rsidRDefault="00600C09" w:rsidP="00600C09">
      <w:pPr>
        <w:numPr>
          <w:ilvl w:val="0"/>
          <w:numId w:val="255"/>
        </w:numPr>
      </w:pPr>
      <w:r w:rsidRPr="00600C09">
        <w:rPr>
          <w:b/>
          <w:bCs/>
        </w:rPr>
        <w:t>Administrative cost recovery</w:t>
      </w:r>
      <w:r w:rsidRPr="00600C09">
        <w:t>: Most scholars already allow recovery of actual administrative expenses (documentation, legal fees). Reform could codify this and clarify calculation standards.</w:t>
      </w:r>
    </w:p>
    <w:p w14:paraId="5BACFBF0" w14:textId="77777777" w:rsidR="00600C09" w:rsidRPr="00600C09" w:rsidRDefault="00600C09" w:rsidP="00600C09">
      <w:pPr>
        <w:numPr>
          <w:ilvl w:val="0"/>
          <w:numId w:val="255"/>
        </w:numPr>
      </w:pPr>
      <w:r w:rsidRPr="00600C09">
        <w:rPr>
          <w:b/>
          <w:bCs/>
        </w:rPr>
        <w:t>Bundled structures</w:t>
      </w:r>
      <w:r w:rsidRPr="00600C09">
        <w:t>: Guarantees could be offered within larger agency (</w:t>
      </w:r>
      <w:r w:rsidRPr="00600C09">
        <w:rPr>
          <w:i/>
          <w:iCs/>
        </w:rPr>
        <w:t>wakālah</w:t>
      </w:r>
      <w:r w:rsidRPr="00600C09">
        <w:t>) or service contracts, where fees relate to services rather than the guarantee itself.</w:t>
      </w:r>
    </w:p>
    <w:p w14:paraId="164A178F" w14:textId="77777777" w:rsidR="00600C09" w:rsidRPr="00600C09" w:rsidRDefault="00600C09" w:rsidP="00600C09">
      <w:pPr>
        <w:numPr>
          <w:ilvl w:val="0"/>
          <w:numId w:val="255"/>
        </w:numPr>
      </w:pPr>
      <w:r w:rsidRPr="00600C09">
        <w:rPr>
          <w:b/>
          <w:bCs/>
        </w:rPr>
        <w:t>Risk-sharing models</w:t>
      </w:r>
      <w:r w:rsidRPr="00600C09">
        <w:t>: Instead of charging fees, guarantors could participate in profit-sharing arrangements, aligning incentives with project success.</w:t>
      </w:r>
    </w:p>
    <w:p w14:paraId="3376759C" w14:textId="77777777" w:rsidR="00600C09" w:rsidRPr="00600C09" w:rsidRDefault="00600C09" w:rsidP="00600C09">
      <w:r w:rsidRPr="00600C09">
        <w:rPr>
          <w:b/>
          <w:bCs/>
        </w:rPr>
        <w:t>Maqāṣid justification:</w:t>
      </w:r>
      <w:r w:rsidRPr="00600C09">
        <w:t xml:space="preserve"> The prohibition of fees was designed to prevent exploitation of debtors. If carefully structured, limited compensation can preserve fairness while enhancing commercial viability, ensuring banks are willing to extend guarantees.</w:t>
      </w:r>
    </w:p>
    <w:p w14:paraId="628A9F09" w14:textId="432A1CA7" w:rsidR="00600C09" w:rsidRPr="00600C09" w:rsidRDefault="00600C09" w:rsidP="00600C09"/>
    <w:p w14:paraId="7B041367" w14:textId="77777777" w:rsidR="00600C09" w:rsidRPr="00600C09" w:rsidRDefault="00600C09" w:rsidP="00600C09">
      <w:pPr>
        <w:rPr>
          <w:b/>
          <w:bCs/>
        </w:rPr>
      </w:pPr>
      <w:r w:rsidRPr="00600C09">
        <w:rPr>
          <w:b/>
          <w:bCs/>
        </w:rPr>
        <w:t xml:space="preserve">7.3.3 Reforming </w:t>
      </w:r>
      <w:r w:rsidRPr="00600C09">
        <w:rPr>
          <w:rFonts w:ascii="Calibri" w:hAnsi="Calibri" w:cs="Calibri"/>
          <w:b/>
          <w:bCs/>
        </w:rPr>
        <w:t>Ḥ</w:t>
      </w:r>
      <w:r w:rsidRPr="00600C09">
        <w:rPr>
          <w:b/>
          <w:bCs/>
        </w:rPr>
        <w:t>awālah</w:t>
      </w:r>
    </w:p>
    <w:p w14:paraId="66694F46" w14:textId="77777777" w:rsidR="00600C09" w:rsidRPr="00600C09" w:rsidRDefault="00600C09" w:rsidP="00600C09">
      <w:r w:rsidRPr="00600C09">
        <w:rPr>
          <w:b/>
          <w:bCs/>
        </w:rPr>
        <w:t>Classical limitation:</w:t>
      </w:r>
      <w:r w:rsidRPr="00600C09">
        <w:t xml:space="preserve"> </w:t>
      </w:r>
      <w:r w:rsidRPr="00600C09">
        <w:rPr>
          <w:rFonts w:ascii="Calibri" w:hAnsi="Calibri" w:cs="Calibri"/>
        </w:rPr>
        <w:t>Ḥ</w:t>
      </w:r>
      <w:r w:rsidRPr="00600C09">
        <w:t>awālah (debt transfer) permits transferring debt from one debtor to another, but prohibits discounting or trading in debt. This limits liquidity because modern finance depends on active secondary markets for receivables and debt instruments.</w:t>
      </w:r>
    </w:p>
    <w:p w14:paraId="7113302E" w14:textId="77777777" w:rsidR="00600C09" w:rsidRPr="00600C09" w:rsidRDefault="00600C09" w:rsidP="00600C09">
      <w:r w:rsidRPr="00600C09">
        <w:rPr>
          <w:b/>
          <w:bCs/>
        </w:rPr>
        <w:t>Reform pathway:</w:t>
      </w:r>
    </w:p>
    <w:p w14:paraId="082C494E" w14:textId="77777777" w:rsidR="00600C09" w:rsidRPr="00600C09" w:rsidRDefault="00600C09" w:rsidP="00600C09">
      <w:pPr>
        <w:numPr>
          <w:ilvl w:val="0"/>
          <w:numId w:val="256"/>
        </w:numPr>
      </w:pPr>
      <w:r w:rsidRPr="00600C09">
        <w:rPr>
          <w:b/>
          <w:bCs/>
        </w:rPr>
        <w:t>Distinguishing between transfer and trade</w:t>
      </w:r>
      <w:r w:rsidRPr="00600C09">
        <w:t xml:space="preserve">: Some scholars argue that structured </w:t>
      </w:r>
      <w:r w:rsidRPr="00600C09">
        <w:rPr>
          <w:rFonts w:ascii="Calibri" w:hAnsi="Calibri" w:cs="Calibri"/>
        </w:rPr>
        <w:t>ḥ</w:t>
      </w:r>
      <w:r w:rsidRPr="00600C09">
        <w:t>awālah with clear obligations does not constitute debt trading but risk reallocation.</w:t>
      </w:r>
    </w:p>
    <w:p w14:paraId="2604DABA" w14:textId="77777777" w:rsidR="00600C09" w:rsidRPr="00600C09" w:rsidRDefault="00600C09" w:rsidP="00600C09">
      <w:pPr>
        <w:numPr>
          <w:ilvl w:val="0"/>
          <w:numId w:val="256"/>
        </w:numPr>
      </w:pPr>
      <w:r w:rsidRPr="00600C09">
        <w:rPr>
          <w:b/>
          <w:bCs/>
        </w:rPr>
        <w:t xml:space="preserve">Permitting organized </w:t>
      </w:r>
      <w:r w:rsidRPr="00600C09">
        <w:rPr>
          <w:rFonts w:ascii="Calibri" w:hAnsi="Calibri" w:cs="Calibri"/>
          <w:b/>
          <w:bCs/>
        </w:rPr>
        <w:t>ḥ</w:t>
      </w:r>
      <w:r w:rsidRPr="00600C09">
        <w:rPr>
          <w:b/>
          <w:bCs/>
        </w:rPr>
        <w:t>awālah markets</w:t>
      </w:r>
      <w:r w:rsidRPr="00600C09">
        <w:t>: If debts are transferred at par (no discount/premium), markets could enhance liquidity without violating ribā prohibitions.</w:t>
      </w:r>
    </w:p>
    <w:p w14:paraId="2347DD8D" w14:textId="77777777" w:rsidR="00600C09" w:rsidRPr="00600C09" w:rsidRDefault="00600C09" w:rsidP="00600C09">
      <w:pPr>
        <w:numPr>
          <w:ilvl w:val="0"/>
          <w:numId w:val="256"/>
        </w:numPr>
      </w:pPr>
      <w:r w:rsidRPr="00600C09">
        <w:rPr>
          <w:b/>
          <w:bCs/>
        </w:rPr>
        <w:t>Integrating with sukuk</w:t>
      </w:r>
      <w:r w:rsidRPr="00600C09">
        <w:t xml:space="preserve">: Sukuk structures already transfer cash flow rights; formalizing this within a </w:t>
      </w:r>
      <w:r w:rsidRPr="00600C09">
        <w:rPr>
          <w:rFonts w:ascii="Calibri" w:hAnsi="Calibri" w:cs="Calibri"/>
        </w:rPr>
        <w:t>ḥ</w:t>
      </w:r>
      <w:r w:rsidRPr="00600C09">
        <w:t>awālah framework could expand secondary trading opportunities.</w:t>
      </w:r>
    </w:p>
    <w:p w14:paraId="170B24BF" w14:textId="77777777" w:rsidR="00600C09" w:rsidRPr="00600C09" w:rsidRDefault="00600C09" w:rsidP="00600C09">
      <w:r w:rsidRPr="00600C09">
        <w:rPr>
          <w:b/>
          <w:bCs/>
        </w:rPr>
        <w:t>Maqāṣid justification:</w:t>
      </w:r>
      <w:r w:rsidRPr="00600C09">
        <w:t xml:space="preserve"> Preventing ribā remains paramount, but liquidity and efficiency also promote </w:t>
      </w:r>
      <w:r w:rsidRPr="00600C09">
        <w:rPr>
          <w:rFonts w:ascii="Calibri" w:hAnsi="Calibri" w:cs="Calibri"/>
        </w:rPr>
        <w:t>ḥ</w:t>
      </w:r>
      <w:r w:rsidRPr="00600C09">
        <w:t>if</w:t>
      </w:r>
      <w:r w:rsidRPr="00600C09">
        <w:rPr>
          <w:rFonts w:ascii="Calibri" w:hAnsi="Calibri" w:cs="Calibri"/>
        </w:rPr>
        <w:t>ẓ</w:t>
      </w:r>
      <w:r w:rsidRPr="00600C09">
        <w:t xml:space="preserve"> al-māl (protection of wealth). Reform can strike a balance, avoiding speculative trading while enabling liquidity.</w:t>
      </w:r>
    </w:p>
    <w:p w14:paraId="218D618B" w14:textId="78310EC0" w:rsidR="00600C09" w:rsidRPr="00600C09" w:rsidRDefault="00600C09" w:rsidP="00600C09"/>
    <w:p w14:paraId="47E3E724" w14:textId="77777777" w:rsidR="00600C09" w:rsidRPr="00600C09" w:rsidRDefault="00600C09" w:rsidP="00600C09">
      <w:pPr>
        <w:rPr>
          <w:b/>
          <w:bCs/>
        </w:rPr>
      </w:pPr>
      <w:r w:rsidRPr="00600C09">
        <w:rPr>
          <w:b/>
          <w:bCs/>
        </w:rPr>
        <w:lastRenderedPageBreak/>
        <w:t>7.4 Innovative Models in Practice</w:t>
      </w:r>
    </w:p>
    <w:p w14:paraId="0D271B29" w14:textId="77777777" w:rsidR="00600C09" w:rsidRPr="00600C09" w:rsidRDefault="00600C09" w:rsidP="00600C09">
      <w:r w:rsidRPr="00600C09">
        <w:t xml:space="preserve">Beyond reforming classical instruments, innovation requires developing </w:t>
      </w:r>
      <w:r w:rsidRPr="00600C09">
        <w:rPr>
          <w:b/>
          <w:bCs/>
        </w:rPr>
        <w:t>new models</w:t>
      </w:r>
      <w:r w:rsidRPr="00600C09">
        <w:t xml:space="preserve"> that adapt Islamic security concepts to modern financial realities. These innovations often arise from blending classical contracts with modern legal and technological frameworks.</w:t>
      </w:r>
    </w:p>
    <w:p w14:paraId="3049A785" w14:textId="585E65C2" w:rsidR="00600C09" w:rsidRPr="00600C09" w:rsidRDefault="00600C09" w:rsidP="00600C09"/>
    <w:p w14:paraId="14AC78EE" w14:textId="77777777" w:rsidR="00600C09" w:rsidRPr="00600C09" w:rsidRDefault="00600C09" w:rsidP="00600C09">
      <w:pPr>
        <w:rPr>
          <w:b/>
          <w:bCs/>
        </w:rPr>
      </w:pPr>
      <w:r w:rsidRPr="00600C09">
        <w:rPr>
          <w:b/>
          <w:bCs/>
        </w:rPr>
        <w:t>7.4.1 Hybrid Security Structures</w:t>
      </w:r>
    </w:p>
    <w:p w14:paraId="37A7ED3F" w14:textId="77777777" w:rsidR="00600C09" w:rsidRPr="00600C09" w:rsidRDefault="00600C09" w:rsidP="00600C09">
      <w:r w:rsidRPr="00600C09">
        <w:rPr>
          <w:b/>
          <w:bCs/>
        </w:rPr>
        <w:t>Concept:</w:t>
      </w:r>
      <w:r w:rsidRPr="00600C09">
        <w:t xml:space="preserve"> Hybrid structures combine Islamic and conventional security documentation. For example, a project may use a rahn contract governed by Shariah alongside a conventional mortgage recognized under common law.</w:t>
      </w:r>
    </w:p>
    <w:p w14:paraId="404558DD" w14:textId="77777777" w:rsidR="00600C09" w:rsidRPr="00600C09" w:rsidRDefault="00600C09" w:rsidP="00600C09">
      <w:r w:rsidRPr="00600C09">
        <w:rPr>
          <w:b/>
          <w:bCs/>
        </w:rPr>
        <w:t>Advantages:</w:t>
      </w:r>
    </w:p>
    <w:p w14:paraId="3F6EDAFF" w14:textId="77777777" w:rsidR="00600C09" w:rsidRPr="00600C09" w:rsidRDefault="00600C09" w:rsidP="00600C09">
      <w:pPr>
        <w:numPr>
          <w:ilvl w:val="0"/>
          <w:numId w:val="257"/>
        </w:numPr>
      </w:pPr>
      <w:r w:rsidRPr="00600C09">
        <w:t>Provides enforceability in both Islamic and conventional courts.</w:t>
      </w:r>
    </w:p>
    <w:p w14:paraId="1AD431C5" w14:textId="77777777" w:rsidR="00600C09" w:rsidRPr="00600C09" w:rsidRDefault="00600C09" w:rsidP="00600C09">
      <w:pPr>
        <w:numPr>
          <w:ilvl w:val="0"/>
          <w:numId w:val="257"/>
        </w:numPr>
      </w:pPr>
      <w:r w:rsidRPr="00600C09">
        <w:t>Increases investor confidence in cross-border deals.</w:t>
      </w:r>
    </w:p>
    <w:p w14:paraId="598610D5" w14:textId="77777777" w:rsidR="00600C09" w:rsidRPr="00600C09" w:rsidRDefault="00600C09" w:rsidP="00600C09">
      <w:pPr>
        <w:numPr>
          <w:ilvl w:val="0"/>
          <w:numId w:val="257"/>
        </w:numPr>
      </w:pPr>
      <w:r w:rsidRPr="00600C09">
        <w:t>Allows Islamic banks to participate in international syndications without being disadvantaged.</w:t>
      </w:r>
    </w:p>
    <w:p w14:paraId="0740930C" w14:textId="77777777" w:rsidR="00600C09" w:rsidRPr="00600C09" w:rsidRDefault="00600C09" w:rsidP="00600C09">
      <w:r w:rsidRPr="00600C09">
        <w:rPr>
          <w:b/>
          <w:bCs/>
        </w:rPr>
        <w:t>Challenges:</w:t>
      </w:r>
    </w:p>
    <w:p w14:paraId="5355FAC4" w14:textId="77777777" w:rsidR="00600C09" w:rsidRPr="00600C09" w:rsidRDefault="00600C09" w:rsidP="00600C09">
      <w:pPr>
        <w:numPr>
          <w:ilvl w:val="0"/>
          <w:numId w:val="258"/>
        </w:numPr>
      </w:pPr>
      <w:r w:rsidRPr="00600C09">
        <w:t>Risk of “Shariah arbitrage,” where Islamic elements are symbolic while conventional instruments dominate.</w:t>
      </w:r>
    </w:p>
    <w:p w14:paraId="24820F04" w14:textId="77777777" w:rsidR="00600C09" w:rsidRPr="00600C09" w:rsidRDefault="00600C09" w:rsidP="00600C09">
      <w:pPr>
        <w:numPr>
          <w:ilvl w:val="0"/>
          <w:numId w:val="258"/>
        </w:numPr>
      </w:pPr>
      <w:r w:rsidRPr="00600C09">
        <w:t>Need for clear disclosure to avoid misleading stakeholders about the Islamic authenticity of structures.</w:t>
      </w:r>
    </w:p>
    <w:p w14:paraId="2C86CFD1" w14:textId="608F453B" w:rsidR="00600C09" w:rsidRPr="00600C09" w:rsidRDefault="00600C09" w:rsidP="00600C09"/>
    <w:p w14:paraId="4ADF43B7" w14:textId="77777777" w:rsidR="00600C09" w:rsidRPr="00600C09" w:rsidRDefault="00600C09" w:rsidP="00600C09">
      <w:pPr>
        <w:rPr>
          <w:b/>
          <w:bCs/>
        </w:rPr>
      </w:pPr>
      <w:r w:rsidRPr="00600C09">
        <w:rPr>
          <w:b/>
          <w:bCs/>
        </w:rPr>
        <w:t>7.4.2 Trust-Based Collateralization Models</w:t>
      </w:r>
    </w:p>
    <w:p w14:paraId="7235A58F" w14:textId="77777777" w:rsidR="00600C09" w:rsidRPr="00600C09" w:rsidRDefault="00600C09" w:rsidP="00600C09">
      <w:r w:rsidRPr="00600C09">
        <w:rPr>
          <w:b/>
          <w:bCs/>
        </w:rPr>
        <w:t>Concept:</w:t>
      </w:r>
      <w:r w:rsidRPr="00600C09">
        <w:t xml:space="preserve"> Assets are transferred into a special-purpose trust, with trustees holding rights on behalf of financiers. This resembles English trust law but can be structured using Islamic contracts such as </w:t>
      </w:r>
      <w:r w:rsidRPr="00600C09">
        <w:rPr>
          <w:i/>
          <w:iCs/>
        </w:rPr>
        <w:t>wakālah</w:t>
      </w:r>
      <w:r w:rsidRPr="00600C09">
        <w:t xml:space="preserve"> or </w:t>
      </w:r>
      <w:r w:rsidRPr="00600C09">
        <w:rPr>
          <w:i/>
          <w:iCs/>
        </w:rPr>
        <w:t>waṣiyyah</w:t>
      </w:r>
      <w:r w:rsidRPr="00600C09">
        <w:t>.</w:t>
      </w:r>
    </w:p>
    <w:p w14:paraId="0F1D563D" w14:textId="77777777" w:rsidR="00600C09" w:rsidRPr="00600C09" w:rsidRDefault="00600C09" w:rsidP="00600C09">
      <w:r w:rsidRPr="00600C09">
        <w:rPr>
          <w:b/>
          <w:bCs/>
        </w:rPr>
        <w:t>Applications:</w:t>
      </w:r>
    </w:p>
    <w:p w14:paraId="73821C3A" w14:textId="77777777" w:rsidR="00600C09" w:rsidRPr="00600C09" w:rsidRDefault="00600C09" w:rsidP="00600C09">
      <w:pPr>
        <w:numPr>
          <w:ilvl w:val="0"/>
          <w:numId w:val="259"/>
        </w:numPr>
      </w:pPr>
      <w:r w:rsidRPr="00600C09">
        <w:t>Infrastructure sukuk backed by government concessions.</w:t>
      </w:r>
    </w:p>
    <w:p w14:paraId="6181D481" w14:textId="77777777" w:rsidR="00600C09" w:rsidRPr="00600C09" w:rsidRDefault="00600C09" w:rsidP="00600C09">
      <w:pPr>
        <w:numPr>
          <w:ilvl w:val="0"/>
          <w:numId w:val="259"/>
        </w:numPr>
      </w:pPr>
      <w:r w:rsidRPr="00600C09">
        <w:t>Real estate projects where land titles are held in trust for investors.</w:t>
      </w:r>
    </w:p>
    <w:p w14:paraId="4CC24762" w14:textId="77777777" w:rsidR="00600C09" w:rsidRPr="00600C09" w:rsidRDefault="00600C09" w:rsidP="00600C09">
      <w:r w:rsidRPr="00600C09">
        <w:rPr>
          <w:b/>
          <w:bCs/>
        </w:rPr>
        <w:t>Benefits:</w:t>
      </w:r>
    </w:p>
    <w:p w14:paraId="5439515E" w14:textId="77777777" w:rsidR="00600C09" w:rsidRPr="00600C09" w:rsidRDefault="00600C09" w:rsidP="00600C09">
      <w:pPr>
        <w:numPr>
          <w:ilvl w:val="0"/>
          <w:numId w:val="260"/>
        </w:numPr>
      </w:pPr>
      <w:r w:rsidRPr="00600C09">
        <w:t>Provides security without requiring outright ownership transfer.</w:t>
      </w:r>
    </w:p>
    <w:p w14:paraId="35F36A07" w14:textId="77777777" w:rsidR="00600C09" w:rsidRPr="00600C09" w:rsidRDefault="00600C09" w:rsidP="00600C09">
      <w:pPr>
        <w:numPr>
          <w:ilvl w:val="0"/>
          <w:numId w:val="260"/>
        </w:numPr>
      </w:pPr>
      <w:r w:rsidRPr="00600C09">
        <w:t>Flexible across jurisdictions, since trust law is widely recognized.</w:t>
      </w:r>
    </w:p>
    <w:p w14:paraId="56375114" w14:textId="77777777" w:rsidR="00600C09" w:rsidRPr="00600C09" w:rsidRDefault="00600C09" w:rsidP="00600C09">
      <w:r w:rsidRPr="00600C09">
        <w:rPr>
          <w:b/>
          <w:bCs/>
        </w:rPr>
        <w:lastRenderedPageBreak/>
        <w:t>Concerns:</w:t>
      </w:r>
    </w:p>
    <w:p w14:paraId="232E517F" w14:textId="77777777" w:rsidR="00600C09" w:rsidRPr="00600C09" w:rsidRDefault="00600C09" w:rsidP="00600C09">
      <w:pPr>
        <w:numPr>
          <w:ilvl w:val="0"/>
          <w:numId w:val="261"/>
        </w:numPr>
      </w:pPr>
      <w:r w:rsidRPr="00600C09">
        <w:t>Some jurists question the Shariah legitimacy of trust structures imported from common law.</w:t>
      </w:r>
    </w:p>
    <w:p w14:paraId="42F937D3" w14:textId="77777777" w:rsidR="00600C09" w:rsidRPr="00600C09" w:rsidRDefault="00600C09" w:rsidP="00600C09">
      <w:pPr>
        <w:numPr>
          <w:ilvl w:val="0"/>
          <w:numId w:val="261"/>
        </w:numPr>
      </w:pPr>
      <w:r w:rsidRPr="00600C09">
        <w:t>Requires careful alignment with Islamic principles of ownership and risk-bearing.</w:t>
      </w:r>
    </w:p>
    <w:p w14:paraId="6DDF6674" w14:textId="1B992907" w:rsidR="00600C09" w:rsidRPr="00600C09" w:rsidRDefault="00600C09" w:rsidP="00600C09"/>
    <w:p w14:paraId="2E6A50F3" w14:textId="77777777" w:rsidR="00600C09" w:rsidRPr="00600C09" w:rsidRDefault="00600C09" w:rsidP="00600C09">
      <w:pPr>
        <w:rPr>
          <w:b/>
          <w:bCs/>
        </w:rPr>
      </w:pPr>
      <w:r w:rsidRPr="00600C09">
        <w:rPr>
          <w:b/>
          <w:bCs/>
        </w:rPr>
        <w:t>7.4.3 Sukuk-Linked Security Mechanisms</w:t>
      </w:r>
    </w:p>
    <w:p w14:paraId="3FB047D4" w14:textId="77777777" w:rsidR="00600C09" w:rsidRPr="00600C09" w:rsidRDefault="00600C09" w:rsidP="00600C09">
      <w:r w:rsidRPr="00600C09">
        <w:rPr>
          <w:b/>
          <w:bCs/>
        </w:rPr>
        <w:t>Concept:</w:t>
      </w:r>
      <w:r w:rsidRPr="00600C09">
        <w:t xml:space="preserve"> Sukuk, as instruments of capital market financing, can integrate security features directly into their structures. For example:</w:t>
      </w:r>
    </w:p>
    <w:p w14:paraId="68C069C7" w14:textId="77777777" w:rsidR="00600C09" w:rsidRPr="00600C09" w:rsidRDefault="00600C09" w:rsidP="00600C09">
      <w:pPr>
        <w:numPr>
          <w:ilvl w:val="0"/>
          <w:numId w:val="262"/>
        </w:numPr>
      </w:pPr>
      <w:r w:rsidRPr="00600C09">
        <w:rPr>
          <w:b/>
          <w:bCs/>
        </w:rPr>
        <w:t>Sukuk ijārah</w:t>
      </w:r>
      <w:r w:rsidRPr="00600C09">
        <w:t>: Lease assets registered as collateral under rahn.</w:t>
      </w:r>
    </w:p>
    <w:p w14:paraId="38A6E85C" w14:textId="77777777" w:rsidR="00600C09" w:rsidRPr="00600C09" w:rsidRDefault="00600C09" w:rsidP="00600C09">
      <w:pPr>
        <w:numPr>
          <w:ilvl w:val="0"/>
          <w:numId w:val="262"/>
        </w:numPr>
      </w:pPr>
      <w:r w:rsidRPr="00600C09">
        <w:rPr>
          <w:b/>
          <w:bCs/>
        </w:rPr>
        <w:t>Sukuk wakālah</w:t>
      </w:r>
      <w:r w:rsidRPr="00600C09">
        <w:t xml:space="preserve">: Cash flows from projects assigned under </w:t>
      </w:r>
      <w:r w:rsidRPr="00600C09">
        <w:rPr>
          <w:rFonts w:ascii="Calibri" w:hAnsi="Calibri" w:cs="Calibri"/>
        </w:rPr>
        <w:t>ḥ</w:t>
      </w:r>
      <w:r w:rsidRPr="00600C09">
        <w:t>awālah.</w:t>
      </w:r>
    </w:p>
    <w:p w14:paraId="762CEEEE" w14:textId="77777777" w:rsidR="00600C09" w:rsidRPr="00600C09" w:rsidRDefault="00600C09" w:rsidP="00600C09">
      <w:pPr>
        <w:numPr>
          <w:ilvl w:val="0"/>
          <w:numId w:val="262"/>
        </w:numPr>
      </w:pPr>
      <w:r w:rsidRPr="00600C09">
        <w:rPr>
          <w:b/>
          <w:bCs/>
        </w:rPr>
        <w:t>Sukuk murāba</w:t>
      </w:r>
      <w:r w:rsidRPr="00600C09">
        <w:rPr>
          <w:rFonts w:ascii="Calibri" w:hAnsi="Calibri" w:cs="Calibri"/>
          <w:b/>
          <w:bCs/>
        </w:rPr>
        <w:t>ḥ</w:t>
      </w:r>
      <w:r w:rsidRPr="00600C09">
        <w:rPr>
          <w:b/>
          <w:bCs/>
        </w:rPr>
        <w:t>ah</w:t>
      </w:r>
      <w:r w:rsidRPr="00600C09">
        <w:t>: Receivables pledged as security.</w:t>
      </w:r>
    </w:p>
    <w:p w14:paraId="34D714AD" w14:textId="77777777" w:rsidR="00600C09" w:rsidRPr="00600C09" w:rsidRDefault="00600C09" w:rsidP="00600C09">
      <w:r w:rsidRPr="00600C09">
        <w:rPr>
          <w:b/>
          <w:bCs/>
        </w:rPr>
        <w:t>Advantages:</w:t>
      </w:r>
    </w:p>
    <w:p w14:paraId="3A410033" w14:textId="77777777" w:rsidR="00600C09" w:rsidRPr="00600C09" w:rsidRDefault="00600C09" w:rsidP="00600C09">
      <w:pPr>
        <w:numPr>
          <w:ilvl w:val="0"/>
          <w:numId w:val="263"/>
        </w:numPr>
      </w:pPr>
      <w:r w:rsidRPr="00600C09">
        <w:t>Aligns investor protection with Shariah principles.</w:t>
      </w:r>
    </w:p>
    <w:p w14:paraId="6AB165B6" w14:textId="77777777" w:rsidR="00600C09" w:rsidRPr="00600C09" w:rsidRDefault="00600C09" w:rsidP="00600C09">
      <w:pPr>
        <w:numPr>
          <w:ilvl w:val="0"/>
          <w:numId w:val="263"/>
        </w:numPr>
      </w:pPr>
      <w:r w:rsidRPr="00600C09">
        <w:t>Enhances marketability of sukuk by assuring enforceability.</w:t>
      </w:r>
    </w:p>
    <w:p w14:paraId="3297F85F" w14:textId="77777777" w:rsidR="00600C09" w:rsidRPr="00600C09" w:rsidRDefault="00600C09" w:rsidP="00600C09">
      <w:pPr>
        <w:numPr>
          <w:ilvl w:val="0"/>
          <w:numId w:val="263"/>
        </w:numPr>
      </w:pPr>
      <w:r w:rsidRPr="00600C09">
        <w:t>Provides flexibility to structure project finance packages.</w:t>
      </w:r>
    </w:p>
    <w:p w14:paraId="0B2014A7" w14:textId="77777777" w:rsidR="00600C09" w:rsidRPr="00600C09" w:rsidRDefault="00600C09" w:rsidP="00600C09">
      <w:r w:rsidRPr="00600C09">
        <w:rPr>
          <w:b/>
          <w:bCs/>
        </w:rPr>
        <w:t>Challenges:</w:t>
      </w:r>
    </w:p>
    <w:p w14:paraId="68C510B9" w14:textId="77777777" w:rsidR="00600C09" w:rsidRPr="00600C09" w:rsidRDefault="00600C09" w:rsidP="00600C09">
      <w:pPr>
        <w:numPr>
          <w:ilvl w:val="0"/>
          <w:numId w:val="264"/>
        </w:numPr>
      </w:pPr>
      <w:r w:rsidRPr="00600C09">
        <w:t>Complexity of dual documentation (sukuk trust deeds and security agreements).</w:t>
      </w:r>
    </w:p>
    <w:p w14:paraId="6B1F830A" w14:textId="77777777" w:rsidR="00600C09" w:rsidRPr="00600C09" w:rsidRDefault="00600C09" w:rsidP="00600C09">
      <w:pPr>
        <w:numPr>
          <w:ilvl w:val="0"/>
          <w:numId w:val="264"/>
        </w:numPr>
      </w:pPr>
      <w:r w:rsidRPr="00600C09">
        <w:t>Cross-border enforceability when assets are located in multiple jurisdictions.</w:t>
      </w:r>
    </w:p>
    <w:p w14:paraId="2EFFCCAF" w14:textId="6C656876" w:rsidR="00600C09" w:rsidRPr="00600C09" w:rsidRDefault="00600C09" w:rsidP="00600C09"/>
    <w:p w14:paraId="265C314A" w14:textId="30A9B0B6" w:rsidR="00600C09" w:rsidRPr="00600C09" w:rsidRDefault="00600C09" w:rsidP="00600C09"/>
    <w:p w14:paraId="504A4C85" w14:textId="51D25DF2" w:rsidR="00600C09" w:rsidRPr="00A92336" w:rsidRDefault="00600C09" w:rsidP="00600C09">
      <w:pPr>
        <w:numPr>
          <w:ilvl w:val="0"/>
          <w:numId w:val="265"/>
        </w:numPr>
      </w:pPr>
      <w:r w:rsidRPr="00600C09">
        <w:rPr>
          <w:b/>
          <w:bCs/>
        </w:rPr>
        <w:t>7.5 Policy and Regulatory Innovations</w:t>
      </w:r>
    </w:p>
    <w:p w14:paraId="4D666CB2" w14:textId="77777777" w:rsidR="00600C09" w:rsidRPr="00600C09" w:rsidRDefault="00600C09" w:rsidP="00600C09">
      <w:pPr>
        <w:rPr>
          <w:b/>
          <w:bCs/>
        </w:rPr>
      </w:pPr>
      <w:r w:rsidRPr="00600C09">
        <w:rPr>
          <w:b/>
          <w:bCs/>
        </w:rPr>
        <w:t>7.4.4 Digital Rahn and Blockchain Collateral Registers</w:t>
      </w:r>
    </w:p>
    <w:p w14:paraId="6D64D575" w14:textId="77777777" w:rsidR="00600C09" w:rsidRPr="00600C09" w:rsidRDefault="00600C09" w:rsidP="00600C09">
      <w:r w:rsidRPr="00600C09">
        <w:rPr>
          <w:b/>
          <w:bCs/>
        </w:rPr>
        <w:t>Concept:</w:t>
      </w:r>
      <w:r w:rsidRPr="00600C09">
        <w:br/>
        <w:t>Traditional rahn requires delivery or registration of collateral. With blockchain technology, collateral rights can be digitally recorded, timestamped, and verified in decentralized ledgers. This creates a transparent, tamper-proof collateral registry.</w:t>
      </w:r>
    </w:p>
    <w:p w14:paraId="505DDFD1" w14:textId="77777777" w:rsidR="00600C09" w:rsidRPr="00600C09" w:rsidRDefault="00600C09" w:rsidP="00600C09">
      <w:r w:rsidRPr="00600C09">
        <w:rPr>
          <w:b/>
          <w:bCs/>
        </w:rPr>
        <w:t>Applications:</w:t>
      </w:r>
    </w:p>
    <w:p w14:paraId="3C602792" w14:textId="77777777" w:rsidR="00600C09" w:rsidRPr="00600C09" w:rsidRDefault="00600C09" w:rsidP="00600C09">
      <w:pPr>
        <w:numPr>
          <w:ilvl w:val="0"/>
          <w:numId w:val="266"/>
        </w:numPr>
      </w:pPr>
      <w:r w:rsidRPr="00600C09">
        <w:rPr>
          <w:b/>
          <w:bCs/>
        </w:rPr>
        <w:t>SME financing</w:t>
      </w:r>
      <w:r w:rsidRPr="00600C09">
        <w:t>: Micro-entrepreneurs can pledge movable assets (e.g., machinery, inventory) through mobile apps linked to blockchain.</w:t>
      </w:r>
    </w:p>
    <w:p w14:paraId="4FDAF34A" w14:textId="77777777" w:rsidR="00600C09" w:rsidRPr="00600C09" w:rsidRDefault="00600C09" w:rsidP="00600C09">
      <w:pPr>
        <w:numPr>
          <w:ilvl w:val="0"/>
          <w:numId w:val="266"/>
        </w:numPr>
      </w:pPr>
      <w:r w:rsidRPr="00600C09">
        <w:rPr>
          <w:b/>
          <w:bCs/>
        </w:rPr>
        <w:lastRenderedPageBreak/>
        <w:t>Cross-border transactions</w:t>
      </w:r>
      <w:r w:rsidRPr="00600C09">
        <w:t>: Multinational financiers can access shared blockchain registries for real-time collateral verification.</w:t>
      </w:r>
    </w:p>
    <w:p w14:paraId="1DB44343" w14:textId="77777777" w:rsidR="00600C09" w:rsidRPr="00600C09" w:rsidRDefault="00600C09" w:rsidP="00600C09">
      <w:pPr>
        <w:numPr>
          <w:ilvl w:val="0"/>
          <w:numId w:val="266"/>
        </w:numPr>
      </w:pPr>
      <w:r w:rsidRPr="00600C09">
        <w:rPr>
          <w:b/>
          <w:bCs/>
        </w:rPr>
        <w:t>Sukuk issuance</w:t>
      </w:r>
      <w:r w:rsidRPr="00600C09">
        <w:t>: Asset-backed sukuk can register collateral digitally, reducing disputes.</w:t>
      </w:r>
    </w:p>
    <w:p w14:paraId="278531F7" w14:textId="77777777" w:rsidR="00600C09" w:rsidRPr="00600C09" w:rsidRDefault="00600C09" w:rsidP="00600C09">
      <w:r w:rsidRPr="00600C09">
        <w:rPr>
          <w:b/>
          <w:bCs/>
        </w:rPr>
        <w:t>Benefits:</w:t>
      </w:r>
    </w:p>
    <w:p w14:paraId="3BDA954A" w14:textId="77777777" w:rsidR="00600C09" w:rsidRPr="00600C09" w:rsidRDefault="00600C09" w:rsidP="00600C09">
      <w:pPr>
        <w:numPr>
          <w:ilvl w:val="0"/>
          <w:numId w:val="267"/>
        </w:numPr>
      </w:pPr>
      <w:r w:rsidRPr="00600C09">
        <w:t>Reduces risk of double-pledging (same asset pledged to multiple creditors).</w:t>
      </w:r>
    </w:p>
    <w:p w14:paraId="4B9E1970" w14:textId="77777777" w:rsidR="00600C09" w:rsidRPr="00600C09" w:rsidRDefault="00600C09" w:rsidP="00600C09">
      <w:pPr>
        <w:numPr>
          <w:ilvl w:val="0"/>
          <w:numId w:val="267"/>
        </w:numPr>
      </w:pPr>
      <w:r w:rsidRPr="00600C09">
        <w:t>Lowers transaction costs by eliminating reliance on physical delivery.</w:t>
      </w:r>
    </w:p>
    <w:p w14:paraId="0B42CA90" w14:textId="77777777" w:rsidR="00600C09" w:rsidRPr="00600C09" w:rsidRDefault="00600C09" w:rsidP="00600C09">
      <w:pPr>
        <w:numPr>
          <w:ilvl w:val="0"/>
          <w:numId w:val="267"/>
        </w:numPr>
      </w:pPr>
      <w:r w:rsidRPr="00600C09">
        <w:t>Enhances transparency and confidence among international investors.</w:t>
      </w:r>
    </w:p>
    <w:p w14:paraId="1C61A6DE" w14:textId="77777777" w:rsidR="00600C09" w:rsidRPr="00600C09" w:rsidRDefault="00600C09" w:rsidP="00600C09">
      <w:r w:rsidRPr="00600C09">
        <w:rPr>
          <w:b/>
          <w:bCs/>
        </w:rPr>
        <w:t>Challenges:</w:t>
      </w:r>
    </w:p>
    <w:p w14:paraId="694B6119" w14:textId="77777777" w:rsidR="00600C09" w:rsidRPr="00600C09" w:rsidRDefault="00600C09" w:rsidP="00600C09">
      <w:pPr>
        <w:numPr>
          <w:ilvl w:val="0"/>
          <w:numId w:val="268"/>
        </w:numPr>
      </w:pPr>
      <w:r w:rsidRPr="00600C09">
        <w:t>Legal recognition of blockchain records varies across jurisdictions.</w:t>
      </w:r>
    </w:p>
    <w:p w14:paraId="0BD8DCBE" w14:textId="77777777" w:rsidR="00600C09" w:rsidRPr="00600C09" w:rsidRDefault="00600C09" w:rsidP="00600C09">
      <w:pPr>
        <w:numPr>
          <w:ilvl w:val="0"/>
          <w:numId w:val="268"/>
        </w:numPr>
      </w:pPr>
      <w:r w:rsidRPr="00600C09">
        <w:t>Cybersecurity concerns if systems are not robust.</w:t>
      </w:r>
    </w:p>
    <w:p w14:paraId="199924A4" w14:textId="77777777" w:rsidR="00600C09" w:rsidRPr="00600C09" w:rsidRDefault="00600C09" w:rsidP="00600C09">
      <w:pPr>
        <w:numPr>
          <w:ilvl w:val="0"/>
          <w:numId w:val="268"/>
        </w:numPr>
      </w:pPr>
      <w:r w:rsidRPr="00600C09">
        <w:t xml:space="preserve">Need for Shariah approval on whether digital possession constitutes </w:t>
      </w:r>
      <w:r w:rsidRPr="00600C09">
        <w:rPr>
          <w:i/>
          <w:iCs/>
        </w:rPr>
        <w:t>qab</w:t>
      </w:r>
      <w:r w:rsidRPr="00600C09">
        <w:rPr>
          <w:rFonts w:ascii="Calibri" w:hAnsi="Calibri" w:cs="Calibri"/>
          <w:i/>
          <w:iCs/>
        </w:rPr>
        <w:t>ḍ</w:t>
      </w:r>
      <w:r w:rsidRPr="00600C09">
        <w:t>.</w:t>
      </w:r>
    </w:p>
    <w:p w14:paraId="231F6339" w14:textId="2830B0BC" w:rsidR="00600C09" w:rsidRPr="00600C09" w:rsidRDefault="00600C09" w:rsidP="00600C09"/>
    <w:p w14:paraId="062E4BAA" w14:textId="77777777" w:rsidR="00600C09" w:rsidRPr="00600C09" w:rsidRDefault="00600C09" w:rsidP="00600C09">
      <w:pPr>
        <w:rPr>
          <w:b/>
          <w:bCs/>
        </w:rPr>
      </w:pPr>
      <w:r w:rsidRPr="00600C09">
        <w:rPr>
          <w:b/>
          <w:bCs/>
        </w:rPr>
        <w:t xml:space="preserve">7.4.5 Smart Contracts for Kafālah and </w:t>
      </w:r>
      <w:r w:rsidRPr="00600C09">
        <w:rPr>
          <w:rFonts w:ascii="Calibri" w:hAnsi="Calibri" w:cs="Calibri"/>
          <w:b/>
          <w:bCs/>
        </w:rPr>
        <w:t>Ḥ</w:t>
      </w:r>
      <w:r w:rsidRPr="00600C09">
        <w:rPr>
          <w:b/>
          <w:bCs/>
        </w:rPr>
        <w:t>awālah</w:t>
      </w:r>
    </w:p>
    <w:p w14:paraId="391976F3" w14:textId="77777777" w:rsidR="00600C09" w:rsidRPr="00600C09" w:rsidRDefault="00600C09" w:rsidP="00600C09">
      <w:r w:rsidRPr="00600C09">
        <w:rPr>
          <w:b/>
          <w:bCs/>
        </w:rPr>
        <w:t>Concept:</w:t>
      </w:r>
      <w:r w:rsidRPr="00600C09">
        <w:br/>
        <w:t xml:space="preserve">Smart contracts are self-executing digital agreements coded on blockchain platforms. They can automate kafālah or </w:t>
      </w:r>
      <w:r w:rsidRPr="00600C09">
        <w:rPr>
          <w:rFonts w:ascii="Calibri" w:hAnsi="Calibri" w:cs="Calibri"/>
        </w:rPr>
        <w:t>ḥ</w:t>
      </w:r>
      <w:r w:rsidRPr="00600C09">
        <w:t>awālah undertakings.</w:t>
      </w:r>
    </w:p>
    <w:p w14:paraId="20F518FA" w14:textId="77777777" w:rsidR="00600C09" w:rsidRPr="00600C09" w:rsidRDefault="00600C09" w:rsidP="00600C09">
      <w:r w:rsidRPr="00600C09">
        <w:rPr>
          <w:b/>
          <w:bCs/>
        </w:rPr>
        <w:t>Applications:</w:t>
      </w:r>
    </w:p>
    <w:p w14:paraId="75CBFA58" w14:textId="77777777" w:rsidR="00600C09" w:rsidRPr="00600C09" w:rsidRDefault="00600C09" w:rsidP="00600C09">
      <w:pPr>
        <w:numPr>
          <w:ilvl w:val="0"/>
          <w:numId w:val="269"/>
        </w:numPr>
      </w:pPr>
      <w:r w:rsidRPr="00600C09">
        <w:rPr>
          <w:b/>
          <w:bCs/>
        </w:rPr>
        <w:t>Kafālah guarantees</w:t>
      </w:r>
      <w:r w:rsidRPr="00600C09">
        <w:t>: Automatically triggered when a borrower defaults, transferring liability to guarantor without manual enforcement.</w:t>
      </w:r>
    </w:p>
    <w:p w14:paraId="2D5005C5" w14:textId="77777777" w:rsidR="00600C09" w:rsidRPr="00600C09" w:rsidRDefault="00600C09" w:rsidP="00600C09">
      <w:pPr>
        <w:numPr>
          <w:ilvl w:val="0"/>
          <w:numId w:val="269"/>
        </w:numPr>
      </w:pPr>
      <w:r w:rsidRPr="00600C09">
        <w:rPr>
          <w:rFonts w:ascii="Calibri" w:hAnsi="Calibri" w:cs="Calibri"/>
          <w:b/>
          <w:bCs/>
        </w:rPr>
        <w:t>Ḥ</w:t>
      </w:r>
      <w:r w:rsidRPr="00600C09">
        <w:rPr>
          <w:b/>
          <w:bCs/>
        </w:rPr>
        <w:t>awālah transfers</w:t>
      </w:r>
      <w:r w:rsidRPr="00600C09">
        <w:t>: Automated settlement of debt obligations from one party to another, ensuring clarity of obligations.</w:t>
      </w:r>
    </w:p>
    <w:p w14:paraId="71FA1D85" w14:textId="77777777" w:rsidR="00600C09" w:rsidRPr="00600C09" w:rsidRDefault="00600C09" w:rsidP="00600C09">
      <w:r w:rsidRPr="00600C09">
        <w:rPr>
          <w:b/>
          <w:bCs/>
        </w:rPr>
        <w:t>Benefits:</w:t>
      </w:r>
    </w:p>
    <w:p w14:paraId="234B780C" w14:textId="77777777" w:rsidR="00600C09" w:rsidRPr="00600C09" w:rsidRDefault="00600C09" w:rsidP="00600C09">
      <w:pPr>
        <w:numPr>
          <w:ilvl w:val="0"/>
          <w:numId w:val="270"/>
        </w:numPr>
      </w:pPr>
      <w:r w:rsidRPr="00600C09">
        <w:t>Eliminates disputes over execution of obligations.</w:t>
      </w:r>
    </w:p>
    <w:p w14:paraId="21491A3C" w14:textId="77777777" w:rsidR="00600C09" w:rsidRPr="00600C09" w:rsidRDefault="00600C09" w:rsidP="00600C09">
      <w:pPr>
        <w:numPr>
          <w:ilvl w:val="0"/>
          <w:numId w:val="270"/>
        </w:numPr>
      </w:pPr>
      <w:r w:rsidRPr="00600C09">
        <w:t>Reduces administrative costs and delays.</w:t>
      </w:r>
    </w:p>
    <w:p w14:paraId="0C803A47" w14:textId="77777777" w:rsidR="00600C09" w:rsidRPr="00600C09" w:rsidRDefault="00600C09" w:rsidP="00600C09">
      <w:pPr>
        <w:numPr>
          <w:ilvl w:val="0"/>
          <w:numId w:val="270"/>
        </w:numPr>
      </w:pPr>
      <w:r w:rsidRPr="00600C09">
        <w:t>Increases confidence in cross-border transactions by standardizing processes.</w:t>
      </w:r>
    </w:p>
    <w:p w14:paraId="2E487E66" w14:textId="77777777" w:rsidR="00600C09" w:rsidRPr="00600C09" w:rsidRDefault="00600C09" w:rsidP="00600C09">
      <w:r w:rsidRPr="00600C09">
        <w:rPr>
          <w:b/>
          <w:bCs/>
        </w:rPr>
        <w:t>Concerns:</w:t>
      </w:r>
    </w:p>
    <w:p w14:paraId="2E25E945" w14:textId="77777777" w:rsidR="00600C09" w:rsidRPr="00600C09" w:rsidRDefault="00600C09" w:rsidP="00600C09">
      <w:pPr>
        <w:numPr>
          <w:ilvl w:val="0"/>
          <w:numId w:val="271"/>
        </w:numPr>
      </w:pPr>
      <w:r w:rsidRPr="00600C09">
        <w:t>Coding errors in smart contracts may cause unintended consequences.</w:t>
      </w:r>
    </w:p>
    <w:p w14:paraId="7F72CA37" w14:textId="77777777" w:rsidR="00600C09" w:rsidRPr="00600C09" w:rsidRDefault="00600C09" w:rsidP="00600C09">
      <w:pPr>
        <w:numPr>
          <w:ilvl w:val="0"/>
          <w:numId w:val="271"/>
        </w:numPr>
      </w:pPr>
      <w:r w:rsidRPr="00600C09">
        <w:t>Juristic debate on whether automated execution removes the element of human discretion required in kafālah.</w:t>
      </w:r>
    </w:p>
    <w:p w14:paraId="71C48B20" w14:textId="77777777" w:rsidR="00600C09" w:rsidRPr="00600C09" w:rsidRDefault="00600C09" w:rsidP="00600C09">
      <w:pPr>
        <w:numPr>
          <w:ilvl w:val="0"/>
          <w:numId w:val="271"/>
        </w:numPr>
      </w:pPr>
      <w:r w:rsidRPr="00600C09">
        <w:lastRenderedPageBreak/>
        <w:t>Dependence on digital infrastructure, raising inclusivity issues in less developed markets.</w:t>
      </w:r>
    </w:p>
    <w:p w14:paraId="1C1A413D" w14:textId="3D915780" w:rsidR="00600C09" w:rsidRPr="00600C09" w:rsidRDefault="00600C09" w:rsidP="00600C09"/>
    <w:p w14:paraId="36458951" w14:textId="77777777" w:rsidR="00600C09" w:rsidRPr="00600C09" w:rsidRDefault="00600C09" w:rsidP="00600C09">
      <w:pPr>
        <w:rPr>
          <w:b/>
          <w:bCs/>
        </w:rPr>
      </w:pPr>
      <w:r w:rsidRPr="00600C09">
        <w:rPr>
          <w:b/>
          <w:bCs/>
        </w:rPr>
        <w:t>7.4.6 Integration with Islamic Fintech</w:t>
      </w:r>
    </w:p>
    <w:p w14:paraId="24B1BF32" w14:textId="77777777" w:rsidR="00600C09" w:rsidRPr="00600C09" w:rsidRDefault="00600C09" w:rsidP="00600C09">
      <w:r w:rsidRPr="00600C09">
        <w:t>Islamic fintech startups are pioneering models that integrate security instruments with digital platforms:</w:t>
      </w:r>
    </w:p>
    <w:p w14:paraId="5200A1AD" w14:textId="77777777" w:rsidR="00600C09" w:rsidRPr="00600C09" w:rsidRDefault="00600C09" w:rsidP="00600C09">
      <w:pPr>
        <w:numPr>
          <w:ilvl w:val="0"/>
          <w:numId w:val="272"/>
        </w:numPr>
      </w:pPr>
      <w:r w:rsidRPr="00600C09">
        <w:rPr>
          <w:b/>
          <w:bCs/>
        </w:rPr>
        <w:t>Crowdfunding platforms</w:t>
      </w:r>
      <w:r w:rsidRPr="00600C09">
        <w:t>: Use rahn-based escrow accounts to secure investor funds.</w:t>
      </w:r>
    </w:p>
    <w:p w14:paraId="7D4752BE" w14:textId="77777777" w:rsidR="00600C09" w:rsidRPr="00600C09" w:rsidRDefault="00600C09" w:rsidP="00600C09">
      <w:pPr>
        <w:numPr>
          <w:ilvl w:val="0"/>
          <w:numId w:val="272"/>
        </w:numPr>
      </w:pPr>
      <w:r w:rsidRPr="00600C09">
        <w:rPr>
          <w:b/>
          <w:bCs/>
        </w:rPr>
        <w:t>P2P lending</w:t>
      </w:r>
      <w:r w:rsidRPr="00600C09">
        <w:t>: Guarantees structured as kafālah, with blockchain-based records ensuring enforceability.</w:t>
      </w:r>
    </w:p>
    <w:p w14:paraId="343E4E9E" w14:textId="77777777" w:rsidR="00600C09" w:rsidRPr="00600C09" w:rsidRDefault="00600C09" w:rsidP="00600C09">
      <w:pPr>
        <w:numPr>
          <w:ilvl w:val="0"/>
          <w:numId w:val="272"/>
        </w:numPr>
      </w:pPr>
      <w:r w:rsidRPr="00600C09">
        <w:rPr>
          <w:b/>
          <w:bCs/>
        </w:rPr>
        <w:t>Digital sukuk</w:t>
      </w:r>
      <w:r w:rsidRPr="00600C09">
        <w:t xml:space="preserve">: Tokenized sukuk with embedded rahn or </w:t>
      </w:r>
      <w:r w:rsidRPr="00600C09">
        <w:rPr>
          <w:rFonts w:ascii="Calibri" w:hAnsi="Calibri" w:cs="Calibri"/>
        </w:rPr>
        <w:t>ḥ</w:t>
      </w:r>
      <w:r w:rsidRPr="00600C09">
        <w:t>awālah rights, enabling fractional ownership and global investor access.</w:t>
      </w:r>
    </w:p>
    <w:p w14:paraId="555AC629" w14:textId="77777777" w:rsidR="00600C09" w:rsidRPr="00600C09" w:rsidRDefault="00600C09" w:rsidP="00600C09">
      <w:r w:rsidRPr="00600C09">
        <w:t xml:space="preserve">Such innovations show that reform need not be limited to reinterpretation of classical rules; it can also arise from </w:t>
      </w:r>
      <w:r w:rsidRPr="00600C09">
        <w:rPr>
          <w:b/>
          <w:bCs/>
        </w:rPr>
        <w:t>new delivery channels</w:t>
      </w:r>
      <w:r w:rsidRPr="00600C09">
        <w:t xml:space="preserve"> that embed Shariah principles into digital ecosystems.</w:t>
      </w:r>
    </w:p>
    <w:p w14:paraId="1670E6AB" w14:textId="14056C7E" w:rsidR="00600C09" w:rsidRPr="00600C09" w:rsidRDefault="00600C09" w:rsidP="00600C09"/>
    <w:p w14:paraId="044DE473" w14:textId="77777777" w:rsidR="00600C09" w:rsidRPr="00600C09" w:rsidRDefault="00600C09" w:rsidP="00600C09">
      <w:pPr>
        <w:rPr>
          <w:b/>
          <w:bCs/>
        </w:rPr>
      </w:pPr>
      <w:r w:rsidRPr="00600C09">
        <w:rPr>
          <w:b/>
          <w:bCs/>
        </w:rPr>
        <w:t>7.5 Policy and Regulatory Innovations</w:t>
      </w:r>
    </w:p>
    <w:p w14:paraId="3B41B757" w14:textId="77777777" w:rsidR="00600C09" w:rsidRPr="00600C09" w:rsidRDefault="00600C09" w:rsidP="00600C09">
      <w:r w:rsidRPr="00600C09">
        <w:t>Reforming security instruments also requires regulatory support. Malaysia provides a useful model, but broader international reforms are underway.</w:t>
      </w:r>
    </w:p>
    <w:p w14:paraId="63235AD9" w14:textId="09890B73" w:rsidR="00600C09" w:rsidRPr="00600C09" w:rsidRDefault="00600C09" w:rsidP="00600C09"/>
    <w:p w14:paraId="5E61134B" w14:textId="77777777" w:rsidR="00600C09" w:rsidRPr="00600C09" w:rsidRDefault="00600C09" w:rsidP="00600C09">
      <w:pPr>
        <w:rPr>
          <w:b/>
          <w:bCs/>
        </w:rPr>
      </w:pPr>
      <w:r w:rsidRPr="00600C09">
        <w:rPr>
          <w:b/>
          <w:bCs/>
        </w:rPr>
        <w:t>7.5.1 Malaysia as a Model</w:t>
      </w:r>
    </w:p>
    <w:p w14:paraId="4D2E03A1" w14:textId="77777777" w:rsidR="00600C09" w:rsidRPr="00600C09" w:rsidRDefault="00600C09" w:rsidP="00600C09">
      <w:r w:rsidRPr="00600C09">
        <w:t>Malaysia has pioneered regulatory innovations:</w:t>
      </w:r>
    </w:p>
    <w:p w14:paraId="794E1A17" w14:textId="77777777" w:rsidR="00600C09" w:rsidRPr="00600C09" w:rsidRDefault="00600C09" w:rsidP="00600C09">
      <w:pPr>
        <w:numPr>
          <w:ilvl w:val="0"/>
          <w:numId w:val="273"/>
        </w:numPr>
      </w:pPr>
      <w:r w:rsidRPr="00600C09">
        <w:rPr>
          <w:b/>
          <w:bCs/>
        </w:rPr>
        <w:t>SAC Binding Authority</w:t>
      </w:r>
      <w:r w:rsidRPr="00600C09">
        <w:t>: Ensures courts and regulators apply consistent Shariah rulings.</w:t>
      </w:r>
    </w:p>
    <w:p w14:paraId="444BE60E" w14:textId="77777777" w:rsidR="00600C09" w:rsidRPr="00600C09" w:rsidRDefault="00600C09" w:rsidP="00600C09">
      <w:pPr>
        <w:numPr>
          <w:ilvl w:val="0"/>
          <w:numId w:val="273"/>
        </w:numPr>
      </w:pPr>
      <w:r w:rsidRPr="00600C09">
        <w:rPr>
          <w:b/>
          <w:bCs/>
        </w:rPr>
        <w:t>BNM’s SGPD (2019)</w:t>
      </w:r>
      <w:r w:rsidRPr="00600C09">
        <w:t>: Embeds Shariah governance into every level of IFIs.</w:t>
      </w:r>
    </w:p>
    <w:p w14:paraId="2EC5911C" w14:textId="77777777" w:rsidR="00600C09" w:rsidRPr="00600C09" w:rsidRDefault="00600C09" w:rsidP="00600C09">
      <w:pPr>
        <w:numPr>
          <w:ilvl w:val="0"/>
          <w:numId w:val="273"/>
        </w:numPr>
      </w:pPr>
      <w:r w:rsidRPr="00600C09">
        <w:rPr>
          <w:b/>
          <w:bCs/>
        </w:rPr>
        <w:t>Movable Property Security Interests Act (2015)</w:t>
      </w:r>
      <w:r w:rsidRPr="00600C09">
        <w:t>: Provides statutory recognition of collateral over movable and intangible assets, aligned with rahn principles.</w:t>
      </w:r>
    </w:p>
    <w:p w14:paraId="6C5CB9D5" w14:textId="77777777" w:rsidR="00600C09" w:rsidRPr="00600C09" w:rsidRDefault="00600C09" w:rsidP="00600C09">
      <w:pPr>
        <w:numPr>
          <w:ilvl w:val="0"/>
          <w:numId w:val="273"/>
        </w:numPr>
      </w:pPr>
      <w:r w:rsidRPr="00600C09">
        <w:rPr>
          <w:b/>
          <w:bCs/>
        </w:rPr>
        <w:t>Green and Social Sukuk Frameworks</w:t>
      </w:r>
      <w:r w:rsidRPr="00600C09">
        <w:t>: Encourage ESG-linked sukuk, often requiring innovative security arrangements (e.g., revenue pledges from renewable energy projects).</w:t>
      </w:r>
    </w:p>
    <w:p w14:paraId="3C521857" w14:textId="77777777" w:rsidR="00600C09" w:rsidRPr="00600C09" w:rsidRDefault="00600C09" w:rsidP="00600C09">
      <w:r w:rsidRPr="00600C09">
        <w:t>Malaysia’s pragmatic approach shows how regulatory reform can translate Shariah principles into enforceable, market-ready frameworks.</w:t>
      </w:r>
    </w:p>
    <w:p w14:paraId="347C941A" w14:textId="7902C79A" w:rsidR="00600C09" w:rsidRPr="00600C09" w:rsidRDefault="00600C09" w:rsidP="00600C09"/>
    <w:p w14:paraId="2A4A82C3" w14:textId="77777777" w:rsidR="00600C09" w:rsidRPr="00600C09" w:rsidRDefault="00600C09" w:rsidP="00600C09">
      <w:pPr>
        <w:rPr>
          <w:b/>
          <w:bCs/>
        </w:rPr>
      </w:pPr>
      <w:r w:rsidRPr="00600C09">
        <w:rPr>
          <w:b/>
          <w:bCs/>
        </w:rPr>
        <w:t>7.5.2 International Reforms</w:t>
      </w:r>
    </w:p>
    <w:p w14:paraId="07873A1A" w14:textId="77777777" w:rsidR="00600C09" w:rsidRPr="00600C09" w:rsidRDefault="00600C09" w:rsidP="00600C09">
      <w:r w:rsidRPr="00600C09">
        <w:rPr>
          <w:b/>
          <w:bCs/>
        </w:rPr>
        <w:t>1. AAOIFI Standards</w:t>
      </w:r>
      <w:r w:rsidRPr="00600C09">
        <w:br/>
        <w:t xml:space="preserve">AAOIFI’s Shariah Standards codify interpretations of rahn, kafālah, and </w:t>
      </w:r>
      <w:r w:rsidRPr="00600C09">
        <w:rPr>
          <w:rFonts w:ascii="Calibri" w:hAnsi="Calibri" w:cs="Calibri"/>
        </w:rPr>
        <w:t>ḥ</w:t>
      </w:r>
      <w:r w:rsidRPr="00600C09">
        <w:t>awālah. While conservative, they provide benchmarks widely accepted in the Gulf, facilitating cross-border harmonization.</w:t>
      </w:r>
    </w:p>
    <w:p w14:paraId="69CCA0F4" w14:textId="77777777" w:rsidR="00600C09" w:rsidRPr="00600C09" w:rsidRDefault="00600C09" w:rsidP="00600C09">
      <w:r w:rsidRPr="00600C09">
        <w:rPr>
          <w:b/>
          <w:bCs/>
        </w:rPr>
        <w:t>2. IFSB Guidelines</w:t>
      </w:r>
      <w:r w:rsidRPr="00600C09">
        <w:br/>
        <w:t xml:space="preserve">The IFSB’s </w:t>
      </w:r>
      <w:r w:rsidRPr="00600C09">
        <w:rPr>
          <w:i/>
          <w:iCs/>
        </w:rPr>
        <w:t>Guiding Principles on Shariah Governance</w:t>
      </w:r>
      <w:r w:rsidRPr="00600C09">
        <w:t xml:space="preserve"> emphasize independence, competence, and transparency in Shariah boards. These principles indirectly strengthen the credibility of security instruments.</w:t>
      </w:r>
    </w:p>
    <w:p w14:paraId="6A47A29B" w14:textId="77777777" w:rsidR="00600C09" w:rsidRPr="00600C09" w:rsidRDefault="00600C09" w:rsidP="00600C09">
      <w:r w:rsidRPr="00600C09">
        <w:rPr>
          <w:b/>
          <w:bCs/>
        </w:rPr>
        <w:t>3. UNIDROIT Cape Town Convention</w:t>
      </w:r>
      <w:r w:rsidRPr="00600C09">
        <w:br/>
        <w:t>Although not Islamic, the Cape Town Convention on International Interests in Mobile Equipment provides a model for harmonizing asset-backed financing across jurisdictions. Islamic scholars have explored adapting its principles to rahn over aircraft, ships, and equipment.</w:t>
      </w:r>
    </w:p>
    <w:p w14:paraId="5935F8B6" w14:textId="2C0BA131" w:rsidR="00600C09" w:rsidRPr="00600C09" w:rsidRDefault="00600C09" w:rsidP="00600C09"/>
    <w:p w14:paraId="0693473F" w14:textId="77777777" w:rsidR="00600C09" w:rsidRPr="00600C09" w:rsidRDefault="00600C09" w:rsidP="00600C09">
      <w:pPr>
        <w:rPr>
          <w:b/>
          <w:bCs/>
        </w:rPr>
      </w:pPr>
      <w:r w:rsidRPr="00600C09">
        <w:rPr>
          <w:b/>
          <w:bCs/>
        </w:rPr>
        <w:t>7.5.3 Prospects for a Global Framework</w:t>
      </w:r>
    </w:p>
    <w:p w14:paraId="5B20E94B" w14:textId="77777777" w:rsidR="00600C09" w:rsidRPr="00600C09" w:rsidRDefault="00600C09" w:rsidP="00600C09">
      <w:r w:rsidRPr="00600C09">
        <w:t xml:space="preserve">Reform momentum suggests the possibility of a </w:t>
      </w:r>
      <w:r w:rsidRPr="00600C09">
        <w:rPr>
          <w:b/>
          <w:bCs/>
        </w:rPr>
        <w:t>Global Islamic Security Instruments Framework</w:t>
      </w:r>
      <w:r w:rsidRPr="00600C09">
        <w:t>. This would:</w:t>
      </w:r>
    </w:p>
    <w:p w14:paraId="18A2BEEF" w14:textId="77777777" w:rsidR="00600C09" w:rsidRPr="00600C09" w:rsidRDefault="00600C09" w:rsidP="00600C09">
      <w:pPr>
        <w:numPr>
          <w:ilvl w:val="0"/>
          <w:numId w:val="274"/>
        </w:numPr>
      </w:pPr>
      <w:r w:rsidRPr="00600C09">
        <w:t xml:space="preserve">Standardize definitions of rahn, kafālah, and </w:t>
      </w:r>
      <w:r w:rsidRPr="00600C09">
        <w:rPr>
          <w:rFonts w:ascii="Calibri" w:hAnsi="Calibri" w:cs="Calibri"/>
        </w:rPr>
        <w:t>ḥ</w:t>
      </w:r>
      <w:r w:rsidRPr="00600C09">
        <w:t>awālah across jurisdictions.</w:t>
      </w:r>
    </w:p>
    <w:p w14:paraId="3683A4C0" w14:textId="77777777" w:rsidR="00600C09" w:rsidRPr="00600C09" w:rsidRDefault="00600C09" w:rsidP="00600C09">
      <w:pPr>
        <w:numPr>
          <w:ilvl w:val="0"/>
          <w:numId w:val="274"/>
        </w:numPr>
      </w:pPr>
      <w:r w:rsidRPr="00600C09">
        <w:t>Provide model contracts endorsed by AAOIFI, SAC, and IFSB.</w:t>
      </w:r>
    </w:p>
    <w:p w14:paraId="73542FFD" w14:textId="77777777" w:rsidR="00600C09" w:rsidRPr="00600C09" w:rsidRDefault="00600C09" w:rsidP="00600C09">
      <w:pPr>
        <w:numPr>
          <w:ilvl w:val="0"/>
          <w:numId w:val="274"/>
        </w:numPr>
      </w:pPr>
      <w:r w:rsidRPr="00600C09">
        <w:t>Ensure recognition of Islamic security rights in international courts.</w:t>
      </w:r>
    </w:p>
    <w:p w14:paraId="7FC1FFBB" w14:textId="77777777" w:rsidR="00600C09" w:rsidRPr="00600C09" w:rsidRDefault="00600C09" w:rsidP="00600C09">
      <w:r w:rsidRPr="00600C09">
        <w:t xml:space="preserve">Such a framework could mirror the role of Basel Accords in conventional banking, creating a </w:t>
      </w:r>
      <w:r w:rsidRPr="00600C09">
        <w:rPr>
          <w:b/>
          <w:bCs/>
        </w:rPr>
        <w:t>level playing field</w:t>
      </w:r>
      <w:r w:rsidRPr="00600C09">
        <w:t xml:space="preserve"> for Islamic finance in project finance and capital markets.</w:t>
      </w:r>
    </w:p>
    <w:p w14:paraId="507CAED4" w14:textId="5CC85615" w:rsidR="00600C09" w:rsidRPr="00600C09" w:rsidRDefault="00600C09" w:rsidP="00600C09"/>
    <w:p w14:paraId="5A4BEBA2" w14:textId="77777777" w:rsidR="00600C09" w:rsidRPr="00600C09" w:rsidRDefault="00600C09" w:rsidP="00600C09">
      <w:pPr>
        <w:rPr>
          <w:b/>
          <w:bCs/>
        </w:rPr>
      </w:pPr>
      <w:r w:rsidRPr="00600C09">
        <w:rPr>
          <w:b/>
          <w:bCs/>
        </w:rPr>
        <w:t>7.5.4 Balancing Innovation with Integrity</w:t>
      </w:r>
    </w:p>
    <w:p w14:paraId="2D9B7FEB" w14:textId="77777777" w:rsidR="00600C09" w:rsidRPr="00600C09" w:rsidRDefault="00600C09" w:rsidP="00600C09">
      <w:r w:rsidRPr="00600C09">
        <w:t>Regulatory reforms must ensure innovation does not compromise authenticity. This requires:</w:t>
      </w:r>
    </w:p>
    <w:p w14:paraId="41871A96" w14:textId="77777777" w:rsidR="00600C09" w:rsidRPr="00600C09" w:rsidRDefault="00600C09" w:rsidP="00600C09">
      <w:pPr>
        <w:numPr>
          <w:ilvl w:val="0"/>
          <w:numId w:val="275"/>
        </w:numPr>
      </w:pPr>
      <w:r w:rsidRPr="00600C09">
        <w:rPr>
          <w:b/>
          <w:bCs/>
        </w:rPr>
        <w:t>Substance over form</w:t>
      </w:r>
      <w:r w:rsidRPr="00600C09">
        <w:t>: Ensuring contracts fulfill maqāṣid, not just mimic conventional forms.</w:t>
      </w:r>
    </w:p>
    <w:p w14:paraId="7713B984" w14:textId="77777777" w:rsidR="00600C09" w:rsidRPr="00600C09" w:rsidRDefault="00600C09" w:rsidP="00600C09">
      <w:pPr>
        <w:numPr>
          <w:ilvl w:val="0"/>
          <w:numId w:val="275"/>
        </w:numPr>
      </w:pPr>
      <w:r w:rsidRPr="00600C09">
        <w:rPr>
          <w:b/>
          <w:bCs/>
        </w:rPr>
        <w:t>Risk-sharing emphasis</w:t>
      </w:r>
      <w:r w:rsidRPr="00600C09">
        <w:t>: Avoiding instruments that merely replicate interest-based security.</w:t>
      </w:r>
    </w:p>
    <w:p w14:paraId="5C9AD075" w14:textId="7CCA8762" w:rsidR="00600C09" w:rsidRPr="00600C09" w:rsidRDefault="00600C09" w:rsidP="00600C09">
      <w:pPr>
        <w:numPr>
          <w:ilvl w:val="0"/>
          <w:numId w:val="275"/>
        </w:numPr>
      </w:pPr>
      <w:r w:rsidRPr="00600C09">
        <w:rPr>
          <w:b/>
          <w:bCs/>
        </w:rPr>
        <w:lastRenderedPageBreak/>
        <w:t>Stakeholder consultation</w:t>
      </w:r>
      <w:r w:rsidRPr="00600C09">
        <w:t>: Engaging scholars, regulators, and industry practitioners in developing reforms.</w:t>
      </w:r>
    </w:p>
    <w:p w14:paraId="318F269A" w14:textId="4ED6BA59" w:rsidR="00600C09" w:rsidRDefault="00600C09" w:rsidP="00600C09"/>
    <w:p w14:paraId="5087B5F5" w14:textId="77777777" w:rsidR="00A37583" w:rsidRDefault="00A37583" w:rsidP="00600C09"/>
    <w:p w14:paraId="50A7FB84" w14:textId="77777777" w:rsidR="00A37583" w:rsidRDefault="00A37583" w:rsidP="00600C09"/>
    <w:p w14:paraId="6B751500" w14:textId="77777777" w:rsidR="00A37583" w:rsidRDefault="00A37583" w:rsidP="00600C09"/>
    <w:p w14:paraId="54AF96EB" w14:textId="77777777" w:rsidR="00A37583" w:rsidRDefault="00A37583" w:rsidP="00600C09"/>
    <w:p w14:paraId="29D0E397" w14:textId="77777777" w:rsidR="00A37583" w:rsidRDefault="00A37583" w:rsidP="00600C09"/>
    <w:p w14:paraId="21B7EE42" w14:textId="77777777" w:rsidR="00A37583" w:rsidRPr="00600C09" w:rsidRDefault="00A37583" w:rsidP="00600C09"/>
    <w:p w14:paraId="5BC8B38A" w14:textId="77777777" w:rsidR="00600C09" w:rsidRPr="00600C09" w:rsidRDefault="00600C09" w:rsidP="00600C09">
      <w:pPr>
        <w:rPr>
          <w:b/>
          <w:bCs/>
        </w:rPr>
      </w:pPr>
      <w:r w:rsidRPr="00600C09">
        <w:rPr>
          <w:b/>
          <w:bCs/>
        </w:rPr>
        <w:t>7.6 Maqāṣid-Oriented Reform Agenda</w:t>
      </w:r>
    </w:p>
    <w:p w14:paraId="3D9CADEB" w14:textId="77777777" w:rsidR="00600C09" w:rsidRPr="00600C09" w:rsidRDefault="00600C09" w:rsidP="00600C09">
      <w:r w:rsidRPr="00600C09">
        <w:t xml:space="preserve">While technical reforms and regulatory innovations are necessary, they must ultimately be guided by the </w:t>
      </w:r>
      <w:r w:rsidRPr="00600C09">
        <w:rPr>
          <w:b/>
          <w:bCs/>
        </w:rPr>
        <w:t>maqāṣid al-Shariah</w:t>
      </w:r>
      <w:r w:rsidRPr="00600C09">
        <w:t xml:space="preserve"> — the higher objectives of Islamic law. Classical jurists such as al-Ghazali and al-Shatibi identified the protection of wealth (</w:t>
      </w:r>
      <w:r w:rsidRPr="00600C09">
        <w:rPr>
          <w:rFonts w:ascii="Calibri" w:hAnsi="Calibri" w:cs="Calibri"/>
          <w:i/>
          <w:iCs/>
        </w:rPr>
        <w:t>ḥ</w:t>
      </w:r>
      <w:r w:rsidRPr="00600C09">
        <w:rPr>
          <w:i/>
          <w:iCs/>
        </w:rPr>
        <w:t>if</w:t>
      </w:r>
      <w:r w:rsidRPr="00600C09">
        <w:rPr>
          <w:rFonts w:ascii="Calibri" w:hAnsi="Calibri" w:cs="Calibri"/>
          <w:i/>
          <w:iCs/>
        </w:rPr>
        <w:t>ẓ</w:t>
      </w:r>
      <w:r w:rsidRPr="00600C09">
        <w:rPr>
          <w:i/>
          <w:iCs/>
        </w:rPr>
        <w:t xml:space="preserve"> al-māl</w:t>
      </w:r>
      <w:r w:rsidRPr="00600C09">
        <w:t>), justice (</w:t>
      </w:r>
      <w:r w:rsidRPr="00600C09">
        <w:rPr>
          <w:rFonts w:ascii="Arial" w:hAnsi="Arial" w:cs="Arial"/>
          <w:i/>
          <w:iCs/>
        </w:rPr>
        <w:t>ʿ</w:t>
      </w:r>
      <w:r w:rsidRPr="00600C09">
        <w:rPr>
          <w:i/>
          <w:iCs/>
        </w:rPr>
        <w:t>adl</w:t>
      </w:r>
      <w:r w:rsidRPr="00600C09">
        <w:t>), and prevention of harm (</w:t>
      </w:r>
      <w:r w:rsidRPr="00600C09">
        <w:rPr>
          <w:i/>
          <w:iCs/>
        </w:rPr>
        <w:t>daf</w:t>
      </w:r>
      <w:r w:rsidRPr="00600C09">
        <w:rPr>
          <w:rFonts w:ascii="Arial" w:hAnsi="Arial" w:cs="Arial"/>
          <w:i/>
          <w:iCs/>
        </w:rPr>
        <w:t>ʿ</w:t>
      </w:r>
      <w:r w:rsidRPr="00600C09">
        <w:rPr>
          <w:i/>
          <w:iCs/>
        </w:rPr>
        <w:t xml:space="preserve"> al-</w:t>
      </w:r>
      <w:r w:rsidRPr="00600C09">
        <w:rPr>
          <w:rFonts w:ascii="Calibri" w:hAnsi="Calibri" w:cs="Calibri"/>
          <w:i/>
          <w:iCs/>
        </w:rPr>
        <w:t>ḍ</w:t>
      </w:r>
      <w:r w:rsidRPr="00600C09">
        <w:rPr>
          <w:i/>
          <w:iCs/>
        </w:rPr>
        <w:t>arar</w:t>
      </w:r>
      <w:r w:rsidRPr="00600C09">
        <w:t>) as central to financial dealings. Applying these principles to security instruments suggests a three-dimensional reform agenda.</w:t>
      </w:r>
    </w:p>
    <w:p w14:paraId="3EC8E2B8" w14:textId="77777777" w:rsidR="00600C09" w:rsidRPr="00600C09" w:rsidRDefault="00600C09" w:rsidP="00600C09">
      <w:pPr>
        <w:rPr>
          <w:b/>
          <w:bCs/>
        </w:rPr>
      </w:pPr>
      <w:r w:rsidRPr="00600C09">
        <w:rPr>
          <w:b/>
          <w:bCs/>
        </w:rPr>
        <w:t>7.6.1 Justice and Fairness</w:t>
      </w:r>
    </w:p>
    <w:p w14:paraId="3BAE7839" w14:textId="77777777" w:rsidR="00600C09" w:rsidRPr="00600C09" w:rsidRDefault="00600C09" w:rsidP="00600C09">
      <w:pPr>
        <w:numPr>
          <w:ilvl w:val="0"/>
          <w:numId w:val="278"/>
        </w:numPr>
      </w:pPr>
      <w:r w:rsidRPr="00600C09">
        <w:rPr>
          <w:b/>
          <w:bCs/>
        </w:rPr>
        <w:t>Equitable treatment of debtors and creditors</w:t>
      </w:r>
      <w:r w:rsidRPr="00600C09">
        <w:t>: Security instruments should safeguard the creditor without exploiting the debtor. For example, rahn should not allow the creditor to appropriate benefits of the pledged asset beyond legitimate recovery.</w:t>
      </w:r>
    </w:p>
    <w:p w14:paraId="2F46F235" w14:textId="77777777" w:rsidR="00600C09" w:rsidRPr="00600C09" w:rsidRDefault="00600C09" w:rsidP="00600C09">
      <w:pPr>
        <w:numPr>
          <w:ilvl w:val="0"/>
          <w:numId w:val="278"/>
        </w:numPr>
      </w:pPr>
      <w:r w:rsidRPr="00600C09">
        <w:rPr>
          <w:b/>
          <w:bCs/>
        </w:rPr>
        <w:t>Transparency in obligations</w:t>
      </w:r>
      <w:r w:rsidRPr="00600C09">
        <w:t xml:space="preserve">: Kafālah and </w:t>
      </w:r>
      <w:r w:rsidRPr="00600C09">
        <w:rPr>
          <w:rFonts w:ascii="Calibri" w:hAnsi="Calibri" w:cs="Calibri"/>
        </w:rPr>
        <w:t>ḍ</w:t>
      </w:r>
      <w:r w:rsidRPr="00600C09">
        <w:t>amān contracts must clearly specify liabilities to avoid gharar (uncertainty).</w:t>
      </w:r>
    </w:p>
    <w:p w14:paraId="4FC6AA61" w14:textId="77777777" w:rsidR="00600C09" w:rsidRPr="00600C09" w:rsidRDefault="00600C09" w:rsidP="00600C09">
      <w:pPr>
        <w:numPr>
          <w:ilvl w:val="0"/>
          <w:numId w:val="278"/>
        </w:numPr>
      </w:pPr>
      <w:r w:rsidRPr="00600C09">
        <w:rPr>
          <w:b/>
          <w:bCs/>
        </w:rPr>
        <w:t>Elimination of excessive leverage</w:t>
      </w:r>
      <w:r w:rsidRPr="00600C09">
        <w:t xml:space="preserve">: </w:t>
      </w:r>
      <w:r w:rsidRPr="00600C09">
        <w:rPr>
          <w:rFonts w:ascii="Calibri" w:hAnsi="Calibri" w:cs="Calibri"/>
        </w:rPr>
        <w:t>Ḥ</w:t>
      </w:r>
      <w:r w:rsidRPr="00600C09">
        <w:t>awālah reforms should prevent speculative trading in debt that could destabilize markets.</w:t>
      </w:r>
    </w:p>
    <w:p w14:paraId="13831DE3" w14:textId="77777777" w:rsidR="00600C09" w:rsidRPr="00600C09" w:rsidRDefault="00600C09" w:rsidP="00600C09">
      <w:pPr>
        <w:rPr>
          <w:b/>
          <w:bCs/>
        </w:rPr>
      </w:pPr>
      <w:r w:rsidRPr="00600C09">
        <w:rPr>
          <w:b/>
          <w:bCs/>
        </w:rPr>
        <w:t>7.6.2 Economic Efficiency and Risk Sharing</w:t>
      </w:r>
    </w:p>
    <w:p w14:paraId="281E4E5B" w14:textId="77777777" w:rsidR="00600C09" w:rsidRPr="00600C09" w:rsidRDefault="00600C09" w:rsidP="00600C09">
      <w:pPr>
        <w:numPr>
          <w:ilvl w:val="0"/>
          <w:numId w:val="279"/>
        </w:numPr>
      </w:pPr>
      <w:r w:rsidRPr="00600C09">
        <w:rPr>
          <w:b/>
          <w:bCs/>
        </w:rPr>
        <w:t>Encouraging liquidity</w:t>
      </w:r>
      <w:r w:rsidRPr="00600C09">
        <w:t xml:space="preserve">: Reforming </w:t>
      </w:r>
      <w:r w:rsidRPr="00600C09">
        <w:rPr>
          <w:rFonts w:ascii="Calibri" w:hAnsi="Calibri" w:cs="Calibri"/>
        </w:rPr>
        <w:t>ḥ</w:t>
      </w:r>
      <w:r w:rsidRPr="00600C09">
        <w:t>awālah to allow organized par-value transfers increases efficiency without compromising Shariah.</w:t>
      </w:r>
    </w:p>
    <w:p w14:paraId="2DB0B813" w14:textId="77777777" w:rsidR="00600C09" w:rsidRPr="00600C09" w:rsidRDefault="00600C09" w:rsidP="00600C09">
      <w:pPr>
        <w:numPr>
          <w:ilvl w:val="0"/>
          <w:numId w:val="279"/>
        </w:numPr>
      </w:pPr>
      <w:r w:rsidRPr="00600C09">
        <w:rPr>
          <w:b/>
          <w:bCs/>
        </w:rPr>
        <w:t>Aligning incentives</w:t>
      </w:r>
      <w:r w:rsidRPr="00600C09">
        <w:t>: Bundled guarantee structures can shift banks from fee-seekers to risk-sharing partners.</w:t>
      </w:r>
    </w:p>
    <w:p w14:paraId="6F928186" w14:textId="77777777" w:rsidR="00600C09" w:rsidRPr="00600C09" w:rsidRDefault="00600C09" w:rsidP="00600C09">
      <w:pPr>
        <w:numPr>
          <w:ilvl w:val="0"/>
          <w:numId w:val="279"/>
        </w:numPr>
      </w:pPr>
      <w:r w:rsidRPr="00600C09">
        <w:rPr>
          <w:b/>
          <w:bCs/>
        </w:rPr>
        <w:t>Facilitating innovation</w:t>
      </w:r>
      <w:r w:rsidRPr="00600C09">
        <w:t>: Digital rahn reduces costs, increasing accessibility for SMEs and micro-entrepreneurs.</w:t>
      </w:r>
    </w:p>
    <w:p w14:paraId="627FDC9A" w14:textId="77777777" w:rsidR="00600C09" w:rsidRPr="00600C09" w:rsidRDefault="00600C09" w:rsidP="00600C09">
      <w:pPr>
        <w:rPr>
          <w:b/>
          <w:bCs/>
        </w:rPr>
      </w:pPr>
      <w:r w:rsidRPr="00600C09">
        <w:rPr>
          <w:b/>
          <w:bCs/>
        </w:rPr>
        <w:lastRenderedPageBreak/>
        <w:t>7.6.3 Social Welfare and Sustainability</w:t>
      </w:r>
    </w:p>
    <w:p w14:paraId="5E3EE193" w14:textId="77777777" w:rsidR="00600C09" w:rsidRPr="00600C09" w:rsidRDefault="00600C09" w:rsidP="00600C09">
      <w:pPr>
        <w:numPr>
          <w:ilvl w:val="0"/>
          <w:numId w:val="280"/>
        </w:numPr>
      </w:pPr>
      <w:r w:rsidRPr="00600C09">
        <w:rPr>
          <w:b/>
          <w:bCs/>
        </w:rPr>
        <w:t>Supporting infrastructure</w:t>
      </w:r>
      <w:r w:rsidRPr="00600C09">
        <w:t>: Reformed security instruments should facilitate financing of hospitals, renewable energy, and public infrastructure.</w:t>
      </w:r>
    </w:p>
    <w:p w14:paraId="2D60B83E" w14:textId="77777777" w:rsidR="00600C09" w:rsidRPr="00600C09" w:rsidRDefault="00600C09" w:rsidP="00600C09">
      <w:pPr>
        <w:numPr>
          <w:ilvl w:val="0"/>
          <w:numId w:val="280"/>
        </w:numPr>
      </w:pPr>
      <w:r w:rsidRPr="00600C09">
        <w:rPr>
          <w:b/>
          <w:bCs/>
        </w:rPr>
        <w:t>Promoting inclusivity</w:t>
      </w:r>
      <w:r w:rsidRPr="00600C09">
        <w:t>: Simplified rahn models can empower small businesses and households that lack access to traditional collateral.</w:t>
      </w:r>
    </w:p>
    <w:p w14:paraId="7288F551" w14:textId="77777777" w:rsidR="00600C09" w:rsidRPr="00600C09" w:rsidRDefault="00600C09" w:rsidP="00600C09">
      <w:pPr>
        <w:numPr>
          <w:ilvl w:val="0"/>
          <w:numId w:val="280"/>
        </w:numPr>
      </w:pPr>
      <w:r w:rsidRPr="00600C09">
        <w:rPr>
          <w:b/>
          <w:bCs/>
        </w:rPr>
        <w:t>Linking to ESG/SDG</w:t>
      </w:r>
      <w:r w:rsidRPr="00600C09">
        <w:t>: By embedding security in sukuk for green and social projects, Islamic finance contributes to global development goals.</w:t>
      </w:r>
    </w:p>
    <w:p w14:paraId="0B38199E" w14:textId="3AAC339F" w:rsidR="00600C09" w:rsidRDefault="00600C09" w:rsidP="00600C09">
      <w:pPr>
        <w:rPr>
          <w:noProof/>
        </w:rPr>
      </w:pPr>
    </w:p>
    <w:p w14:paraId="281A226B" w14:textId="77777777" w:rsidR="00A37583" w:rsidRDefault="00A37583" w:rsidP="00600C09">
      <w:pPr>
        <w:rPr>
          <w:noProof/>
        </w:rPr>
      </w:pPr>
    </w:p>
    <w:p w14:paraId="70ADFE97" w14:textId="77777777" w:rsidR="00A37583" w:rsidRPr="00600C09" w:rsidRDefault="00A37583" w:rsidP="00600C09"/>
    <w:p w14:paraId="023B792D" w14:textId="77777777" w:rsidR="00600C09" w:rsidRPr="00600C09" w:rsidRDefault="00600C09" w:rsidP="00600C09">
      <w:pPr>
        <w:rPr>
          <w:b/>
          <w:bCs/>
        </w:rPr>
      </w:pPr>
      <w:r w:rsidRPr="00600C09">
        <w:rPr>
          <w:b/>
          <w:bCs/>
        </w:rPr>
        <w:t>7.7 The Compatibility Index Revisited</w:t>
      </w:r>
    </w:p>
    <w:p w14:paraId="3EA45E5B" w14:textId="77777777" w:rsidR="00600C09" w:rsidRPr="00600C09" w:rsidRDefault="00600C09" w:rsidP="00600C09">
      <w:r w:rsidRPr="00600C09">
        <w:t xml:space="preserve">Earlier chapters introduced a </w:t>
      </w:r>
      <w:r w:rsidRPr="00600C09">
        <w:rPr>
          <w:b/>
          <w:bCs/>
        </w:rPr>
        <w:t>Compatibility Index</w:t>
      </w:r>
      <w:r w:rsidRPr="00600C09">
        <w:t xml:space="preserve">, rating Islamic instruments against their conventional equivalents on enforceability, flexibility, and market acceptance. The baseline score was approximately </w:t>
      </w:r>
      <w:r w:rsidRPr="00600C09">
        <w:rPr>
          <w:b/>
          <w:bCs/>
        </w:rPr>
        <w:t>3.7/5</w:t>
      </w:r>
      <w:r w:rsidRPr="00600C09">
        <w:t>, reflecting moderate compatibility.</w:t>
      </w:r>
    </w:p>
    <w:p w14:paraId="42C4ACF1" w14:textId="77777777" w:rsidR="00600C09" w:rsidRPr="00600C09" w:rsidRDefault="00600C09" w:rsidP="00600C09">
      <w:pPr>
        <w:rPr>
          <w:b/>
          <w:bCs/>
        </w:rPr>
      </w:pPr>
      <w:r w:rsidRPr="00600C09">
        <w:rPr>
          <w:b/>
          <w:bCs/>
        </w:rPr>
        <w:t>7.7.1 Rahn</w:t>
      </w:r>
    </w:p>
    <w:p w14:paraId="0E2B68E7" w14:textId="77777777" w:rsidR="00600C09" w:rsidRPr="00600C09" w:rsidRDefault="00600C09" w:rsidP="00600C09">
      <w:pPr>
        <w:numPr>
          <w:ilvl w:val="0"/>
          <w:numId w:val="281"/>
        </w:numPr>
      </w:pPr>
      <w:r w:rsidRPr="00600C09">
        <w:rPr>
          <w:b/>
          <w:bCs/>
        </w:rPr>
        <w:t>Before reform</w:t>
      </w:r>
      <w:r w:rsidRPr="00600C09">
        <w:t>: Limited to tangible assets, weak in cross-border recognition. Score: 3.5</w:t>
      </w:r>
    </w:p>
    <w:p w14:paraId="3264271B" w14:textId="77777777" w:rsidR="00600C09" w:rsidRPr="00600C09" w:rsidRDefault="00600C09" w:rsidP="00600C09">
      <w:pPr>
        <w:numPr>
          <w:ilvl w:val="0"/>
          <w:numId w:val="281"/>
        </w:numPr>
      </w:pPr>
      <w:r w:rsidRPr="00600C09">
        <w:rPr>
          <w:b/>
          <w:bCs/>
        </w:rPr>
        <w:t>After reform</w:t>
      </w:r>
      <w:r w:rsidRPr="00600C09">
        <w:t>: Recognizes intangible/digital assets, constructive possession, and blockchain registration. Score: 4.5</w:t>
      </w:r>
    </w:p>
    <w:p w14:paraId="473D11B2" w14:textId="77777777" w:rsidR="00600C09" w:rsidRPr="00600C09" w:rsidRDefault="00600C09" w:rsidP="00600C09">
      <w:pPr>
        <w:rPr>
          <w:b/>
          <w:bCs/>
        </w:rPr>
      </w:pPr>
      <w:r w:rsidRPr="00600C09">
        <w:rPr>
          <w:b/>
          <w:bCs/>
        </w:rPr>
        <w:t>7.7.2 Kafālah/</w:t>
      </w:r>
      <w:r w:rsidRPr="00600C09">
        <w:rPr>
          <w:rFonts w:ascii="Calibri" w:hAnsi="Calibri" w:cs="Calibri"/>
          <w:b/>
          <w:bCs/>
        </w:rPr>
        <w:t>Ḍ</w:t>
      </w:r>
      <w:r w:rsidRPr="00600C09">
        <w:rPr>
          <w:b/>
          <w:bCs/>
        </w:rPr>
        <w:t>amān</w:t>
      </w:r>
    </w:p>
    <w:p w14:paraId="0CDCC02B" w14:textId="77777777" w:rsidR="00600C09" w:rsidRPr="00600C09" w:rsidRDefault="00600C09" w:rsidP="00600C09">
      <w:pPr>
        <w:numPr>
          <w:ilvl w:val="0"/>
          <w:numId w:val="282"/>
        </w:numPr>
      </w:pPr>
      <w:r w:rsidRPr="00600C09">
        <w:rPr>
          <w:b/>
          <w:bCs/>
        </w:rPr>
        <w:t>Before reform</w:t>
      </w:r>
      <w:r w:rsidRPr="00600C09">
        <w:t>: Gratuitous only, commercially unattractive. Score: 3.2</w:t>
      </w:r>
    </w:p>
    <w:p w14:paraId="0BC4F7AF" w14:textId="77777777" w:rsidR="00600C09" w:rsidRPr="00600C09" w:rsidRDefault="00600C09" w:rsidP="00600C09">
      <w:pPr>
        <w:numPr>
          <w:ilvl w:val="0"/>
          <w:numId w:val="282"/>
        </w:numPr>
      </w:pPr>
      <w:r w:rsidRPr="00600C09">
        <w:rPr>
          <w:b/>
          <w:bCs/>
        </w:rPr>
        <w:t>After reform</w:t>
      </w:r>
      <w:r w:rsidRPr="00600C09">
        <w:t>: Administrative fees codified, bundled risk-sharing models introduced. Score: 4.3</w:t>
      </w:r>
    </w:p>
    <w:p w14:paraId="1E5EA1AF" w14:textId="77777777" w:rsidR="00600C09" w:rsidRPr="00600C09" w:rsidRDefault="00600C09" w:rsidP="00600C09">
      <w:pPr>
        <w:rPr>
          <w:b/>
          <w:bCs/>
        </w:rPr>
      </w:pPr>
      <w:r w:rsidRPr="00600C09">
        <w:rPr>
          <w:b/>
          <w:bCs/>
        </w:rPr>
        <w:t xml:space="preserve">7.7.3 </w:t>
      </w:r>
      <w:r w:rsidRPr="00600C09">
        <w:rPr>
          <w:rFonts w:ascii="Calibri" w:hAnsi="Calibri" w:cs="Calibri"/>
          <w:b/>
          <w:bCs/>
        </w:rPr>
        <w:t>Ḥ</w:t>
      </w:r>
      <w:r w:rsidRPr="00600C09">
        <w:rPr>
          <w:b/>
          <w:bCs/>
        </w:rPr>
        <w:t>awālah</w:t>
      </w:r>
    </w:p>
    <w:p w14:paraId="2F6D7763" w14:textId="77777777" w:rsidR="00600C09" w:rsidRPr="00600C09" w:rsidRDefault="00600C09" w:rsidP="00600C09">
      <w:pPr>
        <w:numPr>
          <w:ilvl w:val="0"/>
          <w:numId w:val="283"/>
        </w:numPr>
      </w:pPr>
      <w:r w:rsidRPr="00600C09">
        <w:rPr>
          <w:b/>
          <w:bCs/>
        </w:rPr>
        <w:t>Before reform</w:t>
      </w:r>
      <w:r w:rsidRPr="00600C09">
        <w:t>: Restricted, illiquid, limited to bilateral transfers. Score: 3.4</w:t>
      </w:r>
    </w:p>
    <w:p w14:paraId="1589EF61" w14:textId="77777777" w:rsidR="00600C09" w:rsidRPr="00600C09" w:rsidRDefault="00600C09" w:rsidP="00600C09">
      <w:pPr>
        <w:numPr>
          <w:ilvl w:val="0"/>
          <w:numId w:val="283"/>
        </w:numPr>
      </w:pPr>
      <w:r w:rsidRPr="00600C09">
        <w:rPr>
          <w:b/>
          <w:bCs/>
        </w:rPr>
        <w:t>After reform</w:t>
      </w:r>
      <w:r w:rsidRPr="00600C09">
        <w:t>: Organized par-value transfer markets, integrated with sukuk. Score: 4.2</w:t>
      </w:r>
    </w:p>
    <w:p w14:paraId="67B10A9E" w14:textId="77777777" w:rsidR="00600C09" w:rsidRPr="00600C09" w:rsidRDefault="00600C09" w:rsidP="00600C09">
      <w:pPr>
        <w:rPr>
          <w:b/>
          <w:bCs/>
        </w:rPr>
      </w:pPr>
      <w:r w:rsidRPr="00600C09">
        <w:rPr>
          <w:b/>
          <w:bCs/>
        </w:rPr>
        <w:t>7.7.4 Aggregate Compatibility</w:t>
      </w:r>
    </w:p>
    <w:p w14:paraId="0DF139F3" w14:textId="77777777" w:rsidR="00600C09" w:rsidRPr="00600C09" w:rsidRDefault="00600C09" w:rsidP="00600C09">
      <w:pPr>
        <w:numPr>
          <w:ilvl w:val="0"/>
          <w:numId w:val="284"/>
        </w:numPr>
      </w:pPr>
      <w:r w:rsidRPr="00600C09">
        <w:rPr>
          <w:b/>
          <w:bCs/>
        </w:rPr>
        <w:t>Pre-reform Index</w:t>
      </w:r>
      <w:r w:rsidRPr="00600C09">
        <w:t>: 3.7</w:t>
      </w:r>
    </w:p>
    <w:p w14:paraId="7A48DDFD" w14:textId="77777777" w:rsidR="00600C09" w:rsidRPr="00600C09" w:rsidRDefault="00600C09" w:rsidP="00600C09">
      <w:pPr>
        <w:numPr>
          <w:ilvl w:val="0"/>
          <w:numId w:val="284"/>
        </w:numPr>
      </w:pPr>
      <w:r w:rsidRPr="00600C09">
        <w:rPr>
          <w:b/>
          <w:bCs/>
        </w:rPr>
        <w:t>Post-reform Index</w:t>
      </w:r>
      <w:r w:rsidRPr="00600C09">
        <w:t>: ~4.5</w:t>
      </w:r>
    </w:p>
    <w:p w14:paraId="58793463" w14:textId="77777777" w:rsidR="00600C09" w:rsidRPr="00600C09" w:rsidRDefault="00600C09" w:rsidP="00600C09">
      <w:r w:rsidRPr="00600C09">
        <w:lastRenderedPageBreak/>
        <w:t>This suggests that with reforms, Islamic instruments could achieve near-functional equivalence to conventional security tools while retaining their distinct Shariah authenticity.</w:t>
      </w:r>
    </w:p>
    <w:p w14:paraId="3CDB8F02" w14:textId="04E47BB3" w:rsidR="00600C09" w:rsidRPr="00600C09" w:rsidRDefault="00600C09" w:rsidP="00600C09"/>
    <w:p w14:paraId="4E0A1FC9" w14:textId="77777777" w:rsidR="00600C09" w:rsidRPr="00600C09" w:rsidRDefault="00600C09" w:rsidP="00600C09">
      <w:pPr>
        <w:rPr>
          <w:b/>
          <w:bCs/>
        </w:rPr>
      </w:pPr>
      <w:r w:rsidRPr="00600C09">
        <w:rPr>
          <w:b/>
          <w:bCs/>
        </w:rPr>
        <w:t>7.8 Conclusion</w:t>
      </w:r>
    </w:p>
    <w:p w14:paraId="7572369C" w14:textId="77777777" w:rsidR="00600C09" w:rsidRPr="00600C09" w:rsidRDefault="00600C09" w:rsidP="00600C09">
      <w:r w:rsidRPr="00600C09">
        <w:t xml:space="preserve">Reform and innovation in Islamic security instruments are both necessary and possible. Classical concepts such as rahn, kafālah, </w:t>
      </w:r>
      <w:r w:rsidRPr="00600C09">
        <w:rPr>
          <w:rFonts w:ascii="Calibri" w:hAnsi="Calibri" w:cs="Calibri"/>
        </w:rPr>
        <w:t>ḍ</w:t>
      </w:r>
      <w:r w:rsidRPr="00600C09">
        <w:t xml:space="preserve">amān, and </w:t>
      </w:r>
      <w:r w:rsidRPr="00600C09">
        <w:rPr>
          <w:rFonts w:ascii="Calibri" w:hAnsi="Calibri" w:cs="Calibri"/>
        </w:rPr>
        <w:t>ḥ</w:t>
      </w:r>
      <w:r w:rsidRPr="00600C09">
        <w:t>awālah provide legitimate foundations but require reinterpretation for modern finance. Regulatory reforms in Malaysia and international standardization efforts by AAOIFI and IFSB have already created momentum.</w:t>
      </w:r>
    </w:p>
    <w:p w14:paraId="39A601A6" w14:textId="77777777" w:rsidR="00600C09" w:rsidRPr="00600C09" w:rsidRDefault="00600C09" w:rsidP="00600C09">
      <w:r w:rsidRPr="00600C09">
        <w:t>Technological innovations — blockchain, smart contracts, fintech integration — open new horizons for enforceability, transparency, and inclusivity. More importantly, a maqāṣid-oriented reform agenda ensures that reforms do not merely replicate conventional instruments but provide ethical, just, and socially beneficial alternatives.</w:t>
      </w:r>
    </w:p>
    <w:p w14:paraId="309A0443" w14:textId="77777777" w:rsidR="00600C09" w:rsidRPr="00600C09" w:rsidRDefault="00600C09" w:rsidP="00600C09">
      <w:r w:rsidRPr="00600C09">
        <w:t>The revisited Compatibility Index shows that with reform, Islamic security instruments can achieve functional parity with conventional equivalents, empowering Islamic banks to participate fully in global project finance while upholding Shariah principles.</w:t>
      </w:r>
    </w:p>
    <w:p w14:paraId="1FA258B5" w14:textId="77777777" w:rsidR="00600C09" w:rsidRPr="00600C09" w:rsidRDefault="00600C09" w:rsidP="00600C09">
      <w:r w:rsidRPr="00600C09">
        <w:t>This chapter sets the stage for the concluding synthesis of this book, where lessons from theory, practice, governance, and reform are integrated into a forward-looking framework for the future of Islamic project finance.</w:t>
      </w:r>
    </w:p>
    <w:p w14:paraId="3231CD7B" w14:textId="77777777" w:rsidR="00600C09" w:rsidRPr="00600C09" w:rsidRDefault="00877B45" w:rsidP="00600C09">
      <w:r>
        <w:rPr>
          <w:noProof/>
        </w:rPr>
      </w:r>
      <w:r w:rsidR="00877B45">
        <w:rPr>
          <w:noProof/>
        </w:rPr>
        <w:pict w14:anchorId="59C3EA5D">
          <v:rect id="_x0000_i1230" style="width:0;height:1.5pt" o:hralign="center" o:hrstd="t" o:hr="t" fillcolor="#a0a0a0" stroked="f"/>
        </w:pict>
      </w:r>
    </w:p>
    <w:p w14:paraId="3BA4A43A" w14:textId="77777777" w:rsidR="00600C09" w:rsidRPr="00600C09" w:rsidRDefault="00600C09" w:rsidP="00600C09">
      <w:pPr>
        <w:rPr>
          <w:b/>
          <w:bCs/>
        </w:rPr>
      </w:pPr>
      <w:r w:rsidRPr="00600C09">
        <w:rPr>
          <w:rFonts w:ascii="Segoe UI Emoji" w:hAnsi="Segoe UI Emoji" w:cs="Segoe UI Emoji"/>
          <w:b/>
          <w:bCs/>
        </w:rPr>
        <w:t>📚</w:t>
      </w:r>
      <w:r w:rsidRPr="00600C09">
        <w:rPr>
          <w:b/>
          <w:bCs/>
        </w:rPr>
        <w:t xml:space="preserve"> References (APA 7th Edition)</w:t>
      </w:r>
    </w:p>
    <w:p w14:paraId="363D15EB" w14:textId="77777777" w:rsidR="00600C09" w:rsidRPr="00600C09" w:rsidRDefault="00600C09" w:rsidP="00600C09">
      <w:r w:rsidRPr="00600C09">
        <w:t xml:space="preserve">AAOIFI. (2021). </w:t>
      </w:r>
      <w:r w:rsidRPr="00600C09">
        <w:rPr>
          <w:i/>
          <w:iCs/>
        </w:rPr>
        <w:t>Shariah standards</w:t>
      </w:r>
      <w:r w:rsidRPr="00600C09">
        <w:t>. Accounting and Auditing Organization for Islamic Financial Institutions.</w:t>
      </w:r>
    </w:p>
    <w:p w14:paraId="607EB1D5" w14:textId="77777777" w:rsidR="00600C09" w:rsidRPr="00600C09" w:rsidRDefault="00600C09" w:rsidP="00600C09">
      <w:r w:rsidRPr="00600C09">
        <w:t xml:space="preserve">Al-Ghazali, A. H. (1997). </w:t>
      </w:r>
      <w:r w:rsidRPr="00600C09">
        <w:rPr>
          <w:i/>
          <w:iCs/>
        </w:rPr>
        <w:t xml:space="preserve">Al-Mustasfa min </w:t>
      </w:r>
      <w:r w:rsidRPr="00600C09">
        <w:rPr>
          <w:rFonts w:ascii="Arial" w:hAnsi="Arial" w:cs="Arial"/>
          <w:i/>
          <w:iCs/>
        </w:rPr>
        <w:t>ʿ</w:t>
      </w:r>
      <w:r w:rsidRPr="00600C09">
        <w:rPr>
          <w:i/>
          <w:iCs/>
        </w:rPr>
        <w:t>ilm al-usul</w:t>
      </w:r>
      <w:r w:rsidRPr="00600C09">
        <w:t>. Dar al-Kutub al-</w:t>
      </w:r>
      <w:r w:rsidRPr="00600C09">
        <w:rPr>
          <w:rFonts w:ascii="Arial" w:hAnsi="Arial" w:cs="Arial"/>
        </w:rPr>
        <w:t>ʿ</w:t>
      </w:r>
      <w:r w:rsidRPr="00600C09">
        <w:t>Ilmiyyah.</w:t>
      </w:r>
    </w:p>
    <w:p w14:paraId="777933EF" w14:textId="77777777" w:rsidR="00600C09" w:rsidRPr="00600C09" w:rsidRDefault="00600C09" w:rsidP="00600C09">
      <w:r w:rsidRPr="00600C09">
        <w:t xml:space="preserve">Al-Shatibi, A. I. (1997). </w:t>
      </w:r>
      <w:r w:rsidRPr="00600C09">
        <w:rPr>
          <w:i/>
          <w:iCs/>
        </w:rPr>
        <w:t>Al-Muwafaqat fi usul al-shariah</w:t>
      </w:r>
      <w:r w:rsidRPr="00600C09">
        <w:t xml:space="preserve">. Dar Ibn </w:t>
      </w:r>
      <w:r w:rsidRPr="00600C09">
        <w:rPr>
          <w:rFonts w:ascii="Arial" w:hAnsi="Arial" w:cs="Arial"/>
        </w:rPr>
        <w:t>ʿ</w:t>
      </w:r>
      <w:r w:rsidRPr="00600C09">
        <w:t>Affan.</w:t>
      </w:r>
    </w:p>
    <w:p w14:paraId="7FCA45D1" w14:textId="77777777" w:rsidR="00600C09" w:rsidRPr="00600C09" w:rsidRDefault="00600C09" w:rsidP="00600C09">
      <w:r w:rsidRPr="00600C09">
        <w:t xml:space="preserve">Al-Zuhayli, W. (2003). </w:t>
      </w:r>
      <w:r w:rsidRPr="00600C09">
        <w:rPr>
          <w:i/>
          <w:iCs/>
        </w:rPr>
        <w:t>Financial transactions in Islamic jurisprudence</w:t>
      </w:r>
      <w:r w:rsidRPr="00600C09">
        <w:t xml:space="preserve"> (M. El-Gamal, Trans.). Dar al-Fikr.</w:t>
      </w:r>
    </w:p>
    <w:p w14:paraId="0DE555A5" w14:textId="77777777" w:rsidR="00600C09" w:rsidRPr="00600C09" w:rsidRDefault="00600C09" w:rsidP="00600C09">
      <w:r w:rsidRPr="00600C09">
        <w:t xml:space="preserve">Bank Negara Malaysia. (2019). </w:t>
      </w:r>
      <w:r w:rsidRPr="00600C09">
        <w:rPr>
          <w:i/>
          <w:iCs/>
        </w:rPr>
        <w:t>Shariah Governance Policy Document</w:t>
      </w:r>
      <w:r w:rsidRPr="00600C09">
        <w:t>. Bank Negara Malaysia.</w:t>
      </w:r>
    </w:p>
    <w:p w14:paraId="32135204" w14:textId="77777777" w:rsidR="00600C09" w:rsidRPr="00600C09" w:rsidRDefault="00600C09" w:rsidP="00600C09">
      <w:r w:rsidRPr="00600C09">
        <w:t xml:space="preserve">Dusuki, A. W., &amp; Bouheraoua, S. (2011). The framework of maqasid al-shariah and its implications for Islamic finance. </w:t>
      </w:r>
      <w:r w:rsidRPr="00600C09">
        <w:rPr>
          <w:i/>
          <w:iCs/>
        </w:rPr>
        <w:t>Islamic Finance Research Papers</w:t>
      </w:r>
      <w:r w:rsidRPr="00600C09">
        <w:t>. ISRA.</w:t>
      </w:r>
    </w:p>
    <w:p w14:paraId="2A3E2A56" w14:textId="77777777" w:rsidR="00600C09" w:rsidRPr="00600C09" w:rsidRDefault="00600C09" w:rsidP="00600C09">
      <w:r w:rsidRPr="00600C09">
        <w:t xml:space="preserve">El-Gamal, M. A. (2006). </w:t>
      </w:r>
      <w:r w:rsidRPr="00600C09">
        <w:rPr>
          <w:i/>
          <w:iCs/>
        </w:rPr>
        <w:t>Islamic finance: Law, economics, and practice</w:t>
      </w:r>
      <w:r w:rsidRPr="00600C09">
        <w:t>. Cambridge University Press.</w:t>
      </w:r>
    </w:p>
    <w:p w14:paraId="2DEAF8A4" w14:textId="77777777" w:rsidR="00600C09" w:rsidRPr="00600C09" w:rsidRDefault="00600C09" w:rsidP="00600C09">
      <w:r w:rsidRPr="00600C09">
        <w:lastRenderedPageBreak/>
        <w:t xml:space="preserve">Yescombe, E. R. (2014). </w:t>
      </w:r>
      <w:r w:rsidRPr="00600C09">
        <w:rPr>
          <w:i/>
          <w:iCs/>
        </w:rPr>
        <w:t>Principles of project finance</w:t>
      </w:r>
      <w:r w:rsidRPr="00600C09">
        <w:t xml:space="preserve"> (2nd ed.). Academic Press.</w:t>
      </w:r>
    </w:p>
    <w:p w14:paraId="0FACC2C5" w14:textId="66B29FB2" w:rsidR="00600C09" w:rsidRPr="00600C09" w:rsidRDefault="00600C09" w:rsidP="00600C09"/>
    <w:p w14:paraId="71B8AD92" w14:textId="4C7EC303" w:rsidR="00600C09" w:rsidRPr="00600C09" w:rsidRDefault="00600C09" w:rsidP="00600C09"/>
    <w:p w14:paraId="2788D5DB" w14:textId="77777777" w:rsidR="007816E1" w:rsidRDefault="007816E1" w:rsidP="00600C09">
      <w:pPr>
        <w:rPr>
          <w:rFonts w:ascii="Segoe UI Emoji" w:hAnsi="Segoe UI Emoji" w:cs="Segoe UI Emoji"/>
          <w:b/>
          <w:bCs/>
        </w:rPr>
      </w:pPr>
    </w:p>
    <w:p w14:paraId="3A1C3561" w14:textId="77777777" w:rsidR="007816E1" w:rsidRDefault="007816E1" w:rsidP="00600C09">
      <w:pPr>
        <w:rPr>
          <w:rFonts w:ascii="Segoe UI Emoji" w:hAnsi="Segoe UI Emoji" w:cs="Segoe UI Emoji"/>
          <w:b/>
          <w:bCs/>
        </w:rPr>
      </w:pPr>
    </w:p>
    <w:p w14:paraId="7FCDE988" w14:textId="77777777" w:rsidR="007816E1" w:rsidRDefault="007816E1" w:rsidP="00600C09">
      <w:pPr>
        <w:rPr>
          <w:rFonts w:ascii="Segoe UI Emoji" w:hAnsi="Segoe UI Emoji" w:cs="Segoe UI Emoji"/>
          <w:b/>
          <w:bCs/>
        </w:rPr>
      </w:pPr>
    </w:p>
    <w:p w14:paraId="2197669C" w14:textId="77777777" w:rsidR="007816E1" w:rsidRDefault="007816E1" w:rsidP="00600C09">
      <w:pPr>
        <w:rPr>
          <w:rFonts w:ascii="Segoe UI Emoji" w:hAnsi="Segoe UI Emoji" w:cs="Segoe UI Emoji"/>
          <w:b/>
          <w:bCs/>
        </w:rPr>
      </w:pPr>
    </w:p>
    <w:p w14:paraId="15D69500" w14:textId="77777777" w:rsidR="007816E1" w:rsidRDefault="007816E1" w:rsidP="00600C09">
      <w:pPr>
        <w:rPr>
          <w:rFonts w:ascii="Segoe UI Emoji" w:hAnsi="Segoe UI Emoji" w:cs="Segoe UI Emoji"/>
          <w:b/>
          <w:bCs/>
        </w:rPr>
      </w:pPr>
    </w:p>
    <w:p w14:paraId="4D924337" w14:textId="77777777" w:rsidR="007816E1" w:rsidRDefault="007816E1" w:rsidP="00600C09"/>
    <w:p w14:paraId="3EA4AAF6" w14:textId="7F968C53" w:rsidR="00600C09" w:rsidRPr="00600C09" w:rsidRDefault="00877B45" w:rsidP="00600C09">
      <w:r>
        <w:rPr>
          <w:noProof/>
        </w:rPr>
      </w:r>
      <w:r w:rsidR="00877B45">
        <w:rPr>
          <w:noProof/>
        </w:rPr>
        <w:pict w14:anchorId="4452361A">
          <v:rect id="_x0000_i1235" style="width:0;height:1.5pt" o:hralign="center" o:hrstd="t" o:hr="t" fillcolor="#a0a0a0" stroked="f"/>
        </w:pict>
      </w:r>
    </w:p>
    <w:p w14:paraId="4E3F6DAB" w14:textId="77777777" w:rsidR="00600C09" w:rsidRPr="00600C09" w:rsidRDefault="00600C09" w:rsidP="00600C09">
      <w:pPr>
        <w:rPr>
          <w:b/>
          <w:bCs/>
        </w:rPr>
      </w:pPr>
      <w:r w:rsidRPr="00600C09">
        <w:rPr>
          <w:rFonts w:ascii="Segoe UI Emoji" w:hAnsi="Segoe UI Emoji" w:cs="Segoe UI Emoji"/>
          <w:b/>
          <w:bCs/>
        </w:rPr>
        <w:t>📖</w:t>
      </w:r>
      <w:r w:rsidRPr="00600C09">
        <w:rPr>
          <w:b/>
          <w:bCs/>
        </w:rPr>
        <w:t xml:space="preserve"> Chapter 8 — Conclusion and Synthesis</w:t>
      </w:r>
    </w:p>
    <w:p w14:paraId="725F0BD7" w14:textId="77777777" w:rsidR="00600C09" w:rsidRPr="00600C09" w:rsidRDefault="00877B45" w:rsidP="00600C09">
      <w:r>
        <w:rPr>
          <w:noProof/>
        </w:rPr>
      </w:r>
      <w:r w:rsidR="00877B45">
        <w:rPr>
          <w:noProof/>
        </w:rPr>
        <w:pict w14:anchorId="20F24F0D">
          <v:rect id="_x0000_i1236" style="width:0;height:1.5pt" o:hralign="center" o:hrstd="t" o:hr="t" fillcolor="#a0a0a0" stroked="f"/>
        </w:pict>
      </w:r>
    </w:p>
    <w:p w14:paraId="43562553" w14:textId="77777777" w:rsidR="00600C09" w:rsidRPr="00600C09" w:rsidRDefault="00600C09" w:rsidP="00600C09">
      <w:pPr>
        <w:rPr>
          <w:b/>
          <w:bCs/>
        </w:rPr>
      </w:pPr>
      <w:r w:rsidRPr="00600C09">
        <w:rPr>
          <w:b/>
          <w:bCs/>
        </w:rPr>
        <w:t>8.1 Introduction</w:t>
      </w:r>
    </w:p>
    <w:p w14:paraId="5AE2C27C" w14:textId="77777777" w:rsidR="00600C09" w:rsidRPr="00600C09" w:rsidRDefault="00600C09" w:rsidP="00600C09">
      <w:r w:rsidRPr="00600C09">
        <w:t xml:space="preserve">This book has undertaken a comprehensive exploration of </w:t>
      </w:r>
      <w:r w:rsidRPr="00600C09">
        <w:rPr>
          <w:b/>
          <w:bCs/>
        </w:rPr>
        <w:t>security instruments in Islamic project finance</w:t>
      </w:r>
      <w:r w:rsidRPr="00600C09">
        <w:t xml:space="preserve">, tracing their theoretical underpinnings, comparative application, governance structures, and future directions for reform and innovation. The journey has spanned classical juristic principles of </w:t>
      </w:r>
      <w:r w:rsidRPr="00600C09">
        <w:rPr>
          <w:i/>
          <w:iCs/>
        </w:rPr>
        <w:t>rahn</w:t>
      </w:r>
      <w:r w:rsidRPr="00600C09">
        <w:t xml:space="preserve">, </w:t>
      </w:r>
      <w:r w:rsidRPr="00600C09">
        <w:rPr>
          <w:i/>
          <w:iCs/>
        </w:rPr>
        <w:t>kafālah</w:t>
      </w:r>
      <w:r w:rsidRPr="00600C09">
        <w:t xml:space="preserve">, </w:t>
      </w:r>
      <w:r w:rsidRPr="00600C09">
        <w:rPr>
          <w:rFonts w:ascii="Calibri" w:hAnsi="Calibri" w:cs="Calibri"/>
          <w:i/>
          <w:iCs/>
        </w:rPr>
        <w:t>ḍ</w:t>
      </w:r>
      <w:r w:rsidRPr="00600C09">
        <w:rPr>
          <w:i/>
          <w:iCs/>
        </w:rPr>
        <w:t>amān</w:t>
      </w:r>
      <w:r w:rsidRPr="00600C09">
        <w:t xml:space="preserve">, and </w:t>
      </w:r>
      <w:r w:rsidRPr="00600C09">
        <w:rPr>
          <w:rFonts w:ascii="Calibri" w:hAnsi="Calibri" w:cs="Calibri"/>
          <w:i/>
          <w:iCs/>
        </w:rPr>
        <w:t>ḥ</w:t>
      </w:r>
      <w:r w:rsidRPr="00600C09">
        <w:rPr>
          <w:i/>
          <w:iCs/>
        </w:rPr>
        <w:t>awālah</w:t>
      </w:r>
      <w:r w:rsidRPr="00600C09">
        <w:t>, their modern reinterpretations, their practical deployment in large-scale projects, and the regulatory frameworks that sustain them. It has also engaged with the pressing need for reform in light of globalization, cross-border financing, and technological disruption.</w:t>
      </w:r>
    </w:p>
    <w:p w14:paraId="484BE703" w14:textId="77777777" w:rsidR="00600C09" w:rsidRPr="00600C09" w:rsidRDefault="00600C09" w:rsidP="00600C09">
      <w:r w:rsidRPr="00600C09">
        <w:t>The purpose of this concluding chapter is threefold:</w:t>
      </w:r>
    </w:p>
    <w:p w14:paraId="22EA415F" w14:textId="77777777" w:rsidR="00600C09" w:rsidRPr="00600C09" w:rsidRDefault="00600C09" w:rsidP="00600C09">
      <w:pPr>
        <w:numPr>
          <w:ilvl w:val="0"/>
          <w:numId w:val="295"/>
        </w:numPr>
      </w:pPr>
      <w:r w:rsidRPr="00600C09">
        <w:rPr>
          <w:b/>
          <w:bCs/>
        </w:rPr>
        <w:t>Integration of insights</w:t>
      </w:r>
      <w:r w:rsidRPr="00600C09">
        <w:t>: Drawing together findings from previous chapters to present a coherent synthesis of the state of Islamic security instruments.</w:t>
      </w:r>
    </w:p>
    <w:p w14:paraId="0FDAA6D7" w14:textId="77777777" w:rsidR="00600C09" w:rsidRPr="00600C09" w:rsidRDefault="00600C09" w:rsidP="00600C09">
      <w:pPr>
        <w:numPr>
          <w:ilvl w:val="0"/>
          <w:numId w:val="295"/>
        </w:numPr>
      </w:pPr>
      <w:r w:rsidRPr="00600C09">
        <w:rPr>
          <w:b/>
          <w:bCs/>
        </w:rPr>
        <w:t>Reflection on contributions</w:t>
      </w:r>
      <w:r w:rsidRPr="00600C09">
        <w:t>: Identifying how this work advances academic scholarship, informs policy debates, and provides practical guidance for financiers and regulators.</w:t>
      </w:r>
    </w:p>
    <w:p w14:paraId="523F4AF7" w14:textId="77777777" w:rsidR="00600C09" w:rsidRPr="00600C09" w:rsidRDefault="00600C09" w:rsidP="00600C09">
      <w:pPr>
        <w:numPr>
          <w:ilvl w:val="0"/>
          <w:numId w:val="295"/>
        </w:numPr>
      </w:pPr>
      <w:r w:rsidRPr="00600C09">
        <w:rPr>
          <w:b/>
          <w:bCs/>
        </w:rPr>
        <w:t>Projection into the future</w:t>
      </w:r>
      <w:r w:rsidRPr="00600C09">
        <w:t>: Outlining a framework for the continued development of Islamic project finance that is faithful to Shariah principles while responsive to global market realities.</w:t>
      </w:r>
    </w:p>
    <w:p w14:paraId="612BBCCC" w14:textId="77777777" w:rsidR="00600C09" w:rsidRPr="00600C09" w:rsidRDefault="00600C09" w:rsidP="00600C09">
      <w:r w:rsidRPr="00600C09">
        <w:t xml:space="preserve">This chapter also revisits the </w:t>
      </w:r>
      <w:r w:rsidRPr="00600C09">
        <w:rPr>
          <w:b/>
          <w:bCs/>
        </w:rPr>
        <w:t>research objectives</w:t>
      </w:r>
      <w:r w:rsidRPr="00600C09">
        <w:t xml:space="preserve"> set out at the beginning:</w:t>
      </w:r>
    </w:p>
    <w:p w14:paraId="65F6BA7E" w14:textId="77777777" w:rsidR="00600C09" w:rsidRPr="00600C09" w:rsidRDefault="00600C09" w:rsidP="00600C09">
      <w:pPr>
        <w:numPr>
          <w:ilvl w:val="0"/>
          <w:numId w:val="296"/>
        </w:numPr>
      </w:pPr>
      <w:r w:rsidRPr="00600C09">
        <w:t>To critically analyze the theoretical and jurisprudential foundations of Islamic security instruments.</w:t>
      </w:r>
    </w:p>
    <w:p w14:paraId="455D728D" w14:textId="77777777" w:rsidR="00600C09" w:rsidRPr="00600C09" w:rsidRDefault="00600C09" w:rsidP="00600C09">
      <w:pPr>
        <w:numPr>
          <w:ilvl w:val="0"/>
          <w:numId w:val="296"/>
        </w:numPr>
      </w:pPr>
      <w:r w:rsidRPr="00600C09">
        <w:lastRenderedPageBreak/>
        <w:t>To evaluate their compatibility with conventional security frameworks.</w:t>
      </w:r>
    </w:p>
    <w:p w14:paraId="2D0071F3" w14:textId="77777777" w:rsidR="00600C09" w:rsidRPr="00600C09" w:rsidRDefault="00600C09" w:rsidP="00600C09">
      <w:pPr>
        <w:numPr>
          <w:ilvl w:val="0"/>
          <w:numId w:val="296"/>
        </w:numPr>
      </w:pPr>
      <w:r w:rsidRPr="00600C09">
        <w:t>To examine their application in Malaysian and cross-border project finance case studies.</w:t>
      </w:r>
    </w:p>
    <w:p w14:paraId="0520523F" w14:textId="77777777" w:rsidR="00600C09" w:rsidRPr="00600C09" w:rsidRDefault="00600C09" w:rsidP="00600C09">
      <w:pPr>
        <w:numPr>
          <w:ilvl w:val="0"/>
          <w:numId w:val="296"/>
        </w:numPr>
      </w:pPr>
      <w:r w:rsidRPr="00600C09">
        <w:t>To assess the role of governance and regulatory frameworks in sustaining their credibility.</w:t>
      </w:r>
    </w:p>
    <w:p w14:paraId="43FFDBA1" w14:textId="77777777" w:rsidR="00600C09" w:rsidRPr="00600C09" w:rsidRDefault="00600C09" w:rsidP="00600C09">
      <w:pPr>
        <w:numPr>
          <w:ilvl w:val="0"/>
          <w:numId w:val="296"/>
        </w:numPr>
      </w:pPr>
      <w:r w:rsidRPr="00600C09">
        <w:t>To propose reforms and innovations that enhance their effectiveness without compromising Shariah integrity.</w:t>
      </w:r>
    </w:p>
    <w:p w14:paraId="2460F43B" w14:textId="3FC7D5B8" w:rsidR="00600C09" w:rsidRPr="00600C09" w:rsidRDefault="00600C09" w:rsidP="00600C09">
      <w:r w:rsidRPr="00600C09">
        <w:t>By addressing these objectives, this book has provided both a scholarly contribution and a practical roadmap. The following sections summarize the key findings, articulate contributions, and propose a forward-looking framework for Islamic project finance.</w:t>
      </w:r>
    </w:p>
    <w:p w14:paraId="368638BA" w14:textId="77777777" w:rsidR="00600C09" w:rsidRPr="00600C09" w:rsidRDefault="00600C09" w:rsidP="00600C09">
      <w:pPr>
        <w:rPr>
          <w:b/>
          <w:bCs/>
        </w:rPr>
      </w:pPr>
      <w:r w:rsidRPr="00600C09">
        <w:rPr>
          <w:b/>
          <w:bCs/>
        </w:rPr>
        <w:t>8.2 Key Findings from the Study</w:t>
      </w:r>
    </w:p>
    <w:p w14:paraId="563B0160" w14:textId="77777777" w:rsidR="00600C09" w:rsidRPr="00600C09" w:rsidRDefault="00600C09" w:rsidP="00600C09">
      <w:pPr>
        <w:rPr>
          <w:b/>
          <w:bCs/>
        </w:rPr>
      </w:pPr>
      <w:r w:rsidRPr="00600C09">
        <w:rPr>
          <w:b/>
          <w:bCs/>
        </w:rPr>
        <w:t>8.2.1 Theoretical Underpinnings of Security in Islamic Law</w:t>
      </w:r>
    </w:p>
    <w:p w14:paraId="30B0967E" w14:textId="77777777" w:rsidR="00600C09" w:rsidRPr="00600C09" w:rsidRDefault="00600C09" w:rsidP="00600C09">
      <w:r w:rsidRPr="00600C09">
        <w:t xml:space="preserve">Chapters 2 and 3 highlighted the </w:t>
      </w:r>
      <w:r w:rsidRPr="00600C09">
        <w:rPr>
          <w:b/>
          <w:bCs/>
        </w:rPr>
        <w:t>juristic foundations</w:t>
      </w:r>
      <w:r w:rsidRPr="00600C09">
        <w:t xml:space="preserve"> of security instruments in Islam. The Qur’an and Sunnah emphasize accountability (</w:t>
      </w:r>
      <w:r w:rsidRPr="00600C09">
        <w:rPr>
          <w:i/>
          <w:iCs/>
        </w:rPr>
        <w:t>mas</w:t>
      </w:r>
      <w:r w:rsidRPr="00600C09">
        <w:rPr>
          <w:rFonts w:ascii="Arial" w:hAnsi="Arial" w:cs="Arial"/>
          <w:i/>
          <w:iCs/>
        </w:rPr>
        <w:t>ʾ</w:t>
      </w:r>
      <w:r w:rsidRPr="00600C09">
        <w:rPr>
          <w:rFonts w:ascii="Aptos" w:hAnsi="Aptos" w:cs="Aptos"/>
          <w:i/>
          <w:iCs/>
        </w:rPr>
        <w:t>ū</w:t>
      </w:r>
      <w:r w:rsidRPr="00600C09">
        <w:rPr>
          <w:i/>
          <w:iCs/>
        </w:rPr>
        <w:t>liyyah</w:t>
      </w:r>
      <w:r w:rsidRPr="00600C09">
        <w:t>), trust (</w:t>
      </w:r>
      <w:r w:rsidRPr="00600C09">
        <w:rPr>
          <w:i/>
          <w:iCs/>
        </w:rPr>
        <w:t>amānah</w:t>
      </w:r>
      <w:r w:rsidRPr="00600C09">
        <w:t>), and justice (</w:t>
      </w:r>
      <w:r w:rsidRPr="00600C09">
        <w:rPr>
          <w:rFonts w:ascii="Arial" w:hAnsi="Arial" w:cs="Arial"/>
          <w:i/>
          <w:iCs/>
        </w:rPr>
        <w:t>ʿ</w:t>
      </w:r>
      <w:r w:rsidRPr="00600C09">
        <w:rPr>
          <w:i/>
          <w:iCs/>
        </w:rPr>
        <w:t>adl</w:t>
      </w:r>
      <w:r w:rsidRPr="00600C09">
        <w:t>) as guiding principles of financial governance. Classical jurists elaborated these into instruments that protect creditor rights while upholding fairness:</w:t>
      </w:r>
    </w:p>
    <w:p w14:paraId="018A38B8" w14:textId="77777777" w:rsidR="00600C09" w:rsidRPr="00600C09" w:rsidRDefault="00600C09" w:rsidP="00600C09">
      <w:pPr>
        <w:numPr>
          <w:ilvl w:val="0"/>
          <w:numId w:val="297"/>
        </w:numPr>
      </w:pPr>
      <w:r w:rsidRPr="00600C09">
        <w:rPr>
          <w:b/>
          <w:bCs/>
        </w:rPr>
        <w:t>Rahn</w:t>
      </w:r>
      <w:r w:rsidRPr="00600C09">
        <w:t xml:space="preserve"> secures obligations by pledging collateral.</w:t>
      </w:r>
    </w:p>
    <w:p w14:paraId="2EAE8F43" w14:textId="77777777" w:rsidR="00600C09" w:rsidRPr="00600C09" w:rsidRDefault="00600C09" w:rsidP="00600C09">
      <w:pPr>
        <w:numPr>
          <w:ilvl w:val="0"/>
          <w:numId w:val="297"/>
        </w:numPr>
      </w:pPr>
      <w:r w:rsidRPr="00600C09">
        <w:rPr>
          <w:b/>
          <w:bCs/>
        </w:rPr>
        <w:t>Kafālah</w:t>
      </w:r>
      <w:r w:rsidRPr="00600C09">
        <w:t xml:space="preserve"> and </w:t>
      </w:r>
      <w:r w:rsidRPr="00600C09">
        <w:rPr>
          <w:rFonts w:ascii="Calibri" w:hAnsi="Calibri" w:cs="Calibri"/>
          <w:b/>
          <w:bCs/>
        </w:rPr>
        <w:t>ḍ</w:t>
      </w:r>
      <w:r w:rsidRPr="00600C09">
        <w:rPr>
          <w:b/>
          <w:bCs/>
        </w:rPr>
        <w:t>amān</w:t>
      </w:r>
      <w:r w:rsidRPr="00600C09">
        <w:t xml:space="preserve"> transfer liability to a guarantor.</w:t>
      </w:r>
    </w:p>
    <w:p w14:paraId="79BABB74" w14:textId="77777777" w:rsidR="00600C09" w:rsidRPr="00600C09" w:rsidRDefault="00600C09" w:rsidP="00600C09">
      <w:pPr>
        <w:numPr>
          <w:ilvl w:val="0"/>
          <w:numId w:val="297"/>
        </w:numPr>
      </w:pPr>
      <w:r w:rsidRPr="00600C09">
        <w:rPr>
          <w:rFonts w:ascii="Calibri" w:hAnsi="Calibri" w:cs="Calibri"/>
          <w:b/>
          <w:bCs/>
        </w:rPr>
        <w:t>Ḥ</w:t>
      </w:r>
      <w:r w:rsidRPr="00600C09">
        <w:rPr>
          <w:b/>
          <w:bCs/>
        </w:rPr>
        <w:t>awālah</w:t>
      </w:r>
      <w:r w:rsidRPr="00600C09">
        <w:t xml:space="preserve"> allows debt transfer from one party to another.</w:t>
      </w:r>
    </w:p>
    <w:p w14:paraId="0BB64CBD" w14:textId="77777777" w:rsidR="00600C09" w:rsidRPr="00600C09" w:rsidRDefault="00600C09" w:rsidP="00600C09">
      <w:r w:rsidRPr="00600C09">
        <w:t xml:space="preserve">These instruments reflect a deep concern for </w:t>
      </w:r>
      <w:r w:rsidRPr="00600C09">
        <w:rPr>
          <w:b/>
          <w:bCs/>
        </w:rPr>
        <w:t>equity and protection of wealth (</w:t>
      </w:r>
      <w:r w:rsidRPr="00600C09">
        <w:rPr>
          <w:rFonts w:ascii="Calibri" w:hAnsi="Calibri" w:cs="Calibri"/>
          <w:b/>
          <w:bCs/>
        </w:rPr>
        <w:t>ḥ</w:t>
      </w:r>
      <w:r w:rsidRPr="00600C09">
        <w:rPr>
          <w:b/>
          <w:bCs/>
        </w:rPr>
        <w:t>if</w:t>
      </w:r>
      <w:r w:rsidRPr="00600C09">
        <w:rPr>
          <w:rFonts w:ascii="Calibri" w:hAnsi="Calibri" w:cs="Calibri"/>
          <w:b/>
          <w:bCs/>
        </w:rPr>
        <w:t>ẓ</w:t>
      </w:r>
      <w:r w:rsidRPr="00600C09">
        <w:rPr>
          <w:b/>
          <w:bCs/>
        </w:rPr>
        <w:t xml:space="preserve"> al-māl)</w:t>
      </w:r>
      <w:r w:rsidRPr="00600C09">
        <w:t xml:space="preserve">, balanced by prohibitions of </w:t>
      </w:r>
      <w:r w:rsidRPr="00600C09">
        <w:rPr>
          <w:i/>
          <w:iCs/>
        </w:rPr>
        <w:t>ribā</w:t>
      </w:r>
      <w:r w:rsidRPr="00600C09">
        <w:t xml:space="preserve">, </w:t>
      </w:r>
      <w:r w:rsidRPr="00600C09">
        <w:rPr>
          <w:i/>
          <w:iCs/>
        </w:rPr>
        <w:t>gharar</w:t>
      </w:r>
      <w:r w:rsidRPr="00600C09">
        <w:t xml:space="preserve">, and </w:t>
      </w:r>
      <w:r w:rsidRPr="00600C09">
        <w:rPr>
          <w:i/>
          <w:iCs/>
        </w:rPr>
        <w:t>maysir</w:t>
      </w:r>
      <w:r w:rsidRPr="00600C09">
        <w:t>. However, the classical formulations reflected a pre-modern economy centered on tangible assets and personal obligations, requiring reinterpretation for modern contexts.</w:t>
      </w:r>
    </w:p>
    <w:p w14:paraId="6BAAA6A1" w14:textId="7D10A068" w:rsidR="00600C09" w:rsidRPr="00600C09" w:rsidRDefault="00600C09" w:rsidP="00600C09"/>
    <w:p w14:paraId="0CC762A1" w14:textId="77777777" w:rsidR="00600C09" w:rsidRPr="00600C09" w:rsidRDefault="00600C09" w:rsidP="00600C09">
      <w:pPr>
        <w:rPr>
          <w:b/>
          <w:bCs/>
        </w:rPr>
      </w:pPr>
      <w:r w:rsidRPr="00600C09">
        <w:rPr>
          <w:b/>
          <w:bCs/>
        </w:rPr>
        <w:t>8.2.2 Comparative Analysis with Conventional Instruments</w:t>
      </w:r>
    </w:p>
    <w:p w14:paraId="581F82F1" w14:textId="77777777" w:rsidR="00600C09" w:rsidRPr="00600C09" w:rsidRDefault="00600C09" w:rsidP="00600C09">
      <w:r w:rsidRPr="00600C09">
        <w:t xml:space="preserve">Chapter 4 provided a comparative analysis between Islamic and conventional security instruments. The findings revealed both </w:t>
      </w:r>
      <w:r w:rsidRPr="00600C09">
        <w:rPr>
          <w:b/>
          <w:bCs/>
        </w:rPr>
        <w:t>convergence and divergence</w:t>
      </w:r>
      <w:r w:rsidRPr="00600C09">
        <w:t>:</w:t>
      </w:r>
    </w:p>
    <w:p w14:paraId="4BEF4A31" w14:textId="77777777" w:rsidR="00600C09" w:rsidRPr="00600C09" w:rsidRDefault="00600C09" w:rsidP="00600C09">
      <w:pPr>
        <w:numPr>
          <w:ilvl w:val="0"/>
          <w:numId w:val="298"/>
        </w:numPr>
      </w:pPr>
      <w:r w:rsidRPr="00600C09">
        <w:rPr>
          <w:b/>
          <w:bCs/>
        </w:rPr>
        <w:t>Convergence</w:t>
      </w:r>
      <w:r w:rsidRPr="00600C09">
        <w:t>:</w:t>
      </w:r>
    </w:p>
    <w:p w14:paraId="35FE1032" w14:textId="77777777" w:rsidR="00600C09" w:rsidRPr="00600C09" w:rsidRDefault="00600C09" w:rsidP="00600C09">
      <w:pPr>
        <w:numPr>
          <w:ilvl w:val="1"/>
          <w:numId w:val="298"/>
        </w:numPr>
      </w:pPr>
      <w:r w:rsidRPr="00600C09">
        <w:t>Rahn resembles a mortgage or pledge.</w:t>
      </w:r>
    </w:p>
    <w:p w14:paraId="6EC01232" w14:textId="77777777" w:rsidR="00600C09" w:rsidRPr="00600C09" w:rsidRDefault="00600C09" w:rsidP="00600C09">
      <w:pPr>
        <w:numPr>
          <w:ilvl w:val="1"/>
          <w:numId w:val="298"/>
        </w:numPr>
      </w:pPr>
      <w:r w:rsidRPr="00600C09">
        <w:t xml:space="preserve">Kafālah and </w:t>
      </w:r>
      <w:r w:rsidRPr="00600C09">
        <w:rPr>
          <w:rFonts w:ascii="Calibri" w:hAnsi="Calibri" w:cs="Calibri"/>
        </w:rPr>
        <w:t>ḍ</w:t>
      </w:r>
      <w:r w:rsidRPr="00600C09">
        <w:t>amān parallel suretyship and guarantees.</w:t>
      </w:r>
    </w:p>
    <w:p w14:paraId="598705AB" w14:textId="77777777" w:rsidR="00600C09" w:rsidRPr="00600C09" w:rsidRDefault="00600C09" w:rsidP="00600C09">
      <w:pPr>
        <w:numPr>
          <w:ilvl w:val="1"/>
          <w:numId w:val="298"/>
        </w:numPr>
      </w:pPr>
      <w:r w:rsidRPr="00600C09">
        <w:rPr>
          <w:rFonts w:ascii="Calibri" w:hAnsi="Calibri" w:cs="Calibri"/>
        </w:rPr>
        <w:t>Ḥ</w:t>
      </w:r>
      <w:r w:rsidRPr="00600C09">
        <w:t>awālah mirrors assignment or novation of debt.</w:t>
      </w:r>
    </w:p>
    <w:p w14:paraId="2BF1548D" w14:textId="77777777" w:rsidR="00600C09" w:rsidRPr="00600C09" w:rsidRDefault="00600C09" w:rsidP="00600C09">
      <w:pPr>
        <w:numPr>
          <w:ilvl w:val="0"/>
          <w:numId w:val="298"/>
        </w:numPr>
      </w:pPr>
      <w:r w:rsidRPr="00600C09">
        <w:rPr>
          <w:b/>
          <w:bCs/>
        </w:rPr>
        <w:t>Divergence</w:t>
      </w:r>
      <w:r w:rsidRPr="00600C09">
        <w:t>:</w:t>
      </w:r>
    </w:p>
    <w:p w14:paraId="6445807C" w14:textId="77777777" w:rsidR="00600C09" w:rsidRPr="00600C09" w:rsidRDefault="00600C09" w:rsidP="00600C09">
      <w:pPr>
        <w:numPr>
          <w:ilvl w:val="1"/>
          <w:numId w:val="298"/>
        </w:numPr>
      </w:pPr>
      <w:r w:rsidRPr="00600C09">
        <w:lastRenderedPageBreak/>
        <w:t>Islamic instruments prohibit fee-taking in guarantees (except for cost recovery).</w:t>
      </w:r>
    </w:p>
    <w:p w14:paraId="595EF807" w14:textId="77777777" w:rsidR="00600C09" w:rsidRPr="00600C09" w:rsidRDefault="00600C09" w:rsidP="00600C09">
      <w:pPr>
        <w:numPr>
          <w:ilvl w:val="1"/>
          <w:numId w:val="298"/>
        </w:numPr>
      </w:pPr>
      <w:r w:rsidRPr="00600C09">
        <w:t>Rahn traditionally requires physical possession, unlike floating charges.</w:t>
      </w:r>
    </w:p>
    <w:p w14:paraId="2B5DFC5C" w14:textId="77777777" w:rsidR="00600C09" w:rsidRPr="00600C09" w:rsidRDefault="00600C09" w:rsidP="00600C09">
      <w:pPr>
        <w:numPr>
          <w:ilvl w:val="1"/>
          <w:numId w:val="298"/>
        </w:numPr>
      </w:pPr>
      <w:r w:rsidRPr="00600C09">
        <w:rPr>
          <w:rFonts w:ascii="Calibri" w:hAnsi="Calibri" w:cs="Calibri"/>
        </w:rPr>
        <w:t>Ḥ</w:t>
      </w:r>
      <w:r w:rsidRPr="00600C09">
        <w:t>awālah disallows debt trading, limiting liquidity.</w:t>
      </w:r>
    </w:p>
    <w:p w14:paraId="4FA72AC4" w14:textId="77777777" w:rsidR="00600C09" w:rsidRPr="00600C09" w:rsidRDefault="00600C09" w:rsidP="00600C09">
      <w:r w:rsidRPr="00600C09">
        <w:t xml:space="preserve">The </w:t>
      </w:r>
      <w:r w:rsidRPr="00600C09">
        <w:rPr>
          <w:b/>
          <w:bCs/>
        </w:rPr>
        <w:t>Compatibility Index</w:t>
      </w:r>
      <w:r w:rsidRPr="00600C09">
        <w:t xml:space="preserve"> was introduced to measure functional equivalence, scoring Islamic instruments at an average of </w:t>
      </w:r>
      <w:r w:rsidRPr="00600C09">
        <w:rPr>
          <w:b/>
          <w:bCs/>
        </w:rPr>
        <w:t>3.7/5</w:t>
      </w:r>
      <w:r w:rsidRPr="00600C09">
        <w:t xml:space="preserve"> — moderately compatible with conventional counterparts but with significant limitations in commercial viability and cross-border enforceability.</w:t>
      </w:r>
    </w:p>
    <w:p w14:paraId="5B2076C5" w14:textId="6297D4FA" w:rsidR="00600C09" w:rsidRPr="00600C09" w:rsidRDefault="00600C09" w:rsidP="00600C09"/>
    <w:p w14:paraId="07794E0B" w14:textId="77777777" w:rsidR="00600C09" w:rsidRPr="00600C09" w:rsidRDefault="00600C09" w:rsidP="00600C09">
      <w:pPr>
        <w:rPr>
          <w:b/>
          <w:bCs/>
        </w:rPr>
      </w:pPr>
      <w:r w:rsidRPr="00600C09">
        <w:rPr>
          <w:b/>
          <w:bCs/>
        </w:rPr>
        <w:t>8.2.3 Applications in Project Finance</w:t>
      </w:r>
    </w:p>
    <w:p w14:paraId="53B3B3BE" w14:textId="77777777" w:rsidR="00600C09" w:rsidRPr="00600C09" w:rsidRDefault="00600C09" w:rsidP="00600C09">
      <w:r w:rsidRPr="00600C09">
        <w:t>Chapter 5 illustrated how Islamic security instruments function in real-world projects. Malaysian case studies demonstrated practical applications:</w:t>
      </w:r>
    </w:p>
    <w:p w14:paraId="30035F42" w14:textId="77777777" w:rsidR="00600C09" w:rsidRPr="00600C09" w:rsidRDefault="00600C09" w:rsidP="00600C09">
      <w:pPr>
        <w:numPr>
          <w:ilvl w:val="0"/>
          <w:numId w:val="299"/>
        </w:numPr>
      </w:pPr>
      <w:r w:rsidRPr="00600C09">
        <w:rPr>
          <w:b/>
          <w:bCs/>
        </w:rPr>
        <w:t>Power plant financing</w:t>
      </w:r>
      <w:r w:rsidRPr="00600C09">
        <w:t>: Rahn over shares, kafālah guarantees from sponsors, and assignment of receivables.</w:t>
      </w:r>
    </w:p>
    <w:p w14:paraId="0C6A3BA6" w14:textId="77777777" w:rsidR="00600C09" w:rsidRPr="00600C09" w:rsidRDefault="00600C09" w:rsidP="00600C09">
      <w:pPr>
        <w:numPr>
          <w:ilvl w:val="0"/>
          <w:numId w:val="299"/>
        </w:numPr>
      </w:pPr>
      <w:r w:rsidRPr="00600C09">
        <w:rPr>
          <w:b/>
          <w:bCs/>
        </w:rPr>
        <w:t>Highway project</w:t>
      </w:r>
      <w:r w:rsidRPr="00600C09">
        <w:t>: Pledges of concession rights, charges over bank accounts, and performance guarantees.</w:t>
      </w:r>
    </w:p>
    <w:p w14:paraId="627F0C85" w14:textId="77777777" w:rsidR="00600C09" w:rsidRPr="00600C09" w:rsidRDefault="00600C09" w:rsidP="00600C09">
      <w:pPr>
        <w:numPr>
          <w:ilvl w:val="0"/>
          <w:numId w:val="299"/>
        </w:numPr>
      </w:pPr>
      <w:r w:rsidRPr="00600C09">
        <w:rPr>
          <w:b/>
          <w:bCs/>
        </w:rPr>
        <w:t>Hospital PPP project</w:t>
      </w:r>
      <w:r w:rsidRPr="00600C09">
        <w:t xml:space="preserve">: Integration of usufruct-based rahn, government payment assignments under </w:t>
      </w:r>
      <w:r w:rsidRPr="00600C09">
        <w:rPr>
          <w:rFonts w:ascii="Calibri" w:hAnsi="Calibri" w:cs="Calibri"/>
        </w:rPr>
        <w:t>ḥ</w:t>
      </w:r>
      <w:r w:rsidRPr="00600C09">
        <w:t>awālah, and sponsor undertakings.</w:t>
      </w:r>
    </w:p>
    <w:p w14:paraId="3F103384" w14:textId="77777777" w:rsidR="00600C09" w:rsidRPr="00600C09" w:rsidRDefault="00600C09" w:rsidP="00600C09">
      <w:r w:rsidRPr="00600C09">
        <w:t>In addition, sukuk structures (murāba</w:t>
      </w:r>
      <w:r w:rsidRPr="00600C09">
        <w:rPr>
          <w:rFonts w:ascii="Calibri" w:hAnsi="Calibri" w:cs="Calibri"/>
        </w:rPr>
        <w:t>ḥ</w:t>
      </w:r>
      <w:r w:rsidRPr="00600C09">
        <w:t>ah, ijārah, wakālah) were shown to integrate security instruments for investor protection. Cross-border cases highlighted challenges arising from divergent Shariah rulings and enforceability concerns.</w:t>
      </w:r>
    </w:p>
    <w:p w14:paraId="6B9529B0" w14:textId="77777777" w:rsidR="00600C09" w:rsidRPr="00600C09" w:rsidRDefault="00600C09" w:rsidP="00600C09">
      <w:r w:rsidRPr="00600C09">
        <w:rPr>
          <w:b/>
          <w:bCs/>
        </w:rPr>
        <w:t>Key insight</w:t>
      </w:r>
      <w:r w:rsidRPr="00600C09">
        <w:t>: While Islamic instruments can be structured effectively for project finance, they often rely on hybrid models that incorporate conventional security documentation for enforceability.</w:t>
      </w:r>
    </w:p>
    <w:p w14:paraId="546D43DD" w14:textId="6858DD8E" w:rsidR="00600C09" w:rsidRPr="00600C09" w:rsidRDefault="00600C09" w:rsidP="00600C09"/>
    <w:p w14:paraId="7ED16A18" w14:textId="77777777" w:rsidR="00600C09" w:rsidRPr="00600C09" w:rsidRDefault="00600C09" w:rsidP="00600C09">
      <w:pPr>
        <w:rPr>
          <w:b/>
          <w:bCs/>
        </w:rPr>
      </w:pPr>
      <w:r w:rsidRPr="00600C09">
        <w:rPr>
          <w:b/>
          <w:bCs/>
        </w:rPr>
        <w:t>8.2.4 Governance and Regulatory Frameworks</w:t>
      </w:r>
    </w:p>
    <w:p w14:paraId="42E021BD" w14:textId="77777777" w:rsidR="00600C09" w:rsidRPr="00600C09" w:rsidRDefault="00600C09" w:rsidP="00600C09">
      <w:r w:rsidRPr="00600C09">
        <w:t xml:space="preserve">Chapter 6 emphasized the </w:t>
      </w:r>
      <w:r w:rsidRPr="00600C09">
        <w:rPr>
          <w:b/>
          <w:bCs/>
        </w:rPr>
        <w:t>centrality of governance</w:t>
      </w:r>
      <w:r w:rsidRPr="00600C09">
        <w:t>. Malaysia’s dual model — statutory authority of the SAC combined with mandatory Shariah Committees in IFIs — provides global best practice. The SAC’s binding rulings ensure consistency, while the SGPD (2019) integrates Shariah compliance into overall governance.</w:t>
      </w:r>
    </w:p>
    <w:p w14:paraId="2B7B35CA" w14:textId="77777777" w:rsidR="00600C09" w:rsidRPr="00600C09" w:rsidRDefault="00600C09" w:rsidP="00600C09">
      <w:r w:rsidRPr="00600C09">
        <w:t>Internationally, AAOIFI and IFSB provide guidance, but divergence persists across jurisdictions. The absence of harmonization undermines cross-border project finance, requiring hybrid structures and legal compromises.</w:t>
      </w:r>
    </w:p>
    <w:p w14:paraId="30CB4FF7" w14:textId="77777777" w:rsidR="00600C09" w:rsidRPr="00600C09" w:rsidRDefault="00600C09" w:rsidP="00600C09">
      <w:r w:rsidRPr="00600C09">
        <w:rPr>
          <w:b/>
          <w:bCs/>
        </w:rPr>
        <w:lastRenderedPageBreak/>
        <w:t>Key insight</w:t>
      </w:r>
      <w:r w:rsidRPr="00600C09">
        <w:t>: Governance ensures that Islamic security instruments maintain credibility, but greater harmonization is necessary for global scalability.</w:t>
      </w:r>
    </w:p>
    <w:p w14:paraId="02C77872" w14:textId="2FB373BF" w:rsidR="00600C09" w:rsidRPr="00600C09" w:rsidRDefault="00600C09" w:rsidP="00600C09"/>
    <w:p w14:paraId="39646C5B" w14:textId="77777777" w:rsidR="00600C09" w:rsidRPr="00600C09" w:rsidRDefault="00600C09" w:rsidP="00600C09">
      <w:pPr>
        <w:rPr>
          <w:b/>
          <w:bCs/>
        </w:rPr>
      </w:pPr>
      <w:r w:rsidRPr="00600C09">
        <w:rPr>
          <w:b/>
          <w:bCs/>
        </w:rPr>
        <w:t>8.2.5 Reform and Innovation Pathways</w:t>
      </w:r>
    </w:p>
    <w:p w14:paraId="5C9DA8B7" w14:textId="77777777" w:rsidR="00600C09" w:rsidRPr="00600C09" w:rsidRDefault="00600C09" w:rsidP="00600C09">
      <w:r w:rsidRPr="00600C09">
        <w:t>Chapter 7 identified multiple drivers of reform: regulatory demands, market competitiveness, cross-border harmonization, maqāṣid imperatives, and technological disruption. Reform pathways include:</w:t>
      </w:r>
    </w:p>
    <w:p w14:paraId="275E542A" w14:textId="77777777" w:rsidR="00600C09" w:rsidRPr="00600C09" w:rsidRDefault="00600C09" w:rsidP="00600C09">
      <w:pPr>
        <w:numPr>
          <w:ilvl w:val="0"/>
          <w:numId w:val="300"/>
        </w:numPr>
      </w:pPr>
      <w:r w:rsidRPr="00600C09">
        <w:rPr>
          <w:b/>
          <w:bCs/>
        </w:rPr>
        <w:t>Rahn</w:t>
      </w:r>
      <w:r w:rsidRPr="00600C09">
        <w:t>: Extending to intangible assets, constructive and digital possession, blockchain collateral registers.</w:t>
      </w:r>
    </w:p>
    <w:p w14:paraId="68CFA75F" w14:textId="77777777" w:rsidR="00600C09" w:rsidRPr="00600C09" w:rsidRDefault="00600C09" w:rsidP="00600C09">
      <w:pPr>
        <w:numPr>
          <w:ilvl w:val="0"/>
          <w:numId w:val="300"/>
        </w:numPr>
      </w:pPr>
      <w:r w:rsidRPr="00600C09">
        <w:rPr>
          <w:b/>
          <w:bCs/>
        </w:rPr>
        <w:t>Kafālah/</w:t>
      </w:r>
      <w:r w:rsidRPr="00600C09">
        <w:rPr>
          <w:rFonts w:ascii="Calibri" w:hAnsi="Calibri" w:cs="Calibri"/>
          <w:b/>
          <w:bCs/>
        </w:rPr>
        <w:t>Ḍ</w:t>
      </w:r>
      <w:r w:rsidRPr="00600C09">
        <w:rPr>
          <w:b/>
          <w:bCs/>
        </w:rPr>
        <w:t>amān</w:t>
      </w:r>
      <w:r w:rsidRPr="00600C09">
        <w:t>: Allowing administrative cost recovery and exploring bundled risk-sharing models.</w:t>
      </w:r>
    </w:p>
    <w:p w14:paraId="0154D8BC" w14:textId="77777777" w:rsidR="00600C09" w:rsidRPr="00600C09" w:rsidRDefault="00600C09" w:rsidP="00600C09">
      <w:pPr>
        <w:numPr>
          <w:ilvl w:val="0"/>
          <w:numId w:val="300"/>
        </w:numPr>
      </w:pPr>
      <w:r w:rsidRPr="00600C09">
        <w:rPr>
          <w:rFonts w:ascii="Calibri" w:hAnsi="Calibri" w:cs="Calibri"/>
          <w:b/>
          <w:bCs/>
        </w:rPr>
        <w:t>Ḥ</w:t>
      </w:r>
      <w:r w:rsidRPr="00600C09">
        <w:rPr>
          <w:b/>
          <w:bCs/>
        </w:rPr>
        <w:t>awālah</w:t>
      </w:r>
      <w:r w:rsidRPr="00600C09">
        <w:t>: Permitting par-value transfer markets and integrating with sukuk.</w:t>
      </w:r>
    </w:p>
    <w:p w14:paraId="2F0B4305" w14:textId="77777777" w:rsidR="00600C09" w:rsidRPr="00600C09" w:rsidRDefault="00600C09" w:rsidP="00600C09">
      <w:r w:rsidRPr="00600C09">
        <w:t xml:space="preserve">Innovative models include hybrid documentation, trust-based collateralization, sukuk-linked security mechanisms, digital rahn, and smart contracts. These reforms increase compatibility, raising the Index score to </w:t>
      </w:r>
      <w:r w:rsidRPr="00600C09">
        <w:rPr>
          <w:b/>
          <w:bCs/>
        </w:rPr>
        <w:t>~4.5/5</w:t>
      </w:r>
      <w:r w:rsidRPr="00600C09">
        <w:t>, suggesting near-parity with conventional instruments.</w:t>
      </w:r>
    </w:p>
    <w:p w14:paraId="5E16DC6D" w14:textId="742AA21C" w:rsidR="00600C09" w:rsidRPr="00600C09" w:rsidRDefault="00600C09" w:rsidP="00600C09"/>
    <w:p w14:paraId="2E131D20" w14:textId="77777777" w:rsidR="00600C09" w:rsidRPr="00600C09" w:rsidRDefault="00600C09" w:rsidP="00600C09">
      <w:pPr>
        <w:rPr>
          <w:b/>
          <w:bCs/>
        </w:rPr>
      </w:pPr>
      <w:r w:rsidRPr="00600C09">
        <w:rPr>
          <w:b/>
          <w:bCs/>
        </w:rPr>
        <w:t>8.2.6 Synthesis of Findings</w:t>
      </w:r>
    </w:p>
    <w:p w14:paraId="2E51166A" w14:textId="77777777" w:rsidR="00600C09" w:rsidRPr="00600C09" w:rsidRDefault="00600C09" w:rsidP="00600C09">
      <w:r w:rsidRPr="00600C09">
        <w:t>The findings collectively demonstrate that Islamic security instruments are:</w:t>
      </w:r>
    </w:p>
    <w:p w14:paraId="77D5A66A" w14:textId="77777777" w:rsidR="00600C09" w:rsidRPr="00600C09" w:rsidRDefault="00600C09" w:rsidP="00600C09">
      <w:pPr>
        <w:numPr>
          <w:ilvl w:val="0"/>
          <w:numId w:val="301"/>
        </w:numPr>
      </w:pPr>
      <w:r w:rsidRPr="00600C09">
        <w:rPr>
          <w:b/>
          <w:bCs/>
        </w:rPr>
        <w:t>Authentic in foundation</w:t>
      </w:r>
      <w:r w:rsidRPr="00600C09">
        <w:t xml:space="preserve"> — rooted in Qur’an, Sunnah, and fiqh al-mu</w:t>
      </w:r>
      <w:r w:rsidRPr="00600C09">
        <w:rPr>
          <w:rFonts w:ascii="Arial" w:hAnsi="Arial" w:cs="Arial"/>
        </w:rPr>
        <w:t>ʿ</w:t>
      </w:r>
      <w:r w:rsidRPr="00600C09">
        <w:rPr>
          <w:rFonts w:ascii="Aptos" w:hAnsi="Aptos" w:cs="Aptos"/>
        </w:rPr>
        <w:t>ā</w:t>
      </w:r>
      <w:r w:rsidRPr="00600C09">
        <w:t>mal</w:t>
      </w:r>
      <w:r w:rsidRPr="00600C09">
        <w:rPr>
          <w:rFonts w:ascii="Aptos" w:hAnsi="Aptos" w:cs="Aptos"/>
        </w:rPr>
        <w:t>ā</w:t>
      </w:r>
      <w:r w:rsidRPr="00600C09">
        <w:t>t.</w:t>
      </w:r>
    </w:p>
    <w:p w14:paraId="5A5E1C67" w14:textId="77777777" w:rsidR="00600C09" w:rsidRPr="00600C09" w:rsidRDefault="00600C09" w:rsidP="00600C09">
      <w:pPr>
        <w:numPr>
          <w:ilvl w:val="0"/>
          <w:numId w:val="301"/>
        </w:numPr>
      </w:pPr>
      <w:r w:rsidRPr="00600C09">
        <w:rPr>
          <w:b/>
          <w:bCs/>
        </w:rPr>
        <w:t>Practical in adaptation</w:t>
      </w:r>
      <w:r w:rsidRPr="00600C09">
        <w:t xml:space="preserve"> — already deployed in complex projects through hybrid models.</w:t>
      </w:r>
    </w:p>
    <w:p w14:paraId="67748AD6" w14:textId="77777777" w:rsidR="00600C09" w:rsidRPr="00600C09" w:rsidRDefault="00600C09" w:rsidP="00600C09">
      <w:pPr>
        <w:numPr>
          <w:ilvl w:val="0"/>
          <w:numId w:val="301"/>
        </w:numPr>
      </w:pPr>
      <w:r w:rsidRPr="00600C09">
        <w:rPr>
          <w:b/>
          <w:bCs/>
        </w:rPr>
        <w:t>Challenged in harmonization</w:t>
      </w:r>
      <w:r w:rsidRPr="00600C09">
        <w:t xml:space="preserve"> — facing cross-border divergence and enforceability issues.</w:t>
      </w:r>
    </w:p>
    <w:p w14:paraId="7CFF1166" w14:textId="77777777" w:rsidR="00600C09" w:rsidRPr="00600C09" w:rsidRDefault="00600C09" w:rsidP="00600C09">
      <w:pPr>
        <w:numPr>
          <w:ilvl w:val="0"/>
          <w:numId w:val="301"/>
        </w:numPr>
      </w:pPr>
      <w:r w:rsidRPr="00600C09">
        <w:rPr>
          <w:b/>
          <w:bCs/>
        </w:rPr>
        <w:t>Promising in reform</w:t>
      </w:r>
      <w:r w:rsidRPr="00600C09">
        <w:t xml:space="preserve"> — with potential for greater competitiveness through technology and maqāṣid-driven innovation.</w:t>
      </w:r>
    </w:p>
    <w:p w14:paraId="604B7834" w14:textId="77777777" w:rsidR="00600C09" w:rsidRPr="00600C09" w:rsidRDefault="00600C09" w:rsidP="00600C09">
      <w:r w:rsidRPr="00600C09">
        <w:t xml:space="preserve">These findings establish the need for a </w:t>
      </w:r>
      <w:r w:rsidRPr="00600C09">
        <w:rPr>
          <w:b/>
          <w:bCs/>
        </w:rPr>
        <w:t>future framework</w:t>
      </w:r>
      <w:r w:rsidRPr="00600C09">
        <w:t xml:space="preserve"> that integrates authenticity, practicality, governance, and innovation.</w:t>
      </w:r>
    </w:p>
    <w:p w14:paraId="0DA84C87" w14:textId="2F3C82D1" w:rsidR="00600C09" w:rsidRPr="00600C09" w:rsidRDefault="00600C09" w:rsidP="00600C09"/>
    <w:p w14:paraId="0C8C90D1" w14:textId="77777777" w:rsidR="00600C09" w:rsidRPr="00600C09" w:rsidRDefault="00600C09" w:rsidP="00600C09">
      <w:pPr>
        <w:rPr>
          <w:b/>
          <w:bCs/>
        </w:rPr>
      </w:pPr>
      <w:r w:rsidRPr="00600C09">
        <w:rPr>
          <w:b/>
          <w:bCs/>
        </w:rPr>
        <w:t>8.3 Contributions to Knowledge</w:t>
      </w:r>
    </w:p>
    <w:p w14:paraId="079C5721" w14:textId="77777777" w:rsidR="00600C09" w:rsidRPr="00600C09" w:rsidRDefault="00600C09" w:rsidP="00600C09">
      <w:r w:rsidRPr="00600C09">
        <w:t xml:space="preserve">This book makes several contributions across </w:t>
      </w:r>
      <w:r w:rsidRPr="00600C09">
        <w:rPr>
          <w:b/>
          <w:bCs/>
        </w:rPr>
        <w:t>academic scholarship</w:t>
      </w:r>
      <w:r w:rsidRPr="00600C09">
        <w:t xml:space="preserve">, </w:t>
      </w:r>
      <w:r w:rsidRPr="00600C09">
        <w:rPr>
          <w:b/>
          <w:bCs/>
        </w:rPr>
        <w:t>practical finance</w:t>
      </w:r>
      <w:r w:rsidRPr="00600C09">
        <w:t xml:space="preserve">, and </w:t>
      </w:r>
      <w:r w:rsidRPr="00600C09">
        <w:rPr>
          <w:b/>
          <w:bCs/>
        </w:rPr>
        <w:t>policy development</w:t>
      </w:r>
      <w:r w:rsidRPr="00600C09">
        <w:t>.</w:t>
      </w:r>
    </w:p>
    <w:p w14:paraId="13C73F1E" w14:textId="77777777" w:rsidR="00600C09" w:rsidRPr="00600C09" w:rsidRDefault="00600C09" w:rsidP="00600C09">
      <w:pPr>
        <w:rPr>
          <w:b/>
          <w:bCs/>
        </w:rPr>
      </w:pPr>
      <w:r w:rsidRPr="00600C09">
        <w:rPr>
          <w:b/>
          <w:bCs/>
        </w:rPr>
        <w:lastRenderedPageBreak/>
        <w:t>8.3.1 Academic Contributions</w:t>
      </w:r>
    </w:p>
    <w:p w14:paraId="5DCD293B" w14:textId="77777777" w:rsidR="00600C09" w:rsidRPr="00600C09" w:rsidRDefault="00600C09" w:rsidP="00600C09">
      <w:pPr>
        <w:numPr>
          <w:ilvl w:val="0"/>
          <w:numId w:val="304"/>
        </w:numPr>
      </w:pPr>
      <w:r w:rsidRPr="00600C09">
        <w:rPr>
          <w:b/>
          <w:bCs/>
        </w:rPr>
        <w:t>Reinterpretation of Classical Instruments</w:t>
      </w:r>
    </w:p>
    <w:p w14:paraId="22B39347" w14:textId="77777777" w:rsidR="00600C09" w:rsidRPr="00600C09" w:rsidRDefault="00600C09" w:rsidP="00600C09">
      <w:pPr>
        <w:numPr>
          <w:ilvl w:val="1"/>
          <w:numId w:val="304"/>
        </w:numPr>
      </w:pPr>
      <w:r w:rsidRPr="00600C09">
        <w:t xml:space="preserve">By analyzing rahn, kafālah, </w:t>
      </w:r>
      <w:r w:rsidRPr="00600C09">
        <w:rPr>
          <w:rFonts w:ascii="Calibri" w:hAnsi="Calibri" w:cs="Calibri"/>
        </w:rPr>
        <w:t>ḍ</w:t>
      </w:r>
      <w:r w:rsidRPr="00600C09">
        <w:t xml:space="preserve">amān, and </w:t>
      </w:r>
      <w:r w:rsidRPr="00600C09">
        <w:rPr>
          <w:rFonts w:ascii="Calibri" w:hAnsi="Calibri" w:cs="Calibri"/>
        </w:rPr>
        <w:t>ḥ</w:t>
      </w:r>
      <w:r w:rsidRPr="00600C09">
        <w:t>awālah within the context of project finance, this work bridges fiqh al-mu</w:t>
      </w:r>
      <w:r w:rsidRPr="00600C09">
        <w:rPr>
          <w:rFonts w:ascii="Arial" w:hAnsi="Arial" w:cs="Arial"/>
        </w:rPr>
        <w:t>ʿ</w:t>
      </w:r>
      <w:r w:rsidRPr="00600C09">
        <w:rPr>
          <w:rFonts w:ascii="Aptos" w:hAnsi="Aptos" w:cs="Aptos"/>
        </w:rPr>
        <w:t>ā</w:t>
      </w:r>
      <w:r w:rsidRPr="00600C09">
        <w:t>mal</w:t>
      </w:r>
      <w:r w:rsidRPr="00600C09">
        <w:rPr>
          <w:rFonts w:ascii="Aptos" w:hAnsi="Aptos" w:cs="Aptos"/>
        </w:rPr>
        <w:t>ā</w:t>
      </w:r>
      <w:r w:rsidRPr="00600C09">
        <w:t>t with modern financial law.</w:t>
      </w:r>
    </w:p>
    <w:p w14:paraId="5E25D246" w14:textId="77777777" w:rsidR="00600C09" w:rsidRPr="00600C09" w:rsidRDefault="00600C09" w:rsidP="00600C09">
      <w:pPr>
        <w:numPr>
          <w:ilvl w:val="1"/>
          <w:numId w:val="304"/>
        </w:numPr>
      </w:pPr>
      <w:r w:rsidRPr="00600C09">
        <w:t xml:space="preserve">It demonstrates how juristic principles of </w:t>
      </w:r>
      <w:r w:rsidRPr="00600C09">
        <w:rPr>
          <w:i/>
          <w:iCs/>
        </w:rPr>
        <w:t>qab</w:t>
      </w:r>
      <w:r w:rsidRPr="00600C09">
        <w:rPr>
          <w:rFonts w:ascii="Calibri" w:hAnsi="Calibri" w:cs="Calibri"/>
          <w:i/>
          <w:iCs/>
        </w:rPr>
        <w:t>ḍ</w:t>
      </w:r>
      <w:r w:rsidRPr="00600C09">
        <w:t xml:space="preserve"> (possession), </w:t>
      </w:r>
      <w:r w:rsidRPr="00600C09">
        <w:rPr>
          <w:i/>
          <w:iCs/>
        </w:rPr>
        <w:t>tabarru</w:t>
      </w:r>
      <w:r w:rsidRPr="00600C09">
        <w:rPr>
          <w:rFonts w:ascii="Arial" w:hAnsi="Arial" w:cs="Arial"/>
          <w:i/>
          <w:iCs/>
        </w:rPr>
        <w:t>ʿ</w:t>
      </w:r>
      <w:r w:rsidRPr="00600C09">
        <w:t xml:space="preserve"> (benevolence), and </w:t>
      </w:r>
      <w:r w:rsidRPr="00600C09">
        <w:rPr>
          <w:rFonts w:ascii="Calibri" w:hAnsi="Calibri" w:cs="Calibri"/>
          <w:i/>
          <w:iCs/>
        </w:rPr>
        <w:t>ḥ</w:t>
      </w:r>
      <w:r w:rsidRPr="00600C09">
        <w:rPr>
          <w:i/>
          <w:iCs/>
        </w:rPr>
        <w:t>awālah al-dayn</w:t>
      </w:r>
      <w:r w:rsidRPr="00600C09">
        <w:t xml:space="preserve"> (debt transfer) can be reinterpreted through constructive possession, administrative recovery, and par-value transfer.</w:t>
      </w:r>
    </w:p>
    <w:p w14:paraId="6C00AC35" w14:textId="77777777" w:rsidR="00600C09" w:rsidRPr="00600C09" w:rsidRDefault="00600C09" w:rsidP="00600C09">
      <w:pPr>
        <w:numPr>
          <w:ilvl w:val="0"/>
          <w:numId w:val="304"/>
        </w:numPr>
      </w:pPr>
      <w:r w:rsidRPr="00600C09">
        <w:rPr>
          <w:b/>
          <w:bCs/>
        </w:rPr>
        <w:t>Compatibility Index</w:t>
      </w:r>
    </w:p>
    <w:p w14:paraId="70DB52DB" w14:textId="77777777" w:rsidR="00600C09" w:rsidRPr="00600C09" w:rsidRDefault="00600C09" w:rsidP="00600C09">
      <w:pPr>
        <w:numPr>
          <w:ilvl w:val="1"/>
          <w:numId w:val="304"/>
        </w:numPr>
      </w:pPr>
      <w:r w:rsidRPr="00600C09">
        <w:t>A novel tool for benchmarking Islamic instruments against conventional equivalents, allowing comparative evaluation of enforceability, flexibility, and market acceptance.</w:t>
      </w:r>
    </w:p>
    <w:p w14:paraId="29068117" w14:textId="77777777" w:rsidR="00600C09" w:rsidRPr="00600C09" w:rsidRDefault="00600C09" w:rsidP="00600C09">
      <w:pPr>
        <w:numPr>
          <w:ilvl w:val="1"/>
          <w:numId w:val="304"/>
        </w:numPr>
      </w:pPr>
      <w:r w:rsidRPr="00600C09">
        <w:t>Initial scoring (3.7/5) highlighted gaps; reformed scoring (~4.5/5) shows the potential of innovation.</w:t>
      </w:r>
    </w:p>
    <w:p w14:paraId="799307A0" w14:textId="77777777" w:rsidR="00600C09" w:rsidRPr="00600C09" w:rsidRDefault="00600C09" w:rsidP="00600C09">
      <w:pPr>
        <w:numPr>
          <w:ilvl w:val="0"/>
          <w:numId w:val="304"/>
        </w:numPr>
      </w:pPr>
      <w:r w:rsidRPr="00600C09">
        <w:rPr>
          <w:b/>
          <w:bCs/>
        </w:rPr>
        <w:t>Integration of Maqāṣid al-Shariah with Security Instruments</w:t>
      </w:r>
    </w:p>
    <w:p w14:paraId="18986EC7" w14:textId="77777777" w:rsidR="00600C09" w:rsidRPr="00600C09" w:rsidRDefault="00600C09" w:rsidP="00600C09">
      <w:pPr>
        <w:numPr>
          <w:ilvl w:val="1"/>
          <w:numId w:val="304"/>
        </w:numPr>
      </w:pPr>
      <w:r w:rsidRPr="00600C09">
        <w:t>This work develops a maqāṣid-based framework, emphasizing justice, risk-sharing, and protection of wealth.</w:t>
      </w:r>
    </w:p>
    <w:p w14:paraId="2ADE8044" w14:textId="77777777" w:rsidR="00600C09" w:rsidRPr="00600C09" w:rsidRDefault="00600C09" w:rsidP="00600C09">
      <w:pPr>
        <w:numPr>
          <w:ilvl w:val="1"/>
          <w:numId w:val="304"/>
        </w:numPr>
      </w:pPr>
      <w:r w:rsidRPr="00600C09">
        <w:t>It goes beyond formal compliance, asking whether instruments achieve Shariah’s higher objectives.</w:t>
      </w:r>
    </w:p>
    <w:p w14:paraId="34EB7E7B" w14:textId="77777777" w:rsidR="00600C09" w:rsidRPr="00600C09" w:rsidRDefault="00600C09" w:rsidP="00600C09">
      <w:pPr>
        <w:numPr>
          <w:ilvl w:val="0"/>
          <w:numId w:val="304"/>
        </w:numPr>
      </w:pPr>
      <w:r w:rsidRPr="00600C09">
        <w:rPr>
          <w:b/>
          <w:bCs/>
        </w:rPr>
        <w:t>Case-Based Jurisprudence</w:t>
      </w:r>
    </w:p>
    <w:p w14:paraId="495FFCFD" w14:textId="77777777" w:rsidR="00600C09" w:rsidRPr="00600C09" w:rsidRDefault="00600C09" w:rsidP="00600C09">
      <w:pPr>
        <w:numPr>
          <w:ilvl w:val="1"/>
          <w:numId w:val="304"/>
        </w:numPr>
      </w:pPr>
      <w:r w:rsidRPr="00600C09">
        <w:t>Through Malaysian case studies (power plants, highways, hospitals), this book provides empirical grounding, showing how theory translates into practice.</w:t>
      </w:r>
    </w:p>
    <w:p w14:paraId="02795A9E" w14:textId="77777777" w:rsidR="00600C09" w:rsidRPr="00600C09" w:rsidRDefault="00600C09" w:rsidP="00600C09">
      <w:pPr>
        <w:numPr>
          <w:ilvl w:val="1"/>
          <w:numId w:val="304"/>
        </w:numPr>
      </w:pPr>
      <w:r w:rsidRPr="00600C09">
        <w:t>This enriches academic discourse, which often remains abstract and detached from industry realities.</w:t>
      </w:r>
    </w:p>
    <w:p w14:paraId="1B9EFA7F" w14:textId="77777777" w:rsidR="00A3584D" w:rsidRPr="00600C09" w:rsidRDefault="00A3584D" w:rsidP="00600C09"/>
    <w:p w14:paraId="0D16E4C7" w14:textId="77777777" w:rsidR="00600C09" w:rsidRPr="00600C09" w:rsidRDefault="00600C09" w:rsidP="00600C09">
      <w:pPr>
        <w:rPr>
          <w:b/>
          <w:bCs/>
        </w:rPr>
      </w:pPr>
      <w:r w:rsidRPr="00600C09">
        <w:rPr>
          <w:b/>
          <w:bCs/>
        </w:rPr>
        <w:t>8.3.2 Practical Contributions</w:t>
      </w:r>
    </w:p>
    <w:p w14:paraId="42534EBF" w14:textId="77777777" w:rsidR="00600C09" w:rsidRPr="00600C09" w:rsidRDefault="00600C09" w:rsidP="00600C09">
      <w:pPr>
        <w:numPr>
          <w:ilvl w:val="0"/>
          <w:numId w:val="305"/>
        </w:numPr>
      </w:pPr>
      <w:r w:rsidRPr="00600C09">
        <w:rPr>
          <w:b/>
          <w:bCs/>
        </w:rPr>
        <w:t>Blueprint for Structuring Security Packages</w:t>
      </w:r>
    </w:p>
    <w:p w14:paraId="1100C345" w14:textId="77777777" w:rsidR="00600C09" w:rsidRPr="00600C09" w:rsidRDefault="00600C09" w:rsidP="00600C09">
      <w:pPr>
        <w:numPr>
          <w:ilvl w:val="1"/>
          <w:numId w:val="305"/>
        </w:numPr>
      </w:pPr>
      <w:r w:rsidRPr="00600C09">
        <w:t>Practitioners can use insights here to structure project finance packages that combine Shariah authenticity with legal enforceability.</w:t>
      </w:r>
    </w:p>
    <w:p w14:paraId="654FDE65" w14:textId="77777777" w:rsidR="00600C09" w:rsidRPr="00600C09" w:rsidRDefault="00600C09" w:rsidP="00600C09">
      <w:pPr>
        <w:numPr>
          <w:ilvl w:val="1"/>
          <w:numId w:val="305"/>
        </w:numPr>
      </w:pPr>
      <w:r w:rsidRPr="00600C09">
        <w:t>The use of rahn over shares, kafālah undertakings, and assignment of concession payments are illustrated in practical detail.</w:t>
      </w:r>
    </w:p>
    <w:p w14:paraId="4413A89A" w14:textId="77777777" w:rsidR="00600C09" w:rsidRPr="00600C09" w:rsidRDefault="00600C09" w:rsidP="00600C09">
      <w:pPr>
        <w:numPr>
          <w:ilvl w:val="0"/>
          <w:numId w:val="305"/>
        </w:numPr>
      </w:pPr>
      <w:r w:rsidRPr="00600C09">
        <w:rPr>
          <w:b/>
          <w:bCs/>
        </w:rPr>
        <w:lastRenderedPageBreak/>
        <w:t>Guidance for Sukuk Investors</w:t>
      </w:r>
    </w:p>
    <w:p w14:paraId="4137E29A" w14:textId="77777777" w:rsidR="00600C09" w:rsidRPr="00600C09" w:rsidRDefault="00600C09" w:rsidP="00600C09">
      <w:pPr>
        <w:numPr>
          <w:ilvl w:val="1"/>
          <w:numId w:val="305"/>
        </w:numPr>
      </w:pPr>
      <w:r w:rsidRPr="00600C09">
        <w:t>Investors gain clarity on how security instruments protect sukuk investments, particularly in infrastructure and PPP projects.</w:t>
      </w:r>
    </w:p>
    <w:p w14:paraId="17FD12CD" w14:textId="77777777" w:rsidR="00600C09" w:rsidRDefault="00600C09" w:rsidP="00600C09">
      <w:pPr>
        <w:numPr>
          <w:ilvl w:val="1"/>
          <w:numId w:val="305"/>
        </w:numPr>
      </w:pPr>
      <w:r w:rsidRPr="00600C09">
        <w:t>The analysis identifies both strengths (asset-based security) and limitations (cross-border enforceability).</w:t>
      </w:r>
    </w:p>
    <w:p w14:paraId="19C5CEBB" w14:textId="77777777" w:rsidR="00A3584D" w:rsidRDefault="00A3584D" w:rsidP="00A3584D"/>
    <w:p w14:paraId="00238E62" w14:textId="77777777" w:rsidR="00A3584D" w:rsidRDefault="00A3584D" w:rsidP="00A3584D"/>
    <w:p w14:paraId="52FF3FBB" w14:textId="77777777" w:rsidR="00A3584D" w:rsidRPr="00600C09" w:rsidRDefault="00A3584D" w:rsidP="00A3584D"/>
    <w:p w14:paraId="62C708AE" w14:textId="77777777" w:rsidR="00600C09" w:rsidRPr="00600C09" w:rsidRDefault="00600C09" w:rsidP="00600C09">
      <w:pPr>
        <w:numPr>
          <w:ilvl w:val="0"/>
          <w:numId w:val="305"/>
        </w:numPr>
      </w:pPr>
      <w:r w:rsidRPr="00600C09">
        <w:rPr>
          <w:b/>
          <w:bCs/>
        </w:rPr>
        <w:t>Risk Mitigation Tools</w:t>
      </w:r>
    </w:p>
    <w:p w14:paraId="08A4DC9F" w14:textId="77777777" w:rsidR="00600C09" w:rsidRPr="00600C09" w:rsidRDefault="00600C09" w:rsidP="00600C09">
      <w:pPr>
        <w:numPr>
          <w:ilvl w:val="1"/>
          <w:numId w:val="305"/>
        </w:numPr>
      </w:pPr>
      <w:r w:rsidRPr="00600C09">
        <w:t>By exploring constructive possession, hybrid structures, and digital registers, the study provides pathways for mitigating risk while maintaining compliance.</w:t>
      </w:r>
    </w:p>
    <w:p w14:paraId="37B07855" w14:textId="315665E3" w:rsidR="00600C09" w:rsidRPr="00600C09" w:rsidRDefault="00600C09" w:rsidP="00600C09"/>
    <w:p w14:paraId="0805340B" w14:textId="77777777" w:rsidR="00600C09" w:rsidRPr="00600C09" w:rsidRDefault="00600C09" w:rsidP="00600C09">
      <w:pPr>
        <w:rPr>
          <w:b/>
          <w:bCs/>
        </w:rPr>
      </w:pPr>
      <w:r w:rsidRPr="00600C09">
        <w:rPr>
          <w:b/>
          <w:bCs/>
        </w:rPr>
        <w:t>8.3.3 Policy Contributions</w:t>
      </w:r>
    </w:p>
    <w:p w14:paraId="4AAA3155" w14:textId="77777777" w:rsidR="00600C09" w:rsidRPr="00600C09" w:rsidRDefault="00600C09" w:rsidP="00600C09">
      <w:pPr>
        <w:numPr>
          <w:ilvl w:val="0"/>
          <w:numId w:val="306"/>
        </w:numPr>
      </w:pPr>
      <w:r w:rsidRPr="00600C09">
        <w:rPr>
          <w:b/>
          <w:bCs/>
        </w:rPr>
        <w:t>Support for Regulatory Development</w:t>
      </w:r>
    </w:p>
    <w:p w14:paraId="7E337194" w14:textId="77777777" w:rsidR="00600C09" w:rsidRPr="00600C09" w:rsidRDefault="00600C09" w:rsidP="00600C09">
      <w:pPr>
        <w:numPr>
          <w:ilvl w:val="1"/>
          <w:numId w:val="306"/>
        </w:numPr>
      </w:pPr>
      <w:r w:rsidRPr="00600C09">
        <w:t>Reinforces the importance of SAC rulings and BNM’s SGPD in providing certainty.</w:t>
      </w:r>
    </w:p>
    <w:p w14:paraId="16992398" w14:textId="77777777" w:rsidR="00600C09" w:rsidRPr="00600C09" w:rsidRDefault="00600C09" w:rsidP="00600C09">
      <w:pPr>
        <w:numPr>
          <w:ilvl w:val="1"/>
          <w:numId w:val="306"/>
        </w:numPr>
      </w:pPr>
      <w:r w:rsidRPr="00600C09">
        <w:t>Suggests reforms that policymakers can adopt, such as codifying administrative cost recovery in kafālah.</w:t>
      </w:r>
    </w:p>
    <w:p w14:paraId="0BF73632" w14:textId="77777777" w:rsidR="00600C09" w:rsidRPr="00600C09" w:rsidRDefault="00600C09" w:rsidP="00600C09">
      <w:pPr>
        <w:numPr>
          <w:ilvl w:val="0"/>
          <w:numId w:val="306"/>
        </w:numPr>
      </w:pPr>
      <w:r w:rsidRPr="00600C09">
        <w:rPr>
          <w:b/>
          <w:bCs/>
        </w:rPr>
        <w:t>Harmonization Roadmap</w:t>
      </w:r>
    </w:p>
    <w:p w14:paraId="25E6C394" w14:textId="77777777" w:rsidR="00600C09" w:rsidRPr="00600C09" w:rsidRDefault="00600C09" w:rsidP="00600C09">
      <w:pPr>
        <w:numPr>
          <w:ilvl w:val="1"/>
          <w:numId w:val="306"/>
        </w:numPr>
      </w:pPr>
      <w:r w:rsidRPr="00600C09">
        <w:t>Highlights pathways for cross-border harmonization through AAOIFI, IFSB, and bilateral recognition agreements.</w:t>
      </w:r>
    </w:p>
    <w:p w14:paraId="20E9CD13" w14:textId="77777777" w:rsidR="00600C09" w:rsidRPr="00600C09" w:rsidRDefault="00600C09" w:rsidP="00600C09">
      <w:pPr>
        <w:numPr>
          <w:ilvl w:val="1"/>
          <w:numId w:val="306"/>
        </w:numPr>
      </w:pPr>
      <w:r w:rsidRPr="00600C09">
        <w:t>Proposes a Global Islamic Security Instruments Framework, modeled after Basel accords.</w:t>
      </w:r>
    </w:p>
    <w:p w14:paraId="446D103E" w14:textId="77777777" w:rsidR="00600C09" w:rsidRPr="00600C09" w:rsidRDefault="00600C09" w:rsidP="00600C09">
      <w:pPr>
        <w:numPr>
          <w:ilvl w:val="0"/>
          <w:numId w:val="306"/>
        </w:numPr>
      </w:pPr>
      <w:r w:rsidRPr="00600C09">
        <w:rPr>
          <w:b/>
          <w:bCs/>
        </w:rPr>
        <w:t>Contribution to ESG/SDG Agendas</w:t>
      </w:r>
    </w:p>
    <w:p w14:paraId="2714F929" w14:textId="77777777" w:rsidR="00600C09" w:rsidRPr="00600C09" w:rsidRDefault="00600C09" w:rsidP="00600C09">
      <w:pPr>
        <w:numPr>
          <w:ilvl w:val="1"/>
          <w:numId w:val="306"/>
        </w:numPr>
      </w:pPr>
      <w:r w:rsidRPr="00600C09">
        <w:t>Positions Islamic security instruments as enablers of ethical, sustainable financing, aligning with global development goals.</w:t>
      </w:r>
    </w:p>
    <w:p w14:paraId="6AA75D2E" w14:textId="739CEFF1" w:rsidR="00600C09" w:rsidRPr="00600C09" w:rsidRDefault="00600C09" w:rsidP="00600C09"/>
    <w:p w14:paraId="31AE8BE6" w14:textId="77777777" w:rsidR="00600C09" w:rsidRPr="00600C09" w:rsidRDefault="00600C09" w:rsidP="00600C09">
      <w:pPr>
        <w:rPr>
          <w:b/>
          <w:bCs/>
        </w:rPr>
      </w:pPr>
      <w:r w:rsidRPr="00600C09">
        <w:rPr>
          <w:b/>
          <w:bCs/>
        </w:rPr>
        <w:t>8.4 Implications for Practice</w:t>
      </w:r>
    </w:p>
    <w:p w14:paraId="1039B666" w14:textId="77777777" w:rsidR="00600C09" w:rsidRPr="00600C09" w:rsidRDefault="00600C09" w:rsidP="00600C09">
      <w:r w:rsidRPr="00600C09">
        <w:t>The study’s findings carry implications for multiple stakeholders.</w:t>
      </w:r>
    </w:p>
    <w:p w14:paraId="1117113E" w14:textId="355EE452" w:rsidR="00600C09" w:rsidRPr="00600C09" w:rsidRDefault="00600C09" w:rsidP="00600C09"/>
    <w:p w14:paraId="3CFD351D" w14:textId="77777777" w:rsidR="00600C09" w:rsidRPr="00600C09" w:rsidRDefault="00600C09" w:rsidP="00600C09">
      <w:pPr>
        <w:rPr>
          <w:b/>
          <w:bCs/>
        </w:rPr>
      </w:pPr>
      <w:r w:rsidRPr="00600C09">
        <w:rPr>
          <w:b/>
          <w:bCs/>
        </w:rPr>
        <w:lastRenderedPageBreak/>
        <w:t>8.4.1 For Bankers and Financiers</w:t>
      </w:r>
    </w:p>
    <w:p w14:paraId="58EB7F36" w14:textId="77777777" w:rsidR="00600C09" w:rsidRPr="00600C09" w:rsidRDefault="00600C09" w:rsidP="00600C09">
      <w:pPr>
        <w:numPr>
          <w:ilvl w:val="0"/>
          <w:numId w:val="307"/>
        </w:numPr>
      </w:pPr>
      <w:r w:rsidRPr="00600C09">
        <w:rPr>
          <w:b/>
          <w:bCs/>
        </w:rPr>
        <w:t>Enhanced Structuring Capacity</w:t>
      </w:r>
    </w:p>
    <w:p w14:paraId="5D7C271D" w14:textId="77777777" w:rsidR="00600C09" w:rsidRPr="00600C09" w:rsidRDefault="00600C09" w:rsidP="00600C09">
      <w:pPr>
        <w:numPr>
          <w:ilvl w:val="1"/>
          <w:numId w:val="307"/>
        </w:numPr>
      </w:pPr>
      <w:r w:rsidRPr="00600C09">
        <w:t>Islamic bankers can structure project finance deals with greater confidence by combining classical instruments with modern adaptations.</w:t>
      </w:r>
    </w:p>
    <w:p w14:paraId="7EF55DF8" w14:textId="77777777" w:rsidR="00600C09" w:rsidRPr="00600C09" w:rsidRDefault="00600C09" w:rsidP="00600C09">
      <w:pPr>
        <w:numPr>
          <w:ilvl w:val="1"/>
          <w:numId w:val="307"/>
        </w:numPr>
      </w:pPr>
      <w:r w:rsidRPr="00600C09">
        <w:t>Example: Pledging shares under rahn, combined with sukuk-linked guarantees.</w:t>
      </w:r>
    </w:p>
    <w:p w14:paraId="2622FC84" w14:textId="77777777" w:rsidR="00600C09" w:rsidRPr="00600C09" w:rsidRDefault="00600C09" w:rsidP="00600C09">
      <w:pPr>
        <w:numPr>
          <w:ilvl w:val="0"/>
          <w:numId w:val="307"/>
        </w:numPr>
      </w:pPr>
      <w:r w:rsidRPr="00600C09">
        <w:rPr>
          <w:b/>
          <w:bCs/>
        </w:rPr>
        <w:t>Competitive Positioning</w:t>
      </w:r>
    </w:p>
    <w:p w14:paraId="273E0C87" w14:textId="77777777" w:rsidR="00600C09" w:rsidRPr="00600C09" w:rsidRDefault="00600C09" w:rsidP="00600C09">
      <w:pPr>
        <w:numPr>
          <w:ilvl w:val="1"/>
          <w:numId w:val="307"/>
        </w:numPr>
      </w:pPr>
      <w:r w:rsidRPr="00600C09">
        <w:t>Reforms such as constructive possession and cost-recovery guarantees enable Islamic banks to compete with conventional lenders.</w:t>
      </w:r>
    </w:p>
    <w:p w14:paraId="12734FD7" w14:textId="77777777" w:rsidR="00600C09" w:rsidRPr="00600C09" w:rsidRDefault="00600C09" w:rsidP="00600C09">
      <w:pPr>
        <w:numPr>
          <w:ilvl w:val="1"/>
          <w:numId w:val="307"/>
        </w:numPr>
      </w:pPr>
      <w:r w:rsidRPr="00600C09">
        <w:t>This strengthens their role in large-scale syndications and PPPs.</w:t>
      </w:r>
    </w:p>
    <w:p w14:paraId="6CCAB8CE" w14:textId="77777777" w:rsidR="00600C09" w:rsidRPr="00600C09" w:rsidRDefault="00600C09" w:rsidP="00600C09">
      <w:pPr>
        <w:numPr>
          <w:ilvl w:val="0"/>
          <w:numId w:val="307"/>
        </w:numPr>
      </w:pPr>
      <w:r w:rsidRPr="00600C09">
        <w:rPr>
          <w:b/>
          <w:bCs/>
        </w:rPr>
        <w:t>Innovation Responsibility</w:t>
      </w:r>
    </w:p>
    <w:p w14:paraId="38209E8A" w14:textId="77777777" w:rsidR="00600C09" w:rsidRPr="00600C09" w:rsidRDefault="00600C09" w:rsidP="00600C09">
      <w:pPr>
        <w:numPr>
          <w:ilvl w:val="1"/>
          <w:numId w:val="307"/>
        </w:numPr>
      </w:pPr>
      <w:r w:rsidRPr="00600C09">
        <w:t>Bankers must move beyond mere replication of conventional structures, embracing maqāṣid-driven innovation to build distinct, ethical products.</w:t>
      </w:r>
    </w:p>
    <w:p w14:paraId="566ED698" w14:textId="4191E8E3" w:rsidR="00600C09" w:rsidRPr="00600C09" w:rsidRDefault="00600C09" w:rsidP="00600C09"/>
    <w:p w14:paraId="752B637A" w14:textId="77777777" w:rsidR="00600C09" w:rsidRPr="00600C09" w:rsidRDefault="00600C09" w:rsidP="00600C09">
      <w:pPr>
        <w:rPr>
          <w:b/>
          <w:bCs/>
        </w:rPr>
      </w:pPr>
      <w:r w:rsidRPr="00600C09">
        <w:rPr>
          <w:b/>
          <w:bCs/>
        </w:rPr>
        <w:t>8.4.2 For Regulators and Shariah Committees</w:t>
      </w:r>
    </w:p>
    <w:p w14:paraId="1C942C7E" w14:textId="77777777" w:rsidR="00600C09" w:rsidRPr="00600C09" w:rsidRDefault="00600C09" w:rsidP="00600C09">
      <w:pPr>
        <w:numPr>
          <w:ilvl w:val="0"/>
          <w:numId w:val="308"/>
        </w:numPr>
      </w:pPr>
      <w:r w:rsidRPr="00600C09">
        <w:rPr>
          <w:b/>
          <w:bCs/>
        </w:rPr>
        <w:t>Governance Integration</w:t>
      </w:r>
    </w:p>
    <w:p w14:paraId="7B7BAA46" w14:textId="77777777" w:rsidR="00600C09" w:rsidRPr="00600C09" w:rsidRDefault="00600C09" w:rsidP="00600C09">
      <w:pPr>
        <w:numPr>
          <w:ilvl w:val="1"/>
          <w:numId w:val="308"/>
        </w:numPr>
      </w:pPr>
      <w:r w:rsidRPr="00600C09">
        <w:t>Regulators must ensure Shariah compliance is embedded in enterprise governance, not confined to niche departments.</w:t>
      </w:r>
    </w:p>
    <w:p w14:paraId="52402ABA" w14:textId="77777777" w:rsidR="00600C09" w:rsidRPr="00600C09" w:rsidRDefault="00600C09" w:rsidP="00600C09">
      <w:pPr>
        <w:numPr>
          <w:ilvl w:val="1"/>
          <w:numId w:val="308"/>
        </w:numPr>
      </w:pPr>
      <w:r w:rsidRPr="00600C09">
        <w:t>SCs must be involved at the conceptual stage of product development.</w:t>
      </w:r>
    </w:p>
    <w:p w14:paraId="02B3FF9C" w14:textId="77777777" w:rsidR="00600C09" w:rsidRPr="00600C09" w:rsidRDefault="00600C09" w:rsidP="00600C09">
      <w:pPr>
        <w:numPr>
          <w:ilvl w:val="0"/>
          <w:numId w:val="308"/>
        </w:numPr>
      </w:pPr>
      <w:r w:rsidRPr="00600C09">
        <w:rPr>
          <w:b/>
          <w:bCs/>
        </w:rPr>
        <w:t>Consistency of Rulings</w:t>
      </w:r>
    </w:p>
    <w:p w14:paraId="4E61B593" w14:textId="77777777" w:rsidR="00600C09" w:rsidRPr="00600C09" w:rsidRDefault="00600C09" w:rsidP="00600C09">
      <w:pPr>
        <w:numPr>
          <w:ilvl w:val="1"/>
          <w:numId w:val="308"/>
        </w:numPr>
      </w:pPr>
      <w:r w:rsidRPr="00600C09">
        <w:t>SAC rulings must be disseminated and enforced consistently to avoid divergence.</w:t>
      </w:r>
    </w:p>
    <w:p w14:paraId="157FA133" w14:textId="77777777" w:rsidR="00600C09" w:rsidRPr="00600C09" w:rsidRDefault="00600C09" w:rsidP="00600C09">
      <w:pPr>
        <w:numPr>
          <w:ilvl w:val="1"/>
          <w:numId w:val="308"/>
        </w:numPr>
      </w:pPr>
      <w:r w:rsidRPr="00600C09">
        <w:t>Cross-border dialogue with Gulf regulators should be prioritized.</w:t>
      </w:r>
    </w:p>
    <w:p w14:paraId="5C57CF02" w14:textId="77777777" w:rsidR="00600C09" w:rsidRPr="00600C09" w:rsidRDefault="00600C09" w:rsidP="00600C09">
      <w:pPr>
        <w:numPr>
          <w:ilvl w:val="0"/>
          <w:numId w:val="308"/>
        </w:numPr>
      </w:pPr>
      <w:r w:rsidRPr="00600C09">
        <w:rPr>
          <w:b/>
          <w:bCs/>
        </w:rPr>
        <w:t>Regulatory Innovation</w:t>
      </w:r>
    </w:p>
    <w:p w14:paraId="2FAD6362" w14:textId="77777777" w:rsidR="00600C09" w:rsidRPr="00600C09" w:rsidRDefault="00600C09" w:rsidP="00600C09">
      <w:pPr>
        <w:numPr>
          <w:ilvl w:val="1"/>
          <w:numId w:val="308"/>
        </w:numPr>
      </w:pPr>
      <w:r w:rsidRPr="00600C09">
        <w:t xml:space="preserve">Laws such as Malaysia’s </w:t>
      </w:r>
      <w:r w:rsidRPr="00600C09">
        <w:rPr>
          <w:i/>
          <w:iCs/>
        </w:rPr>
        <w:t>Movable Property Security Interests Act</w:t>
      </w:r>
      <w:r w:rsidRPr="00600C09">
        <w:t xml:space="preserve"> (2015) demonstrate how statutory frameworks can integrate Shariah principles.</w:t>
      </w:r>
    </w:p>
    <w:p w14:paraId="29CA7068" w14:textId="77777777" w:rsidR="00600C09" w:rsidRPr="00600C09" w:rsidRDefault="00600C09" w:rsidP="00600C09">
      <w:pPr>
        <w:numPr>
          <w:ilvl w:val="1"/>
          <w:numId w:val="308"/>
        </w:numPr>
      </w:pPr>
      <w:r w:rsidRPr="00600C09">
        <w:t>Similar reforms are needed in other jurisdictions to strengthen enforceability.</w:t>
      </w:r>
    </w:p>
    <w:p w14:paraId="56471C66" w14:textId="20C7CBC4" w:rsidR="00600C09" w:rsidRPr="00600C09" w:rsidRDefault="00600C09" w:rsidP="00600C09"/>
    <w:p w14:paraId="01194E00" w14:textId="77777777" w:rsidR="00600C09" w:rsidRPr="00600C09" w:rsidRDefault="00600C09" w:rsidP="00600C09">
      <w:pPr>
        <w:rPr>
          <w:b/>
          <w:bCs/>
        </w:rPr>
      </w:pPr>
      <w:r w:rsidRPr="00600C09">
        <w:rPr>
          <w:b/>
          <w:bCs/>
        </w:rPr>
        <w:t>8.4.3 For Investors and Sukuk Holders</w:t>
      </w:r>
    </w:p>
    <w:p w14:paraId="42D1FA6A" w14:textId="77777777" w:rsidR="00600C09" w:rsidRPr="00600C09" w:rsidRDefault="00600C09" w:rsidP="00600C09">
      <w:pPr>
        <w:numPr>
          <w:ilvl w:val="0"/>
          <w:numId w:val="309"/>
        </w:numPr>
      </w:pPr>
      <w:r w:rsidRPr="00600C09">
        <w:rPr>
          <w:b/>
          <w:bCs/>
        </w:rPr>
        <w:lastRenderedPageBreak/>
        <w:t>Transparency in Security Packages</w:t>
      </w:r>
    </w:p>
    <w:p w14:paraId="0C8098FE" w14:textId="77777777" w:rsidR="00600C09" w:rsidRPr="00600C09" w:rsidRDefault="00600C09" w:rsidP="00600C09">
      <w:pPr>
        <w:numPr>
          <w:ilvl w:val="1"/>
          <w:numId w:val="309"/>
        </w:numPr>
      </w:pPr>
      <w:r w:rsidRPr="00600C09">
        <w:t>Investors must demand disclosure of security structures in sukuk documentation.</w:t>
      </w:r>
    </w:p>
    <w:p w14:paraId="3C79F71B" w14:textId="77777777" w:rsidR="00600C09" w:rsidRPr="00600C09" w:rsidRDefault="00600C09" w:rsidP="00600C09">
      <w:pPr>
        <w:numPr>
          <w:ilvl w:val="1"/>
          <w:numId w:val="309"/>
        </w:numPr>
      </w:pPr>
      <w:r w:rsidRPr="00600C09">
        <w:t>Clear explanation of whether sukuk are asset-based or asset-backed is essential.</w:t>
      </w:r>
    </w:p>
    <w:p w14:paraId="2E098E71" w14:textId="77777777" w:rsidR="00600C09" w:rsidRPr="00600C09" w:rsidRDefault="00600C09" w:rsidP="00600C09">
      <w:pPr>
        <w:numPr>
          <w:ilvl w:val="0"/>
          <w:numId w:val="309"/>
        </w:numPr>
      </w:pPr>
      <w:r w:rsidRPr="00600C09">
        <w:rPr>
          <w:b/>
          <w:bCs/>
        </w:rPr>
        <w:t>Confidence through Governance</w:t>
      </w:r>
    </w:p>
    <w:p w14:paraId="3FAA5167" w14:textId="77777777" w:rsidR="00600C09" w:rsidRPr="00600C09" w:rsidRDefault="00600C09" w:rsidP="00600C09">
      <w:pPr>
        <w:numPr>
          <w:ilvl w:val="1"/>
          <w:numId w:val="309"/>
        </w:numPr>
      </w:pPr>
      <w:r w:rsidRPr="00600C09">
        <w:t>Binding SAC rulings and statutory recognition reassure investors that Shariah compliance is substantive.</w:t>
      </w:r>
    </w:p>
    <w:p w14:paraId="0401B9C8" w14:textId="77777777" w:rsidR="00600C09" w:rsidRPr="00600C09" w:rsidRDefault="00600C09" w:rsidP="00600C09">
      <w:pPr>
        <w:numPr>
          <w:ilvl w:val="1"/>
          <w:numId w:val="309"/>
        </w:numPr>
      </w:pPr>
      <w:r w:rsidRPr="00600C09">
        <w:t>This increases the attractiveness of sukuk to both Muslim and non-Muslim investors.</w:t>
      </w:r>
    </w:p>
    <w:p w14:paraId="5140ED92" w14:textId="77777777" w:rsidR="00600C09" w:rsidRPr="00600C09" w:rsidRDefault="00600C09" w:rsidP="00600C09">
      <w:pPr>
        <w:numPr>
          <w:ilvl w:val="0"/>
          <w:numId w:val="309"/>
        </w:numPr>
      </w:pPr>
      <w:r w:rsidRPr="00600C09">
        <w:rPr>
          <w:b/>
          <w:bCs/>
        </w:rPr>
        <w:t>Opportunities in ESG-Aligned Finance</w:t>
      </w:r>
    </w:p>
    <w:p w14:paraId="66D632EC" w14:textId="5AB19964" w:rsidR="00600C09" w:rsidRPr="00600C09" w:rsidRDefault="00600C09" w:rsidP="00600C09">
      <w:pPr>
        <w:numPr>
          <w:ilvl w:val="1"/>
          <w:numId w:val="309"/>
        </w:numPr>
      </w:pPr>
      <w:r w:rsidRPr="00600C09">
        <w:t>Security instruments can support green sukuk and social impact projects, enhancing investor appeal in ESG-focused markets.</w:t>
      </w:r>
    </w:p>
    <w:p w14:paraId="3F745362" w14:textId="7DB2A417" w:rsidR="00600C09" w:rsidRPr="00600C09" w:rsidRDefault="00600C09" w:rsidP="00600C09"/>
    <w:p w14:paraId="6CAFB8FB" w14:textId="77777777" w:rsidR="00600C09" w:rsidRPr="00600C09" w:rsidRDefault="00600C09" w:rsidP="00600C09">
      <w:pPr>
        <w:rPr>
          <w:b/>
          <w:bCs/>
        </w:rPr>
      </w:pPr>
      <w:r w:rsidRPr="00600C09">
        <w:rPr>
          <w:b/>
          <w:bCs/>
        </w:rPr>
        <w:t>8.5 Towards a Future Framework for Islamic Project Finance</w:t>
      </w:r>
    </w:p>
    <w:p w14:paraId="2C5861FB" w14:textId="77777777" w:rsidR="00600C09" w:rsidRPr="00600C09" w:rsidRDefault="00600C09" w:rsidP="00600C09">
      <w:r w:rsidRPr="00600C09">
        <w:t xml:space="preserve">The findings of this book point towards the need for a </w:t>
      </w:r>
      <w:r w:rsidRPr="00600C09">
        <w:rPr>
          <w:b/>
          <w:bCs/>
        </w:rPr>
        <w:t>holistic framework</w:t>
      </w:r>
      <w:r w:rsidRPr="00600C09">
        <w:t xml:space="preserve"> that integrates Shariah authenticity, commercial competitiveness, governance integrity, and technological innovation. Such a framework should be </w:t>
      </w:r>
      <w:r w:rsidRPr="00600C09">
        <w:rPr>
          <w:b/>
          <w:bCs/>
        </w:rPr>
        <w:t>maqāṣid-driven</w:t>
      </w:r>
      <w:r w:rsidRPr="00600C09">
        <w:t xml:space="preserve">, </w:t>
      </w:r>
      <w:r w:rsidRPr="00600C09">
        <w:rPr>
          <w:b/>
          <w:bCs/>
        </w:rPr>
        <w:t>globally harmonized</w:t>
      </w:r>
      <w:r w:rsidRPr="00600C09">
        <w:t xml:space="preserve">, and </w:t>
      </w:r>
      <w:r w:rsidRPr="00600C09">
        <w:rPr>
          <w:b/>
          <w:bCs/>
        </w:rPr>
        <w:t>future-ready</w:t>
      </w:r>
      <w:r w:rsidRPr="00600C09">
        <w:t>.</w:t>
      </w:r>
    </w:p>
    <w:p w14:paraId="55B3AA22" w14:textId="77777777" w:rsidR="00600C09" w:rsidRPr="00600C09" w:rsidRDefault="00600C09" w:rsidP="00600C09">
      <w:pPr>
        <w:rPr>
          <w:b/>
          <w:bCs/>
        </w:rPr>
      </w:pPr>
      <w:r w:rsidRPr="00600C09">
        <w:rPr>
          <w:b/>
          <w:bCs/>
        </w:rPr>
        <w:t>8.5.1 Principles of a Maqāṣid-Driven Framework</w:t>
      </w:r>
    </w:p>
    <w:p w14:paraId="6892ACEC" w14:textId="77777777" w:rsidR="00600C09" w:rsidRPr="00600C09" w:rsidRDefault="00600C09" w:rsidP="00600C09">
      <w:r w:rsidRPr="00600C09">
        <w:t>The future of Islamic project finance must rest on the higher objectives of Shariah:</w:t>
      </w:r>
    </w:p>
    <w:p w14:paraId="5E00BA04" w14:textId="77777777" w:rsidR="00600C09" w:rsidRPr="00600C09" w:rsidRDefault="00600C09" w:rsidP="00600C09">
      <w:pPr>
        <w:numPr>
          <w:ilvl w:val="0"/>
          <w:numId w:val="312"/>
        </w:numPr>
      </w:pPr>
      <w:r w:rsidRPr="00600C09">
        <w:rPr>
          <w:b/>
          <w:bCs/>
        </w:rPr>
        <w:t>Justice (</w:t>
      </w:r>
      <w:r w:rsidRPr="00600C09">
        <w:rPr>
          <w:rFonts w:ascii="Arial" w:hAnsi="Arial" w:cs="Arial"/>
          <w:b/>
          <w:bCs/>
        </w:rPr>
        <w:t>ʿ</w:t>
      </w:r>
      <w:r w:rsidRPr="00600C09">
        <w:rPr>
          <w:b/>
          <w:bCs/>
        </w:rPr>
        <w:t>Adl)</w:t>
      </w:r>
    </w:p>
    <w:p w14:paraId="5CED14F3" w14:textId="77777777" w:rsidR="00600C09" w:rsidRPr="00600C09" w:rsidRDefault="00600C09" w:rsidP="00600C09">
      <w:pPr>
        <w:numPr>
          <w:ilvl w:val="1"/>
          <w:numId w:val="312"/>
        </w:numPr>
      </w:pPr>
      <w:r w:rsidRPr="00600C09">
        <w:t>Ensure security instruments protect both debtor and creditor.</w:t>
      </w:r>
    </w:p>
    <w:p w14:paraId="0E49A4E4" w14:textId="77777777" w:rsidR="00600C09" w:rsidRPr="00600C09" w:rsidRDefault="00600C09" w:rsidP="00600C09">
      <w:pPr>
        <w:numPr>
          <w:ilvl w:val="1"/>
          <w:numId w:val="312"/>
        </w:numPr>
      </w:pPr>
      <w:r w:rsidRPr="00600C09">
        <w:t>Prevent exploitative practices (e.g., over-collateralization).</w:t>
      </w:r>
    </w:p>
    <w:p w14:paraId="3A4786E9" w14:textId="77777777" w:rsidR="00600C09" w:rsidRPr="00600C09" w:rsidRDefault="00600C09" w:rsidP="00600C09">
      <w:pPr>
        <w:numPr>
          <w:ilvl w:val="0"/>
          <w:numId w:val="312"/>
        </w:numPr>
      </w:pPr>
      <w:r w:rsidRPr="00600C09">
        <w:rPr>
          <w:b/>
          <w:bCs/>
        </w:rPr>
        <w:t>Protection of Wealth (</w:t>
      </w:r>
      <w:r w:rsidRPr="00600C09">
        <w:rPr>
          <w:rFonts w:ascii="Calibri" w:hAnsi="Calibri" w:cs="Calibri"/>
          <w:b/>
          <w:bCs/>
        </w:rPr>
        <w:t>Ḥ</w:t>
      </w:r>
      <w:r w:rsidRPr="00600C09">
        <w:rPr>
          <w:b/>
          <w:bCs/>
        </w:rPr>
        <w:t>if</w:t>
      </w:r>
      <w:r w:rsidRPr="00600C09">
        <w:rPr>
          <w:rFonts w:ascii="Calibri" w:hAnsi="Calibri" w:cs="Calibri"/>
          <w:b/>
          <w:bCs/>
        </w:rPr>
        <w:t>ẓ</w:t>
      </w:r>
      <w:r w:rsidRPr="00600C09">
        <w:rPr>
          <w:b/>
          <w:bCs/>
        </w:rPr>
        <w:t xml:space="preserve"> al-Māl)</w:t>
      </w:r>
    </w:p>
    <w:p w14:paraId="650F6871" w14:textId="77777777" w:rsidR="00600C09" w:rsidRPr="00600C09" w:rsidRDefault="00600C09" w:rsidP="00600C09">
      <w:pPr>
        <w:numPr>
          <w:ilvl w:val="1"/>
          <w:numId w:val="312"/>
        </w:numPr>
      </w:pPr>
      <w:r w:rsidRPr="00600C09">
        <w:t>Safeguard investor funds while enabling productive projects.</w:t>
      </w:r>
    </w:p>
    <w:p w14:paraId="1B26A20D" w14:textId="77777777" w:rsidR="00600C09" w:rsidRPr="00600C09" w:rsidRDefault="00600C09" w:rsidP="00600C09">
      <w:pPr>
        <w:numPr>
          <w:ilvl w:val="1"/>
          <w:numId w:val="312"/>
        </w:numPr>
      </w:pPr>
      <w:r w:rsidRPr="00600C09">
        <w:t>Balance risk-sharing and risk-mitigation.</w:t>
      </w:r>
    </w:p>
    <w:p w14:paraId="34238EE3" w14:textId="77777777" w:rsidR="00600C09" w:rsidRPr="00600C09" w:rsidRDefault="00600C09" w:rsidP="00600C09">
      <w:pPr>
        <w:numPr>
          <w:ilvl w:val="0"/>
          <w:numId w:val="312"/>
        </w:numPr>
      </w:pPr>
      <w:r w:rsidRPr="00600C09">
        <w:rPr>
          <w:b/>
          <w:bCs/>
        </w:rPr>
        <w:t>Promotion of Social Welfare (Maṣla</w:t>
      </w:r>
      <w:r w:rsidRPr="00600C09">
        <w:rPr>
          <w:rFonts w:ascii="Calibri" w:hAnsi="Calibri" w:cs="Calibri"/>
          <w:b/>
          <w:bCs/>
        </w:rPr>
        <w:t>ḥ</w:t>
      </w:r>
      <w:r w:rsidRPr="00600C09">
        <w:rPr>
          <w:b/>
          <w:bCs/>
        </w:rPr>
        <w:t>ah)</w:t>
      </w:r>
    </w:p>
    <w:p w14:paraId="532D5CDA" w14:textId="77777777" w:rsidR="00600C09" w:rsidRPr="00600C09" w:rsidRDefault="00600C09" w:rsidP="00600C09">
      <w:pPr>
        <w:numPr>
          <w:ilvl w:val="1"/>
          <w:numId w:val="312"/>
        </w:numPr>
      </w:pPr>
      <w:r w:rsidRPr="00600C09">
        <w:t>Finance projects with positive socio-economic impact (hospitals, renewable energy, infrastructure).</w:t>
      </w:r>
    </w:p>
    <w:p w14:paraId="0E4FEE7D" w14:textId="77777777" w:rsidR="00600C09" w:rsidRPr="00600C09" w:rsidRDefault="00600C09" w:rsidP="00600C09">
      <w:pPr>
        <w:numPr>
          <w:ilvl w:val="1"/>
          <w:numId w:val="312"/>
        </w:numPr>
      </w:pPr>
      <w:r w:rsidRPr="00600C09">
        <w:t>Embed ESG/SDG considerations into project evaluation.</w:t>
      </w:r>
    </w:p>
    <w:p w14:paraId="2B7CFC57" w14:textId="77777777" w:rsidR="00600C09" w:rsidRPr="00600C09" w:rsidRDefault="00600C09" w:rsidP="00600C09">
      <w:pPr>
        <w:numPr>
          <w:ilvl w:val="0"/>
          <w:numId w:val="312"/>
        </w:numPr>
      </w:pPr>
      <w:r w:rsidRPr="00600C09">
        <w:rPr>
          <w:b/>
          <w:bCs/>
        </w:rPr>
        <w:lastRenderedPageBreak/>
        <w:t>Risk-Sharing and Transparency</w:t>
      </w:r>
    </w:p>
    <w:p w14:paraId="74E961A8" w14:textId="77777777" w:rsidR="00600C09" w:rsidRPr="00600C09" w:rsidRDefault="00600C09" w:rsidP="00600C09">
      <w:pPr>
        <w:numPr>
          <w:ilvl w:val="1"/>
          <w:numId w:val="312"/>
        </w:numPr>
      </w:pPr>
      <w:r w:rsidRPr="00600C09">
        <w:t>Encourage structures where financiers and borrowers share risks fairly.</w:t>
      </w:r>
    </w:p>
    <w:p w14:paraId="385451E2" w14:textId="77777777" w:rsidR="00600C09" w:rsidRPr="00600C09" w:rsidRDefault="00600C09" w:rsidP="00600C09">
      <w:pPr>
        <w:numPr>
          <w:ilvl w:val="1"/>
          <w:numId w:val="312"/>
        </w:numPr>
      </w:pPr>
      <w:r w:rsidRPr="00600C09">
        <w:t>Ensure full disclosure of security rights and obligations.</w:t>
      </w:r>
    </w:p>
    <w:p w14:paraId="15D61BA7" w14:textId="457E5D48" w:rsidR="00600C09" w:rsidRPr="00600C09" w:rsidRDefault="00600C09" w:rsidP="00600C09"/>
    <w:p w14:paraId="51EF9342" w14:textId="77777777" w:rsidR="00600C09" w:rsidRPr="00600C09" w:rsidRDefault="00600C09" w:rsidP="00600C09">
      <w:pPr>
        <w:rPr>
          <w:b/>
          <w:bCs/>
        </w:rPr>
      </w:pPr>
      <w:r w:rsidRPr="00600C09">
        <w:rPr>
          <w:b/>
          <w:bCs/>
        </w:rPr>
        <w:t>8.5.2 Integration of Technology</w:t>
      </w:r>
    </w:p>
    <w:p w14:paraId="6EF130A7" w14:textId="77777777" w:rsidR="00600C09" w:rsidRPr="00600C09" w:rsidRDefault="00600C09" w:rsidP="00600C09">
      <w:r w:rsidRPr="00600C09">
        <w:t>The digital transformation of finance cannot be ignored. The future framework must incorporate:</w:t>
      </w:r>
    </w:p>
    <w:p w14:paraId="35E4632A" w14:textId="77777777" w:rsidR="00600C09" w:rsidRPr="00600C09" w:rsidRDefault="00600C09" w:rsidP="00600C09">
      <w:pPr>
        <w:numPr>
          <w:ilvl w:val="0"/>
          <w:numId w:val="313"/>
        </w:numPr>
      </w:pPr>
      <w:r w:rsidRPr="00600C09">
        <w:rPr>
          <w:b/>
          <w:bCs/>
        </w:rPr>
        <w:t>Blockchain collateral registers</w:t>
      </w:r>
      <w:r w:rsidRPr="00600C09">
        <w:t>: Ensuring transparency and preventing double-pledging.</w:t>
      </w:r>
    </w:p>
    <w:p w14:paraId="15BD1CB3" w14:textId="77777777" w:rsidR="00600C09" w:rsidRPr="00600C09" w:rsidRDefault="00600C09" w:rsidP="00600C09">
      <w:pPr>
        <w:numPr>
          <w:ilvl w:val="0"/>
          <w:numId w:val="313"/>
        </w:numPr>
      </w:pPr>
      <w:r w:rsidRPr="00600C09">
        <w:rPr>
          <w:b/>
          <w:bCs/>
        </w:rPr>
        <w:t>Smart contracts</w:t>
      </w:r>
      <w:r w:rsidRPr="00600C09">
        <w:t xml:space="preserve">: Automating execution of kafālah and </w:t>
      </w:r>
      <w:r w:rsidRPr="00600C09">
        <w:rPr>
          <w:rFonts w:ascii="Calibri" w:hAnsi="Calibri" w:cs="Calibri"/>
        </w:rPr>
        <w:t>ḥ</w:t>
      </w:r>
      <w:r w:rsidRPr="00600C09">
        <w:t>awālah undertakings.</w:t>
      </w:r>
    </w:p>
    <w:p w14:paraId="1302BBB9" w14:textId="77777777" w:rsidR="00600C09" w:rsidRPr="00600C09" w:rsidRDefault="00600C09" w:rsidP="00600C09">
      <w:pPr>
        <w:numPr>
          <w:ilvl w:val="0"/>
          <w:numId w:val="313"/>
        </w:numPr>
      </w:pPr>
      <w:r w:rsidRPr="00600C09">
        <w:rPr>
          <w:b/>
          <w:bCs/>
        </w:rPr>
        <w:t>Digital sukuk platforms</w:t>
      </w:r>
      <w:r w:rsidRPr="00600C09">
        <w:t>: Facilitating global investor participation with embedded security rights.</w:t>
      </w:r>
    </w:p>
    <w:p w14:paraId="6AE860A0" w14:textId="77777777" w:rsidR="00600C09" w:rsidRPr="00600C09" w:rsidRDefault="00600C09" w:rsidP="00600C09">
      <w:pPr>
        <w:numPr>
          <w:ilvl w:val="0"/>
          <w:numId w:val="313"/>
        </w:numPr>
      </w:pPr>
      <w:r w:rsidRPr="00600C09">
        <w:rPr>
          <w:b/>
          <w:bCs/>
        </w:rPr>
        <w:t>AI-driven Shariah audit</w:t>
      </w:r>
      <w:r w:rsidRPr="00600C09">
        <w:t>: Enhancing compliance monitoring in real-time.</w:t>
      </w:r>
    </w:p>
    <w:p w14:paraId="6FCFD1B5" w14:textId="77777777" w:rsidR="00600C09" w:rsidRPr="00600C09" w:rsidRDefault="00600C09" w:rsidP="00600C09">
      <w:r w:rsidRPr="00600C09">
        <w:t>Such tools strengthen enforceability and efficiency while maintaining Shariah compliance.</w:t>
      </w:r>
    </w:p>
    <w:p w14:paraId="12AD0910" w14:textId="2A83FDAA" w:rsidR="00600C09" w:rsidRPr="00600C09" w:rsidRDefault="00600C09" w:rsidP="00600C09"/>
    <w:p w14:paraId="13416B7B" w14:textId="77777777" w:rsidR="00600C09" w:rsidRPr="00600C09" w:rsidRDefault="00600C09" w:rsidP="00600C09">
      <w:pPr>
        <w:rPr>
          <w:b/>
          <w:bCs/>
        </w:rPr>
      </w:pPr>
      <w:r w:rsidRPr="00600C09">
        <w:rPr>
          <w:b/>
          <w:bCs/>
        </w:rPr>
        <w:t>8.5.3 Cross-Border Recognition and Harmonization</w:t>
      </w:r>
    </w:p>
    <w:p w14:paraId="4FC4F7CB" w14:textId="77777777" w:rsidR="00600C09" w:rsidRPr="00600C09" w:rsidRDefault="00600C09" w:rsidP="00600C09">
      <w:r w:rsidRPr="00600C09">
        <w:t>A sustainable framework requires international alignment. Steps include:</w:t>
      </w:r>
    </w:p>
    <w:p w14:paraId="526303BB" w14:textId="77777777" w:rsidR="00600C09" w:rsidRPr="00600C09" w:rsidRDefault="00600C09" w:rsidP="00600C09">
      <w:pPr>
        <w:numPr>
          <w:ilvl w:val="0"/>
          <w:numId w:val="314"/>
        </w:numPr>
      </w:pPr>
      <w:r w:rsidRPr="00600C09">
        <w:rPr>
          <w:b/>
          <w:bCs/>
        </w:rPr>
        <w:t>Mutual recognition agreements</w:t>
      </w:r>
      <w:r w:rsidRPr="00600C09">
        <w:t xml:space="preserve"> between Malaysia’s SAC and Gulf regulators.</w:t>
      </w:r>
    </w:p>
    <w:p w14:paraId="3B9306BC" w14:textId="77777777" w:rsidR="00600C09" w:rsidRPr="00600C09" w:rsidRDefault="00600C09" w:rsidP="00600C09">
      <w:pPr>
        <w:numPr>
          <w:ilvl w:val="0"/>
          <w:numId w:val="314"/>
        </w:numPr>
      </w:pPr>
      <w:r w:rsidRPr="00600C09">
        <w:rPr>
          <w:b/>
          <w:bCs/>
        </w:rPr>
        <w:t>AAOIFI–IFSB collaboration</w:t>
      </w:r>
      <w:r w:rsidRPr="00600C09">
        <w:t xml:space="preserve"> on model contracts.</w:t>
      </w:r>
    </w:p>
    <w:p w14:paraId="1276200F" w14:textId="77777777" w:rsidR="00600C09" w:rsidRPr="00600C09" w:rsidRDefault="00600C09" w:rsidP="00600C09">
      <w:pPr>
        <w:numPr>
          <w:ilvl w:val="0"/>
          <w:numId w:val="314"/>
        </w:numPr>
      </w:pPr>
      <w:r w:rsidRPr="00600C09">
        <w:rPr>
          <w:b/>
          <w:bCs/>
        </w:rPr>
        <w:t>Adapting conventions like Cape Town</w:t>
      </w:r>
      <w:r w:rsidRPr="00600C09">
        <w:t xml:space="preserve"> to Islamic principles for global enforceability of asset-backed security.</w:t>
      </w:r>
    </w:p>
    <w:p w14:paraId="58B8970B" w14:textId="77777777" w:rsidR="00600C09" w:rsidRPr="00600C09" w:rsidRDefault="00600C09" w:rsidP="00600C09">
      <w:r w:rsidRPr="00600C09">
        <w:t>Harmonization would reduce uncertainty and facilitate Islamic participation in multinational syndications.</w:t>
      </w:r>
    </w:p>
    <w:p w14:paraId="3C8778A8" w14:textId="210EB9E5" w:rsidR="00600C09" w:rsidRPr="00600C09" w:rsidRDefault="00600C09" w:rsidP="00600C09"/>
    <w:p w14:paraId="342CA1F2" w14:textId="77777777" w:rsidR="00600C09" w:rsidRPr="00600C09" w:rsidRDefault="00600C09" w:rsidP="00600C09">
      <w:pPr>
        <w:rPr>
          <w:b/>
          <w:bCs/>
        </w:rPr>
      </w:pPr>
      <w:r w:rsidRPr="00600C09">
        <w:rPr>
          <w:b/>
          <w:bCs/>
        </w:rPr>
        <w:t>8.5.4 Compatibility Index as Monitoring Tool</w:t>
      </w:r>
    </w:p>
    <w:p w14:paraId="2F4D7D62" w14:textId="77777777" w:rsidR="00600C09" w:rsidRPr="00600C09" w:rsidRDefault="00600C09" w:rsidP="00600C09">
      <w:r w:rsidRPr="00600C09">
        <w:t xml:space="preserve">The </w:t>
      </w:r>
      <w:r w:rsidRPr="00600C09">
        <w:rPr>
          <w:b/>
          <w:bCs/>
        </w:rPr>
        <w:t>Compatibility Index</w:t>
      </w:r>
      <w:r w:rsidRPr="00600C09">
        <w:t xml:space="preserve"> introduced in this book can evolve into a monitoring tool for regulators and institutions:</w:t>
      </w:r>
    </w:p>
    <w:p w14:paraId="4ACFE27B" w14:textId="77777777" w:rsidR="00600C09" w:rsidRPr="00600C09" w:rsidRDefault="00600C09" w:rsidP="00600C09">
      <w:pPr>
        <w:numPr>
          <w:ilvl w:val="0"/>
          <w:numId w:val="315"/>
        </w:numPr>
      </w:pPr>
      <w:r w:rsidRPr="00600C09">
        <w:t>Annual scoring of Islamic instruments to track reform progress.</w:t>
      </w:r>
    </w:p>
    <w:p w14:paraId="24306645" w14:textId="77777777" w:rsidR="00600C09" w:rsidRPr="00600C09" w:rsidRDefault="00600C09" w:rsidP="00600C09">
      <w:pPr>
        <w:numPr>
          <w:ilvl w:val="0"/>
          <w:numId w:val="315"/>
        </w:numPr>
      </w:pPr>
      <w:r w:rsidRPr="00600C09">
        <w:t>Benchmarking across jurisdictions to identify best practices.</w:t>
      </w:r>
    </w:p>
    <w:p w14:paraId="6FD039E2" w14:textId="77777777" w:rsidR="00600C09" w:rsidRPr="00600C09" w:rsidRDefault="00600C09" w:rsidP="00600C09">
      <w:pPr>
        <w:numPr>
          <w:ilvl w:val="0"/>
          <w:numId w:val="315"/>
        </w:numPr>
      </w:pPr>
      <w:r w:rsidRPr="00600C09">
        <w:lastRenderedPageBreak/>
        <w:t>Integration into sukuk prospectuses to inform investors of security strength.</w:t>
      </w:r>
    </w:p>
    <w:p w14:paraId="2249849F" w14:textId="77777777" w:rsidR="00600C09" w:rsidRPr="00600C09" w:rsidRDefault="00600C09" w:rsidP="00600C09">
      <w:r w:rsidRPr="00600C09">
        <w:t>By institutionalizing the Index, Islamic finance gains a transparent metric for continuous improvement.</w:t>
      </w:r>
    </w:p>
    <w:p w14:paraId="7971826D" w14:textId="57B69A45" w:rsidR="00600C09" w:rsidRPr="00600C09" w:rsidRDefault="00600C09" w:rsidP="00600C09"/>
    <w:p w14:paraId="12A5986B" w14:textId="77777777" w:rsidR="00600C09" w:rsidRPr="00600C09" w:rsidRDefault="00600C09" w:rsidP="00600C09">
      <w:pPr>
        <w:rPr>
          <w:b/>
          <w:bCs/>
        </w:rPr>
      </w:pPr>
      <w:r w:rsidRPr="00600C09">
        <w:rPr>
          <w:b/>
          <w:bCs/>
        </w:rPr>
        <w:t>8.6 Limitations of the Study</w:t>
      </w:r>
    </w:p>
    <w:p w14:paraId="75D50E6B" w14:textId="77777777" w:rsidR="00600C09" w:rsidRPr="00600C09" w:rsidRDefault="00600C09" w:rsidP="00600C09">
      <w:r w:rsidRPr="00600C09">
        <w:t>No research is without limitations. This book acknowledges several:</w:t>
      </w:r>
    </w:p>
    <w:p w14:paraId="09971F01" w14:textId="77777777" w:rsidR="00600C09" w:rsidRPr="00600C09" w:rsidRDefault="00600C09" w:rsidP="00600C09">
      <w:pPr>
        <w:rPr>
          <w:b/>
          <w:bCs/>
        </w:rPr>
      </w:pPr>
      <w:r w:rsidRPr="00600C09">
        <w:rPr>
          <w:b/>
          <w:bCs/>
        </w:rPr>
        <w:t>8.6.1 Jurisdictional Focus</w:t>
      </w:r>
    </w:p>
    <w:p w14:paraId="058D0DDB" w14:textId="77777777" w:rsidR="00600C09" w:rsidRPr="00600C09" w:rsidRDefault="00600C09" w:rsidP="00600C09">
      <w:r w:rsidRPr="00600C09">
        <w:t xml:space="preserve">The study has focused primarily on </w:t>
      </w:r>
      <w:r w:rsidRPr="00600C09">
        <w:rPr>
          <w:b/>
          <w:bCs/>
        </w:rPr>
        <w:t>Malaysia</w:t>
      </w:r>
      <w:r w:rsidRPr="00600C09">
        <w:t xml:space="preserve"> as a case study due to its advanced regulatory framework and rich jurisprudential resources. While this offers valuable insights, findings may not fully generalize to jurisdictions with weaker governance (e.g., some African or Central Asian markets) or stricter jurisprudence (e.g., certain Gulf states).</w:t>
      </w:r>
    </w:p>
    <w:p w14:paraId="0F594FA5" w14:textId="77777777" w:rsidR="00600C09" w:rsidRPr="00600C09" w:rsidRDefault="00600C09" w:rsidP="00600C09">
      <w:pPr>
        <w:rPr>
          <w:b/>
          <w:bCs/>
        </w:rPr>
      </w:pPr>
      <w:r w:rsidRPr="00600C09">
        <w:rPr>
          <w:b/>
          <w:bCs/>
        </w:rPr>
        <w:t>8.6.2 Cross-Border Complexity</w:t>
      </w:r>
    </w:p>
    <w:p w14:paraId="7051328C" w14:textId="77777777" w:rsidR="00600C09" w:rsidRPr="00600C09" w:rsidRDefault="00600C09" w:rsidP="00600C09">
      <w:r w:rsidRPr="00600C09">
        <w:t>Although cross-border applications were explored, empirical case data remain limited. Many transactions are confidential, restricting access to detailed documentation. Future research should incorporate a wider range of international case studies.</w:t>
      </w:r>
    </w:p>
    <w:p w14:paraId="760D1B3E" w14:textId="77777777" w:rsidR="00600C09" w:rsidRPr="00600C09" w:rsidRDefault="00600C09" w:rsidP="00600C09">
      <w:pPr>
        <w:rPr>
          <w:b/>
          <w:bCs/>
        </w:rPr>
      </w:pPr>
      <w:r w:rsidRPr="00600C09">
        <w:rPr>
          <w:b/>
          <w:bCs/>
        </w:rPr>
        <w:t>8.6.3 Reliance on Interviews</w:t>
      </w:r>
    </w:p>
    <w:p w14:paraId="6FDB196C" w14:textId="77777777" w:rsidR="00600C09" w:rsidRPr="00600C09" w:rsidRDefault="00600C09" w:rsidP="00600C09">
      <w:r w:rsidRPr="00600C09">
        <w:t>Practitioner insights (P1–P10) provided valuable perspectives but are subject to personal bias and positionality. Broader surveys across industry stakeholders would enhance representativeness.</w:t>
      </w:r>
    </w:p>
    <w:p w14:paraId="436B46D6" w14:textId="77777777" w:rsidR="00600C09" w:rsidRPr="00600C09" w:rsidRDefault="00600C09" w:rsidP="00600C09">
      <w:pPr>
        <w:rPr>
          <w:b/>
          <w:bCs/>
        </w:rPr>
      </w:pPr>
      <w:r w:rsidRPr="00600C09">
        <w:rPr>
          <w:b/>
          <w:bCs/>
        </w:rPr>
        <w:t>8.6.4 Theoretical Boundaries</w:t>
      </w:r>
    </w:p>
    <w:p w14:paraId="05894A4D" w14:textId="77777777" w:rsidR="00600C09" w:rsidRPr="00600C09" w:rsidRDefault="00600C09" w:rsidP="00600C09">
      <w:r w:rsidRPr="00600C09">
        <w:t>This study interpreted classical contracts through modern lenses (e.g., constructive possession, digital rahn). Some jurists may disagree with these interpretations, highlighting ongoing debates within Islamic jurisprudence.</w:t>
      </w:r>
    </w:p>
    <w:p w14:paraId="7EF4152E" w14:textId="77777777" w:rsidR="00600C09" w:rsidRPr="00600C09" w:rsidRDefault="00600C09" w:rsidP="00600C09">
      <w:pPr>
        <w:rPr>
          <w:b/>
          <w:bCs/>
        </w:rPr>
      </w:pPr>
      <w:r w:rsidRPr="00600C09">
        <w:rPr>
          <w:b/>
          <w:bCs/>
        </w:rPr>
        <w:t>8.6.5 Limited Quantitative Analysis</w:t>
      </w:r>
    </w:p>
    <w:p w14:paraId="1578A504" w14:textId="0250AE50" w:rsidR="00600C09" w:rsidRPr="00600C09" w:rsidRDefault="00600C09" w:rsidP="00600C09">
      <w:r w:rsidRPr="00600C09">
        <w:t>The Compatibility Index is primarily qualitative, based on structured comparisons. A more rigorous quantitative model, perhaps incorporating econometric analysis of enforcement data, could refine its accuracy.</w:t>
      </w:r>
    </w:p>
    <w:p w14:paraId="1A4FFA9F" w14:textId="7A08F0EE" w:rsidR="00600C09" w:rsidRPr="00600C09" w:rsidRDefault="00600C09" w:rsidP="00600C09"/>
    <w:p w14:paraId="094E64A1" w14:textId="77777777" w:rsidR="00600C09" w:rsidRPr="00600C09" w:rsidRDefault="00600C09" w:rsidP="00600C09">
      <w:pPr>
        <w:rPr>
          <w:b/>
          <w:bCs/>
        </w:rPr>
      </w:pPr>
      <w:r w:rsidRPr="00600C09">
        <w:rPr>
          <w:b/>
          <w:bCs/>
        </w:rPr>
        <w:t>8.7 Recommendations for Future Research</w:t>
      </w:r>
    </w:p>
    <w:p w14:paraId="1F77372D" w14:textId="77777777" w:rsidR="00600C09" w:rsidRPr="00600C09" w:rsidRDefault="00600C09" w:rsidP="00600C09">
      <w:r w:rsidRPr="00600C09">
        <w:t>The study of Islamic security instruments is still evolving. Several areas deserve further exploration:</w:t>
      </w:r>
    </w:p>
    <w:p w14:paraId="3B8C8626" w14:textId="77777777" w:rsidR="00600C09" w:rsidRPr="00600C09" w:rsidRDefault="00600C09" w:rsidP="00600C09">
      <w:pPr>
        <w:rPr>
          <w:b/>
          <w:bCs/>
        </w:rPr>
      </w:pPr>
      <w:r w:rsidRPr="00600C09">
        <w:rPr>
          <w:b/>
          <w:bCs/>
        </w:rPr>
        <w:lastRenderedPageBreak/>
        <w:t>8.7.1 Empirical Research on Cross-Border Transactions</w:t>
      </w:r>
    </w:p>
    <w:p w14:paraId="1903409D" w14:textId="77777777" w:rsidR="00600C09" w:rsidRPr="00600C09" w:rsidRDefault="00600C09" w:rsidP="00600C09">
      <w:r w:rsidRPr="00600C09">
        <w:t>Future studies should document case studies of Islamic project finance across multiple jurisdictions, particularly in the Gulf, Africa, and Southeast Asia. Such research would shed light on how divergent Shariah interpretations and legal systems affect enforceability and investor confidence.</w:t>
      </w:r>
    </w:p>
    <w:p w14:paraId="2CD29496" w14:textId="77777777" w:rsidR="00600C09" w:rsidRPr="00600C09" w:rsidRDefault="00600C09" w:rsidP="00600C09">
      <w:pPr>
        <w:rPr>
          <w:b/>
          <w:bCs/>
        </w:rPr>
      </w:pPr>
      <w:r w:rsidRPr="00600C09">
        <w:rPr>
          <w:b/>
          <w:bCs/>
        </w:rPr>
        <w:t>8.7.2 Quantitative Assessment of Compatibility</w:t>
      </w:r>
    </w:p>
    <w:p w14:paraId="259B1842" w14:textId="77777777" w:rsidR="00600C09" w:rsidRPr="00600C09" w:rsidRDefault="00600C09" w:rsidP="00600C09">
      <w:r w:rsidRPr="00600C09">
        <w:t>The Compatibility Index developed here is primarily qualitative. Researchers could design quantitative metrics, measuring:</w:t>
      </w:r>
    </w:p>
    <w:p w14:paraId="49FE66AE" w14:textId="77777777" w:rsidR="00600C09" w:rsidRPr="00600C09" w:rsidRDefault="00600C09" w:rsidP="00600C09">
      <w:pPr>
        <w:numPr>
          <w:ilvl w:val="0"/>
          <w:numId w:val="318"/>
        </w:numPr>
      </w:pPr>
      <w:r w:rsidRPr="00600C09">
        <w:t>Recovery rates under Islamic vs. conventional security.</w:t>
      </w:r>
    </w:p>
    <w:p w14:paraId="3FB5FEB9" w14:textId="77777777" w:rsidR="00600C09" w:rsidRPr="00600C09" w:rsidRDefault="00600C09" w:rsidP="00600C09">
      <w:pPr>
        <w:numPr>
          <w:ilvl w:val="0"/>
          <w:numId w:val="318"/>
        </w:numPr>
      </w:pPr>
      <w:r w:rsidRPr="00600C09">
        <w:t>Investor risk premiums for sukuk with different security structures.</w:t>
      </w:r>
    </w:p>
    <w:p w14:paraId="43F9CD0F" w14:textId="77777777" w:rsidR="00600C09" w:rsidRPr="00600C09" w:rsidRDefault="00600C09" w:rsidP="00600C09">
      <w:pPr>
        <w:numPr>
          <w:ilvl w:val="0"/>
          <w:numId w:val="318"/>
        </w:numPr>
      </w:pPr>
      <w:r w:rsidRPr="00600C09">
        <w:t>Statistical correlations between governance quality and enforceability.</w:t>
      </w:r>
    </w:p>
    <w:p w14:paraId="613C87B9" w14:textId="77777777" w:rsidR="00600C09" w:rsidRPr="00600C09" w:rsidRDefault="00600C09" w:rsidP="00600C09">
      <w:r w:rsidRPr="00600C09">
        <w:t>Such empirical evidence would strengthen claims of equivalence or divergence.</w:t>
      </w:r>
    </w:p>
    <w:p w14:paraId="6A2FA4CA" w14:textId="77777777" w:rsidR="00600C09" w:rsidRPr="00600C09" w:rsidRDefault="00600C09" w:rsidP="00600C09">
      <w:pPr>
        <w:rPr>
          <w:b/>
          <w:bCs/>
        </w:rPr>
      </w:pPr>
      <w:r w:rsidRPr="00600C09">
        <w:rPr>
          <w:b/>
          <w:bCs/>
        </w:rPr>
        <w:t>8.7.3 Digital Transformation of Security Instruments</w:t>
      </w:r>
    </w:p>
    <w:p w14:paraId="40D1B864" w14:textId="77777777" w:rsidR="00600C09" w:rsidRPr="00600C09" w:rsidRDefault="00600C09" w:rsidP="00600C09">
      <w:r w:rsidRPr="00600C09">
        <w:t>Blockchain, smart contracts, and AI-driven audits require deeper study:</w:t>
      </w:r>
    </w:p>
    <w:p w14:paraId="489BBA75" w14:textId="77777777" w:rsidR="00600C09" w:rsidRPr="00600C09" w:rsidRDefault="00600C09" w:rsidP="00600C09">
      <w:pPr>
        <w:numPr>
          <w:ilvl w:val="0"/>
          <w:numId w:val="319"/>
        </w:numPr>
      </w:pPr>
      <w:r w:rsidRPr="00600C09">
        <w:t>How can blockchain-based rahn registries be recognized in Shariah and law?</w:t>
      </w:r>
    </w:p>
    <w:p w14:paraId="194CE416" w14:textId="77777777" w:rsidR="00600C09" w:rsidRPr="00600C09" w:rsidRDefault="00600C09" w:rsidP="00600C09">
      <w:pPr>
        <w:numPr>
          <w:ilvl w:val="0"/>
          <w:numId w:val="319"/>
        </w:numPr>
      </w:pPr>
      <w:r w:rsidRPr="00600C09">
        <w:t>What juristic implications arise from automated enforcement of kafālah?</w:t>
      </w:r>
    </w:p>
    <w:p w14:paraId="35D6E1B5" w14:textId="77777777" w:rsidR="00600C09" w:rsidRPr="00600C09" w:rsidRDefault="00600C09" w:rsidP="00600C09">
      <w:pPr>
        <w:numPr>
          <w:ilvl w:val="0"/>
          <w:numId w:val="319"/>
        </w:numPr>
      </w:pPr>
      <w:r w:rsidRPr="00600C09">
        <w:t>How can AI systems be designed to align with fiqh al-mu</w:t>
      </w:r>
      <w:r w:rsidRPr="00600C09">
        <w:rPr>
          <w:rFonts w:ascii="Arial" w:hAnsi="Arial" w:cs="Arial"/>
        </w:rPr>
        <w:t>ʿ</w:t>
      </w:r>
      <w:r w:rsidRPr="00600C09">
        <w:rPr>
          <w:rFonts w:ascii="Aptos" w:hAnsi="Aptos" w:cs="Aptos"/>
        </w:rPr>
        <w:t>ā</w:t>
      </w:r>
      <w:r w:rsidRPr="00600C09">
        <w:t>mal</w:t>
      </w:r>
      <w:r w:rsidRPr="00600C09">
        <w:rPr>
          <w:rFonts w:ascii="Aptos" w:hAnsi="Aptos" w:cs="Aptos"/>
        </w:rPr>
        <w:t>ā</w:t>
      </w:r>
      <w:r w:rsidRPr="00600C09">
        <w:t>t principles?</w:t>
      </w:r>
    </w:p>
    <w:p w14:paraId="0F9D9BB2" w14:textId="77777777" w:rsidR="00600C09" w:rsidRPr="00600C09" w:rsidRDefault="00600C09" w:rsidP="00600C09">
      <w:r w:rsidRPr="00600C09">
        <w:t>Exploring these questions will determine how Islamic finance adapts to fintech disruptions.</w:t>
      </w:r>
    </w:p>
    <w:p w14:paraId="2C6AC552" w14:textId="77777777" w:rsidR="00600C09" w:rsidRPr="00600C09" w:rsidRDefault="00600C09" w:rsidP="00600C09">
      <w:pPr>
        <w:rPr>
          <w:b/>
          <w:bCs/>
        </w:rPr>
      </w:pPr>
      <w:r w:rsidRPr="00600C09">
        <w:rPr>
          <w:b/>
          <w:bCs/>
        </w:rPr>
        <w:t>8.7.4 Maqāṣid-Based Indices</w:t>
      </w:r>
    </w:p>
    <w:p w14:paraId="1720A379" w14:textId="77777777" w:rsidR="00600C09" w:rsidRPr="00600C09" w:rsidRDefault="00600C09" w:rsidP="00600C09">
      <w:r w:rsidRPr="00600C09">
        <w:t xml:space="preserve">Further research could operationalize maqāṣid al-Shariah into measurable indices that evaluate not only compliance but also </w:t>
      </w:r>
      <w:r w:rsidRPr="00600C09">
        <w:rPr>
          <w:b/>
          <w:bCs/>
        </w:rPr>
        <w:t>ethical and social impact</w:t>
      </w:r>
      <w:r w:rsidRPr="00600C09">
        <w:t>. For instance:</w:t>
      </w:r>
    </w:p>
    <w:p w14:paraId="5A2C13C6" w14:textId="77777777" w:rsidR="00600C09" w:rsidRPr="00600C09" w:rsidRDefault="00600C09" w:rsidP="00600C09">
      <w:pPr>
        <w:numPr>
          <w:ilvl w:val="0"/>
          <w:numId w:val="320"/>
        </w:numPr>
      </w:pPr>
      <w:r w:rsidRPr="00600C09">
        <w:t>Does the security package enhance fairness in risk allocation?</w:t>
      </w:r>
    </w:p>
    <w:p w14:paraId="67FF8352" w14:textId="77777777" w:rsidR="00600C09" w:rsidRPr="00600C09" w:rsidRDefault="00600C09" w:rsidP="00600C09">
      <w:pPr>
        <w:numPr>
          <w:ilvl w:val="0"/>
          <w:numId w:val="320"/>
        </w:numPr>
      </w:pPr>
      <w:r w:rsidRPr="00600C09">
        <w:t>Does it promote social welfare by facilitating development projects?</w:t>
      </w:r>
    </w:p>
    <w:p w14:paraId="505DCC4F" w14:textId="77777777" w:rsidR="00600C09" w:rsidRPr="00600C09" w:rsidRDefault="00600C09" w:rsidP="00600C09">
      <w:pPr>
        <w:numPr>
          <w:ilvl w:val="0"/>
          <w:numId w:val="320"/>
        </w:numPr>
      </w:pPr>
      <w:r w:rsidRPr="00600C09">
        <w:t>Does it prevent harm to weaker stakeholders?</w:t>
      </w:r>
    </w:p>
    <w:p w14:paraId="3973E5A4" w14:textId="77777777" w:rsidR="00600C09" w:rsidRPr="00600C09" w:rsidRDefault="00600C09" w:rsidP="00600C09">
      <w:r w:rsidRPr="00600C09">
        <w:t>Such indices would provide a new evaluative lens, complementing the Compatibility Index.</w:t>
      </w:r>
    </w:p>
    <w:p w14:paraId="2E3D907B" w14:textId="77777777" w:rsidR="00600C09" w:rsidRPr="00600C09" w:rsidRDefault="00600C09" w:rsidP="00600C09">
      <w:pPr>
        <w:rPr>
          <w:b/>
          <w:bCs/>
        </w:rPr>
      </w:pPr>
      <w:r w:rsidRPr="00600C09">
        <w:rPr>
          <w:b/>
          <w:bCs/>
        </w:rPr>
        <w:t>8.7.5 Comparative Legal Studies</w:t>
      </w:r>
    </w:p>
    <w:p w14:paraId="0ADC989A" w14:textId="77777777" w:rsidR="00600C09" w:rsidRPr="00600C09" w:rsidRDefault="00600C09" w:rsidP="00600C09">
      <w:r w:rsidRPr="00600C09">
        <w:t>Future work should examine how common law, civil law, and Shariah-based systems interact in hybrid security packages. Comparative legal research could provide model clauses for contracts that are both enforceable and Shariah-compliant.</w:t>
      </w:r>
    </w:p>
    <w:p w14:paraId="4BD6FE39" w14:textId="6D382521" w:rsidR="00600C09" w:rsidRPr="00600C09" w:rsidRDefault="00600C09" w:rsidP="00600C09"/>
    <w:p w14:paraId="11E3A5FB" w14:textId="77777777" w:rsidR="00600C09" w:rsidRPr="00600C09" w:rsidRDefault="00600C09" w:rsidP="00600C09">
      <w:pPr>
        <w:rPr>
          <w:b/>
          <w:bCs/>
        </w:rPr>
      </w:pPr>
      <w:r w:rsidRPr="00600C09">
        <w:rPr>
          <w:b/>
          <w:bCs/>
        </w:rPr>
        <w:t>8.8 Final Reflections</w:t>
      </w:r>
    </w:p>
    <w:p w14:paraId="6563366B" w14:textId="77777777" w:rsidR="00600C09" w:rsidRPr="00600C09" w:rsidRDefault="00600C09" w:rsidP="00600C09">
      <w:r w:rsidRPr="00600C09">
        <w:t xml:space="preserve">This book began with a question: </w:t>
      </w:r>
      <w:r w:rsidRPr="00600C09">
        <w:rPr>
          <w:b/>
          <w:bCs/>
        </w:rPr>
        <w:t>Can Islamic security instruments provide viable, Shariah-compliant alternatives in modern project finance?</w:t>
      </w:r>
      <w:r w:rsidRPr="00600C09">
        <w:t xml:space="preserve"> The journey through theory, practice, governance, and reform suggests that the answer is </w:t>
      </w:r>
      <w:r w:rsidRPr="00600C09">
        <w:rPr>
          <w:b/>
          <w:bCs/>
        </w:rPr>
        <w:t>yes — with qualifications</w:t>
      </w:r>
      <w:r w:rsidRPr="00600C09">
        <w:t>.</w:t>
      </w:r>
    </w:p>
    <w:p w14:paraId="2A2B9578" w14:textId="77777777" w:rsidR="00600C09" w:rsidRPr="00600C09" w:rsidRDefault="00600C09" w:rsidP="00600C09">
      <w:pPr>
        <w:numPr>
          <w:ilvl w:val="0"/>
          <w:numId w:val="321"/>
        </w:numPr>
      </w:pPr>
      <w:r w:rsidRPr="00600C09">
        <w:rPr>
          <w:b/>
          <w:bCs/>
        </w:rPr>
        <w:t>Yes</w:t>
      </w:r>
      <w:r w:rsidRPr="00600C09">
        <w:t xml:space="preserve">, because rahn, kafālah, </w:t>
      </w:r>
      <w:r w:rsidRPr="00600C09">
        <w:rPr>
          <w:rFonts w:ascii="Calibri" w:hAnsi="Calibri" w:cs="Calibri"/>
        </w:rPr>
        <w:t>ḍ</w:t>
      </w:r>
      <w:r w:rsidRPr="00600C09">
        <w:t xml:space="preserve">amān, and </w:t>
      </w:r>
      <w:r w:rsidRPr="00600C09">
        <w:rPr>
          <w:rFonts w:ascii="Calibri" w:hAnsi="Calibri" w:cs="Calibri"/>
        </w:rPr>
        <w:t>ḥ</w:t>
      </w:r>
      <w:r w:rsidRPr="00600C09">
        <w:t>awālah have firm juristic foundations and have been successfully applied in multi-billion-dollar projects.</w:t>
      </w:r>
    </w:p>
    <w:p w14:paraId="6511D3F7" w14:textId="77777777" w:rsidR="00600C09" w:rsidRPr="00600C09" w:rsidRDefault="00600C09" w:rsidP="00600C09">
      <w:pPr>
        <w:numPr>
          <w:ilvl w:val="0"/>
          <w:numId w:val="321"/>
        </w:numPr>
      </w:pPr>
      <w:r w:rsidRPr="00600C09">
        <w:rPr>
          <w:b/>
          <w:bCs/>
        </w:rPr>
        <w:t>Yes</w:t>
      </w:r>
      <w:r w:rsidRPr="00600C09">
        <w:t>, because regulatory frameworks such as Malaysia’s SAC and SGPD ensure credibility and enforceability.</w:t>
      </w:r>
    </w:p>
    <w:p w14:paraId="77FD8D7C" w14:textId="77777777" w:rsidR="00600C09" w:rsidRPr="00600C09" w:rsidRDefault="00600C09" w:rsidP="00600C09">
      <w:pPr>
        <w:numPr>
          <w:ilvl w:val="0"/>
          <w:numId w:val="321"/>
        </w:numPr>
      </w:pPr>
      <w:r w:rsidRPr="00600C09">
        <w:rPr>
          <w:b/>
          <w:bCs/>
        </w:rPr>
        <w:t>Yes</w:t>
      </w:r>
      <w:r w:rsidRPr="00600C09">
        <w:t>, because reform and innovation — from constructive possession to digital rahn — enhance competitiveness and relevance.</w:t>
      </w:r>
    </w:p>
    <w:p w14:paraId="5529B752" w14:textId="77777777" w:rsidR="00600C09" w:rsidRPr="00600C09" w:rsidRDefault="00600C09" w:rsidP="00600C09">
      <w:r w:rsidRPr="00600C09">
        <w:t>But the qualifications are significant:</w:t>
      </w:r>
    </w:p>
    <w:p w14:paraId="3C6AA692" w14:textId="77777777" w:rsidR="00600C09" w:rsidRPr="00600C09" w:rsidRDefault="00600C09" w:rsidP="00600C09">
      <w:pPr>
        <w:numPr>
          <w:ilvl w:val="0"/>
          <w:numId w:val="322"/>
        </w:numPr>
      </w:pPr>
      <w:r w:rsidRPr="00600C09">
        <w:t xml:space="preserve">Islamic instruments face </w:t>
      </w:r>
      <w:r w:rsidRPr="00600C09">
        <w:rPr>
          <w:b/>
          <w:bCs/>
        </w:rPr>
        <w:t>cross-border divergence</w:t>
      </w:r>
      <w:r w:rsidRPr="00600C09">
        <w:t>, with varying acceptance across jurisdictions.</w:t>
      </w:r>
    </w:p>
    <w:p w14:paraId="62850A73" w14:textId="77777777" w:rsidR="00600C09" w:rsidRPr="00600C09" w:rsidRDefault="00600C09" w:rsidP="00600C09">
      <w:pPr>
        <w:numPr>
          <w:ilvl w:val="0"/>
          <w:numId w:val="322"/>
        </w:numPr>
      </w:pPr>
      <w:r w:rsidRPr="00600C09">
        <w:t xml:space="preserve">They are constrained by </w:t>
      </w:r>
      <w:r w:rsidRPr="00600C09">
        <w:rPr>
          <w:b/>
          <w:bCs/>
        </w:rPr>
        <w:t>prohibitions on fees and debt trading</w:t>
      </w:r>
      <w:r w:rsidRPr="00600C09">
        <w:t>, limiting commercial viability.</w:t>
      </w:r>
    </w:p>
    <w:p w14:paraId="24EECEB2" w14:textId="77777777" w:rsidR="00600C09" w:rsidRPr="00600C09" w:rsidRDefault="00600C09" w:rsidP="00600C09">
      <w:pPr>
        <w:numPr>
          <w:ilvl w:val="0"/>
          <w:numId w:val="322"/>
        </w:numPr>
      </w:pPr>
      <w:r w:rsidRPr="00600C09">
        <w:t xml:space="preserve">They risk being overshadowed by </w:t>
      </w:r>
      <w:r w:rsidRPr="00600C09">
        <w:rPr>
          <w:b/>
          <w:bCs/>
        </w:rPr>
        <w:t>hybrid documentation</w:t>
      </w:r>
      <w:r w:rsidRPr="00600C09">
        <w:t>, where conventional instruments dominate and Islamic components are marginalized.</w:t>
      </w:r>
    </w:p>
    <w:p w14:paraId="787C523C" w14:textId="77777777" w:rsidR="00600C09" w:rsidRPr="00600C09" w:rsidRDefault="00600C09" w:rsidP="00600C09">
      <w:r w:rsidRPr="00600C09">
        <w:t xml:space="preserve">The way forward lies in a </w:t>
      </w:r>
      <w:r w:rsidRPr="00600C09">
        <w:rPr>
          <w:b/>
          <w:bCs/>
        </w:rPr>
        <w:t>maqāṣid-oriented, innovation-driven framework</w:t>
      </w:r>
      <w:r w:rsidRPr="00600C09">
        <w:t>. By embedding justice, fairness, and social welfare into financial structures, while leveraging technology and regulatory harmonization, Islamic finance can demonstrate both authenticity and competitiveness.</w:t>
      </w:r>
    </w:p>
    <w:p w14:paraId="546BC440" w14:textId="77777777" w:rsidR="00600C09" w:rsidRPr="00600C09" w:rsidRDefault="00600C09" w:rsidP="00600C09">
      <w:r w:rsidRPr="00600C09">
        <w:t xml:space="preserve">In closing, this book contributes to the evolving discourse on Islamic project finance by offering both a </w:t>
      </w:r>
      <w:r w:rsidRPr="00600C09">
        <w:rPr>
          <w:b/>
          <w:bCs/>
        </w:rPr>
        <w:t>diagnosis</w:t>
      </w:r>
      <w:r w:rsidRPr="00600C09">
        <w:t xml:space="preserve"> of current limitations and a </w:t>
      </w:r>
      <w:r w:rsidRPr="00600C09">
        <w:rPr>
          <w:b/>
          <w:bCs/>
        </w:rPr>
        <w:t>roadmap</w:t>
      </w:r>
      <w:r w:rsidRPr="00600C09">
        <w:t xml:space="preserve"> for reform. It is intended not as a final word but as a starting point for further inquiry, collaboration, and innovation.</w:t>
      </w:r>
    </w:p>
    <w:p w14:paraId="4554C037" w14:textId="77777777" w:rsidR="00600C09" w:rsidRPr="00600C09" w:rsidRDefault="00600C09" w:rsidP="00600C09">
      <w:r w:rsidRPr="00600C09">
        <w:t xml:space="preserve">As Islamic finance grows beyond niche markets into global significance, the challenge for scholars, regulators, and practitioners alike will be to remain faithful to its ethical essence while engaging effectively with modern financial realities. The success of Islamic security instruments will ultimately be judged not only by their </w:t>
      </w:r>
      <w:r w:rsidRPr="00600C09">
        <w:rPr>
          <w:b/>
          <w:bCs/>
        </w:rPr>
        <w:t>legal enforceability</w:t>
      </w:r>
      <w:r w:rsidRPr="00600C09">
        <w:t xml:space="preserve"> but by their ability to deliver </w:t>
      </w:r>
      <w:r w:rsidRPr="00600C09">
        <w:rPr>
          <w:b/>
          <w:bCs/>
        </w:rPr>
        <w:t>justice, trust, and social benefit</w:t>
      </w:r>
      <w:r w:rsidRPr="00600C09">
        <w:t xml:space="preserve"> — the very objectives that lie at the heart of the Shariah.</w:t>
      </w:r>
    </w:p>
    <w:p w14:paraId="5F5EC636" w14:textId="77777777" w:rsidR="00600C09" w:rsidRPr="00600C09" w:rsidRDefault="00877B45" w:rsidP="00600C09">
      <w:r>
        <w:rPr>
          <w:noProof/>
        </w:rPr>
      </w:r>
      <w:r w:rsidR="00877B45">
        <w:rPr>
          <w:noProof/>
        </w:rPr>
        <w:pict w14:anchorId="2B7EBC75">
          <v:rect id="_x0000_i1266" style="width:0;height:1.5pt" o:hralign="center" o:hrstd="t" o:hr="t" fillcolor="#a0a0a0" stroked="f"/>
        </w:pict>
      </w:r>
    </w:p>
    <w:p w14:paraId="51E6E35A" w14:textId="77777777" w:rsidR="00600C09" w:rsidRPr="00600C09" w:rsidRDefault="00600C09" w:rsidP="00600C09">
      <w:pPr>
        <w:rPr>
          <w:b/>
          <w:bCs/>
        </w:rPr>
      </w:pPr>
      <w:r w:rsidRPr="00600C09">
        <w:rPr>
          <w:rFonts w:ascii="Segoe UI Emoji" w:hAnsi="Segoe UI Emoji" w:cs="Segoe UI Emoji"/>
          <w:b/>
          <w:bCs/>
        </w:rPr>
        <w:lastRenderedPageBreak/>
        <w:t>📚</w:t>
      </w:r>
      <w:r w:rsidRPr="00600C09">
        <w:rPr>
          <w:b/>
          <w:bCs/>
        </w:rPr>
        <w:t xml:space="preserve"> References (APA 7th Edition)</w:t>
      </w:r>
    </w:p>
    <w:p w14:paraId="21ACD674" w14:textId="77777777" w:rsidR="00600C09" w:rsidRPr="00600C09" w:rsidRDefault="00600C09" w:rsidP="00600C09">
      <w:r w:rsidRPr="00600C09">
        <w:t xml:space="preserve">AAOIFI. (2021). </w:t>
      </w:r>
      <w:r w:rsidRPr="00600C09">
        <w:rPr>
          <w:i/>
          <w:iCs/>
        </w:rPr>
        <w:t>Shariah standards</w:t>
      </w:r>
      <w:r w:rsidRPr="00600C09">
        <w:t>. Accounting and Auditing Organization for Islamic Financial Institutions.</w:t>
      </w:r>
    </w:p>
    <w:p w14:paraId="7EABE30C" w14:textId="77777777" w:rsidR="00600C09" w:rsidRPr="00600C09" w:rsidRDefault="00600C09" w:rsidP="00600C09">
      <w:r w:rsidRPr="00600C09">
        <w:t xml:space="preserve">Al-Ghazali, A. H. (1997). </w:t>
      </w:r>
      <w:r w:rsidRPr="00600C09">
        <w:rPr>
          <w:i/>
          <w:iCs/>
        </w:rPr>
        <w:t xml:space="preserve">Al-Mustasfa min </w:t>
      </w:r>
      <w:r w:rsidRPr="00600C09">
        <w:rPr>
          <w:rFonts w:ascii="Arial" w:hAnsi="Arial" w:cs="Arial"/>
          <w:i/>
          <w:iCs/>
        </w:rPr>
        <w:t>ʿ</w:t>
      </w:r>
      <w:r w:rsidRPr="00600C09">
        <w:rPr>
          <w:i/>
          <w:iCs/>
        </w:rPr>
        <w:t>ilm al-usul</w:t>
      </w:r>
      <w:r w:rsidRPr="00600C09">
        <w:t>. Dar al-Kutub al-</w:t>
      </w:r>
      <w:r w:rsidRPr="00600C09">
        <w:rPr>
          <w:rFonts w:ascii="Arial" w:hAnsi="Arial" w:cs="Arial"/>
        </w:rPr>
        <w:t>ʿ</w:t>
      </w:r>
      <w:r w:rsidRPr="00600C09">
        <w:t>Ilmiyyah.</w:t>
      </w:r>
    </w:p>
    <w:p w14:paraId="23324B6E" w14:textId="77777777" w:rsidR="00600C09" w:rsidRPr="00600C09" w:rsidRDefault="00600C09" w:rsidP="00600C09">
      <w:r w:rsidRPr="00600C09">
        <w:t xml:space="preserve">Al-Shatibi, A. I. (1997). </w:t>
      </w:r>
      <w:r w:rsidRPr="00600C09">
        <w:rPr>
          <w:i/>
          <w:iCs/>
        </w:rPr>
        <w:t>Al-Muwafaqat fi usul al-shariah</w:t>
      </w:r>
      <w:r w:rsidRPr="00600C09">
        <w:t xml:space="preserve">. Dar Ibn </w:t>
      </w:r>
      <w:r w:rsidRPr="00600C09">
        <w:rPr>
          <w:rFonts w:ascii="Arial" w:hAnsi="Arial" w:cs="Arial"/>
        </w:rPr>
        <w:t>ʿ</w:t>
      </w:r>
      <w:r w:rsidRPr="00600C09">
        <w:t>Affan.</w:t>
      </w:r>
    </w:p>
    <w:p w14:paraId="5B848F67" w14:textId="77777777" w:rsidR="00600C09" w:rsidRPr="00600C09" w:rsidRDefault="00600C09" w:rsidP="00600C09">
      <w:r w:rsidRPr="00600C09">
        <w:t xml:space="preserve">Al-Zuhayli, W. (2003). </w:t>
      </w:r>
      <w:r w:rsidRPr="00600C09">
        <w:rPr>
          <w:i/>
          <w:iCs/>
        </w:rPr>
        <w:t>Financial transactions in Islamic jurisprudence</w:t>
      </w:r>
      <w:r w:rsidRPr="00600C09">
        <w:t xml:space="preserve"> (M. El-Gamal, Trans.). Dar al-Fikr.</w:t>
      </w:r>
    </w:p>
    <w:p w14:paraId="077E5776" w14:textId="77777777" w:rsidR="00600C09" w:rsidRPr="00600C09" w:rsidRDefault="00600C09" w:rsidP="00600C09">
      <w:r w:rsidRPr="00600C09">
        <w:t xml:space="preserve">Bank Negara Malaysia. (2015). </w:t>
      </w:r>
      <w:r w:rsidRPr="00600C09">
        <w:rPr>
          <w:i/>
          <w:iCs/>
        </w:rPr>
        <w:t>Movable Property Security Interests Act</w:t>
      </w:r>
      <w:r w:rsidRPr="00600C09">
        <w:t>. Government of Malaysia.</w:t>
      </w:r>
    </w:p>
    <w:p w14:paraId="14EDF2B5" w14:textId="77777777" w:rsidR="00600C09" w:rsidRPr="00600C09" w:rsidRDefault="00600C09" w:rsidP="00600C09">
      <w:r w:rsidRPr="00600C09">
        <w:t xml:space="preserve">Bank Negara Malaysia. (2019). </w:t>
      </w:r>
      <w:r w:rsidRPr="00600C09">
        <w:rPr>
          <w:i/>
          <w:iCs/>
        </w:rPr>
        <w:t>Shariah Governance Policy Document</w:t>
      </w:r>
      <w:r w:rsidRPr="00600C09">
        <w:t>. Bank Negara Malaysia.</w:t>
      </w:r>
    </w:p>
    <w:p w14:paraId="0784BD02" w14:textId="77777777" w:rsidR="00600C09" w:rsidRPr="00600C09" w:rsidRDefault="00600C09" w:rsidP="00600C09">
      <w:r w:rsidRPr="00600C09">
        <w:t xml:space="preserve">Dusuki, A. W., &amp; Bouheraoua, S. (2011). The framework of maqasid al-shariah and its implications for Islamic finance. </w:t>
      </w:r>
      <w:r w:rsidRPr="00600C09">
        <w:rPr>
          <w:i/>
          <w:iCs/>
        </w:rPr>
        <w:t>Islamic Finance Research Papers</w:t>
      </w:r>
      <w:r w:rsidRPr="00600C09">
        <w:t>. ISRA.</w:t>
      </w:r>
    </w:p>
    <w:p w14:paraId="0A53B27F" w14:textId="77777777" w:rsidR="00600C09" w:rsidRPr="00600C09" w:rsidRDefault="00600C09" w:rsidP="00600C09">
      <w:r w:rsidRPr="00600C09">
        <w:t xml:space="preserve">El-Gamal, M. A. (2006). </w:t>
      </w:r>
      <w:r w:rsidRPr="00600C09">
        <w:rPr>
          <w:i/>
          <w:iCs/>
        </w:rPr>
        <w:t>Islamic finance: Law, economics, and practice</w:t>
      </w:r>
      <w:r w:rsidRPr="00600C09">
        <w:t>. Cambridge University Press.</w:t>
      </w:r>
    </w:p>
    <w:p w14:paraId="47F37187" w14:textId="77777777" w:rsidR="00600C09" w:rsidRPr="00600C09" w:rsidRDefault="00600C09" w:rsidP="00600C09">
      <w:r w:rsidRPr="00600C09">
        <w:t xml:space="preserve">Yescombe, E. R. (2014). </w:t>
      </w:r>
      <w:r w:rsidRPr="00600C09">
        <w:rPr>
          <w:i/>
          <w:iCs/>
        </w:rPr>
        <w:t>Principles of project finance</w:t>
      </w:r>
      <w:r w:rsidRPr="00600C09">
        <w:t xml:space="preserve"> (2nd ed.). Academic Press.</w:t>
      </w:r>
    </w:p>
    <w:p w14:paraId="61571524" w14:textId="77777777" w:rsidR="00600C09" w:rsidRPr="00600C09" w:rsidRDefault="00600C09" w:rsidP="00600C09">
      <w:r w:rsidRPr="00600C09">
        <w:t xml:space="preserve">Wood, P. R. (2007). </w:t>
      </w:r>
      <w:r w:rsidRPr="00600C09">
        <w:rPr>
          <w:i/>
          <w:iCs/>
        </w:rPr>
        <w:t>Principles of international insolvency</w:t>
      </w:r>
      <w:r w:rsidRPr="00600C09">
        <w:t xml:space="preserve"> (2nd ed.). Sweet &amp; Maxwell.</w:t>
      </w:r>
    </w:p>
    <w:p w14:paraId="0E1DAFE9" w14:textId="7128E98D" w:rsidR="00600C09" w:rsidRPr="00600C09" w:rsidRDefault="00600C09" w:rsidP="00600C09"/>
    <w:p w14:paraId="23F2328C" w14:textId="2179AA41" w:rsidR="00600C09" w:rsidRPr="00600C09" w:rsidRDefault="00600C09" w:rsidP="00600C09"/>
    <w:p w14:paraId="707D074E" w14:textId="59A299BD" w:rsidR="00600C09" w:rsidRPr="00600C09" w:rsidRDefault="00600C09" w:rsidP="0013087A">
      <w:pPr>
        <w:ind w:left="1080"/>
      </w:pPr>
    </w:p>
    <w:p w14:paraId="6B04CD71" w14:textId="62D62192" w:rsidR="00600C09" w:rsidRPr="00600C09" w:rsidRDefault="00600C09" w:rsidP="00600C09"/>
    <w:p w14:paraId="60E70E53" w14:textId="2307DF0C" w:rsidR="00600C09" w:rsidRDefault="00877B45">
      <w:r>
        <w:rPr>
          <w:noProof/>
        </w:rPr>
      </w:r>
      <w:r w:rsidR="00877B45">
        <w:rPr>
          <w:noProof/>
        </w:rPr>
        <w:pict w14:anchorId="132F5D19">
          <v:rect id="_x0000_i1271" style="width:0;height:1.5pt" o:hralign="center" o:hrstd="t" o:hr="t" fillcolor="#a0a0a0" stroked="f"/>
        </w:pict>
      </w:r>
    </w:p>
    <w:sectPr w:rsidR="00600C09">
      <w:foot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48DA331" w14:textId="77777777" w:rsidR="00587490" w:rsidRDefault="00587490" w:rsidP="00600C09">
      <w:pPr>
        <w:spacing w:after="0" w:line="240" w:lineRule="auto"/>
      </w:pPr>
      <w:r>
        <w:separator/>
      </w:r>
    </w:p>
  </w:endnote>
  <w:endnote w:type="continuationSeparator" w:id="0">
    <w:p w14:paraId="2C653147" w14:textId="77777777" w:rsidR="00587490" w:rsidRDefault="00587490" w:rsidP="00600C0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panose1 w:val="020B0004020202020204"/>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Cordia New">
    <w:panose1 w:val="020B0304020202020204"/>
    <w:charset w:val="00"/>
    <w:family w:val="swiss"/>
    <w:pitch w:val="variable"/>
    <w:sig w:usb0="81000003" w:usb1="00000000" w:usb2="00000000" w:usb3="00000000" w:csb0="00010001" w:csb1="00000000"/>
  </w:font>
  <w:font w:name="Aptos Display">
    <w:panose1 w:val="020B0004020202020204"/>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 w:name="Angsana New">
    <w:panose1 w:val="02020603050405020304"/>
    <w:charset w:val="00"/>
    <w:family w:val="roman"/>
    <w:pitch w:val="variable"/>
    <w:sig w:usb0="81000003" w:usb1="00000000" w:usb2="00000000" w:usb3="00000000" w:csb0="00010001" w:csb1="00000000"/>
  </w:font>
  <w:font w:name="Arial">
    <w:panose1 w:val="020B0604020202020204"/>
    <w:charset w:val="00"/>
    <w:family w:val="swiss"/>
    <w:pitch w:val="variable"/>
    <w:sig w:usb0="E0002EFF" w:usb1="C000785B" w:usb2="00000009" w:usb3="00000000" w:csb0="000001FF" w:csb1="00000000"/>
  </w:font>
  <w:font w:name="Segoe UI Emoji">
    <w:panose1 w:val="020B0502040204020203"/>
    <w:charset w:val="00"/>
    <w:family w:val="swiss"/>
    <w:pitch w:val="variable"/>
    <w:sig w:usb0="00000003" w:usb1="02000000" w:usb2="08000000" w:usb3="00000000" w:csb0="00000001" w:csb1="00000000"/>
  </w:font>
  <w:font w:name="Calibri">
    <w:panose1 w:val="020F0502020204030204"/>
    <w:charset w:val="00"/>
    <w:family w:val="swiss"/>
    <w:pitch w:val="variable"/>
    <w:sig w:usb0="E4002EFF" w:usb1="C200ACF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121908417"/>
      <w:docPartObj>
        <w:docPartGallery w:val="Page Numbers (Bottom of Page)"/>
        <w:docPartUnique/>
      </w:docPartObj>
    </w:sdtPr>
    <w:sdtEndPr>
      <w:rPr>
        <w:noProof/>
      </w:rPr>
    </w:sdtEndPr>
    <w:sdtContent>
      <w:p w14:paraId="733EEA63" w14:textId="5CE46E11" w:rsidR="00600C09" w:rsidRDefault="00600C09">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5676877E" w14:textId="77777777" w:rsidR="00600C09" w:rsidRDefault="00600C0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63B399F" w14:textId="77777777" w:rsidR="00587490" w:rsidRDefault="00587490" w:rsidP="00600C09">
      <w:pPr>
        <w:spacing w:after="0" w:line="240" w:lineRule="auto"/>
      </w:pPr>
      <w:r>
        <w:separator/>
      </w:r>
    </w:p>
  </w:footnote>
  <w:footnote w:type="continuationSeparator" w:id="0">
    <w:p w14:paraId="190235F0" w14:textId="77777777" w:rsidR="00587490" w:rsidRDefault="00587490" w:rsidP="00600C0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781C81"/>
    <w:multiLevelType w:val="multilevel"/>
    <w:tmpl w:val="829AF2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13E488D"/>
    <w:multiLevelType w:val="multilevel"/>
    <w:tmpl w:val="2F10CE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197293A"/>
    <w:multiLevelType w:val="multilevel"/>
    <w:tmpl w:val="A9F8283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1C64741"/>
    <w:multiLevelType w:val="multilevel"/>
    <w:tmpl w:val="9C0AB5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2093B52"/>
    <w:multiLevelType w:val="multilevel"/>
    <w:tmpl w:val="14FE97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2912093"/>
    <w:multiLevelType w:val="multilevel"/>
    <w:tmpl w:val="9A7C29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38C3F69"/>
    <w:multiLevelType w:val="multilevel"/>
    <w:tmpl w:val="A61061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03C37F55"/>
    <w:multiLevelType w:val="multilevel"/>
    <w:tmpl w:val="44EEAAD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051951C5"/>
    <w:multiLevelType w:val="multilevel"/>
    <w:tmpl w:val="64CA0A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0571667F"/>
    <w:multiLevelType w:val="multilevel"/>
    <w:tmpl w:val="A60A59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05F13050"/>
    <w:multiLevelType w:val="multilevel"/>
    <w:tmpl w:val="31665F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063D0A74"/>
    <w:multiLevelType w:val="multilevel"/>
    <w:tmpl w:val="55DA1B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064712F4"/>
    <w:multiLevelType w:val="multilevel"/>
    <w:tmpl w:val="9B441D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06797CB0"/>
    <w:multiLevelType w:val="multilevel"/>
    <w:tmpl w:val="8F10DA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068668A5"/>
    <w:multiLevelType w:val="multilevel"/>
    <w:tmpl w:val="9C0279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06DC68E3"/>
    <w:multiLevelType w:val="multilevel"/>
    <w:tmpl w:val="343AE74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06F87BF1"/>
    <w:multiLevelType w:val="multilevel"/>
    <w:tmpl w:val="327E93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07963824"/>
    <w:multiLevelType w:val="multilevel"/>
    <w:tmpl w:val="EE8401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082F1648"/>
    <w:multiLevelType w:val="multilevel"/>
    <w:tmpl w:val="171A96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0A1B5F4B"/>
    <w:multiLevelType w:val="multilevel"/>
    <w:tmpl w:val="03F4F6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0A451E23"/>
    <w:multiLevelType w:val="multilevel"/>
    <w:tmpl w:val="9320A1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0A4C2F2F"/>
    <w:multiLevelType w:val="multilevel"/>
    <w:tmpl w:val="A97453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0A5B0543"/>
    <w:multiLevelType w:val="multilevel"/>
    <w:tmpl w:val="27B834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0B4745BC"/>
    <w:multiLevelType w:val="multilevel"/>
    <w:tmpl w:val="FEDABE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0B5037AD"/>
    <w:multiLevelType w:val="multilevel"/>
    <w:tmpl w:val="469A18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0B8527B3"/>
    <w:multiLevelType w:val="multilevel"/>
    <w:tmpl w:val="5B3478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0B9202AB"/>
    <w:multiLevelType w:val="multilevel"/>
    <w:tmpl w:val="EF1EE40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0BD65565"/>
    <w:multiLevelType w:val="multilevel"/>
    <w:tmpl w:val="8E3CF5B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0BEE5B45"/>
    <w:multiLevelType w:val="multilevel"/>
    <w:tmpl w:val="51B4E3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0BF150B0"/>
    <w:multiLevelType w:val="multilevel"/>
    <w:tmpl w:val="625A8A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0C240512"/>
    <w:multiLevelType w:val="multilevel"/>
    <w:tmpl w:val="6658CCA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0C2648AD"/>
    <w:multiLevelType w:val="multilevel"/>
    <w:tmpl w:val="C88E7F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0C7063C3"/>
    <w:multiLevelType w:val="multilevel"/>
    <w:tmpl w:val="D6B432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0D104D34"/>
    <w:multiLevelType w:val="multilevel"/>
    <w:tmpl w:val="075EEE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0D4D661A"/>
    <w:multiLevelType w:val="multilevel"/>
    <w:tmpl w:val="9F7CE0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0D8F576E"/>
    <w:multiLevelType w:val="multilevel"/>
    <w:tmpl w:val="E1A4EE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0DA46F1A"/>
    <w:multiLevelType w:val="multilevel"/>
    <w:tmpl w:val="F36E5D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0DD67695"/>
    <w:multiLevelType w:val="multilevel"/>
    <w:tmpl w:val="10D8A74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15:restartNumberingAfterBreak="0">
    <w:nsid w:val="0E0A4EDE"/>
    <w:multiLevelType w:val="multilevel"/>
    <w:tmpl w:val="B4AE2F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0E201078"/>
    <w:multiLevelType w:val="multilevel"/>
    <w:tmpl w:val="0C9048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0E465786"/>
    <w:multiLevelType w:val="multilevel"/>
    <w:tmpl w:val="E7F419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0E550116"/>
    <w:multiLevelType w:val="multilevel"/>
    <w:tmpl w:val="D14618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0F271066"/>
    <w:multiLevelType w:val="multilevel"/>
    <w:tmpl w:val="7D4A26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3" w15:restartNumberingAfterBreak="0">
    <w:nsid w:val="0F351B81"/>
    <w:multiLevelType w:val="multilevel"/>
    <w:tmpl w:val="B2AE33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0F6B3F65"/>
    <w:multiLevelType w:val="multilevel"/>
    <w:tmpl w:val="AEA0CF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0F7B1913"/>
    <w:multiLevelType w:val="multilevel"/>
    <w:tmpl w:val="27DED7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104D06F5"/>
    <w:multiLevelType w:val="multilevel"/>
    <w:tmpl w:val="2B70AE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107E62D8"/>
    <w:multiLevelType w:val="multilevel"/>
    <w:tmpl w:val="84EA79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123652AD"/>
    <w:multiLevelType w:val="multilevel"/>
    <w:tmpl w:val="D584AA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15:restartNumberingAfterBreak="0">
    <w:nsid w:val="127E2E3F"/>
    <w:multiLevelType w:val="multilevel"/>
    <w:tmpl w:val="A38EF0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15:restartNumberingAfterBreak="0">
    <w:nsid w:val="134C7526"/>
    <w:multiLevelType w:val="multilevel"/>
    <w:tmpl w:val="01F0B0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15:restartNumberingAfterBreak="0">
    <w:nsid w:val="1353006F"/>
    <w:multiLevelType w:val="multilevel"/>
    <w:tmpl w:val="9C9EFC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15:restartNumberingAfterBreak="0">
    <w:nsid w:val="13585077"/>
    <w:multiLevelType w:val="multilevel"/>
    <w:tmpl w:val="56D464E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3" w15:restartNumberingAfterBreak="0">
    <w:nsid w:val="13F553DC"/>
    <w:multiLevelType w:val="multilevel"/>
    <w:tmpl w:val="B492C8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 w15:restartNumberingAfterBreak="0">
    <w:nsid w:val="15215576"/>
    <w:multiLevelType w:val="multilevel"/>
    <w:tmpl w:val="A0CAE2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5" w15:restartNumberingAfterBreak="0">
    <w:nsid w:val="156A3A80"/>
    <w:multiLevelType w:val="multilevel"/>
    <w:tmpl w:val="ECC016B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6" w15:restartNumberingAfterBreak="0">
    <w:nsid w:val="15702E31"/>
    <w:multiLevelType w:val="multilevel"/>
    <w:tmpl w:val="ACF4A6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7" w15:restartNumberingAfterBreak="0">
    <w:nsid w:val="16045E5E"/>
    <w:multiLevelType w:val="multilevel"/>
    <w:tmpl w:val="27286E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8" w15:restartNumberingAfterBreak="0">
    <w:nsid w:val="1630581C"/>
    <w:multiLevelType w:val="multilevel"/>
    <w:tmpl w:val="F92216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9" w15:restartNumberingAfterBreak="0">
    <w:nsid w:val="17554FEB"/>
    <w:multiLevelType w:val="multilevel"/>
    <w:tmpl w:val="4FD05D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0" w15:restartNumberingAfterBreak="0">
    <w:nsid w:val="17653F69"/>
    <w:multiLevelType w:val="multilevel"/>
    <w:tmpl w:val="9D0C67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1" w15:restartNumberingAfterBreak="0">
    <w:nsid w:val="182C1164"/>
    <w:multiLevelType w:val="multilevel"/>
    <w:tmpl w:val="CEE6F5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2" w15:restartNumberingAfterBreak="0">
    <w:nsid w:val="184F32D2"/>
    <w:multiLevelType w:val="multilevel"/>
    <w:tmpl w:val="B8D8DC0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3" w15:restartNumberingAfterBreak="0">
    <w:nsid w:val="18C16C9C"/>
    <w:multiLevelType w:val="multilevel"/>
    <w:tmpl w:val="BE6CC9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4" w15:restartNumberingAfterBreak="0">
    <w:nsid w:val="19795E1B"/>
    <w:multiLevelType w:val="multilevel"/>
    <w:tmpl w:val="DAF46A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5" w15:restartNumberingAfterBreak="0">
    <w:nsid w:val="19BA1D8A"/>
    <w:multiLevelType w:val="multilevel"/>
    <w:tmpl w:val="E1622A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6" w15:restartNumberingAfterBreak="0">
    <w:nsid w:val="19D548FB"/>
    <w:multiLevelType w:val="multilevel"/>
    <w:tmpl w:val="1C3A23D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7" w15:restartNumberingAfterBreak="0">
    <w:nsid w:val="1B181413"/>
    <w:multiLevelType w:val="multilevel"/>
    <w:tmpl w:val="A4F251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8" w15:restartNumberingAfterBreak="0">
    <w:nsid w:val="1B814D77"/>
    <w:multiLevelType w:val="multilevel"/>
    <w:tmpl w:val="2C6A58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9" w15:restartNumberingAfterBreak="0">
    <w:nsid w:val="1B861051"/>
    <w:multiLevelType w:val="multilevel"/>
    <w:tmpl w:val="3AECFC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0" w15:restartNumberingAfterBreak="0">
    <w:nsid w:val="1BA67161"/>
    <w:multiLevelType w:val="multilevel"/>
    <w:tmpl w:val="D8DACD0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1" w15:restartNumberingAfterBreak="0">
    <w:nsid w:val="1BC75D12"/>
    <w:multiLevelType w:val="multilevel"/>
    <w:tmpl w:val="9E440A9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2" w15:restartNumberingAfterBreak="0">
    <w:nsid w:val="1C366A3D"/>
    <w:multiLevelType w:val="multilevel"/>
    <w:tmpl w:val="FCCA6E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3" w15:restartNumberingAfterBreak="0">
    <w:nsid w:val="1C883FEF"/>
    <w:multiLevelType w:val="multilevel"/>
    <w:tmpl w:val="DEC49E8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4" w15:restartNumberingAfterBreak="0">
    <w:nsid w:val="1C8E1A4E"/>
    <w:multiLevelType w:val="multilevel"/>
    <w:tmpl w:val="A496B7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5" w15:restartNumberingAfterBreak="0">
    <w:nsid w:val="1CC44652"/>
    <w:multiLevelType w:val="multilevel"/>
    <w:tmpl w:val="F0C0A6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6" w15:restartNumberingAfterBreak="0">
    <w:nsid w:val="1D1B3AAD"/>
    <w:multiLevelType w:val="multilevel"/>
    <w:tmpl w:val="9CEA5A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7" w15:restartNumberingAfterBreak="0">
    <w:nsid w:val="1D21350E"/>
    <w:multiLevelType w:val="multilevel"/>
    <w:tmpl w:val="3BDA8D4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8" w15:restartNumberingAfterBreak="0">
    <w:nsid w:val="1D3E0FD0"/>
    <w:multiLevelType w:val="multilevel"/>
    <w:tmpl w:val="A170F4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9" w15:restartNumberingAfterBreak="0">
    <w:nsid w:val="1D480ECC"/>
    <w:multiLevelType w:val="multilevel"/>
    <w:tmpl w:val="B06A80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0" w15:restartNumberingAfterBreak="0">
    <w:nsid w:val="1D4F2734"/>
    <w:multiLevelType w:val="multilevel"/>
    <w:tmpl w:val="64928A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1" w15:restartNumberingAfterBreak="0">
    <w:nsid w:val="1D8652AD"/>
    <w:multiLevelType w:val="multilevel"/>
    <w:tmpl w:val="D72091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2" w15:restartNumberingAfterBreak="0">
    <w:nsid w:val="1DD23B9B"/>
    <w:multiLevelType w:val="multilevel"/>
    <w:tmpl w:val="B64E7E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3" w15:restartNumberingAfterBreak="0">
    <w:nsid w:val="1E0D0B8A"/>
    <w:multiLevelType w:val="multilevel"/>
    <w:tmpl w:val="C922AA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4" w15:restartNumberingAfterBreak="0">
    <w:nsid w:val="1E4E42FC"/>
    <w:multiLevelType w:val="multilevel"/>
    <w:tmpl w:val="EF9841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5" w15:restartNumberingAfterBreak="0">
    <w:nsid w:val="1E747ED7"/>
    <w:multiLevelType w:val="multilevel"/>
    <w:tmpl w:val="A328DD2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6" w15:restartNumberingAfterBreak="0">
    <w:nsid w:val="1E793D59"/>
    <w:multiLevelType w:val="multilevel"/>
    <w:tmpl w:val="77B61E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7" w15:restartNumberingAfterBreak="0">
    <w:nsid w:val="1F2636CC"/>
    <w:multiLevelType w:val="multilevel"/>
    <w:tmpl w:val="FB6289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8" w15:restartNumberingAfterBreak="0">
    <w:nsid w:val="1F327750"/>
    <w:multiLevelType w:val="multilevel"/>
    <w:tmpl w:val="EEA4A9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9" w15:restartNumberingAfterBreak="0">
    <w:nsid w:val="1F507B52"/>
    <w:multiLevelType w:val="multilevel"/>
    <w:tmpl w:val="A094B8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0" w15:restartNumberingAfterBreak="0">
    <w:nsid w:val="1F5D7467"/>
    <w:multiLevelType w:val="multilevel"/>
    <w:tmpl w:val="EAC65A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1" w15:restartNumberingAfterBreak="0">
    <w:nsid w:val="1F6926C5"/>
    <w:multiLevelType w:val="multilevel"/>
    <w:tmpl w:val="34642D5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2" w15:restartNumberingAfterBreak="0">
    <w:nsid w:val="1FA830ED"/>
    <w:multiLevelType w:val="multilevel"/>
    <w:tmpl w:val="6AF82A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3" w15:restartNumberingAfterBreak="0">
    <w:nsid w:val="1FD979A5"/>
    <w:multiLevelType w:val="multilevel"/>
    <w:tmpl w:val="ED404E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4" w15:restartNumberingAfterBreak="0">
    <w:nsid w:val="200A5468"/>
    <w:multiLevelType w:val="multilevel"/>
    <w:tmpl w:val="B55E58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5" w15:restartNumberingAfterBreak="0">
    <w:nsid w:val="20982082"/>
    <w:multiLevelType w:val="multilevel"/>
    <w:tmpl w:val="CAF6E38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6" w15:restartNumberingAfterBreak="0">
    <w:nsid w:val="20D25D5D"/>
    <w:multiLevelType w:val="multilevel"/>
    <w:tmpl w:val="FC2CAC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7" w15:restartNumberingAfterBreak="0">
    <w:nsid w:val="211B42EF"/>
    <w:multiLevelType w:val="multilevel"/>
    <w:tmpl w:val="3BB632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8" w15:restartNumberingAfterBreak="0">
    <w:nsid w:val="22901FBC"/>
    <w:multiLevelType w:val="multilevel"/>
    <w:tmpl w:val="3F98101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9" w15:restartNumberingAfterBreak="0">
    <w:nsid w:val="229B50B6"/>
    <w:multiLevelType w:val="multilevel"/>
    <w:tmpl w:val="16343A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0" w15:restartNumberingAfterBreak="0">
    <w:nsid w:val="229C055A"/>
    <w:multiLevelType w:val="multilevel"/>
    <w:tmpl w:val="FE2444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1" w15:restartNumberingAfterBreak="0">
    <w:nsid w:val="22A973F7"/>
    <w:multiLevelType w:val="multilevel"/>
    <w:tmpl w:val="4CF0F0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2" w15:restartNumberingAfterBreak="0">
    <w:nsid w:val="230C38B3"/>
    <w:multiLevelType w:val="multilevel"/>
    <w:tmpl w:val="E60628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3" w15:restartNumberingAfterBreak="0">
    <w:nsid w:val="23B47A3D"/>
    <w:multiLevelType w:val="multilevel"/>
    <w:tmpl w:val="937A16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4" w15:restartNumberingAfterBreak="0">
    <w:nsid w:val="23B5066D"/>
    <w:multiLevelType w:val="multilevel"/>
    <w:tmpl w:val="650C05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5" w15:restartNumberingAfterBreak="0">
    <w:nsid w:val="23FE1073"/>
    <w:multiLevelType w:val="multilevel"/>
    <w:tmpl w:val="A2946F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6" w15:restartNumberingAfterBreak="0">
    <w:nsid w:val="244D5B14"/>
    <w:multiLevelType w:val="multilevel"/>
    <w:tmpl w:val="9C8C44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7" w15:restartNumberingAfterBreak="0">
    <w:nsid w:val="24A744E9"/>
    <w:multiLevelType w:val="multilevel"/>
    <w:tmpl w:val="C548DD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8" w15:restartNumberingAfterBreak="0">
    <w:nsid w:val="25683FF3"/>
    <w:multiLevelType w:val="multilevel"/>
    <w:tmpl w:val="095C47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9" w15:restartNumberingAfterBreak="0">
    <w:nsid w:val="2637503B"/>
    <w:multiLevelType w:val="multilevel"/>
    <w:tmpl w:val="80ACC9D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0" w15:restartNumberingAfterBreak="0">
    <w:nsid w:val="263C7315"/>
    <w:multiLevelType w:val="multilevel"/>
    <w:tmpl w:val="6F1293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1" w15:restartNumberingAfterBreak="0">
    <w:nsid w:val="27400B45"/>
    <w:multiLevelType w:val="multilevel"/>
    <w:tmpl w:val="266E8E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2" w15:restartNumberingAfterBreak="0">
    <w:nsid w:val="27797981"/>
    <w:multiLevelType w:val="multilevel"/>
    <w:tmpl w:val="3E70A2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3" w15:restartNumberingAfterBreak="0">
    <w:nsid w:val="279529DC"/>
    <w:multiLevelType w:val="multilevel"/>
    <w:tmpl w:val="30B4D0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4" w15:restartNumberingAfterBreak="0">
    <w:nsid w:val="280A5193"/>
    <w:multiLevelType w:val="multilevel"/>
    <w:tmpl w:val="91025BC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5" w15:restartNumberingAfterBreak="0">
    <w:nsid w:val="284C362A"/>
    <w:multiLevelType w:val="multilevel"/>
    <w:tmpl w:val="2EE68D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6" w15:restartNumberingAfterBreak="0">
    <w:nsid w:val="28620088"/>
    <w:multiLevelType w:val="multilevel"/>
    <w:tmpl w:val="27F8C3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7" w15:restartNumberingAfterBreak="0">
    <w:nsid w:val="28894523"/>
    <w:multiLevelType w:val="multilevel"/>
    <w:tmpl w:val="116008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8" w15:restartNumberingAfterBreak="0">
    <w:nsid w:val="289C2167"/>
    <w:multiLevelType w:val="multilevel"/>
    <w:tmpl w:val="675E21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9" w15:restartNumberingAfterBreak="0">
    <w:nsid w:val="289E6602"/>
    <w:multiLevelType w:val="multilevel"/>
    <w:tmpl w:val="4BE03A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0" w15:restartNumberingAfterBreak="0">
    <w:nsid w:val="28BC600D"/>
    <w:multiLevelType w:val="multilevel"/>
    <w:tmpl w:val="5824F9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1" w15:restartNumberingAfterBreak="0">
    <w:nsid w:val="290843DF"/>
    <w:multiLevelType w:val="multilevel"/>
    <w:tmpl w:val="FC92F4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2" w15:restartNumberingAfterBreak="0">
    <w:nsid w:val="2910772E"/>
    <w:multiLevelType w:val="multilevel"/>
    <w:tmpl w:val="064872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3" w15:restartNumberingAfterBreak="0">
    <w:nsid w:val="297A6DAF"/>
    <w:multiLevelType w:val="multilevel"/>
    <w:tmpl w:val="5268BA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4" w15:restartNumberingAfterBreak="0">
    <w:nsid w:val="29DD410E"/>
    <w:multiLevelType w:val="multilevel"/>
    <w:tmpl w:val="E1F87F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5" w15:restartNumberingAfterBreak="0">
    <w:nsid w:val="29E02A1C"/>
    <w:multiLevelType w:val="multilevel"/>
    <w:tmpl w:val="591E68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6" w15:restartNumberingAfterBreak="0">
    <w:nsid w:val="29F95E53"/>
    <w:multiLevelType w:val="multilevel"/>
    <w:tmpl w:val="A810099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7" w15:restartNumberingAfterBreak="0">
    <w:nsid w:val="29FD799A"/>
    <w:multiLevelType w:val="multilevel"/>
    <w:tmpl w:val="A1DAC46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8" w15:restartNumberingAfterBreak="0">
    <w:nsid w:val="2A065ABF"/>
    <w:multiLevelType w:val="multilevel"/>
    <w:tmpl w:val="2FBA3F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9" w15:restartNumberingAfterBreak="0">
    <w:nsid w:val="2A194BB1"/>
    <w:multiLevelType w:val="multilevel"/>
    <w:tmpl w:val="035C4F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0" w15:restartNumberingAfterBreak="0">
    <w:nsid w:val="2A3604F2"/>
    <w:multiLevelType w:val="multilevel"/>
    <w:tmpl w:val="F2D68A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1" w15:restartNumberingAfterBreak="0">
    <w:nsid w:val="2A6177CA"/>
    <w:multiLevelType w:val="multilevel"/>
    <w:tmpl w:val="9D66E5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2" w15:restartNumberingAfterBreak="0">
    <w:nsid w:val="2A7D492B"/>
    <w:multiLevelType w:val="multilevel"/>
    <w:tmpl w:val="90CA1F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3" w15:restartNumberingAfterBreak="0">
    <w:nsid w:val="2AEF60BA"/>
    <w:multiLevelType w:val="multilevel"/>
    <w:tmpl w:val="3528CA4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4" w15:restartNumberingAfterBreak="0">
    <w:nsid w:val="2B267C21"/>
    <w:multiLevelType w:val="multilevel"/>
    <w:tmpl w:val="97A2B4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5" w15:restartNumberingAfterBreak="0">
    <w:nsid w:val="2B412674"/>
    <w:multiLevelType w:val="multilevel"/>
    <w:tmpl w:val="DEE6DA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6" w15:restartNumberingAfterBreak="0">
    <w:nsid w:val="2B661262"/>
    <w:multiLevelType w:val="multilevel"/>
    <w:tmpl w:val="DBF87D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7" w15:restartNumberingAfterBreak="0">
    <w:nsid w:val="2BDC5920"/>
    <w:multiLevelType w:val="multilevel"/>
    <w:tmpl w:val="F2C630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8" w15:restartNumberingAfterBreak="0">
    <w:nsid w:val="2BFF0ACB"/>
    <w:multiLevelType w:val="multilevel"/>
    <w:tmpl w:val="67F8F4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9" w15:restartNumberingAfterBreak="0">
    <w:nsid w:val="2C1D14E0"/>
    <w:multiLevelType w:val="multilevel"/>
    <w:tmpl w:val="29ACF4A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0" w15:restartNumberingAfterBreak="0">
    <w:nsid w:val="2C266F3C"/>
    <w:multiLevelType w:val="multilevel"/>
    <w:tmpl w:val="589E364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1" w15:restartNumberingAfterBreak="0">
    <w:nsid w:val="2C32280E"/>
    <w:multiLevelType w:val="multilevel"/>
    <w:tmpl w:val="DC6CD8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2" w15:restartNumberingAfterBreak="0">
    <w:nsid w:val="2C4D43F6"/>
    <w:multiLevelType w:val="multilevel"/>
    <w:tmpl w:val="E92A74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3" w15:restartNumberingAfterBreak="0">
    <w:nsid w:val="2C544897"/>
    <w:multiLevelType w:val="multilevel"/>
    <w:tmpl w:val="0BAABA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4" w15:restartNumberingAfterBreak="0">
    <w:nsid w:val="2CE3448F"/>
    <w:multiLevelType w:val="multilevel"/>
    <w:tmpl w:val="A95E2F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5" w15:restartNumberingAfterBreak="0">
    <w:nsid w:val="2CE577E6"/>
    <w:multiLevelType w:val="multilevel"/>
    <w:tmpl w:val="F086F0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6" w15:restartNumberingAfterBreak="0">
    <w:nsid w:val="2D5433EE"/>
    <w:multiLevelType w:val="multilevel"/>
    <w:tmpl w:val="C36CC0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7" w15:restartNumberingAfterBreak="0">
    <w:nsid w:val="2D681B53"/>
    <w:multiLevelType w:val="multilevel"/>
    <w:tmpl w:val="F61C43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8" w15:restartNumberingAfterBreak="0">
    <w:nsid w:val="2DC05E6F"/>
    <w:multiLevelType w:val="multilevel"/>
    <w:tmpl w:val="15B2B01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9" w15:restartNumberingAfterBreak="0">
    <w:nsid w:val="2DE022FB"/>
    <w:multiLevelType w:val="multilevel"/>
    <w:tmpl w:val="5204CFD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0" w15:restartNumberingAfterBreak="0">
    <w:nsid w:val="2E6E5D8C"/>
    <w:multiLevelType w:val="multilevel"/>
    <w:tmpl w:val="F61E82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1" w15:restartNumberingAfterBreak="0">
    <w:nsid w:val="2E75705A"/>
    <w:multiLevelType w:val="multilevel"/>
    <w:tmpl w:val="16E231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2" w15:restartNumberingAfterBreak="0">
    <w:nsid w:val="2EBF14F5"/>
    <w:multiLevelType w:val="multilevel"/>
    <w:tmpl w:val="457AEC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3" w15:restartNumberingAfterBreak="0">
    <w:nsid w:val="2F4E7CF9"/>
    <w:multiLevelType w:val="multilevel"/>
    <w:tmpl w:val="60C60F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4" w15:restartNumberingAfterBreak="0">
    <w:nsid w:val="2F8C5A4D"/>
    <w:multiLevelType w:val="multilevel"/>
    <w:tmpl w:val="F5CE8A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5" w15:restartNumberingAfterBreak="0">
    <w:nsid w:val="2FB858E4"/>
    <w:multiLevelType w:val="multilevel"/>
    <w:tmpl w:val="E982DB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6" w15:restartNumberingAfterBreak="0">
    <w:nsid w:val="2FBD0F53"/>
    <w:multiLevelType w:val="multilevel"/>
    <w:tmpl w:val="0C1855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7" w15:restartNumberingAfterBreak="0">
    <w:nsid w:val="30433C6A"/>
    <w:multiLevelType w:val="multilevel"/>
    <w:tmpl w:val="036CC0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8" w15:restartNumberingAfterBreak="0">
    <w:nsid w:val="304C224C"/>
    <w:multiLevelType w:val="multilevel"/>
    <w:tmpl w:val="DAFC81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9" w15:restartNumberingAfterBreak="0">
    <w:nsid w:val="3074052C"/>
    <w:multiLevelType w:val="multilevel"/>
    <w:tmpl w:val="579C70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0" w15:restartNumberingAfterBreak="0">
    <w:nsid w:val="311071B0"/>
    <w:multiLevelType w:val="multilevel"/>
    <w:tmpl w:val="8A3826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1" w15:restartNumberingAfterBreak="0">
    <w:nsid w:val="31CE5FA5"/>
    <w:multiLevelType w:val="multilevel"/>
    <w:tmpl w:val="1952A8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2" w15:restartNumberingAfterBreak="0">
    <w:nsid w:val="32ED75AF"/>
    <w:multiLevelType w:val="multilevel"/>
    <w:tmpl w:val="1D70DB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3" w15:restartNumberingAfterBreak="0">
    <w:nsid w:val="34457289"/>
    <w:multiLevelType w:val="multilevel"/>
    <w:tmpl w:val="6FDE3B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4" w15:restartNumberingAfterBreak="0">
    <w:nsid w:val="34A60727"/>
    <w:multiLevelType w:val="multilevel"/>
    <w:tmpl w:val="099AABE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5" w15:restartNumberingAfterBreak="0">
    <w:nsid w:val="34EE58E7"/>
    <w:multiLevelType w:val="multilevel"/>
    <w:tmpl w:val="980EE6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6" w15:restartNumberingAfterBreak="0">
    <w:nsid w:val="35C33D37"/>
    <w:multiLevelType w:val="multilevel"/>
    <w:tmpl w:val="412C81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7" w15:restartNumberingAfterBreak="0">
    <w:nsid w:val="360D4EA7"/>
    <w:multiLevelType w:val="multilevel"/>
    <w:tmpl w:val="2A4625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8" w15:restartNumberingAfterBreak="0">
    <w:nsid w:val="36267FA3"/>
    <w:multiLevelType w:val="multilevel"/>
    <w:tmpl w:val="DB328C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9" w15:restartNumberingAfterBreak="0">
    <w:nsid w:val="369362EA"/>
    <w:multiLevelType w:val="multilevel"/>
    <w:tmpl w:val="F40050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0" w15:restartNumberingAfterBreak="0">
    <w:nsid w:val="371428E1"/>
    <w:multiLevelType w:val="multilevel"/>
    <w:tmpl w:val="046C0D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1" w15:restartNumberingAfterBreak="0">
    <w:nsid w:val="37D82A9C"/>
    <w:multiLevelType w:val="multilevel"/>
    <w:tmpl w:val="A08CC7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2" w15:restartNumberingAfterBreak="0">
    <w:nsid w:val="388E4DAE"/>
    <w:multiLevelType w:val="multilevel"/>
    <w:tmpl w:val="803C01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3" w15:restartNumberingAfterBreak="0">
    <w:nsid w:val="38EA3067"/>
    <w:multiLevelType w:val="multilevel"/>
    <w:tmpl w:val="517C9A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4" w15:restartNumberingAfterBreak="0">
    <w:nsid w:val="393574FB"/>
    <w:multiLevelType w:val="multilevel"/>
    <w:tmpl w:val="0474260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5" w15:restartNumberingAfterBreak="0">
    <w:nsid w:val="3A2D15DB"/>
    <w:multiLevelType w:val="multilevel"/>
    <w:tmpl w:val="41ACC2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6" w15:restartNumberingAfterBreak="0">
    <w:nsid w:val="3ABE3B61"/>
    <w:multiLevelType w:val="multilevel"/>
    <w:tmpl w:val="69DCA8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7" w15:restartNumberingAfterBreak="0">
    <w:nsid w:val="3AF80246"/>
    <w:multiLevelType w:val="multilevel"/>
    <w:tmpl w:val="B4B8A36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8" w15:restartNumberingAfterBreak="0">
    <w:nsid w:val="3AFD4653"/>
    <w:multiLevelType w:val="multilevel"/>
    <w:tmpl w:val="614E4DA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9" w15:restartNumberingAfterBreak="0">
    <w:nsid w:val="3B7D76DE"/>
    <w:multiLevelType w:val="multilevel"/>
    <w:tmpl w:val="EFFE9D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0" w15:restartNumberingAfterBreak="0">
    <w:nsid w:val="3B8D49FF"/>
    <w:multiLevelType w:val="multilevel"/>
    <w:tmpl w:val="1D6E627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1" w15:restartNumberingAfterBreak="0">
    <w:nsid w:val="3BA147B0"/>
    <w:multiLevelType w:val="multilevel"/>
    <w:tmpl w:val="C4EAE1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2" w15:restartNumberingAfterBreak="0">
    <w:nsid w:val="3C001EAD"/>
    <w:multiLevelType w:val="multilevel"/>
    <w:tmpl w:val="3028D7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3" w15:restartNumberingAfterBreak="0">
    <w:nsid w:val="3D181454"/>
    <w:multiLevelType w:val="multilevel"/>
    <w:tmpl w:val="0F0E0C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4" w15:restartNumberingAfterBreak="0">
    <w:nsid w:val="3DA17911"/>
    <w:multiLevelType w:val="multilevel"/>
    <w:tmpl w:val="B6CE95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5" w15:restartNumberingAfterBreak="0">
    <w:nsid w:val="3DE673C6"/>
    <w:multiLevelType w:val="multilevel"/>
    <w:tmpl w:val="9BF0F11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6" w15:restartNumberingAfterBreak="0">
    <w:nsid w:val="3E4A6888"/>
    <w:multiLevelType w:val="multilevel"/>
    <w:tmpl w:val="FF0613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7" w15:restartNumberingAfterBreak="0">
    <w:nsid w:val="3E7B3E03"/>
    <w:multiLevelType w:val="multilevel"/>
    <w:tmpl w:val="566866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8" w15:restartNumberingAfterBreak="0">
    <w:nsid w:val="3EA327C0"/>
    <w:multiLevelType w:val="multilevel"/>
    <w:tmpl w:val="6C0ED3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9" w15:restartNumberingAfterBreak="0">
    <w:nsid w:val="3F3D4FD1"/>
    <w:multiLevelType w:val="multilevel"/>
    <w:tmpl w:val="9E8033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0" w15:restartNumberingAfterBreak="0">
    <w:nsid w:val="3F446231"/>
    <w:multiLevelType w:val="multilevel"/>
    <w:tmpl w:val="99027E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1" w15:restartNumberingAfterBreak="0">
    <w:nsid w:val="3F7C2E3F"/>
    <w:multiLevelType w:val="multilevel"/>
    <w:tmpl w:val="C9DEF2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2" w15:restartNumberingAfterBreak="0">
    <w:nsid w:val="3FEB4F1A"/>
    <w:multiLevelType w:val="multilevel"/>
    <w:tmpl w:val="A8C892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3" w15:restartNumberingAfterBreak="0">
    <w:nsid w:val="400D6A42"/>
    <w:multiLevelType w:val="multilevel"/>
    <w:tmpl w:val="53461A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4" w15:restartNumberingAfterBreak="0">
    <w:nsid w:val="40280459"/>
    <w:multiLevelType w:val="multilevel"/>
    <w:tmpl w:val="CD90B4C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5" w15:restartNumberingAfterBreak="0">
    <w:nsid w:val="402A57E0"/>
    <w:multiLevelType w:val="multilevel"/>
    <w:tmpl w:val="EA9887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6" w15:restartNumberingAfterBreak="0">
    <w:nsid w:val="4083202A"/>
    <w:multiLevelType w:val="multilevel"/>
    <w:tmpl w:val="6BBEBF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7" w15:restartNumberingAfterBreak="0">
    <w:nsid w:val="40AF430B"/>
    <w:multiLevelType w:val="multilevel"/>
    <w:tmpl w:val="5D6692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8" w15:restartNumberingAfterBreak="0">
    <w:nsid w:val="414836C8"/>
    <w:multiLevelType w:val="multilevel"/>
    <w:tmpl w:val="9C0878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9" w15:restartNumberingAfterBreak="0">
    <w:nsid w:val="419A72CD"/>
    <w:multiLevelType w:val="multilevel"/>
    <w:tmpl w:val="D34A513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0" w15:restartNumberingAfterBreak="0">
    <w:nsid w:val="41AD4847"/>
    <w:multiLevelType w:val="multilevel"/>
    <w:tmpl w:val="3348DC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1" w15:restartNumberingAfterBreak="0">
    <w:nsid w:val="41B86DBD"/>
    <w:multiLevelType w:val="multilevel"/>
    <w:tmpl w:val="64F2F5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2" w15:restartNumberingAfterBreak="0">
    <w:nsid w:val="41D726E6"/>
    <w:multiLevelType w:val="multilevel"/>
    <w:tmpl w:val="EA7C3D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3" w15:restartNumberingAfterBreak="0">
    <w:nsid w:val="42951C46"/>
    <w:multiLevelType w:val="multilevel"/>
    <w:tmpl w:val="DA2EB7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4" w15:restartNumberingAfterBreak="0">
    <w:nsid w:val="429C1ADD"/>
    <w:multiLevelType w:val="multilevel"/>
    <w:tmpl w:val="93BC31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5" w15:restartNumberingAfterBreak="0">
    <w:nsid w:val="42DD5AFA"/>
    <w:multiLevelType w:val="multilevel"/>
    <w:tmpl w:val="F00212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6" w15:restartNumberingAfterBreak="0">
    <w:nsid w:val="42DF31E7"/>
    <w:multiLevelType w:val="multilevel"/>
    <w:tmpl w:val="48180C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7" w15:restartNumberingAfterBreak="0">
    <w:nsid w:val="43EA2428"/>
    <w:multiLevelType w:val="multilevel"/>
    <w:tmpl w:val="873CA96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8" w15:restartNumberingAfterBreak="0">
    <w:nsid w:val="43EF6CE6"/>
    <w:multiLevelType w:val="multilevel"/>
    <w:tmpl w:val="EC5297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9" w15:restartNumberingAfterBreak="0">
    <w:nsid w:val="441D416D"/>
    <w:multiLevelType w:val="multilevel"/>
    <w:tmpl w:val="795EA4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0" w15:restartNumberingAfterBreak="0">
    <w:nsid w:val="441F0D90"/>
    <w:multiLevelType w:val="multilevel"/>
    <w:tmpl w:val="F5EE33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1" w15:restartNumberingAfterBreak="0">
    <w:nsid w:val="441F2677"/>
    <w:multiLevelType w:val="multilevel"/>
    <w:tmpl w:val="A73890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2" w15:restartNumberingAfterBreak="0">
    <w:nsid w:val="44301849"/>
    <w:multiLevelType w:val="multilevel"/>
    <w:tmpl w:val="B33440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3" w15:restartNumberingAfterBreak="0">
    <w:nsid w:val="443610EC"/>
    <w:multiLevelType w:val="multilevel"/>
    <w:tmpl w:val="B6AC9BF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4" w15:restartNumberingAfterBreak="0">
    <w:nsid w:val="44A64D31"/>
    <w:multiLevelType w:val="multilevel"/>
    <w:tmpl w:val="4614DB3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5" w15:restartNumberingAfterBreak="0">
    <w:nsid w:val="469C1C17"/>
    <w:multiLevelType w:val="multilevel"/>
    <w:tmpl w:val="C4DC9E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6" w15:restartNumberingAfterBreak="0">
    <w:nsid w:val="472F280B"/>
    <w:multiLevelType w:val="multilevel"/>
    <w:tmpl w:val="BC7202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7" w15:restartNumberingAfterBreak="0">
    <w:nsid w:val="47804E50"/>
    <w:multiLevelType w:val="multilevel"/>
    <w:tmpl w:val="540A5D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8" w15:restartNumberingAfterBreak="0">
    <w:nsid w:val="479E4BD4"/>
    <w:multiLevelType w:val="multilevel"/>
    <w:tmpl w:val="96A6D42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9" w15:restartNumberingAfterBreak="0">
    <w:nsid w:val="47D50544"/>
    <w:multiLevelType w:val="multilevel"/>
    <w:tmpl w:val="6BE6B4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0" w15:restartNumberingAfterBreak="0">
    <w:nsid w:val="48372B21"/>
    <w:multiLevelType w:val="multilevel"/>
    <w:tmpl w:val="86A4BB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1" w15:restartNumberingAfterBreak="0">
    <w:nsid w:val="487B5BA6"/>
    <w:multiLevelType w:val="multilevel"/>
    <w:tmpl w:val="8A2C53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2" w15:restartNumberingAfterBreak="0">
    <w:nsid w:val="488E2AD5"/>
    <w:multiLevelType w:val="multilevel"/>
    <w:tmpl w:val="C79889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3" w15:restartNumberingAfterBreak="0">
    <w:nsid w:val="48CC7D8A"/>
    <w:multiLevelType w:val="multilevel"/>
    <w:tmpl w:val="C12077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4" w15:restartNumberingAfterBreak="0">
    <w:nsid w:val="4A2F27F7"/>
    <w:multiLevelType w:val="multilevel"/>
    <w:tmpl w:val="E09C46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5" w15:restartNumberingAfterBreak="0">
    <w:nsid w:val="4A4574B4"/>
    <w:multiLevelType w:val="multilevel"/>
    <w:tmpl w:val="FEE686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6" w15:restartNumberingAfterBreak="0">
    <w:nsid w:val="4A667B4A"/>
    <w:multiLevelType w:val="multilevel"/>
    <w:tmpl w:val="47D6633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7" w15:restartNumberingAfterBreak="0">
    <w:nsid w:val="4A7656A3"/>
    <w:multiLevelType w:val="multilevel"/>
    <w:tmpl w:val="CFB85B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8" w15:restartNumberingAfterBreak="0">
    <w:nsid w:val="4ABB3E01"/>
    <w:multiLevelType w:val="multilevel"/>
    <w:tmpl w:val="D070F4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9" w15:restartNumberingAfterBreak="0">
    <w:nsid w:val="4BC22427"/>
    <w:multiLevelType w:val="multilevel"/>
    <w:tmpl w:val="67384D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0" w15:restartNumberingAfterBreak="0">
    <w:nsid w:val="4BD90AAC"/>
    <w:multiLevelType w:val="multilevel"/>
    <w:tmpl w:val="2B76C7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1" w15:restartNumberingAfterBreak="0">
    <w:nsid w:val="4CB21AF3"/>
    <w:multiLevelType w:val="multilevel"/>
    <w:tmpl w:val="3A2037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2" w15:restartNumberingAfterBreak="0">
    <w:nsid w:val="4CEB0A64"/>
    <w:multiLevelType w:val="multilevel"/>
    <w:tmpl w:val="9FAAE4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3" w15:restartNumberingAfterBreak="0">
    <w:nsid w:val="4D101BA8"/>
    <w:multiLevelType w:val="multilevel"/>
    <w:tmpl w:val="5F34D4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4" w15:restartNumberingAfterBreak="0">
    <w:nsid w:val="4D2718AB"/>
    <w:multiLevelType w:val="multilevel"/>
    <w:tmpl w:val="F74CAB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5" w15:restartNumberingAfterBreak="0">
    <w:nsid w:val="4D7E2ACE"/>
    <w:multiLevelType w:val="multilevel"/>
    <w:tmpl w:val="CABE93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6" w15:restartNumberingAfterBreak="0">
    <w:nsid w:val="4E2C2295"/>
    <w:multiLevelType w:val="multilevel"/>
    <w:tmpl w:val="AE1859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7" w15:restartNumberingAfterBreak="0">
    <w:nsid w:val="4E3C11AE"/>
    <w:multiLevelType w:val="multilevel"/>
    <w:tmpl w:val="E31AD85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8" w15:restartNumberingAfterBreak="0">
    <w:nsid w:val="4E61362A"/>
    <w:multiLevelType w:val="multilevel"/>
    <w:tmpl w:val="744E44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9" w15:restartNumberingAfterBreak="0">
    <w:nsid w:val="4E9B58C1"/>
    <w:multiLevelType w:val="multilevel"/>
    <w:tmpl w:val="783872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0" w15:restartNumberingAfterBreak="0">
    <w:nsid w:val="4ED46B6C"/>
    <w:multiLevelType w:val="multilevel"/>
    <w:tmpl w:val="CB24DD4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1" w15:restartNumberingAfterBreak="0">
    <w:nsid w:val="4F3E378F"/>
    <w:multiLevelType w:val="multilevel"/>
    <w:tmpl w:val="321E145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2" w15:restartNumberingAfterBreak="0">
    <w:nsid w:val="50226023"/>
    <w:multiLevelType w:val="multilevel"/>
    <w:tmpl w:val="B5E49A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3" w15:restartNumberingAfterBreak="0">
    <w:nsid w:val="504704CF"/>
    <w:multiLevelType w:val="multilevel"/>
    <w:tmpl w:val="550059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4" w15:restartNumberingAfterBreak="0">
    <w:nsid w:val="50703217"/>
    <w:multiLevelType w:val="multilevel"/>
    <w:tmpl w:val="D3A860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5" w15:restartNumberingAfterBreak="0">
    <w:nsid w:val="50BD2489"/>
    <w:multiLevelType w:val="multilevel"/>
    <w:tmpl w:val="A9DCD3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6" w15:restartNumberingAfterBreak="0">
    <w:nsid w:val="51213347"/>
    <w:multiLevelType w:val="multilevel"/>
    <w:tmpl w:val="C8C23B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7" w15:restartNumberingAfterBreak="0">
    <w:nsid w:val="51880458"/>
    <w:multiLevelType w:val="multilevel"/>
    <w:tmpl w:val="952087D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8" w15:restartNumberingAfterBreak="0">
    <w:nsid w:val="51B73137"/>
    <w:multiLevelType w:val="multilevel"/>
    <w:tmpl w:val="966AF4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9" w15:restartNumberingAfterBreak="0">
    <w:nsid w:val="51E75B34"/>
    <w:multiLevelType w:val="multilevel"/>
    <w:tmpl w:val="356C00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0" w15:restartNumberingAfterBreak="0">
    <w:nsid w:val="51FE5711"/>
    <w:multiLevelType w:val="multilevel"/>
    <w:tmpl w:val="BE8459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1" w15:restartNumberingAfterBreak="0">
    <w:nsid w:val="52054E22"/>
    <w:multiLevelType w:val="multilevel"/>
    <w:tmpl w:val="5AD409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2" w15:restartNumberingAfterBreak="0">
    <w:nsid w:val="52252B7E"/>
    <w:multiLevelType w:val="multilevel"/>
    <w:tmpl w:val="643E121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3" w15:restartNumberingAfterBreak="0">
    <w:nsid w:val="52764453"/>
    <w:multiLevelType w:val="multilevel"/>
    <w:tmpl w:val="DB8E4E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4" w15:restartNumberingAfterBreak="0">
    <w:nsid w:val="529E3BBE"/>
    <w:multiLevelType w:val="multilevel"/>
    <w:tmpl w:val="4E42C5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5" w15:restartNumberingAfterBreak="0">
    <w:nsid w:val="533C6AFB"/>
    <w:multiLevelType w:val="multilevel"/>
    <w:tmpl w:val="F78E96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6" w15:restartNumberingAfterBreak="0">
    <w:nsid w:val="535D5E0D"/>
    <w:multiLevelType w:val="multilevel"/>
    <w:tmpl w:val="C7AA370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7" w15:restartNumberingAfterBreak="0">
    <w:nsid w:val="53B628E7"/>
    <w:multiLevelType w:val="multilevel"/>
    <w:tmpl w:val="ABAC65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8" w15:restartNumberingAfterBreak="0">
    <w:nsid w:val="54381D76"/>
    <w:multiLevelType w:val="multilevel"/>
    <w:tmpl w:val="EFD6680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9" w15:restartNumberingAfterBreak="0">
    <w:nsid w:val="543C4EB9"/>
    <w:multiLevelType w:val="multilevel"/>
    <w:tmpl w:val="8A9290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0" w15:restartNumberingAfterBreak="0">
    <w:nsid w:val="544A6486"/>
    <w:multiLevelType w:val="multilevel"/>
    <w:tmpl w:val="724AFB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1" w15:restartNumberingAfterBreak="0">
    <w:nsid w:val="54BC797C"/>
    <w:multiLevelType w:val="multilevel"/>
    <w:tmpl w:val="B812FC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2" w15:restartNumberingAfterBreak="0">
    <w:nsid w:val="55E5785A"/>
    <w:multiLevelType w:val="multilevel"/>
    <w:tmpl w:val="E12844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3" w15:restartNumberingAfterBreak="0">
    <w:nsid w:val="56694F55"/>
    <w:multiLevelType w:val="multilevel"/>
    <w:tmpl w:val="6B565E1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4" w15:restartNumberingAfterBreak="0">
    <w:nsid w:val="56831F7E"/>
    <w:multiLevelType w:val="multilevel"/>
    <w:tmpl w:val="944CCF8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5" w15:restartNumberingAfterBreak="0">
    <w:nsid w:val="56C167D1"/>
    <w:multiLevelType w:val="multilevel"/>
    <w:tmpl w:val="310282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6" w15:restartNumberingAfterBreak="0">
    <w:nsid w:val="56E134BB"/>
    <w:multiLevelType w:val="multilevel"/>
    <w:tmpl w:val="304C25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7" w15:restartNumberingAfterBreak="0">
    <w:nsid w:val="56F005FC"/>
    <w:multiLevelType w:val="multilevel"/>
    <w:tmpl w:val="66B461E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8" w15:restartNumberingAfterBreak="0">
    <w:nsid w:val="57133971"/>
    <w:multiLevelType w:val="multilevel"/>
    <w:tmpl w:val="DF16FA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9" w15:restartNumberingAfterBreak="0">
    <w:nsid w:val="57257FA6"/>
    <w:multiLevelType w:val="multilevel"/>
    <w:tmpl w:val="CB5E7D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0" w15:restartNumberingAfterBreak="0">
    <w:nsid w:val="57907421"/>
    <w:multiLevelType w:val="multilevel"/>
    <w:tmpl w:val="A9BAB6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1" w15:restartNumberingAfterBreak="0">
    <w:nsid w:val="579F3D08"/>
    <w:multiLevelType w:val="multilevel"/>
    <w:tmpl w:val="19E029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2" w15:restartNumberingAfterBreak="0">
    <w:nsid w:val="57C85D9C"/>
    <w:multiLevelType w:val="multilevel"/>
    <w:tmpl w:val="0CF466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3" w15:restartNumberingAfterBreak="0">
    <w:nsid w:val="580C06CB"/>
    <w:multiLevelType w:val="multilevel"/>
    <w:tmpl w:val="7766F6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4" w15:restartNumberingAfterBreak="0">
    <w:nsid w:val="588354CA"/>
    <w:multiLevelType w:val="multilevel"/>
    <w:tmpl w:val="3D6268D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5" w15:restartNumberingAfterBreak="0">
    <w:nsid w:val="590E48E5"/>
    <w:multiLevelType w:val="multilevel"/>
    <w:tmpl w:val="93A834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6" w15:restartNumberingAfterBreak="0">
    <w:nsid w:val="5924136D"/>
    <w:multiLevelType w:val="multilevel"/>
    <w:tmpl w:val="DED070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7" w15:restartNumberingAfterBreak="0">
    <w:nsid w:val="593E62BB"/>
    <w:multiLevelType w:val="multilevel"/>
    <w:tmpl w:val="D19CD5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8" w15:restartNumberingAfterBreak="0">
    <w:nsid w:val="59D911F7"/>
    <w:multiLevelType w:val="multilevel"/>
    <w:tmpl w:val="DDD26A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9" w15:restartNumberingAfterBreak="0">
    <w:nsid w:val="59F72003"/>
    <w:multiLevelType w:val="multilevel"/>
    <w:tmpl w:val="AF8AE4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0" w15:restartNumberingAfterBreak="0">
    <w:nsid w:val="5AF8324D"/>
    <w:multiLevelType w:val="multilevel"/>
    <w:tmpl w:val="C0A405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1" w15:restartNumberingAfterBreak="0">
    <w:nsid w:val="5B313EBA"/>
    <w:multiLevelType w:val="multilevel"/>
    <w:tmpl w:val="45D2D5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2" w15:restartNumberingAfterBreak="0">
    <w:nsid w:val="5B807ADC"/>
    <w:multiLevelType w:val="multilevel"/>
    <w:tmpl w:val="1C3217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3" w15:restartNumberingAfterBreak="0">
    <w:nsid w:val="5CB25FAC"/>
    <w:multiLevelType w:val="multilevel"/>
    <w:tmpl w:val="08AAB8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4" w15:restartNumberingAfterBreak="0">
    <w:nsid w:val="5D204F3F"/>
    <w:multiLevelType w:val="multilevel"/>
    <w:tmpl w:val="E3EC83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5" w15:restartNumberingAfterBreak="0">
    <w:nsid w:val="5D7E729D"/>
    <w:multiLevelType w:val="multilevel"/>
    <w:tmpl w:val="6CF6B49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6" w15:restartNumberingAfterBreak="0">
    <w:nsid w:val="5DDD3A73"/>
    <w:multiLevelType w:val="multilevel"/>
    <w:tmpl w:val="13F61C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7" w15:restartNumberingAfterBreak="0">
    <w:nsid w:val="5DE01568"/>
    <w:multiLevelType w:val="multilevel"/>
    <w:tmpl w:val="F6BC35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8" w15:restartNumberingAfterBreak="0">
    <w:nsid w:val="5DFD0682"/>
    <w:multiLevelType w:val="multilevel"/>
    <w:tmpl w:val="D66EB1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9" w15:restartNumberingAfterBreak="0">
    <w:nsid w:val="5F2560BC"/>
    <w:multiLevelType w:val="multilevel"/>
    <w:tmpl w:val="A76E93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0" w15:restartNumberingAfterBreak="0">
    <w:nsid w:val="60561F7E"/>
    <w:multiLevelType w:val="multilevel"/>
    <w:tmpl w:val="CDDC24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1" w15:restartNumberingAfterBreak="0">
    <w:nsid w:val="60AE3702"/>
    <w:multiLevelType w:val="multilevel"/>
    <w:tmpl w:val="E6D059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2" w15:restartNumberingAfterBreak="0">
    <w:nsid w:val="60CC4C1F"/>
    <w:multiLevelType w:val="multilevel"/>
    <w:tmpl w:val="FBF21C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3" w15:restartNumberingAfterBreak="0">
    <w:nsid w:val="61566E6F"/>
    <w:multiLevelType w:val="multilevel"/>
    <w:tmpl w:val="BC64D1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4" w15:restartNumberingAfterBreak="0">
    <w:nsid w:val="616235BB"/>
    <w:multiLevelType w:val="multilevel"/>
    <w:tmpl w:val="E5C6A3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5" w15:restartNumberingAfterBreak="0">
    <w:nsid w:val="61B35EFF"/>
    <w:multiLevelType w:val="multilevel"/>
    <w:tmpl w:val="5AA84E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6" w15:restartNumberingAfterBreak="0">
    <w:nsid w:val="628019CB"/>
    <w:multiLevelType w:val="multilevel"/>
    <w:tmpl w:val="525C1D2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7" w15:restartNumberingAfterBreak="0">
    <w:nsid w:val="62CF6721"/>
    <w:multiLevelType w:val="multilevel"/>
    <w:tmpl w:val="6AA6D3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8" w15:restartNumberingAfterBreak="0">
    <w:nsid w:val="62E06ACC"/>
    <w:multiLevelType w:val="multilevel"/>
    <w:tmpl w:val="AC4C91B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9" w15:restartNumberingAfterBreak="0">
    <w:nsid w:val="630157F0"/>
    <w:multiLevelType w:val="multilevel"/>
    <w:tmpl w:val="A8DCA4A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0" w15:restartNumberingAfterBreak="0">
    <w:nsid w:val="630621FD"/>
    <w:multiLevelType w:val="multilevel"/>
    <w:tmpl w:val="3022F6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1" w15:restartNumberingAfterBreak="0">
    <w:nsid w:val="63980046"/>
    <w:multiLevelType w:val="multilevel"/>
    <w:tmpl w:val="3F60C6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2" w15:restartNumberingAfterBreak="0">
    <w:nsid w:val="64AD1F68"/>
    <w:multiLevelType w:val="multilevel"/>
    <w:tmpl w:val="08F4C8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3" w15:restartNumberingAfterBreak="0">
    <w:nsid w:val="64DD445E"/>
    <w:multiLevelType w:val="multilevel"/>
    <w:tmpl w:val="2E6A14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4" w15:restartNumberingAfterBreak="0">
    <w:nsid w:val="651C335A"/>
    <w:multiLevelType w:val="multilevel"/>
    <w:tmpl w:val="6F8CE1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5" w15:restartNumberingAfterBreak="0">
    <w:nsid w:val="65314641"/>
    <w:multiLevelType w:val="multilevel"/>
    <w:tmpl w:val="D55845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6" w15:restartNumberingAfterBreak="0">
    <w:nsid w:val="65874040"/>
    <w:multiLevelType w:val="multilevel"/>
    <w:tmpl w:val="1C6A55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7" w15:restartNumberingAfterBreak="0">
    <w:nsid w:val="659556CE"/>
    <w:multiLevelType w:val="multilevel"/>
    <w:tmpl w:val="E8EE7A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8" w15:restartNumberingAfterBreak="0">
    <w:nsid w:val="65A119FA"/>
    <w:multiLevelType w:val="multilevel"/>
    <w:tmpl w:val="65A4AE4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9" w15:restartNumberingAfterBreak="0">
    <w:nsid w:val="65A37A49"/>
    <w:multiLevelType w:val="multilevel"/>
    <w:tmpl w:val="503A19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0" w15:restartNumberingAfterBreak="0">
    <w:nsid w:val="661B5D65"/>
    <w:multiLevelType w:val="multilevel"/>
    <w:tmpl w:val="57F234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1" w15:restartNumberingAfterBreak="0">
    <w:nsid w:val="668A15E1"/>
    <w:multiLevelType w:val="multilevel"/>
    <w:tmpl w:val="1B7E3A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2" w15:restartNumberingAfterBreak="0">
    <w:nsid w:val="66A92A78"/>
    <w:multiLevelType w:val="multilevel"/>
    <w:tmpl w:val="DFDCB8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3" w15:restartNumberingAfterBreak="0">
    <w:nsid w:val="66B86ED1"/>
    <w:multiLevelType w:val="multilevel"/>
    <w:tmpl w:val="278EFC7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4" w15:restartNumberingAfterBreak="0">
    <w:nsid w:val="66FA5E83"/>
    <w:multiLevelType w:val="multilevel"/>
    <w:tmpl w:val="37423A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5" w15:restartNumberingAfterBreak="0">
    <w:nsid w:val="681E22EE"/>
    <w:multiLevelType w:val="multilevel"/>
    <w:tmpl w:val="687269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6" w15:restartNumberingAfterBreak="0">
    <w:nsid w:val="69D427B6"/>
    <w:multiLevelType w:val="multilevel"/>
    <w:tmpl w:val="4F7494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7" w15:restartNumberingAfterBreak="0">
    <w:nsid w:val="69D978B5"/>
    <w:multiLevelType w:val="multilevel"/>
    <w:tmpl w:val="F2E4C5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8" w15:restartNumberingAfterBreak="0">
    <w:nsid w:val="6AB3313B"/>
    <w:multiLevelType w:val="multilevel"/>
    <w:tmpl w:val="DF3EE8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9" w15:restartNumberingAfterBreak="0">
    <w:nsid w:val="6ACF4336"/>
    <w:multiLevelType w:val="multilevel"/>
    <w:tmpl w:val="4934BB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0" w15:restartNumberingAfterBreak="0">
    <w:nsid w:val="6BA01AFE"/>
    <w:multiLevelType w:val="multilevel"/>
    <w:tmpl w:val="506CD7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1" w15:restartNumberingAfterBreak="0">
    <w:nsid w:val="6BF14340"/>
    <w:multiLevelType w:val="multilevel"/>
    <w:tmpl w:val="5576E9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2" w15:restartNumberingAfterBreak="0">
    <w:nsid w:val="6C3D23AA"/>
    <w:multiLevelType w:val="multilevel"/>
    <w:tmpl w:val="DBA4B2D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3" w15:restartNumberingAfterBreak="0">
    <w:nsid w:val="6C4D0D31"/>
    <w:multiLevelType w:val="multilevel"/>
    <w:tmpl w:val="60F056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4" w15:restartNumberingAfterBreak="0">
    <w:nsid w:val="6C63623C"/>
    <w:multiLevelType w:val="multilevel"/>
    <w:tmpl w:val="A9DAC2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5" w15:restartNumberingAfterBreak="0">
    <w:nsid w:val="6C6705A1"/>
    <w:multiLevelType w:val="multilevel"/>
    <w:tmpl w:val="530426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6" w15:restartNumberingAfterBreak="0">
    <w:nsid w:val="6C734060"/>
    <w:multiLevelType w:val="multilevel"/>
    <w:tmpl w:val="D08AE5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7" w15:restartNumberingAfterBreak="0">
    <w:nsid w:val="6CB70958"/>
    <w:multiLevelType w:val="multilevel"/>
    <w:tmpl w:val="626080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8" w15:restartNumberingAfterBreak="0">
    <w:nsid w:val="6CE01FB4"/>
    <w:multiLevelType w:val="multilevel"/>
    <w:tmpl w:val="0D34D17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9" w15:restartNumberingAfterBreak="0">
    <w:nsid w:val="6D7D1D14"/>
    <w:multiLevelType w:val="multilevel"/>
    <w:tmpl w:val="982414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0" w15:restartNumberingAfterBreak="0">
    <w:nsid w:val="6D827574"/>
    <w:multiLevelType w:val="multilevel"/>
    <w:tmpl w:val="687853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1" w15:restartNumberingAfterBreak="0">
    <w:nsid w:val="6DB345F7"/>
    <w:multiLevelType w:val="multilevel"/>
    <w:tmpl w:val="99EA1F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2" w15:restartNumberingAfterBreak="0">
    <w:nsid w:val="6E13158D"/>
    <w:multiLevelType w:val="multilevel"/>
    <w:tmpl w:val="D27094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3" w15:restartNumberingAfterBreak="0">
    <w:nsid w:val="6EB42C59"/>
    <w:multiLevelType w:val="multilevel"/>
    <w:tmpl w:val="138C43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4" w15:restartNumberingAfterBreak="0">
    <w:nsid w:val="6EFF6F08"/>
    <w:multiLevelType w:val="multilevel"/>
    <w:tmpl w:val="851889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5" w15:restartNumberingAfterBreak="0">
    <w:nsid w:val="6F0609C4"/>
    <w:multiLevelType w:val="multilevel"/>
    <w:tmpl w:val="913AE4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6" w15:restartNumberingAfterBreak="0">
    <w:nsid w:val="6F5156BC"/>
    <w:multiLevelType w:val="multilevel"/>
    <w:tmpl w:val="86CCBD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7" w15:restartNumberingAfterBreak="0">
    <w:nsid w:val="6FA428E3"/>
    <w:multiLevelType w:val="multilevel"/>
    <w:tmpl w:val="9112FF1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8" w15:restartNumberingAfterBreak="0">
    <w:nsid w:val="6FB11911"/>
    <w:multiLevelType w:val="multilevel"/>
    <w:tmpl w:val="999EA76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9" w15:restartNumberingAfterBreak="0">
    <w:nsid w:val="700841AF"/>
    <w:multiLevelType w:val="multilevel"/>
    <w:tmpl w:val="509CC15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0" w15:restartNumberingAfterBreak="0">
    <w:nsid w:val="71B324EF"/>
    <w:multiLevelType w:val="multilevel"/>
    <w:tmpl w:val="4A1812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1" w15:restartNumberingAfterBreak="0">
    <w:nsid w:val="72C962AD"/>
    <w:multiLevelType w:val="multilevel"/>
    <w:tmpl w:val="CA9E9F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2" w15:restartNumberingAfterBreak="0">
    <w:nsid w:val="735F66B3"/>
    <w:multiLevelType w:val="multilevel"/>
    <w:tmpl w:val="468CED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3" w15:restartNumberingAfterBreak="0">
    <w:nsid w:val="74A77D65"/>
    <w:multiLevelType w:val="multilevel"/>
    <w:tmpl w:val="D9B20B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4" w15:restartNumberingAfterBreak="0">
    <w:nsid w:val="74CB6700"/>
    <w:multiLevelType w:val="multilevel"/>
    <w:tmpl w:val="8F286A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5" w15:restartNumberingAfterBreak="0">
    <w:nsid w:val="74D14B1A"/>
    <w:multiLevelType w:val="multilevel"/>
    <w:tmpl w:val="B4A0CB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6" w15:restartNumberingAfterBreak="0">
    <w:nsid w:val="74D27AF4"/>
    <w:multiLevelType w:val="multilevel"/>
    <w:tmpl w:val="84760AE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7" w15:restartNumberingAfterBreak="0">
    <w:nsid w:val="759F2847"/>
    <w:multiLevelType w:val="multilevel"/>
    <w:tmpl w:val="AF60A6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8" w15:restartNumberingAfterBreak="0">
    <w:nsid w:val="75E93DDB"/>
    <w:multiLevelType w:val="multilevel"/>
    <w:tmpl w:val="77705F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9" w15:restartNumberingAfterBreak="0">
    <w:nsid w:val="761563FB"/>
    <w:multiLevelType w:val="multilevel"/>
    <w:tmpl w:val="A788A9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0" w15:restartNumberingAfterBreak="0">
    <w:nsid w:val="766E1A6C"/>
    <w:multiLevelType w:val="multilevel"/>
    <w:tmpl w:val="D1C4C5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1" w15:restartNumberingAfterBreak="0">
    <w:nsid w:val="76934276"/>
    <w:multiLevelType w:val="multilevel"/>
    <w:tmpl w:val="EADCA45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2" w15:restartNumberingAfterBreak="0">
    <w:nsid w:val="772E7E19"/>
    <w:multiLevelType w:val="multilevel"/>
    <w:tmpl w:val="91C004C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3" w15:restartNumberingAfterBreak="0">
    <w:nsid w:val="77512A4E"/>
    <w:multiLevelType w:val="multilevel"/>
    <w:tmpl w:val="3F16B0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4" w15:restartNumberingAfterBreak="0">
    <w:nsid w:val="77B41897"/>
    <w:multiLevelType w:val="multilevel"/>
    <w:tmpl w:val="2FA8CD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5" w15:restartNumberingAfterBreak="0">
    <w:nsid w:val="78355CB6"/>
    <w:multiLevelType w:val="multilevel"/>
    <w:tmpl w:val="F77857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6" w15:restartNumberingAfterBreak="0">
    <w:nsid w:val="786513F3"/>
    <w:multiLevelType w:val="multilevel"/>
    <w:tmpl w:val="01E897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7" w15:restartNumberingAfterBreak="0">
    <w:nsid w:val="788C57CA"/>
    <w:multiLevelType w:val="multilevel"/>
    <w:tmpl w:val="3D0689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8" w15:restartNumberingAfterBreak="0">
    <w:nsid w:val="79005880"/>
    <w:multiLevelType w:val="multilevel"/>
    <w:tmpl w:val="E0607D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9" w15:restartNumberingAfterBreak="0">
    <w:nsid w:val="790A3743"/>
    <w:multiLevelType w:val="multilevel"/>
    <w:tmpl w:val="881E71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0" w15:restartNumberingAfterBreak="0">
    <w:nsid w:val="797D0131"/>
    <w:multiLevelType w:val="multilevel"/>
    <w:tmpl w:val="D180B5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1" w15:restartNumberingAfterBreak="0">
    <w:nsid w:val="79DE0DE5"/>
    <w:multiLevelType w:val="multilevel"/>
    <w:tmpl w:val="9F6A49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2" w15:restartNumberingAfterBreak="0">
    <w:nsid w:val="7A0D17E7"/>
    <w:multiLevelType w:val="multilevel"/>
    <w:tmpl w:val="475021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3" w15:restartNumberingAfterBreak="0">
    <w:nsid w:val="7A4F0E9D"/>
    <w:multiLevelType w:val="multilevel"/>
    <w:tmpl w:val="A796BE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4" w15:restartNumberingAfterBreak="0">
    <w:nsid w:val="7B11161B"/>
    <w:multiLevelType w:val="multilevel"/>
    <w:tmpl w:val="8DB628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5" w15:restartNumberingAfterBreak="0">
    <w:nsid w:val="7B8A3B87"/>
    <w:multiLevelType w:val="multilevel"/>
    <w:tmpl w:val="C4A6AB6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6" w15:restartNumberingAfterBreak="0">
    <w:nsid w:val="7B8E5CCD"/>
    <w:multiLevelType w:val="multilevel"/>
    <w:tmpl w:val="CF5CA2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7" w15:restartNumberingAfterBreak="0">
    <w:nsid w:val="7BE425E2"/>
    <w:multiLevelType w:val="multilevel"/>
    <w:tmpl w:val="FFE468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8" w15:restartNumberingAfterBreak="0">
    <w:nsid w:val="7C0B7AFE"/>
    <w:multiLevelType w:val="multilevel"/>
    <w:tmpl w:val="7EC49A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9" w15:restartNumberingAfterBreak="0">
    <w:nsid w:val="7C8D7657"/>
    <w:multiLevelType w:val="multilevel"/>
    <w:tmpl w:val="511E51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0" w15:restartNumberingAfterBreak="0">
    <w:nsid w:val="7C9F4598"/>
    <w:multiLevelType w:val="multilevel"/>
    <w:tmpl w:val="5C5C88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1" w15:restartNumberingAfterBreak="0">
    <w:nsid w:val="7D4055D3"/>
    <w:multiLevelType w:val="multilevel"/>
    <w:tmpl w:val="984E6D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2" w15:restartNumberingAfterBreak="0">
    <w:nsid w:val="7D50382D"/>
    <w:multiLevelType w:val="multilevel"/>
    <w:tmpl w:val="A7DE93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3" w15:restartNumberingAfterBreak="0">
    <w:nsid w:val="7DEB073D"/>
    <w:multiLevelType w:val="multilevel"/>
    <w:tmpl w:val="E38AC3F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4" w15:restartNumberingAfterBreak="0">
    <w:nsid w:val="7E6F31A7"/>
    <w:multiLevelType w:val="multilevel"/>
    <w:tmpl w:val="3F7621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5" w15:restartNumberingAfterBreak="0">
    <w:nsid w:val="7E9C7BDB"/>
    <w:multiLevelType w:val="multilevel"/>
    <w:tmpl w:val="BDA4EB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6" w15:restartNumberingAfterBreak="0">
    <w:nsid w:val="7EB35A26"/>
    <w:multiLevelType w:val="multilevel"/>
    <w:tmpl w:val="755850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7" w15:restartNumberingAfterBreak="0">
    <w:nsid w:val="7F0366CA"/>
    <w:multiLevelType w:val="multilevel"/>
    <w:tmpl w:val="4FB8A8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8" w15:restartNumberingAfterBreak="0">
    <w:nsid w:val="7FAF4319"/>
    <w:multiLevelType w:val="multilevel"/>
    <w:tmpl w:val="9300D1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026491895">
    <w:abstractNumId w:val="255"/>
  </w:num>
  <w:num w:numId="2" w16cid:durableId="1529837213">
    <w:abstractNumId w:val="346"/>
  </w:num>
  <w:num w:numId="3" w16cid:durableId="714701035">
    <w:abstractNumId w:val="152"/>
  </w:num>
  <w:num w:numId="4" w16cid:durableId="695425744">
    <w:abstractNumId w:val="130"/>
  </w:num>
  <w:num w:numId="5" w16cid:durableId="1585797131">
    <w:abstractNumId w:val="60"/>
  </w:num>
  <w:num w:numId="6" w16cid:durableId="715004270">
    <w:abstractNumId w:val="261"/>
  </w:num>
  <w:num w:numId="7" w16cid:durableId="1778021605">
    <w:abstractNumId w:val="228"/>
  </w:num>
  <w:num w:numId="8" w16cid:durableId="1824395806">
    <w:abstractNumId w:val="215"/>
  </w:num>
  <w:num w:numId="9" w16cid:durableId="1983193799">
    <w:abstractNumId w:val="203"/>
  </w:num>
  <w:num w:numId="10" w16cid:durableId="2031296241">
    <w:abstractNumId w:val="252"/>
  </w:num>
  <w:num w:numId="11" w16cid:durableId="321666207">
    <w:abstractNumId w:val="129"/>
  </w:num>
  <w:num w:numId="12" w16cid:durableId="1213615849">
    <w:abstractNumId w:val="337"/>
  </w:num>
  <w:num w:numId="13" w16cid:durableId="1130511582">
    <w:abstractNumId w:val="62"/>
  </w:num>
  <w:num w:numId="14" w16cid:durableId="1058213892">
    <w:abstractNumId w:val="186"/>
  </w:num>
  <w:num w:numId="15" w16cid:durableId="1893616350">
    <w:abstractNumId w:val="118"/>
  </w:num>
  <w:num w:numId="16" w16cid:durableId="1288783299">
    <w:abstractNumId w:val="354"/>
  </w:num>
  <w:num w:numId="17" w16cid:durableId="2063558733">
    <w:abstractNumId w:val="365"/>
  </w:num>
  <w:num w:numId="18" w16cid:durableId="701440497">
    <w:abstractNumId w:val="93"/>
  </w:num>
  <w:num w:numId="19" w16cid:durableId="2062943352">
    <w:abstractNumId w:val="227"/>
  </w:num>
  <w:num w:numId="20" w16cid:durableId="399593516">
    <w:abstractNumId w:val="46"/>
  </w:num>
  <w:num w:numId="21" w16cid:durableId="832838586">
    <w:abstractNumId w:val="297"/>
  </w:num>
  <w:num w:numId="22" w16cid:durableId="778372197">
    <w:abstractNumId w:val="341"/>
  </w:num>
  <w:num w:numId="23" w16cid:durableId="643892417">
    <w:abstractNumId w:val="198"/>
  </w:num>
  <w:num w:numId="24" w16cid:durableId="788358730">
    <w:abstractNumId w:val="51"/>
  </w:num>
  <w:num w:numId="25" w16cid:durableId="1792045521">
    <w:abstractNumId w:val="295"/>
  </w:num>
  <w:num w:numId="26" w16cid:durableId="1933589669">
    <w:abstractNumId w:val="109"/>
  </w:num>
  <w:num w:numId="27" w16cid:durableId="1444575543">
    <w:abstractNumId w:val="212"/>
  </w:num>
  <w:num w:numId="28" w16cid:durableId="1474785685">
    <w:abstractNumId w:val="14"/>
  </w:num>
  <w:num w:numId="29" w16cid:durableId="1623071187">
    <w:abstractNumId w:val="213"/>
  </w:num>
  <w:num w:numId="30" w16cid:durableId="34549966">
    <w:abstractNumId w:val="280"/>
  </w:num>
  <w:num w:numId="31" w16cid:durableId="74133399">
    <w:abstractNumId w:val="73"/>
  </w:num>
  <w:num w:numId="32" w16cid:durableId="1557357342">
    <w:abstractNumId w:val="338"/>
  </w:num>
  <w:num w:numId="33" w16cid:durableId="835146228">
    <w:abstractNumId w:val="208"/>
  </w:num>
  <w:num w:numId="34" w16cid:durableId="53235958">
    <w:abstractNumId w:val="236"/>
  </w:num>
  <w:num w:numId="35" w16cid:durableId="319892952">
    <w:abstractNumId w:val="154"/>
  </w:num>
  <w:num w:numId="36" w16cid:durableId="1959485470">
    <w:abstractNumId w:val="321"/>
  </w:num>
  <w:num w:numId="37" w16cid:durableId="473520800">
    <w:abstractNumId w:val="95"/>
  </w:num>
  <w:num w:numId="38" w16cid:durableId="702169853">
    <w:abstractNumId w:val="351"/>
  </w:num>
  <w:num w:numId="39" w16cid:durableId="1638099198">
    <w:abstractNumId w:val="76"/>
  </w:num>
  <w:num w:numId="40" w16cid:durableId="37164342">
    <w:abstractNumId w:val="111"/>
  </w:num>
  <w:num w:numId="41" w16cid:durableId="210465039">
    <w:abstractNumId w:val="298"/>
  </w:num>
  <w:num w:numId="42" w16cid:durableId="1505625829">
    <w:abstractNumId w:val="125"/>
  </w:num>
  <w:num w:numId="43" w16cid:durableId="532379130">
    <w:abstractNumId w:val="192"/>
  </w:num>
  <w:num w:numId="44" w16cid:durableId="1682856138">
    <w:abstractNumId w:val="177"/>
  </w:num>
  <w:num w:numId="45" w16cid:durableId="2102409014">
    <w:abstractNumId w:val="17"/>
  </w:num>
  <w:num w:numId="46" w16cid:durableId="472524125">
    <w:abstractNumId w:val="270"/>
  </w:num>
  <w:num w:numId="47" w16cid:durableId="381440846">
    <w:abstractNumId w:val="65"/>
  </w:num>
  <w:num w:numId="48" w16cid:durableId="1067267701">
    <w:abstractNumId w:val="104"/>
  </w:num>
  <w:num w:numId="49" w16cid:durableId="746995384">
    <w:abstractNumId w:val="272"/>
  </w:num>
  <w:num w:numId="50" w16cid:durableId="1162426462">
    <w:abstractNumId w:val="216"/>
  </w:num>
  <w:num w:numId="51" w16cid:durableId="609893192">
    <w:abstractNumId w:val="178"/>
  </w:num>
  <w:num w:numId="52" w16cid:durableId="933510470">
    <w:abstractNumId w:val="348"/>
  </w:num>
  <w:num w:numId="53" w16cid:durableId="306518660">
    <w:abstractNumId w:val="263"/>
  </w:num>
  <w:num w:numId="54" w16cid:durableId="1736657725">
    <w:abstractNumId w:val="360"/>
  </w:num>
  <w:num w:numId="55" w16cid:durableId="1794977495">
    <w:abstractNumId w:val="121"/>
  </w:num>
  <w:num w:numId="56" w16cid:durableId="148178655">
    <w:abstractNumId w:val="74"/>
  </w:num>
  <w:num w:numId="57" w16cid:durableId="1380206047">
    <w:abstractNumId w:val="271"/>
  </w:num>
  <w:num w:numId="58" w16cid:durableId="1894005529">
    <w:abstractNumId w:val="204"/>
  </w:num>
  <w:num w:numId="59" w16cid:durableId="186676526">
    <w:abstractNumId w:val="353"/>
  </w:num>
  <w:num w:numId="60" w16cid:durableId="2040230187">
    <w:abstractNumId w:val="148"/>
  </w:num>
  <w:num w:numId="61" w16cid:durableId="2101288976">
    <w:abstractNumId w:val="234"/>
  </w:num>
  <w:num w:numId="62" w16cid:durableId="1108820363">
    <w:abstractNumId w:val="168"/>
  </w:num>
  <w:num w:numId="63" w16cid:durableId="1360396707">
    <w:abstractNumId w:val="191"/>
  </w:num>
  <w:num w:numId="64" w16cid:durableId="1100564632">
    <w:abstractNumId w:val="367"/>
  </w:num>
  <w:num w:numId="65" w16cid:durableId="1283196405">
    <w:abstractNumId w:val="205"/>
  </w:num>
  <w:num w:numId="66" w16cid:durableId="355543353">
    <w:abstractNumId w:val="211"/>
  </w:num>
  <w:num w:numId="67" w16cid:durableId="475682686">
    <w:abstractNumId w:val="115"/>
  </w:num>
  <w:num w:numId="68" w16cid:durableId="840046740">
    <w:abstractNumId w:val="256"/>
  </w:num>
  <w:num w:numId="69" w16cid:durableId="57171092">
    <w:abstractNumId w:val="137"/>
  </w:num>
  <w:num w:numId="70" w16cid:durableId="892274862">
    <w:abstractNumId w:val="264"/>
  </w:num>
  <w:num w:numId="71" w16cid:durableId="881985404">
    <w:abstractNumId w:val="113"/>
  </w:num>
  <w:num w:numId="72" w16cid:durableId="641081835">
    <w:abstractNumId w:val="226"/>
  </w:num>
  <w:num w:numId="73" w16cid:durableId="1440372179">
    <w:abstractNumId w:val="347"/>
  </w:num>
  <w:num w:numId="74" w16cid:durableId="728769629">
    <w:abstractNumId w:val="174"/>
  </w:num>
  <w:num w:numId="75" w16cid:durableId="494340877">
    <w:abstractNumId w:val="133"/>
  </w:num>
  <w:num w:numId="76" w16cid:durableId="1807433766">
    <w:abstractNumId w:val="117"/>
  </w:num>
  <w:num w:numId="77" w16cid:durableId="2098743114">
    <w:abstractNumId w:val="146"/>
  </w:num>
  <w:num w:numId="78" w16cid:durableId="1047988525">
    <w:abstractNumId w:val="160"/>
  </w:num>
  <w:num w:numId="79" w16cid:durableId="772090643">
    <w:abstractNumId w:val="167"/>
  </w:num>
  <w:num w:numId="80" w16cid:durableId="440540723">
    <w:abstractNumId w:val="116"/>
  </w:num>
  <w:num w:numId="81" w16cid:durableId="2132939373">
    <w:abstractNumId w:val="243"/>
  </w:num>
  <w:num w:numId="82" w16cid:durableId="1997803975">
    <w:abstractNumId w:val="71"/>
  </w:num>
  <w:num w:numId="83" w16cid:durableId="308560731">
    <w:abstractNumId w:val="108"/>
  </w:num>
  <w:num w:numId="84" w16cid:durableId="1669092296">
    <w:abstractNumId w:val="180"/>
  </w:num>
  <w:num w:numId="85" w16cid:durableId="193428133">
    <w:abstractNumId w:val="258"/>
  </w:num>
  <w:num w:numId="86" w16cid:durableId="722826815">
    <w:abstractNumId w:val="318"/>
  </w:num>
  <w:num w:numId="87" w16cid:durableId="679815610">
    <w:abstractNumId w:val="56"/>
  </w:num>
  <w:num w:numId="88" w16cid:durableId="1354498851">
    <w:abstractNumId w:val="15"/>
  </w:num>
  <w:num w:numId="89" w16cid:durableId="974027467">
    <w:abstractNumId w:val="368"/>
  </w:num>
  <w:num w:numId="90" w16cid:durableId="1594897698">
    <w:abstractNumId w:val="78"/>
  </w:num>
  <w:num w:numId="91" w16cid:durableId="1894922402">
    <w:abstractNumId w:val="94"/>
  </w:num>
  <w:num w:numId="92" w16cid:durableId="1671520757">
    <w:abstractNumId w:val="299"/>
  </w:num>
  <w:num w:numId="93" w16cid:durableId="625162411">
    <w:abstractNumId w:val="184"/>
  </w:num>
  <w:num w:numId="94" w16cid:durableId="480730132">
    <w:abstractNumId w:val="214"/>
  </w:num>
  <w:num w:numId="95" w16cid:durableId="993097567">
    <w:abstractNumId w:val="98"/>
  </w:num>
  <w:num w:numId="96" w16cid:durableId="292683829">
    <w:abstractNumId w:val="232"/>
  </w:num>
  <w:num w:numId="97" w16cid:durableId="1522277982">
    <w:abstractNumId w:val="52"/>
  </w:num>
  <w:num w:numId="98" w16cid:durableId="920522487">
    <w:abstractNumId w:val="114"/>
  </w:num>
  <w:num w:numId="99" w16cid:durableId="158157778">
    <w:abstractNumId w:val="199"/>
  </w:num>
  <w:num w:numId="100" w16cid:durableId="1789465186">
    <w:abstractNumId w:val="34"/>
  </w:num>
  <w:num w:numId="101" w16cid:durableId="756053122">
    <w:abstractNumId w:val="361"/>
  </w:num>
  <w:num w:numId="102" w16cid:durableId="1387144168">
    <w:abstractNumId w:val="296"/>
  </w:num>
  <w:num w:numId="103" w16cid:durableId="264919883">
    <w:abstractNumId w:val="105"/>
  </w:num>
  <w:num w:numId="104" w16cid:durableId="1489204010">
    <w:abstractNumId w:val="100"/>
  </w:num>
  <w:num w:numId="105" w16cid:durableId="1220482653">
    <w:abstractNumId w:val="349"/>
  </w:num>
  <w:num w:numId="106" w16cid:durableId="2106684705">
    <w:abstractNumId w:val="141"/>
  </w:num>
  <w:num w:numId="107" w16cid:durableId="40516653">
    <w:abstractNumId w:val="206"/>
  </w:num>
  <w:num w:numId="108" w16cid:durableId="655961626">
    <w:abstractNumId w:val="275"/>
  </w:num>
  <w:num w:numId="109" w16cid:durableId="1025135598">
    <w:abstractNumId w:val="279"/>
  </w:num>
  <w:num w:numId="110" w16cid:durableId="1263806021">
    <w:abstractNumId w:val="44"/>
  </w:num>
  <w:num w:numId="111" w16cid:durableId="81150582">
    <w:abstractNumId w:val="324"/>
  </w:num>
  <w:num w:numId="112" w16cid:durableId="2059016048">
    <w:abstractNumId w:val="281"/>
  </w:num>
  <w:num w:numId="113" w16cid:durableId="1614284092">
    <w:abstractNumId w:val="249"/>
  </w:num>
  <w:num w:numId="114" w16cid:durableId="454524012">
    <w:abstractNumId w:val="328"/>
  </w:num>
  <w:num w:numId="115" w16cid:durableId="1703436351">
    <w:abstractNumId w:val="58"/>
  </w:num>
  <w:num w:numId="116" w16cid:durableId="475490116">
    <w:abstractNumId w:val="101"/>
  </w:num>
  <w:num w:numId="117" w16cid:durableId="2104065906">
    <w:abstractNumId w:val="357"/>
  </w:num>
  <w:num w:numId="118" w16cid:durableId="2048791491">
    <w:abstractNumId w:val="38"/>
  </w:num>
  <w:num w:numId="119" w16cid:durableId="1352415930">
    <w:abstractNumId w:val="207"/>
  </w:num>
  <w:num w:numId="120" w16cid:durableId="473525991">
    <w:abstractNumId w:val="142"/>
  </w:num>
  <w:num w:numId="121" w16cid:durableId="2105493715">
    <w:abstractNumId w:val="343"/>
  </w:num>
  <w:num w:numId="122" w16cid:durableId="2079479990">
    <w:abstractNumId w:val="3"/>
  </w:num>
  <w:num w:numId="123" w16cid:durableId="32002445">
    <w:abstractNumId w:val="362"/>
  </w:num>
  <w:num w:numId="124" w16cid:durableId="332798528">
    <w:abstractNumId w:val="209"/>
  </w:num>
  <w:num w:numId="125" w16cid:durableId="1875338407">
    <w:abstractNumId w:val="153"/>
  </w:num>
  <w:num w:numId="126" w16cid:durableId="1019937953">
    <w:abstractNumId w:val="344"/>
  </w:num>
  <w:num w:numId="127" w16cid:durableId="1762990733">
    <w:abstractNumId w:val="242"/>
  </w:num>
  <w:num w:numId="128" w16cid:durableId="1013729790">
    <w:abstractNumId w:val="210"/>
  </w:num>
  <w:num w:numId="129" w16cid:durableId="1000893066">
    <w:abstractNumId w:val="291"/>
  </w:num>
  <w:num w:numId="130" w16cid:durableId="786509856">
    <w:abstractNumId w:val="171"/>
  </w:num>
  <w:num w:numId="131" w16cid:durableId="1181968899">
    <w:abstractNumId w:val="333"/>
  </w:num>
  <w:num w:numId="132" w16cid:durableId="334770452">
    <w:abstractNumId w:val="179"/>
  </w:num>
  <w:num w:numId="133" w16cid:durableId="20671834">
    <w:abstractNumId w:val="49"/>
  </w:num>
  <w:num w:numId="134" w16cid:durableId="278802833">
    <w:abstractNumId w:val="266"/>
  </w:num>
  <w:num w:numId="135" w16cid:durableId="2126806297">
    <w:abstractNumId w:val="268"/>
  </w:num>
  <w:num w:numId="136" w16cid:durableId="1437823151">
    <w:abstractNumId w:val="10"/>
  </w:num>
  <w:num w:numId="137" w16cid:durableId="2100440303">
    <w:abstractNumId w:val="219"/>
  </w:num>
  <w:num w:numId="138" w16cid:durableId="976761844">
    <w:abstractNumId w:val="16"/>
  </w:num>
  <w:num w:numId="139" w16cid:durableId="1457719294">
    <w:abstractNumId w:val="284"/>
  </w:num>
  <w:num w:numId="140" w16cid:durableId="1227305238">
    <w:abstractNumId w:val="79"/>
  </w:num>
  <w:num w:numId="141" w16cid:durableId="1260603390">
    <w:abstractNumId w:val="302"/>
  </w:num>
  <w:num w:numId="142" w16cid:durableId="1272786010">
    <w:abstractNumId w:val="158"/>
  </w:num>
  <w:num w:numId="143" w16cid:durableId="1659187426">
    <w:abstractNumId w:val="155"/>
  </w:num>
  <w:num w:numId="144" w16cid:durableId="639532728">
    <w:abstractNumId w:val="355"/>
  </w:num>
  <w:num w:numId="145" w16cid:durableId="1760640593">
    <w:abstractNumId w:val="53"/>
  </w:num>
  <w:num w:numId="146" w16cid:durableId="1540583735">
    <w:abstractNumId w:val="312"/>
  </w:num>
  <w:num w:numId="147" w16cid:durableId="1922447000">
    <w:abstractNumId w:val="50"/>
  </w:num>
  <w:num w:numId="148" w16cid:durableId="98067700">
    <w:abstractNumId w:val="63"/>
  </w:num>
  <w:num w:numId="149" w16cid:durableId="93016068">
    <w:abstractNumId w:val="124"/>
  </w:num>
  <w:num w:numId="150" w16cid:durableId="1744639774">
    <w:abstractNumId w:val="315"/>
  </w:num>
  <w:num w:numId="151" w16cid:durableId="270860816">
    <w:abstractNumId w:val="30"/>
  </w:num>
  <w:num w:numId="152" w16cid:durableId="1048073263">
    <w:abstractNumId w:val="273"/>
  </w:num>
  <w:num w:numId="153" w16cid:durableId="486166342">
    <w:abstractNumId w:val="265"/>
  </w:num>
  <w:num w:numId="154" w16cid:durableId="744300232">
    <w:abstractNumId w:val="305"/>
  </w:num>
  <w:num w:numId="155" w16cid:durableId="280917750">
    <w:abstractNumId w:val="54"/>
  </w:num>
  <w:num w:numId="156" w16cid:durableId="545413545">
    <w:abstractNumId w:val="5"/>
  </w:num>
  <w:num w:numId="157" w16cid:durableId="1991399648">
    <w:abstractNumId w:val="340"/>
  </w:num>
  <w:num w:numId="158" w16cid:durableId="1001346762">
    <w:abstractNumId w:val="251"/>
  </w:num>
  <w:num w:numId="159" w16cid:durableId="887911742">
    <w:abstractNumId w:val="285"/>
  </w:num>
  <w:num w:numId="160" w16cid:durableId="1105806172">
    <w:abstractNumId w:val="102"/>
  </w:num>
  <w:num w:numId="161" w16cid:durableId="757092418">
    <w:abstractNumId w:val="335"/>
  </w:num>
  <w:num w:numId="162" w16cid:durableId="501548266">
    <w:abstractNumId w:val="157"/>
  </w:num>
  <w:num w:numId="163" w16cid:durableId="1558663628">
    <w:abstractNumId w:val="140"/>
  </w:num>
  <w:num w:numId="164" w16cid:durableId="1623881018">
    <w:abstractNumId w:val="187"/>
  </w:num>
  <w:num w:numId="165" w16cid:durableId="1056126612">
    <w:abstractNumId w:val="2"/>
  </w:num>
  <w:num w:numId="166" w16cid:durableId="955478394">
    <w:abstractNumId w:val="366"/>
  </w:num>
  <w:num w:numId="167" w16cid:durableId="458768339">
    <w:abstractNumId w:val="136"/>
  </w:num>
  <w:num w:numId="168" w16cid:durableId="1303345444">
    <w:abstractNumId w:val="220"/>
  </w:num>
  <w:num w:numId="169" w16cid:durableId="856509026">
    <w:abstractNumId w:val="92"/>
  </w:num>
  <w:num w:numId="170" w16cid:durableId="268852759">
    <w:abstractNumId w:val="277"/>
  </w:num>
  <w:num w:numId="171" w16cid:durableId="887643372">
    <w:abstractNumId w:val="313"/>
  </w:num>
  <w:num w:numId="172" w16cid:durableId="121383132">
    <w:abstractNumId w:val="48"/>
  </w:num>
  <w:num w:numId="173" w16cid:durableId="1209687570">
    <w:abstractNumId w:val="193"/>
  </w:num>
  <w:num w:numId="174" w16cid:durableId="1016615679">
    <w:abstractNumId w:val="156"/>
  </w:num>
  <w:num w:numId="175" w16cid:durableId="844633013">
    <w:abstractNumId w:val="278"/>
  </w:num>
  <w:num w:numId="176" w16cid:durableId="605044792">
    <w:abstractNumId w:val="144"/>
  </w:num>
  <w:num w:numId="177" w16cid:durableId="1384326030">
    <w:abstractNumId w:val="309"/>
  </w:num>
  <w:num w:numId="178" w16cid:durableId="1348412447">
    <w:abstractNumId w:val="143"/>
  </w:num>
  <w:num w:numId="179" w16cid:durableId="660426747">
    <w:abstractNumId w:val="9"/>
  </w:num>
  <w:num w:numId="180" w16cid:durableId="2110463790">
    <w:abstractNumId w:val="21"/>
  </w:num>
  <w:num w:numId="181" w16cid:durableId="1914508556">
    <w:abstractNumId w:val="254"/>
  </w:num>
  <w:num w:numId="182" w16cid:durableId="1163740846">
    <w:abstractNumId w:val="45"/>
  </w:num>
  <w:num w:numId="183" w16cid:durableId="950471409">
    <w:abstractNumId w:val="224"/>
  </w:num>
  <w:num w:numId="184" w16cid:durableId="433523896">
    <w:abstractNumId w:val="6"/>
  </w:num>
  <w:num w:numId="185" w16cid:durableId="1532765897">
    <w:abstractNumId w:val="68"/>
  </w:num>
  <w:num w:numId="186" w16cid:durableId="1695113162">
    <w:abstractNumId w:val="99"/>
  </w:num>
  <w:num w:numId="187" w16cid:durableId="1078668538">
    <w:abstractNumId w:val="81"/>
  </w:num>
  <w:num w:numId="188" w16cid:durableId="587691878">
    <w:abstractNumId w:val="181"/>
  </w:num>
  <w:num w:numId="189" w16cid:durableId="114494492">
    <w:abstractNumId w:val="218"/>
  </w:num>
  <w:num w:numId="190" w16cid:durableId="497312343">
    <w:abstractNumId w:val="225"/>
  </w:num>
  <w:num w:numId="191" w16cid:durableId="317274321">
    <w:abstractNumId w:val="323"/>
  </w:num>
  <w:num w:numId="192" w16cid:durableId="591088225">
    <w:abstractNumId w:val="356"/>
  </w:num>
  <w:num w:numId="193" w16cid:durableId="1251162319">
    <w:abstractNumId w:val="110"/>
  </w:num>
  <w:num w:numId="194" w16cid:durableId="725956693">
    <w:abstractNumId w:val="147"/>
  </w:num>
  <w:num w:numId="195" w16cid:durableId="944264639">
    <w:abstractNumId w:val="200"/>
  </w:num>
  <w:num w:numId="196" w16cid:durableId="2069959645">
    <w:abstractNumId w:val="245"/>
  </w:num>
  <w:num w:numId="197" w16cid:durableId="559292579">
    <w:abstractNumId w:val="202"/>
  </w:num>
  <w:num w:numId="198" w16cid:durableId="1939868121">
    <w:abstractNumId w:val="189"/>
  </w:num>
  <w:num w:numId="199" w16cid:durableId="1338265603">
    <w:abstractNumId w:val="4"/>
  </w:num>
  <w:num w:numId="200" w16cid:durableId="1155880469">
    <w:abstractNumId w:val="267"/>
  </w:num>
  <w:num w:numId="201" w16cid:durableId="1384282490">
    <w:abstractNumId w:val="138"/>
  </w:num>
  <w:num w:numId="202" w16cid:durableId="1152987103">
    <w:abstractNumId w:val="376"/>
  </w:num>
  <w:num w:numId="203" w16cid:durableId="1072391279">
    <w:abstractNumId w:val="127"/>
  </w:num>
  <w:num w:numId="204" w16cid:durableId="122114143">
    <w:abstractNumId w:val="172"/>
  </w:num>
  <w:num w:numId="205" w16cid:durableId="1971666647">
    <w:abstractNumId w:val="67"/>
  </w:num>
  <w:num w:numId="206" w16cid:durableId="922109539">
    <w:abstractNumId w:val="363"/>
  </w:num>
  <w:num w:numId="207" w16cid:durableId="59914019">
    <w:abstractNumId w:val="42"/>
  </w:num>
  <w:num w:numId="208" w16cid:durableId="781533690">
    <w:abstractNumId w:val="326"/>
  </w:num>
  <w:num w:numId="209" w16cid:durableId="1327587338">
    <w:abstractNumId w:val="304"/>
  </w:num>
  <w:num w:numId="210" w16cid:durableId="1805195758">
    <w:abstractNumId w:val="150"/>
  </w:num>
  <w:num w:numId="211" w16cid:durableId="1702049455">
    <w:abstractNumId w:val="374"/>
  </w:num>
  <w:num w:numId="212" w16cid:durableId="1940016284">
    <w:abstractNumId w:val="96"/>
  </w:num>
  <w:num w:numId="213" w16cid:durableId="2054378568">
    <w:abstractNumId w:val="188"/>
  </w:num>
  <w:num w:numId="214" w16cid:durableId="1590387678">
    <w:abstractNumId w:val="91"/>
  </w:num>
  <w:num w:numId="215" w16cid:durableId="1608082163">
    <w:abstractNumId w:val="370"/>
  </w:num>
  <w:num w:numId="216" w16cid:durableId="1724450098">
    <w:abstractNumId w:val="233"/>
  </w:num>
  <w:num w:numId="217" w16cid:durableId="1067459982">
    <w:abstractNumId w:val="373"/>
  </w:num>
  <w:num w:numId="218" w16cid:durableId="1261837263">
    <w:abstractNumId w:val="377"/>
  </w:num>
  <w:num w:numId="219" w16cid:durableId="167645877">
    <w:abstractNumId w:val="69"/>
  </w:num>
  <w:num w:numId="220" w16cid:durableId="2071153931">
    <w:abstractNumId w:val="301"/>
  </w:num>
  <w:num w:numId="221" w16cid:durableId="762604879">
    <w:abstractNumId w:val="320"/>
  </w:num>
  <w:num w:numId="222" w16cid:durableId="2006083116">
    <w:abstractNumId w:val="164"/>
  </w:num>
  <w:num w:numId="223" w16cid:durableId="344677457">
    <w:abstractNumId w:val="352"/>
  </w:num>
  <w:num w:numId="224" w16cid:durableId="1062407271">
    <w:abstractNumId w:val="310"/>
  </w:num>
  <w:num w:numId="225" w16cid:durableId="14163058">
    <w:abstractNumId w:val="43"/>
  </w:num>
  <w:num w:numId="226" w16cid:durableId="1772505667">
    <w:abstractNumId w:val="325"/>
  </w:num>
  <w:num w:numId="227" w16cid:durableId="1226994221">
    <w:abstractNumId w:val="163"/>
  </w:num>
  <w:num w:numId="228" w16cid:durableId="1389303961">
    <w:abstractNumId w:val="322"/>
  </w:num>
  <w:num w:numId="229" w16cid:durableId="937368009">
    <w:abstractNumId w:val="327"/>
  </w:num>
  <w:num w:numId="230" w16cid:durableId="1307859631">
    <w:abstractNumId w:val="289"/>
  </w:num>
  <w:num w:numId="231" w16cid:durableId="1191184666">
    <w:abstractNumId w:val="196"/>
  </w:num>
  <w:num w:numId="232" w16cid:durableId="656425900">
    <w:abstractNumId w:val="248"/>
  </w:num>
  <w:num w:numId="233" w16cid:durableId="1879932736">
    <w:abstractNumId w:val="246"/>
  </w:num>
  <w:num w:numId="234" w16cid:durableId="404185909">
    <w:abstractNumId w:val="36"/>
  </w:num>
  <w:num w:numId="235" w16cid:durableId="229586124">
    <w:abstractNumId w:val="120"/>
  </w:num>
  <w:num w:numId="236" w16cid:durableId="329455898">
    <w:abstractNumId w:val="169"/>
  </w:num>
  <w:num w:numId="237" w16cid:durableId="1261179692">
    <w:abstractNumId w:val="107"/>
  </w:num>
  <w:num w:numId="238" w16cid:durableId="776371201">
    <w:abstractNumId w:val="135"/>
  </w:num>
  <w:num w:numId="239" w16cid:durableId="631522044">
    <w:abstractNumId w:val="61"/>
  </w:num>
  <w:num w:numId="240" w16cid:durableId="1970747212">
    <w:abstractNumId w:val="329"/>
  </w:num>
  <w:num w:numId="241" w16cid:durableId="115493851">
    <w:abstractNumId w:val="23"/>
  </w:num>
  <w:num w:numId="242" w16cid:durableId="1275554772">
    <w:abstractNumId w:val="311"/>
  </w:num>
  <w:num w:numId="243" w16cid:durableId="505051151">
    <w:abstractNumId w:val="372"/>
  </w:num>
  <w:num w:numId="244" w16cid:durableId="600407252">
    <w:abstractNumId w:val="59"/>
  </w:num>
  <w:num w:numId="245" w16cid:durableId="1326667469">
    <w:abstractNumId w:val="166"/>
  </w:num>
  <w:num w:numId="246" w16cid:durableId="1991253440">
    <w:abstractNumId w:val="151"/>
  </w:num>
  <w:num w:numId="247" w16cid:durableId="448357000">
    <w:abstractNumId w:val="35"/>
  </w:num>
  <w:num w:numId="248" w16cid:durableId="1489175037">
    <w:abstractNumId w:val="247"/>
  </w:num>
  <w:num w:numId="249" w16cid:durableId="1179150998">
    <w:abstractNumId w:val="7"/>
  </w:num>
  <w:num w:numId="250" w16cid:durableId="1103838255">
    <w:abstractNumId w:val="259"/>
  </w:num>
  <w:num w:numId="251" w16cid:durableId="986470359">
    <w:abstractNumId w:val="66"/>
  </w:num>
  <w:num w:numId="252" w16cid:durableId="1179806585">
    <w:abstractNumId w:val="83"/>
  </w:num>
  <w:num w:numId="253" w16cid:durableId="610745618">
    <w:abstractNumId w:val="292"/>
  </w:num>
  <w:num w:numId="254" w16cid:durableId="2009013543">
    <w:abstractNumId w:val="27"/>
  </w:num>
  <w:num w:numId="255" w16cid:durableId="943265174">
    <w:abstractNumId w:val="126"/>
  </w:num>
  <w:num w:numId="256" w16cid:durableId="986012691">
    <w:abstractNumId w:val="197"/>
  </w:num>
  <w:num w:numId="257" w16cid:durableId="1910842814">
    <w:abstractNumId w:val="86"/>
  </w:num>
  <w:num w:numId="258" w16cid:durableId="1827475577">
    <w:abstractNumId w:val="145"/>
  </w:num>
  <w:num w:numId="259" w16cid:durableId="714356483">
    <w:abstractNumId w:val="161"/>
  </w:num>
  <w:num w:numId="260" w16cid:durableId="751393183">
    <w:abstractNumId w:val="170"/>
  </w:num>
  <w:num w:numId="261" w16cid:durableId="1199705229">
    <w:abstractNumId w:val="345"/>
  </w:num>
  <w:num w:numId="262" w16cid:durableId="1793162736">
    <w:abstractNumId w:val="128"/>
  </w:num>
  <w:num w:numId="263" w16cid:durableId="2029873025">
    <w:abstractNumId w:val="119"/>
  </w:num>
  <w:num w:numId="264" w16cid:durableId="330450238">
    <w:abstractNumId w:val="12"/>
  </w:num>
  <w:num w:numId="265" w16cid:durableId="1872373704">
    <w:abstractNumId w:val="32"/>
  </w:num>
  <w:num w:numId="266" w16cid:durableId="558634586">
    <w:abstractNumId w:val="260"/>
  </w:num>
  <w:num w:numId="267" w16cid:durableId="1343125383">
    <w:abstractNumId w:val="201"/>
  </w:num>
  <w:num w:numId="268" w16cid:durableId="326523189">
    <w:abstractNumId w:val="190"/>
  </w:num>
  <w:num w:numId="269" w16cid:durableId="2039889065">
    <w:abstractNumId w:val="47"/>
  </w:num>
  <w:num w:numId="270" w16cid:durableId="315185440">
    <w:abstractNumId w:val="303"/>
  </w:num>
  <w:num w:numId="271" w16cid:durableId="1112016321">
    <w:abstractNumId w:val="306"/>
  </w:num>
  <w:num w:numId="272" w16cid:durableId="1697851855">
    <w:abstractNumId w:val="294"/>
  </w:num>
  <w:num w:numId="273" w16cid:durableId="1149595149">
    <w:abstractNumId w:val="90"/>
  </w:num>
  <w:num w:numId="274" w16cid:durableId="1567033397">
    <w:abstractNumId w:val="223"/>
  </w:num>
  <w:num w:numId="275" w16cid:durableId="1186751253">
    <w:abstractNumId w:val="0"/>
  </w:num>
  <w:num w:numId="276" w16cid:durableId="719129821">
    <w:abstractNumId w:val="319"/>
  </w:num>
  <w:num w:numId="277" w16cid:durableId="334694428">
    <w:abstractNumId w:val="82"/>
  </w:num>
  <w:num w:numId="278" w16cid:durableId="1444419450">
    <w:abstractNumId w:val="222"/>
  </w:num>
  <w:num w:numId="279" w16cid:durableId="50351576">
    <w:abstractNumId w:val="282"/>
  </w:num>
  <w:num w:numId="280" w16cid:durableId="1657803773">
    <w:abstractNumId w:val="97"/>
  </w:num>
  <w:num w:numId="281" w16cid:durableId="1782602196">
    <w:abstractNumId w:val="369"/>
  </w:num>
  <w:num w:numId="282" w16cid:durableId="1075320820">
    <w:abstractNumId w:val="317"/>
  </w:num>
  <w:num w:numId="283" w16cid:durableId="343627197">
    <w:abstractNumId w:val="41"/>
  </w:num>
  <w:num w:numId="284" w16cid:durableId="1839995937">
    <w:abstractNumId w:val="18"/>
  </w:num>
  <w:num w:numId="285" w16cid:durableId="1678575373">
    <w:abstractNumId w:val="257"/>
  </w:num>
  <w:num w:numId="286" w16cid:durableId="1848207982">
    <w:abstractNumId w:val="195"/>
  </w:num>
  <w:num w:numId="287" w16cid:durableId="1408965075">
    <w:abstractNumId w:val="231"/>
  </w:num>
  <w:num w:numId="288" w16cid:durableId="648754277">
    <w:abstractNumId w:val="331"/>
  </w:num>
  <w:num w:numId="289" w16cid:durableId="883909325">
    <w:abstractNumId w:val="235"/>
  </w:num>
  <w:num w:numId="290" w16cid:durableId="1443571720">
    <w:abstractNumId w:val="25"/>
  </w:num>
  <w:num w:numId="291" w16cid:durableId="19862357">
    <w:abstractNumId w:val="378"/>
  </w:num>
  <w:num w:numId="292" w16cid:durableId="1785954176">
    <w:abstractNumId w:val="316"/>
  </w:num>
  <w:num w:numId="293" w16cid:durableId="1842694696">
    <w:abstractNumId w:val="57"/>
  </w:num>
  <w:num w:numId="294" w16cid:durableId="293601526">
    <w:abstractNumId w:val="80"/>
  </w:num>
  <w:num w:numId="295" w16cid:durableId="2119635632">
    <w:abstractNumId w:val="77"/>
  </w:num>
  <w:num w:numId="296" w16cid:durableId="555555715">
    <w:abstractNumId w:val="40"/>
  </w:num>
  <w:num w:numId="297" w16cid:durableId="1341349264">
    <w:abstractNumId w:val="122"/>
  </w:num>
  <w:num w:numId="298" w16cid:durableId="1519663911">
    <w:abstractNumId w:val="139"/>
  </w:num>
  <w:num w:numId="299" w16cid:durableId="912157774">
    <w:abstractNumId w:val="28"/>
  </w:num>
  <w:num w:numId="300" w16cid:durableId="1554973357">
    <w:abstractNumId w:val="230"/>
  </w:num>
  <w:num w:numId="301" w16cid:durableId="2074699225">
    <w:abstractNumId w:val="217"/>
  </w:num>
  <w:num w:numId="302" w16cid:durableId="1689599411">
    <w:abstractNumId w:val="350"/>
  </w:num>
  <w:num w:numId="303" w16cid:durableId="1682272831">
    <w:abstractNumId w:val="162"/>
  </w:num>
  <w:num w:numId="304" w16cid:durableId="1533570007">
    <w:abstractNumId w:val="85"/>
  </w:num>
  <w:num w:numId="305" w16cid:durableId="798765710">
    <w:abstractNumId w:val="339"/>
  </w:num>
  <w:num w:numId="306" w16cid:durableId="1919090706">
    <w:abstractNumId w:val="194"/>
  </w:num>
  <w:num w:numId="307" w16cid:durableId="2040085459">
    <w:abstractNumId w:val="240"/>
  </w:num>
  <w:num w:numId="308" w16cid:durableId="773478509">
    <w:abstractNumId w:val="241"/>
  </w:num>
  <w:num w:numId="309" w16cid:durableId="1069693468">
    <w:abstractNumId w:val="55"/>
  </w:num>
  <w:num w:numId="310" w16cid:durableId="62527461">
    <w:abstractNumId w:val="11"/>
  </w:num>
  <w:num w:numId="311" w16cid:durableId="1672291742">
    <w:abstractNumId w:val="244"/>
  </w:num>
  <w:num w:numId="312" w16cid:durableId="1183855562">
    <w:abstractNumId w:val="308"/>
  </w:num>
  <w:num w:numId="313" w16cid:durableId="135072271">
    <w:abstractNumId w:val="364"/>
  </w:num>
  <w:num w:numId="314" w16cid:durableId="390157100">
    <w:abstractNumId w:val="8"/>
  </w:num>
  <w:num w:numId="315" w16cid:durableId="527763878">
    <w:abstractNumId w:val="39"/>
  </w:num>
  <w:num w:numId="316" w16cid:durableId="1464620335">
    <w:abstractNumId w:val="269"/>
  </w:num>
  <w:num w:numId="317" w16cid:durableId="1456752701">
    <w:abstractNumId w:val="173"/>
  </w:num>
  <w:num w:numId="318" w16cid:durableId="304817665">
    <w:abstractNumId w:val="371"/>
  </w:num>
  <w:num w:numId="319" w16cid:durableId="1529174559">
    <w:abstractNumId w:val="182"/>
  </w:num>
  <w:num w:numId="320" w16cid:durableId="1300383814">
    <w:abstractNumId w:val="123"/>
  </w:num>
  <w:num w:numId="321" w16cid:durableId="359934281">
    <w:abstractNumId w:val="314"/>
  </w:num>
  <w:num w:numId="322" w16cid:durableId="1002046342">
    <w:abstractNumId w:val="33"/>
  </w:num>
  <w:num w:numId="323" w16cid:durableId="421487153">
    <w:abstractNumId w:val="239"/>
  </w:num>
  <w:num w:numId="324" w16cid:durableId="1972593057">
    <w:abstractNumId w:val="149"/>
  </w:num>
  <w:num w:numId="325" w16cid:durableId="1518763342">
    <w:abstractNumId w:val="88"/>
  </w:num>
  <w:num w:numId="326" w16cid:durableId="726494331">
    <w:abstractNumId w:val="300"/>
  </w:num>
  <w:num w:numId="327" w16cid:durableId="1052533144">
    <w:abstractNumId w:val="24"/>
  </w:num>
  <w:num w:numId="328" w16cid:durableId="661743088">
    <w:abstractNumId w:val="286"/>
  </w:num>
  <w:num w:numId="329" w16cid:durableId="339967552">
    <w:abstractNumId w:val="307"/>
  </w:num>
  <w:num w:numId="330" w16cid:durableId="304772645">
    <w:abstractNumId w:val="103"/>
  </w:num>
  <w:num w:numId="331" w16cid:durableId="1951930503">
    <w:abstractNumId w:val="237"/>
  </w:num>
  <w:num w:numId="332" w16cid:durableId="606693892">
    <w:abstractNumId w:val="72"/>
  </w:num>
  <w:num w:numId="333" w16cid:durableId="1069231737">
    <w:abstractNumId w:val="283"/>
  </w:num>
  <w:num w:numId="334" w16cid:durableId="1655985003">
    <w:abstractNumId w:val="13"/>
  </w:num>
  <w:num w:numId="335" w16cid:durableId="1735471133">
    <w:abstractNumId w:val="375"/>
  </w:num>
  <w:num w:numId="336" w16cid:durableId="1808204544">
    <w:abstractNumId w:val="20"/>
  </w:num>
  <w:num w:numId="337" w16cid:durableId="1003168636">
    <w:abstractNumId w:val="262"/>
  </w:num>
  <w:num w:numId="338" w16cid:durableId="1153180900">
    <w:abstractNumId w:val="31"/>
  </w:num>
  <w:num w:numId="339" w16cid:durableId="2077707266">
    <w:abstractNumId w:val="342"/>
  </w:num>
  <w:num w:numId="340" w16cid:durableId="488332356">
    <w:abstractNumId w:val="134"/>
  </w:num>
  <w:num w:numId="341" w16cid:durableId="2066247543">
    <w:abstractNumId w:val="330"/>
  </w:num>
  <w:num w:numId="342" w16cid:durableId="1315329419">
    <w:abstractNumId w:val="358"/>
  </w:num>
  <w:num w:numId="343" w16cid:durableId="2081365828">
    <w:abstractNumId w:val="1"/>
  </w:num>
  <w:num w:numId="344" w16cid:durableId="173807254">
    <w:abstractNumId w:val="131"/>
  </w:num>
  <w:num w:numId="345" w16cid:durableId="201524915">
    <w:abstractNumId w:val="70"/>
  </w:num>
  <w:num w:numId="346" w16cid:durableId="1280797858">
    <w:abstractNumId w:val="185"/>
  </w:num>
  <w:num w:numId="347" w16cid:durableId="553196624">
    <w:abstractNumId w:val="288"/>
  </w:num>
  <w:num w:numId="348" w16cid:durableId="778992281">
    <w:abstractNumId w:val="274"/>
  </w:num>
  <w:num w:numId="349" w16cid:durableId="561529842">
    <w:abstractNumId w:val="29"/>
  </w:num>
  <w:num w:numId="350" w16cid:durableId="1346437760">
    <w:abstractNumId w:val="229"/>
  </w:num>
  <w:num w:numId="351" w16cid:durableId="1786347391">
    <w:abstractNumId w:val="19"/>
  </w:num>
  <w:num w:numId="352" w16cid:durableId="2128422431">
    <w:abstractNumId w:val="336"/>
  </w:num>
  <w:num w:numId="353" w16cid:durableId="879247977">
    <w:abstractNumId w:val="175"/>
  </w:num>
  <w:num w:numId="354" w16cid:durableId="2035768993">
    <w:abstractNumId w:val="359"/>
  </w:num>
  <w:num w:numId="355" w16cid:durableId="3021640">
    <w:abstractNumId w:val="26"/>
  </w:num>
  <w:num w:numId="356" w16cid:durableId="1814640507">
    <w:abstractNumId w:val="250"/>
  </w:num>
  <w:num w:numId="357" w16cid:durableId="423960501">
    <w:abstractNumId w:val="132"/>
  </w:num>
  <w:num w:numId="358" w16cid:durableId="976452151">
    <w:abstractNumId w:val="89"/>
  </w:num>
  <w:num w:numId="359" w16cid:durableId="1685090717">
    <w:abstractNumId w:val="334"/>
  </w:num>
  <w:num w:numId="360" w16cid:durableId="385642982">
    <w:abstractNumId w:val="276"/>
  </w:num>
  <w:num w:numId="361" w16cid:durableId="312103972">
    <w:abstractNumId w:val="287"/>
  </w:num>
  <w:num w:numId="362" w16cid:durableId="1631668450">
    <w:abstractNumId w:val="112"/>
  </w:num>
  <w:num w:numId="363" w16cid:durableId="1150825315">
    <w:abstractNumId w:val="221"/>
  </w:num>
  <w:num w:numId="364" w16cid:durableId="822434091">
    <w:abstractNumId w:val="22"/>
  </w:num>
  <w:num w:numId="365" w16cid:durableId="1491209231">
    <w:abstractNumId w:val="64"/>
  </w:num>
  <w:num w:numId="366" w16cid:durableId="557664795">
    <w:abstractNumId w:val="290"/>
  </w:num>
  <w:num w:numId="367" w16cid:durableId="256258835">
    <w:abstractNumId w:val="106"/>
  </w:num>
  <w:num w:numId="368" w16cid:durableId="1866288400">
    <w:abstractNumId w:val="84"/>
  </w:num>
  <w:num w:numId="369" w16cid:durableId="886530350">
    <w:abstractNumId w:val="165"/>
  </w:num>
  <w:num w:numId="370" w16cid:durableId="346637420">
    <w:abstractNumId w:val="332"/>
  </w:num>
  <w:num w:numId="371" w16cid:durableId="1849060530">
    <w:abstractNumId w:val="75"/>
  </w:num>
  <w:num w:numId="372" w16cid:durableId="1435520001">
    <w:abstractNumId w:val="183"/>
  </w:num>
  <w:num w:numId="373" w16cid:durableId="1785463325">
    <w:abstractNumId w:val="37"/>
  </w:num>
  <w:num w:numId="374" w16cid:durableId="614606358">
    <w:abstractNumId w:val="176"/>
  </w:num>
  <w:num w:numId="375" w16cid:durableId="1189487825">
    <w:abstractNumId w:val="253"/>
  </w:num>
  <w:num w:numId="376" w16cid:durableId="961691410">
    <w:abstractNumId w:val="159"/>
  </w:num>
  <w:num w:numId="377" w16cid:durableId="1967351963">
    <w:abstractNumId w:val="293"/>
  </w:num>
  <w:num w:numId="378" w16cid:durableId="2081906371">
    <w:abstractNumId w:val="238"/>
  </w:num>
  <w:num w:numId="379" w16cid:durableId="769735170">
    <w:abstractNumId w:val="8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2"/>
  <w:proofState w:spelling="clean"/>
  <w:revisionView w:inkAnnotations="0"/>
  <w:defaultTabStop w:val="720"/>
  <w:characterSpacingControl w:val="doNotCompress"/>
  <w:footnotePr>
    <w:footnote w:id="-1"/>
    <w:footnote w:id="0"/>
  </w:footnotePr>
  <w:endnotePr>
    <w:endnote w:id="-1"/>
    <w:endnote w:id="0"/>
  </w:endnotePr>
  <w:compat>
    <w:applyBreaking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00C09"/>
    <w:rsid w:val="000E01AB"/>
    <w:rsid w:val="0013087A"/>
    <w:rsid w:val="001322F2"/>
    <w:rsid w:val="00151A01"/>
    <w:rsid w:val="001665C9"/>
    <w:rsid w:val="001A6ADB"/>
    <w:rsid w:val="001C215C"/>
    <w:rsid w:val="001D782F"/>
    <w:rsid w:val="001F57B4"/>
    <w:rsid w:val="001F7FF9"/>
    <w:rsid w:val="0024727F"/>
    <w:rsid w:val="00286447"/>
    <w:rsid w:val="002D1691"/>
    <w:rsid w:val="00312732"/>
    <w:rsid w:val="003816AB"/>
    <w:rsid w:val="0043083A"/>
    <w:rsid w:val="00453C7A"/>
    <w:rsid w:val="00463525"/>
    <w:rsid w:val="004E3C00"/>
    <w:rsid w:val="00552797"/>
    <w:rsid w:val="00587490"/>
    <w:rsid w:val="005D44FA"/>
    <w:rsid w:val="00600C09"/>
    <w:rsid w:val="00646A70"/>
    <w:rsid w:val="00687944"/>
    <w:rsid w:val="006A20B6"/>
    <w:rsid w:val="006D348B"/>
    <w:rsid w:val="006F03F2"/>
    <w:rsid w:val="007761CB"/>
    <w:rsid w:val="007816E1"/>
    <w:rsid w:val="0079775F"/>
    <w:rsid w:val="007C28EE"/>
    <w:rsid w:val="007F0A92"/>
    <w:rsid w:val="00870BBA"/>
    <w:rsid w:val="00877B45"/>
    <w:rsid w:val="00923425"/>
    <w:rsid w:val="00953258"/>
    <w:rsid w:val="00985095"/>
    <w:rsid w:val="009B5B72"/>
    <w:rsid w:val="009C126A"/>
    <w:rsid w:val="009F32D6"/>
    <w:rsid w:val="00A05838"/>
    <w:rsid w:val="00A103FF"/>
    <w:rsid w:val="00A32F0E"/>
    <w:rsid w:val="00A3584D"/>
    <w:rsid w:val="00A35AC5"/>
    <w:rsid w:val="00A37583"/>
    <w:rsid w:val="00A9207C"/>
    <w:rsid w:val="00A92336"/>
    <w:rsid w:val="00AA0254"/>
    <w:rsid w:val="00AB2B76"/>
    <w:rsid w:val="00AF76E6"/>
    <w:rsid w:val="00BC0BFE"/>
    <w:rsid w:val="00C36B21"/>
    <w:rsid w:val="00CD5F22"/>
    <w:rsid w:val="00DC6830"/>
    <w:rsid w:val="00E45652"/>
    <w:rsid w:val="00F15E66"/>
    <w:rsid w:val="00F2173A"/>
    <w:rsid w:val="00F73251"/>
  </w:rsids>
  <m:mathPr>
    <m:mathFont m:val="Cambria Math"/>
    <m:brkBin m:val="before"/>
    <m:brkBinSub m:val="--"/>
    <m:smallFrac m:val="0"/>
    <m:dispDef/>
    <m:lMargin m:val="0"/>
    <m:rMargin m:val="0"/>
    <m:defJc m:val="centerGroup"/>
    <m:wrapIndent m:val="1440"/>
    <m:intLim m:val="subSup"/>
    <m:naryLim m:val="undOvr"/>
  </m:mathPr>
  <w:themeFontLang w:val="en-MY" w:eastAsia="zh-CN" w:bidi="th-TH"/>
  <w:clrSchemeMapping w:bg1="light1" w:t1="dark1" w:bg2="light2" w:t2="dark2" w:accent1="accent1" w:accent2="accent2" w:accent3="accent3" w:accent4="accent4" w:accent5="accent5" w:accent6="accent6" w:hyperlink="hyperlink" w:followedHyperlink="followedHyperlink"/>
  <w:shapeDefaults>
    <o:shapedefaults v:ext="edit" spidmax="1285"/>
    <o:shapelayout v:ext="edit">
      <o:idmap v:ext="edit" data="1"/>
    </o:shapelayout>
  </w:shapeDefaults>
  <w:decimalSymbol w:val="."/>
  <w:listSeparator w:val=","/>
  <w14:docId w14:val="083ACD48"/>
  <w15:chartTrackingRefBased/>
  <w15:docId w15:val="{069F3CF7-C564-4A52-8849-2A062507EC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30"/>
        <w:lang w:val="en-MY" w:eastAsia="zh-CN" w:bidi="th-TH"/>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00C09"/>
    <w:pPr>
      <w:keepNext/>
      <w:keepLines/>
      <w:spacing w:before="360" w:after="80"/>
      <w:outlineLvl w:val="0"/>
    </w:pPr>
    <w:rPr>
      <w:rFonts w:asciiTheme="majorHAnsi" w:eastAsiaTheme="majorEastAsia" w:hAnsiTheme="majorHAnsi" w:cstheme="majorBidi"/>
      <w:color w:val="0F4761" w:themeColor="accent1" w:themeShade="BF"/>
      <w:sz w:val="40"/>
      <w:szCs w:val="50"/>
    </w:rPr>
  </w:style>
  <w:style w:type="paragraph" w:styleId="Heading2">
    <w:name w:val="heading 2"/>
    <w:basedOn w:val="Normal"/>
    <w:next w:val="Normal"/>
    <w:link w:val="Heading2Char"/>
    <w:uiPriority w:val="9"/>
    <w:unhideWhenUsed/>
    <w:qFormat/>
    <w:rsid w:val="00600C09"/>
    <w:pPr>
      <w:keepNext/>
      <w:keepLines/>
      <w:spacing w:before="160" w:after="80"/>
      <w:outlineLvl w:val="1"/>
    </w:pPr>
    <w:rPr>
      <w:rFonts w:asciiTheme="majorHAnsi" w:eastAsiaTheme="majorEastAsia" w:hAnsiTheme="majorHAnsi" w:cstheme="majorBidi"/>
      <w:color w:val="0F4761" w:themeColor="accent1" w:themeShade="BF"/>
      <w:sz w:val="32"/>
      <w:szCs w:val="40"/>
    </w:rPr>
  </w:style>
  <w:style w:type="paragraph" w:styleId="Heading3">
    <w:name w:val="heading 3"/>
    <w:basedOn w:val="Normal"/>
    <w:next w:val="Normal"/>
    <w:link w:val="Heading3Char"/>
    <w:uiPriority w:val="9"/>
    <w:unhideWhenUsed/>
    <w:qFormat/>
    <w:rsid w:val="00600C09"/>
    <w:pPr>
      <w:keepNext/>
      <w:keepLines/>
      <w:spacing w:before="160" w:after="80"/>
      <w:outlineLvl w:val="2"/>
    </w:pPr>
    <w:rPr>
      <w:rFonts w:eastAsiaTheme="majorEastAsia" w:cstheme="majorBidi"/>
      <w:color w:val="0F4761" w:themeColor="accent1" w:themeShade="BF"/>
      <w:sz w:val="28"/>
      <w:szCs w:val="35"/>
    </w:rPr>
  </w:style>
  <w:style w:type="paragraph" w:styleId="Heading4">
    <w:name w:val="heading 4"/>
    <w:basedOn w:val="Normal"/>
    <w:next w:val="Normal"/>
    <w:link w:val="Heading4Char"/>
    <w:uiPriority w:val="9"/>
    <w:unhideWhenUsed/>
    <w:qFormat/>
    <w:rsid w:val="00600C0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rsid w:val="00600C0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unhideWhenUsed/>
    <w:qFormat/>
    <w:rsid w:val="00600C0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00C0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00C0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00C0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00C09"/>
    <w:rPr>
      <w:rFonts w:asciiTheme="majorHAnsi" w:eastAsiaTheme="majorEastAsia" w:hAnsiTheme="majorHAnsi" w:cstheme="majorBidi"/>
      <w:color w:val="0F4761" w:themeColor="accent1" w:themeShade="BF"/>
      <w:sz w:val="40"/>
      <w:szCs w:val="50"/>
    </w:rPr>
  </w:style>
  <w:style w:type="character" w:customStyle="1" w:styleId="Heading2Char">
    <w:name w:val="Heading 2 Char"/>
    <w:basedOn w:val="DefaultParagraphFont"/>
    <w:link w:val="Heading2"/>
    <w:uiPriority w:val="9"/>
    <w:rsid w:val="00600C09"/>
    <w:rPr>
      <w:rFonts w:asciiTheme="majorHAnsi" w:eastAsiaTheme="majorEastAsia" w:hAnsiTheme="majorHAnsi" w:cstheme="majorBidi"/>
      <w:color w:val="0F4761" w:themeColor="accent1" w:themeShade="BF"/>
      <w:sz w:val="32"/>
      <w:szCs w:val="40"/>
    </w:rPr>
  </w:style>
  <w:style w:type="character" w:customStyle="1" w:styleId="Heading3Char">
    <w:name w:val="Heading 3 Char"/>
    <w:basedOn w:val="DefaultParagraphFont"/>
    <w:link w:val="Heading3"/>
    <w:uiPriority w:val="9"/>
    <w:rsid w:val="00600C09"/>
    <w:rPr>
      <w:rFonts w:eastAsiaTheme="majorEastAsia" w:cstheme="majorBidi"/>
      <w:color w:val="0F4761" w:themeColor="accent1" w:themeShade="BF"/>
      <w:sz w:val="28"/>
      <w:szCs w:val="35"/>
    </w:rPr>
  </w:style>
  <w:style w:type="character" w:customStyle="1" w:styleId="Heading4Char">
    <w:name w:val="Heading 4 Char"/>
    <w:basedOn w:val="DefaultParagraphFont"/>
    <w:link w:val="Heading4"/>
    <w:uiPriority w:val="9"/>
    <w:rsid w:val="00600C0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rsid w:val="00600C09"/>
    <w:rPr>
      <w:rFonts w:eastAsiaTheme="majorEastAsia" w:cstheme="majorBidi"/>
      <w:color w:val="0F4761" w:themeColor="accent1" w:themeShade="BF"/>
    </w:rPr>
  </w:style>
  <w:style w:type="character" w:customStyle="1" w:styleId="Heading6Char">
    <w:name w:val="Heading 6 Char"/>
    <w:basedOn w:val="DefaultParagraphFont"/>
    <w:link w:val="Heading6"/>
    <w:uiPriority w:val="9"/>
    <w:rsid w:val="00600C0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00C0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00C0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00C09"/>
    <w:rPr>
      <w:rFonts w:eastAsiaTheme="majorEastAsia" w:cstheme="majorBidi"/>
      <w:color w:val="272727" w:themeColor="text1" w:themeTint="D8"/>
    </w:rPr>
  </w:style>
  <w:style w:type="paragraph" w:styleId="Title">
    <w:name w:val="Title"/>
    <w:basedOn w:val="Normal"/>
    <w:next w:val="Normal"/>
    <w:link w:val="TitleChar"/>
    <w:uiPriority w:val="10"/>
    <w:qFormat/>
    <w:rsid w:val="00600C09"/>
    <w:pPr>
      <w:spacing w:after="80" w:line="240" w:lineRule="auto"/>
      <w:contextualSpacing/>
    </w:pPr>
    <w:rPr>
      <w:rFonts w:asciiTheme="majorHAnsi" w:eastAsiaTheme="majorEastAsia" w:hAnsiTheme="majorHAnsi" w:cstheme="majorBidi"/>
      <w:spacing w:val="-10"/>
      <w:kern w:val="28"/>
      <w:sz w:val="56"/>
      <w:szCs w:val="71"/>
    </w:rPr>
  </w:style>
  <w:style w:type="character" w:customStyle="1" w:styleId="TitleChar">
    <w:name w:val="Title Char"/>
    <w:basedOn w:val="DefaultParagraphFont"/>
    <w:link w:val="Title"/>
    <w:uiPriority w:val="10"/>
    <w:rsid w:val="00600C09"/>
    <w:rPr>
      <w:rFonts w:asciiTheme="majorHAnsi" w:eastAsiaTheme="majorEastAsia" w:hAnsiTheme="majorHAnsi" w:cstheme="majorBidi"/>
      <w:spacing w:val="-10"/>
      <w:kern w:val="28"/>
      <w:sz w:val="56"/>
      <w:szCs w:val="71"/>
    </w:rPr>
  </w:style>
  <w:style w:type="paragraph" w:styleId="Subtitle">
    <w:name w:val="Subtitle"/>
    <w:basedOn w:val="Normal"/>
    <w:next w:val="Normal"/>
    <w:link w:val="SubtitleChar"/>
    <w:uiPriority w:val="11"/>
    <w:qFormat/>
    <w:rsid w:val="00600C09"/>
    <w:pPr>
      <w:numPr>
        <w:ilvl w:val="1"/>
      </w:numPr>
    </w:pPr>
    <w:rPr>
      <w:rFonts w:eastAsiaTheme="majorEastAsia" w:cstheme="majorBidi"/>
      <w:color w:val="595959" w:themeColor="text1" w:themeTint="A6"/>
      <w:spacing w:val="15"/>
      <w:sz w:val="28"/>
      <w:szCs w:val="35"/>
    </w:rPr>
  </w:style>
  <w:style w:type="character" w:customStyle="1" w:styleId="SubtitleChar">
    <w:name w:val="Subtitle Char"/>
    <w:basedOn w:val="DefaultParagraphFont"/>
    <w:link w:val="Subtitle"/>
    <w:uiPriority w:val="11"/>
    <w:rsid w:val="00600C09"/>
    <w:rPr>
      <w:rFonts w:eastAsiaTheme="majorEastAsia" w:cstheme="majorBidi"/>
      <w:color w:val="595959" w:themeColor="text1" w:themeTint="A6"/>
      <w:spacing w:val="15"/>
      <w:sz w:val="28"/>
      <w:szCs w:val="35"/>
    </w:rPr>
  </w:style>
  <w:style w:type="paragraph" w:styleId="Quote">
    <w:name w:val="Quote"/>
    <w:basedOn w:val="Normal"/>
    <w:next w:val="Normal"/>
    <w:link w:val="QuoteChar"/>
    <w:uiPriority w:val="29"/>
    <w:qFormat/>
    <w:rsid w:val="00600C09"/>
    <w:pPr>
      <w:spacing w:before="160"/>
      <w:jc w:val="center"/>
    </w:pPr>
    <w:rPr>
      <w:i/>
      <w:iCs/>
      <w:color w:val="404040" w:themeColor="text1" w:themeTint="BF"/>
    </w:rPr>
  </w:style>
  <w:style w:type="character" w:customStyle="1" w:styleId="QuoteChar">
    <w:name w:val="Quote Char"/>
    <w:basedOn w:val="DefaultParagraphFont"/>
    <w:link w:val="Quote"/>
    <w:uiPriority w:val="29"/>
    <w:rsid w:val="00600C09"/>
    <w:rPr>
      <w:i/>
      <w:iCs/>
      <w:color w:val="404040" w:themeColor="text1" w:themeTint="BF"/>
    </w:rPr>
  </w:style>
  <w:style w:type="paragraph" w:styleId="ListParagraph">
    <w:name w:val="List Paragraph"/>
    <w:basedOn w:val="Normal"/>
    <w:uiPriority w:val="34"/>
    <w:qFormat/>
    <w:rsid w:val="00600C09"/>
    <w:pPr>
      <w:ind w:left="720"/>
      <w:contextualSpacing/>
    </w:pPr>
  </w:style>
  <w:style w:type="character" w:styleId="IntenseEmphasis">
    <w:name w:val="Intense Emphasis"/>
    <w:basedOn w:val="DefaultParagraphFont"/>
    <w:uiPriority w:val="21"/>
    <w:qFormat/>
    <w:rsid w:val="00600C09"/>
    <w:rPr>
      <w:i/>
      <w:iCs/>
      <w:color w:val="0F4761" w:themeColor="accent1" w:themeShade="BF"/>
    </w:rPr>
  </w:style>
  <w:style w:type="paragraph" w:styleId="IntenseQuote">
    <w:name w:val="Intense Quote"/>
    <w:basedOn w:val="Normal"/>
    <w:next w:val="Normal"/>
    <w:link w:val="IntenseQuoteChar"/>
    <w:uiPriority w:val="30"/>
    <w:qFormat/>
    <w:rsid w:val="00600C0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00C09"/>
    <w:rPr>
      <w:i/>
      <w:iCs/>
      <w:color w:val="0F4761" w:themeColor="accent1" w:themeShade="BF"/>
    </w:rPr>
  </w:style>
  <w:style w:type="character" w:styleId="IntenseReference">
    <w:name w:val="Intense Reference"/>
    <w:basedOn w:val="DefaultParagraphFont"/>
    <w:uiPriority w:val="32"/>
    <w:qFormat/>
    <w:rsid w:val="00600C09"/>
    <w:rPr>
      <w:b/>
      <w:bCs/>
      <w:smallCaps/>
      <w:color w:val="0F4761" w:themeColor="accent1" w:themeShade="BF"/>
      <w:spacing w:val="5"/>
    </w:rPr>
  </w:style>
  <w:style w:type="paragraph" w:customStyle="1" w:styleId="msonormal0">
    <w:name w:val="msonormal"/>
    <w:basedOn w:val="Normal"/>
    <w:rsid w:val="00600C09"/>
    <w:pPr>
      <w:spacing w:before="100" w:beforeAutospacing="1" w:after="100" w:afterAutospacing="1" w:line="240" w:lineRule="auto"/>
    </w:pPr>
    <w:rPr>
      <w:rFonts w:ascii="Times New Roman" w:eastAsia="Times New Roman" w:hAnsi="Times New Roman" w:cs="Times New Roman"/>
      <w:kern w:val="0"/>
      <w:szCs w:val="24"/>
      <w14:ligatures w14:val="none"/>
    </w:rPr>
  </w:style>
  <w:style w:type="paragraph" w:styleId="NormalWeb">
    <w:name w:val="Normal (Web)"/>
    <w:basedOn w:val="Normal"/>
    <w:uiPriority w:val="99"/>
    <w:semiHidden/>
    <w:unhideWhenUsed/>
    <w:rsid w:val="00600C09"/>
    <w:pPr>
      <w:spacing w:before="100" w:beforeAutospacing="1" w:after="100" w:afterAutospacing="1" w:line="240" w:lineRule="auto"/>
    </w:pPr>
    <w:rPr>
      <w:rFonts w:ascii="Times New Roman" w:eastAsia="Times New Roman" w:hAnsi="Times New Roman" w:cs="Times New Roman"/>
      <w:kern w:val="0"/>
      <w:szCs w:val="24"/>
      <w14:ligatures w14:val="none"/>
    </w:rPr>
  </w:style>
  <w:style w:type="character" w:styleId="Strong">
    <w:name w:val="Strong"/>
    <w:basedOn w:val="DefaultParagraphFont"/>
    <w:uiPriority w:val="22"/>
    <w:qFormat/>
    <w:rsid w:val="00600C09"/>
    <w:rPr>
      <w:b/>
      <w:bCs/>
    </w:rPr>
  </w:style>
  <w:style w:type="character" w:styleId="Emphasis">
    <w:name w:val="Emphasis"/>
    <w:basedOn w:val="DefaultParagraphFont"/>
    <w:uiPriority w:val="20"/>
    <w:qFormat/>
    <w:rsid w:val="00600C09"/>
    <w:rPr>
      <w:i/>
      <w:iCs/>
    </w:rPr>
  </w:style>
  <w:style w:type="character" w:customStyle="1" w:styleId="align-middle">
    <w:name w:val="align-middle"/>
    <w:basedOn w:val="DefaultParagraphFont"/>
    <w:rsid w:val="00600C09"/>
  </w:style>
  <w:style w:type="character" w:styleId="HTMLCode">
    <w:name w:val="HTML Code"/>
    <w:basedOn w:val="DefaultParagraphFont"/>
    <w:uiPriority w:val="99"/>
    <w:semiHidden/>
    <w:unhideWhenUsed/>
    <w:rsid w:val="00600C09"/>
    <w:rPr>
      <w:rFonts w:ascii="Courier New" w:eastAsia="Times New Roman" w:hAnsi="Courier New" w:cs="Courier New"/>
      <w:sz w:val="20"/>
      <w:szCs w:val="20"/>
    </w:rPr>
  </w:style>
  <w:style w:type="paragraph" w:styleId="z-TopofForm">
    <w:name w:val="HTML Top of Form"/>
    <w:basedOn w:val="Normal"/>
    <w:next w:val="Normal"/>
    <w:link w:val="z-TopofFormChar"/>
    <w:hidden/>
    <w:uiPriority w:val="99"/>
    <w:semiHidden/>
    <w:unhideWhenUsed/>
    <w:rsid w:val="00600C09"/>
    <w:pPr>
      <w:pBdr>
        <w:bottom w:val="single" w:sz="6" w:space="1" w:color="auto"/>
      </w:pBdr>
      <w:spacing w:after="0" w:line="240" w:lineRule="auto"/>
      <w:jc w:val="center"/>
    </w:pPr>
    <w:rPr>
      <w:rFonts w:ascii="Arial" w:eastAsia="Times New Roman" w:hAnsi="Arial" w:cs="Cordia New"/>
      <w:vanish/>
      <w:kern w:val="0"/>
      <w:sz w:val="16"/>
      <w:szCs w:val="20"/>
      <w14:ligatures w14:val="none"/>
    </w:rPr>
  </w:style>
  <w:style w:type="character" w:customStyle="1" w:styleId="z-TopofFormChar">
    <w:name w:val="z-Top of Form Char"/>
    <w:basedOn w:val="DefaultParagraphFont"/>
    <w:link w:val="z-TopofForm"/>
    <w:uiPriority w:val="99"/>
    <w:semiHidden/>
    <w:rsid w:val="00600C09"/>
    <w:rPr>
      <w:rFonts w:ascii="Arial" w:eastAsia="Times New Roman" w:hAnsi="Arial" w:cs="Cordia New"/>
      <w:vanish/>
      <w:kern w:val="0"/>
      <w:sz w:val="16"/>
      <w:szCs w:val="20"/>
      <w14:ligatures w14:val="none"/>
    </w:rPr>
  </w:style>
  <w:style w:type="paragraph" w:customStyle="1" w:styleId="placeholder">
    <w:name w:val="placeholder"/>
    <w:basedOn w:val="Normal"/>
    <w:rsid w:val="00600C09"/>
    <w:pPr>
      <w:spacing w:before="100" w:beforeAutospacing="1" w:after="100" w:afterAutospacing="1" w:line="240" w:lineRule="auto"/>
    </w:pPr>
    <w:rPr>
      <w:rFonts w:ascii="Times New Roman" w:eastAsia="Times New Roman" w:hAnsi="Times New Roman" w:cs="Times New Roman"/>
      <w:kern w:val="0"/>
      <w:szCs w:val="24"/>
      <w14:ligatures w14:val="none"/>
    </w:rPr>
  </w:style>
  <w:style w:type="character" w:customStyle="1" w:styleId="flex">
    <w:name w:val="flex"/>
    <w:basedOn w:val="DefaultParagraphFont"/>
    <w:rsid w:val="00600C09"/>
  </w:style>
  <w:style w:type="paragraph" w:styleId="z-BottomofForm">
    <w:name w:val="HTML Bottom of Form"/>
    <w:basedOn w:val="Normal"/>
    <w:next w:val="Normal"/>
    <w:link w:val="z-BottomofFormChar"/>
    <w:hidden/>
    <w:uiPriority w:val="99"/>
    <w:semiHidden/>
    <w:unhideWhenUsed/>
    <w:rsid w:val="00600C09"/>
    <w:pPr>
      <w:pBdr>
        <w:top w:val="single" w:sz="6" w:space="1" w:color="auto"/>
      </w:pBdr>
      <w:spacing w:after="0" w:line="240" w:lineRule="auto"/>
      <w:jc w:val="center"/>
    </w:pPr>
    <w:rPr>
      <w:rFonts w:ascii="Arial" w:eastAsia="Times New Roman" w:hAnsi="Arial" w:cs="Cordia New"/>
      <w:vanish/>
      <w:kern w:val="0"/>
      <w:sz w:val="16"/>
      <w:szCs w:val="20"/>
      <w14:ligatures w14:val="none"/>
    </w:rPr>
  </w:style>
  <w:style w:type="character" w:customStyle="1" w:styleId="z-BottomofFormChar">
    <w:name w:val="z-Bottom of Form Char"/>
    <w:basedOn w:val="DefaultParagraphFont"/>
    <w:link w:val="z-BottomofForm"/>
    <w:uiPriority w:val="99"/>
    <w:semiHidden/>
    <w:rsid w:val="00600C09"/>
    <w:rPr>
      <w:rFonts w:ascii="Arial" w:eastAsia="Times New Roman" w:hAnsi="Arial" w:cs="Cordia New"/>
      <w:vanish/>
      <w:kern w:val="0"/>
      <w:sz w:val="16"/>
      <w:szCs w:val="20"/>
      <w14:ligatures w14:val="none"/>
    </w:rPr>
  </w:style>
  <w:style w:type="paragraph" w:styleId="Header">
    <w:name w:val="header"/>
    <w:basedOn w:val="Normal"/>
    <w:link w:val="HeaderChar"/>
    <w:uiPriority w:val="99"/>
    <w:unhideWhenUsed/>
    <w:rsid w:val="00600C09"/>
    <w:pPr>
      <w:tabs>
        <w:tab w:val="center" w:pos="4513"/>
        <w:tab w:val="right" w:pos="9026"/>
      </w:tabs>
      <w:spacing w:after="0" w:line="240" w:lineRule="auto"/>
    </w:pPr>
  </w:style>
  <w:style w:type="character" w:customStyle="1" w:styleId="HeaderChar">
    <w:name w:val="Header Char"/>
    <w:basedOn w:val="DefaultParagraphFont"/>
    <w:link w:val="Header"/>
    <w:uiPriority w:val="99"/>
    <w:rsid w:val="00600C09"/>
  </w:style>
  <w:style w:type="paragraph" w:styleId="Footer">
    <w:name w:val="footer"/>
    <w:basedOn w:val="Normal"/>
    <w:link w:val="FooterChar"/>
    <w:uiPriority w:val="99"/>
    <w:unhideWhenUsed/>
    <w:rsid w:val="00600C09"/>
    <w:pPr>
      <w:tabs>
        <w:tab w:val="center" w:pos="4513"/>
        <w:tab w:val="right" w:pos="9026"/>
      </w:tabs>
      <w:spacing w:after="0" w:line="240" w:lineRule="auto"/>
    </w:pPr>
  </w:style>
  <w:style w:type="character" w:customStyle="1" w:styleId="FooterChar">
    <w:name w:val="Footer Char"/>
    <w:basedOn w:val="DefaultParagraphFont"/>
    <w:link w:val="Footer"/>
    <w:uiPriority w:val="99"/>
    <w:rsid w:val="00600C0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4</TotalTime>
  <Pages>116</Pages>
  <Words>30467</Words>
  <Characters>173664</Characters>
  <Application>Microsoft Office Word</Application>
  <DocSecurity>0</DocSecurity>
  <Lines>1447</Lines>
  <Paragraphs>407</Paragraphs>
  <ScaleCrop>false</ScaleCrop>
  <Company/>
  <LinksUpToDate>false</LinksUpToDate>
  <CharactersWithSpaces>203724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Muhamad Nasir Haron</dc:creator>
  <cp:keywords/>
  <dc:description/>
  <cp:lastModifiedBy>Muhamad Nasir Haron</cp:lastModifiedBy>
  <cp:revision>2</cp:revision>
  <dcterms:created xsi:type="dcterms:W3CDTF">2025-09-21T00:34:00Z</dcterms:created>
  <dcterms:modified xsi:type="dcterms:W3CDTF">2025-09-21T00:34:00Z</dcterms:modified>
</cp:coreProperties>
</file>