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87E09A" w14:textId="5BBC8F97" w:rsidR="009547C0" w:rsidRPr="00FB171D" w:rsidRDefault="009547C0" w:rsidP="00F53799">
      <w:pPr>
        <w:spacing w:after="0"/>
        <w:rPr>
          <w:rFonts w:ascii="Georgia" w:eastAsia="Segoe UI" w:hAnsi="Georgia" w:cs="Arial"/>
          <w:b/>
          <w:bCs/>
          <w:color w:val="FF0000"/>
          <w:sz w:val="36"/>
          <w:szCs w:val="36"/>
          <w:u w:val="single"/>
        </w:rPr>
      </w:pPr>
    </w:p>
    <w:p w14:paraId="2FF5339E" w14:textId="00B2F756" w:rsidR="00917785" w:rsidRPr="00FB171D" w:rsidRDefault="007A43F6" w:rsidP="00D643E3">
      <w:pPr>
        <w:pStyle w:val="Heading1"/>
        <w:rPr>
          <w:rFonts w:ascii="Georgia" w:hAnsi="Georgia" w:cs="Arial"/>
        </w:rPr>
      </w:pPr>
      <w:bookmarkStart w:id="0" w:name="_Toc209691034"/>
      <w:r>
        <w:rPr>
          <w:rFonts w:ascii="Georgia" w:hAnsi="Georgia" w:cs="Arial"/>
        </w:rPr>
        <w:t>In</w:t>
      </w:r>
      <w:r w:rsidR="00D643E3" w:rsidRPr="00FB171D">
        <w:rPr>
          <w:rFonts w:ascii="Georgia" w:hAnsi="Georgia" w:cs="Arial"/>
        </w:rPr>
        <w:t>troduction</w:t>
      </w:r>
      <w:bookmarkEnd w:id="0"/>
    </w:p>
    <w:p w14:paraId="64B23E35" w14:textId="74ACE2FD" w:rsidR="00D15C2B" w:rsidRPr="00FB171D" w:rsidRDefault="00D15C2B" w:rsidP="0060115D">
      <w:pPr>
        <w:rPr>
          <w:rFonts w:ascii="Georgia" w:hAnsi="Georgia" w:cs="Arial"/>
        </w:rPr>
      </w:pPr>
      <w:r w:rsidRPr="00FB171D">
        <w:rPr>
          <w:rFonts w:ascii="Georgia" w:hAnsi="Georgia" w:cs="Arial"/>
        </w:rPr>
        <w:t xml:space="preserve">The brain is the seat of consciousness and the essence of our being.  One of the saddest aspects of aging is the all-too-common phenomenon of dementia – literally the </w:t>
      </w:r>
      <w:r w:rsidR="00DA6E16" w:rsidRPr="00FB171D">
        <w:rPr>
          <w:rFonts w:ascii="Georgia" w:hAnsi="Georgia" w:cs="Arial"/>
        </w:rPr>
        <w:t xml:space="preserve">losing of mindfulness.  Although outward appearances may stay the same, and </w:t>
      </w:r>
      <w:r w:rsidR="00172DE9" w:rsidRPr="00FB171D">
        <w:rPr>
          <w:rFonts w:ascii="Georgia" w:hAnsi="Georgia" w:cs="Arial"/>
        </w:rPr>
        <w:t xml:space="preserve">we are easily recognized by others, we lose the ability to recognize them and eventually even to recognize ourselves.  </w:t>
      </w:r>
      <w:r w:rsidR="00105416" w:rsidRPr="00FB171D">
        <w:rPr>
          <w:rFonts w:ascii="Georgia" w:hAnsi="Georgia" w:cs="Arial"/>
        </w:rPr>
        <w:t>Our world shrinks and we become dependent upon the kindness of others</w:t>
      </w:r>
      <w:r w:rsidR="00F07E66" w:rsidRPr="00FB171D">
        <w:rPr>
          <w:rFonts w:ascii="Georgia" w:hAnsi="Georgia" w:cs="Arial"/>
        </w:rPr>
        <w:t xml:space="preserve">, first for gentle guidance and reminders, and eventually even for basic functions like eating and </w:t>
      </w:r>
      <w:r w:rsidR="00907466" w:rsidRPr="00FB171D">
        <w:rPr>
          <w:rFonts w:ascii="Georgia" w:hAnsi="Georgia" w:cs="Arial"/>
        </w:rPr>
        <w:t xml:space="preserve">even breathing.  </w:t>
      </w:r>
    </w:p>
    <w:p w14:paraId="2F66E48A" w14:textId="77777777" w:rsidR="00235F83" w:rsidRPr="00FB171D" w:rsidRDefault="00235F83" w:rsidP="00235F83">
      <w:pPr>
        <w:rPr>
          <w:rFonts w:ascii="Georgia" w:hAnsi="Georgia" w:cs="Arial"/>
        </w:rPr>
      </w:pPr>
      <w:r w:rsidRPr="00FB171D">
        <w:rPr>
          <w:rFonts w:ascii="Georgia" w:hAnsi="Georgia" w:cs="Arial"/>
        </w:rPr>
        <w:t>In "Still Alice" by Lisa Genova, the protagonist's struggle with Alzheimer's disease poignantly captures the crippling impact of cognitive decline: "Alice watched her world unravel with terrifying speed, each day stealing another piece of her identity. The once vibrant conversations turned to frustrating searches for simple words, leaving her family to navigate the painful reality of her vanishing presence. The disease did not just rob Alice of her memories, but it also inflicted a profound sense of loss and helplessness on her loved ones, as they witnessed the slow erosion of the woman they once knew."</w:t>
      </w:r>
    </w:p>
    <w:p w14:paraId="506762BC" w14:textId="5062835B" w:rsidR="00B466AB" w:rsidRPr="00FB171D" w:rsidRDefault="00B466AB" w:rsidP="00B466AB">
      <w:pPr>
        <w:rPr>
          <w:rFonts w:ascii="Georgia" w:eastAsia="Segoe UI" w:hAnsi="Georgia" w:cs="Arial"/>
        </w:rPr>
      </w:pPr>
      <w:r w:rsidRPr="00FB171D">
        <w:rPr>
          <w:rFonts w:ascii="Georgia" w:hAnsi="Georgia" w:cs="Arial"/>
        </w:rPr>
        <w:t>We all know that cognition declines with age, and we understand now that this</w:t>
      </w:r>
      <w:r w:rsidR="0061100D" w:rsidRPr="00FB171D">
        <w:rPr>
          <w:rFonts w:ascii="Georgia" w:hAnsi="Georgia" w:cs="Arial"/>
        </w:rPr>
        <w:t xml:space="preserve"> is</w:t>
      </w:r>
      <w:r w:rsidRPr="00FB171D">
        <w:rPr>
          <w:rFonts w:ascii="Georgia" w:hAnsi="Georgia" w:cs="Arial"/>
        </w:rPr>
        <w:t xml:space="preserve"> due to loss of neurons over time.  A</w:t>
      </w:r>
      <w:r w:rsidRPr="00FB171D">
        <w:rPr>
          <w:rFonts w:ascii="Georgia" w:eastAsia="Segoe UI" w:hAnsi="Georgia" w:cs="Arial"/>
        </w:rPr>
        <w:t>ging of the brain is of crucial importance to longevity: there is no point of having a robust, healthy body coupled with advanced dementia.  For lucky people, the brain is active and retains plasticity until a very old age.  For most, there is some diminution with time, and for the unfortunate, the decline comes much too early.  This g</w:t>
      </w:r>
      <w:r w:rsidRPr="00FB171D">
        <w:rPr>
          <w:rFonts w:ascii="Georgia" w:hAnsi="Georgia" w:cs="Arial"/>
        </w:rPr>
        <w:t>radual loss of cognitive functions—such as learning, memory, attention, and reasoning—is a natural part of aging, commonly referred to as normal cognitive aging.</w:t>
      </w:r>
      <w:r w:rsidRPr="00FB171D">
        <w:rPr>
          <w:rFonts w:ascii="Georgia" w:eastAsia="Segoe UI" w:hAnsi="Georgia" w:cs="Arial"/>
        </w:rPr>
        <w:t xml:space="preserve">  </w:t>
      </w:r>
      <w:r w:rsidRPr="00FB171D">
        <w:rPr>
          <w:rFonts w:ascii="Georgia" w:hAnsi="Georgia" w:cs="Arial"/>
        </w:rPr>
        <w:t>Common signs of age-related changes in brain function include:</w:t>
      </w:r>
    </w:p>
    <w:p w14:paraId="6303AFD6" w14:textId="77777777" w:rsidR="00FB171D" w:rsidRPr="00FB171D" w:rsidRDefault="00FB171D" w:rsidP="00FB171D">
      <w:pPr>
        <w:pStyle w:val="ListParagraph"/>
        <w:numPr>
          <w:ilvl w:val="0"/>
          <w:numId w:val="49"/>
        </w:numPr>
        <w:spacing w:before="100" w:beforeAutospacing="1" w:after="100" w:afterAutospacing="1" w:line="240" w:lineRule="auto"/>
        <w:rPr>
          <w:rFonts w:ascii="Georgia" w:eastAsia="Times New Roman" w:hAnsi="Georgia" w:cs="Times New Roman"/>
          <w:sz w:val="24"/>
          <w:szCs w:val="24"/>
          <w:lang w:val="en-ZA" w:eastAsia="en-GB"/>
        </w:rPr>
      </w:pPr>
      <w:r w:rsidRPr="00FB171D">
        <w:rPr>
          <w:rFonts w:ascii="Georgia" w:eastAsia="Times New Roman" w:hAnsi="Georgia" w:cs="Times New Roman"/>
          <w:sz w:val="24"/>
          <w:szCs w:val="24"/>
          <w:lang w:val="en-ZA" w:eastAsia="en-GB"/>
        </w:rPr>
        <w:t xml:space="preserve">Frequently forgets recent events, appointments, or names </w:t>
      </w:r>
    </w:p>
    <w:p w14:paraId="219CB8EB" w14:textId="77777777" w:rsidR="00FB171D" w:rsidRPr="00FB171D" w:rsidRDefault="00FB171D" w:rsidP="00FB171D">
      <w:pPr>
        <w:pStyle w:val="ListParagraph"/>
        <w:numPr>
          <w:ilvl w:val="0"/>
          <w:numId w:val="49"/>
        </w:numPr>
        <w:spacing w:before="100" w:beforeAutospacing="1" w:after="100" w:afterAutospacing="1" w:line="240" w:lineRule="auto"/>
        <w:rPr>
          <w:rFonts w:ascii="Georgia" w:eastAsia="Times New Roman" w:hAnsi="Georgia" w:cs="Times New Roman"/>
          <w:sz w:val="24"/>
          <w:szCs w:val="24"/>
          <w:lang w:val="en-ZA" w:eastAsia="en-GB"/>
        </w:rPr>
      </w:pPr>
      <w:r w:rsidRPr="00FB171D">
        <w:rPr>
          <w:rFonts w:ascii="Georgia" w:eastAsia="Times New Roman" w:hAnsi="Georgia" w:cs="Times New Roman"/>
          <w:sz w:val="24"/>
          <w:szCs w:val="24"/>
          <w:lang w:val="en-ZA" w:eastAsia="en-GB"/>
        </w:rPr>
        <w:t xml:space="preserve">Has difficulty following instructions, recipes, or manuals </w:t>
      </w:r>
    </w:p>
    <w:p w14:paraId="073478CB" w14:textId="77777777" w:rsidR="00FB171D" w:rsidRPr="00FB171D" w:rsidRDefault="00FB171D" w:rsidP="00FB171D">
      <w:pPr>
        <w:pStyle w:val="ListParagraph"/>
        <w:numPr>
          <w:ilvl w:val="0"/>
          <w:numId w:val="49"/>
        </w:numPr>
        <w:spacing w:before="100" w:beforeAutospacing="1" w:after="100" w:afterAutospacing="1" w:line="240" w:lineRule="auto"/>
        <w:rPr>
          <w:rFonts w:ascii="Georgia" w:eastAsia="Times New Roman" w:hAnsi="Georgia" w:cs="Times New Roman"/>
          <w:sz w:val="24"/>
          <w:szCs w:val="24"/>
          <w:lang w:val="en-ZA" w:eastAsia="en-GB"/>
        </w:rPr>
      </w:pPr>
      <w:r w:rsidRPr="00FB171D">
        <w:rPr>
          <w:rFonts w:ascii="Georgia" w:eastAsia="Times New Roman" w:hAnsi="Georgia" w:cs="Times New Roman"/>
          <w:sz w:val="24"/>
          <w:szCs w:val="24"/>
          <w:lang w:val="en-ZA" w:eastAsia="en-GB"/>
        </w:rPr>
        <w:t xml:space="preserve">Finds familiar tasks—like managing bills or driving—more challenging </w:t>
      </w:r>
    </w:p>
    <w:p w14:paraId="59E027ED" w14:textId="77777777" w:rsidR="00FB171D" w:rsidRPr="00FB171D" w:rsidRDefault="00FB171D" w:rsidP="00FB171D">
      <w:pPr>
        <w:pStyle w:val="ListParagraph"/>
        <w:numPr>
          <w:ilvl w:val="0"/>
          <w:numId w:val="49"/>
        </w:numPr>
        <w:spacing w:before="100" w:beforeAutospacing="1" w:after="100" w:afterAutospacing="1" w:line="240" w:lineRule="auto"/>
        <w:rPr>
          <w:rFonts w:ascii="Georgia" w:eastAsia="Times New Roman" w:hAnsi="Georgia" w:cs="Times New Roman"/>
          <w:sz w:val="24"/>
          <w:szCs w:val="24"/>
          <w:lang w:val="en-ZA" w:eastAsia="en-GB"/>
        </w:rPr>
      </w:pPr>
      <w:r w:rsidRPr="00FB171D">
        <w:rPr>
          <w:rFonts w:ascii="Georgia" w:eastAsia="Times New Roman" w:hAnsi="Georgia" w:cs="Times New Roman"/>
          <w:sz w:val="24"/>
          <w:szCs w:val="24"/>
          <w:lang w:val="en-ZA" w:eastAsia="en-GB"/>
        </w:rPr>
        <w:t>Shows noticeable changes in mood, personality, or behavior (e.g., irritability or anxiety)</w:t>
      </w:r>
    </w:p>
    <w:p w14:paraId="67466954" w14:textId="77777777" w:rsidR="00FB171D" w:rsidRPr="00FB171D" w:rsidRDefault="00FB171D" w:rsidP="00FB171D">
      <w:pPr>
        <w:pStyle w:val="ListParagraph"/>
        <w:numPr>
          <w:ilvl w:val="0"/>
          <w:numId w:val="49"/>
        </w:numPr>
        <w:spacing w:before="100" w:beforeAutospacing="1" w:after="100" w:afterAutospacing="1" w:line="240" w:lineRule="auto"/>
        <w:rPr>
          <w:rFonts w:ascii="Georgia" w:eastAsia="Times New Roman" w:hAnsi="Georgia" w:cs="Times New Roman"/>
          <w:sz w:val="24"/>
          <w:szCs w:val="24"/>
          <w:lang w:val="en-ZA" w:eastAsia="en-GB"/>
        </w:rPr>
      </w:pPr>
      <w:r w:rsidRPr="00FB171D">
        <w:rPr>
          <w:rFonts w:ascii="Georgia" w:eastAsia="Times New Roman" w:hAnsi="Georgia" w:cs="Times New Roman"/>
          <w:sz w:val="24"/>
          <w:szCs w:val="24"/>
          <w:lang w:val="en-ZA" w:eastAsia="en-GB"/>
        </w:rPr>
        <w:t xml:space="preserve">Loses interest in hobbies, social activities, or work </w:t>
      </w:r>
    </w:p>
    <w:p w14:paraId="6AE8F652" w14:textId="77777777" w:rsidR="00FB171D" w:rsidRPr="00FB171D" w:rsidRDefault="00FB171D" w:rsidP="00FB171D">
      <w:pPr>
        <w:pStyle w:val="ListParagraph"/>
        <w:numPr>
          <w:ilvl w:val="0"/>
          <w:numId w:val="49"/>
        </w:numPr>
        <w:spacing w:before="100" w:beforeAutospacing="1" w:after="100" w:afterAutospacing="1" w:line="240" w:lineRule="auto"/>
        <w:rPr>
          <w:rFonts w:ascii="Georgia" w:eastAsia="Times New Roman" w:hAnsi="Georgia" w:cs="Times New Roman"/>
          <w:sz w:val="24"/>
          <w:szCs w:val="24"/>
          <w:lang w:val="en-ZA" w:eastAsia="en-GB"/>
        </w:rPr>
      </w:pPr>
      <w:r w:rsidRPr="00FB171D">
        <w:rPr>
          <w:rFonts w:ascii="Georgia" w:eastAsia="Times New Roman" w:hAnsi="Georgia" w:cs="Times New Roman"/>
          <w:sz w:val="24"/>
          <w:szCs w:val="24"/>
          <w:lang w:val="en-ZA" w:eastAsia="en-GB"/>
        </w:rPr>
        <w:t xml:space="preserve">Becomes confused about time, places, or familiar people </w:t>
      </w:r>
    </w:p>
    <w:p w14:paraId="3EB54ED1" w14:textId="77777777" w:rsidR="00FB171D" w:rsidRPr="00FB171D" w:rsidRDefault="00FB171D" w:rsidP="00FB171D">
      <w:pPr>
        <w:pStyle w:val="ListParagraph"/>
        <w:numPr>
          <w:ilvl w:val="0"/>
          <w:numId w:val="49"/>
        </w:numPr>
        <w:spacing w:before="100" w:beforeAutospacing="1" w:after="100" w:afterAutospacing="1" w:line="240" w:lineRule="auto"/>
        <w:rPr>
          <w:rFonts w:ascii="Georgia" w:eastAsia="Times New Roman" w:hAnsi="Georgia" w:cs="Times New Roman"/>
          <w:sz w:val="24"/>
          <w:szCs w:val="24"/>
          <w:lang w:val="en-ZA" w:eastAsia="en-GB"/>
        </w:rPr>
      </w:pPr>
      <w:r w:rsidRPr="00FB171D">
        <w:rPr>
          <w:rFonts w:ascii="Georgia" w:eastAsia="Times New Roman" w:hAnsi="Georgia" w:cs="Times New Roman"/>
          <w:sz w:val="24"/>
          <w:szCs w:val="24"/>
          <w:lang w:val="en-ZA" w:eastAsia="en-GB"/>
        </w:rPr>
        <w:t xml:space="preserve">Repeats questions, stories, or makes the same mistakes multiple times </w:t>
      </w:r>
    </w:p>
    <w:p w14:paraId="39CCB2E1" w14:textId="77777777" w:rsidR="00FB171D" w:rsidRPr="00FB171D" w:rsidRDefault="00FB171D" w:rsidP="00FB171D">
      <w:pPr>
        <w:pStyle w:val="ListParagraph"/>
        <w:numPr>
          <w:ilvl w:val="0"/>
          <w:numId w:val="49"/>
        </w:numPr>
        <w:spacing w:before="100" w:beforeAutospacing="1" w:after="100" w:afterAutospacing="1" w:line="240" w:lineRule="auto"/>
        <w:rPr>
          <w:rFonts w:ascii="Georgia" w:eastAsia="Times New Roman" w:hAnsi="Georgia" w:cs="Times New Roman"/>
          <w:sz w:val="24"/>
          <w:szCs w:val="24"/>
          <w:lang w:val="en-ZA" w:eastAsia="en-GB"/>
        </w:rPr>
      </w:pPr>
      <w:r w:rsidRPr="00FB171D">
        <w:rPr>
          <w:rFonts w:ascii="Georgia" w:eastAsia="Times New Roman" w:hAnsi="Georgia" w:cs="Times New Roman"/>
          <w:sz w:val="24"/>
          <w:szCs w:val="24"/>
          <w:lang w:val="en-ZA" w:eastAsia="en-GB"/>
        </w:rPr>
        <w:t xml:space="preserve">Struggles to find the right words or express thoughts clearly </w:t>
      </w:r>
    </w:p>
    <w:p w14:paraId="6AEABB15" w14:textId="225BE0D3" w:rsidR="00FB171D" w:rsidRPr="00FB171D" w:rsidRDefault="00FB171D" w:rsidP="00FB171D">
      <w:pPr>
        <w:pStyle w:val="ListParagraph"/>
        <w:numPr>
          <w:ilvl w:val="0"/>
          <w:numId w:val="49"/>
        </w:numPr>
        <w:spacing w:before="100" w:beforeAutospacing="1" w:after="100" w:afterAutospacing="1" w:line="240" w:lineRule="auto"/>
        <w:rPr>
          <w:rFonts w:ascii="Georgia" w:eastAsia="Times New Roman" w:hAnsi="Georgia" w:cs="Times New Roman"/>
          <w:sz w:val="24"/>
          <w:szCs w:val="24"/>
          <w:lang w:val="en-ZA" w:eastAsia="en-GB"/>
        </w:rPr>
      </w:pPr>
      <w:r w:rsidRPr="00FB171D">
        <w:rPr>
          <w:rFonts w:ascii="Georgia" w:eastAsia="Times New Roman" w:hAnsi="Georgia" w:cs="Times New Roman"/>
          <w:sz w:val="24"/>
          <w:szCs w:val="24"/>
          <w:lang w:val="en-ZA" w:eastAsia="en-GB"/>
        </w:rPr>
        <w:t xml:space="preserve">Misplaces items or puts belongings in unusual locations </w:t>
      </w:r>
    </w:p>
    <w:p w14:paraId="2675BCAB" w14:textId="13276F6F" w:rsidR="00FB171D" w:rsidRPr="00FB171D" w:rsidRDefault="00FB171D" w:rsidP="00FB171D">
      <w:pPr>
        <w:pStyle w:val="ListParagraph"/>
        <w:numPr>
          <w:ilvl w:val="0"/>
          <w:numId w:val="49"/>
        </w:numPr>
        <w:spacing w:before="100" w:beforeAutospacing="1" w:after="100" w:afterAutospacing="1" w:line="240" w:lineRule="auto"/>
        <w:rPr>
          <w:rFonts w:ascii="Georgia" w:eastAsia="Times New Roman" w:hAnsi="Georgia" w:cs="Times New Roman"/>
          <w:sz w:val="24"/>
          <w:szCs w:val="24"/>
          <w:lang w:val="en-ZA" w:eastAsia="en-GB"/>
        </w:rPr>
      </w:pPr>
      <w:r w:rsidRPr="00FB171D">
        <w:rPr>
          <w:rFonts w:ascii="Georgia" w:eastAsia="Times New Roman" w:hAnsi="Georgia" w:cs="Times New Roman"/>
          <w:sz w:val="24"/>
          <w:szCs w:val="24"/>
          <w:lang w:val="en-ZA" w:eastAsia="en-GB"/>
        </w:rPr>
        <w:t>Exercises poor judgment (e.g., falling for scams or neglecting personal hygiene)</w:t>
      </w:r>
    </w:p>
    <w:p w14:paraId="5F6B363E" w14:textId="1DB79256" w:rsidR="00B466AB" w:rsidRPr="00FB171D" w:rsidRDefault="00B466AB" w:rsidP="00FB171D">
      <w:pPr>
        <w:pStyle w:val="ListParagraph"/>
        <w:rPr>
          <w:rFonts w:ascii="Georgia" w:hAnsi="Georgia" w:cs="Arial"/>
        </w:rPr>
      </w:pPr>
    </w:p>
    <w:p w14:paraId="2F0CCF7B" w14:textId="77777777" w:rsidR="00B466AB" w:rsidRPr="00FB171D" w:rsidRDefault="00B466AB" w:rsidP="00B466AB">
      <w:pPr>
        <w:rPr>
          <w:rFonts w:ascii="Georgia" w:eastAsia="Segoe UI" w:hAnsi="Georgia" w:cs="Arial"/>
        </w:rPr>
      </w:pPr>
      <w:r w:rsidRPr="00FB171D">
        <w:rPr>
          <w:rFonts w:ascii="Georgia" w:eastAsia="Segoe UI" w:hAnsi="Georgia" w:cs="Arial"/>
        </w:rPr>
        <w:t>Many of these changes fall along a continuum, with changes commonly appearing at similar ages:</w:t>
      </w:r>
    </w:p>
    <w:p w14:paraId="11859668" w14:textId="77777777" w:rsidR="00FB171D" w:rsidRPr="00FB171D" w:rsidRDefault="00FB171D" w:rsidP="00734CAC">
      <w:pPr>
        <w:pStyle w:val="ListParagraph"/>
        <w:numPr>
          <w:ilvl w:val="0"/>
          <w:numId w:val="48"/>
        </w:numPr>
        <w:rPr>
          <w:rFonts w:ascii="Georgia" w:hAnsi="Georgia" w:cs="Arial"/>
        </w:rPr>
      </w:pPr>
      <w:r w:rsidRPr="00FB171D">
        <w:rPr>
          <w:rStyle w:val="Strong"/>
          <w:rFonts w:ascii="Georgia" w:hAnsi="Georgia"/>
        </w:rPr>
        <w:t>In Your 20s</w:t>
      </w:r>
      <w:r w:rsidRPr="00FB171D">
        <w:rPr>
          <w:rFonts w:ascii="Georgia" w:hAnsi="Georgia"/>
        </w:rPr>
        <w:t xml:space="preserve">: Memory, processing speed, and problem-solving peak. Neuroplasticity is at its highest, supporting rapid learning and adaptation. </w:t>
      </w:r>
    </w:p>
    <w:p w14:paraId="4E18083D" w14:textId="77777777" w:rsidR="00FB171D" w:rsidRPr="00FB171D" w:rsidRDefault="00FB171D" w:rsidP="00734CAC">
      <w:pPr>
        <w:pStyle w:val="ListParagraph"/>
        <w:numPr>
          <w:ilvl w:val="0"/>
          <w:numId w:val="48"/>
        </w:numPr>
        <w:rPr>
          <w:rFonts w:ascii="Georgia" w:hAnsi="Georgia" w:cs="Arial"/>
        </w:rPr>
      </w:pPr>
      <w:r w:rsidRPr="00FB171D">
        <w:rPr>
          <w:rStyle w:val="Strong"/>
          <w:rFonts w:ascii="Georgia" w:hAnsi="Georgia"/>
        </w:rPr>
        <w:lastRenderedPageBreak/>
        <w:t>In Your 30s</w:t>
      </w:r>
      <w:r w:rsidRPr="00FB171D">
        <w:rPr>
          <w:rFonts w:ascii="Georgia" w:hAnsi="Georgia"/>
        </w:rPr>
        <w:t xml:space="preserve">: Cognitive performance stays strong, though subtle declines may begin. This decade consolidates previously acquired knowledge and skills. </w:t>
      </w:r>
    </w:p>
    <w:p w14:paraId="7A114BF3" w14:textId="77777777" w:rsidR="00FB171D" w:rsidRPr="00FB171D" w:rsidRDefault="00FB171D" w:rsidP="00734CAC">
      <w:pPr>
        <w:pStyle w:val="ListParagraph"/>
        <w:numPr>
          <w:ilvl w:val="0"/>
          <w:numId w:val="48"/>
        </w:numPr>
        <w:rPr>
          <w:rFonts w:ascii="Georgia" w:hAnsi="Georgia" w:cs="Arial"/>
        </w:rPr>
      </w:pPr>
      <w:r w:rsidRPr="00FB171D">
        <w:rPr>
          <w:rStyle w:val="Strong"/>
          <w:rFonts w:ascii="Georgia" w:hAnsi="Georgia"/>
        </w:rPr>
        <w:t>In Your 40s</w:t>
      </w:r>
      <w:r w:rsidRPr="00FB171D">
        <w:rPr>
          <w:rFonts w:ascii="Georgia" w:hAnsi="Georgia"/>
        </w:rPr>
        <w:t xml:space="preserve">: Working memory and processing speed may decline, but verbal ability and crystallized intelligence continue to grow. </w:t>
      </w:r>
    </w:p>
    <w:p w14:paraId="5A89CF98" w14:textId="4E38F4B9" w:rsidR="00B466AB" w:rsidRPr="00FB171D" w:rsidRDefault="00FB171D" w:rsidP="00734CAC">
      <w:pPr>
        <w:pStyle w:val="ListParagraph"/>
        <w:numPr>
          <w:ilvl w:val="0"/>
          <w:numId w:val="48"/>
        </w:numPr>
        <w:rPr>
          <w:rFonts w:ascii="Georgia" w:hAnsi="Georgia" w:cs="Arial"/>
        </w:rPr>
      </w:pPr>
      <w:r w:rsidRPr="00FB171D">
        <w:rPr>
          <w:rStyle w:val="Strong"/>
          <w:rFonts w:ascii="Georgia" w:hAnsi="Georgia"/>
        </w:rPr>
        <w:t>In Your 50s</w:t>
      </w:r>
      <w:r w:rsidRPr="00FB171D">
        <w:rPr>
          <w:rFonts w:ascii="Georgia" w:hAnsi="Georgia"/>
        </w:rPr>
        <w:t>: Multitasking and reaction time may slow further. However, experience and wisdom often compensate, offering a different kind of cognitive strength.</w:t>
      </w:r>
    </w:p>
    <w:p w14:paraId="73EDF3C0" w14:textId="77777777" w:rsidR="00B466AB" w:rsidRPr="00FB171D" w:rsidRDefault="00B466AB" w:rsidP="00734CAC">
      <w:pPr>
        <w:pStyle w:val="ListParagraph"/>
        <w:numPr>
          <w:ilvl w:val="0"/>
          <w:numId w:val="48"/>
        </w:numPr>
        <w:rPr>
          <w:rFonts w:ascii="Georgia" w:hAnsi="Georgia" w:cs="Arial"/>
        </w:rPr>
      </w:pPr>
      <w:r w:rsidRPr="00FB171D">
        <w:rPr>
          <w:rFonts w:ascii="Georgia" w:hAnsi="Georgia" w:cs="Arial"/>
          <w:b/>
          <w:bCs/>
        </w:rPr>
        <w:t>In Your 60s</w:t>
      </w:r>
      <w:r w:rsidRPr="00FB171D">
        <w:rPr>
          <w:rFonts w:ascii="Georgia" w:hAnsi="Georgia" w:cs="Arial"/>
        </w:rPr>
        <w:t>: Memory lapses and slower information processing become more common. This period can also be a time of intellectual enrichment and creativity, drawing upon a lifetime of experience.</w:t>
      </w:r>
    </w:p>
    <w:p w14:paraId="0AACFE6B" w14:textId="77777777" w:rsidR="00B466AB" w:rsidRPr="00FB171D" w:rsidRDefault="00B466AB" w:rsidP="00734CAC">
      <w:pPr>
        <w:pStyle w:val="ListParagraph"/>
        <w:numPr>
          <w:ilvl w:val="0"/>
          <w:numId w:val="48"/>
        </w:numPr>
        <w:rPr>
          <w:rFonts w:ascii="Georgia" w:hAnsi="Georgia" w:cs="Arial"/>
        </w:rPr>
      </w:pPr>
      <w:r w:rsidRPr="00FB171D">
        <w:rPr>
          <w:rFonts w:ascii="Georgia" w:hAnsi="Georgia" w:cs="Arial"/>
          <w:b/>
          <w:bCs/>
        </w:rPr>
        <w:t>In Your 70s and Beyond</w:t>
      </w:r>
      <w:r w:rsidRPr="00FB171D">
        <w:rPr>
          <w:rFonts w:ascii="Georgia" w:hAnsi="Georgia" w:cs="Arial"/>
        </w:rPr>
        <w:t>: Further declines in memory, attention, and processing speed are typical. Continued engagement in mentally stimulating activities and strong social connections can help preserve cognitive resilience.</w:t>
      </w:r>
    </w:p>
    <w:p w14:paraId="29A9177A" w14:textId="77777777" w:rsidR="00B466AB" w:rsidRPr="00FB171D" w:rsidRDefault="00B466AB" w:rsidP="00B466AB">
      <w:pPr>
        <w:pStyle w:val="ListParagraph"/>
        <w:rPr>
          <w:rFonts w:ascii="Georgia" w:hAnsi="Georgia" w:cs="Arial"/>
        </w:rPr>
      </w:pPr>
    </w:p>
    <w:p w14:paraId="56F67D88" w14:textId="64993555" w:rsidR="00B466AB" w:rsidRPr="00FB171D" w:rsidRDefault="00B466AB" w:rsidP="00B466AB">
      <w:pPr>
        <w:rPr>
          <w:rFonts w:ascii="Georgia" w:hAnsi="Georgia" w:cs="Arial"/>
        </w:rPr>
      </w:pPr>
      <w:r w:rsidRPr="00FB171D">
        <w:rPr>
          <w:rFonts w:ascii="Georgia" w:hAnsi="Georgia" w:cs="Arial"/>
        </w:rPr>
        <w:t xml:space="preserve">We see from this overall schema that there are performance benchmarks typically associated with different ages, and this gives rise to the concept of "brain age"—an aggregate estimate of how old the brain appears, based on a variety of structural, functional, and molecular markers. Unlike chronological age, brain age aims to assess the biological integrity of the brain itself.  Because the changes in the brain are usually irreversible, this is both diagnostic and predictive: </w:t>
      </w:r>
      <w:r w:rsidR="00FB171D" w:rsidRPr="00FB171D">
        <w:rPr>
          <w:rFonts w:ascii="Georgia" w:hAnsi="Georgia" w:cs="Arial"/>
        </w:rPr>
        <w:t>comparing brain</w:t>
      </w:r>
      <w:r w:rsidRPr="00FB171D">
        <w:rPr>
          <w:rFonts w:ascii="Georgia" w:hAnsi="Georgia" w:cs="Arial"/>
        </w:rPr>
        <w:t xml:space="preserve"> age to chronological age gives a measure of brain aging as well.  </w:t>
      </w:r>
    </w:p>
    <w:p w14:paraId="493ABEEB" w14:textId="77777777" w:rsidR="00B466AB" w:rsidRPr="00FB171D" w:rsidRDefault="00B466AB" w:rsidP="00B466AB">
      <w:pPr>
        <w:rPr>
          <w:rFonts w:ascii="Georgia" w:hAnsi="Georgia" w:cs="Arial"/>
        </w:rPr>
      </w:pPr>
      <w:r w:rsidRPr="00FB171D">
        <w:rPr>
          <w:rFonts w:ascii="Georgia" w:hAnsi="Georgia" w:cs="Arial"/>
        </w:rPr>
        <w:t>To measure brain age, researchers combine advanced imaging techniques, cognitive assessments, and molecular biomarkers, using several validated scales and models to estimate the degree of brain aging in individuals.</w:t>
      </w:r>
    </w:p>
    <w:p w14:paraId="7D69C0EB" w14:textId="7EEE606A" w:rsidR="00C370EB" w:rsidRPr="00FB171D" w:rsidRDefault="00BF0098" w:rsidP="00D643E3">
      <w:pPr>
        <w:pStyle w:val="Heading1"/>
        <w:rPr>
          <w:rFonts w:ascii="Georgia" w:eastAsia="Segoe UI" w:hAnsi="Georgia" w:cs="Arial"/>
        </w:rPr>
      </w:pPr>
      <w:bookmarkStart w:id="1" w:name="_Toc209691035"/>
      <w:r w:rsidRPr="00FB171D">
        <w:rPr>
          <w:rFonts w:ascii="Georgia" w:eastAsia="Segoe UI" w:hAnsi="Georgia" w:cs="Arial"/>
        </w:rPr>
        <w:t xml:space="preserve">How do we measure </w:t>
      </w:r>
      <w:r w:rsidR="00AE251E" w:rsidRPr="00FB171D">
        <w:rPr>
          <w:rFonts w:ascii="Georgia" w:eastAsia="Segoe UI" w:hAnsi="Georgia" w:cs="Arial"/>
        </w:rPr>
        <w:t>Brain Age</w:t>
      </w:r>
      <w:bookmarkEnd w:id="1"/>
    </w:p>
    <w:p w14:paraId="4B433A75" w14:textId="77777777" w:rsidR="0089641B" w:rsidRPr="00FB171D" w:rsidRDefault="0089641B" w:rsidP="0089641B">
      <w:pPr>
        <w:rPr>
          <w:rFonts w:ascii="Georgia" w:hAnsi="Georgia" w:cs="Arial"/>
        </w:rPr>
      </w:pPr>
      <w:r w:rsidRPr="00FB171D">
        <w:rPr>
          <w:rFonts w:ascii="Georgia" w:hAnsi="Georgia" w:cs="Arial"/>
        </w:rPr>
        <w:t>Brain age clocks—particularly those based on neuroimaging and epigenetic signatures—have emerged as powerful tools for quantifying the biological aging of the brain, distinct from the passage of chronological years. Their greatest utility lies in their ability to detect subtle deviations from expected brain aging trajectories, thereby identifying individuals at risk for accelerated cognitive decline or neurodegenerative conditions before overt symptoms manifest.</w:t>
      </w:r>
    </w:p>
    <w:p w14:paraId="6D26881F" w14:textId="77777777" w:rsidR="0089641B" w:rsidRPr="00FB171D" w:rsidRDefault="0089641B" w:rsidP="0089641B">
      <w:pPr>
        <w:rPr>
          <w:rFonts w:ascii="Georgia" w:hAnsi="Georgia" w:cs="Arial"/>
        </w:rPr>
      </w:pPr>
      <w:r w:rsidRPr="00FB171D">
        <w:rPr>
          <w:rFonts w:ascii="Georgia" w:hAnsi="Georgia" w:cs="Arial"/>
        </w:rPr>
        <w:t>These clocks operate by comparing an individual’s brain imaging metrics or epigenetic markers to large normative datasets, yielding a “brain age” estimate. When this estimated age exceeds chronological age, it signals accelerated brain aging—a phenomenon correlated with greater risk of cognitive impairment, dementia, and poorer cognitive outcomes, as seen in studies from the UK Biobank and the Alzheimer’s Disease Neuroimaging Initiative (ADNI).</w:t>
      </w:r>
    </w:p>
    <w:p w14:paraId="7A41037F" w14:textId="77777777" w:rsidR="0089641B" w:rsidRPr="00FB171D" w:rsidRDefault="0089641B" w:rsidP="0089641B">
      <w:pPr>
        <w:rPr>
          <w:rFonts w:ascii="Georgia" w:hAnsi="Georgia" w:cs="Arial"/>
        </w:rPr>
      </w:pPr>
      <w:r w:rsidRPr="00FB171D">
        <w:rPr>
          <w:rFonts w:ascii="Georgia" w:hAnsi="Georgia" w:cs="Arial"/>
        </w:rPr>
        <w:t>Crucially, brain age clocks can be used to measure the rate of brain aging over time. By conducting serial assessments, researchers and clinicians can observe whether an individual’s brain age is advancing more rapidly or more slowly than their actual age. This capability opens the door to evaluating the effectiveness of interventions designed to slow, halt, or even reverse brain aging. For instance, lifestyle modifications (such as increased physical activity or dietary changes), medications, or cognitive training programs can be studied for their impact on slowing brain age progression.</w:t>
      </w:r>
    </w:p>
    <w:p w14:paraId="6867EFF1" w14:textId="52A0AC7C" w:rsidR="0089641B" w:rsidRPr="00FB171D" w:rsidRDefault="0089641B" w:rsidP="0089641B">
      <w:pPr>
        <w:rPr>
          <w:rFonts w:ascii="Georgia" w:hAnsi="Georgia" w:cs="Arial"/>
        </w:rPr>
      </w:pPr>
      <w:r w:rsidRPr="00FB171D">
        <w:rPr>
          <w:rFonts w:ascii="Georgia" w:hAnsi="Georgia" w:cs="Arial"/>
        </w:rPr>
        <w:t xml:space="preserve">Although brain age clocks are still being refined—as demonstrated by the evolution from the original Horvath Clock to more nuanced models like GrimAge and PhenoAge—they provide an </w:t>
      </w:r>
      <w:r w:rsidRPr="00FB171D">
        <w:rPr>
          <w:rFonts w:ascii="Georgia" w:hAnsi="Georgia" w:cs="Arial"/>
        </w:rPr>
        <w:lastRenderedPageBreak/>
        <w:t xml:space="preserve">objective, quantifiable outcome for intervention trials. </w:t>
      </w:r>
      <w:r w:rsidR="008578ED" w:rsidRPr="00FB171D">
        <w:rPr>
          <w:rFonts w:ascii="Georgia" w:hAnsi="Georgia" w:cs="Arial"/>
        </w:rPr>
        <w:t xml:space="preserve">Let’s look at current ways of measuring brain age: </w:t>
      </w:r>
    </w:p>
    <w:p w14:paraId="58A15CDE" w14:textId="2BDEE80D" w:rsidR="004F0BE4" w:rsidRPr="00FB171D" w:rsidRDefault="004F0BE4" w:rsidP="004D1672">
      <w:pPr>
        <w:pStyle w:val="Heading3"/>
        <w:rPr>
          <w:rFonts w:ascii="Georgia" w:hAnsi="Georgia" w:cs="Arial"/>
        </w:rPr>
      </w:pPr>
      <w:bookmarkStart w:id="2" w:name="_Toc209691036"/>
      <w:r w:rsidRPr="00FB171D">
        <w:rPr>
          <w:rFonts w:ascii="Georgia" w:hAnsi="Georgia" w:cs="Arial"/>
        </w:rPr>
        <w:t>Clinical Examination-Based Brain Age Assessment</w:t>
      </w:r>
      <w:bookmarkEnd w:id="2"/>
    </w:p>
    <w:p w14:paraId="781931BD" w14:textId="77777777" w:rsidR="004F0BE4" w:rsidRPr="00FB171D" w:rsidRDefault="004F0BE4" w:rsidP="004F0BE4">
      <w:pPr>
        <w:rPr>
          <w:rFonts w:ascii="Georgia" w:hAnsi="Georgia" w:cs="Arial"/>
        </w:rPr>
      </w:pPr>
      <w:r w:rsidRPr="00FB171D">
        <w:rPr>
          <w:rFonts w:ascii="Georgia" w:hAnsi="Georgia" w:cs="Arial"/>
        </w:rPr>
        <w:t>Neurological evaluation forms a foundational component in assessing brain age. This comprehensive process examines the integrity and function of the nervous system through a series of established domains:</w:t>
      </w:r>
    </w:p>
    <w:p w14:paraId="44B6BB90" w14:textId="77777777" w:rsidR="00FB171D" w:rsidRDefault="00FB171D" w:rsidP="00734CAC">
      <w:pPr>
        <w:pStyle w:val="ListParagraph"/>
        <w:numPr>
          <w:ilvl w:val="0"/>
          <w:numId w:val="53"/>
        </w:numPr>
        <w:rPr>
          <w:rFonts w:ascii="Georgia" w:hAnsi="Georgia" w:cs="Arial"/>
        </w:rPr>
      </w:pPr>
      <w:r w:rsidRPr="00FB171D">
        <w:rPr>
          <w:rFonts w:ascii="Georgia" w:hAnsi="Georgia" w:cs="Arial"/>
          <w:b/>
          <w:bCs/>
        </w:rPr>
        <w:t>Mental Status</w:t>
      </w:r>
      <w:r w:rsidRPr="00FB171D">
        <w:rPr>
          <w:rFonts w:ascii="Georgia" w:hAnsi="Georgia" w:cs="Arial"/>
        </w:rPr>
        <w:t xml:space="preserve">: Assessed through tasks like object naming, short-list recall, sentence writing, and shape copying. Responses are scored to evaluate cognitive clarity and accuracy. </w:t>
      </w:r>
    </w:p>
    <w:p w14:paraId="67862503" w14:textId="77777777" w:rsidR="00FB171D" w:rsidRDefault="00FB171D" w:rsidP="00734CAC">
      <w:pPr>
        <w:pStyle w:val="ListParagraph"/>
        <w:numPr>
          <w:ilvl w:val="0"/>
          <w:numId w:val="53"/>
        </w:numPr>
        <w:rPr>
          <w:rFonts w:ascii="Georgia" w:hAnsi="Georgia" w:cs="Arial"/>
        </w:rPr>
      </w:pPr>
      <w:r w:rsidRPr="00FB171D">
        <w:rPr>
          <w:rFonts w:ascii="Georgia" w:hAnsi="Georgia" w:cs="Arial"/>
          <w:b/>
          <w:bCs/>
        </w:rPr>
        <w:t>Cranial Nerves</w:t>
      </w:r>
      <w:r w:rsidRPr="00FB171D">
        <w:rPr>
          <w:rFonts w:ascii="Georgia" w:hAnsi="Georgia" w:cs="Arial"/>
        </w:rPr>
        <w:t xml:space="preserve">: Twelve nerve pairs link the brain to sensory organs and facial structures. Specific nerves are tested based on suspected neurological issues. </w:t>
      </w:r>
    </w:p>
    <w:p w14:paraId="58A4E7BC" w14:textId="77777777" w:rsidR="00FB171D" w:rsidRDefault="00FB171D" w:rsidP="00734CAC">
      <w:pPr>
        <w:pStyle w:val="ListParagraph"/>
        <w:numPr>
          <w:ilvl w:val="0"/>
          <w:numId w:val="53"/>
        </w:numPr>
        <w:rPr>
          <w:rFonts w:ascii="Georgia" w:hAnsi="Georgia" w:cs="Arial"/>
        </w:rPr>
      </w:pPr>
      <w:r w:rsidRPr="00FB171D">
        <w:rPr>
          <w:rFonts w:ascii="Georgia" w:hAnsi="Georgia" w:cs="Arial"/>
          <w:b/>
          <w:bCs/>
        </w:rPr>
        <w:t>Motor Function</w:t>
      </w:r>
      <w:r w:rsidRPr="00FB171D">
        <w:rPr>
          <w:rFonts w:ascii="Georgia" w:hAnsi="Georgia" w:cs="Arial"/>
        </w:rPr>
        <w:t xml:space="preserve">: Evaluated by observing involuntary movements (e.g., tics, tremors), testing for pronator drift or leg rotation, and measuring muscle tone and strength. </w:t>
      </w:r>
    </w:p>
    <w:p w14:paraId="1F4E63AC" w14:textId="0AF79F3F" w:rsidR="004F0BE4" w:rsidRPr="00FB171D" w:rsidRDefault="00FB171D" w:rsidP="00734CAC">
      <w:pPr>
        <w:pStyle w:val="ListParagraph"/>
        <w:numPr>
          <w:ilvl w:val="0"/>
          <w:numId w:val="53"/>
        </w:numPr>
        <w:rPr>
          <w:rFonts w:ascii="Georgia" w:hAnsi="Georgia" w:cs="Arial"/>
        </w:rPr>
      </w:pPr>
      <w:r w:rsidRPr="00FB171D">
        <w:rPr>
          <w:rFonts w:ascii="Georgia" w:hAnsi="Georgia" w:cs="Arial"/>
          <w:b/>
          <w:bCs/>
        </w:rPr>
        <w:t>Sensory Function</w:t>
      </w:r>
      <w:r w:rsidRPr="00FB171D">
        <w:rPr>
          <w:rFonts w:ascii="Georgia" w:hAnsi="Georgia" w:cs="Arial"/>
        </w:rPr>
        <w:t>: Based on the individual’s reported symptoms and perceptions to detect sensory deficits or abnormalities.</w:t>
      </w:r>
    </w:p>
    <w:p w14:paraId="773E07B8" w14:textId="2D43DBA7" w:rsidR="00F42056" w:rsidRPr="00FB171D" w:rsidRDefault="004F0BE4" w:rsidP="004F0BE4">
      <w:pPr>
        <w:rPr>
          <w:rFonts w:ascii="Georgia" w:hAnsi="Georgia" w:cs="Arial"/>
        </w:rPr>
      </w:pPr>
      <w:r w:rsidRPr="00FB171D">
        <w:rPr>
          <w:rFonts w:ascii="Georgia" w:hAnsi="Georgia" w:cs="Arial"/>
        </w:rPr>
        <w:t>Such clinical assessments provide valuable context for interpreting findings from neuroimaging and cognitive scales, offering a holistic perspective on brain aging.</w:t>
      </w:r>
    </w:p>
    <w:p w14:paraId="24392524" w14:textId="7B6F2140" w:rsidR="004D61FE" w:rsidRPr="00FB171D" w:rsidRDefault="004D61FE" w:rsidP="004D61FE">
      <w:pPr>
        <w:pStyle w:val="Heading3"/>
        <w:rPr>
          <w:rFonts w:ascii="Georgia" w:hAnsi="Georgia" w:cs="Arial"/>
        </w:rPr>
      </w:pPr>
      <w:bookmarkStart w:id="3" w:name="_Toc209691037"/>
      <w:r w:rsidRPr="00FB171D">
        <w:rPr>
          <w:rFonts w:ascii="Georgia" w:hAnsi="Georgia" w:cs="Arial"/>
        </w:rPr>
        <w:t>Neuroimaging-Based Brain Age Prediction Models</w:t>
      </w:r>
      <w:bookmarkEnd w:id="3"/>
    </w:p>
    <w:p w14:paraId="224D9CE2" w14:textId="77777777" w:rsidR="00FB171D" w:rsidRDefault="00FB171D" w:rsidP="00734CAC">
      <w:pPr>
        <w:pStyle w:val="ListParagraph"/>
        <w:numPr>
          <w:ilvl w:val="0"/>
          <w:numId w:val="50"/>
        </w:numPr>
        <w:rPr>
          <w:rFonts w:ascii="Georgia" w:hAnsi="Georgia" w:cs="Arial"/>
        </w:rPr>
      </w:pPr>
      <w:r w:rsidRPr="00FB171D">
        <w:rPr>
          <w:rFonts w:ascii="Georgia" w:hAnsi="Georgia" w:cs="Arial"/>
        </w:rPr>
        <w:t xml:space="preserve">• </w:t>
      </w:r>
      <w:r w:rsidRPr="00FB171D">
        <w:rPr>
          <w:rFonts w:ascii="Georgia" w:hAnsi="Georgia" w:cs="Arial"/>
          <w:b/>
          <w:bCs/>
        </w:rPr>
        <w:t>Magnetic Resonance Imaging (MRI)</w:t>
      </w:r>
      <w:r w:rsidRPr="00FB171D">
        <w:rPr>
          <w:rFonts w:ascii="Georgia" w:hAnsi="Georgia" w:cs="Arial"/>
        </w:rPr>
        <w:t xml:space="preserve">: Provides detailed, non-invasive images of brain structure. It’s highly sensitive to brain atrophy and essential for diagnosing dementia and neurodegenerative diseases. </w:t>
      </w:r>
    </w:p>
    <w:p w14:paraId="0DEAF0C9" w14:textId="77777777" w:rsidR="00FB171D" w:rsidRDefault="00FB171D" w:rsidP="00734CAC">
      <w:pPr>
        <w:pStyle w:val="ListParagraph"/>
        <w:numPr>
          <w:ilvl w:val="0"/>
          <w:numId w:val="50"/>
        </w:numPr>
        <w:rPr>
          <w:rFonts w:ascii="Georgia" w:hAnsi="Georgia" w:cs="Arial"/>
        </w:rPr>
      </w:pPr>
      <w:r w:rsidRPr="00FB171D">
        <w:rPr>
          <w:rFonts w:ascii="Georgia" w:hAnsi="Georgia" w:cs="Arial"/>
          <w:b/>
          <w:bCs/>
        </w:rPr>
        <w:t>Deep Learning and MRI</w:t>
      </w:r>
      <w:r w:rsidRPr="00FB171D">
        <w:rPr>
          <w:rFonts w:ascii="Georgia" w:hAnsi="Georgia" w:cs="Arial"/>
        </w:rPr>
        <w:t xml:space="preserve">: Models like DeepBrainNet analyze large MRI datasets to estimate brain age with minimal image preparation. </w:t>
      </w:r>
    </w:p>
    <w:p w14:paraId="25D567CA" w14:textId="77777777" w:rsidR="00FB171D" w:rsidRDefault="00FB171D" w:rsidP="00734CAC">
      <w:pPr>
        <w:pStyle w:val="ListParagraph"/>
        <w:numPr>
          <w:ilvl w:val="0"/>
          <w:numId w:val="50"/>
        </w:numPr>
        <w:rPr>
          <w:rFonts w:ascii="Georgia" w:hAnsi="Georgia" w:cs="Arial"/>
        </w:rPr>
      </w:pPr>
      <w:r w:rsidRPr="00FB171D">
        <w:rPr>
          <w:rFonts w:ascii="Georgia" w:hAnsi="Georgia" w:cs="Arial"/>
          <w:b/>
          <w:bCs/>
        </w:rPr>
        <w:t>Quantitative MRI Metrics</w:t>
      </w:r>
      <w:r w:rsidRPr="00FB171D">
        <w:rPr>
          <w:rFonts w:ascii="Georgia" w:hAnsi="Georgia" w:cs="Arial"/>
        </w:rPr>
        <w:t xml:space="preserve">: Specialized MRI protocols detect subtle brain changes, with sensitivity varying by age group. </w:t>
      </w:r>
    </w:p>
    <w:p w14:paraId="717D3DF9" w14:textId="77777777" w:rsidR="00FB171D" w:rsidRDefault="00FB171D" w:rsidP="00734CAC">
      <w:pPr>
        <w:pStyle w:val="ListParagraph"/>
        <w:numPr>
          <w:ilvl w:val="0"/>
          <w:numId w:val="50"/>
        </w:numPr>
        <w:rPr>
          <w:rFonts w:ascii="Georgia" w:hAnsi="Georgia" w:cs="Arial"/>
        </w:rPr>
      </w:pPr>
      <w:r w:rsidRPr="00FB171D">
        <w:rPr>
          <w:rFonts w:ascii="Georgia" w:hAnsi="Georgia" w:cs="Arial"/>
          <w:b/>
          <w:bCs/>
        </w:rPr>
        <w:t>BrainAGE Model</w:t>
      </w:r>
      <w:r w:rsidRPr="00FB171D">
        <w:rPr>
          <w:rFonts w:ascii="Georgia" w:hAnsi="Georgia" w:cs="Arial"/>
        </w:rPr>
        <w:t xml:space="preserve">: Uses T1-weighted MRI and machine learning to estimate brain age. The BrainAGE score reflects the gap between predicted and actual age, indicating accelerated aging. </w:t>
      </w:r>
    </w:p>
    <w:p w14:paraId="4018C9C9" w14:textId="77777777" w:rsidR="00FB171D" w:rsidRDefault="00FB171D" w:rsidP="00734CAC">
      <w:pPr>
        <w:pStyle w:val="ListParagraph"/>
        <w:numPr>
          <w:ilvl w:val="0"/>
          <w:numId w:val="50"/>
        </w:numPr>
        <w:rPr>
          <w:rFonts w:ascii="Georgia" w:hAnsi="Georgia" w:cs="Arial"/>
        </w:rPr>
      </w:pPr>
      <w:r w:rsidRPr="00FB171D">
        <w:rPr>
          <w:rFonts w:ascii="Georgia" w:hAnsi="Georgia" w:cs="Arial"/>
          <w:b/>
          <w:bCs/>
        </w:rPr>
        <w:t>ENIGMA Brain Age</w:t>
      </w:r>
      <w:r w:rsidRPr="00FB171D">
        <w:rPr>
          <w:rFonts w:ascii="Georgia" w:hAnsi="Georgia" w:cs="Arial"/>
        </w:rPr>
        <w:t xml:space="preserve">: Combines multi-site MRI data and standardized algorithms to predict brain age using brain volume, surface area, and cortical thickness. </w:t>
      </w:r>
    </w:p>
    <w:p w14:paraId="026FE888" w14:textId="6420242D" w:rsidR="004D61FE" w:rsidRPr="00FB171D" w:rsidRDefault="00FB171D" w:rsidP="00734CAC">
      <w:pPr>
        <w:pStyle w:val="ListParagraph"/>
        <w:numPr>
          <w:ilvl w:val="0"/>
          <w:numId w:val="50"/>
        </w:numPr>
        <w:rPr>
          <w:rFonts w:ascii="Georgia" w:hAnsi="Georgia" w:cs="Arial"/>
        </w:rPr>
      </w:pPr>
      <w:r w:rsidRPr="00FB171D">
        <w:rPr>
          <w:rFonts w:ascii="Georgia" w:hAnsi="Georgia" w:cs="Arial"/>
          <w:b/>
          <w:bCs/>
        </w:rPr>
        <w:t>DARTEL Technique</w:t>
      </w:r>
      <w:r w:rsidRPr="00FB171D">
        <w:rPr>
          <w:rFonts w:ascii="Georgia" w:hAnsi="Georgia" w:cs="Arial"/>
        </w:rPr>
        <w:t>: Enhances spatial normalization of MRI images, improving brain age prediction accuracy in certain models.</w:t>
      </w:r>
    </w:p>
    <w:p w14:paraId="1A3862F4" w14:textId="569DF690" w:rsidR="004D61FE" w:rsidRPr="00FB171D" w:rsidRDefault="004D61FE" w:rsidP="004D61FE">
      <w:pPr>
        <w:pStyle w:val="Heading3"/>
        <w:rPr>
          <w:rFonts w:ascii="Georgia" w:hAnsi="Georgia" w:cs="Arial"/>
        </w:rPr>
      </w:pPr>
      <w:bookmarkStart w:id="4" w:name="_Toc209691038"/>
      <w:r w:rsidRPr="00FB171D">
        <w:rPr>
          <w:rFonts w:ascii="Georgia" w:hAnsi="Georgia" w:cs="Arial"/>
        </w:rPr>
        <w:t>Cognitive Assessment Scales</w:t>
      </w:r>
      <w:bookmarkEnd w:id="4"/>
    </w:p>
    <w:p w14:paraId="1E5AE864" w14:textId="77777777" w:rsidR="00FB171D" w:rsidRDefault="00FB171D" w:rsidP="00734CAC">
      <w:pPr>
        <w:pStyle w:val="ListParagraph"/>
        <w:numPr>
          <w:ilvl w:val="0"/>
          <w:numId w:val="51"/>
        </w:numPr>
        <w:rPr>
          <w:rFonts w:ascii="Georgia" w:hAnsi="Georgia" w:cs="Arial"/>
        </w:rPr>
      </w:pPr>
      <w:r w:rsidRPr="00FB171D">
        <w:rPr>
          <w:rFonts w:ascii="Georgia" w:hAnsi="Georgia" w:cs="Arial"/>
          <w:b/>
          <w:bCs/>
        </w:rPr>
        <w:t>10-point Cognitive Screener (10-CS)</w:t>
      </w:r>
      <w:r w:rsidRPr="00FB171D">
        <w:rPr>
          <w:rFonts w:ascii="Georgia" w:hAnsi="Georgia" w:cs="Arial"/>
        </w:rPr>
        <w:t xml:space="preserve">: A brief tool that evaluates basic functions like orientation, memory, and attention. </w:t>
      </w:r>
    </w:p>
    <w:p w14:paraId="3B3D9FC9" w14:textId="77777777" w:rsidR="00FB171D" w:rsidRDefault="00FB171D" w:rsidP="00734CAC">
      <w:pPr>
        <w:pStyle w:val="ListParagraph"/>
        <w:numPr>
          <w:ilvl w:val="0"/>
          <w:numId w:val="51"/>
        </w:numPr>
        <w:rPr>
          <w:rFonts w:ascii="Georgia" w:hAnsi="Georgia" w:cs="Arial"/>
        </w:rPr>
      </w:pPr>
      <w:r w:rsidRPr="00FB171D">
        <w:rPr>
          <w:rFonts w:ascii="Georgia" w:hAnsi="Georgia" w:cs="Arial"/>
        </w:rPr>
        <w:t xml:space="preserve">Designed for speed and ease of use, making it ideal for large-scale screenings or time-limited settings. </w:t>
      </w:r>
    </w:p>
    <w:p w14:paraId="238DEC78" w14:textId="0D3B6926" w:rsidR="004D61FE" w:rsidRPr="00FB171D" w:rsidRDefault="00FB171D" w:rsidP="00734CAC">
      <w:pPr>
        <w:pStyle w:val="ListParagraph"/>
        <w:numPr>
          <w:ilvl w:val="0"/>
          <w:numId w:val="51"/>
        </w:numPr>
        <w:rPr>
          <w:rFonts w:ascii="Georgia" w:hAnsi="Georgia" w:cs="Arial"/>
        </w:rPr>
      </w:pPr>
      <w:r w:rsidRPr="00FB171D">
        <w:rPr>
          <w:rFonts w:ascii="Georgia" w:hAnsi="Georgia" w:cs="Arial"/>
        </w:rPr>
        <w:t>Its simplicity may overlook subtle or early-stage cognitive deficits.</w:t>
      </w:r>
    </w:p>
    <w:p w14:paraId="16B574BD" w14:textId="77777777" w:rsidR="004D61FE" w:rsidRPr="00FB171D" w:rsidRDefault="004D61FE" w:rsidP="00D326DB">
      <w:pPr>
        <w:pStyle w:val="Heading4"/>
      </w:pPr>
      <w:r w:rsidRPr="00FB171D">
        <w:t>6-item Cognitive Impairment Test (6CIT):</w:t>
      </w:r>
    </w:p>
    <w:p w14:paraId="4A4C40EA" w14:textId="77777777" w:rsidR="004D61FE" w:rsidRPr="00FB171D" w:rsidRDefault="004D61FE" w:rsidP="004D61FE">
      <w:pPr>
        <w:rPr>
          <w:rFonts w:ascii="Georgia" w:hAnsi="Georgia" w:cs="Arial"/>
        </w:rPr>
      </w:pPr>
      <w:r w:rsidRPr="00FB171D">
        <w:rPr>
          <w:rFonts w:ascii="Georgia" w:hAnsi="Georgia" w:cs="Arial"/>
        </w:rPr>
        <w:t xml:space="preserve">Slightly more detailed than the 10-CS, the 6CIT assesses memory, orientation, and concentration. It is particularly valued for its use in primary care and community settings, where </w:t>
      </w:r>
      <w:r w:rsidRPr="00FB171D">
        <w:rPr>
          <w:rFonts w:ascii="Georgia" w:hAnsi="Georgia" w:cs="Arial"/>
        </w:rPr>
        <w:lastRenderedPageBreak/>
        <w:t>a quick yet informative cognitive screening is needed. The test is sensitive to the early detection of dementia but, like the 10-CS, may lack depth in assessing complex cognitive domains.</w:t>
      </w:r>
    </w:p>
    <w:p w14:paraId="6A632B12" w14:textId="77777777" w:rsidR="004D61FE" w:rsidRPr="00FB171D" w:rsidRDefault="004D61FE" w:rsidP="00FB171D">
      <w:pPr>
        <w:pStyle w:val="Heading4"/>
      </w:pPr>
      <w:r w:rsidRPr="00FB171D">
        <w:t>Memory Impairment Screen (MIS):</w:t>
      </w:r>
    </w:p>
    <w:p w14:paraId="7978381D" w14:textId="77777777" w:rsidR="004D61FE" w:rsidRPr="00FB171D" w:rsidRDefault="004D61FE" w:rsidP="004D61FE">
      <w:pPr>
        <w:rPr>
          <w:rFonts w:ascii="Georgia" w:hAnsi="Georgia" w:cs="Arial"/>
        </w:rPr>
      </w:pPr>
      <w:r w:rsidRPr="00FB171D">
        <w:rPr>
          <w:rFonts w:ascii="Georgia" w:hAnsi="Georgia" w:cs="Arial"/>
        </w:rPr>
        <w:t>Designed to detect memory loss specifically, focusing on word recall and recognition tasks. Its targeted nature makes it especially useful for identifying individuals at risk for Alzheimer's disease or mild cognitive impairment. However, it is less suited to detecting deficits in non-memory domains such as attention or executive function.</w:t>
      </w:r>
    </w:p>
    <w:p w14:paraId="140DA3ED" w14:textId="77777777" w:rsidR="004D61FE" w:rsidRPr="00FB171D" w:rsidRDefault="004D61FE" w:rsidP="00FB171D">
      <w:pPr>
        <w:pStyle w:val="Heading4"/>
      </w:pPr>
      <w:r w:rsidRPr="00FB171D">
        <w:t>Mini-Cog:</w:t>
      </w:r>
    </w:p>
    <w:p w14:paraId="6A568A72" w14:textId="77777777" w:rsidR="004D61FE" w:rsidRPr="00FB171D" w:rsidRDefault="004D61FE" w:rsidP="004D61FE">
      <w:pPr>
        <w:rPr>
          <w:rFonts w:ascii="Georgia" w:hAnsi="Georgia" w:cs="Arial"/>
        </w:rPr>
      </w:pPr>
      <w:r w:rsidRPr="00FB171D">
        <w:rPr>
          <w:rFonts w:ascii="Georgia" w:hAnsi="Georgia" w:cs="Arial"/>
        </w:rPr>
        <w:t>Combines a three-item recall test with a clock-drawing task, balancing brevity and sensitivity to both memory and executive dysfunction. It is particularly useful in diverse clinical settings and has demonstrated validity across different cultural backgrounds and languages. Unlike the 10-CS and 6CIT, the inclusion of the clock-drawing component allows for a broader assessment of cognitive abilities.</w:t>
      </w:r>
    </w:p>
    <w:p w14:paraId="150A1EF8" w14:textId="77777777" w:rsidR="004D61FE" w:rsidRPr="00FB171D" w:rsidRDefault="004D61FE" w:rsidP="00FB171D">
      <w:pPr>
        <w:pStyle w:val="Heading4"/>
      </w:pPr>
      <w:r w:rsidRPr="00FB171D">
        <w:t>Test Your Memory (TYM):</w:t>
      </w:r>
    </w:p>
    <w:p w14:paraId="4052C49E" w14:textId="77777777" w:rsidR="004D61FE" w:rsidRPr="00FB171D" w:rsidRDefault="004D61FE" w:rsidP="004D61FE">
      <w:pPr>
        <w:rPr>
          <w:rFonts w:ascii="Georgia" w:hAnsi="Georgia" w:cs="Arial"/>
        </w:rPr>
      </w:pPr>
      <w:r w:rsidRPr="00FB171D">
        <w:rPr>
          <w:rFonts w:ascii="Georgia" w:hAnsi="Georgia" w:cs="Arial"/>
        </w:rPr>
        <w:t>A self-administered questionnaire that covers a range of cognitive domains, including memory, language, calculation, and visuospatial skills. It is more comprehensive than the previously mentioned brief screeners, offering a greater ability to detect milder forms of cognitive impairment. Its self-administered format increases accessibility and reduces the need for trained personnel.</w:t>
      </w:r>
    </w:p>
    <w:p w14:paraId="424DC7E7" w14:textId="77777777" w:rsidR="004D61FE" w:rsidRPr="00FB171D" w:rsidRDefault="004D61FE" w:rsidP="00FB171D">
      <w:pPr>
        <w:pStyle w:val="Heading4"/>
      </w:pPr>
      <w:r w:rsidRPr="00FB171D">
        <w:t>Mini-Mental State Examination (MMSE):</w:t>
      </w:r>
    </w:p>
    <w:p w14:paraId="3CFAAEFA" w14:textId="77777777" w:rsidR="004D61FE" w:rsidRPr="00FB171D" w:rsidRDefault="004D61FE" w:rsidP="004D61FE">
      <w:pPr>
        <w:rPr>
          <w:rFonts w:ascii="Georgia" w:hAnsi="Georgia" w:cs="Arial"/>
        </w:rPr>
      </w:pPr>
      <w:r w:rsidRPr="00FB171D">
        <w:rPr>
          <w:rFonts w:ascii="Georgia" w:hAnsi="Georgia" w:cs="Arial"/>
        </w:rPr>
        <w:t>One of the most widely used tools for global cognitive assessment. It provides a broad overview of cognitive status, including orientation, registration, attention, calculation, recall, language, and visuospatial abilities. While the MMSE is valuable for monitoring changes over time and staging cognitive impairment, it may have limited sensitivity to early or subtle deficits, particularly in highly educated individuals.</w:t>
      </w:r>
    </w:p>
    <w:p w14:paraId="7817804A" w14:textId="77777777" w:rsidR="004D61FE" w:rsidRPr="00FB171D" w:rsidRDefault="004D61FE" w:rsidP="00FB171D">
      <w:pPr>
        <w:pStyle w:val="Heading4"/>
      </w:pPr>
      <w:r w:rsidRPr="00FB171D">
        <w:t>Montreal Cognitive Assessment (MoCA):</w:t>
      </w:r>
    </w:p>
    <w:p w14:paraId="38A17E0F" w14:textId="77777777" w:rsidR="004D61FE" w:rsidRPr="00FB171D" w:rsidRDefault="004D61FE" w:rsidP="004D61FE">
      <w:pPr>
        <w:rPr>
          <w:rFonts w:ascii="Georgia" w:hAnsi="Georgia" w:cs="Arial"/>
        </w:rPr>
      </w:pPr>
      <w:r w:rsidRPr="00FB171D">
        <w:rPr>
          <w:rFonts w:ascii="Georgia" w:hAnsi="Georgia" w:cs="Arial"/>
        </w:rPr>
        <w:t>Designed to be more sensitive than the MMSE, particularly for detecting mild cognitive impairment. It covers a wider array of cognitive domains, including executive functions, attention, memory, language, abstraction, and visuospatial skills. The MoCA's comprehensive approach makes it suitable for use in both research and clinical practice, especially when subtle cognitive decline is suspected.</w:t>
      </w:r>
    </w:p>
    <w:p w14:paraId="3A522AA0" w14:textId="19273C2E" w:rsidR="00853E70" w:rsidRPr="00FB171D" w:rsidRDefault="00853E70" w:rsidP="00853E70">
      <w:pPr>
        <w:pStyle w:val="Heading3"/>
        <w:rPr>
          <w:rFonts w:ascii="Georgia" w:hAnsi="Georgia" w:cs="Arial"/>
        </w:rPr>
      </w:pPr>
      <w:bookmarkStart w:id="5" w:name="_Toc209691039"/>
      <w:r w:rsidRPr="00FB171D">
        <w:rPr>
          <w:rFonts w:ascii="Georgia" w:hAnsi="Georgia" w:cs="Arial"/>
        </w:rPr>
        <w:t>Epigenetic Clocks:</w:t>
      </w:r>
      <w:bookmarkEnd w:id="5"/>
    </w:p>
    <w:p w14:paraId="7D3A028E" w14:textId="77777777" w:rsidR="00853E70" w:rsidRPr="00FB171D" w:rsidRDefault="00853E70" w:rsidP="00853E70">
      <w:pPr>
        <w:rPr>
          <w:rFonts w:ascii="Georgia" w:hAnsi="Georgia" w:cs="Arial"/>
        </w:rPr>
      </w:pPr>
      <w:r w:rsidRPr="00FB171D">
        <w:rPr>
          <w:rFonts w:ascii="Georgia" w:hAnsi="Georgia" w:cs="Arial"/>
        </w:rPr>
        <w:t>Horvath Clock: Developed by Dr. Steve Horvath, this epigenetic clock uses DNA methylation patterns from blood or brain tissue to estimate biological age, which can be compared with chronological age to assess accelerated or decelerated aging. Studies show that epigenetic age acceleration in the brain is associated with cognitive decline and increased risk of neurodegenerative disease.</w:t>
      </w:r>
    </w:p>
    <w:p w14:paraId="3580F7E6" w14:textId="77777777" w:rsidR="00853E70" w:rsidRPr="00FB171D" w:rsidRDefault="00853E70" w:rsidP="00853E70">
      <w:pPr>
        <w:rPr>
          <w:rFonts w:ascii="Georgia" w:hAnsi="Georgia" w:cs="Arial"/>
        </w:rPr>
      </w:pPr>
      <w:r w:rsidRPr="00FB171D">
        <w:rPr>
          <w:rFonts w:ascii="Georgia" w:hAnsi="Georgia" w:cs="Arial"/>
        </w:rPr>
        <w:t>GrimAge and PhenoAge: More recent epigenetic clocks that incorporate additional biomarkers and clinical data, further refining age predictions and associations with cognitive health.</w:t>
      </w:r>
    </w:p>
    <w:p w14:paraId="490B41FA" w14:textId="30A56024" w:rsidR="00853E70" w:rsidRPr="00FB171D" w:rsidRDefault="00853E70" w:rsidP="00853E70">
      <w:pPr>
        <w:pStyle w:val="Heading3"/>
        <w:rPr>
          <w:rFonts w:ascii="Georgia" w:eastAsia="Times New Roman" w:hAnsi="Georgia" w:cs="Arial"/>
        </w:rPr>
      </w:pPr>
      <w:bookmarkStart w:id="6" w:name="_Toc209691040"/>
      <w:r w:rsidRPr="00FB171D">
        <w:rPr>
          <w:rFonts w:ascii="Georgia" w:eastAsia="Times New Roman" w:hAnsi="Georgia" w:cs="Arial"/>
        </w:rPr>
        <w:lastRenderedPageBreak/>
        <w:t>Electrical Activity brain age measurement</w:t>
      </w:r>
      <w:bookmarkEnd w:id="6"/>
    </w:p>
    <w:p w14:paraId="4FEEF4DA" w14:textId="77777777" w:rsidR="00853E70" w:rsidRPr="00FB171D" w:rsidRDefault="00853E70" w:rsidP="00853E70">
      <w:pPr>
        <w:rPr>
          <w:rFonts w:ascii="Georgia" w:hAnsi="Georgia" w:cs="Arial"/>
        </w:rPr>
      </w:pPr>
      <w:r w:rsidRPr="00FB171D">
        <w:rPr>
          <w:rFonts w:ascii="Georgia" w:hAnsi="Georgia" w:cs="Arial"/>
        </w:rPr>
        <w:t>Recent advances in neuroscience have spurred the development of brain age prediction models based on electroencephalography (EEG) and other measures of brain electrical activity. Several research groups have shown that machine learning algorithms can analyze patterns in resting-state or task-based EEG data to estimate an individual's brain age. While most of these EEG-based brain age models have been validated in research settings—showing significant correlations with chronological age and associations with cognitive decline, neurological disorders, or adverse health outcomes—few have become widely commercialized or standardized for routine clinical use. Nevertheless, studies continue to refine these methods, emphasizing their potential for non-invasive, affordable, and scalable brain health assessments. As the field evolves, EEG-derived brain age metrics may complement existing imaging and epigenetic approaches, offering additional insights into neural aging and disease risk.</w:t>
      </w:r>
    </w:p>
    <w:p w14:paraId="2CB8CFDE" w14:textId="0564E48B" w:rsidR="00853E70" w:rsidRPr="00FB171D" w:rsidRDefault="00BC3BCF" w:rsidP="00853E70">
      <w:pPr>
        <w:rPr>
          <w:rFonts w:ascii="Georgia" w:hAnsi="Georgia" w:cs="Arial"/>
        </w:rPr>
      </w:pPr>
      <w:r w:rsidRPr="00FB171D">
        <w:rPr>
          <w:rFonts w:ascii="Georgia" w:hAnsi="Georgia" w:cs="Arial"/>
        </w:rPr>
        <w:t>Blood Tests:</w:t>
      </w:r>
    </w:p>
    <w:p w14:paraId="7D84F19E" w14:textId="77777777" w:rsidR="00B11286" w:rsidRPr="00FB171D" w:rsidRDefault="00B11286" w:rsidP="00B11286">
      <w:pPr>
        <w:rPr>
          <w:rFonts w:ascii="Georgia" w:hAnsi="Georgia" w:cs="Arial"/>
        </w:rPr>
      </w:pPr>
      <w:r w:rsidRPr="00FB171D">
        <w:rPr>
          <w:rFonts w:ascii="Georgia" w:hAnsi="Georgia" w:cs="Arial"/>
        </w:rPr>
        <w:t>Blood Tests:</w:t>
      </w:r>
    </w:p>
    <w:p w14:paraId="4EC69C83" w14:textId="77777777" w:rsidR="00B11286" w:rsidRPr="00FB171D" w:rsidRDefault="00B11286" w:rsidP="00B11286">
      <w:pPr>
        <w:rPr>
          <w:rFonts w:ascii="Georgia" w:hAnsi="Georgia" w:cs="Arial"/>
        </w:rPr>
      </w:pPr>
      <w:r w:rsidRPr="00FB171D">
        <w:rPr>
          <w:rFonts w:ascii="Georgia" w:hAnsi="Georgia" w:cs="Arial"/>
        </w:rPr>
        <w:t>Recent innovations in blood-based biomarkers have opened new avenues for non-invasive brain age estimation. Among the most prominent advances is the measurement of circulating antibodies and protein fragments related to neurodegenerative processes, notably amyloid-beta and tau proteins. These proteins are central to the pathology of Alzheimer’s disease and other dementias. By detecting abnormal levels or pathological forms of amyloid and tau, blood tests can provide early indications of neurodegenerative changes and deviations from typical brain aging trajectories.</w:t>
      </w:r>
    </w:p>
    <w:p w14:paraId="3469F96B" w14:textId="77777777" w:rsidR="00B11286" w:rsidRPr="00FB171D" w:rsidRDefault="00B11286" w:rsidP="00B11286">
      <w:pPr>
        <w:rPr>
          <w:rFonts w:ascii="Georgia" w:hAnsi="Georgia" w:cs="Arial"/>
        </w:rPr>
      </w:pPr>
      <w:r w:rsidRPr="00FB171D">
        <w:rPr>
          <w:rFonts w:ascii="Georgia" w:hAnsi="Georgia" w:cs="Arial"/>
        </w:rPr>
        <w:t>Antibodies to amyloid and tau, or assays that quantify phosphorylated tau and amyloid-beta isoforms, serve as proxies for the accumulation of these proteins in the brain. Elevated or imbalanced levels of such biomarkers in the bloodstream can signal ongoing neuronal injury or the presence of amyloid plaques and tau tangles—hallmarks of cognitive decline. As these assays become more sophisticated and validated, they offer the promise of affordable, widely accessible tools to complement cognitive testing and imaging, potentially enabling earlier detection of accelerated brain aging or risk for dementia.</w:t>
      </w:r>
    </w:p>
    <w:p w14:paraId="60A936FA" w14:textId="77777777" w:rsidR="00B11286" w:rsidRPr="00FB171D" w:rsidRDefault="00B11286" w:rsidP="00B11286">
      <w:pPr>
        <w:rPr>
          <w:rFonts w:ascii="Georgia" w:hAnsi="Georgia" w:cs="Arial"/>
        </w:rPr>
      </w:pPr>
      <w:r w:rsidRPr="00FB171D">
        <w:rPr>
          <w:rFonts w:ascii="Georgia" w:hAnsi="Georgia" w:cs="Arial"/>
        </w:rPr>
        <w:t>Some blood tests also assess other age-related changes, such as markers of neuroinflammation, neurofilament light chain (NfL), or glial fibrillary acidic protein (GFAP), which may reflect broader aspects of neuronal health and brain aging. When integrated with genetic, epigenetic, and functional data, these blood-based indicators contribute to a more comprehensive, dynamic view of the aging brain.</w:t>
      </w:r>
    </w:p>
    <w:p w14:paraId="5529A956" w14:textId="77777777" w:rsidR="00853E70" w:rsidRPr="00FB171D" w:rsidRDefault="00853E70" w:rsidP="004D61FE">
      <w:pPr>
        <w:rPr>
          <w:rFonts w:ascii="Georgia" w:hAnsi="Georgia" w:cs="Arial"/>
        </w:rPr>
      </w:pPr>
    </w:p>
    <w:p w14:paraId="266DE3F0" w14:textId="77777777" w:rsidR="004D61FE" w:rsidRPr="00FB171D" w:rsidRDefault="004D61FE" w:rsidP="004D61FE">
      <w:pPr>
        <w:rPr>
          <w:rFonts w:ascii="Georgia" w:hAnsi="Georgia" w:cs="Arial"/>
        </w:rPr>
      </w:pPr>
      <w:r w:rsidRPr="00FB171D">
        <w:rPr>
          <w:rFonts w:ascii="Georgia" w:hAnsi="Georgia" w:cs="Arial"/>
        </w:rPr>
        <w:t>Comparison:</w:t>
      </w:r>
    </w:p>
    <w:p w14:paraId="71EE5E79" w14:textId="77777777" w:rsidR="00FB171D" w:rsidRDefault="00FB171D" w:rsidP="00734CAC">
      <w:pPr>
        <w:pStyle w:val="ListParagraph"/>
        <w:numPr>
          <w:ilvl w:val="0"/>
          <w:numId w:val="52"/>
        </w:numPr>
        <w:rPr>
          <w:rFonts w:ascii="Georgia" w:hAnsi="Georgia" w:cs="Arial"/>
        </w:rPr>
      </w:pPr>
      <w:r w:rsidRPr="00FB171D">
        <w:rPr>
          <w:rFonts w:ascii="Georgia" w:hAnsi="Georgia" w:cs="Arial"/>
          <w:b/>
          <w:bCs/>
        </w:rPr>
        <w:t>10-CS and 6CIT</w:t>
      </w:r>
      <w:r w:rsidRPr="00FB171D">
        <w:rPr>
          <w:rFonts w:ascii="Georgia" w:hAnsi="Georgia" w:cs="Arial"/>
        </w:rPr>
        <w:t xml:space="preserve">: Ideal for rapid screening in time-constrained settings. However, they may miss subtle cognitive changes. </w:t>
      </w:r>
    </w:p>
    <w:p w14:paraId="298CEF19" w14:textId="77777777" w:rsidR="00FB171D" w:rsidRDefault="00FB171D" w:rsidP="00734CAC">
      <w:pPr>
        <w:pStyle w:val="ListParagraph"/>
        <w:numPr>
          <w:ilvl w:val="0"/>
          <w:numId w:val="52"/>
        </w:numPr>
        <w:rPr>
          <w:rFonts w:ascii="Georgia" w:hAnsi="Georgia" w:cs="Arial"/>
        </w:rPr>
      </w:pPr>
      <w:r w:rsidRPr="00FB171D">
        <w:rPr>
          <w:rFonts w:ascii="Georgia" w:hAnsi="Georgia" w:cs="Arial"/>
          <w:b/>
          <w:bCs/>
        </w:rPr>
        <w:t>MIS and Mini-Cog</w:t>
      </w:r>
      <w:r w:rsidRPr="00FB171D">
        <w:rPr>
          <w:rFonts w:ascii="Georgia" w:hAnsi="Georgia" w:cs="Arial"/>
        </w:rPr>
        <w:t xml:space="preserve">: MIS targets memory problems, while Mini-Cog adds an executive function component for broader diagnostic reach. </w:t>
      </w:r>
    </w:p>
    <w:p w14:paraId="20436BC4" w14:textId="77777777" w:rsidR="00FB171D" w:rsidRDefault="00FB171D" w:rsidP="00734CAC">
      <w:pPr>
        <w:pStyle w:val="ListParagraph"/>
        <w:numPr>
          <w:ilvl w:val="0"/>
          <w:numId w:val="52"/>
        </w:numPr>
        <w:rPr>
          <w:rFonts w:ascii="Georgia" w:hAnsi="Georgia" w:cs="Arial"/>
        </w:rPr>
      </w:pPr>
      <w:r w:rsidRPr="00FB171D">
        <w:rPr>
          <w:rFonts w:ascii="Georgia" w:hAnsi="Georgia" w:cs="Arial"/>
          <w:b/>
          <w:bCs/>
        </w:rPr>
        <w:t>TYM and MMSE</w:t>
      </w:r>
      <w:r w:rsidRPr="00FB171D">
        <w:rPr>
          <w:rFonts w:ascii="Georgia" w:hAnsi="Georgia" w:cs="Arial"/>
        </w:rPr>
        <w:t xml:space="preserve">: TYM offers self-administered depth; MMSE is a traditional benchmark. Both may overlook mild impairment, especially in high-functioning individuals. </w:t>
      </w:r>
    </w:p>
    <w:p w14:paraId="4E1288FD" w14:textId="2C42F87C" w:rsidR="004D61FE" w:rsidRPr="00FB171D" w:rsidRDefault="00FB171D" w:rsidP="00734CAC">
      <w:pPr>
        <w:pStyle w:val="ListParagraph"/>
        <w:numPr>
          <w:ilvl w:val="0"/>
          <w:numId w:val="52"/>
        </w:numPr>
        <w:rPr>
          <w:rFonts w:ascii="Georgia" w:hAnsi="Georgia" w:cs="Arial"/>
        </w:rPr>
      </w:pPr>
      <w:r w:rsidRPr="00FB171D">
        <w:rPr>
          <w:rFonts w:ascii="Georgia" w:hAnsi="Georgia" w:cs="Arial"/>
          <w:b/>
          <w:bCs/>
        </w:rPr>
        <w:lastRenderedPageBreak/>
        <w:t>MoCA</w:t>
      </w:r>
      <w:r w:rsidRPr="00FB171D">
        <w:rPr>
          <w:rFonts w:ascii="Georgia" w:hAnsi="Georgia" w:cs="Arial"/>
        </w:rPr>
        <w:t>: Highly sensitive to mild cognitive changes and applicable across diverse domains. Preferred in clinical and research settings for early detection.</w:t>
      </w:r>
    </w:p>
    <w:p w14:paraId="52BEF132" w14:textId="77777777" w:rsidR="00A81149" w:rsidRPr="00FB171D" w:rsidRDefault="004D61FE" w:rsidP="004D61FE">
      <w:pPr>
        <w:rPr>
          <w:rFonts w:ascii="Georgia" w:hAnsi="Georgia" w:cs="Arial"/>
        </w:rPr>
      </w:pPr>
      <w:r w:rsidRPr="00FB171D">
        <w:rPr>
          <w:rFonts w:ascii="Georgia" w:hAnsi="Georgia" w:cs="Arial"/>
        </w:rPr>
        <w:t>By integrating these cognitive scales alongside neuroimaging and molecular measures, clinicians and researchers gain a multi-faceted understanding of brain health and aging, increasing the accuracy and utility of brain age estimation and risk assessment.</w:t>
      </w:r>
    </w:p>
    <w:p w14:paraId="6815E49A" w14:textId="77777777" w:rsidR="00EF57B5" w:rsidRPr="00FB171D" w:rsidRDefault="00EF57B5" w:rsidP="00EF57B5">
      <w:pPr>
        <w:rPr>
          <w:rFonts w:ascii="Georgia" w:hAnsi="Georgia" w:cs="Arial"/>
        </w:rPr>
      </w:pPr>
      <w:r w:rsidRPr="00FB171D">
        <w:rPr>
          <w:rFonts w:ascii="Georgia" w:hAnsi="Georgia" w:cs="Arial"/>
        </w:rPr>
        <w:t>Comparison:</w:t>
      </w:r>
    </w:p>
    <w:p w14:paraId="7F3EDFB8" w14:textId="77777777" w:rsidR="00EF57B5" w:rsidRPr="00FB171D" w:rsidRDefault="00EF57B5" w:rsidP="00EF57B5">
      <w:pPr>
        <w:rPr>
          <w:rFonts w:ascii="Georgia" w:hAnsi="Georgia" w:cs="Arial"/>
        </w:rPr>
      </w:pPr>
      <w:r w:rsidRPr="00FB171D">
        <w:rPr>
          <w:rFonts w:ascii="Georgia" w:hAnsi="Georgia" w:cs="Arial"/>
        </w:rPr>
        <w:t>Measuring brain age is a complex challenge, in part because it is not feasible to directly count the number of neurons in a living human brain. Neurons are densely packed and interconnected, and direct measurement would require invasive methods that are impractical or impossible outside of post-mortem analysis. As a result, researchers rely on a range of indirect methods to estimate brain health and aging—each with its own strengths and limitations:</w:t>
      </w:r>
    </w:p>
    <w:p w14:paraId="702FFD8A" w14:textId="1B20864B" w:rsidR="00FB171D" w:rsidRPr="00FB171D" w:rsidRDefault="00FB171D" w:rsidP="00FB171D">
      <w:pPr>
        <w:pStyle w:val="ListParagraph"/>
        <w:numPr>
          <w:ilvl w:val="0"/>
          <w:numId w:val="123"/>
        </w:numPr>
        <w:rPr>
          <w:rFonts w:ascii="Georgia" w:hAnsi="Georgia" w:cs="Arial"/>
        </w:rPr>
      </w:pPr>
      <w:r w:rsidRPr="00FB171D">
        <w:rPr>
          <w:rFonts w:ascii="Georgia" w:hAnsi="Georgia" w:cs="Arial"/>
          <w:b/>
          <w:bCs/>
        </w:rPr>
        <w:t>Neuroimaging-Based Brain Age</w:t>
      </w:r>
      <w:r w:rsidRPr="00FB171D">
        <w:rPr>
          <w:rFonts w:ascii="Georgia" w:hAnsi="Georgia" w:cs="Arial"/>
        </w:rPr>
        <w:t>: Techniques like MRI provide detailed views of brain structure and function. Researchers infer brain age by analyzing brain volume, cortical thickness, and network integrity. These methods are accurate and widely validated but require specialized equipment and are costly. Imaging offers a non-invasive alternative to direct neuron counting.</w:t>
      </w:r>
    </w:p>
    <w:p w14:paraId="4A0A7666" w14:textId="77777777" w:rsidR="00FB171D" w:rsidRPr="00FB171D" w:rsidRDefault="00FB171D" w:rsidP="00FB171D">
      <w:pPr>
        <w:pStyle w:val="ListParagraph"/>
        <w:numPr>
          <w:ilvl w:val="0"/>
          <w:numId w:val="123"/>
        </w:numPr>
        <w:rPr>
          <w:rFonts w:ascii="Georgia" w:hAnsi="Georgia" w:cs="Arial"/>
        </w:rPr>
      </w:pPr>
      <w:r w:rsidRPr="00FB171D">
        <w:rPr>
          <w:rFonts w:ascii="Georgia" w:hAnsi="Georgia" w:cs="Arial"/>
          <w:b/>
          <w:bCs/>
        </w:rPr>
        <w:t>Electrical Activity-Based Brain Age</w:t>
      </w:r>
      <w:r w:rsidRPr="00FB171D">
        <w:rPr>
          <w:rFonts w:ascii="Georgia" w:hAnsi="Georgia" w:cs="Arial"/>
        </w:rPr>
        <w:t xml:space="preserve">: EEG measures electrical activity from large neuron populations, offering insight into functional brain age. These methods are portable, non-invasive, and more affordable than imaging, though they don’t measure neuron health directly. They detect patterns linked to cognitive aging and are still being validated for clinical use. </w:t>
      </w:r>
    </w:p>
    <w:p w14:paraId="75C59B21" w14:textId="77777777" w:rsidR="00FB171D" w:rsidRPr="00FB171D" w:rsidRDefault="00FB171D" w:rsidP="00FB171D">
      <w:pPr>
        <w:pStyle w:val="ListParagraph"/>
        <w:numPr>
          <w:ilvl w:val="0"/>
          <w:numId w:val="123"/>
        </w:numPr>
        <w:rPr>
          <w:rFonts w:ascii="Georgia" w:hAnsi="Georgia" w:cs="Arial"/>
        </w:rPr>
      </w:pPr>
      <w:r w:rsidRPr="00FB171D">
        <w:rPr>
          <w:rFonts w:ascii="Georgia" w:hAnsi="Georgia" w:cs="Arial"/>
          <w:b/>
          <w:bCs/>
        </w:rPr>
        <w:t>Clinical Cognitive Scales</w:t>
      </w:r>
      <w:r w:rsidRPr="00FB171D">
        <w:rPr>
          <w:rFonts w:ascii="Georgia" w:hAnsi="Georgia" w:cs="Arial"/>
        </w:rPr>
        <w:t xml:space="preserve">: Tools like 10-CS, 6CIT, MIS, Mini-Cog, TYM, MMSE, and MoCA assess cognitive aging through structured tests of memory and executive function. They’re practical and accessible but reflect the consequences of neuronal changes rather than measuring neuron health directly. </w:t>
      </w:r>
    </w:p>
    <w:p w14:paraId="3837A643" w14:textId="445F5A5B" w:rsidR="00EF57B5" w:rsidRPr="00FB171D" w:rsidRDefault="00FB171D" w:rsidP="00FB171D">
      <w:pPr>
        <w:pStyle w:val="ListParagraph"/>
        <w:numPr>
          <w:ilvl w:val="0"/>
          <w:numId w:val="123"/>
        </w:numPr>
        <w:rPr>
          <w:rFonts w:ascii="Georgia" w:hAnsi="Georgia" w:cs="Arial"/>
        </w:rPr>
      </w:pPr>
      <w:r w:rsidRPr="00FB171D">
        <w:rPr>
          <w:rFonts w:ascii="Georgia" w:hAnsi="Georgia" w:cs="Arial"/>
          <w:b/>
          <w:bCs/>
        </w:rPr>
        <w:t>Molecular/Epigenetic Clocks</w:t>
      </w:r>
      <w:r w:rsidRPr="00FB171D">
        <w:rPr>
          <w:rFonts w:ascii="Georgia" w:hAnsi="Georgia" w:cs="Arial"/>
        </w:rPr>
        <w:t>: Methods such as Horvath Clock, GrimAge, and PhenoAge use DNA methylation and other markers to estimate biological brain age. These approaches reveal cellular aging processes but don’t measure neuron counts. They reflect cumulative gene regulation changes linked to aging and neurodegeneration.</w:t>
      </w:r>
      <w:r>
        <w:rPr>
          <w:rFonts w:ascii="Georgia" w:hAnsi="Georgia" w:cs="Arial"/>
        </w:rPr>
        <w:t xml:space="preserve"> </w:t>
      </w:r>
      <w:r w:rsidR="00EF57B5" w:rsidRPr="00FB171D">
        <w:rPr>
          <w:rFonts w:ascii="Georgia" w:hAnsi="Georgia" w:cs="Arial"/>
        </w:rPr>
        <w:t>Because direct neuron counting is not possible in living people, integrating these diverse approaches—imaging, electrical, clinical, and molecular—allows clinicians and researchers to triangulate brain health from multiple angles. Imaging and EEG offer indirect proxies for neuronal loss or dysfunction; cognitive scales capture the impact of these changes on daily life; and molecular clocks reveal underlying biological trajectories. Together, these methods improve the accuracy and utility of brain age estimation and risk assessment</w:t>
      </w:r>
      <w:r w:rsidR="000B6FF7" w:rsidRPr="00FB171D">
        <w:rPr>
          <w:rFonts w:ascii="Georgia" w:hAnsi="Georgia" w:cs="Arial"/>
        </w:rPr>
        <w:t>.</w:t>
      </w:r>
    </w:p>
    <w:p w14:paraId="18AFC920" w14:textId="77777777" w:rsidR="004D61FE" w:rsidRPr="00FB171D" w:rsidRDefault="004D61FE" w:rsidP="004D61FE">
      <w:pPr>
        <w:rPr>
          <w:rFonts w:ascii="Georgia" w:hAnsi="Georgia" w:cs="Arial"/>
        </w:rPr>
      </w:pPr>
    </w:p>
    <w:p w14:paraId="2AC38E98" w14:textId="09A3C300" w:rsidR="004D61FE" w:rsidRPr="00FB171D" w:rsidRDefault="004D61FE" w:rsidP="004D61FE">
      <w:pPr>
        <w:pStyle w:val="Heading2"/>
        <w:rPr>
          <w:rFonts w:ascii="Georgia" w:hAnsi="Georgia" w:cs="Arial"/>
        </w:rPr>
      </w:pPr>
      <w:bookmarkStart w:id="7" w:name="_Toc209691041"/>
      <w:r w:rsidRPr="00FB171D">
        <w:rPr>
          <w:rFonts w:ascii="Georgia" w:hAnsi="Georgia" w:cs="Arial"/>
        </w:rPr>
        <w:t>Data and Example Applications</w:t>
      </w:r>
      <w:bookmarkEnd w:id="7"/>
    </w:p>
    <w:p w14:paraId="4AE4CA4C" w14:textId="77777777" w:rsidR="00FB171D" w:rsidRPr="00FB171D" w:rsidRDefault="00FB171D" w:rsidP="00FB171D">
      <w:pPr>
        <w:pStyle w:val="ListParagraph"/>
        <w:numPr>
          <w:ilvl w:val="0"/>
          <w:numId w:val="124"/>
        </w:numPr>
        <w:rPr>
          <w:rFonts w:ascii="Georgia" w:hAnsi="Georgia" w:cs="Arial"/>
        </w:rPr>
      </w:pPr>
      <w:r w:rsidRPr="00FB171D">
        <w:rPr>
          <w:rFonts w:ascii="Georgia" w:hAnsi="Georgia" w:cs="Arial"/>
          <w:b/>
          <w:bCs/>
        </w:rPr>
        <w:t>UK Biobank</w:t>
      </w:r>
      <w:r w:rsidRPr="00FB171D">
        <w:rPr>
          <w:rFonts w:ascii="Georgia" w:hAnsi="Georgia" w:cs="Arial"/>
        </w:rPr>
        <w:t xml:space="preserve">: Neuroimaging data from over 40,000 participants helped train and validate brain age models. These studies established normal ranges and identified risk factors for accelerated aging (e.g., hypertension, diabetes, smoking). </w:t>
      </w:r>
    </w:p>
    <w:p w14:paraId="1D093D38" w14:textId="77777777" w:rsidR="00FB171D" w:rsidRPr="00FB171D" w:rsidRDefault="00FB171D" w:rsidP="00FB171D">
      <w:pPr>
        <w:pStyle w:val="ListParagraph"/>
        <w:numPr>
          <w:ilvl w:val="0"/>
          <w:numId w:val="124"/>
        </w:numPr>
        <w:rPr>
          <w:rFonts w:ascii="Georgia" w:hAnsi="Georgia" w:cs="Arial"/>
        </w:rPr>
      </w:pPr>
      <w:r w:rsidRPr="00FB171D">
        <w:rPr>
          <w:rFonts w:ascii="Georgia" w:hAnsi="Georgia" w:cs="Arial"/>
          <w:b/>
          <w:bCs/>
        </w:rPr>
        <w:lastRenderedPageBreak/>
        <w:t>Alzheimer's Disease Neuroimaging Initiative (ADNI)</w:t>
      </w:r>
      <w:r w:rsidRPr="00FB171D">
        <w:rPr>
          <w:rFonts w:ascii="Georgia" w:hAnsi="Georgia" w:cs="Arial"/>
        </w:rPr>
        <w:t xml:space="preserve">: Validated the BrainAGE model, showing that higher scores predicted progression from mild cognitive impairment to Alzheimer's disease. </w:t>
      </w:r>
    </w:p>
    <w:p w14:paraId="544F6595" w14:textId="067E5CEC" w:rsidR="004D61FE" w:rsidRPr="00FB171D" w:rsidRDefault="00FB171D" w:rsidP="00FB171D">
      <w:pPr>
        <w:pStyle w:val="ListParagraph"/>
        <w:numPr>
          <w:ilvl w:val="0"/>
          <w:numId w:val="124"/>
        </w:numPr>
        <w:rPr>
          <w:rFonts w:ascii="Georgia" w:hAnsi="Georgia" w:cs="Arial"/>
        </w:rPr>
      </w:pPr>
      <w:r w:rsidRPr="00FB171D">
        <w:rPr>
          <w:rFonts w:ascii="Georgia" w:hAnsi="Georgia" w:cs="Arial"/>
          <w:b/>
          <w:bCs/>
        </w:rPr>
        <w:t>Epigenetic Clocks</w:t>
      </w:r>
      <w:r w:rsidRPr="00FB171D">
        <w:rPr>
          <w:rFonts w:ascii="Georgia" w:hAnsi="Georgia" w:cs="Arial"/>
        </w:rPr>
        <w:t xml:space="preserve">: Research shows individuals with neurodegenerative diseases often have higher epigenetic brain age. Accelerated epigenetic aging correlates with poorer cognitive outcomes. </w:t>
      </w:r>
      <w:r w:rsidR="004D61FE" w:rsidRPr="00FB171D">
        <w:rPr>
          <w:rFonts w:ascii="Georgia" w:hAnsi="Georgia" w:cs="Arial"/>
        </w:rPr>
        <w:t>These validated scales and models allow researchers and clinicians to estimate brain age with growing accuracy, providing important tools for assessing brain health, identifying early signs of pathology, and potentially evaluating the impact of interventions designed to slow or reverse brain aging.</w:t>
      </w:r>
    </w:p>
    <w:p w14:paraId="04F8EFFB" w14:textId="77777777" w:rsidR="004D61FE" w:rsidRPr="00FB171D" w:rsidRDefault="004D61FE" w:rsidP="004D61FE">
      <w:pPr>
        <w:rPr>
          <w:rFonts w:ascii="Georgia" w:hAnsi="Georgia" w:cs="Arial"/>
        </w:rPr>
      </w:pPr>
    </w:p>
    <w:p w14:paraId="65CF1B6A" w14:textId="77777777" w:rsidR="004D61FE" w:rsidRPr="00FB171D" w:rsidRDefault="004D61FE" w:rsidP="004D61FE">
      <w:pPr>
        <w:rPr>
          <w:rFonts w:ascii="Georgia" w:hAnsi="Georgia" w:cs="Arial"/>
        </w:rPr>
      </w:pPr>
    </w:p>
    <w:p w14:paraId="4DAEFC9E" w14:textId="0461A83C" w:rsidR="00020CFE" w:rsidRPr="00FB171D" w:rsidRDefault="004D61FE" w:rsidP="00D643E3">
      <w:pPr>
        <w:pStyle w:val="Heading1"/>
        <w:rPr>
          <w:rFonts w:ascii="Georgia" w:eastAsia="Segoe UI" w:hAnsi="Georgia" w:cs="Arial"/>
        </w:rPr>
      </w:pPr>
      <w:bookmarkStart w:id="8" w:name="_Toc209691042"/>
      <w:r w:rsidRPr="00FB171D">
        <w:rPr>
          <w:rFonts w:ascii="Georgia" w:eastAsia="Segoe UI" w:hAnsi="Georgia" w:cs="Arial"/>
        </w:rPr>
        <w:t>What Causes this aging?</w:t>
      </w:r>
      <w:bookmarkEnd w:id="8"/>
    </w:p>
    <w:p w14:paraId="0B120145" w14:textId="486FC1D4" w:rsidR="00C1052A" w:rsidRPr="00FB171D" w:rsidRDefault="00235F83" w:rsidP="0060115D">
      <w:pPr>
        <w:rPr>
          <w:rFonts w:ascii="Georgia" w:hAnsi="Georgia" w:cs="Arial"/>
          <w:b/>
          <w:bCs/>
        </w:rPr>
      </w:pPr>
      <w:r w:rsidRPr="00FB171D">
        <w:rPr>
          <w:rFonts w:ascii="Georgia" w:hAnsi="Georgia" w:cs="Arial"/>
          <w:b/>
          <w:bCs/>
        </w:rPr>
        <w:t xml:space="preserve">What </w:t>
      </w:r>
      <w:r w:rsidR="00EC70B0" w:rsidRPr="00FB171D">
        <w:rPr>
          <w:rFonts w:ascii="Georgia" w:hAnsi="Georgia" w:cs="Arial"/>
          <w:b/>
          <w:bCs/>
        </w:rPr>
        <w:t>is going on in the brain that causes these changes?</w:t>
      </w:r>
    </w:p>
    <w:p w14:paraId="7DBB44C6" w14:textId="0E38F15E" w:rsidR="009C2D3F" w:rsidRPr="00FB171D" w:rsidRDefault="00C1052A" w:rsidP="0060115D">
      <w:pPr>
        <w:rPr>
          <w:rFonts w:ascii="Georgia" w:hAnsi="Georgia" w:cs="Arial"/>
        </w:rPr>
      </w:pPr>
      <w:r w:rsidRPr="00FB171D">
        <w:rPr>
          <w:rFonts w:ascii="Georgia" w:hAnsi="Georgia" w:cs="Arial"/>
        </w:rPr>
        <w:t xml:space="preserve">At the most fundamental level, the changes in the brain result from </w:t>
      </w:r>
      <w:r w:rsidR="00D863D9" w:rsidRPr="00FB171D">
        <w:rPr>
          <w:rFonts w:ascii="Georgia" w:hAnsi="Georgia" w:cs="Arial"/>
        </w:rPr>
        <w:t xml:space="preserve">the fact that it is, for all </w:t>
      </w:r>
      <w:r w:rsidR="00450609" w:rsidRPr="00FB171D">
        <w:rPr>
          <w:rFonts w:ascii="Georgia" w:hAnsi="Georgia" w:cs="Arial"/>
        </w:rPr>
        <w:t>practical</w:t>
      </w:r>
      <w:r w:rsidR="00D863D9" w:rsidRPr="00FB171D">
        <w:rPr>
          <w:rFonts w:ascii="Georgia" w:hAnsi="Georgia" w:cs="Arial"/>
        </w:rPr>
        <w:t xml:space="preserve"> purposes, non-regenerative.  This means that the neurons in the brain </w:t>
      </w:r>
      <w:r w:rsidR="00B205F9" w:rsidRPr="00FB171D">
        <w:rPr>
          <w:rFonts w:ascii="Georgia" w:hAnsi="Georgia" w:cs="Arial"/>
        </w:rPr>
        <w:t>do not divide and reproduce and that</w:t>
      </w:r>
      <w:r w:rsidR="00452CC7" w:rsidRPr="00FB171D">
        <w:rPr>
          <w:rFonts w:ascii="Georgia" w:hAnsi="Georgia" w:cs="Arial"/>
        </w:rPr>
        <w:t xml:space="preserve"> essentially all of the nerve cells in your brain were present at birth.  Every </w:t>
      </w:r>
      <w:r w:rsidR="003E438B" w:rsidRPr="00FB171D">
        <w:rPr>
          <w:rFonts w:ascii="Georgia" w:hAnsi="Georgia" w:cs="Arial"/>
        </w:rPr>
        <w:t>cell that is lost or damaged is not replaced and inevitably the number of cells will decrease over time</w:t>
      </w:r>
      <w:r w:rsidR="00964D7A" w:rsidRPr="00FB171D">
        <w:rPr>
          <w:rFonts w:ascii="Georgia" w:hAnsi="Georgia" w:cs="Arial"/>
        </w:rPr>
        <w:t xml:space="preserve">.  This does not </w:t>
      </w:r>
      <w:r w:rsidR="00DE2F9A" w:rsidRPr="00FB171D">
        <w:rPr>
          <w:rFonts w:ascii="Georgia" w:hAnsi="Georgia" w:cs="Arial"/>
        </w:rPr>
        <w:t>automatically l</w:t>
      </w:r>
      <w:r w:rsidR="00E40C88" w:rsidRPr="00FB171D">
        <w:rPr>
          <w:rFonts w:ascii="Georgia" w:hAnsi="Georgia" w:cs="Arial"/>
        </w:rPr>
        <w:t xml:space="preserve">ead to disaster: the brain has a remarkable ability to grow new connections (using the </w:t>
      </w:r>
      <w:r w:rsidR="00190CED" w:rsidRPr="00FB171D">
        <w:rPr>
          <w:rFonts w:ascii="Georgia" w:hAnsi="Georgia" w:cs="Arial"/>
        </w:rPr>
        <w:t xml:space="preserve">remaining nerve cells) and it is these connections that are the </w:t>
      </w:r>
      <w:r w:rsidR="00FB1CF6" w:rsidRPr="00FB171D">
        <w:rPr>
          <w:rFonts w:ascii="Georgia" w:hAnsi="Georgia" w:cs="Arial"/>
        </w:rPr>
        <w:t>home of learning, knowledge, and memory.</w:t>
      </w:r>
      <w:r w:rsidR="009F563A" w:rsidRPr="00FB171D">
        <w:rPr>
          <w:rFonts w:ascii="Georgia" w:hAnsi="Georgia" w:cs="Arial"/>
        </w:rPr>
        <w:t xml:space="preserve"> On average, neurons in the brain can have arou</w:t>
      </w:r>
      <w:r w:rsidR="00845C5E" w:rsidRPr="00FB171D">
        <w:rPr>
          <w:rFonts w:ascii="Georgia" w:hAnsi="Georgia" w:cs="Arial"/>
        </w:rPr>
        <w:t xml:space="preserve">nd 7000 synaptic connections; loss of a single neuron causes a loss of </w:t>
      </w:r>
      <w:r w:rsidR="00580C36" w:rsidRPr="00FB171D">
        <w:rPr>
          <w:rFonts w:ascii="Georgia" w:hAnsi="Georgia" w:cs="Arial"/>
        </w:rPr>
        <w:t xml:space="preserve">these connections, but other neurons can add more to take up this loss. </w:t>
      </w:r>
      <w:r w:rsidR="00FB1CF6" w:rsidRPr="00FB171D">
        <w:rPr>
          <w:rFonts w:ascii="Georgia" w:hAnsi="Georgia" w:cs="Arial"/>
        </w:rPr>
        <w:t xml:space="preserve">  Eventually, however, the loss of functioning neurons will overwhelm the </w:t>
      </w:r>
      <w:r w:rsidR="00C00418" w:rsidRPr="00FB171D">
        <w:rPr>
          <w:rFonts w:ascii="Georgia" w:hAnsi="Georgia" w:cs="Arial"/>
        </w:rPr>
        <w:t>brain’s</w:t>
      </w:r>
      <w:r w:rsidR="00FB1CF6" w:rsidRPr="00FB171D">
        <w:rPr>
          <w:rFonts w:ascii="Georgia" w:hAnsi="Georgia" w:cs="Arial"/>
        </w:rPr>
        <w:t xml:space="preserve"> ability to </w:t>
      </w:r>
      <w:r w:rsidR="00C00418" w:rsidRPr="00FB171D">
        <w:rPr>
          <w:rFonts w:ascii="Georgia" w:hAnsi="Georgia" w:cs="Arial"/>
        </w:rPr>
        <w:t xml:space="preserve">do </w:t>
      </w:r>
      <w:r w:rsidR="00A0624F" w:rsidRPr="00FB171D">
        <w:rPr>
          <w:rFonts w:ascii="Georgia" w:hAnsi="Georgia" w:cs="Arial"/>
        </w:rPr>
        <w:t>perform its many vital functions</w:t>
      </w:r>
      <w:r w:rsidR="009C448A" w:rsidRPr="00FB171D">
        <w:rPr>
          <w:rFonts w:ascii="Georgia" w:hAnsi="Georgia" w:cs="Arial"/>
        </w:rPr>
        <w:t xml:space="preserve">, and </w:t>
      </w:r>
      <w:r w:rsidR="0075231D" w:rsidRPr="00FB171D">
        <w:rPr>
          <w:rFonts w:ascii="Georgia" w:hAnsi="Georgia" w:cs="Arial"/>
        </w:rPr>
        <w:t xml:space="preserve">dementia sets in.  </w:t>
      </w:r>
      <w:r w:rsidR="00D9460D" w:rsidRPr="00FB171D">
        <w:rPr>
          <w:rFonts w:ascii="Georgia" w:hAnsi="Georgia" w:cs="Arial"/>
        </w:rPr>
        <w:t xml:space="preserve">Thus, there are two strategies for maintaining mental vigor.  The first is </w:t>
      </w:r>
      <w:r w:rsidR="00C32E9E" w:rsidRPr="00FB171D">
        <w:rPr>
          <w:rFonts w:ascii="Georgia" w:hAnsi="Georgia" w:cs="Arial"/>
        </w:rPr>
        <w:t>to</w:t>
      </w:r>
      <w:r w:rsidR="00D9460D" w:rsidRPr="00FB171D">
        <w:rPr>
          <w:rFonts w:ascii="Georgia" w:hAnsi="Georgia" w:cs="Arial"/>
        </w:rPr>
        <w:t xml:space="preserve"> take good care of </w:t>
      </w:r>
      <w:r w:rsidR="00D30ED7" w:rsidRPr="00FB171D">
        <w:rPr>
          <w:rFonts w:ascii="Georgia" w:hAnsi="Georgia" w:cs="Arial"/>
        </w:rPr>
        <w:t>the</w:t>
      </w:r>
      <w:r w:rsidR="00EA7A1F" w:rsidRPr="00FB171D">
        <w:rPr>
          <w:rFonts w:ascii="Georgia" w:hAnsi="Georgia" w:cs="Arial"/>
        </w:rPr>
        <w:t xml:space="preserve"> neurons</w:t>
      </w:r>
      <w:r w:rsidR="00D9460D" w:rsidRPr="00FB171D">
        <w:rPr>
          <w:rFonts w:ascii="Georgia" w:hAnsi="Georgia" w:cs="Arial"/>
        </w:rPr>
        <w:t xml:space="preserve"> you h</w:t>
      </w:r>
      <w:r w:rsidR="00C32E9E" w:rsidRPr="00FB171D">
        <w:rPr>
          <w:rFonts w:ascii="Georgia" w:hAnsi="Georgia" w:cs="Arial"/>
        </w:rPr>
        <w:t>a</w:t>
      </w:r>
      <w:r w:rsidR="00094C1B" w:rsidRPr="00FB171D">
        <w:rPr>
          <w:rFonts w:ascii="Georgia" w:hAnsi="Georgia" w:cs="Arial"/>
        </w:rPr>
        <w:t xml:space="preserve">ve and were born with.  This </w:t>
      </w:r>
      <w:r w:rsidR="00325F10" w:rsidRPr="00FB171D">
        <w:rPr>
          <w:rFonts w:ascii="Georgia" w:hAnsi="Georgia" w:cs="Arial"/>
        </w:rPr>
        <w:t>strategy aims to preserve the number of functioning neurons</w:t>
      </w:r>
      <w:r w:rsidR="00094C1B" w:rsidRPr="00FB171D">
        <w:rPr>
          <w:rFonts w:ascii="Georgia" w:hAnsi="Georgia" w:cs="Arial"/>
        </w:rPr>
        <w:t xml:space="preserve"> and can </w:t>
      </w:r>
      <w:r w:rsidR="00313E66" w:rsidRPr="00FB171D">
        <w:rPr>
          <w:rFonts w:ascii="Georgia" w:hAnsi="Georgia" w:cs="Arial"/>
        </w:rPr>
        <w:t>be summarized as “don’t let neurons die</w:t>
      </w:r>
      <w:r w:rsidR="009232EC" w:rsidRPr="00FB171D">
        <w:rPr>
          <w:rFonts w:ascii="Georgia" w:hAnsi="Georgia" w:cs="Arial"/>
        </w:rPr>
        <w:t>”</w:t>
      </w:r>
      <w:r w:rsidR="00313E66" w:rsidRPr="00FB171D">
        <w:rPr>
          <w:rFonts w:ascii="Georgia" w:hAnsi="Georgia" w:cs="Arial"/>
        </w:rPr>
        <w:t xml:space="preserve">. </w:t>
      </w:r>
      <w:r w:rsidR="00325F10" w:rsidRPr="00FB171D">
        <w:rPr>
          <w:rFonts w:ascii="Georgia" w:hAnsi="Georgia" w:cs="Arial"/>
        </w:rPr>
        <w:t xml:space="preserve">  The second is the “use it or you lose it” strategy which empha</w:t>
      </w:r>
      <w:r w:rsidR="00235E38" w:rsidRPr="00FB171D">
        <w:rPr>
          <w:rFonts w:ascii="Georgia" w:hAnsi="Georgia" w:cs="Arial"/>
        </w:rPr>
        <w:t xml:space="preserve">sizes brain stimulation with formation of new neural connections </w:t>
      </w:r>
      <w:r w:rsidR="008B0341" w:rsidRPr="00FB171D">
        <w:rPr>
          <w:rFonts w:ascii="Georgia" w:hAnsi="Georgia" w:cs="Arial"/>
        </w:rPr>
        <w:t>thereby</w:t>
      </w:r>
      <w:r w:rsidR="000400C9" w:rsidRPr="00FB171D">
        <w:rPr>
          <w:rFonts w:ascii="Georgia" w:hAnsi="Georgia" w:cs="Arial"/>
        </w:rPr>
        <w:t xml:space="preserve"> preserv</w:t>
      </w:r>
      <w:r w:rsidR="008B0341" w:rsidRPr="00FB171D">
        <w:rPr>
          <w:rFonts w:ascii="Georgia" w:hAnsi="Georgia" w:cs="Arial"/>
        </w:rPr>
        <w:t>ing</w:t>
      </w:r>
      <w:r w:rsidR="000400C9" w:rsidRPr="00FB171D">
        <w:rPr>
          <w:rFonts w:ascii="Georgia" w:hAnsi="Georgia" w:cs="Arial"/>
        </w:rPr>
        <w:t xml:space="preserve"> cognitive function even as the number of neurons decreases.  </w:t>
      </w:r>
      <w:r w:rsidR="00CC6B49" w:rsidRPr="00FB171D">
        <w:rPr>
          <w:rFonts w:ascii="Georgia" w:hAnsi="Georgia" w:cs="Arial"/>
        </w:rPr>
        <w:t xml:space="preserve"> </w:t>
      </w:r>
    </w:p>
    <w:p w14:paraId="712CEBBC" w14:textId="570974F6" w:rsidR="009232EC" w:rsidRPr="00FB171D" w:rsidRDefault="009232EC" w:rsidP="0060115D">
      <w:pPr>
        <w:rPr>
          <w:rFonts w:ascii="Georgia" w:hAnsi="Georgia" w:cs="Arial"/>
          <w:b/>
          <w:bCs/>
          <w:color w:val="EE0000"/>
          <w:sz w:val="24"/>
          <w:szCs w:val="24"/>
        </w:rPr>
      </w:pPr>
      <w:r w:rsidRPr="00FB171D">
        <w:rPr>
          <w:rFonts w:ascii="Georgia" w:hAnsi="Georgia" w:cs="Arial"/>
          <w:b/>
          <w:bCs/>
          <w:color w:val="EE0000"/>
          <w:sz w:val="24"/>
          <w:szCs w:val="24"/>
        </w:rPr>
        <w:t xml:space="preserve">Inconvenient Truth: </w:t>
      </w:r>
      <w:r w:rsidR="001319D6" w:rsidRPr="00FB171D">
        <w:rPr>
          <w:rFonts w:ascii="Georgia" w:eastAsia="Segoe UI" w:hAnsi="Georgia" w:cs="Arial"/>
          <w:b/>
          <w:bCs/>
          <w:color w:val="EE0000"/>
          <w:sz w:val="24"/>
          <w:szCs w:val="24"/>
        </w:rPr>
        <w:t xml:space="preserve">almost all of the nerves of an </w:t>
      </w:r>
      <w:r w:rsidR="00D71A2B" w:rsidRPr="00FB171D">
        <w:rPr>
          <w:rFonts w:ascii="Georgia" w:eastAsia="Segoe UI" w:hAnsi="Georgia" w:cs="Arial"/>
          <w:b/>
          <w:bCs/>
          <w:color w:val="EE0000"/>
          <w:sz w:val="24"/>
          <w:szCs w:val="24"/>
        </w:rPr>
        <w:t>80-year-old</w:t>
      </w:r>
      <w:r w:rsidR="001319D6" w:rsidRPr="00FB171D">
        <w:rPr>
          <w:rFonts w:ascii="Georgia" w:eastAsia="Segoe UI" w:hAnsi="Georgia" w:cs="Arial"/>
          <w:b/>
          <w:bCs/>
          <w:color w:val="EE0000"/>
          <w:sz w:val="24"/>
          <w:szCs w:val="24"/>
        </w:rPr>
        <w:t xml:space="preserve"> were created in utero</w:t>
      </w:r>
      <w:r w:rsidR="00F31353" w:rsidRPr="00FB171D">
        <w:rPr>
          <w:rFonts w:ascii="Georgia" w:eastAsia="Segoe UI" w:hAnsi="Georgia" w:cs="Arial"/>
          <w:b/>
          <w:bCs/>
          <w:color w:val="EE0000"/>
          <w:sz w:val="24"/>
          <w:szCs w:val="24"/>
        </w:rPr>
        <w:t>.</w:t>
      </w:r>
      <w:r w:rsidR="001319D6" w:rsidRPr="00FB171D">
        <w:rPr>
          <w:rFonts w:ascii="Georgia" w:hAnsi="Georgia" w:cs="Arial"/>
          <w:b/>
          <w:bCs/>
          <w:color w:val="EE0000"/>
          <w:sz w:val="24"/>
          <w:szCs w:val="24"/>
        </w:rPr>
        <w:t xml:space="preserve"> </w:t>
      </w:r>
      <w:r w:rsidR="00FA6141" w:rsidRPr="00FB171D">
        <w:rPr>
          <w:rFonts w:ascii="Georgia" w:hAnsi="Georgia" w:cs="Arial"/>
          <w:b/>
          <w:bCs/>
          <w:color w:val="EE0000"/>
          <w:sz w:val="24"/>
          <w:szCs w:val="24"/>
        </w:rPr>
        <w:t>Every neuron is precious and irreplaceable.  Life is a one-way street of neuron cell loss</w:t>
      </w:r>
      <w:r w:rsidR="00D129C4" w:rsidRPr="00FB171D">
        <w:rPr>
          <w:rFonts w:ascii="Georgia" w:hAnsi="Georgia" w:cs="Arial"/>
          <w:b/>
          <w:bCs/>
          <w:color w:val="EE0000"/>
          <w:sz w:val="24"/>
          <w:szCs w:val="24"/>
        </w:rPr>
        <w:t xml:space="preserve">, leading inevitably to cognitive decline.  </w:t>
      </w:r>
      <w:r w:rsidR="00A15BDB" w:rsidRPr="00FB171D">
        <w:rPr>
          <w:rFonts w:ascii="Georgia" w:hAnsi="Georgia" w:cs="Arial"/>
          <w:b/>
          <w:bCs/>
          <w:color w:val="EE0000"/>
          <w:sz w:val="24"/>
          <w:szCs w:val="24"/>
        </w:rPr>
        <w:t xml:space="preserve">  </w:t>
      </w:r>
    </w:p>
    <w:p w14:paraId="75FDF1F3" w14:textId="77777777" w:rsidR="001C5C2A" w:rsidRPr="00FB171D" w:rsidRDefault="001C5C2A" w:rsidP="001C5C2A">
      <w:pPr>
        <w:pStyle w:val="Title"/>
        <w:rPr>
          <w:rFonts w:ascii="Georgia" w:hAnsi="Georgia" w:cs="Arial"/>
        </w:rPr>
      </w:pPr>
      <w:r w:rsidRPr="00FB171D">
        <w:rPr>
          <w:rFonts w:ascii="Georgia" w:hAnsi="Georgia" w:cs="Arial"/>
        </w:rPr>
        <w:t>Estimated Number of Brain Neurons vs. Age</w:t>
      </w:r>
    </w:p>
    <w:p w14:paraId="3C234E7A" w14:textId="3474BE9C" w:rsidR="001C5C2A" w:rsidRPr="00FB171D" w:rsidRDefault="001C5C2A" w:rsidP="001C5C2A">
      <w:pPr>
        <w:pStyle w:val="Subtitle"/>
        <w:rPr>
          <w:rFonts w:ascii="Georgia" w:hAnsi="Georgia" w:cs="Arial"/>
        </w:rPr>
      </w:pPr>
      <w:r w:rsidRPr="00FB171D">
        <w:rPr>
          <w:rFonts w:ascii="Georgia" w:eastAsiaTheme="minorEastAsia" w:hAnsi="Georgia" w:cs="Arial"/>
        </w:rPr>
        <w:t>Illustrative Table and Graph</w:t>
      </w:r>
      <w:r w:rsidRPr="00FB171D">
        <w:rPr>
          <w:rFonts w:ascii="Georgia" w:hAnsi="Georgia" w:cs="Arial"/>
        </w:rPr>
        <w:t xml:space="preserve"> of Neuronal Decline Over the Human Lifespan</w:t>
      </w:r>
    </w:p>
    <w:tbl>
      <w:tblPr>
        <w:tblStyle w:val="PlainTable1"/>
        <w:tblW w:w="0" w:type="auto"/>
        <w:tblLook w:val="0420" w:firstRow="1" w:lastRow="0" w:firstColumn="0" w:lastColumn="0" w:noHBand="0" w:noVBand="1"/>
      </w:tblPr>
      <w:tblGrid>
        <w:gridCol w:w="3116"/>
        <w:gridCol w:w="3117"/>
        <w:gridCol w:w="3117"/>
      </w:tblGrid>
      <w:tr w:rsidR="001C5C2A" w:rsidRPr="00FB171D" w14:paraId="3D685F7B" w14:textId="77777777" w:rsidTr="001C5C2A">
        <w:trPr>
          <w:cnfStyle w:val="100000000000" w:firstRow="1" w:lastRow="0" w:firstColumn="0" w:lastColumn="0" w:oddVBand="0" w:evenVBand="0" w:oddHBand="0" w:evenHBand="0" w:firstRowFirstColumn="0" w:firstRowLastColumn="0" w:lastRowFirstColumn="0" w:lastRowLastColumn="0"/>
        </w:trPr>
        <w:tc>
          <w:tcPr>
            <w:tcW w:w="3116" w:type="dxa"/>
          </w:tcPr>
          <w:p w14:paraId="08AD08BF" w14:textId="6823C0F5" w:rsidR="001C5C2A" w:rsidRPr="00FB171D" w:rsidRDefault="001C5C2A" w:rsidP="001C5C2A">
            <w:pPr>
              <w:rPr>
                <w:rFonts w:ascii="Georgia" w:hAnsi="Georgia" w:cs="Arial"/>
              </w:rPr>
            </w:pPr>
            <w:r w:rsidRPr="00FB171D">
              <w:rPr>
                <w:rFonts w:ascii="Georgia" w:hAnsi="Georgia" w:cs="Arial"/>
              </w:rPr>
              <w:t>Age</w:t>
            </w:r>
          </w:p>
        </w:tc>
        <w:tc>
          <w:tcPr>
            <w:tcW w:w="3117" w:type="dxa"/>
          </w:tcPr>
          <w:p w14:paraId="71352BB9" w14:textId="3EAE5796" w:rsidR="001C5C2A" w:rsidRPr="00FB171D" w:rsidRDefault="001C5C2A" w:rsidP="001C5C2A">
            <w:pPr>
              <w:rPr>
                <w:rFonts w:ascii="Georgia" w:hAnsi="Georgia" w:cs="Arial"/>
              </w:rPr>
            </w:pPr>
            <w:r w:rsidRPr="00FB171D">
              <w:rPr>
                <w:rFonts w:ascii="Georgia" w:hAnsi="Georgia" w:cs="Arial"/>
              </w:rPr>
              <w:t>Estimated Number of Neurons (billions)</w:t>
            </w:r>
          </w:p>
        </w:tc>
        <w:tc>
          <w:tcPr>
            <w:tcW w:w="3117" w:type="dxa"/>
          </w:tcPr>
          <w:p w14:paraId="1FDB5C15" w14:textId="4162F480" w:rsidR="001C5C2A" w:rsidRPr="00FB171D" w:rsidRDefault="001C5C2A" w:rsidP="001C5C2A">
            <w:pPr>
              <w:rPr>
                <w:rFonts w:ascii="Georgia" w:hAnsi="Georgia" w:cs="Arial"/>
              </w:rPr>
            </w:pPr>
            <w:r w:rsidRPr="00FB171D">
              <w:rPr>
                <w:rFonts w:ascii="Georgia" w:hAnsi="Georgia" w:cs="Arial"/>
              </w:rPr>
              <w:t>Notes</w:t>
            </w:r>
          </w:p>
        </w:tc>
      </w:tr>
      <w:tr w:rsidR="001C5C2A" w:rsidRPr="00FB171D" w14:paraId="44C24F61" w14:textId="77777777" w:rsidTr="001C5C2A">
        <w:trPr>
          <w:cnfStyle w:val="000000100000" w:firstRow="0" w:lastRow="0" w:firstColumn="0" w:lastColumn="0" w:oddVBand="0" w:evenVBand="0" w:oddHBand="1" w:evenHBand="0" w:firstRowFirstColumn="0" w:firstRowLastColumn="0" w:lastRowFirstColumn="0" w:lastRowLastColumn="0"/>
        </w:trPr>
        <w:tc>
          <w:tcPr>
            <w:tcW w:w="3116" w:type="dxa"/>
          </w:tcPr>
          <w:p w14:paraId="25C72C79" w14:textId="6D6C1FE4" w:rsidR="001C5C2A" w:rsidRPr="00FB171D" w:rsidRDefault="001C5C2A" w:rsidP="001C5C2A">
            <w:pPr>
              <w:rPr>
                <w:rFonts w:ascii="Georgia" w:hAnsi="Georgia" w:cs="Arial"/>
              </w:rPr>
            </w:pPr>
            <w:r w:rsidRPr="00FB171D">
              <w:rPr>
                <w:rFonts w:ascii="Georgia" w:hAnsi="Georgia" w:cs="Arial"/>
              </w:rPr>
              <w:lastRenderedPageBreak/>
              <w:t>Fetal (3rd trimester)</w:t>
            </w:r>
          </w:p>
        </w:tc>
        <w:tc>
          <w:tcPr>
            <w:tcW w:w="3117" w:type="dxa"/>
          </w:tcPr>
          <w:p w14:paraId="6501E510" w14:textId="68105DFE" w:rsidR="001C5C2A" w:rsidRPr="00FB171D" w:rsidRDefault="001C5C2A" w:rsidP="001C5C2A">
            <w:pPr>
              <w:rPr>
                <w:rFonts w:ascii="Georgia" w:hAnsi="Georgia" w:cs="Arial"/>
              </w:rPr>
            </w:pPr>
            <w:r w:rsidRPr="00FB171D">
              <w:rPr>
                <w:rFonts w:ascii="Georgia" w:hAnsi="Georgia" w:cs="Arial"/>
              </w:rPr>
              <w:t>~100</w:t>
            </w:r>
          </w:p>
        </w:tc>
        <w:tc>
          <w:tcPr>
            <w:tcW w:w="3117" w:type="dxa"/>
          </w:tcPr>
          <w:p w14:paraId="14BD7F1E" w14:textId="56F2D654" w:rsidR="001C5C2A" w:rsidRPr="00FB171D" w:rsidRDefault="001C5C2A" w:rsidP="001C5C2A">
            <w:pPr>
              <w:rPr>
                <w:rFonts w:ascii="Georgia" w:hAnsi="Georgia" w:cs="Arial"/>
              </w:rPr>
            </w:pPr>
            <w:r w:rsidRPr="00FB171D">
              <w:rPr>
                <w:rFonts w:ascii="Georgia" w:hAnsi="Georgia" w:cs="Arial"/>
              </w:rPr>
              <w:t>Peak neuron count before birth</w:t>
            </w:r>
          </w:p>
        </w:tc>
      </w:tr>
      <w:tr w:rsidR="001C5C2A" w:rsidRPr="00FB171D" w14:paraId="4E5296FF" w14:textId="77777777" w:rsidTr="001C5C2A">
        <w:tc>
          <w:tcPr>
            <w:tcW w:w="3116" w:type="dxa"/>
          </w:tcPr>
          <w:p w14:paraId="15EC0A4E" w14:textId="51778BC7" w:rsidR="001C5C2A" w:rsidRPr="00FB171D" w:rsidRDefault="001C5C2A" w:rsidP="001C5C2A">
            <w:pPr>
              <w:rPr>
                <w:rFonts w:ascii="Georgia" w:hAnsi="Georgia" w:cs="Arial"/>
              </w:rPr>
            </w:pPr>
            <w:r w:rsidRPr="00FB171D">
              <w:rPr>
                <w:rFonts w:ascii="Georgia" w:hAnsi="Georgia" w:cs="Arial"/>
              </w:rPr>
              <w:t>Birth</w:t>
            </w:r>
          </w:p>
        </w:tc>
        <w:tc>
          <w:tcPr>
            <w:tcW w:w="3117" w:type="dxa"/>
          </w:tcPr>
          <w:p w14:paraId="1B541E9E" w14:textId="723A34A5" w:rsidR="001C5C2A" w:rsidRPr="00FB171D" w:rsidRDefault="001C5C2A" w:rsidP="001C5C2A">
            <w:pPr>
              <w:rPr>
                <w:rFonts w:ascii="Georgia" w:hAnsi="Georgia" w:cs="Arial"/>
              </w:rPr>
            </w:pPr>
            <w:r w:rsidRPr="00FB171D">
              <w:rPr>
                <w:rFonts w:ascii="Georgia" w:hAnsi="Georgia" w:cs="Arial"/>
              </w:rPr>
              <w:t>~86</w:t>
            </w:r>
          </w:p>
        </w:tc>
        <w:tc>
          <w:tcPr>
            <w:tcW w:w="3117" w:type="dxa"/>
          </w:tcPr>
          <w:p w14:paraId="0527436E" w14:textId="3E029899" w:rsidR="001C5C2A" w:rsidRPr="00FB171D" w:rsidRDefault="001C5C2A" w:rsidP="001C5C2A">
            <w:pPr>
              <w:rPr>
                <w:rFonts w:ascii="Georgia" w:hAnsi="Georgia" w:cs="Arial"/>
              </w:rPr>
            </w:pPr>
            <w:r w:rsidRPr="00FB171D">
              <w:rPr>
                <w:rFonts w:ascii="Georgia" w:hAnsi="Georgia" w:cs="Arial"/>
              </w:rPr>
              <w:t>Neurons pruned and refined after gestation</w:t>
            </w:r>
          </w:p>
        </w:tc>
      </w:tr>
      <w:tr w:rsidR="001C5C2A" w:rsidRPr="00FB171D" w14:paraId="793F75D9" w14:textId="77777777" w:rsidTr="001C5C2A">
        <w:trPr>
          <w:cnfStyle w:val="000000100000" w:firstRow="0" w:lastRow="0" w:firstColumn="0" w:lastColumn="0" w:oddVBand="0" w:evenVBand="0" w:oddHBand="1" w:evenHBand="0" w:firstRowFirstColumn="0" w:firstRowLastColumn="0" w:lastRowFirstColumn="0" w:lastRowLastColumn="0"/>
        </w:trPr>
        <w:tc>
          <w:tcPr>
            <w:tcW w:w="3116" w:type="dxa"/>
          </w:tcPr>
          <w:p w14:paraId="118DAF37" w14:textId="129903A4" w:rsidR="001C5C2A" w:rsidRPr="00FB171D" w:rsidRDefault="001C5C2A" w:rsidP="001C5C2A">
            <w:pPr>
              <w:rPr>
                <w:rFonts w:ascii="Georgia" w:hAnsi="Georgia" w:cs="Arial"/>
              </w:rPr>
            </w:pPr>
            <w:r w:rsidRPr="00FB171D">
              <w:rPr>
                <w:rFonts w:ascii="Georgia" w:hAnsi="Georgia" w:cs="Arial"/>
              </w:rPr>
              <w:t>Childhood (6 years)</w:t>
            </w:r>
          </w:p>
        </w:tc>
        <w:tc>
          <w:tcPr>
            <w:tcW w:w="3117" w:type="dxa"/>
          </w:tcPr>
          <w:p w14:paraId="03878DFA" w14:textId="132D7416" w:rsidR="001C5C2A" w:rsidRPr="00FB171D" w:rsidRDefault="001C5C2A" w:rsidP="001C5C2A">
            <w:pPr>
              <w:rPr>
                <w:rFonts w:ascii="Georgia" w:hAnsi="Georgia" w:cs="Arial"/>
              </w:rPr>
            </w:pPr>
            <w:r w:rsidRPr="00FB171D">
              <w:rPr>
                <w:rFonts w:ascii="Georgia" w:hAnsi="Georgia" w:cs="Arial"/>
              </w:rPr>
              <w:t>~85</w:t>
            </w:r>
          </w:p>
        </w:tc>
        <w:tc>
          <w:tcPr>
            <w:tcW w:w="3117" w:type="dxa"/>
          </w:tcPr>
          <w:p w14:paraId="025E5DC1" w14:textId="51CB2ABC" w:rsidR="001C5C2A" w:rsidRPr="00FB171D" w:rsidRDefault="001C5C2A" w:rsidP="001C5C2A">
            <w:pPr>
              <w:rPr>
                <w:rFonts w:ascii="Georgia" w:hAnsi="Georgia" w:cs="Arial"/>
              </w:rPr>
            </w:pPr>
            <w:r w:rsidRPr="00FB171D">
              <w:rPr>
                <w:rFonts w:ascii="Georgia" w:hAnsi="Georgia" w:cs="Arial"/>
              </w:rPr>
              <w:t>Small decline, intense synaptic growth</w:t>
            </w:r>
          </w:p>
        </w:tc>
      </w:tr>
      <w:tr w:rsidR="001C5C2A" w:rsidRPr="00FB171D" w14:paraId="39EFB82E" w14:textId="77777777" w:rsidTr="001C5C2A">
        <w:tc>
          <w:tcPr>
            <w:tcW w:w="3116" w:type="dxa"/>
          </w:tcPr>
          <w:p w14:paraId="05B036B0" w14:textId="3C799BCC" w:rsidR="001C5C2A" w:rsidRPr="00FB171D" w:rsidRDefault="001C5C2A" w:rsidP="001C5C2A">
            <w:pPr>
              <w:rPr>
                <w:rFonts w:ascii="Georgia" w:hAnsi="Georgia" w:cs="Arial"/>
              </w:rPr>
            </w:pPr>
            <w:r w:rsidRPr="00FB171D">
              <w:rPr>
                <w:rFonts w:ascii="Georgia" w:hAnsi="Georgia" w:cs="Arial"/>
              </w:rPr>
              <w:t>Young Adult (20 years)</w:t>
            </w:r>
          </w:p>
        </w:tc>
        <w:tc>
          <w:tcPr>
            <w:tcW w:w="3117" w:type="dxa"/>
          </w:tcPr>
          <w:p w14:paraId="542EB4C9" w14:textId="205AA7D8" w:rsidR="001C5C2A" w:rsidRPr="00FB171D" w:rsidRDefault="001C5C2A" w:rsidP="001C5C2A">
            <w:pPr>
              <w:rPr>
                <w:rFonts w:ascii="Georgia" w:hAnsi="Georgia" w:cs="Arial"/>
              </w:rPr>
            </w:pPr>
            <w:r w:rsidRPr="00FB171D">
              <w:rPr>
                <w:rFonts w:ascii="Georgia" w:hAnsi="Georgia" w:cs="Arial"/>
              </w:rPr>
              <w:t>~83</w:t>
            </w:r>
          </w:p>
        </w:tc>
        <w:tc>
          <w:tcPr>
            <w:tcW w:w="3117" w:type="dxa"/>
          </w:tcPr>
          <w:p w14:paraId="1EDA5B5D" w14:textId="50E5CEED" w:rsidR="001C5C2A" w:rsidRPr="00FB171D" w:rsidRDefault="001C5C2A" w:rsidP="001C5C2A">
            <w:pPr>
              <w:rPr>
                <w:rFonts w:ascii="Georgia" w:hAnsi="Georgia" w:cs="Arial"/>
              </w:rPr>
            </w:pPr>
            <w:r w:rsidRPr="00FB171D">
              <w:rPr>
                <w:rFonts w:ascii="Georgia" w:hAnsi="Georgia" w:cs="Arial"/>
              </w:rPr>
              <w:t>Normal aging begins, slow neuron loss</w:t>
            </w:r>
          </w:p>
        </w:tc>
      </w:tr>
      <w:tr w:rsidR="001C5C2A" w:rsidRPr="00FB171D" w14:paraId="6A1CA22C" w14:textId="77777777" w:rsidTr="001C5C2A">
        <w:trPr>
          <w:cnfStyle w:val="000000100000" w:firstRow="0" w:lastRow="0" w:firstColumn="0" w:lastColumn="0" w:oddVBand="0" w:evenVBand="0" w:oddHBand="1" w:evenHBand="0" w:firstRowFirstColumn="0" w:firstRowLastColumn="0" w:lastRowFirstColumn="0" w:lastRowLastColumn="0"/>
        </w:trPr>
        <w:tc>
          <w:tcPr>
            <w:tcW w:w="3116" w:type="dxa"/>
          </w:tcPr>
          <w:p w14:paraId="1001B6CB" w14:textId="678664B3" w:rsidR="001C5C2A" w:rsidRPr="00FB171D" w:rsidRDefault="001C5C2A" w:rsidP="001C5C2A">
            <w:pPr>
              <w:rPr>
                <w:rFonts w:ascii="Georgia" w:hAnsi="Georgia" w:cs="Arial"/>
              </w:rPr>
            </w:pPr>
            <w:r w:rsidRPr="00FB171D">
              <w:rPr>
                <w:rFonts w:ascii="Georgia" w:hAnsi="Georgia" w:cs="Arial"/>
              </w:rPr>
              <w:t>Middle Age (50 years)</w:t>
            </w:r>
          </w:p>
        </w:tc>
        <w:tc>
          <w:tcPr>
            <w:tcW w:w="3117" w:type="dxa"/>
          </w:tcPr>
          <w:p w14:paraId="2CCE3CD9" w14:textId="29D20464" w:rsidR="001C5C2A" w:rsidRPr="00FB171D" w:rsidRDefault="001C5C2A" w:rsidP="001C5C2A">
            <w:pPr>
              <w:rPr>
                <w:rFonts w:ascii="Georgia" w:hAnsi="Georgia" w:cs="Arial"/>
              </w:rPr>
            </w:pPr>
            <w:r w:rsidRPr="00FB171D">
              <w:rPr>
                <w:rFonts w:ascii="Georgia" w:hAnsi="Georgia" w:cs="Arial"/>
              </w:rPr>
              <w:t>~80</w:t>
            </w:r>
          </w:p>
        </w:tc>
        <w:tc>
          <w:tcPr>
            <w:tcW w:w="3117" w:type="dxa"/>
          </w:tcPr>
          <w:p w14:paraId="7F012606" w14:textId="78FF303D" w:rsidR="001C5C2A" w:rsidRPr="00FB171D" w:rsidRDefault="001C5C2A" w:rsidP="001C5C2A">
            <w:pPr>
              <w:rPr>
                <w:rFonts w:ascii="Georgia" w:hAnsi="Georgia" w:cs="Arial"/>
              </w:rPr>
            </w:pPr>
            <w:r w:rsidRPr="00FB171D">
              <w:rPr>
                <w:rFonts w:ascii="Georgia" w:hAnsi="Georgia" w:cs="Arial"/>
              </w:rPr>
              <w:t>Gradual decline accelerates with age</w:t>
            </w:r>
          </w:p>
        </w:tc>
      </w:tr>
      <w:tr w:rsidR="001C5C2A" w:rsidRPr="00FB171D" w14:paraId="549DB8C0" w14:textId="77777777" w:rsidTr="001C5C2A">
        <w:tc>
          <w:tcPr>
            <w:tcW w:w="3116" w:type="dxa"/>
          </w:tcPr>
          <w:p w14:paraId="1B8E3FFB" w14:textId="41C57DE2" w:rsidR="001C5C2A" w:rsidRPr="00FB171D" w:rsidRDefault="001C5C2A" w:rsidP="001C5C2A">
            <w:pPr>
              <w:rPr>
                <w:rFonts w:ascii="Georgia" w:hAnsi="Georgia" w:cs="Arial"/>
              </w:rPr>
            </w:pPr>
            <w:r w:rsidRPr="00FB171D">
              <w:rPr>
                <w:rFonts w:ascii="Georgia" w:hAnsi="Georgia" w:cs="Arial"/>
              </w:rPr>
              <w:t>Senior (80 years)</w:t>
            </w:r>
          </w:p>
        </w:tc>
        <w:tc>
          <w:tcPr>
            <w:tcW w:w="3117" w:type="dxa"/>
          </w:tcPr>
          <w:p w14:paraId="3B394E42" w14:textId="507B22AA" w:rsidR="001C5C2A" w:rsidRPr="00FB171D" w:rsidRDefault="001C5C2A" w:rsidP="001C5C2A">
            <w:pPr>
              <w:rPr>
                <w:rFonts w:ascii="Georgia" w:hAnsi="Georgia" w:cs="Arial"/>
              </w:rPr>
            </w:pPr>
            <w:r w:rsidRPr="00FB171D">
              <w:rPr>
                <w:rFonts w:ascii="Georgia" w:hAnsi="Georgia" w:cs="Arial"/>
              </w:rPr>
              <w:t>~75</w:t>
            </w:r>
          </w:p>
        </w:tc>
        <w:tc>
          <w:tcPr>
            <w:tcW w:w="3117" w:type="dxa"/>
          </w:tcPr>
          <w:p w14:paraId="207C1E28" w14:textId="1EEDAC40" w:rsidR="001C5C2A" w:rsidRPr="00FB171D" w:rsidRDefault="001C5C2A" w:rsidP="001C5C2A">
            <w:pPr>
              <w:rPr>
                <w:rFonts w:ascii="Georgia" w:hAnsi="Georgia" w:cs="Arial"/>
              </w:rPr>
            </w:pPr>
            <w:r w:rsidRPr="00FB171D">
              <w:rPr>
                <w:rFonts w:ascii="Georgia" w:hAnsi="Georgia" w:cs="Arial"/>
              </w:rPr>
              <w:t>Significant cumulative neuron loss</w:t>
            </w:r>
          </w:p>
        </w:tc>
      </w:tr>
    </w:tbl>
    <w:p w14:paraId="434BAF8D" w14:textId="77777777" w:rsidR="001C5C2A" w:rsidRPr="00FB171D" w:rsidRDefault="001C5C2A" w:rsidP="001C5C2A">
      <w:pPr>
        <w:rPr>
          <w:rFonts w:ascii="Georgia" w:hAnsi="Georgia" w:cs="Arial"/>
        </w:rPr>
      </w:pPr>
      <w:r w:rsidRPr="00FB171D">
        <w:rPr>
          <w:rFonts w:ascii="Georgia" w:hAnsi="Georgia" w:cs="Arial"/>
        </w:rPr>
        <w:t>(Ages)</w:t>
      </w:r>
    </w:p>
    <w:p w14:paraId="07D06526" w14:textId="77777777" w:rsidR="001C5C2A" w:rsidRPr="00FB171D" w:rsidRDefault="001C5C2A" w:rsidP="00814BB4">
      <w:pPr>
        <w:pStyle w:val="ListParagraph"/>
        <w:numPr>
          <w:ilvl w:val="0"/>
          <w:numId w:val="98"/>
        </w:numPr>
        <w:rPr>
          <w:rFonts w:ascii="Georgia" w:hAnsi="Georgia" w:cs="Arial"/>
        </w:rPr>
      </w:pPr>
      <w:r w:rsidRPr="00FB171D">
        <w:rPr>
          <w:rFonts w:ascii="Georgia" w:hAnsi="Georgia" w:cs="Arial"/>
        </w:rPr>
        <w:t>These values are estimates; actual neuron counts vary by individual and brain region.</w:t>
      </w:r>
    </w:p>
    <w:p w14:paraId="7DDAE96E" w14:textId="77777777" w:rsidR="001C5C2A" w:rsidRPr="00FB171D" w:rsidRDefault="001C5C2A" w:rsidP="00814BB4">
      <w:pPr>
        <w:pStyle w:val="ListParagraph"/>
        <w:numPr>
          <w:ilvl w:val="0"/>
          <w:numId w:val="98"/>
        </w:numPr>
        <w:rPr>
          <w:rFonts w:ascii="Georgia" w:hAnsi="Georgia" w:cs="Arial"/>
        </w:rPr>
      </w:pPr>
      <w:r w:rsidRPr="00FB171D">
        <w:rPr>
          <w:rFonts w:ascii="Georgia" w:hAnsi="Georgia" w:cs="Arial"/>
        </w:rPr>
        <w:t>Most neurons are formed before birth; neuron loss is gradual but persistent throughout life.</w:t>
      </w:r>
    </w:p>
    <w:p w14:paraId="3B46B18A" w14:textId="00134216" w:rsidR="001C5C2A" w:rsidRPr="00FB171D" w:rsidRDefault="001C5C2A" w:rsidP="00814BB4">
      <w:pPr>
        <w:pStyle w:val="ListParagraph"/>
        <w:numPr>
          <w:ilvl w:val="0"/>
          <w:numId w:val="98"/>
        </w:numPr>
        <w:rPr>
          <w:rFonts w:ascii="Georgia" w:hAnsi="Georgia" w:cs="Arial"/>
        </w:rPr>
      </w:pPr>
      <w:r w:rsidRPr="00FB171D">
        <w:rPr>
          <w:rFonts w:ascii="Georgia" w:hAnsi="Georgia" w:cs="Arial"/>
        </w:rPr>
        <w:t>Cognitive decline becomes more pronounced as neuron loss outpaces the brain's ability to compensate with new connections.</w:t>
      </w:r>
    </w:p>
    <w:p w14:paraId="37947989" w14:textId="3FBCF8FE" w:rsidR="00A16028" w:rsidRPr="00FB171D" w:rsidRDefault="003E2DC1" w:rsidP="00D643E3">
      <w:pPr>
        <w:pStyle w:val="Heading2"/>
        <w:rPr>
          <w:rFonts w:ascii="Georgia" w:hAnsi="Georgia" w:cs="Arial"/>
        </w:rPr>
      </w:pPr>
      <w:bookmarkStart w:id="9" w:name="_Toc209691043"/>
      <w:r w:rsidRPr="00FB171D">
        <w:rPr>
          <w:rFonts w:ascii="Georgia" w:hAnsi="Georgia" w:cs="Arial"/>
        </w:rPr>
        <w:t xml:space="preserve">Strategy #1 for preserving cognitive function: </w:t>
      </w:r>
      <w:r w:rsidR="003E0B2D" w:rsidRPr="00FB171D">
        <w:rPr>
          <w:rFonts w:ascii="Georgia" w:hAnsi="Georgia" w:cs="Arial"/>
        </w:rPr>
        <w:t>“Don’t let brain cells die”</w:t>
      </w:r>
      <w:bookmarkEnd w:id="9"/>
    </w:p>
    <w:p w14:paraId="24A1FC99" w14:textId="0BA6DF56" w:rsidR="004806EE" w:rsidRPr="00FB171D" w:rsidRDefault="004806EE" w:rsidP="004806EE">
      <w:pPr>
        <w:rPr>
          <w:rFonts w:ascii="Georgia" w:hAnsi="Georgia" w:cs="Arial"/>
        </w:rPr>
      </w:pPr>
      <w:r w:rsidRPr="00FB171D">
        <w:rPr>
          <w:rFonts w:ascii="Georgia" w:hAnsi="Georgia" w:cs="Arial"/>
        </w:rPr>
        <w:t>The human brain, wondrous in complexity and resilience, is ultimately vulnerable to an array of forces that can precipitate the loss of its primary functional units: the neurons. Neuronal cell death is a central event in the process of aging and in the pathogenesis of many neurological disorders. Understanding why neurons die—whether silently over decades or suddenly in a catastrophic event—is fundamental to unraveling the mysteries of the aging brain, dementia, and neurological disease.</w:t>
      </w:r>
      <w:r w:rsidR="007628CA" w:rsidRPr="00FB171D">
        <w:rPr>
          <w:rFonts w:ascii="Georgia" w:hAnsi="Georgia" w:cs="Arial"/>
        </w:rPr>
        <w:t xml:space="preserve">  Whatever the cause, t</w:t>
      </w:r>
      <w:r w:rsidRPr="00FB171D">
        <w:rPr>
          <w:rFonts w:ascii="Georgia" w:hAnsi="Georgia" w:cs="Arial"/>
        </w:rPr>
        <w:t>he loss of these irreplaceable cells underlies the functional decline seen in aging, dementia, and other neurological disorders. The causes of neuronal death are multifactorial, spanning from microscopic molecular aberrations to gross anatomical injuries.</w:t>
      </w:r>
    </w:p>
    <w:p w14:paraId="47FA043C" w14:textId="5748C183" w:rsidR="004806EE" w:rsidRPr="00FB171D" w:rsidRDefault="004806EE" w:rsidP="004806EE">
      <w:pPr>
        <w:rPr>
          <w:rFonts w:ascii="Georgia" w:hAnsi="Georgia" w:cs="Arial"/>
        </w:rPr>
      </w:pPr>
      <w:r w:rsidRPr="00FB171D">
        <w:rPr>
          <w:rFonts w:ascii="Georgia" w:hAnsi="Georgia" w:cs="Arial"/>
        </w:rPr>
        <w:t xml:space="preserve">In this </w:t>
      </w:r>
      <w:r w:rsidR="007628CA" w:rsidRPr="00FB171D">
        <w:rPr>
          <w:rFonts w:ascii="Georgia" w:hAnsi="Georgia" w:cs="Arial"/>
        </w:rPr>
        <w:t>secti</w:t>
      </w:r>
      <w:r w:rsidR="0015022D" w:rsidRPr="00FB171D">
        <w:rPr>
          <w:rFonts w:ascii="Georgia" w:hAnsi="Georgia" w:cs="Arial"/>
        </w:rPr>
        <w:t>on</w:t>
      </w:r>
      <w:r w:rsidRPr="00FB171D">
        <w:rPr>
          <w:rFonts w:ascii="Georgia" w:hAnsi="Georgia" w:cs="Arial"/>
        </w:rPr>
        <w:t>, we explore the causes of neuronal cell death, organizing them into several broad but overlapping categories:</w:t>
      </w:r>
    </w:p>
    <w:p w14:paraId="4F21F98C" w14:textId="77777777" w:rsidR="004806EE" w:rsidRPr="00FB171D" w:rsidRDefault="004806EE" w:rsidP="00734CAC">
      <w:pPr>
        <w:pStyle w:val="ListParagraph"/>
        <w:numPr>
          <w:ilvl w:val="0"/>
          <w:numId w:val="11"/>
        </w:numPr>
        <w:rPr>
          <w:rFonts w:ascii="Georgia" w:hAnsi="Georgia" w:cs="Arial"/>
        </w:rPr>
      </w:pPr>
      <w:r w:rsidRPr="00FB171D">
        <w:rPr>
          <w:rFonts w:ascii="Georgia" w:hAnsi="Georgia" w:cs="Arial"/>
        </w:rPr>
        <w:t>Molecular and Cellular Causes</w:t>
      </w:r>
    </w:p>
    <w:p w14:paraId="3B0424AC" w14:textId="77777777" w:rsidR="004806EE" w:rsidRPr="00FB171D" w:rsidRDefault="004806EE" w:rsidP="00734CAC">
      <w:pPr>
        <w:pStyle w:val="ListParagraph"/>
        <w:numPr>
          <w:ilvl w:val="0"/>
          <w:numId w:val="11"/>
        </w:numPr>
        <w:rPr>
          <w:rFonts w:ascii="Georgia" w:hAnsi="Georgia" w:cs="Arial"/>
        </w:rPr>
      </w:pPr>
      <w:r w:rsidRPr="00FB171D">
        <w:rPr>
          <w:rFonts w:ascii="Georgia" w:hAnsi="Georgia" w:cs="Arial"/>
        </w:rPr>
        <w:t>Vascular Causes</w:t>
      </w:r>
    </w:p>
    <w:p w14:paraId="4F03B284" w14:textId="77777777" w:rsidR="004806EE" w:rsidRPr="00FB171D" w:rsidRDefault="004806EE" w:rsidP="00734CAC">
      <w:pPr>
        <w:pStyle w:val="ListParagraph"/>
        <w:numPr>
          <w:ilvl w:val="0"/>
          <w:numId w:val="11"/>
        </w:numPr>
        <w:rPr>
          <w:rFonts w:ascii="Georgia" w:hAnsi="Georgia" w:cs="Arial"/>
        </w:rPr>
      </w:pPr>
      <w:r w:rsidRPr="00FB171D">
        <w:rPr>
          <w:rFonts w:ascii="Georgia" w:hAnsi="Georgia" w:cs="Arial"/>
        </w:rPr>
        <w:t>Traumatic Causes</w:t>
      </w:r>
    </w:p>
    <w:p w14:paraId="2E49B70D" w14:textId="77777777" w:rsidR="004806EE" w:rsidRPr="00FB171D" w:rsidRDefault="004806EE" w:rsidP="00734CAC">
      <w:pPr>
        <w:pStyle w:val="ListParagraph"/>
        <w:numPr>
          <w:ilvl w:val="0"/>
          <w:numId w:val="11"/>
        </w:numPr>
        <w:rPr>
          <w:rFonts w:ascii="Georgia" w:hAnsi="Georgia" w:cs="Arial"/>
        </w:rPr>
      </w:pPr>
      <w:r w:rsidRPr="00FB171D">
        <w:rPr>
          <w:rFonts w:ascii="Georgia" w:hAnsi="Georgia" w:cs="Arial"/>
        </w:rPr>
        <w:t>Genetic and Heritable Causes</w:t>
      </w:r>
    </w:p>
    <w:p w14:paraId="28B57309" w14:textId="77777777" w:rsidR="004806EE" w:rsidRPr="00FB171D" w:rsidRDefault="004806EE" w:rsidP="00734CAC">
      <w:pPr>
        <w:pStyle w:val="ListParagraph"/>
        <w:numPr>
          <w:ilvl w:val="0"/>
          <w:numId w:val="11"/>
        </w:numPr>
        <w:rPr>
          <w:rFonts w:ascii="Georgia" w:hAnsi="Georgia" w:cs="Arial"/>
        </w:rPr>
      </w:pPr>
      <w:r w:rsidRPr="00FB171D">
        <w:rPr>
          <w:rFonts w:ascii="Georgia" w:hAnsi="Georgia" w:cs="Arial"/>
        </w:rPr>
        <w:t>Environmental and Lifestyle Factors</w:t>
      </w:r>
    </w:p>
    <w:p w14:paraId="48239449" w14:textId="4ABC6D5E" w:rsidR="004806EE" w:rsidRPr="00FB171D" w:rsidRDefault="004806EE" w:rsidP="00331EDC">
      <w:pPr>
        <w:pStyle w:val="Heading3"/>
        <w:rPr>
          <w:rFonts w:ascii="Georgia" w:hAnsi="Georgia" w:cs="Arial"/>
        </w:rPr>
      </w:pPr>
      <w:bookmarkStart w:id="10" w:name="_Toc209691044"/>
      <w:r w:rsidRPr="00FB171D">
        <w:rPr>
          <w:rFonts w:ascii="Georgia" w:hAnsi="Georgia" w:cs="Arial"/>
        </w:rPr>
        <w:t>Molecular and Cellular Causes</w:t>
      </w:r>
      <w:bookmarkEnd w:id="10"/>
    </w:p>
    <w:p w14:paraId="03E004F7" w14:textId="77777777" w:rsidR="004806EE" w:rsidRPr="00FB171D" w:rsidRDefault="004806EE" w:rsidP="004806EE">
      <w:pPr>
        <w:rPr>
          <w:rFonts w:ascii="Georgia" w:hAnsi="Georgia" w:cs="Arial"/>
        </w:rPr>
      </w:pPr>
      <w:r w:rsidRPr="00FB171D">
        <w:rPr>
          <w:rFonts w:ascii="Georgia" w:hAnsi="Georgia" w:cs="Arial"/>
        </w:rPr>
        <w:t>At the most fundamental level, neurons may die due to dysfunction at the molecular or cellular scale. These processes are central in neurodegenerative diseases and frequently also play a role in brain aging.</w:t>
      </w:r>
    </w:p>
    <w:p w14:paraId="798BE7AE" w14:textId="77777777" w:rsidR="004806EE" w:rsidRPr="00FB171D" w:rsidRDefault="004806EE" w:rsidP="00331EDC">
      <w:pPr>
        <w:pStyle w:val="Heading4"/>
        <w:rPr>
          <w:rFonts w:ascii="Georgia" w:hAnsi="Georgia" w:cs="Arial"/>
        </w:rPr>
      </w:pPr>
      <w:r w:rsidRPr="00FB171D">
        <w:rPr>
          <w:rFonts w:ascii="Georgia" w:hAnsi="Georgia" w:cs="Arial"/>
        </w:rPr>
        <w:lastRenderedPageBreak/>
        <w:t>1. Protein Misfolding and Aggregation</w:t>
      </w:r>
    </w:p>
    <w:p w14:paraId="18F5761E" w14:textId="77777777" w:rsidR="004806EE" w:rsidRPr="00FB171D" w:rsidRDefault="004806EE" w:rsidP="004806EE">
      <w:pPr>
        <w:rPr>
          <w:rFonts w:ascii="Georgia" w:hAnsi="Georgia" w:cs="Arial"/>
        </w:rPr>
      </w:pPr>
      <w:r w:rsidRPr="00FB171D">
        <w:rPr>
          <w:rFonts w:ascii="Georgia" w:hAnsi="Georgia" w:cs="Arial"/>
        </w:rPr>
        <w:t>Abnormal protein processing is a hallmark of several neurodegenerative diseases.</w:t>
      </w:r>
    </w:p>
    <w:p w14:paraId="6B260645" w14:textId="77777777" w:rsidR="004806EE" w:rsidRPr="00FB171D" w:rsidRDefault="004806EE" w:rsidP="00734CAC">
      <w:pPr>
        <w:pStyle w:val="ListParagraph"/>
        <w:numPr>
          <w:ilvl w:val="0"/>
          <w:numId w:val="12"/>
        </w:numPr>
        <w:rPr>
          <w:rFonts w:ascii="Georgia" w:hAnsi="Georgia" w:cs="Arial"/>
        </w:rPr>
      </w:pPr>
      <w:r w:rsidRPr="00FB171D">
        <w:rPr>
          <w:rFonts w:ascii="Georgia" w:hAnsi="Georgia" w:cs="Arial"/>
        </w:rPr>
        <w:t>Amyloid plaques (composed of beta-amyloid): These extracellular protein deposits accumulate in the brains of individuals with Alzheimer’s disease, disrupting cellular function and triggering cell death.</w:t>
      </w:r>
    </w:p>
    <w:p w14:paraId="4E235114" w14:textId="77777777" w:rsidR="004806EE" w:rsidRPr="00FB171D" w:rsidRDefault="004806EE" w:rsidP="00734CAC">
      <w:pPr>
        <w:pStyle w:val="ListParagraph"/>
        <w:numPr>
          <w:ilvl w:val="0"/>
          <w:numId w:val="12"/>
        </w:numPr>
        <w:rPr>
          <w:rFonts w:ascii="Georgia" w:hAnsi="Georgia" w:cs="Arial"/>
        </w:rPr>
      </w:pPr>
      <w:r w:rsidRPr="00FB171D">
        <w:rPr>
          <w:rFonts w:ascii="Georgia" w:hAnsi="Georgia" w:cs="Arial"/>
        </w:rPr>
        <w:t>Neurofibrillary tangles (composed of hyperphosphorylated tau protein): These intracellular aggregates interfere with the internal transport system of neurons, leading to dysfunction and death.</w:t>
      </w:r>
    </w:p>
    <w:p w14:paraId="75669AF9" w14:textId="77777777" w:rsidR="004806EE" w:rsidRPr="00FB171D" w:rsidRDefault="004806EE" w:rsidP="00734CAC">
      <w:pPr>
        <w:pStyle w:val="ListParagraph"/>
        <w:numPr>
          <w:ilvl w:val="0"/>
          <w:numId w:val="12"/>
        </w:numPr>
        <w:rPr>
          <w:rFonts w:ascii="Georgia" w:hAnsi="Georgia" w:cs="Arial"/>
        </w:rPr>
      </w:pPr>
      <w:r w:rsidRPr="00FB171D">
        <w:rPr>
          <w:rFonts w:ascii="Georgia" w:hAnsi="Georgia" w:cs="Arial"/>
        </w:rPr>
        <w:t>Alpha-synuclein aggregates: In Parkinson’s disease, alpha-synuclein forms Lewy bodies, which are toxic to neurons, particularly in the substantia nigra.</w:t>
      </w:r>
    </w:p>
    <w:p w14:paraId="319DEBD4" w14:textId="77777777" w:rsidR="004806EE" w:rsidRPr="00FB171D" w:rsidRDefault="004806EE" w:rsidP="00734CAC">
      <w:pPr>
        <w:pStyle w:val="ListParagraph"/>
        <w:numPr>
          <w:ilvl w:val="0"/>
          <w:numId w:val="12"/>
        </w:numPr>
        <w:rPr>
          <w:rFonts w:ascii="Georgia" w:hAnsi="Georgia" w:cs="Arial"/>
        </w:rPr>
      </w:pPr>
      <w:r w:rsidRPr="00FB171D">
        <w:rPr>
          <w:rFonts w:ascii="Georgia" w:hAnsi="Georgia" w:cs="Arial"/>
        </w:rPr>
        <w:t>Huntingtin aggregates: In Huntington’s disease, the mutated huntingtin protein aggregates and causes striatal and cortical neuron loss.</w:t>
      </w:r>
    </w:p>
    <w:p w14:paraId="5FF3EE26" w14:textId="77777777" w:rsidR="004806EE" w:rsidRPr="00FB171D" w:rsidRDefault="004806EE" w:rsidP="00331EDC">
      <w:pPr>
        <w:pStyle w:val="Heading4"/>
        <w:rPr>
          <w:rFonts w:ascii="Georgia" w:hAnsi="Georgia" w:cs="Arial"/>
        </w:rPr>
      </w:pPr>
      <w:r w:rsidRPr="00FB171D">
        <w:rPr>
          <w:rFonts w:ascii="Georgia" w:hAnsi="Georgia" w:cs="Arial"/>
        </w:rPr>
        <w:t>2. Excitotoxicity</w:t>
      </w:r>
    </w:p>
    <w:p w14:paraId="0F4755DA" w14:textId="77777777" w:rsidR="004806EE" w:rsidRPr="00FB171D" w:rsidRDefault="004806EE" w:rsidP="004806EE">
      <w:pPr>
        <w:rPr>
          <w:rFonts w:ascii="Georgia" w:hAnsi="Georgia" w:cs="Arial"/>
        </w:rPr>
      </w:pPr>
      <w:r w:rsidRPr="00FB171D">
        <w:rPr>
          <w:rFonts w:ascii="Georgia" w:hAnsi="Georgia" w:cs="Arial"/>
        </w:rPr>
        <w:t>Excitotoxicity refers to cell death caused by excessive stimulation by neurotransmitters such as glutamate, which leads to uncontrolled calcium influx and neuronal injury.</w:t>
      </w:r>
    </w:p>
    <w:p w14:paraId="0FB90548" w14:textId="77777777" w:rsidR="004806EE" w:rsidRPr="00FB171D" w:rsidRDefault="004806EE" w:rsidP="00734CAC">
      <w:pPr>
        <w:pStyle w:val="ListParagraph"/>
        <w:numPr>
          <w:ilvl w:val="0"/>
          <w:numId w:val="13"/>
        </w:numPr>
        <w:rPr>
          <w:rFonts w:ascii="Georgia" w:hAnsi="Georgia" w:cs="Arial"/>
        </w:rPr>
      </w:pPr>
      <w:r w:rsidRPr="00FB171D">
        <w:rPr>
          <w:rFonts w:ascii="Georgia" w:hAnsi="Georgia" w:cs="Arial"/>
        </w:rPr>
        <w:t>Excessive activation of NMDA and AMPA receptors increases intracellular calcium.</w:t>
      </w:r>
    </w:p>
    <w:p w14:paraId="7E8DF3E3" w14:textId="77777777" w:rsidR="004806EE" w:rsidRPr="00FB171D" w:rsidRDefault="004806EE" w:rsidP="00734CAC">
      <w:pPr>
        <w:pStyle w:val="ListParagraph"/>
        <w:numPr>
          <w:ilvl w:val="0"/>
          <w:numId w:val="13"/>
        </w:numPr>
        <w:rPr>
          <w:rFonts w:ascii="Georgia" w:hAnsi="Georgia" w:cs="Arial"/>
        </w:rPr>
      </w:pPr>
      <w:r w:rsidRPr="00FB171D">
        <w:rPr>
          <w:rFonts w:ascii="Georgia" w:hAnsi="Georgia" w:cs="Arial"/>
        </w:rPr>
        <w:t>Elevated calcium activates proteases, endonucleases, and other enzymes that damage cellular components.</w:t>
      </w:r>
    </w:p>
    <w:p w14:paraId="22EE7EDA" w14:textId="77777777" w:rsidR="004806EE" w:rsidRPr="00FB171D" w:rsidRDefault="004806EE" w:rsidP="00331EDC">
      <w:pPr>
        <w:pStyle w:val="Heading4"/>
        <w:rPr>
          <w:rFonts w:ascii="Georgia" w:hAnsi="Georgia" w:cs="Arial"/>
        </w:rPr>
      </w:pPr>
      <w:r w:rsidRPr="00FB171D">
        <w:rPr>
          <w:rFonts w:ascii="Georgia" w:hAnsi="Georgia" w:cs="Arial"/>
        </w:rPr>
        <w:t>3. Oxidative Stress</w:t>
      </w:r>
    </w:p>
    <w:p w14:paraId="28B3CFBC" w14:textId="77777777" w:rsidR="004806EE" w:rsidRPr="00FB171D" w:rsidRDefault="004806EE" w:rsidP="004806EE">
      <w:pPr>
        <w:rPr>
          <w:rFonts w:ascii="Georgia" w:hAnsi="Georgia" w:cs="Arial"/>
        </w:rPr>
      </w:pPr>
      <w:r w:rsidRPr="00FB171D">
        <w:rPr>
          <w:rFonts w:ascii="Georgia" w:hAnsi="Georgia" w:cs="Arial"/>
        </w:rPr>
        <w:t>Neurons are particularly vulnerable to oxidative stress due to their high metabolic demand and abundance of unsaturated membrane lipids.</w:t>
      </w:r>
    </w:p>
    <w:p w14:paraId="1FE1B09C" w14:textId="77777777" w:rsidR="004806EE" w:rsidRPr="00FB171D" w:rsidRDefault="004806EE" w:rsidP="00734CAC">
      <w:pPr>
        <w:pStyle w:val="ListParagraph"/>
        <w:numPr>
          <w:ilvl w:val="0"/>
          <w:numId w:val="14"/>
        </w:numPr>
        <w:rPr>
          <w:rFonts w:ascii="Georgia" w:hAnsi="Georgia" w:cs="Arial"/>
        </w:rPr>
      </w:pPr>
      <w:r w:rsidRPr="00FB171D">
        <w:rPr>
          <w:rFonts w:ascii="Georgia" w:hAnsi="Georgia" w:cs="Arial"/>
        </w:rPr>
        <w:t>Reactive oxygen species (ROS) and reactive nitrogen species (RNS) are generated during normal metabolism but can increase to toxic levels.</w:t>
      </w:r>
    </w:p>
    <w:p w14:paraId="0C7CAD14" w14:textId="77777777" w:rsidR="004806EE" w:rsidRPr="00FB171D" w:rsidRDefault="004806EE" w:rsidP="00734CAC">
      <w:pPr>
        <w:pStyle w:val="ListParagraph"/>
        <w:numPr>
          <w:ilvl w:val="0"/>
          <w:numId w:val="14"/>
        </w:numPr>
        <w:rPr>
          <w:rFonts w:ascii="Georgia" w:hAnsi="Georgia" w:cs="Arial"/>
        </w:rPr>
      </w:pPr>
      <w:r w:rsidRPr="00FB171D">
        <w:rPr>
          <w:rFonts w:ascii="Georgia" w:hAnsi="Georgia" w:cs="Arial"/>
        </w:rPr>
        <w:t>Oxidative damage to DNA, proteins, and lipids leads to impaired cellular function and apoptosis or necrosis.</w:t>
      </w:r>
    </w:p>
    <w:p w14:paraId="730DA69E" w14:textId="77777777" w:rsidR="004806EE" w:rsidRPr="00FB171D" w:rsidRDefault="004806EE" w:rsidP="00331EDC">
      <w:pPr>
        <w:pStyle w:val="Heading4"/>
        <w:rPr>
          <w:rFonts w:ascii="Georgia" w:hAnsi="Georgia" w:cs="Arial"/>
        </w:rPr>
      </w:pPr>
      <w:r w:rsidRPr="00FB171D">
        <w:rPr>
          <w:rFonts w:ascii="Georgia" w:hAnsi="Georgia" w:cs="Arial"/>
        </w:rPr>
        <w:t>4. Mitochondrial Dysfunction</w:t>
      </w:r>
    </w:p>
    <w:p w14:paraId="6A38AF54" w14:textId="77777777" w:rsidR="004806EE" w:rsidRPr="00FB171D" w:rsidRDefault="004806EE" w:rsidP="004806EE">
      <w:pPr>
        <w:rPr>
          <w:rFonts w:ascii="Georgia" w:hAnsi="Georgia" w:cs="Arial"/>
        </w:rPr>
      </w:pPr>
      <w:r w:rsidRPr="00FB171D">
        <w:rPr>
          <w:rFonts w:ascii="Georgia" w:hAnsi="Georgia" w:cs="Arial"/>
        </w:rPr>
        <w:t>Mitochondria are the powerhouses of neurons, and their dysfunction leads to insufficient ATP production and increased ROS.</w:t>
      </w:r>
    </w:p>
    <w:p w14:paraId="3E414DCB" w14:textId="77777777" w:rsidR="004806EE" w:rsidRPr="00FB171D" w:rsidRDefault="004806EE" w:rsidP="00734CAC">
      <w:pPr>
        <w:pStyle w:val="ListParagraph"/>
        <w:numPr>
          <w:ilvl w:val="0"/>
          <w:numId w:val="15"/>
        </w:numPr>
        <w:rPr>
          <w:rFonts w:ascii="Georgia" w:hAnsi="Georgia" w:cs="Arial"/>
        </w:rPr>
      </w:pPr>
      <w:r w:rsidRPr="00FB171D">
        <w:rPr>
          <w:rFonts w:ascii="Georgia" w:hAnsi="Georgia" w:cs="Arial"/>
        </w:rPr>
        <w:t>Defective oxidative phosphorylation impairs energy supply and enhances vulnerability to stressors.</w:t>
      </w:r>
    </w:p>
    <w:p w14:paraId="0F5D90FF" w14:textId="77777777" w:rsidR="004806EE" w:rsidRPr="00FB171D" w:rsidRDefault="004806EE" w:rsidP="00734CAC">
      <w:pPr>
        <w:pStyle w:val="ListParagraph"/>
        <w:numPr>
          <w:ilvl w:val="0"/>
          <w:numId w:val="15"/>
        </w:numPr>
        <w:rPr>
          <w:rFonts w:ascii="Georgia" w:hAnsi="Georgia" w:cs="Arial"/>
        </w:rPr>
      </w:pPr>
      <w:r w:rsidRPr="00FB171D">
        <w:rPr>
          <w:rFonts w:ascii="Georgia" w:hAnsi="Georgia" w:cs="Arial"/>
        </w:rPr>
        <w:t>Mitochondrial DNA mutations accumulate with age and may contribute to neurodegeneration.</w:t>
      </w:r>
    </w:p>
    <w:p w14:paraId="2CA933E3" w14:textId="77777777" w:rsidR="004806EE" w:rsidRPr="00FB171D" w:rsidRDefault="004806EE" w:rsidP="00331EDC">
      <w:pPr>
        <w:pStyle w:val="Heading4"/>
        <w:rPr>
          <w:rFonts w:ascii="Georgia" w:hAnsi="Georgia" w:cs="Arial"/>
        </w:rPr>
      </w:pPr>
      <w:r w:rsidRPr="00FB171D">
        <w:rPr>
          <w:rFonts w:ascii="Georgia" w:hAnsi="Georgia" w:cs="Arial"/>
        </w:rPr>
        <w:t>5. Impaired Proteostasis</w:t>
      </w:r>
    </w:p>
    <w:p w14:paraId="6C134AE7" w14:textId="77777777" w:rsidR="004806EE" w:rsidRPr="00FB171D" w:rsidRDefault="004806EE" w:rsidP="004806EE">
      <w:pPr>
        <w:rPr>
          <w:rFonts w:ascii="Georgia" w:hAnsi="Georgia" w:cs="Arial"/>
        </w:rPr>
      </w:pPr>
      <w:r w:rsidRPr="00FB171D">
        <w:rPr>
          <w:rFonts w:ascii="Georgia" w:hAnsi="Georgia" w:cs="Arial"/>
        </w:rPr>
        <w:t>The balance of protein synthesis, folding, and degradation is critical for neuronal health.</w:t>
      </w:r>
    </w:p>
    <w:p w14:paraId="79B14F21" w14:textId="77777777" w:rsidR="004806EE" w:rsidRPr="00FB171D" w:rsidRDefault="004806EE" w:rsidP="00734CAC">
      <w:pPr>
        <w:pStyle w:val="ListParagraph"/>
        <w:numPr>
          <w:ilvl w:val="0"/>
          <w:numId w:val="16"/>
        </w:numPr>
        <w:rPr>
          <w:rFonts w:ascii="Georgia" w:hAnsi="Georgia" w:cs="Arial"/>
        </w:rPr>
      </w:pPr>
      <w:r w:rsidRPr="00FB171D">
        <w:rPr>
          <w:rFonts w:ascii="Georgia" w:hAnsi="Georgia" w:cs="Arial"/>
        </w:rPr>
        <w:t>Dysfunction in proteasomes or autophagy-lysosome pathways leads to the accumulation of damaged or misfolded proteins.</w:t>
      </w:r>
    </w:p>
    <w:p w14:paraId="1E0B63F9" w14:textId="77777777" w:rsidR="004806EE" w:rsidRPr="00FB171D" w:rsidRDefault="004806EE" w:rsidP="00331EDC">
      <w:pPr>
        <w:pStyle w:val="Heading4"/>
        <w:rPr>
          <w:rFonts w:ascii="Georgia" w:hAnsi="Georgia" w:cs="Arial"/>
        </w:rPr>
      </w:pPr>
      <w:r w:rsidRPr="00FB171D">
        <w:rPr>
          <w:rFonts w:ascii="Georgia" w:hAnsi="Georgia" w:cs="Arial"/>
        </w:rPr>
        <w:t>6. Inflammation and Immune-Mediated Damage</w:t>
      </w:r>
    </w:p>
    <w:p w14:paraId="06072F8E" w14:textId="77777777" w:rsidR="004806EE" w:rsidRPr="00FB171D" w:rsidRDefault="004806EE" w:rsidP="004806EE">
      <w:pPr>
        <w:rPr>
          <w:rFonts w:ascii="Georgia" w:hAnsi="Georgia" w:cs="Arial"/>
        </w:rPr>
      </w:pPr>
      <w:r w:rsidRPr="00FB171D">
        <w:rPr>
          <w:rFonts w:ascii="Georgia" w:hAnsi="Georgia" w:cs="Arial"/>
        </w:rPr>
        <w:t>Chronic activation of microglia and astrocytes can result in the release of pro-inflammatory cytokines and neurotoxic substances.</w:t>
      </w:r>
    </w:p>
    <w:p w14:paraId="40AD15C1" w14:textId="77777777" w:rsidR="004806EE" w:rsidRPr="00FB171D" w:rsidRDefault="004806EE" w:rsidP="00734CAC">
      <w:pPr>
        <w:pStyle w:val="ListParagraph"/>
        <w:numPr>
          <w:ilvl w:val="0"/>
          <w:numId w:val="17"/>
        </w:numPr>
        <w:rPr>
          <w:rFonts w:ascii="Georgia" w:hAnsi="Georgia" w:cs="Arial"/>
        </w:rPr>
      </w:pPr>
      <w:r w:rsidRPr="00FB171D">
        <w:rPr>
          <w:rFonts w:ascii="Georgia" w:hAnsi="Georgia" w:cs="Arial"/>
        </w:rPr>
        <w:lastRenderedPageBreak/>
        <w:t>Neuroinflammation is now recognized as a major contributor in many neurodegenerative diseases.</w:t>
      </w:r>
    </w:p>
    <w:p w14:paraId="50E20D7D" w14:textId="0155D0AD" w:rsidR="004806EE" w:rsidRPr="00FB171D" w:rsidRDefault="004806EE" w:rsidP="00331EDC">
      <w:pPr>
        <w:pStyle w:val="Heading3"/>
        <w:rPr>
          <w:rFonts w:ascii="Georgia" w:hAnsi="Georgia" w:cs="Arial"/>
        </w:rPr>
      </w:pPr>
      <w:bookmarkStart w:id="11" w:name="_Toc209691045"/>
      <w:r w:rsidRPr="00FB171D">
        <w:rPr>
          <w:rFonts w:ascii="Georgia" w:hAnsi="Georgia" w:cs="Arial"/>
        </w:rPr>
        <w:t>Vascular Causes</w:t>
      </w:r>
      <w:bookmarkEnd w:id="11"/>
    </w:p>
    <w:p w14:paraId="37EF3487" w14:textId="77777777" w:rsidR="004806EE" w:rsidRPr="00FB171D" w:rsidRDefault="004806EE" w:rsidP="004806EE">
      <w:pPr>
        <w:rPr>
          <w:rFonts w:ascii="Georgia" w:hAnsi="Georgia" w:cs="Arial"/>
        </w:rPr>
      </w:pPr>
      <w:r w:rsidRPr="00FB171D">
        <w:rPr>
          <w:rFonts w:ascii="Georgia" w:hAnsi="Georgia" w:cs="Arial"/>
        </w:rPr>
        <w:t>The brain is critically dependent on a continuous supply of oxygen and nutrients delivered via the vascular system. Disruption to this supply causes ischemic injury and neuronal death.</w:t>
      </w:r>
    </w:p>
    <w:p w14:paraId="42F9B427" w14:textId="77777777" w:rsidR="004806EE" w:rsidRPr="00FB171D" w:rsidRDefault="004806EE" w:rsidP="00331EDC">
      <w:pPr>
        <w:pStyle w:val="Heading4"/>
        <w:rPr>
          <w:rFonts w:ascii="Georgia" w:hAnsi="Georgia" w:cs="Arial"/>
        </w:rPr>
      </w:pPr>
      <w:r w:rsidRPr="00FB171D">
        <w:rPr>
          <w:rFonts w:ascii="Georgia" w:hAnsi="Georgia" w:cs="Arial"/>
        </w:rPr>
        <w:t>1. Stroke (Cerebrovascular Accident)</w:t>
      </w:r>
    </w:p>
    <w:p w14:paraId="2361CB51" w14:textId="77777777" w:rsidR="004806EE" w:rsidRPr="00FB171D" w:rsidRDefault="004806EE" w:rsidP="004806EE">
      <w:pPr>
        <w:rPr>
          <w:rFonts w:ascii="Georgia" w:hAnsi="Georgia" w:cs="Arial"/>
        </w:rPr>
      </w:pPr>
      <w:r w:rsidRPr="00FB171D">
        <w:rPr>
          <w:rFonts w:ascii="Georgia" w:hAnsi="Georgia" w:cs="Arial"/>
        </w:rPr>
        <w:t>Stroke is a leading cause of neuronal loss.</w:t>
      </w:r>
    </w:p>
    <w:p w14:paraId="5FA751B9" w14:textId="77777777" w:rsidR="004806EE" w:rsidRPr="00FB171D" w:rsidRDefault="004806EE" w:rsidP="00734CAC">
      <w:pPr>
        <w:pStyle w:val="ListParagraph"/>
        <w:numPr>
          <w:ilvl w:val="0"/>
          <w:numId w:val="18"/>
        </w:numPr>
        <w:rPr>
          <w:rFonts w:ascii="Georgia" w:hAnsi="Georgia" w:cs="Arial"/>
        </w:rPr>
      </w:pPr>
      <w:r w:rsidRPr="00FB171D">
        <w:rPr>
          <w:rFonts w:ascii="Georgia" w:hAnsi="Georgia" w:cs="Arial"/>
        </w:rPr>
        <w:t>Ischemic stroke (majority): Occurs when a blood vessel is blocked (by a clot or atherosclerosis), depriving brain tissue of oxygen, resulting in rapid cell death.</w:t>
      </w:r>
    </w:p>
    <w:p w14:paraId="46D62D75" w14:textId="77777777" w:rsidR="004806EE" w:rsidRPr="00FB171D" w:rsidRDefault="004806EE" w:rsidP="00734CAC">
      <w:pPr>
        <w:pStyle w:val="ListParagraph"/>
        <w:numPr>
          <w:ilvl w:val="0"/>
          <w:numId w:val="18"/>
        </w:numPr>
        <w:rPr>
          <w:rFonts w:ascii="Georgia" w:hAnsi="Georgia" w:cs="Arial"/>
        </w:rPr>
      </w:pPr>
      <w:r w:rsidRPr="00FB171D">
        <w:rPr>
          <w:rFonts w:ascii="Georgia" w:hAnsi="Georgia" w:cs="Arial"/>
        </w:rPr>
        <w:t>Hemorrhagic stroke: Rupture of a vessel leads to bleeding into or around the brain, causing both physical disruption and ischemic injury.</w:t>
      </w:r>
    </w:p>
    <w:p w14:paraId="0A94EDD9" w14:textId="77777777" w:rsidR="004806EE" w:rsidRPr="00FB171D" w:rsidRDefault="004806EE" w:rsidP="00331EDC">
      <w:pPr>
        <w:pStyle w:val="Heading4"/>
        <w:rPr>
          <w:rFonts w:ascii="Georgia" w:hAnsi="Georgia" w:cs="Arial"/>
        </w:rPr>
      </w:pPr>
      <w:r w:rsidRPr="00FB171D">
        <w:rPr>
          <w:rFonts w:ascii="Georgia" w:hAnsi="Georgia" w:cs="Arial"/>
        </w:rPr>
        <w:t>2. Chronic Cerebrovascular Insufficiency</w:t>
      </w:r>
    </w:p>
    <w:p w14:paraId="3D529401" w14:textId="77777777" w:rsidR="004806EE" w:rsidRPr="00FB171D" w:rsidRDefault="004806EE" w:rsidP="00734CAC">
      <w:pPr>
        <w:pStyle w:val="ListParagraph"/>
        <w:numPr>
          <w:ilvl w:val="0"/>
          <w:numId w:val="19"/>
        </w:numPr>
        <w:rPr>
          <w:rFonts w:ascii="Georgia" w:hAnsi="Georgia" w:cs="Arial"/>
        </w:rPr>
      </w:pPr>
      <w:r w:rsidRPr="00FB171D">
        <w:rPr>
          <w:rFonts w:ascii="Georgia" w:hAnsi="Georgia" w:cs="Arial"/>
        </w:rPr>
        <w:t>Vascular dementia can result from repeated minor strokes (multi-infarct dementia) or chronic small vessel disease, leading to patchy neuronal loss and cognitive decline.</w:t>
      </w:r>
    </w:p>
    <w:p w14:paraId="1A3FD191" w14:textId="77777777" w:rsidR="004806EE" w:rsidRPr="00FB171D" w:rsidRDefault="004806EE" w:rsidP="00331EDC">
      <w:pPr>
        <w:pStyle w:val="Heading4"/>
        <w:rPr>
          <w:rFonts w:ascii="Georgia" w:hAnsi="Georgia" w:cs="Arial"/>
        </w:rPr>
      </w:pPr>
      <w:r w:rsidRPr="00FB171D">
        <w:rPr>
          <w:rFonts w:ascii="Georgia" w:hAnsi="Georgia" w:cs="Arial"/>
        </w:rPr>
        <w:t>3. Hypoxic-Ischemic Encephalopathy</w:t>
      </w:r>
    </w:p>
    <w:p w14:paraId="1ABAAE39" w14:textId="77777777" w:rsidR="004806EE" w:rsidRPr="00FB171D" w:rsidRDefault="004806EE" w:rsidP="00734CAC">
      <w:pPr>
        <w:pStyle w:val="ListParagraph"/>
        <w:numPr>
          <w:ilvl w:val="0"/>
          <w:numId w:val="20"/>
        </w:numPr>
        <w:rPr>
          <w:rFonts w:ascii="Georgia" w:hAnsi="Georgia" w:cs="Arial"/>
        </w:rPr>
      </w:pPr>
      <w:r w:rsidRPr="00FB171D">
        <w:rPr>
          <w:rFonts w:ascii="Georgia" w:hAnsi="Georgia" w:cs="Arial"/>
        </w:rPr>
        <w:t>Global oxygen deprivation (e.g., cardiac arrest, respiratory failure) leads to widespread neuronal death, especially in vulnerable regions such as the hippocampus and cortex.</w:t>
      </w:r>
    </w:p>
    <w:p w14:paraId="4FA6907B" w14:textId="6D63F259" w:rsidR="004806EE" w:rsidRPr="00FB171D" w:rsidRDefault="004806EE" w:rsidP="00331EDC">
      <w:pPr>
        <w:pStyle w:val="Heading3"/>
        <w:rPr>
          <w:rFonts w:ascii="Georgia" w:hAnsi="Georgia" w:cs="Arial"/>
        </w:rPr>
      </w:pPr>
      <w:bookmarkStart w:id="12" w:name="_Toc209691046"/>
      <w:r w:rsidRPr="00FB171D">
        <w:rPr>
          <w:rFonts w:ascii="Georgia" w:hAnsi="Georgia" w:cs="Arial"/>
        </w:rPr>
        <w:t>Traumatic Causes</w:t>
      </w:r>
      <w:bookmarkEnd w:id="12"/>
    </w:p>
    <w:p w14:paraId="7CA3C7CB" w14:textId="77777777" w:rsidR="004806EE" w:rsidRPr="00FB171D" w:rsidRDefault="004806EE" w:rsidP="004806EE">
      <w:pPr>
        <w:rPr>
          <w:rFonts w:ascii="Georgia" w:hAnsi="Georgia" w:cs="Arial"/>
        </w:rPr>
      </w:pPr>
      <w:r w:rsidRPr="00FB171D">
        <w:rPr>
          <w:rFonts w:ascii="Georgia" w:hAnsi="Georgia" w:cs="Arial"/>
        </w:rPr>
        <w:t>Physical injury to the brain can cause immediate and delayed neuronal death.</w:t>
      </w:r>
    </w:p>
    <w:p w14:paraId="30B66D8C" w14:textId="77777777" w:rsidR="004806EE" w:rsidRPr="00FB171D" w:rsidRDefault="004806EE" w:rsidP="00331EDC">
      <w:pPr>
        <w:pStyle w:val="Heading4"/>
        <w:rPr>
          <w:rFonts w:ascii="Georgia" w:hAnsi="Georgia" w:cs="Arial"/>
        </w:rPr>
      </w:pPr>
      <w:r w:rsidRPr="00FB171D">
        <w:rPr>
          <w:rFonts w:ascii="Georgia" w:hAnsi="Georgia" w:cs="Arial"/>
        </w:rPr>
        <w:t>1. Traumatic Brain Injury (TBI)</w:t>
      </w:r>
    </w:p>
    <w:p w14:paraId="3A538FD5" w14:textId="77777777" w:rsidR="004806EE" w:rsidRPr="00FB171D" w:rsidRDefault="004806EE" w:rsidP="00734CAC">
      <w:pPr>
        <w:pStyle w:val="ListParagraph"/>
        <w:numPr>
          <w:ilvl w:val="0"/>
          <w:numId w:val="21"/>
        </w:numPr>
        <w:rPr>
          <w:rFonts w:ascii="Georgia" w:hAnsi="Georgia" w:cs="Arial"/>
        </w:rPr>
      </w:pPr>
      <w:r w:rsidRPr="00FB171D">
        <w:rPr>
          <w:rFonts w:ascii="Georgia" w:hAnsi="Georgia" w:cs="Arial"/>
        </w:rPr>
        <w:t>Primary injury: Occurs at the moment of trauma (e.g., from falls, blows, or accidents) and results in mechanical disruption of neurons.</w:t>
      </w:r>
    </w:p>
    <w:p w14:paraId="73E8EC8B" w14:textId="77777777" w:rsidR="004806EE" w:rsidRPr="00FB171D" w:rsidRDefault="004806EE" w:rsidP="00734CAC">
      <w:pPr>
        <w:pStyle w:val="ListParagraph"/>
        <w:numPr>
          <w:ilvl w:val="0"/>
          <w:numId w:val="21"/>
        </w:numPr>
        <w:rPr>
          <w:rFonts w:ascii="Georgia" w:hAnsi="Georgia" w:cs="Arial"/>
        </w:rPr>
      </w:pPr>
      <w:r w:rsidRPr="00FB171D">
        <w:rPr>
          <w:rFonts w:ascii="Georgia" w:hAnsi="Georgia" w:cs="Arial"/>
        </w:rPr>
        <w:t>Secondary injury: Physiological processes initiated by the trauma (such as inflammation, swelling, excitotoxicity, and ischemia) cause further neuronal loss over hours to days.</w:t>
      </w:r>
    </w:p>
    <w:p w14:paraId="499220CD" w14:textId="77777777" w:rsidR="004806EE" w:rsidRPr="00FB171D" w:rsidRDefault="004806EE" w:rsidP="00331EDC">
      <w:pPr>
        <w:pStyle w:val="Heading4"/>
        <w:rPr>
          <w:rFonts w:ascii="Georgia" w:hAnsi="Georgia" w:cs="Arial"/>
        </w:rPr>
      </w:pPr>
      <w:r w:rsidRPr="00FB171D">
        <w:rPr>
          <w:rFonts w:ascii="Georgia" w:hAnsi="Georgia" w:cs="Arial"/>
        </w:rPr>
        <w:t>2. Concussion and Repetitive Mild TBI</w:t>
      </w:r>
    </w:p>
    <w:p w14:paraId="06A6D732" w14:textId="77777777" w:rsidR="004806EE" w:rsidRPr="00FB171D" w:rsidRDefault="004806EE" w:rsidP="00734CAC">
      <w:pPr>
        <w:pStyle w:val="ListParagraph"/>
        <w:numPr>
          <w:ilvl w:val="0"/>
          <w:numId w:val="22"/>
        </w:numPr>
        <w:rPr>
          <w:rFonts w:ascii="Georgia" w:hAnsi="Georgia" w:cs="Arial"/>
        </w:rPr>
      </w:pPr>
      <w:r w:rsidRPr="00FB171D">
        <w:rPr>
          <w:rFonts w:ascii="Georgia" w:hAnsi="Georgia" w:cs="Arial"/>
        </w:rPr>
        <w:t>Even without overt structural damage, repetitive mild injuries can result in chronic traumatic encephalopathy—a brain disorder marked by widespread neuronal loss, tau aggregation, and neuropsychiatric symptoms.</w:t>
      </w:r>
    </w:p>
    <w:p w14:paraId="48BEF21F" w14:textId="77777777" w:rsidR="004806EE" w:rsidRPr="00FB171D" w:rsidRDefault="004806EE" w:rsidP="00331EDC">
      <w:pPr>
        <w:pStyle w:val="Heading4"/>
        <w:rPr>
          <w:rFonts w:ascii="Georgia" w:hAnsi="Georgia" w:cs="Arial"/>
        </w:rPr>
      </w:pPr>
      <w:r w:rsidRPr="00FB171D">
        <w:rPr>
          <w:rFonts w:ascii="Georgia" w:hAnsi="Georgia" w:cs="Arial"/>
        </w:rPr>
        <w:t>3. Penetrating Injuries</w:t>
      </w:r>
    </w:p>
    <w:p w14:paraId="4D7CB965" w14:textId="77777777" w:rsidR="004806EE" w:rsidRPr="00FB171D" w:rsidRDefault="004806EE" w:rsidP="00734CAC">
      <w:pPr>
        <w:pStyle w:val="ListParagraph"/>
        <w:numPr>
          <w:ilvl w:val="0"/>
          <w:numId w:val="23"/>
        </w:numPr>
        <w:rPr>
          <w:rFonts w:ascii="Georgia" w:hAnsi="Georgia" w:cs="Arial"/>
        </w:rPr>
      </w:pPr>
      <w:r w:rsidRPr="00FB171D">
        <w:rPr>
          <w:rFonts w:ascii="Georgia" w:hAnsi="Georgia" w:cs="Arial"/>
        </w:rPr>
        <w:t>Gunshot wounds, stab wounds, or shrapnel can directly destroy neurons along the path of injury.</w:t>
      </w:r>
    </w:p>
    <w:p w14:paraId="481BEDB0" w14:textId="27452771" w:rsidR="004806EE" w:rsidRPr="00FB171D" w:rsidRDefault="004806EE" w:rsidP="00331EDC">
      <w:pPr>
        <w:pStyle w:val="Heading3"/>
        <w:rPr>
          <w:rFonts w:ascii="Georgia" w:hAnsi="Georgia" w:cs="Arial"/>
        </w:rPr>
      </w:pPr>
      <w:bookmarkStart w:id="13" w:name="_Toc209691047"/>
      <w:r w:rsidRPr="00FB171D">
        <w:rPr>
          <w:rFonts w:ascii="Georgia" w:hAnsi="Georgia" w:cs="Arial"/>
        </w:rPr>
        <w:t>Genetic and Heritable Causes</w:t>
      </w:r>
      <w:bookmarkEnd w:id="13"/>
    </w:p>
    <w:p w14:paraId="26FDB1EF" w14:textId="77777777" w:rsidR="004806EE" w:rsidRPr="00FB171D" w:rsidRDefault="004806EE" w:rsidP="004806EE">
      <w:pPr>
        <w:rPr>
          <w:rFonts w:ascii="Georgia" w:hAnsi="Georgia" w:cs="Arial"/>
        </w:rPr>
      </w:pPr>
      <w:r w:rsidRPr="00FB171D">
        <w:rPr>
          <w:rFonts w:ascii="Georgia" w:hAnsi="Georgia" w:cs="Arial"/>
        </w:rPr>
        <w:t>Certain inherited mutations predispose individuals to neurodegenerative disorders and neuronal loss.</w:t>
      </w:r>
    </w:p>
    <w:p w14:paraId="14CFEEC4" w14:textId="77777777" w:rsidR="004806EE" w:rsidRPr="00FB171D" w:rsidRDefault="004806EE" w:rsidP="00331EDC">
      <w:pPr>
        <w:pStyle w:val="Heading4"/>
        <w:rPr>
          <w:rFonts w:ascii="Georgia" w:hAnsi="Georgia" w:cs="Arial"/>
        </w:rPr>
      </w:pPr>
      <w:r w:rsidRPr="00FB171D">
        <w:rPr>
          <w:rFonts w:ascii="Georgia" w:hAnsi="Georgia" w:cs="Arial"/>
        </w:rPr>
        <w:t>1. Monogenic Neurodegenerative Diseases</w:t>
      </w:r>
    </w:p>
    <w:p w14:paraId="7D00AE5B" w14:textId="77777777" w:rsidR="004806EE" w:rsidRPr="00FB171D" w:rsidRDefault="004806EE" w:rsidP="00734CAC">
      <w:pPr>
        <w:pStyle w:val="ListParagraph"/>
        <w:numPr>
          <w:ilvl w:val="0"/>
          <w:numId w:val="24"/>
        </w:numPr>
        <w:rPr>
          <w:rFonts w:ascii="Georgia" w:hAnsi="Georgia" w:cs="Arial"/>
        </w:rPr>
      </w:pPr>
      <w:r w:rsidRPr="00FB171D">
        <w:rPr>
          <w:rFonts w:ascii="Georgia" w:hAnsi="Georgia" w:cs="Arial"/>
        </w:rPr>
        <w:t>Huntington’s Disease: Caused by a trinucleotide repeat expansion in the HTT gene, leading to toxic huntingtin protein and neuronal death.</w:t>
      </w:r>
    </w:p>
    <w:p w14:paraId="26620A5B" w14:textId="77777777" w:rsidR="004806EE" w:rsidRPr="00FB171D" w:rsidRDefault="004806EE" w:rsidP="00734CAC">
      <w:pPr>
        <w:pStyle w:val="ListParagraph"/>
        <w:numPr>
          <w:ilvl w:val="0"/>
          <w:numId w:val="24"/>
        </w:numPr>
        <w:rPr>
          <w:rFonts w:ascii="Georgia" w:hAnsi="Georgia" w:cs="Arial"/>
        </w:rPr>
      </w:pPr>
      <w:r w:rsidRPr="00FB171D">
        <w:rPr>
          <w:rFonts w:ascii="Georgia" w:hAnsi="Georgia" w:cs="Arial"/>
        </w:rPr>
        <w:lastRenderedPageBreak/>
        <w:t>Familial forms of Alzheimer’s Disease: Mutations in genes such as APP, PSEN1, and PSEN2 accelerate amyloid pathology and neuron loss.</w:t>
      </w:r>
    </w:p>
    <w:p w14:paraId="6E5C1112" w14:textId="77777777" w:rsidR="004806EE" w:rsidRPr="00FB171D" w:rsidRDefault="004806EE" w:rsidP="00734CAC">
      <w:pPr>
        <w:pStyle w:val="ListParagraph"/>
        <w:numPr>
          <w:ilvl w:val="0"/>
          <w:numId w:val="24"/>
        </w:numPr>
        <w:rPr>
          <w:rFonts w:ascii="Georgia" w:hAnsi="Georgia" w:cs="Arial"/>
        </w:rPr>
      </w:pPr>
      <w:r w:rsidRPr="00FB171D">
        <w:rPr>
          <w:rFonts w:ascii="Georgia" w:hAnsi="Georgia" w:cs="Arial"/>
        </w:rPr>
        <w:t>Familial Parkinson’s Disease: Mutations in LRRK2, PARK2, PINK1, and SNCA genes can lead to early-onset neuronal degeneration, particularly in dopaminergic pathways.</w:t>
      </w:r>
    </w:p>
    <w:p w14:paraId="31DF44BE" w14:textId="77777777" w:rsidR="004806EE" w:rsidRPr="00FB171D" w:rsidRDefault="004806EE" w:rsidP="00734CAC">
      <w:pPr>
        <w:pStyle w:val="ListParagraph"/>
        <w:numPr>
          <w:ilvl w:val="0"/>
          <w:numId w:val="24"/>
        </w:numPr>
        <w:rPr>
          <w:rFonts w:ascii="Georgia" w:hAnsi="Georgia" w:cs="Arial"/>
        </w:rPr>
      </w:pPr>
      <w:r w:rsidRPr="00FB171D">
        <w:rPr>
          <w:rFonts w:ascii="Georgia" w:hAnsi="Georgia" w:cs="Arial"/>
        </w:rPr>
        <w:t>Inherited metabolic disorders: Conditions such as Tay-Sachs, Niemann-Pick, and Gaucher disease result in toxic substrate accumulation and widespread neuronal death.</w:t>
      </w:r>
    </w:p>
    <w:p w14:paraId="7CBD6C8D" w14:textId="77777777" w:rsidR="004806EE" w:rsidRPr="00FB171D" w:rsidRDefault="004806EE" w:rsidP="00331EDC">
      <w:pPr>
        <w:pStyle w:val="Heading4"/>
        <w:rPr>
          <w:rFonts w:ascii="Georgia" w:hAnsi="Georgia" w:cs="Arial"/>
        </w:rPr>
      </w:pPr>
      <w:r w:rsidRPr="00FB171D">
        <w:rPr>
          <w:rFonts w:ascii="Georgia" w:hAnsi="Georgia" w:cs="Arial"/>
        </w:rPr>
        <w:t>2. Polygenic and Risk Gene Effects</w:t>
      </w:r>
    </w:p>
    <w:p w14:paraId="13173547" w14:textId="77777777" w:rsidR="004806EE" w:rsidRPr="00FB171D" w:rsidRDefault="004806EE" w:rsidP="00734CAC">
      <w:pPr>
        <w:pStyle w:val="ListParagraph"/>
        <w:numPr>
          <w:ilvl w:val="0"/>
          <w:numId w:val="25"/>
        </w:numPr>
        <w:rPr>
          <w:rFonts w:ascii="Georgia" w:hAnsi="Georgia" w:cs="Arial"/>
        </w:rPr>
      </w:pPr>
      <w:r w:rsidRPr="00FB171D">
        <w:rPr>
          <w:rFonts w:ascii="Georgia" w:hAnsi="Georgia" w:cs="Arial"/>
        </w:rPr>
        <w:t>APOE ε4 allele: This variant of the apolipoprotein E gene increases risk for late-onset Alzheimer’s disease and is associated with greater amyloid deposition and neurodegeneration.</w:t>
      </w:r>
    </w:p>
    <w:p w14:paraId="008DD89C" w14:textId="61DD071B" w:rsidR="004806EE" w:rsidRPr="00FB171D" w:rsidRDefault="004806EE" w:rsidP="00331EDC">
      <w:pPr>
        <w:pStyle w:val="Heading3"/>
        <w:rPr>
          <w:rFonts w:ascii="Georgia" w:hAnsi="Georgia" w:cs="Arial"/>
        </w:rPr>
      </w:pPr>
      <w:bookmarkStart w:id="14" w:name="_Toc209691048"/>
      <w:r w:rsidRPr="00FB171D">
        <w:rPr>
          <w:rFonts w:ascii="Georgia" w:hAnsi="Georgia" w:cs="Arial"/>
        </w:rPr>
        <w:t>Environmental and Lifestyle Factors</w:t>
      </w:r>
      <w:bookmarkEnd w:id="14"/>
    </w:p>
    <w:p w14:paraId="48808592" w14:textId="77777777" w:rsidR="004806EE" w:rsidRPr="00FB171D" w:rsidRDefault="004806EE" w:rsidP="004806EE">
      <w:pPr>
        <w:rPr>
          <w:rFonts w:ascii="Georgia" w:hAnsi="Georgia" w:cs="Arial"/>
        </w:rPr>
      </w:pPr>
      <w:r w:rsidRPr="00FB171D">
        <w:rPr>
          <w:rFonts w:ascii="Georgia" w:hAnsi="Georgia" w:cs="Arial"/>
        </w:rPr>
        <w:t>Environmental toxins and certain lifestyle factors can accelerate neuronal loss through a variety of mechanisms.</w:t>
      </w:r>
    </w:p>
    <w:p w14:paraId="57B3D181" w14:textId="77777777" w:rsidR="004806EE" w:rsidRPr="00FB171D" w:rsidRDefault="004806EE" w:rsidP="00331EDC">
      <w:pPr>
        <w:pStyle w:val="Heading4"/>
        <w:rPr>
          <w:rFonts w:ascii="Georgia" w:hAnsi="Georgia" w:cs="Arial"/>
        </w:rPr>
      </w:pPr>
      <w:r w:rsidRPr="00FB171D">
        <w:rPr>
          <w:rFonts w:ascii="Georgia" w:hAnsi="Georgia" w:cs="Arial"/>
        </w:rPr>
        <w:t>1. Toxins and Heavy Metals</w:t>
      </w:r>
    </w:p>
    <w:p w14:paraId="5C437D0F" w14:textId="77777777" w:rsidR="004806EE" w:rsidRPr="00FB171D" w:rsidRDefault="004806EE" w:rsidP="00734CAC">
      <w:pPr>
        <w:pStyle w:val="ListParagraph"/>
        <w:numPr>
          <w:ilvl w:val="0"/>
          <w:numId w:val="26"/>
        </w:numPr>
        <w:rPr>
          <w:rFonts w:ascii="Georgia" w:hAnsi="Georgia" w:cs="Arial"/>
        </w:rPr>
      </w:pPr>
      <w:r w:rsidRPr="00FB171D">
        <w:rPr>
          <w:rFonts w:ascii="Georgia" w:hAnsi="Georgia" w:cs="Arial"/>
        </w:rPr>
        <w:t>Lead, mercury, and other heavy metals can cause direct neuronal toxicity, particularly with chronic exposure.</w:t>
      </w:r>
    </w:p>
    <w:p w14:paraId="5C040522" w14:textId="77777777" w:rsidR="004806EE" w:rsidRPr="00FB171D" w:rsidRDefault="004806EE" w:rsidP="00734CAC">
      <w:pPr>
        <w:pStyle w:val="ListParagraph"/>
        <w:numPr>
          <w:ilvl w:val="0"/>
          <w:numId w:val="26"/>
        </w:numPr>
        <w:rPr>
          <w:rFonts w:ascii="Georgia" w:hAnsi="Georgia" w:cs="Arial"/>
        </w:rPr>
      </w:pPr>
      <w:r w:rsidRPr="00FB171D">
        <w:rPr>
          <w:rFonts w:ascii="Georgia" w:hAnsi="Georgia" w:cs="Arial"/>
        </w:rPr>
        <w:t>Industrial chemicals and pesticides (e.g., organophosphates, polychlorinated biphenyls) are implicated in increased risk of neuronal death and diseases like Parkinson’s.</w:t>
      </w:r>
    </w:p>
    <w:p w14:paraId="42238203" w14:textId="77777777" w:rsidR="004806EE" w:rsidRPr="00FB171D" w:rsidRDefault="004806EE" w:rsidP="00331EDC">
      <w:pPr>
        <w:pStyle w:val="Heading4"/>
        <w:rPr>
          <w:rFonts w:ascii="Georgia" w:hAnsi="Georgia" w:cs="Arial"/>
        </w:rPr>
      </w:pPr>
      <w:r w:rsidRPr="00FB171D">
        <w:rPr>
          <w:rFonts w:ascii="Georgia" w:hAnsi="Georgia" w:cs="Arial"/>
        </w:rPr>
        <w:t>2. Substance Abuse</w:t>
      </w:r>
    </w:p>
    <w:p w14:paraId="0C76B768" w14:textId="77777777" w:rsidR="004806EE" w:rsidRPr="00FB171D" w:rsidRDefault="004806EE" w:rsidP="00734CAC">
      <w:pPr>
        <w:pStyle w:val="ListParagraph"/>
        <w:numPr>
          <w:ilvl w:val="0"/>
          <w:numId w:val="27"/>
        </w:numPr>
        <w:rPr>
          <w:rFonts w:ascii="Georgia" w:hAnsi="Georgia" w:cs="Arial"/>
        </w:rPr>
      </w:pPr>
      <w:r w:rsidRPr="00FB171D">
        <w:rPr>
          <w:rFonts w:ascii="Georgia" w:hAnsi="Georgia" w:cs="Arial"/>
        </w:rPr>
        <w:t>Chronic alcohol use, especially in the setting of nutritional deficiency (e.g., thiamine in Wernicke-Korsakoff syndrome), leads to selective neuronal death in certain brain regions.</w:t>
      </w:r>
    </w:p>
    <w:p w14:paraId="292E90E5" w14:textId="77777777" w:rsidR="004806EE" w:rsidRPr="00FB171D" w:rsidRDefault="004806EE" w:rsidP="00734CAC">
      <w:pPr>
        <w:pStyle w:val="ListParagraph"/>
        <w:numPr>
          <w:ilvl w:val="0"/>
          <w:numId w:val="27"/>
        </w:numPr>
        <w:rPr>
          <w:rFonts w:ascii="Georgia" w:hAnsi="Georgia" w:cs="Arial"/>
        </w:rPr>
      </w:pPr>
      <w:r w:rsidRPr="00FB171D">
        <w:rPr>
          <w:rFonts w:ascii="Georgia" w:hAnsi="Georgia" w:cs="Arial"/>
        </w:rPr>
        <w:t>Illicit drugs (e.g., methamphetamine, cocaine) can cause direct neurotoxicity and promote neurodegeneration.</w:t>
      </w:r>
    </w:p>
    <w:p w14:paraId="5E4189EB" w14:textId="77777777" w:rsidR="004806EE" w:rsidRPr="00FB171D" w:rsidRDefault="004806EE" w:rsidP="00331EDC">
      <w:pPr>
        <w:pStyle w:val="Heading4"/>
        <w:rPr>
          <w:rFonts w:ascii="Georgia" w:hAnsi="Georgia" w:cs="Arial"/>
        </w:rPr>
      </w:pPr>
      <w:r w:rsidRPr="00FB171D">
        <w:rPr>
          <w:rFonts w:ascii="Georgia" w:hAnsi="Georgia" w:cs="Arial"/>
        </w:rPr>
        <w:t>3. Nutritional Deficiencies</w:t>
      </w:r>
    </w:p>
    <w:p w14:paraId="456C4DD4" w14:textId="77777777" w:rsidR="004806EE" w:rsidRPr="00FB171D" w:rsidRDefault="004806EE" w:rsidP="00734CAC">
      <w:pPr>
        <w:pStyle w:val="ListParagraph"/>
        <w:numPr>
          <w:ilvl w:val="0"/>
          <w:numId w:val="28"/>
        </w:numPr>
        <w:rPr>
          <w:rFonts w:ascii="Georgia" w:hAnsi="Georgia" w:cs="Arial"/>
        </w:rPr>
      </w:pPr>
      <w:r w:rsidRPr="00FB171D">
        <w:rPr>
          <w:rFonts w:ascii="Georgia" w:hAnsi="Georgia" w:cs="Arial"/>
        </w:rPr>
        <w:t>Insufficient vitamins (thiamine, B12, folate) are essential for neuronal function and their deficiency can result in syndromes marked by neuronal loss (e.g., Wernicke’s encephalopathy, subacute combined degeneration).</w:t>
      </w:r>
    </w:p>
    <w:p w14:paraId="7550827B" w14:textId="77777777" w:rsidR="004806EE" w:rsidRPr="00FB171D" w:rsidRDefault="004806EE" w:rsidP="00331EDC">
      <w:pPr>
        <w:pStyle w:val="Heading4"/>
        <w:rPr>
          <w:rFonts w:ascii="Georgia" w:hAnsi="Georgia" w:cs="Arial"/>
        </w:rPr>
      </w:pPr>
      <w:r w:rsidRPr="00FB171D">
        <w:rPr>
          <w:rFonts w:ascii="Georgia" w:hAnsi="Georgia" w:cs="Arial"/>
        </w:rPr>
        <w:t>4. Infections</w:t>
      </w:r>
    </w:p>
    <w:p w14:paraId="04C68BB8" w14:textId="77777777" w:rsidR="004806EE" w:rsidRPr="00FB171D" w:rsidRDefault="004806EE" w:rsidP="00734CAC">
      <w:pPr>
        <w:pStyle w:val="ListParagraph"/>
        <w:numPr>
          <w:ilvl w:val="0"/>
          <w:numId w:val="29"/>
        </w:numPr>
        <w:rPr>
          <w:rFonts w:ascii="Georgia" w:hAnsi="Georgia" w:cs="Arial"/>
        </w:rPr>
      </w:pPr>
      <w:r w:rsidRPr="00FB171D">
        <w:rPr>
          <w:rFonts w:ascii="Georgia" w:hAnsi="Georgia" w:cs="Arial"/>
        </w:rPr>
        <w:t>Viral (e.g., HIV, HSV, JC virus), bacterial (e.g., syphilis, Lyme), or prion infections can cause encephalitis or spongiform changes leading to rapid or chronic neuronal death.</w:t>
      </w:r>
    </w:p>
    <w:p w14:paraId="0C6DA67C" w14:textId="0FB96594" w:rsidR="004806EE" w:rsidRPr="00FB171D" w:rsidRDefault="004806EE" w:rsidP="00331EDC">
      <w:pPr>
        <w:pStyle w:val="Heading3"/>
        <w:rPr>
          <w:rFonts w:ascii="Georgia" w:hAnsi="Georgia" w:cs="Arial"/>
        </w:rPr>
      </w:pPr>
      <w:bookmarkStart w:id="15" w:name="_Toc209691049"/>
      <w:r w:rsidRPr="00FB171D">
        <w:rPr>
          <w:rFonts w:ascii="Georgia" w:hAnsi="Georgia" w:cs="Arial"/>
        </w:rPr>
        <w:t>Cell Death Pathways: Apoptosis, Necrosis, and Beyond</w:t>
      </w:r>
      <w:bookmarkEnd w:id="15"/>
    </w:p>
    <w:p w14:paraId="4371F547" w14:textId="77777777" w:rsidR="004806EE" w:rsidRPr="00FB171D" w:rsidRDefault="004806EE" w:rsidP="004806EE">
      <w:pPr>
        <w:rPr>
          <w:rFonts w:ascii="Georgia" w:hAnsi="Georgia" w:cs="Arial"/>
        </w:rPr>
      </w:pPr>
      <w:r w:rsidRPr="00FB171D">
        <w:rPr>
          <w:rFonts w:ascii="Georgia" w:hAnsi="Georgia" w:cs="Arial"/>
        </w:rPr>
        <w:t>Neuronal cell death can occur via several mechanisms:</w:t>
      </w:r>
    </w:p>
    <w:p w14:paraId="4CE115FB" w14:textId="77777777" w:rsidR="004806EE" w:rsidRPr="00FB171D" w:rsidRDefault="004806EE" w:rsidP="00734CAC">
      <w:pPr>
        <w:pStyle w:val="ListParagraph"/>
        <w:numPr>
          <w:ilvl w:val="0"/>
          <w:numId w:val="30"/>
        </w:numPr>
        <w:rPr>
          <w:rFonts w:ascii="Georgia" w:hAnsi="Georgia" w:cs="Arial"/>
        </w:rPr>
      </w:pPr>
      <w:r w:rsidRPr="00FB171D">
        <w:rPr>
          <w:rFonts w:ascii="Georgia" w:hAnsi="Georgia" w:cs="Arial"/>
        </w:rPr>
        <w:t>Apoptosis (programmed cell death): Triggered by internal or external signals, leading to orderly cell dismantling; implicated in development and some degenerative diseases.</w:t>
      </w:r>
    </w:p>
    <w:p w14:paraId="6B88318E" w14:textId="77777777" w:rsidR="004806EE" w:rsidRPr="00FB171D" w:rsidRDefault="004806EE" w:rsidP="00734CAC">
      <w:pPr>
        <w:pStyle w:val="ListParagraph"/>
        <w:numPr>
          <w:ilvl w:val="0"/>
          <w:numId w:val="30"/>
        </w:numPr>
        <w:rPr>
          <w:rFonts w:ascii="Georgia" w:hAnsi="Georgia" w:cs="Arial"/>
        </w:rPr>
      </w:pPr>
      <w:r w:rsidRPr="00FB171D">
        <w:rPr>
          <w:rFonts w:ascii="Georgia" w:hAnsi="Georgia" w:cs="Arial"/>
        </w:rPr>
        <w:t>Necrosis: Uncontrolled cell death due to acute injury (e.g., trauma, ischemia), resulting in inflammation and tissue disruption.</w:t>
      </w:r>
    </w:p>
    <w:p w14:paraId="171DA167" w14:textId="77777777" w:rsidR="004806EE" w:rsidRPr="00FB171D" w:rsidRDefault="004806EE" w:rsidP="00734CAC">
      <w:pPr>
        <w:pStyle w:val="ListParagraph"/>
        <w:numPr>
          <w:ilvl w:val="0"/>
          <w:numId w:val="30"/>
        </w:numPr>
        <w:rPr>
          <w:rFonts w:ascii="Georgia" w:hAnsi="Georgia" w:cs="Arial"/>
        </w:rPr>
      </w:pPr>
      <w:r w:rsidRPr="00FB171D">
        <w:rPr>
          <w:rFonts w:ascii="Georgia" w:hAnsi="Georgia" w:cs="Arial"/>
        </w:rPr>
        <w:t>Autophagy: A process of cellular self-digestion that may be protective or contribute to cell death depending on context.</w:t>
      </w:r>
    </w:p>
    <w:p w14:paraId="774199F6" w14:textId="0DCE53F7" w:rsidR="004806EE" w:rsidRPr="00FB171D" w:rsidRDefault="004806EE" w:rsidP="00331EDC">
      <w:pPr>
        <w:pStyle w:val="Heading3"/>
        <w:rPr>
          <w:rFonts w:ascii="Georgia" w:hAnsi="Georgia" w:cs="Arial"/>
        </w:rPr>
      </w:pPr>
      <w:bookmarkStart w:id="16" w:name="_Toc209691050"/>
      <w:r w:rsidRPr="00FB171D">
        <w:rPr>
          <w:rFonts w:ascii="Georgia" w:hAnsi="Georgia" w:cs="Arial"/>
        </w:rPr>
        <w:lastRenderedPageBreak/>
        <w:t>Conclusion</w:t>
      </w:r>
      <w:bookmarkEnd w:id="16"/>
    </w:p>
    <w:p w14:paraId="7747421D" w14:textId="0CF6E87C" w:rsidR="003E0B2D" w:rsidRPr="00FB171D" w:rsidRDefault="004806EE" w:rsidP="004806EE">
      <w:pPr>
        <w:rPr>
          <w:rFonts w:ascii="Georgia" w:hAnsi="Georgia" w:cs="Arial"/>
        </w:rPr>
      </w:pPr>
      <w:r w:rsidRPr="00FB171D">
        <w:rPr>
          <w:rFonts w:ascii="Georgia" w:hAnsi="Georgia" w:cs="Arial"/>
        </w:rPr>
        <w:t>Neuronal cell death arises from a rich interplay of molecular, cellular, vascular, traumatic, genetic, and environmental contributors. While age-related loss is inevitable, the rate and patterns of neuronal attrition are highly variable, shaped by genetics, experiences, environmental exposures, and chance. A deeper understanding of these processes not only illuminates the tragedy of neurodegeneration but also uncovers potential interventions to slow, halt, or perhaps one day reverse the inexorable loss of the neurons that shape our very selves.</w:t>
      </w:r>
    </w:p>
    <w:p w14:paraId="724CDBD0" w14:textId="77777777" w:rsidR="00B8423C" w:rsidRPr="00FB171D" w:rsidRDefault="00B8423C" w:rsidP="0060115D">
      <w:pPr>
        <w:rPr>
          <w:rFonts w:ascii="Georgia" w:hAnsi="Georgia" w:cs="Arial"/>
          <w:b/>
          <w:bCs/>
        </w:rPr>
      </w:pPr>
    </w:p>
    <w:p w14:paraId="10715719" w14:textId="77777777" w:rsidR="00CC6B49" w:rsidRPr="00FB171D" w:rsidRDefault="00CC6B49" w:rsidP="00C62E07">
      <w:pPr>
        <w:pStyle w:val="Heading2"/>
        <w:rPr>
          <w:rFonts w:ascii="Georgia" w:hAnsi="Georgia" w:cs="Arial"/>
        </w:rPr>
      </w:pPr>
    </w:p>
    <w:p w14:paraId="6350B550" w14:textId="0767AAA8" w:rsidR="00CC6B49" w:rsidRPr="00FB171D" w:rsidRDefault="007F16C7" w:rsidP="00D643E3">
      <w:pPr>
        <w:pStyle w:val="Heading3"/>
        <w:rPr>
          <w:rFonts w:ascii="Georgia" w:hAnsi="Georgia" w:cs="Arial"/>
        </w:rPr>
      </w:pPr>
      <w:bookmarkStart w:id="17" w:name="_Toc209691051"/>
      <w:r w:rsidRPr="00FB171D">
        <w:rPr>
          <w:rFonts w:ascii="Georgia" w:hAnsi="Georgia" w:cs="Arial"/>
        </w:rPr>
        <w:t xml:space="preserve">More about </w:t>
      </w:r>
      <w:r w:rsidR="00906DCE" w:rsidRPr="00FB171D">
        <w:rPr>
          <w:rFonts w:ascii="Georgia" w:hAnsi="Georgia" w:cs="Arial"/>
        </w:rPr>
        <w:t>Beta Amyloid and Tau proteins</w:t>
      </w:r>
      <w:bookmarkEnd w:id="17"/>
    </w:p>
    <w:p w14:paraId="2051C2E5" w14:textId="512984CA" w:rsidR="0007533B" w:rsidRPr="00FB171D" w:rsidRDefault="0007533B" w:rsidP="0007533B">
      <w:pPr>
        <w:rPr>
          <w:rFonts w:ascii="Georgia" w:hAnsi="Georgia" w:cs="Arial"/>
        </w:rPr>
      </w:pPr>
      <w:r w:rsidRPr="00FB171D">
        <w:rPr>
          <w:rFonts w:ascii="Georgia" w:hAnsi="Georgia" w:cs="Arial"/>
        </w:rPr>
        <w:t>Beta Amyloid and Tau proteins have stood at the center of Alzheimer’s disease research for decades</w:t>
      </w:r>
      <w:r w:rsidR="001107B6" w:rsidRPr="00FB171D">
        <w:rPr>
          <w:rFonts w:ascii="Georgia" w:hAnsi="Georgia" w:cs="Arial"/>
        </w:rPr>
        <w:t>;</w:t>
      </w:r>
      <w:r w:rsidRPr="00FB171D">
        <w:rPr>
          <w:rFonts w:ascii="Georgia" w:hAnsi="Georgia" w:cs="Arial"/>
        </w:rPr>
        <w:t xml:space="preserve"> their accumulation in the brain</w:t>
      </w:r>
      <w:r w:rsidR="001107B6" w:rsidRPr="00FB171D">
        <w:rPr>
          <w:rFonts w:ascii="Georgia" w:hAnsi="Georgia" w:cs="Arial"/>
        </w:rPr>
        <w:t xml:space="preserve"> has been </w:t>
      </w:r>
      <w:r w:rsidRPr="00FB171D">
        <w:rPr>
          <w:rFonts w:ascii="Georgia" w:hAnsi="Georgia" w:cs="Arial"/>
        </w:rPr>
        <w:t xml:space="preserve">considered </w:t>
      </w:r>
      <w:r w:rsidR="00202216" w:rsidRPr="00FB171D">
        <w:rPr>
          <w:rFonts w:ascii="Georgia" w:hAnsi="Georgia" w:cs="Arial"/>
        </w:rPr>
        <w:t xml:space="preserve">a </w:t>
      </w:r>
      <w:r w:rsidRPr="00FB171D">
        <w:rPr>
          <w:rFonts w:ascii="Georgia" w:hAnsi="Georgia" w:cs="Arial"/>
        </w:rPr>
        <w:t>hallmark feature of the disease. Beta amyloid is a peptide fragment derived from the amyloid precursor protein (APP), and under pathological conditions, these fragments aggregate to form insoluble plaques outside neurons. Tau, on the other hand, is a protein associated with stabilizing microtubules in neurons but, when abnormally phosphorylated, forms twisted strands known as neurofibrillary tangles within nerve cells.</w:t>
      </w:r>
    </w:p>
    <w:p w14:paraId="4E9990B0" w14:textId="77777777" w:rsidR="0007533B" w:rsidRPr="00FB171D" w:rsidRDefault="0007533B" w:rsidP="0007533B">
      <w:pPr>
        <w:rPr>
          <w:rFonts w:ascii="Georgia" w:hAnsi="Georgia" w:cs="Arial"/>
        </w:rPr>
      </w:pPr>
      <w:r w:rsidRPr="00FB171D">
        <w:rPr>
          <w:rFonts w:ascii="Georgia" w:hAnsi="Georgia" w:cs="Arial"/>
        </w:rPr>
        <w:t>Evidence for Their Role in Alzheimer’s Disease</w:t>
      </w:r>
    </w:p>
    <w:p w14:paraId="49EF3E45" w14:textId="77777777" w:rsidR="0007533B" w:rsidRPr="00FB171D" w:rsidRDefault="0007533B" w:rsidP="0007533B">
      <w:pPr>
        <w:rPr>
          <w:rFonts w:ascii="Georgia" w:hAnsi="Georgia" w:cs="Arial"/>
        </w:rPr>
      </w:pPr>
      <w:r w:rsidRPr="00FB171D">
        <w:rPr>
          <w:rFonts w:ascii="Georgia" w:hAnsi="Georgia" w:cs="Arial"/>
        </w:rPr>
        <w:t>The so-called “amyloid cascade hypothesis” posits that beta amyloid plaques are the primary trigger for Alzheimer’s pathology, setting off a series of events leading to tau tangles, cell death, and ultimately, dementia. Post-mortem brains of individuals with Alzheimer’s consistently reveal both amyloid plaques and tau tangles, and genetic mutations that affect amyloid production (such as in APP, presenilin 1, and presenilin 2 genes) are known to cause rare familial forms of early-onset Alzheimer’s. Imaging studies now allow detection of amyloid in living brains, showing accumulation years—even decades—before symptoms manifest. However, the correlation between amyloid load and cognitive impairment is imperfect, and many cognitively normal elderly also harbor substantial amyloid, raising questions about its direct causative role.</w:t>
      </w:r>
    </w:p>
    <w:p w14:paraId="1A9D43A8" w14:textId="77777777" w:rsidR="0007533B" w:rsidRPr="00FB171D" w:rsidRDefault="0007533B" w:rsidP="0007533B">
      <w:pPr>
        <w:rPr>
          <w:rFonts w:ascii="Georgia" w:hAnsi="Georgia" w:cs="Arial"/>
        </w:rPr>
      </w:pPr>
      <w:r w:rsidRPr="00FB171D">
        <w:rPr>
          <w:rFonts w:ascii="Georgia" w:hAnsi="Georgia" w:cs="Arial"/>
        </w:rPr>
        <w:t>Tau pathology, meanwhile, correlates more closely with the degree of cognitive decline. Neurofibrillary tangles progress through the brain in a predictable sequence as the disease advances, and tau abnormalities are seen in other neurodegenerative conditions as well.</w:t>
      </w:r>
    </w:p>
    <w:p w14:paraId="63FC3C0B" w14:textId="77777777" w:rsidR="0007533B" w:rsidRPr="00FB171D" w:rsidRDefault="0007533B" w:rsidP="0007533B">
      <w:pPr>
        <w:rPr>
          <w:rFonts w:ascii="Georgia" w:hAnsi="Georgia" w:cs="Arial"/>
        </w:rPr>
      </w:pPr>
      <w:r w:rsidRPr="00FB171D">
        <w:rPr>
          <w:rFonts w:ascii="Georgia" w:hAnsi="Georgia" w:cs="Arial"/>
        </w:rPr>
        <w:t>Efforts to Control Beta Amyloid and Tau</w:t>
      </w:r>
    </w:p>
    <w:p w14:paraId="6EA64DD5" w14:textId="77777777" w:rsidR="0007533B" w:rsidRPr="00FB171D" w:rsidRDefault="0007533B" w:rsidP="0007533B">
      <w:pPr>
        <w:rPr>
          <w:rFonts w:ascii="Georgia" w:hAnsi="Georgia" w:cs="Arial"/>
        </w:rPr>
      </w:pPr>
      <w:r w:rsidRPr="00FB171D">
        <w:rPr>
          <w:rFonts w:ascii="Georgia" w:hAnsi="Georgia" w:cs="Arial"/>
        </w:rPr>
        <w:t>Decades of research have aimed to reduce amyloid burden in the brain, beginning with immunotherapies—vaccines and antibodies designed to clear plaques. Small molecule inhibitors targeting amyloid production and aggregation were also pursued. In the tau arena, efforts include kinase inhibitors to prevent tau phosphorylation, microtubule stabilizers, tau aggregation inhibitors, and increasingly, immunotherapies targeting abnormal tau.</w:t>
      </w:r>
    </w:p>
    <w:p w14:paraId="59662EAA" w14:textId="77777777" w:rsidR="0007533B" w:rsidRPr="00FB171D" w:rsidRDefault="0007533B" w:rsidP="0007533B">
      <w:pPr>
        <w:rPr>
          <w:rFonts w:ascii="Georgia" w:hAnsi="Georgia" w:cs="Arial"/>
        </w:rPr>
      </w:pPr>
      <w:r w:rsidRPr="00FB171D">
        <w:rPr>
          <w:rFonts w:ascii="Georgia" w:hAnsi="Georgia" w:cs="Arial"/>
        </w:rPr>
        <w:t>Drugs: Successes, Setbacks, and What’s Ahead</w:t>
      </w:r>
    </w:p>
    <w:p w14:paraId="4993CF2A" w14:textId="77777777" w:rsidR="0007533B" w:rsidRPr="00FB171D" w:rsidRDefault="0007533B" w:rsidP="0007533B">
      <w:pPr>
        <w:rPr>
          <w:rFonts w:ascii="Georgia" w:hAnsi="Georgia" w:cs="Arial"/>
        </w:rPr>
      </w:pPr>
      <w:r w:rsidRPr="00FB171D">
        <w:rPr>
          <w:rFonts w:ascii="Georgia" w:hAnsi="Georgia" w:cs="Arial"/>
        </w:rPr>
        <w:t xml:space="preserve">The history of anti-amyloid drugs is marked by high hopes and frequent disappointments. Many candidates—including BACE inhibitors (which block amyloid production), γ-secretase </w:t>
      </w:r>
      <w:r w:rsidRPr="00FB171D">
        <w:rPr>
          <w:rFonts w:ascii="Georgia" w:hAnsi="Georgia" w:cs="Arial"/>
        </w:rPr>
        <w:lastRenderedPageBreak/>
        <w:t>inhibitors, and various monoclonal antibodies—have failed to slow cognitive decline in large clinical trials, despite lowering amyloid levels. This has led to disillusionment with the amyloid hypothesis, or at least to a refinement: perhaps targeting amyloid is only helpful very early, before widespread neuronal loss has occurred.</w:t>
      </w:r>
    </w:p>
    <w:p w14:paraId="2DA8030C" w14:textId="77777777" w:rsidR="0007533B" w:rsidRPr="00FB171D" w:rsidRDefault="0007533B" w:rsidP="0007533B">
      <w:pPr>
        <w:rPr>
          <w:rFonts w:ascii="Georgia" w:hAnsi="Georgia" w:cs="Arial"/>
        </w:rPr>
      </w:pPr>
      <w:r w:rsidRPr="00FB171D">
        <w:rPr>
          <w:rFonts w:ascii="Georgia" w:hAnsi="Georgia" w:cs="Arial"/>
        </w:rPr>
        <w:t>Nonetheless, after decades of setbacks, some anti-amyloid antibodies have shown modest clinical benefits. In 2021, the FDA controversially approved aducanumab (Aduhelm), which reduces brain amyloid but whose effectiveness remains debated. Since then, lecanemab (Leqembi) and donanemab—monoclonal antibodies targeting amyloid—have demonstrated statistically significant, but clinically modest, slowing of cognitive decline in early-stage disease, reigniting cautious optimism. For tau, the therapeutic pipeline is less advanced, with several antibodies and small molecules in early- to mid-stage trials.</w:t>
      </w:r>
    </w:p>
    <w:p w14:paraId="7236097D" w14:textId="77777777" w:rsidR="0007533B" w:rsidRPr="00FB171D" w:rsidRDefault="0007533B" w:rsidP="0007533B">
      <w:pPr>
        <w:rPr>
          <w:rFonts w:ascii="Georgia" w:hAnsi="Georgia" w:cs="Arial"/>
        </w:rPr>
      </w:pPr>
      <w:r w:rsidRPr="00FB171D">
        <w:rPr>
          <w:rFonts w:ascii="Georgia" w:hAnsi="Georgia" w:cs="Arial"/>
        </w:rPr>
        <w:t>Testing for Beta Amyloid and Tau</w:t>
      </w:r>
    </w:p>
    <w:p w14:paraId="27AB0586" w14:textId="77777777" w:rsidR="0007533B" w:rsidRPr="00FB171D" w:rsidRDefault="0007533B" w:rsidP="0007533B">
      <w:pPr>
        <w:rPr>
          <w:rFonts w:ascii="Georgia" w:hAnsi="Georgia" w:cs="Arial"/>
        </w:rPr>
      </w:pPr>
      <w:r w:rsidRPr="00FB171D">
        <w:rPr>
          <w:rFonts w:ascii="Georgia" w:hAnsi="Georgia" w:cs="Arial"/>
        </w:rPr>
        <w:t>For many years, definitive diagnosis relied on post-mortem examination. Now, advanced imaging techniques—amyloid and tau PET scans—allow visualization of these proteins in living patients. Cerebrospinal fluid (CSF) analysis can also detect abnormal levels of beta amyloid and phosphorylated tau; more recently, blood-based biomarkers have shown promise, potentially enabling less invasive, earlier, and broader screening.</w:t>
      </w:r>
    </w:p>
    <w:p w14:paraId="7F869DB8" w14:textId="77777777" w:rsidR="0007533B" w:rsidRPr="00FB171D" w:rsidRDefault="0007533B" w:rsidP="0007533B">
      <w:pPr>
        <w:rPr>
          <w:rFonts w:ascii="Georgia" w:hAnsi="Georgia" w:cs="Arial"/>
        </w:rPr>
      </w:pPr>
      <w:r w:rsidRPr="00FB171D">
        <w:rPr>
          <w:rFonts w:ascii="Georgia" w:hAnsi="Georgia" w:cs="Arial"/>
        </w:rPr>
        <w:t>The Disappointments and the Shifting Research Landscape</w:t>
      </w:r>
    </w:p>
    <w:p w14:paraId="20AB7BEF" w14:textId="77777777" w:rsidR="0007533B" w:rsidRPr="00FB171D" w:rsidRDefault="0007533B" w:rsidP="0007533B">
      <w:pPr>
        <w:rPr>
          <w:rFonts w:ascii="Georgia" w:hAnsi="Georgia" w:cs="Arial"/>
        </w:rPr>
      </w:pPr>
      <w:r w:rsidRPr="00FB171D">
        <w:rPr>
          <w:rFonts w:ascii="Georgia" w:hAnsi="Georgia" w:cs="Arial"/>
        </w:rPr>
        <w:t>Despite billions invested and the centrality of beta amyloid and tau in research, clinical benefits from directly targeting these proteins have been, at best, incremental. Many trials showed that removing amyloid plaques did not translate to meaningful improvements in memory or daily functioning, especially in advanced disease. This has led to a tempered enthusiasm for amyloid as the sole culprit, fueling a shift toward new theories and broader approaches. Researchers are now exploring synaptic health, neuroinflammation, vascular contributions, metabolic factors, and the interplay of multiple pathologies.</w:t>
      </w:r>
    </w:p>
    <w:p w14:paraId="43F4E693" w14:textId="514D61BD" w:rsidR="00906DCE" w:rsidRPr="00FB171D" w:rsidRDefault="0007533B" w:rsidP="0007533B">
      <w:pPr>
        <w:rPr>
          <w:rFonts w:ascii="Georgia" w:hAnsi="Georgia" w:cs="Arial"/>
        </w:rPr>
      </w:pPr>
      <w:r w:rsidRPr="00FB171D">
        <w:rPr>
          <w:rFonts w:ascii="Georgia" w:hAnsi="Georgia" w:cs="Arial"/>
        </w:rPr>
        <w:t>In summary, while beta amyloid and tau remain important pieces of the Alzheimer’s puzzle, the field has grown more nuanced. Their presence is necessary but not sufficient to cause symptoms; successful therapies may require earlier intervention and a more holistic approach. The future of Alzheimer’s research is likely to be multi-dimensional, integrating proteinopathy, inflammation, and resilience factors to offer hope for more effective prevention and treatment.</w:t>
      </w:r>
    </w:p>
    <w:p w14:paraId="587267DB" w14:textId="77777777" w:rsidR="00FB3731" w:rsidRPr="00FB171D" w:rsidRDefault="00FB3731" w:rsidP="0060115D">
      <w:pPr>
        <w:rPr>
          <w:rFonts w:ascii="Georgia" w:hAnsi="Georgia" w:cs="Arial"/>
        </w:rPr>
      </w:pPr>
    </w:p>
    <w:p w14:paraId="03D06EC6" w14:textId="5EBD6840" w:rsidR="00FB3731" w:rsidRPr="00FB171D" w:rsidRDefault="00E66809" w:rsidP="00331EDC">
      <w:pPr>
        <w:pStyle w:val="Heading3"/>
        <w:rPr>
          <w:rFonts w:ascii="Georgia" w:hAnsi="Georgia" w:cs="Arial"/>
        </w:rPr>
      </w:pPr>
      <w:bookmarkStart w:id="18" w:name="_Toc209691052"/>
      <w:r w:rsidRPr="00FB171D">
        <w:rPr>
          <w:rFonts w:ascii="Georgia" w:hAnsi="Georgia" w:cs="Arial"/>
        </w:rPr>
        <w:t>How about Inflammaging of the Brain?</w:t>
      </w:r>
      <w:bookmarkEnd w:id="18"/>
    </w:p>
    <w:p w14:paraId="4283B519" w14:textId="77777777" w:rsidR="00C75DF2" w:rsidRPr="00FB171D" w:rsidRDefault="00C75DF2" w:rsidP="00C75DF2">
      <w:pPr>
        <w:rPr>
          <w:rFonts w:ascii="Georgia" w:hAnsi="Georgia" w:cs="Arial"/>
        </w:rPr>
      </w:pPr>
      <w:r w:rsidRPr="00FB171D">
        <w:rPr>
          <w:rFonts w:ascii="Georgia" w:hAnsi="Georgia" w:cs="Arial"/>
        </w:rPr>
        <w:t>Inflammaging of the Brain</w:t>
      </w:r>
    </w:p>
    <w:p w14:paraId="44B16516" w14:textId="77777777" w:rsidR="00C75DF2" w:rsidRPr="00FB171D" w:rsidRDefault="00C75DF2" w:rsidP="00C75DF2">
      <w:pPr>
        <w:rPr>
          <w:rFonts w:ascii="Georgia" w:hAnsi="Georgia" w:cs="Arial"/>
        </w:rPr>
      </w:pPr>
      <w:r w:rsidRPr="00FB171D">
        <w:rPr>
          <w:rFonts w:ascii="Georgia" w:hAnsi="Georgia" w:cs="Arial"/>
        </w:rPr>
        <w:t>Inflammaging refers to the chronic, low-grade inflammation that develops with advancing age and is now recognized as a major contributor to brain aging and neurodegeneration. Unlike the acute inflammation seen during infection or injury—which is typically short-lived and protective—inflammaging arises from lifelong immune system activation, cellular debris accumulation, and metabolic changes. The brain, once considered an "immune-privileged" organ, is now understood to be highly sensitive to inflammatory signals originating both within its own cells and from the body at large.</w:t>
      </w:r>
    </w:p>
    <w:p w14:paraId="314A4357" w14:textId="77777777" w:rsidR="00C75DF2" w:rsidRPr="00FB171D" w:rsidRDefault="00C75DF2" w:rsidP="00756E3D">
      <w:pPr>
        <w:pStyle w:val="Heading4"/>
        <w:rPr>
          <w:rFonts w:ascii="Georgia" w:hAnsi="Georgia" w:cs="Arial"/>
        </w:rPr>
      </w:pPr>
      <w:r w:rsidRPr="00FB171D">
        <w:rPr>
          <w:rFonts w:ascii="Georgia" w:hAnsi="Georgia" w:cs="Arial"/>
        </w:rPr>
        <w:lastRenderedPageBreak/>
        <w:t>How Inflammaging Reduces Neuron Numbers</w:t>
      </w:r>
    </w:p>
    <w:p w14:paraId="64388356" w14:textId="77777777" w:rsidR="00C75DF2" w:rsidRPr="00FB171D" w:rsidRDefault="00C75DF2" w:rsidP="00C75DF2">
      <w:pPr>
        <w:rPr>
          <w:rFonts w:ascii="Georgia" w:hAnsi="Georgia" w:cs="Arial"/>
        </w:rPr>
      </w:pPr>
      <w:r w:rsidRPr="00FB171D">
        <w:rPr>
          <w:rFonts w:ascii="Georgia" w:hAnsi="Georgia" w:cs="Arial"/>
        </w:rPr>
        <w:t>Prolonged inflammation in the brain is driven primarily by the activation of microglia (the brain’s resident immune cells) and astrocytes. With age, these cells can shift from a supportive, protective state into a chronically reactive one, producing cytokines and other inflammatory mediators. This persistent inflammatory environment damages neurons in several ways:</w:t>
      </w:r>
    </w:p>
    <w:p w14:paraId="7736DD60" w14:textId="77777777" w:rsidR="00C75DF2" w:rsidRPr="00FB171D" w:rsidRDefault="00C75DF2" w:rsidP="00734CAC">
      <w:pPr>
        <w:pStyle w:val="ListParagraph"/>
        <w:numPr>
          <w:ilvl w:val="0"/>
          <w:numId w:val="31"/>
        </w:numPr>
        <w:rPr>
          <w:rFonts w:ascii="Georgia" w:hAnsi="Georgia" w:cs="Arial"/>
        </w:rPr>
      </w:pPr>
      <w:r w:rsidRPr="00FB171D">
        <w:rPr>
          <w:rFonts w:ascii="Georgia" w:hAnsi="Georgia" w:cs="Arial"/>
        </w:rPr>
        <w:t>Direct Neurotoxicity: Inflammatory cytokines such as TNF-α, IL-1β, and IL-6 can make neurons more susceptible to injury and death.</w:t>
      </w:r>
    </w:p>
    <w:p w14:paraId="75A90592" w14:textId="77777777" w:rsidR="00C75DF2" w:rsidRPr="00FB171D" w:rsidRDefault="00C75DF2" w:rsidP="00734CAC">
      <w:pPr>
        <w:pStyle w:val="ListParagraph"/>
        <w:numPr>
          <w:ilvl w:val="0"/>
          <w:numId w:val="31"/>
        </w:numPr>
        <w:rPr>
          <w:rFonts w:ascii="Georgia" w:hAnsi="Georgia" w:cs="Arial"/>
        </w:rPr>
      </w:pPr>
      <w:r w:rsidRPr="00FB171D">
        <w:rPr>
          <w:rFonts w:ascii="Georgia" w:hAnsi="Georgia" w:cs="Arial"/>
        </w:rPr>
        <w:t>Disrupted Synaptic Function: Chronic inflammation interferes with synaptic signaling, pruning, and plasticity, impairing learning and memory.</w:t>
      </w:r>
    </w:p>
    <w:p w14:paraId="6D0B75A9" w14:textId="77777777" w:rsidR="00C75DF2" w:rsidRPr="00FB171D" w:rsidRDefault="00C75DF2" w:rsidP="00734CAC">
      <w:pPr>
        <w:pStyle w:val="ListParagraph"/>
        <w:numPr>
          <w:ilvl w:val="0"/>
          <w:numId w:val="31"/>
        </w:numPr>
        <w:rPr>
          <w:rFonts w:ascii="Georgia" w:hAnsi="Georgia" w:cs="Arial"/>
        </w:rPr>
      </w:pPr>
      <w:r w:rsidRPr="00FB171D">
        <w:rPr>
          <w:rFonts w:ascii="Georgia" w:hAnsi="Georgia" w:cs="Arial"/>
        </w:rPr>
        <w:t>Exacerbation of Proteinopathies: Inflammaging can accelerate the aggregation of toxic proteins such as amyloid-beta and tau, compounding neuronal loss in diseases like Alzheimer’s.</w:t>
      </w:r>
    </w:p>
    <w:p w14:paraId="2055785B" w14:textId="77777777" w:rsidR="00C75DF2" w:rsidRPr="00FB171D" w:rsidRDefault="00C75DF2" w:rsidP="00734CAC">
      <w:pPr>
        <w:pStyle w:val="ListParagraph"/>
        <w:numPr>
          <w:ilvl w:val="0"/>
          <w:numId w:val="31"/>
        </w:numPr>
        <w:rPr>
          <w:rFonts w:ascii="Georgia" w:hAnsi="Georgia" w:cs="Arial"/>
        </w:rPr>
      </w:pPr>
      <w:r w:rsidRPr="00FB171D">
        <w:rPr>
          <w:rFonts w:ascii="Georgia" w:hAnsi="Georgia" w:cs="Arial"/>
        </w:rPr>
        <w:t>Impaired Neurogenesis: Although adult neurogenesis is limited, chronic inflammation further suppresses the birth of new neurons, especially in the hippocampus.</w:t>
      </w:r>
    </w:p>
    <w:p w14:paraId="2600CCE3" w14:textId="77777777" w:rsidR="00C75DF2" w:rsidRPr="00FB171D" w:rsidRDefault="00C75DF2" w:rsidP="00C75DF2">
      <w:pPr>
        <w:rPr>
          <w:rFonts w:ascii="Georgia" w:hAnsi="Georgia" w:cs="Arial"/>
        </w:rPr>
      </w:pPr>
      <w:r w:rsidRPr="00FB171D">
        <w:rPr>
          <w:rFonts w:ascii="Georgia" w:hAnsi="Georgia" w:cs="Arial"/>
        </w:rPr>
        <w:t>Altogether, these processes contribute to the gradual reduction of neuron numbers and loss of brain resilience with age.</w:t>
      </w:r>
    </w:p>
    <w:p w14:paraId="770BF17C" w14:textId="77777777" w:rsidR="00C75DF2" w:rsidRPr="00FB171D" w:rsidRDefault="00C75DF2" w:rsidP="00756E3D">
      <w:pPr>
        <w:pStyle w:val="Heading4"/>
        <w:rPr>
          <w:rFonts w:ascii="Georgia" w:hAnsi="Georgia" w:cs="Arial"/>
        </w:rPr>
      </w:pPr>
      <w:r w:rsidRPr="00FB171D">
        <w:rPr>
          <w:rFonts w:ascii="Georgia" w:hAnsi="Georgia" w:cs="Arial"/>
        </w:rPr>
        <w:t>Measuring Inflammaging in the Brain</w:t>
      </w:r>
    </w:p>
    <w:p w14:paraId="5F5C4A88" w14:textId="77777777" w:rsidR="00C75DF2" w:rsidRPr="00FB171D" w:rsidRDefault="00C75DF2" w:rsidP="00C75DF2">
      <w:pPr>
        <w:rPr>
          <w:rFonts w:ascii="Georgia" w:hAnsi="Georgia" w:cs="Arial"/>
        </w:rPr>
      </w:pPr>
      <w:r w:rsidRPr="00FB171D">
        <w:rPr>
          <w:rFonts w:ascii="Georgia" w:hAnsi="Georgia" w:cs="Arial"/>
        </w:rPr>
        <w:t>Inflammaging is measured through a combination of biomarkers and imaging techniques:</w:t>
      </w:r>
    </w:p>
    <w:p w14:paraId="53E10C5A" w14:textId="77777777" w:rsidR="00C75DF2" w:rsidRPr="00FB171D" w:rsidRDefault="00C75DF2" w:rsidP="00734CAC">
      <w:pPr>
        <w:pStyle w:val="ListParagraph"/>
        <w:numPr>
          <w:ilvl w:val="0"/>
          <w:numId w:val="32"/>
        </w:numPr>
        <w:rPr>
          <w:rFonts w:ascii="Georgia" w:hAnsi="Georgia" w:cs="Arial"/>
        </w:rPr>
      </w:pPr>
      <w:r w:rsidRPr="00FB171D">
        <w:rPr>
          <w:rFonts w:ascii="Georgia" w:hAnsi="Georgia" w:cs="Arial"/>
        </w:rPr>
        <w:t>Cerebrospinal Fluid (CSF) and Blood Biomarkers: Elevated levels of inflammatory cytokines and acute phase proteins (e.g., TNF-α, IL-6, C-reactive protein) can signal ongoing inflammation.</w:t>
      </w:r>
    </w:p>
    <w:p w14:paraId="697D9F86" w14:textId="77777777" w:rsidR="00C75DF2" w:rsidRPr="00FB171D" w:rsidRDefault="00C75DF2" w:rsidP="00734CAC">
      <w:pPr>
        <w:pStyle w:val="ListParagraph"/>
        <w:numPr>
          <w:ilvl w:val="0"/>
          <w:numId w:val="32"/>
        </w:numPr>
        <w:rPr>
          <w:rFonts w:ascii="Georgia" w:hAnsi="Georgia" w:cs="Arial"/>
        </w:rPr>
      </w:pPr>
      <w:r w:rsidRPr="00FB171D">
        <w:rPr>
          <w:rFonts w:ascii="Georgia" w:hAnsi="Georgia" w:cs="Arial"/>
        </w:rPr>
        <w:t>Neuroimaging: Advanced PET scans using tracers for activated microglia (such as TSPO ligands) can visualize neuroinflammation in living brains.</w:t>
      </w:r>
    </w:p>
    <w:p w14:paraId="2F7994F5" w14:textId="77777777" w:rsidR="00C75DF2" w:rsidRPr="00FB171D" w:rsidRDefault="00C75DF2" w:rsidP="00734CAC">
      <w:pPr>
        <w:pStyle w:val="ListParagraph"/>
        <w:numPr>
          <w:ilvl w:val="0"/>
          <w:numId w:val="32"/>
        </w:numPr>
        <w:rPr>
          <w:rFonts w:ascii="Georgia" w:hAnsi="Georgia" w:cs="Arial"/>
        </w:rPr>
      </w:pPr>
      <w:r w:rsidRPr="00FB171D">
        <w:rPr>
          <w:rFonts w:ascii="Georgia" w:hAnsi="Georgia" w:cs="Arial"/>
        </w:rPr>
        <w:t>Transcriptomic and Proteomic Profiling: Analysis of gene and protein expression in brain tissue (post-mortem or from animal models) reveals upregulation of inflammatory pathways with age.</w:t>
      </w:r>
    </w:p>
    <w:p w14:paraId="29B379AC" w14:textId="77777777" w:rsidR="00C75DF2" w:rsidRPr="00FB171D" w:rsidRDefault="00C75DF2" w:rsidP="00734CAC">
      <w:pPr>
        <w:pStyle w:val="ListParagraph"/>
        <w:numPr>
          <w:ilvl w:val="0"/>
          <w:numId w:val="32"/>
        </w:numPr>
        <w:rPr>
          <w:rFonts w:ascii="Georgia" w:hAnsi="Georgia" w:cs="Arial"/>
        </w:rPr>
      </w:pPr>
      <w:r w:rsidRPr="00FB171D">
        <w:rPr>
          <w:rFonts w:ascii="Georgia" w:hAnsi="Georgia" w:cs="Arial"/>
        </w:rPr>
        <w:t>Indirect Functional Measures: Cognitive decline, changes in electrophysiology, and structural MRI evidence of atrophy may all reflect underlying inflammation, though these are not specific.</w:t>
      </w:r>
    </w:p>
    <w:p w14:paraId="5937B360" w14:textId="77777777" w:rsidR="00C75DF2" w:rsidRPr="00FB171D" w:rsidRDefault="00C75DF2" w:rsidP="00756E3D">
      <w:pPr>
        <w:pStyle w:val="Heading4"/>
        <w:rPr>
          <w:rFonts w:ascii="Georgia" w:hAnsi="Georgia" w:cs="Arial"/>
        </w:rPr>
      </w:pPr>
      <w:r w:rsidRPr="00FB171D">
        <w:rPr>
          <w:rFonts w:ascii="Georgia" w:hAnsi="Georgia" w:cs="Arial"/>
        </w:rPr>
        <w:t>Prevention and Treatment Strategies</w:t>
      </w:r>
    </w:p>
    <w:p w14:paraId="6BB294D6" w14:textId="77777777" w:rsidR="00C75DF2" w:rsidRPr="00FB171D" w:rsidRDefault="00C75DF2" w:rsidP="00C75DF2">
      <w:pPr>
        <w:rPr>
          <w:rFonts w:ascii="Georgia" w:hAnsi="Georgia" w:cs="Arial"/>
        </w:rPr>
      </w:pPr>
      <w:r w:rsidRPr="00FB171D">
        <w:rPr>
          <w:rFonts w:ascii="Georgia" w:hAnsi="Georgia" w:cs="Arial"/>
        </w:rPr>
        <w:t>While aging cannot be halted, there are promising avenues for dampening brain inflammaging and its consequences:</w:t>
      </w:r>
    </w:p>
    <w:p w14:paraId="7BCB5C3A" w14:textId="77777777" w:rsidR="00C75DF2" w:rsidRPr="00FB171D" w:rsidRDefault="00C75DF2" w:rsidP="00734CAC">
      <w:pPr>
        <w:pStyle w:val="ListParagraph"/>
        <w:numPr>
          <w:ilvl w:val="0"/>
          <w:numId w:val="33"/>
        </w:numPr>
        <w:rPr>
          <w:rFonts w:ascii="Georgia" w:hAnsi="Georgia" w:cs="Arial"/>
        </w:rPr>
      </w:pPr>
      <w:r w:rsidRPr="00FB171D">
        <w:rPr>
          <w:rFonts w:ascii="Georgia" w:hAnsi="Georgia" w:cs="Arial"/>
        </w:rPr>
        <w:t>Healthy Lifestyle: Regular physical activity, a Mediterranean-style diet, social engagement, quality sleep, and stress management are all associated with lower markers of systemic and brain inflammation.</w:t>
      </w:r>
    </w:p>
    <w:p w14:paraId="327D4925" w14:textId="77777777" w:rsidR="00C75DF2" w:rsidRPr="00FB171D" w:rsidRDefault="00C75DF2" w:rsidP="00734CAC">
      <w:pPr>
        <w:pStyle w:val="ListParagraph"/>
        <w:numPr>
          <w:ilvl w:val="0"/>
          <w:numId w:val="33"/>
        </w:numPr>
        <w:rPr>
          <w:rFonts w:ascii="Georgia" w:hAnsi="Georgia" w:cs="Arial"/>
        </w:rPr>
      </w:pPr>
      <w:r w:rsidRPr="00FB171D">
        <w:rPr>
          <w:rFonts w:ascii="Georgia" w:hAnsi="Georgia" w:cs="Arial"/>
        </w:rPr>
        <w:t>Pharmacological Approaches: Trials of nonsteroidal anti-inflammatory drugs (NSAIDs) in dementia have been largely disappointing, but newer compounds—targeting microglial activation, cytokine signaling, or inflammasome activity—are under investigation.</w:t>
      </w:r>
    </w:p>
    <w:p w14:paraId="5553DCDA" w14:textId="77777777" w:rsidR="00C75DF2" w:rsidRPr="00FB171D" w:rsidRDefault="00C75DF2" w:rsidP="00734CAC">
      <w:pPr>
        <w:pStyle w:val="ListParagraph"/>
        <w:numPr>
          <w:ilvl w:val="0"/>
          <w:numId w:val="33"/>
        </w:numPr>
        <w:rPr>
          <w:rFonts w:ascii="Georgia" w:hAnsi="Georgia" w:cs="Arial"/>
        </w:rPr>
      </w:pPr>
      <w:r w:rsidRPr="00FB171D">
        <w:rPr>
          <w:rFonts w:ascii="Georgia" w:hAnsi="Georgia" w:cs="Arial"/>
        </w:rPr>
        <w:t>Metabolic and Vascular Health: Control of hypertension, diabetes, and cholesterol reduces vascular inflammation, benefiting brain health. Management of midlife obesity and cardiovascular risk has been linked to lower dementia rates.</w:t>
      </w:r>
    </w:p>
    <w:p w14:paraId="2C579B97" w14:textId="77777777" w:rsidR="00C75DF2" w:rsidRPr="00FB171D" w:rsidRDefault="00C75DF2" w:rsidP="00734CAC">
      <w:pPr>
        <w:pStyle w:val="ListParagraph"/>
        <w:numPr>
          <w:ilvl w:val="0"/>
          <w:numId w:val="33"/>
        </w:numPr>
        <w:rPr>
          <w:rFonts w:ascii="Georgia" w:hAnsi="Georgia" w:cs="Arial"/>
        </w:rPr>
      </w:pPr>
      <w:r w:rsidRPr="00FB171D">
        <w:rPr>
          <w:rFonts w:ascii="Georgia" w:hAnsi="Georgia" w:cs="Arial"/>
        </w:rPr>
        <w:lastRenderedPageBreak/>
        <w:t>Gut-Brain Axis: Emerging evidence ties gut microbial imbalances to chronic inflammation. Diets rich in fiber, prebiotics, and probiotics may help modulate systemic and neuroinflammatory responses.</w:t>
      </w:r>
    </w:p>
    <w:p w14:paraId="18623ADD" w14:textId="77777777" w:rsidR="00C75DF2" w:rsidRPr="00FB171D" w:rsidRDefault="00C75DF2" w:rsidP="00734CAC">
      <w:pPr>
        <w:pStyle w:val="ListParagraph"/>
        <w:numPr>
          <w:ilvl w:val="0"/>
          <w:numId w:val="33"/>
        </w:numPr>
        <w:rPr>
          <w:rFonts w:ascii="Georgia" w:hAnsi="Georgia" w:cs="Arial"/>
        </w:rPr>
      </w:pPr>
      <w:r w:rsidRPr="00FB171D">
        <w:rPr>
          <w:rFonts w:ascii="Georgia" w:hAnsi="Georgia" w:cs="Arial"/>
        </w:rPr>
        <w:t>Novel Immunotherapies: Research into "senolytic" drugs (which clear senescent, inflammation-driving cells) and targeted immune modulators holds future promise.</w:t>
      </w:r>
    </w:p>
    <w:p w14:paraId="52CB9AEE" w14:textId="2A519F8A" w:rsidR="007125B8" w:rsidRPr="00FB171D" w:rsidRDefault="00C75DF2" w:rsidP="00C75DF2">
      <w:pPr>
        <w:rPr>
          <w:rFonts w:ascii="Georgia" w:hAnsi="Georgia" w:cs="Arial"/>
        </w:rPr>
      </w:pPr>
      <w:r w:rsidRPr="00FB171D">
        <w:rPr>
          <w:rFonts w:ascii="Georgia" w:hAnsi="Georgia" w:cs="Arial"/>
        </w:rPr>
        <w:t>In sum, inflammaging is a central player in the aging brain, acting as both a driver of neuronal loss and a potential target for interventions. Attenuating chronic inflammation through lifestyle, medical, and emerging therapeutic strategies may be crucial for preserving brain health and cognitive function deep into old age.</w:t>
      </w:r>
    </w:p>
    <w:p w14:paraId="33D67B35" w14:textId="77777777" w:rsidR="00FB3731" w:rsidRPr="00FB171D" w:rsidRDefault="00FB3731" w:rsidP="0060115D">
      <w:pPr>
        <w:rPr>
          <w:rFonts w:ascii="Georgia" w:hAnsi="Georgia" w:cs="Arial"/>
        </w:rPr>
      </w:pPr>
    </w:p>
    <w:p w14:paraId="78FF2D85" w14:textId="242F5623" w:rsidR="00687E45" w:rsidRPr="00FB171D" w:rsidRDefault="00F555CF" w:rsidP="00B252B9">
      <w:pPr>
        <w:pStyle w:val="Heading3"/>
        <w:rPr>
          <w:rFonts w:ascii="Georgia" w:hAnsi="Georgia" w:cs="Arial"/>
        </w:rPr>
      </w:pPr>
      <w:bookmarkStart w:id="19" w:name="_Toc209691053"/>
      <w:r w:rsidRPr="00FB171D">
        <w:rPr>
          <w:rFonts w:ascii="Georgia" w:hAnsi="Georgia" w:cs="Arial"/>
        </w:rPr>
        <w:t>What about alcohol.  Does getting drunk really kill 1000 brain cells?</w:t>
      </w:r>
      <w:bookmarkEnd w:id="19"/>
    </w:p>
    <w:p w14:paraId="33632DD7" w14:textId="77777777" w:rsidR="00337CF6" w:rsidRPr="00FB171D" w:rsidRDefault="00337CF6" w:rsidP="00337CF6">
      <w:pPr>
        <w:rPr>
          <w:rFonts w:ascii="Georgia" w:hAnsi="Georgia" w:cs="Arial"/>
        </w:rPr>
      </w:pPr>
      <w:r w:rsidRPr="00FB171D">
        <w:rPr>
          <w:rFonts w:ascii="Georgia" w:hAnsi="Georgia" w:cs="Arial"/>
        </w:rPr>
        <w:t>The popular claim that "getting drunk kills 1,000 brain cells" is more myth than fact. While excessive alcohol consumption is certainly harmful to the brain—particularly with chronic, long-term use—the idea that a single episode of intoxication results in the rapid death of thousands of neurons is not supported by science. In reality, alcohol in moderate amounts is unlikely to directly "kill" brain cells. However, binge drinking and sustained heavy drinking can damage the delicate connections between neurons (synapses), impair communication, and, over time, contribute to cognitive decline and brain atrophy.</w:t>
      </w:r>
    </w:p>
    <w:p w14:paraId="0E4EA374" w14:textId="77777777" w:rsidR="00337CF6" w:rsidRPr="00FB171D" w:rsidRDefault="00337CF6" w:rsidP="00337CF6">
      <w:pPr>
        <w:rPr>
          <w:rFonts w:ascii="Georgia" w:hAnsi="Georgia" w:cs="Arial"/>
        </w:rPr>
      </w:pPr>
      <w:r w:rsidRPr="00FB171D">
        <w:rPr>
          <w:rFonts w:ascii="Georgia" w:hAnsi="Georgia" w:cs="Arial"/>
        </w:rPr>
        <w:t>Alcohol also promotes inflammation in the brain, disrupts neurotransmitter balance, and impacts the brain’s ability to repair and regenerate connections. In severe cases, particularly with alcohol use disorder, it can lead to nutritional deficiencies (like thiamine deficiency), which may cause irreversible brain damage such as Wernicke-Korsakoff syndrome. So, while a night of drinking won’t wipe out a thousand neurons, repeated episodes of heavy consumption certainly do no favors for long-term brain health.</w:t>
      </w:r>
    </w:p>
    <w:p w14:paraId="33951E64" w14:textId="77777777" w:rsidR="001A64C5" w:rsidRPr="00FB171D" w:rsidRDefault="001A64C5" w:rsidP="00337CF6">
      <w:pPr>
        <w:rPr>
          <w:rFonts w:ascii="Georgia" w:hAnsi="Georgia" w:cs="Arial"/>
        </w:rPr>
      </w:pPr>
    </w:p>
    <w:p w14:paraId="0B715A5D" w14:textId="44BF98B0" w:rsidR="001A64C5" w:rsidRPr="00FB171D" w:rsidRDefault="00A43808" w:rsidP="00337CF6">
      <w:pPr>
        <w:rPr>
          <w:rFonts w:ascii="Georgia" w:hAnsi="Georgia" w:cs="Arial"/>
        </w:rPr>
      </w:pPr>
      <w:r w:rsidRPr="00FB171D">
        <w:rPr>
          <w:rFonts w:ascii="Georgia" w:hAnsi="Georgia" w:cs="Arial"/>
        </w:rPr>
        <w:t xml:space="preserve">What about General Anesthesia and </w:t>
      </w:r>
      <w:r w:rsidR="00814BB4" w:rsidRPr="00FB171D">
        <w:rPr>
          <w:rFonts w:ascii="Georgia" w:hAnsi="Georgia" w:cs="Arial"/>
        </w:rPr>
        <w:t>brain function</w:t>
      </w:r>
    </w:p>
    <w:p w14:paraId="05EAD2A9" w14:textId="77777777" w:rsidR="00814BB4" w:rsidRPr="00FB171D" w:rsidRDefault="00814BB4" w:rsidP="00814BB4">
      <w:pPr>
        <w:pStyle w:val="Title"/>
        <w:rPr>
          <w:rFonts w:ascii="Georgia" w:hAnsi="Georgia" w:cs="Arial"/>
        </w:rPr>
      </w:pPr>
      <w:r w:rsidRPr="00FB171D">
        <w:rPr>
          <w:rFonts w:ascii="Georgia" w:hAnsi="Georgia" w:cs="Arial"/>
        </w:rPr>
        <w:t>Risks of General Anesthesia for Cognitive Decline in Mature Individuals</w:t>
      </w:r>
    </w:p>
    <w:p w14:paraId="1A545353" w14:textId="77777777" w:rsidR="00814BB4" w:rsidRPr="00FB171D" w:rsidRDefault="00814BB4" w:rsidP="00814BB4">
      <w:pPr>
        <w:pStyle w:val="Subtitle"/>
        <w:rPr>
          <w:rFonts w:ascii="Georgia" w:hAnsi="Georgia" w:cs="Arial"/>
        </w:rPr>
      </w:pPr>
      <w:r w:rsidRPr="00FB171D">
        <w:rPr>
          <w:rFonts w:ascii="Georgia" w:hAnsi="Georgia" w:cs="Arial"/>
        </w:rPr>
        <w:t>Examining the Evidence, Mechanisms, and Mitigation Strategies</w:t>
      </w:r>
    </w:p>
    <w:p w14:paraId="7881AF64" w14:textId="77777777" w:rsidR="00814BB4" w:rsidRPr="00FB171D" w:rsidRDefault="00814BB4" w:rsidP="00814BB4">
      <w:pPr>
        <w:pStyle w:val="Heading1"/>
        <w:rPr>
          <w:rFonts w:ascii="Georgia" w:hAnsi="Georgia" w:cs="Arial"/>
        </w:rPr>
      </w:pPr>
      <w:bookmarkStart w:id="20" w:name="_Toc209691054"/>
      <w:r w:rsidRPr="00FB171D">
        <w:rPr>
          <w:rFonts w:ascii="Georgia" w:hAnsi="Georgia" w:cs="Arial"/>
        </w:rPr>
        <w:t>Introduction</w:t>
      </w:r>
      <w:bookmarkEnd w:id="20"/>
    </w:p>
    <w:p w14:paraId="43801AF4" w14:textId="77777777" w:rsidR="00814BB4" w:rsidRPr="00FB171D" w:rsidRDefault="00814BB4" w:rsidP="00814BB4">
      <w:pPr>
        <w:rPr>
          <w:rFonts w:ascii="Georgia" w:hAnsi="Georgia" w:cs="Arial"/>
        </w:rPr>
      </w:pPr>
      <w:r w:rsidRPr="00FB171D">
        <w:rPr>
          <w:rFonts w:ascii="Georgia" w:hAnsi="Georgia" w:cs="Arial"/>
        </w:rPr>
        <w:t xml:space="preserve">General anesthesia is a cornerstone of modern medicine, enabling countless surgical interventions that would otherwise be intolerable or impossible. While its safety profile has improved markedly over the past century, concerns remain about its potential impact on brain health—particularly in mature adults and older individuals, who may be at heightened risk for postoperative cognitive dysfunction (POCD) and longer-term cognitive decline. As our </w:t>
      </w:r>
      <w:r w:rsidRPr="00FB171D">
        <w:rPr>
          <w:rFonts w:ascii="Georgia" w:hAnsi="Georgia" w:cs="Arial"/>
        </w:rPr>
        <w:lastRenderedPageBreak/>
        <w:t>population ages and the number of older adults undergoing surgery rises, understanding the relationship between anesthesia and cognitive outcomes has never been more critical.</w:t>
      </w:r>
    </w:p>
    <w:p w14:paraId="7586D92F" w14:textId="77777777" w:rsidR="00814BB4" w:rsidRPr="00FB171D" w:rsidRDefault="00814BB4" w:rsidP="00814BB4">
      <w:pPr>
        <w:pStyle w:val="Heading1"/>
        <w:rPr>
          <w:rFonts w:ascii="Georgia" w:hAnsi="Georgia" w:cs="Arial"/>
        </w:rPr>
      </w:pPr>
      <w:bookmarkStart w:id="21" w:name="_Toc209691055"/>
      <w:r w:rsidRPr="00FB171D">
        <w:rPr>
          <w:rFonts w:ascii="Georgia" w:hAnsi="Georgia" w:cs="Arial"/>
        </w:rPr>
        <w:t>Defining Cognitive Risks After Anesthesia</w:t>
      </w:r>
      <w:bookmarkEnd w:id="21"/>
    </w:p>
    <w:p w14:paraId="309AFB7F" w14:textId="77777777" w:rsidR="00814BB4" w:rsidRPr="00FB171D" w:rsidRDefault="00814BB4" w:rsidP="00814BB4">
      <w:pPr>
        <w:rPr>
          <w:rFonts w:ascii="Georgia" w:hAnsi="Georgia" w:cs="Arial"/>
        </w:rPr>
      </w:pPr>
      <w:r w:rsidRPr="00FB171D">
        <w:rPr>
          <w:rFonts w:ascii="Georgia" w:hAnsi="Georgia" w:cs="Arial"/>
        </w:rPr>
        <w:t>Cognitive decline attributed to anesthesia typically falls into two main categories:</w:t>
      </w:r>
    </w:p>
    <w:p w14:paraId="2CE49889" w14:textId="77777777" w:rsidR="00814BB4" w:rsidRPr="00FB171D" w:rsidRDefault="00814BB4" w:rsidP="00814BB4">
      <w:pPr>
        <w:pStyle w:val="ListParagraph"/>
        <w:numPr>
          <w:ilvl w:val="0"/>
          <w:numId w:val="99"/>
        </w:numPr>
        <w:rPr>
          <w:rFonts w:ascii="Georgia" w:hAnsi="Georgia" w:cs="Arial"/>
        </w:rPr>
      </w:pPr>
      <w:r w:rsidRPr="00FB171D">
        <w:rPr>
          <w:rFonts w:ascii="Georgia" w:hAnsi="Georgia" w:cs="Arial"/>
        </w:rPr>
        <w:t>Postoperative Cognitive Dysfunction (POCD): A temporary or persistent reduction in cognitive performance—such as memory, attention, and executive function—after surgery.</w:t>
      </w:r>
    </w:p>
    <w:p w14:paraId="4C41D6A2" w14:textId="77777777" w:rsidR="00814BB4" w:rsidRPr="00FB171D" w:rsidRDefault="00814BB4" w:rsidP="00814BB4">
      <w:pPr>
        <w:pStyle w:val="ListParagraph"/>
        <w:numPr>
          <w:ilvl w:val="0"/>
          <w:numId w:val="99"/>
        </w:numPr>
        <w:rPr>
          <w:rFonts w:ascii="Georgia" w:hAnsi="Georgia" w:cs="Arial"/>
        </w:rPr>
      </w:pPr>
      <w:r w:rsidRPr="00FB171D">
        <w:rPr>
          <w:rFonts w:ascii="Georgia" w:hAnsi="Georgia" w:cs="Arial"/>
        </w:rPr>
        <w:t>Delirium: An acute, fluctuating state of confusion and impaired attention occurring soon after anesthesia, often resolving over days but associated with longer-term risk.</w:t>
      </w:r>
    </w:p>
    <w:p w14:paraId="1E6783CF" w14:textId="77777777" w:rsidR="00814BB4" w:rsidRPr="00FB171D" w:rsidRDefault="00814BB4" w:rsidP="00814BB4">
      <w:pPr>
        <w:rPr>
          <w:rFonts w:ascii="Georgia" w:hAnsi="Georgia" w:cs="Arial"/>
        </w:rPr>
      </w:pPr>
      <w:r w:rsidRPr="00FB171D">
        <w:rPr>
          <w:rFonts w:ascii="Georgia" w:hAnsi="Georgia" w:cs="Arial"/>
        </w:rPr>
        <w:t>While many mature adults recover fully from anesthesia without discernible issues, a subset experiences longer-lasting and sometimes progressive cognitive changes, raising questions about the underlying causes and modifiable risk factors.</w:t>
      </w:r>
    </w:p>
    <w:p w14:paraId="508C517F" w14:textId="77777777" w:rsidR="00814BB4" w:rsidRPr="00FB171D" w:rsidRDefault="00814BB4" w:rsidP="00814BB4">
      <w:pPr>
        <w:pStyle w:val="Heading1"/>
        <w:rPr>
          <w:rFonts w:ascii="Georgia" w:hAnsi="Georgia" w:cs="Arial"/>
        </w:rPr>
      </w:pPr>
      <w:bookmarkStart w:id="22" w:name="_Toc209691056"/>
      <w:r w:rsidRPr="00FB171D">
        <w:rPr>
          <w:rFonts w:ascii="Georgia" w:hAnsi="Georgia" w:cs="Arial"/>
        </w:rPr>
        <w:t>Incidence and Prevalence</w:t>
      </w:r>
      <w:bookmarkEnd w:id="22"/>
    </w:p>
    <w:p w14:paraId="51FCA697" w14:textId="77777777" w:rsidR="00814BB4" w:rsidRPr="00FB171D" w:rsidRDefault="00814BB4" w:rsidP="00814BB4">
      <w:pPr>
        <w:rPr>
          <w:rFonts w:ascii="Georgia" w:hAnsi="Georgia" w:cs="Arial"/>
        </w:rPr>
      </w:pPr>
      <w:r w:rsidRPr="00FB171D">
        <w:rPr>
          <w:rFonts w:ascii="Georgia" w:hAnsi="Georgia" w:cs="Arial"/>
        </w:rPr>
        <w:t>Studies suggest that POCD is most common in individuals over 60 years old, with estimates ranging from 15–40% at hospital discharge and about 10% at three months post-surgery. The risk increases with age, preexisting cognitive impairment, and the complexity of the surgery. Delirium, which may overlap with POCD, affects up to 50% of older adults after major operations such as hip fracture repair or heart surgery.</w:t>
      </w:r>
    </w:p>
    <w:p w14:paraId="11920AFD" w14:textId="77777777" w:rsidR="00814BB4" w:rsidRPr="00FB171D" w:rsidRDefault="00814BB4" w:rsidP="00814BB4">
      <w:pPr>
        <w:pStyle w:val="Heading1"/>
        <w:rPr>
          <w:rFonts w:ascii="Georgia" w:hAnsi="Georgia" w:cs="Arial"/>
        </w:rPr>
      </w:pPr>
      <w:bookmarkStart w:id="23" w:name="_Toc209691057"/>
      <w:r w:rsidRPr="00FB171D">
        <w:rPr>
          <w:rFonts w:ascii="Georgia" w:hAnsi="Georgia" w:cs="Arial"/>
        </w:rPr>
        <w:t>Mechanisms: How Might Anesthesia Affect the Aging Brain?</w:t>
      </w:r>
      <w:bookmarkEnd w:id="23"/>
    </w:p>
    <w:p w14:paraId="42ED0530" w14:textId="77777777" w:rsidR="00814BB4" w:rsidRPr="00FB171D" w:rsidRDefault="00814BB4" w:rsidP="00814BB4">
      <w:pPr>
        <w:pStyle w:val="Heading2"/>
        <w:rPr>
          <w:rFonts w:ascii="Georgia" w:hAnsi="Georgia" w:cs="Arial"/>
        </w:rPr>
      </w:pPr>
      <w:bookmarkStart w:id="24" w:name="_Toc209691058"/>
      <w:r w:rsidRPr="00FB171D">
        <w:rPr>
          <w:rFonts w:ascii="Georgia" w:hAnsi="Georgia" w:cs="Arial"/>
        </w:rPr>
        <w:t>Effects on Neurons and Synapses</w:t>
      </w:r>
      <w:bookmarkEnd w:id="24"/>
    </w:p>
    <w:p w14:paraId="1151C80F" w14:textId="77777777" w:rsidR="00814BB4" w:rsidRPr="00FB171D" w:rsidRDefault="00814BB4" w:rsidP="00814BB4">
      <w:pPr>
        <w:rPr>
          <w:rFonts w:ascii="Georgia" w:hAnsi="Georgia" w:cs="Arial"/>
        </w:rPr>
      </w:pPr>
      <w:r w:rsidRPr="00FB171D">
        <w:rPr>
          <w:rFonts w:ascii="Georgia" w:hAnsi="Georgia" w:cs="Arial"/>
        </w:rPr>
        <w:t>General anesthetic agents act mainly by suppressing neuronal activity, altering neurotransmitter release, and modulating synaptic function. While these effects are intended to be reversible, laboratory studies suggest possible downstream impacts:</w:t>
      </w:r>
    </w:p>
    <w:p w14:paraId="05D5853B" w14:textId="77777777" w:rsidR="00814BB4" w:rsidRPr="00FB171D" w:rsidRDefault="00814BB4" w:rsidP="00814BB4">
      <w:pPr>
        <w:pStyle w:val="ListParagraph"/>
        <w:numPr>
          <w:ilvl w:val="0"/>
          <w:numId w:val="100"/>
        </w:numPr>
        <w:rPr>
          <w:rFonts w:ascii="Georgia" w:hAnsi="Georgia" w:cs="Arial"/>
        </w:rPr>
      </w:pPr>
      <w:r w:rsidRPr="00FB171D">
        <w:rPr>
          <w:rFonts w:ascii="Georgia" w:hAnsi="Georgia" w:cs="Arial"/>
        </w:rPr>
        <w:t>Synaptic Disruption: Some anesthetics may transiently disturb synaptic connections, impairing communication between neurons. In aging brains—where synaptic density is already reduced—this effect may be more pronounced.</w:t>
      </w:r>
    </w:p>
    <w:p w14:paraId="686DEB06" w14:textId="77777777" w:rsidR="00814BB4" w:rsidRPr="00FB171D" w:rsidRDefault="00814BB4" w:rsidP="00814BB4">
      <w:pPr>
        <w:pStyle w:val="ListParagraph"/>
        <w:numPr>
          <w:ilvl w:val="0"/>
          <w:numId w:val="100"/>
        </w:numPr>
        <w:rPr>
          <w:rFonts w:ascii="Georgia" w:hAnsi="Georgia" w:cs="Arial"/>
        </w:rPr>
      </w:pPr>
      <w:r w:rsidRPr="00FB171D">
        <w:rPr>
          <w:rFonts w:ascii="Georgia" w:hAnsi="Georgia" w:cs="Arial"/>
        </w:rPr>
        <w:t>Neurotoxicity: Animal models reveal that exposure to certain anesthetic agents can trigger apoptosis (cell death) of neurons, especially during vulnerable periods. Though most evidence comes from developing brains, concerns persist for older adults with compromised neural resilience.</w:t>
      </w:r>
    </w:p>
    <w:p w14:paraId="1D931879" w14:textId="77777777" w:rsidR="00814BB4" w:rsidRPr="00FB171D" w:rsidRDefault="00814BB4" w:rsidP="00814BB4">
      <w:pPr>
        <w:pStyle w:val="Heading2"/>
        <w:rPr>
          <w:rFonts w:ascii="Georgia" w:hAnsi="Georgia" w:cs="Arial"/>
        </w:rPr>
      </w:pPr>
      <w:bookmarkStart w:id="25" w:name="_Toc209691059"/>
      <w:r w:rsidRPr="00FB171D">
        <w:rPr>
          <w:rFonts w:ascii="Georgia" w:hAnsi="Georgia" w:cs="Arial"/>
        </w:rPr>
        <w:t>Neuroinflammation</w:t>
      </w:r>
      <w:bookmarkEnd w:id="25"/>
    </w:p>
    <w:p w14:paraId="3A729169" w14:textId="77777777" w:rsidR="00814BB4" w:rsidRPr="00FB171D" w:rsidRDefault="00814BB4" w:rsidP="00814BB4">
      <w:pPr>
        <w:rPr>
          <w:rFonts w:ascii="Georgia" w:hAnsi="Georgia" w:cs="Arial"/>
        </w:rPr>
      </w:pPr>
      <w:r w:rsidRPr="00FB171D">
        <w:rPr>
          <w:rFonts w:ascii="Georgia" w:hAnsi="Georgia" w:cs="Arial"/>
        </w:rPr>
        <w:t xml:space="preserve">Surgical stress and anesthesia can provoke systemic inflammation, which may cross the blood-brain barrier and activate microglia—immune cells implicated in neurodegeneration. </w:t>
      </w:r>
      <w:r w:rsidRPr="00FB171D">
        <w:rPr>
          <w:rFonts w:ascii="Georgia" w:hAnsi="Georgia" w:cs="Arial"/>
        </w:rPr>
        <w:lastRenderedPageBreak/>
        <w:t>"Inflammaging," or age-related chronic inflammation, renders mature brains especially susceptible to these effects, potentially exacerbating neuronal loss or dysfunction.</w:t>
      </w:r>
    </w:p>
    <w:p w14:paraId="2960A87C" w14:textId="77777777" w:rsidR="00814BB4" w:rsidRPr="00FB171D" w:rsidRDefault="00814BB4" w:rsidP="00814BB4">
      <w:pPr>
        <w:pStyle w:val="Heading2"/>
        <w:rPr>
          <w:rFonts w:ascii="Georgia" w:hAnsi="Georgia" w:cs="Arial"/>
        </w:rPr>
      </w:pPr>
      <w:bookmarkStart w:id="26" w:name="_Toc209691060"/>
      <w:r w:rsidRPr="00FB171D">
        <w:rPr>
          <w:rFonts w:ascii="Georgia" w:hAnsi="Georgia" w:cs="Arial"/>
        </w:rPr>
        <w:t>Disruption of Neurotransmitter Systems</w:t>
      </w:r>
      <w:bookmarkEnd w:id="26"/>
    </w:p>
    <w:p w14:paraId="062F1FA1" w14:textId="77777777" w:rsidR="00814BB4" w:rsidRPr="00FB171D" w:rsidRDefault="00814BB4" w:rsidP="00814BB4">
      <w:pPr>
        <w:rPr>
          <w:rFonts w:ascii="Georgia" w:hAnsi="Georgia" w:cs="Arial"/>
        </w:rPr>
      </w:pPr>
      <w:r w:rsidRPr="00FB171D">
        <w:rPr>
          <w:rFonts w:ascii="Georgia" w:hAnsi="Georgia" w:cs="Arial"/>
        </w:rPr>
        <w:t>Anesthetics frequently target neurotransmitter systems (such as GABA, glutamate, acetylcholine), which are involved in memory, attention, and executive function. Older individuals may have altered neurotransmitter reserves or receptor sensitivities, making them more vulnerable to temporary or lasting imbalances.</w:t>
      </w:r>
    </w:p>
    <w:p w14:paraId="56E0A189" w14:textId="77777777" w:rsidR="00814BB4" w:rsidRPr="00FB171D" w:rsidRDefault="00814BB4" w:rsidP="00814BB4">
      <w:pPr>
        <w:pStyle w:val="Heading2"/>
        <w:rPr>
          <w:rFonts w:ascii="Georgia" w:hAnsi="Georgia" w:cs="Arial"/>
        </w:rPr>
      </w:pPr>
      <w:bookmarkStart w:id="27" w:name="_Toc209691061"/>
      <w:r w:rsidRPr="00FB171D">
        <w:rPr>
          <w:rFonts w:ascii="Georgia" w:hAnsi="Georgia" w:cs="Arial"/>
        </w:rPr>
        <w:t>Altered Blood Flow and Oxygenation</w:t>
      </w:r>
      <w:bookmarkEnd w:id="27"/>
    </w:p>
    <w:p w14:paraId="253C3F34" w14:textId="77777777" w:rsidR="00814BB4" w:rsidRPr="00FB171D" w:rsidRDefault="00814BB4" w:rsidP="00814BB4">
      <w:pPr>
        <w:rPr>
          <w:rFonts w:ascii="Georgia" w:hAnsi="Georgia" w:cs="Arial"/>
        </w:rPr>
      </w:pPr>
      <w:r w:rsidRPr="00FB171D">
        <w:rPr>
          <w:rFonts w:ascii="Georgia" w:hAnsi="Georgia" w:cs="Arial"/>
        </w:rPr>
        <w:t>Periods of hypotension, hypoxia, or reduced cerebral perfusion during anesthesia may compromise brain health—particularly in those with vascular disease, diabetes, or prior strokes.</w:t>
      </w:r>
    </w:p>
    <w:p w14:paraId="75C3C0D4" w14:textId="77777777" w:rsidR="00814BB4" w:rsidRPr="00FB171D" w:rsidRDefault="00814BB4" w:rsidP="00814BB4">
      <w:pPr>
        <w:pStyle w:val="Heading1"/>
        <w:rPr>
          <w:rFonts w:ascii="Georgia" w:hAnsi="Georgia" w:cs="Arial"/>
        </w:rPr>
      </w:pPr>
      <w:bookmarkStart w:id="28" w:name="_Toc209691062"/>
      <w:r w:rsidRPr="00FB171D">
        <w:rPr>
          <w:rFonts w:ascii="Georgia" w:hAnsi="Georgia" w:cs="Arial"/>
        </w:rPr>
        <w:t>Clinical Manifestations</w:t>
      </w:r>
      <w:bookmarkEnd w:id="28"/>
    </w:p>
    <w:p w14:paraId="1297C803" w14:textId="77777777" w:rsidR="00814BB4" w:rsidRPr="00FB171D" w:rsidRDefault="00814BB4" w:rsidP="00814BB4">
      <w:pPr>
        <w:pStyle w:val="ListParagraph"/>
        <w:numPr>
          <w:ilvl w:val="0"/>
          <w:numId w:val="101"/>
        </w:numPr>
        <w:rPr>
          <w:rFonts w:ascii="Georgia" w:hAnsi="Georgia" w:cs="Arial"/>
        </w:rPr>
      </w:pPr>
      <w:r w:rsidRPr="00FB171D">
        <w:rPr>
          <w:rFonts w:ascii="Georgia" w:hAnsi="Georgia" w:cs="Arial"/>
        </w:rPr>
        <w:t>Short-Term Effects: Cognitive slowing, memory lapses, and difficulties with attention are common in the days and weeks after anesthesia. Most cases resolve, but some persist.</w:t>
      </w:r>
    </w:p>
    <w:p w14:paraId="788E9F4B" w14:textId="77777777" w:rsidR="00814BB4" w:rsidRPr="00FB171D" w:rsidRDefault="00814BB4" w:rsidP="00814BB4">
      <w:pPr>
        <w:pStyle w:val="ListParagraph"/>
        <w:numPr>
          <w:ilvl w:val="0"/>
          <w:numId w:val="101"/>
        </w:numPr>
        <w:rPr>
          <w:rFonts w:ascii="Georgia" w:hAnsi="Georgia" w:cs="Arial"/>
        </w:rPr>
      </w:pPr>
      <w:r w:rsidRPr="00FB171D">
        <w:rPr>
          <w:rFonts w:ascii="Georgia" w:hAnsi="Georgia" w:cs="Arial"/>
        </w:rPr>
        <w:t>Long-Term Effects: In rare instances, POCD endures for months or longer, and has been associated with increased risk of dementia in select studies. However, causality is difficult to establish, as surgery and underlying illness are confounding factors.</w:t>
      </w:r>
    </w:p>
    <w:p w14:paraId="2643D712" w14:textId="77777777" w:rsidR="00814BB4" w:rsidRPr="00FB171D" w:rsidRDefault="00814BB4" w:rsidP="00814BB4">
      <w:pPr>
        <w:pStyle w:val="ListParagraph"/>
        <w:numPr>
          <w:ilvl w:val="0"/>
          <w:numId w:val="101"/>
        </w:numPr>
        <w:rPr>
          <w:rFonts w:ascii="Georgia" w:hAnsi="Georgia" w:cs="Arial"/>
        </w:rPr>
      </w:pPr>
      <w:r w:rsidRPr="00FB171D">
        <w:rPr>
          <w:rFonts w:ascii="Georgia" w:hAnsi="Georgia" w:cs="Arial"/>
        </w:rPr>
        <w:t>Delirium: Delirium (acute confusion) is a serious complication, associated with greater risk for prolonged cognitive decline, institutionalization, and mortality.</w:t>
      </w:r>
    </w:p>
    <w:p w14:paraId="1977F404" w14:textId="77777777" w:rsidR="00814BB4" w:rsidRPr="00FB171D" w:rsidRDefault="00814BB4" w:rsidP="00814BB4">
      <w:pPr>
        <w:pStyle w:val="Heading1"/>
        <w:rPr>
          <w:rFonts w:ascii="Georgia" w:hAnsi="Georgia" w:cs="Arial"/>
        </w:rPr>
      </w:pPr>
      <w:bookmarkStart w:id="29" w:name="_Toc209691063"/>
      <w:r w:rsidRPr="00FB171D">
        <w:rPr>
          <w:rFonts w:ascii="Georgia" w:hAnsi="Georgia" w:cs="Arial"/>
        </w:rPr>
        <w:t>Risk Factors</w:t>
      </w:r>
      <w:bookmarkEnd w:id="29"/>
    </w:p>
    <w:p w14:paraId="282FEF0E" w14:textId="77777777" w:rsidR="00814BB4" w:rsidRPr="00FB171D" w:rsidRDefault="00814BB4" w:rsidP="00814BB4">
      <w:pPr>
        <w:rPr>
          <w:rFonts w:ascii="Georgia" w:hAnsi="Georgia" w:cs="Arial"/>
        </w:rPr>
      </w:pPr>
      <w:r w:rsidRPr="00FB171D">
        <w:rPr>
          <w:rFonts w:ascii="Georgia" w:hAnsi="Georgia" w:cs="Arial"/>
        </w:rPr>
        <w:t>Age is the strongest risk factor, but other contributors include:</w:t>
      </w:r>
    </w:p>
    <w:p w14:paraId="096BED7C" w14:textId="77777777" w:rsidR="00814BB4" w:rsidRPr="00FB171D" w:rsidRDefault="00814BB4" w:rsidP="00814BB4">
      <w:pPr>
        <w:pStyle w:val="ListParagraph"/>
        <w:numPr>
          <w:ilvl w:val="0"/>
          <w:numId w:val="102"/>
        </w:numPr>
        <w:rPr>
          <w:rFonts w:ascii="Georgia" w:hAnsi="Georgia" w:cs="Arial"/>
        </w:rPr>
      </w:pPr>
      <w:r w:rsidRPr="00FB171D">
        <w:rPr>
          <w:rFonts w:ascii="Georgia" w:hAnsi="Georgia" w:cs="Arial"/>
        </w:rPr>
        <w:t>Preexisting cognitive impairment or dementia</w:t>
      </w:r>
    </w:p>
    <w:p w14:paraId="759EED9F" w14:textId="77777777" w:rsidR="00814BB4" w:rsidRPr="00FB171D" w:rsidRDefault="00814BB4" w:rsidP="00814BB4">
      <w:pPr>
        <w:pStyle w:val="ListParagraph"/>
        <w:numPr>
          <w:ilvl w:val="0"/>
          <w:numId w:val="102"/>
        </w:numPr>
        <w:rPr>
          <w:rFonts w:ascii="Georgia" w:hAnsi="Georgia" w:cs="Arial"/>
        </w:rPr>
      </w:pPr>
      <w:r w:rsidRPr="00FB171D">
        <w:rPr>
          <w:rFonts w:ascii="Georgia" w:hAnsi="Georgia" w:cs="Arial"/>
        </w:rPr>
        <w:t>History of stroke, cardiovascular disease, or diabetes</w:t>
      </w:r>
    </w:p>
    <w:p w14:paraId="152A6F5F" w14:textId="77777777" w:rsidR="00814BB4" w:rsidRPr="00FB171D" w:rsidRDefault="00814BB4" w:rsidP="00814BB4">
      <w:pPr>
        <w:pStyle w:val="ListParagraph"/>
        <w:numPr>
          <w:ilvl w:val="0"/>
          <w:numId w:val="102"/>
        </w:numPr>
        <w:rPr>
          <w:rFonts w:ascii="Georgia" w:hAnsi="Georgia" w:cs="Arial"/>
        </w:rPr>
      </w:pPr>
      <w:r w:rsidRPr="00FB171D">
        <w:rPr>
          <w:rFonts w:ascii="Georgia" w:hAnsi="Georgia" w:cs="Arial"/>
        </w:rPr>
        <w:t>Low educational or cognitive reserve</w:t>
      </w:r>
    </w:p>
    <w:p w14:paraId="2BF25557" w14:textId="77777777" w:rsidR="00814BB4" w:rsidRPr="00FB171D" w:rsidRDefault="00814BB4" w:rsidP="00814BB4">
      <w:pPr>
        <w:pStyle w:val="ListParagraph"/>
        <w:numPr>
          <w:ilvl w:val="0"/>
          <w:numId w:val="102"/>
        </w:numPr>
        <w:rPr>
          <w:rFonts w:ascii="Georgia" w:hAnsi="Georgia" w:cs="Arial"/>
        </w:rPr>
      </w:pPr>
      <w:r w:rsidRPr="00FB171D">
        <w:rPr>
          <w:rFonts w:ascii="Georgia" w:hAnsi="Georgia" w:cs="Arial"/>
        </w:rPr>
        <w:t>Major or prolonged surgical procedures</w:t>
      </w:r>
    </w:p>
    <w:p w14:paraId="1AC07EC3" w14:textId="77777777" w:rsidR="00814BB4" w:rsidRPr="00FB171D" w:rsidRDefault="00814BB4" w:rsidP="00814BB4">
      <w:pPr>
        <w:pStyle w:val="ListParagraph"/>
        <w:numPr>
          <w:ilvl w:val="0"/>
          <w:numId w:val="102"/>
        </w:numPr>
        <w:rPr>
          <w:rFonts w:ascii="Georgia" w:hAnsi="Georgia" w:cs="Arial"/>
        </w:rPr>
      </w:pPr>
      <w:r w:rsidRPr="00FB171D">
        <w:rPr>
          <w:rFonts w:ascii="Georgia" w:hAnsi="Georgia" w:cs="Arial"/>
        </w:rPr>
        <w:t>Polypharmacy and interactions with other drugs</w:t>
      </w:r>
    </w:p>
    <w:p w14:paraId="023BF5F6" w14:textId="77777777" w:rsidR="00814BB4" w:rsidRPr="00FB171D" w:rsidRDefault="00814BB4" w:rsidP="00814BB4">
      <w:pPr>
        <w:pStyle w:val="ListParagraph"/>
        <w:numPr>
          <w:ilvl w:val="0"/>
          <w:numId w:val="102"/>
        </w:numPr>
        <w:rPr>
          <w:rFonts w:ascii="Georgia" w:hAnsi="Georgia" w:cs="Arial"/>
        </w:rPr>
      </w:pPr>
      <w:r w:rsidRPr="00FB171D">
        <w:rPr>
          <w:rFonts w:ascii="Georgia" w:hAnsi="Georgia" w:cs="Arial"/>
        </w:rPr>
        <w:t>Poor baseline health, malnutrition, or frailty</w:t>
      </w:r>
    </w:p>
    <w:p w14:paraId="3CE63F33" w14:textId="77777777" w:rsidR="00814BB4" w:rsidRPr="00FB171D" w:rsidRDefault="00814BB4" w:rsidP="00814BB4">
      <w:pPr>
        <w:pStyle w:val="Heading1"/>
        <w:rPr>
          <w:rFonts w:ascii="Georgia" w:hAnsi="Georgia" w:cs="Arial"/>
        </w:rPr>
      </w:pPr>
      <w:bookmarkStart w:id="30" w:name="_Toc209691064"/>
      <w:r w:rsidRPr="00FB171D">
        <w:rPr>
          <w:rFonts w:ascii="Georgia" w:hAnsi="Georgia" w:cs="Arial"/>
        </w:rPr>
        <w:t>Is It the Anesthesia, the Surgery, or the Illness?</w:t>
      </w:r>
      <w:bookmarkEnd w:id="30"/>
    </w:p>
    <w:p w14:paraId="19D3ACBF" w14:textId="77777777" w:rsidR="00814BB4" w:rsidRPr="00FB171D" w:rsidRDefault="00814BB4" w:rsidP="00814BB4">
      <w:pPr>
        <w:rPr>
          <w:rFonts w:ascii="Georgia" w:hAnsi="Georgia" w:cs="Arial"/>
        </w:rPr>
      </w:pPr>
      <w:r w:rsidRPr="00FB171D">
        <w:rPr>
          <w:rFonts w:ascii="Georgia" w:hAnsi="Georgia" w:cs="Arial"/>
        </w:rPr>
        <w:t>Importantly, cognitive decline after surgery is multifactorial. While anesthesia is a suspected contributor, factors such as surgical stress, pain, inflammation, sleep disruption, and underlying medical conditions often play equal or larger roles. Studies comparing general to regional anesthesia have yielded mixed results, suggesting that overall perioperative management is crucial.</w:t>
      </w:r>
    </w:p>
    <w:p w14:paraId="36046930" w14:textId="77777777" w:rsidR="00814BB4" w:rsidRPr="00FB171D" w:rsidRDefault="00814BB4" w:rsidP="00814BB4">
      <w:pPr>
        <w:pStyle w:val="Heading1"/>
        <w:rPr>
          <w:rFonts w:ascii="Georgia" w:hAnsi="Georgia" w:cs="Arial"/>
        </w:rPr>
      </w:pPr>
      <w:bookmarkStart w:id="31" w:name="_Toc209691065"/>
      <w:r w:rsidRPr="00FB171D">
        <w:rPr>
          <w:rFonts w:ascii="Georgia" w:hAnsi="Georgia" w:cs="Arial"/>
        </w:rPr>
        <w:lastRenderedPageBreak/>
        <w:t>Current Evidence and Controversies</w:t>
      </w:r>
      <w:bookmarkEnd w:id="31"/>
    </w:p>
    <w:p w14:paraId="26A22E4C" w14:textId="77777777" w:rsidR="00814BB4" w:rsidRPr="00FB171D" w:rsidRDefault="00814BB4" w:rsidP="00814BB4">
      <w:pPr>
        <w:pStyle w:val="Heading2"/>
        <w:rPr>
          <w:rFonts w:ascii="Georgia" w:hAnsi="Georgia" w:cs="Arial"/>
        </w:rPr>
      </w:pPr>
      <w:bookmarkStart w:id="32" w:name="_Toc209691066"/>
      <w:r w:rsidRPr="00FB171D">
        <w:rPr>
          <w:rFonts w:ascii="Georgia" w:hAnsi="Georgia" w:cs="Arial"/>
        </w:rPr>
        <w:t>What Do Large Studies Show?</w:t>
      </w:r>
      <w:bookmarkEnd w:id="32"/>
    </w:p>
    <w:p w14:paraId="35BD74CE" w14:textId="77777777" w:rsidR="00814BB4" w:rsidRPr="00FB171D" w:rsidRDefault="00814BB4" w:rsidP="00814BB4">
      <w:pPr>
        <w:rPr>
          <w:rFonts w:ascii="Georgia" w:hAnsi="Georgia" w:cs="Arial"/>
        </w:rPr>
      </w:pPr>
      <w:r w:rsidRPr="00FB171D">
        <w:rPr>
          <w:rFonts w:ascii="Georgia" w:hAnsi="Georgia" w:cs="Arial"/>
        </w:rPr>
        <w:t>Most studies do not find a direct link between a single episode of general anesthesia and an increased risk of dementia, though some suggest repeated exposures may cumulatively increase risk. The risk appears highest in those with preexisting vulnerability.</w:t>
      </w:r>
    </w:p>
    <w:p w14:paraId="5412AC50" w14:textId="77777777" w:rsidR="00814BB4" w:rsidRPr="00FB171D" w:rsidRDefault="00814BB4" w:rsidP="00814BB4">
      <w:pPr>
        <w:pStyle w:val="Heading2"/>
        <w:rPr>
          <w:rFonts w:ascii="Georgia" w:hAnsi="Georgia" w:cs="Arial"/>
        </w:rPr>
      </w:pPr>
      <w:bookmarkStart w:id="33" w:name="_Toc209691067"/>
      <w:r w:rsidRPr="00FB171D">
        <w:rPr>
          <w:rFonts w:ascii="Georgia" w:hAnsi="Georgia" w:cs="Arial"/>
        </w:rPr>
        <w:t>Specific Anesthetic Agents</w:t>
      </w:r>
      <w:bookmarkEnd w:id="33"/>
    </w:p>
    <w:p w14:paraId="31AF6184" w14:textId="77777777" w:rsidR="00814BB4" w:rsidRPr="00FB171D" w:rsidRDefault="00814BB4" w:rsidP="00814BB4">
      <w:pPr>
        <w:rPr>
          <w:rFonts w:ascii="Georgia" w:hAnsi="Georgia" w:cs="Arial"/>
        </w:rPr>
      </w:pPr>
      <w:r w:rsidRPr="00FB171D">
        <w:rPr>
          <w:rFonts w:ascii="Georgia" w:hAnsi="Georgia" w:cs="Arial"/>
        </w:rPr>
        <w:t>Some agents (like isoflurane, sevoflurane, and propofol) have been scrutinized for potential neurotoxic effects, but current evidence does not single out any one drug as uniquely hazardous. Rather, duration of exposure, physiological stability, and patient characteristics are more important.</w:t>
      </w:r>
    </w:p>
    <w:p w14:paraId="1CDCDA88" w14:textId="77777777" w:rsidR="00814BB4" w:rsidRPr="00FB171D" w:rsidRDefault="00814BB4" w:rsidP="00814BB4">
      <w:pPr>
        <w:pStyle w:val="Heading1"/>
        <w:rPr>
          <w:rFonts w:ascii="Georgia" w:hAnsi="Georgia" w:cs="Arial"/>
        </w:rPr>
      </w:pPr>
      <w:bookmarkStart w:id="34" w:name="_Toc209691068"/>
      <w:r w:rsidRPr="00FB171D">
        <w:rPr>
          <w:rFonts w:ascii="Georgia" w:hAnsi="Georgia" w:cs="Arial"/>
        </w:rPr>
        <w:t>Mitigation Strategies</w:t>
      </w:r>
      <w:bookmarkEnd w:id="34"/>
    </w:p>
    <w:p w14:paraId="050FEBB3" w14:textId="77777777" w:rsidR="00814BB4" w:rsidRPr="00FB171D" w:rsidRDefault="00814BB4" w:rsidP="00814BB4">
      <w:pPr>
        <w:rPr>
          <w:rFonts w:ascii="Georgia" w:hAnsi="Georgia" w:cs="Arial"/>
        </w:rPr>
      </w:pPr>
      <w:r w:rsidRPr="00FB171D">
        <w:rPr>
          <w:rFonts w:ascii="Georgia" w:hAnsi="Georgia" w:cs="Arial"/>
        </w:rPr>
        <w:t>Promising approaches to reduce the cognitive risks of anesthesia in mature individuals include:</w:t>
      </w:r>
    </w:p>
    <w:p w14:paraId="24A39498" w14:textId="77777777" w:rsidR="00814BB4" w:rsidRPr="00FB171D" w:rsidRDefault="00814BB4" w:rsidP="00814BB4">
      <w:pPr>
        <w:pStyle w:val="ListParagraph"/>
        <w:numPr>
          <w:ilvl w:val="0"/>
          <w:numId w:val="103"/>
        </w:numPr>
        <w:rPr>
          <w:rFonts w:ascii="Georgia" w:hAnsi="Georgia" w:cs="Arial"/>
        </w:rPr>
      </w:pPr>
      <w:r w:rsidRPr="00FB171D">
        <w:rPr>
          <w:rFonts w:ascii="Georgia" w:hAnsi="Georgia" w:cs="Arial"/>
        </w:rPr>
        <w:t>Thorough preoperative cognitive and medical assessment</w:t>
      </w:r>
    </w:p>
    <w:p w14:paraId="03D9BEFE" w14:textId="77777777" w:rsidR="00814BB4" w:rsidRPr="00FB171D" w:rsidRDefault="00814BB4" w:rsidP="00814BB4">
      <w:pPr>
        <w:pStyle w:val="ListParagraph"/>
        <w:numPr>
          <w:ilvl w:val="0"/>
          <w:numId w:val="103"/>
        </w:numPr>
        <w:rPr>
          <w:rFonts w:ascii="Georgia" w:hAnsi="Georgia" w:cs="Arial"/>
        </w:rPr>
      </w:pPr>
      <w:r w:rsidRPr="00FB171D">
        <w:rPr>
          <w:rFonts w:ascii="Georgia" w:hAnsi="Georgia" w:cs="Arial"/>
        </w:rPr>
        <w:t>Using the lowest effective dose and shortest duration of anesthesia</w:t>
      </w:r>
    </w:p>
    <w:p w14:paraId="54E86435" w14:textId="77777777" w:rsidR="00814BB4" w:rsidRPr="00FB171D" w:rsidRDefault="00814BB4" w:rsidP="00814BB4">
      <w:pPr>
        <w:pStyle w:val="ListParagraph"/>
        <w:numPr>
          <w:ilvl w:val="0"/>
          <w:numId w:val="103"/>
        </w:numPr>
        <w:rPr>
          <w:rFonts w:ascii="Georgia" w:hAnsi="Georgia" w:cs="Arial"/>
        </w:rPr>
      </w:pPr>
      <w:r w:rsidRPr="00FB171D">
        <w:rPr>
          <w:rFonts w:ascii="Georgia" w:hAnsi="Georgia" w:cs="Arial"/>
        </w:rPr>
        <w:t>Maintaining stable blood pressure, oxygenation, and glucose levels during surgery</w:t>
      </w:r>
    </w:p>
    <w:p w14:paraId="3EC1DE86" w14:textId="77777777" w:rsidR="00814BB4" w:rsidRPr="00FB171D" w:rsidRDefault="00814BB4" w:rsidP="00814BB4">
      <w:pPr>
        <w:pStyle w:val="ListParagraph"/>
        <w:numPr>
          <w:ilvl w:val="0"/>
          <w:numId w:val="103"/>
        </w:numPr>
        <w:rPr>
          <w:rFonts w:ascii="Georgia" w:hAnsi="Georgia" w:cs="Arial"/>
        </w:rPr>
      </w:pPr>
      <w:r w:rsidRPr="00FB171D">
        <w:rPr>
          <w:rFonts w:ascii="Georgia" w:hAnsi="Georgia" w:cs="Arial"/>
        </w:rPr>
        <w:t>Engaging multidisciplinary teams—including geriatrics—for perioperative management</w:t>
      </w:r>
    </w:p>
    <w:p w14:paraId="6392CA62" w14:textId="77777777" w:rsidR="00814BB4" w:rsidRPr="00FB171D" w:rsidRDefault="00814BB4" w:rsidP="00814BB4">
      <w:pPr>
        <w:pStyle w:val="ListParagraph"/>
        <w:numPr>
          <w:ilvl w:val="0"/>
          <w:numId w:val="103"/>
        </w:numPr>
        <w:rPr>
          <w:rFonts w:ascii="Georgia" w:hAnsi="Georgia" w:cs="Arial"/>
        </w:rPr>
      </w:pPr>
      <w:r w:rsidRPr="00FB171D">
        <w:rPr>
          <w:rFonts w:ascii="Georgia" w:hAnsi="Georgia" w:cs="Arial"/>
        </w:rPr>
        <w:t>Early mobilization, pain control, and minimizing sedation postoperatively</w:t>
      </w:r>
    </w:p>
    <w:p w14:paraId="27635D83" w14:textId="77777777" w:rsidR="00814BB4" w:rsidRPr="00FB171D" w:rsidRDefault="00814BB4" w:rsidP="00814BB4">
      <w:pPr>
        <w:pStyle w:val="ListParagraph"/>
        <w:numPr>
          <w:ilvl w:val="0"/>
          <w:numId w:val="103"/>
        </w:numPr>
        <w:rPr>
          <w:rFonts w:ascii="Georgia" w:hAnsi="Georgia" w:cs="Arial"/>
        </w:rPr>
      </w:pPr>
      <w:r w:rsidRPr="00FB171D">
        <w:rPr>
          <w:rFonts w:ascii="Georgia" w:hAnsi="Georgia" w:cs="Arial"/>
        </w:rPr>
        <w:t>Monitoring for delirium and intervening promptly if symptoms arise</w:t>
      </w:r>
    </w:p>
    <w:p w14:paraId="643BB70E" w14:textId="77777777" w:rsidR="00814BB4" w:rsidRPr="00FB171D" w:rsidRDefault="00814BB4" w:rsidP="00814BB4">
      <w:pPr>
        <w:pStyle w:val="ListParagraph"/>
        <w:numPr>
          <w:ilvl w:val="0"/>
          <w:numId w:val="103"/>
        </w:numPr>
        <w:rPr>
          <w:rFonts w:ascii="Georgia" w:hAnsi="Georgia" w:cs="Arial"/>
        </w:rPr>
      </w:pPr>
      <w:r w:rsidRPr="00FB171D">
        <w:rPr>
          <w:rFonts w:ascii="Georgia" w:hAnsi="Georgia" w:cs="Arial"/>
        </w:rPr>
        <w:t>Supporting sleep quality and nutrition during recovery</w:t>
      </w:r>
    </w:p>
    <w:p w14:paraId="303B09C2" w14:textId="77777777" w:rsidR="00814BB4" w:rsidRPr="00FB171D" w:rsidRDefault="00814BB4" w:rsidP="00814BB4">
      <w:pPr>
        <w:pStyle w:val="Heading1"/>
        <w:rPr>
          <w:rFonts w:ascii="Georgia" w:hAnsi="Georgia" w:cs="Arial"/>
        </w:rPr>
      </w:pPr>
      <w:bookmarkStart w:id="35" w:name="_Toc209691069"/>
      <w:r w:rsidRPr="00FB171D">
        <w:rPr>
          <w:rFonts w:ascii="Georgia" w:hAnsi="Georgia" w:cs="Arial"/>
        </w:rPr>
        <w:t>Emerging Research and Future Directions</w:t>
      </w:r>
      <w:bookmarkEnd w:id="35"/>
    </w:p>
    <w:p w14:paraId="02FC4F44" w14:textId="77777777" w:rsidR="00814BB4" w:rsidRPr="00FB171D" w:rsidRDefault="00814BB4" w:rsidP="00814BB4">
      <w:pPr>
        <w:rPr>
          <w:rFonts w:ascii="Georgia" w:hAnsi="Georgia" w:cs="Arial"/>
        </w:rPr>
      </w:pPr>
      <w:r w:rsidRPr="00FB171D">
        <w:rPr>
          <w:rFonts w:ascii="Georgia" w:hAnsi="Georgia" w:cs="Arial"/>
        </w:rPr>
        <w:t>Cutting-edge research is exploring:</w:t>
      </w:r>
    </w:p>
    <w:p w14:paraId="44BA6951" w14:textId="77777777" w:rsidR="00814BB4" w:rsidRPr="00FB171D" w:rsidRDefault="00814BB4" w:rsidP="00814BB4">
      <w:pPr>
        <w:pStyle w:val="ListParagraph"/>
        <w:numPr>
          <w:ilvl w:val="0"/>
          <w:numId w:val="104"/>
        </w:numPr>
        <w:rPr>
          <w:rFonts w:ascii="Georgia" w:hAnsi="Georgia" w:cs="Arial"/>
        </w:rPr>
      </w:pPr>
      <w:r w:rsidRPr="00FB171D">
        <w:rPr>
          <w:rFonts w:ascii="Georgia" w:hAnsi="Georgia" w:cs="Arial"/>
        </w:rPr>
        <w:t>Biomarkers to identify at-risk individuals preoperatively</w:t>
      </w:r>
    </w:p>
    <w:p w14:paraId="4D71B459" w14:textId="77777777" w:rsidR="00814BB4" w:rsidRPr="00FB171D" w:rsidRDefault="00814BB4" w:rsidP="00814BB4">
      <w:pPr>
        <w:pStyle w:val="ListParagraph"/>
        <w:numPr>
          <w:ilvl w:val="0"/>
          <w:numId w:val="104"/>
        </w:numPr>
        <w:rPr>
          <w:rFonts w:ascii="Georgia" w:hAnsi="Georgia" w:cs="Arial"/>
        </w:rPr>
      </w:pPr>
      <w:r w:rsidRPr="00FB171D">
        <w:rPr>
          <w:rFonts w:ascii="Georgia" w:hAnsi="Georgia" w:cs="Arial"/>
        </w:rPr>
        <w:t>Neuroprotective drugs and anti-inflammatory agents administered around surgery</w:t>
      </w:r>
    </w:p>
    <w:p w14:paraId="161B62B2" w14:textId="77777777" w:rsidR="00814BB4" w:rsidRPr="00FB171D" w:rsidRDefault="00814BB4" w:rsidP="00814BB4">
      <w:pPr>
        <w:pStyle w:val="ListParagraph"/>
        <w:numPr>
          <w:ilvl w:val="0"/>
          <w:numId w:val="104"/>
        </w:numPr>
        <w:rPr>
          <w:rFonts w:ascii="Georgia" w:hAnsi="Georgia" w:cs="Arial"/>
        </w:rPr>
      </w:pPr>
      <w:r w:rsidRPr="00FB171D">
        <w:rPr>
          <w:rFonts w:ascii="Georgia" w:hAnsi="Georgia" w:cs="Arial"/>
        </w:rPr>
        <w:t>Cognitive training and rehabilitation to speed recovery</w:t>
      </w:r>
    </w:p>
    <w:p w14:paraId="5D9EEB35" w14:textId="77777777" w:rsidR="00814BB4" w:rsidRPr="00FB171D" w:rsidRDefault="00814BB4" w:rsidP="00814BB4">
      <w:pPr>
        <w:pStyle w:val="ListParagraph"/>
        <w:numPr>
          <w:ilvl w:val="0"/>
          <w:numId w:val="104"/>
        </w:numPr>
        <w:rPr>
          <w:rFonts w:ascii="Georgia" w:hAnsi="Georgia" w:cs="Arial"/>
        </w:rPr>
      </w:pPr>
      <w:r w:rsidRPr="00FB171D">
        <w:rPr>
          <w:rFonts w:ascii="Georgia" w:hAnsi="Georgia" w:cs="Arial"/>
        </w:rPr>
        <w:t>Tracking long-term outcomes in large, diverse populations</w:t>
      </w:r>
    </w:p>
    <w:p w14:paraId="5B3D824B" w14:textId="77777777" w:rsidR="00814BB4" w:rsidRPr="00FB171D" w:rsidRDefault="00814BB4" w:rsidP="00814BB4">
      <w:pPr>
        <w:pStyle w:val="Heading1"/>
        <w:rPr>
          <w:rFonts w:ascii="Georgia" w:hAnsi="Georgia" w:cs="Arial"/>
        </w:rPr>
      </w:pPr>
      <w:bookmarkStart w:id="36" w:name="_Toc209691070"/>
      <w:r w:rsidRPr="00FB171D">
        <w:rPr>
          <w:rFonts w:ascii="Georgia" w:hAnsi="Georgia" w:cs="Arial"/>
        </w:rPr>
        <w:t>Conclusion</w:t>
      </w:r>
      <w:bookmarkEnd w:id="36"/>
    </w:p>
    <w:p w14:paraId="2318F35A" w14:textId="129E3AAC" w:rsidR="00814BB4" w:rsidRPr="00FB171D" w:rsidRDefault="00814BB4" w:rsidP="00814BB4">
      <w:pPr>
        <w:rPr>
          <w:rFonts w:ascii="Georgia" w:hAnsi="Georgia" w:cs="Arial"/>
        </w:rPr>
      </w:pPr>
      <w:r w:rsidRPr="00FB171D">
        <w:rPr>
          <w:rFonts w:ascii="Georgia" w:hAnsi="Georgia" w:cs="Arial"/>
        </w:rPr>
        <w:t>For mature adults, general anesthesia is generally safe when administered with modern protocols and careful monitoring. However, it carries a real—but typically small—risk of short- and long-term cognitive changes, especially in those with existing vulnerabilities. The best approach lies in individualized risk assessment, meticulous perioperative care, and proactive support in the recovery phase. As research advances, new strategies may help further mitigate risks and preserve cognitive health, ensuring that necessary surgical interventions do not come at the expense of lifelong brain function.</w:t>
      </w:r>
    </w:p>
    <w:p w14:paraId="32FBB5A0" w14:textId="77777777" w:rsidR="001932D7" w:rsidRPr="00FB171D" w:rsidRDefault="001932D7" w:rsidP="00814BB4">
      <w:pPr>
        <w:rPr>
          <w:rFonts w:ascii="Georgia" w:hAnsi="Georgia" w:cs="Arial"/>
        </w:rPr>
      </w:pPr>
    </w:p>
    <w:p w14:paraId="56D031C5" w14:textId="3B05C307" w:rsidR="001932D7" w:rsidRPr="00FB171D" w:rsidRDefault="001932D7" w:rsidP="00814BB4">
      <w:pPr>
        <w:rPr>
          <w:rFonts w:ascii="Georgia" w:hAnsi="Georgia" w:cs="Arial"/>
        </w:rPr>
      </w:pPr>
      <w:r w:rsidRPr="00FB171D">
        <w:rPr>
          <w:rFonts w:ascii="Georgia" w:hAnsi="Georgia" w:cs="Arial"/>
        </w:rPr>
        <w:lastRenderedPageBreak/>
        <w:t>Heart Surgery and “Pump brain”</w:t>
      </w:r>
    </w:p>
    <w:p w14:paraId="1CA5E2F0" w14:textId="77777777" w:rsidR="001932D7" w:rsidRPr="00FB171D" w:rsidRDefault="001932D7" w:rsidP="001932D7">
      <w:pPr>
        <w:rPr>
          <w:rFonts w:ascii="Georgia" w:hAnsi="Georgia" w:cs="Arial"/>
        </w:rPr>
      </w:pPr>
      <w:r w:rsidRPr="00FB171D">
        <w:rPr>
          <w:rFonts w:ascii="Georgia" w:hAnsi="Georgia" w:cs="Arial"/>
        </w:rPr>
        <w:t>During heart surgery, especially procedures that require the use of a heart-lung machine (cardiopulmonary bypass), patients may experience a phenomenon known as “pump brain.” This term refers to a spectrum of cognitive and neurological changes that can occur in the days or weeks following surgery. While most individuals recover fully, some may notice lingering issues such as mild memory lapses, difficulty concentrating, or slowed mental processing.</w:t>
      </w:r>
    </w:p>
    <w:p w14:paraId="60E2A53E" w14:textId="77777777" w:rsidR="001932D7" w:rsidRPr="00FB171D" w:rsidRDefault="001932D7" w:rsidP="001932D7">
      <w:pPr>
        <w:rPr>
          <w:rFonts w:ascii="Georgia" w:hAnsi="Georgia" w:cs="Arial"/>
        </w:rPr>
      </w:pPr>
      <w:r w:rsidRPr="00FB171D">
        <w:rPr>
          <w:rFonts w:ascii="Georgia" w:hAnsi="Georgia" w:cs="Arial"/>
        </w:rPr>
        <w:t>The underlying mechanisms of pump brain are multifactorial. Temporary interruption of blood flow, microemboli (tiny air bubbles or particles), inflammation, and even shifts in body temperature during bypass can all challenge the delicate balance of the brain’s environment. Older adults and those with pre-existing vascular or cognitive risk factors are more susceptible, and the severity of symptoms can range from subtle to significant, though major complications are rare.</w:t>
      </w:r>
    </w:p>
    <w:p w14:paraId="1B8201A3" w14:textId="77777777" w:rsidR="001932D7" w:rsidRPr="00FB171D" w:rsidRDefault="001932D7" w:rsidP="001932D7">
      <w:pPr>
        <w:rPr>
          <w:rFonts w:ascii="Georgia" w:hAnsi="Georgia" w:cs="Arial"/>
        </w:rPr>
      </w:pPr>
      <w:r w:rsidRPr="00FB171D">
        <w:rPr>
          <w:rFonts w:ascii="Georgia" w:hAnsi="Georgia" w:cs="Arial"/>
        </w:rPr>
        <w:t>Recent research has focused on strategies to minimize neurological risks during heart surgery. Improved filtration systems and careful monitoring of blood pressure, oxygenation, and temperature have helped reduce the incidence of pump brain. In addition, protocols designed to support cerebral blood flow and limit inflammation are increasingly being employed. For most patients, cognitive symptoms are temporary and resolve as the body heals and brain function normalizes.</w:t>
      </w:r>
    </w:p>
    <w:p w14:paraId="125C4636" w14:textId="5DCCF93A" w:rsidR="001932D7" w:rsidRPr="00FB171D" w:rsidRDefault="001932D7" w:rsidP="001932D7">
      <w:pPr>
        <w:rPr>
          <w:rFonts w:ascii="Georgia" w:hAnsi="Georgia" w:cs="Arial"/>
        </w:rPr>
      </w:pPr>
      <w:r w:rsidRPr="00FB171D">
        <w:rPr>
          <w:rFonts w:ascii="Georgia" w:hAnsi="Georgia" w:cs="Arial"/>
        </w:rPr>
        <w:t>Understanding the relationship between cardiac surgery and postoperative cognitive changes underscores the importance of holistic care—addressing not only the heart, but also the brain. Individualized perioperative planning, attentive monitoring, and early rehabilitation can help ensure that heart surgery restores physical health without compromising cognitive well-being.</w:t>
      </w:r>
    </w:p>
    <w:p w14:paraId="0D084B13" w14:textId="77777777" w:rsidR="009F4B78" w:rsidRPr="00FB171D" w:rsidRDefault="009F4B78" w:rsidP="001932D7">
      <w:pPr>
        <w:rPr>
          <w:rFonts w:ascii="Georgia" w:hAnsi="Georgia" w:cs="Arial"/>
        </w:rPr>
      </w:pPr>
    </w:p>
    <w:p w14:paraId="11425932" w14:textId="4F807366" w:rsidR="009F4B78" w:rsidRPr="00FB171D" w:rsidRDefault="009F4B78" w:rsidP="001932D7">
      <w:pPr>
        <w:rPr>
          <w:rFonts w:ascii="Georgia" w:hAnsi="Georgia" w:cs="Arial"/>
        </w:rPr>
      </w:pPr>
      <w:r w:rsidRPr="00FB171D">
        <w:rPr>
          <w:rFonts w:ascii="Georgia" w:hAnsi="Georgia" w:cs="Arial"/>
        </w:rPr>
        <w:t>Cognitive decline with Chemotherapy</w:t>
      </w:r>
    </w:p>
    <w:p w14:paraId="60CF4079" w14:textId="77777777" w:rsidR="009F4B78" w:rsidRPr="00FB171D" w:rsidRDefault="009F4B78" w:rsidP="009F4B78">
      <w:pPr>
        <w:rPr>
          <w:rFonts w:ascii="Georgia" w:hAnsi="Georgia" w:cs="Arial"/>
        </w:rPr>
      </w:pPr>
      <w:r w:rsidRPr="00FB171D">
        <w:rPr>
          <w:rFonts w:ascii="Georgia" w:hAnsi="Georgia" w:cs="Arial"/>
        </w:rPr>
        <w:t>Chemotherapy, while a vital weapon against cancer, is also associated with a phenomenon often called “chemo brain.” Many patients report experiencing problems with memory, attention, and processing speed during and after treatment. These cognitive changes can be subtle or pronounced and, for some, may persist for months or even years following therapy.</w:t>
      </w:r>
    </w:p>
    <w:p w14:paraId="5F988F02" w14:textId="77777777" w:rsidR="009F4B78" w:rsidRPr="00FB171D" w:rsidRDefault="009F4B78" w:rsidP="009F4B78">
      <w:pPr>
        <w:rPr>
          <w:rFonts w:ascii="Georgia" w:hAnsi="Georgia" w:cs="Arial"/>
        </w:rPr>
      </w:pPr>
      <w:r w:rsidRPr="00FB171D">
        <w:rPr>
          <w:rFonts w:ascii="Georgia" w:hAnsi="Georgia" w:cs="Arial"/>
        </w:rPr>
        <w:t>The underlying causes of chemo brain are complex and multi-dimensional. Chemotherapeutic agents can cross the blood-brain barrier, potentially disrupting neural pathways and affecting neurogenesis—the creation of new neurons. Inflammation, oxidative stress, hormonal imbalances, and changes to the brain's vasculature all contribute to the cognitive symptoms observed. Additionally, the emotional stress of cancer diagnosis and treatment, fatigue, and other medications may exacerbate cognitive difficulties.</w:t>
      </w:r>
    </w:p>
    <w:p w14:paraId="5E2D0F65" w14:textId="77777777" w:rsidR="009F4B78" w:rsidRPr="00FB171D" w:rsidRDefault="009F4B78" w:rsidP="009F4B78">
      <w:pPr>
        <w:rPr>
          <w:rFonts w:ascii="Georgia" w:hAnsi="Georgia" w:cs="Arial"/>
        </w:rPr>
      </w:pPr>
      <w:r w:rsidRPr="00FB171D">
        <w:rPr>
          <w:rFonts w:ascii="Georgia" w:hAnsi="Georgia" w:cs="Arial"/>
        </w:rPr>
        <w:t>Recent research has begun to unravel the specific mechanisms by which chemotherapy impairs cognitive function, pointing to alterations in white matter integrity, reductions in brain volume, and changes in neurotransmitter levels. Advanced imaging technologies, including MRI, have helped visualize some of these effects, though much remains to be understood about the precise relationship between chemotherapy and brain health.</w:t>
      </w:r>
    </w:p>
    <w:p w14:paraId="6B487F64" w14:textId="3E47A90C" w:rsidR="009F4B78" w:rsidRPr="00FB171D" w:rsidRDefault="009F4B78" w:rsidP="009F4B78">
      <w:pPr>
        <w:rPr>
          <w:rFonts w:ascii="Georgia" w:hAnsi="Georgia" w:cs="Arial"/>
        </w:rPr>
      </w:pPr>
      <w:r w:rsidRPr="00FB171D">
        <w:rPr>
          <w:rFonts w:ascii="Georgia" w:hAnsi="Georgia" w:cs="Arial"/>
        </w:rPr>
        <w:t xml:space="preserve">Fortunately, most patients see gradual improvement in their cognitive abilities once treatment is completed. Rehabilitation strategies—such as cognitive training, exercise, and mindfulness techniques—are being explored to help accelerate recovery and support brain resilience. </w:t>
      </w:r>
      <w:r w:rsidRPr="00FB171D">
        <w:rPr>
          <w:rFonts w:ascii="Georgia" w:hAnsi="Georgia" w:cs="Arial"/>
        </w:rPr>
        <w:lastRenderedPageBreak/>
        <w:t>Individualized care, early detection of symptoms, and ongoing research into protective therapies are essential to minimize the impact of chemo brain, allowing survivors to regain their mental sharpness and quality of life.</w:t>
      </w:r>
    </w:p>
    <w:p w14:paraId="32E0BD93" w14:textId="77777777" w:rsidR="009F4B78" w:rsidRPr="00FB171D" w:rsidRDefault="009F4B78" w:rsidP="001932D7">
      <w:pPr>
        <w:rPr>
          <w:rFonts w:ascii="Georgia" w:hAnsi="Georgia" w:cs="Arial"/>
        </w:rPr>
      </w:pPr>
    </w:p>
    <w:p w14:paraId="3FCF7AA4" w14:textId="77777777" w:rsidR="007561C0" w:rsidRPr="00FB171D" w:rsidRDefault="007561C0" w:rsidP="00337CF6">
      <w:pPr>
        <w:rPr>
          <w:rFonts w:ascii="Georgia" w:hAnsi="Georgia" w:cs="Arial"/>
        </w:rPr>
      </w:pPr>
    </w:p>
    <w:p w14:paraId="52E1FD49" w14:textId="4201E299" w:rsidR="007561C0" w:rsidRPr="00FB171D" w:rsidRDefault="009F0BB5" w:rsidP="00B252B9">
      <w:pPr>
        <w:pStyle w:val="Heading3"/>
        <w:rPr>
          <w:rFonts w:ascii="Georgia" w:hAnsi="Georgia" w:cs="Arial"/>
        </w:rPr>
      </w:pPr>
      <w:bookmarkStart w:id="37" w:name="_Toc209691071"/>
      <w:r w:rsidRPr="00FB171D">
        <w:rPr>
          <w:rFonts w:ascii="Georgia" w:hAnsi="Georgia" w:cs="Arial"/>
        </w:rPr>
        <w:t xml:space="preserve">What about </w:t>
      </w:r>
      <w:r w:rsidR="00997C77" w:rsidRPr="00FB171D">
        <w:rPr>
          <w:rFonts w:ascii="Georgia" w:hAnsi="Georgia" w:cs="Arial"/>
        </w:rPr>
        <w:t>brain MRI?  Can it detect loss of neurons?</w:t>
      </w:r>
      <w:bookmarkEnd w:id="37"/>
    </w:p>
    <w:p w14:paraId="4BB7C94C" w14:textId="77777777" w:rsidR="00997C77" w:rsidRPr="00FB171D" w:rsidRDefault="00997C77" w:rsidP="00997C77">
      <w:pPr>
        <w:rPr>
          <w:rFonts w:ascii="Georgia" w:hAnsi="Georgia" w:cs="Arial"/>
        </w:rPr>
      </w:pPr>
      <w:r w:rsidRPr="00FB171D">
        <w:rPr>
          <w:rFonts w:ascii="Georgia" w:hAnsi="Georgia" w:cs="Arial"/>
        </w:rPr>
        <w:t>Brain MRI is an invaluable tool for assessing the structure and health of the brain, but its ability to detect the direct loss of neurons is more nuanced. MRI does not visualize individual neurons; instead, it provides highly detailed images of brain anatomy, allowing clinicians to identify patterns of tissue loss, atrophy, and changes in brain volume that are often indirect markers of neuronal loss. For example, in conditions like Alzheimer's disease or other neurodegenerative disorders, MRI can reveal shrinkage (atrophy) in specific regions such as the hippocampus or cortex, which is strongly associated with the loss of neurons and their connections. However, MRI cannot count individual neurons or pinpoint small, subtle losses—it reflects the cumulative effect of many changes, including neuron loss, loss of connections (synapses), and even changes in supporting brain cells.</w:t>
      </w:r>
    </w:p>
    <w:p w14:paraId="2D56FDB5" w14:textId="2273B371" w:rsidR="00997C77" w:rsidRPr="00FB171D" w:rsidRDefault="00997C77" w:rsidP="00997C77">
      <w:pPr>
        <w:rPr>
          <w:rFonts w:ascii="Georgia" w:hAnsi="Georgia" w:cs="Arial"/>
        </w:rPr>
      </w:pPr>
      <w:r w:rsidRPr="00FB171D">
        <w:rPr>
          <w:rFonts w:ascii="Georgia" w:hAnsi="Georgia" w:cs="Arial"/>
        </w:rPr>
        <w:t>Advanced MRI techniques, such as volumetric analysis, diffusion tensor imaging (DTI), and functional MRI (fMRI), can further characterize brain changes by measuring the integrity of white matter tracts or monitoring activity patterns, offering clues about underlying neuronal health. Yet, even with these tools, definitive diagnosis of neuron loss relies on clinical correlation and, ultimately, microscopic examination, which is not possible in living people. Still, MRI remains one of the most effective noninvasive ways to monitor brain health, detect early signs of degeneration, and guide interventions aimed at preserving cognitive function.</w:t>
      </w:r>
    </w:p>
    <w:p w14:paraId="492CA8E9" w14:textId="77777777" w:rsidR="008B79CA" w:rsidRPr="00FB171D" w:rsidRDefault="008B79CA" w:rsidP="00997C77">
      <w:pPr>
        <w:rPr>
          <w:rFonts w:ascii="Georgia" w:hAnsi="Georgia" w:cs="Arial"/>
        </w:rPr>
      </w:pPr>
    </w:p>
    <w:p w14:paraId="32E92BF3" w14:textId="2CDC5344" w:rsidR="00B252B9" w:rsidRPr="00FB171D" w:rsidRDefault="00B252B9" w:rsidP="00B252B9">
      <w:pPr>
        <w:pStyle w:val="Heading3"/>
        <w:rPr>
          <w:rFonts w:ascii="Georgia" w:hAnsi="Georgia" w:cs="Arial"/>
        </w:rPr>
      </w:pPr>
      <w:bookmarkStart w:id="38" w:name="_Toc209691072"/>
      <w:r w:rsidRPr="00FB171D">
        <w:rPr>
          <w:rFonts w:ascii="Georgia" w:hAnsi="Georgia" w:cs="Arial"/>
        </w:rPr>
        <w:t>Parkinson’s disease</w:t>
      </w:r>
      <w:bookmarkEnd w:id="38"/>
    </w:p>
    <w:p w14:paraId="2562ABEC" w14:textId="73021B96" w:rsidR="003A547C" w:rsidRPr="00FB171D" w:rsidRDefault="003A547C" w:rsidP="003A547C">
      <w:pPr>
        <w:rPr>
          <w:rFonts w:ascii="Georgia" w:hAnsi="Georgia" w:cs="Arial"/>
        </w:rPr>
      </w:pPr>
      <w:r w:rsidRPr="00FB171D">
        <w:rPr>
          <w:rFonts w:ascii="Georgia" w:hAnsi="Georgia" w:cs="Arial"/>
          <w:b/>
          <w:bCs/>
        </w:rPr>
        <w:t>Parkinson’s disease</w:t>
      </w:r>
      <w:r w:rsidRPr="00FB171D">
        <w:rPr>
          <w:rFonts w:ascii="Georgia" w:hAnsi="Georgia" w:cs="Arial"/>
        </w:rPr>
        <w:t xml:space="preserve"> is a prime example of how the gradual loss of specific neuronal populations can lead to profound changes in brain function. Central to Parkinson’s is the degeneration of dopamine-producing neurons in a small region of the midbrain known as the substantia nigra. These neurons play a pivotal role in regulating movement, coordination, and various aspects of motivation and reward. As these cells die off—often by the time symptoms emerge, more than half may already be lost—the brain’s dopamine reserves diminish, leading to the characteristic tremors, rigidity, slowed movements, and postural instability seen in Parkinson’s disease.</w:t>
      </w:r>
    </w:p>
    <w:p w14:paraId="2C51CF90" w14:textId="77777777" w:rsidR="003A547C" w:rsidRPr="00FB171D" w:rsidRDefault="003A547C" w:rsidP="003A547C">
      <w:pPr>
        <w:rPr>
          <w:rFonts w:ascii="Georgia" w:hAnsi="Georgia" w:cs="Arial"/>
        </w:rPr>
      </w:pPr>
      <w:r w:rsidRPr="00FB171D">
        <w:rPr>
          <w:rFonts w:ascii="Georgia" w:hAnsi="Georgia" w:cs="Arial"/>
        </w:rPr>
        <w:t>The loss of neurons isn’t confined to the substantia nigra; as the disease progresses, other neural circuits gradually become affected, contributing to symptoms such as cognitive changes, mood disturbances, and sleep problems. Though MRI can help rule out alternative causes of symptoms and sometimes reveals atrophy in advanced stages, the actual neuronal loss is largely inferred from clinical presentation and, ultimately, confirmed by microscopic examination.</w:t>
      </w:r>
    </w:p>
    <w:p w14:paraId="5592AF43" w14:textId="46B1C14F" w:rsidR="008B79CA" w:rsidRPr="00FB171D" w:rsidRDefault="003A547C" w:rsidP="003A547C">
      <w:pPr>
        <w:rPr>
          <w:rFonts w:ascii="Georgia" w:hAnsi="Georgia" w:cs="Arial"/>
        </w:rPr>
      </w:pPr>
      <w:r w:rsidRPr="00FB171D">
        <w:rPr>
          <w:rFonts w:ascii="Georgia" w:hAnsi="Georgia" w:cs="Arial"/>
        </w:rPr>
        <w:t xml:space="preserve">Research into Parkinson’s continues to illuminate the complex interplay between genetics, environmental exposures, mitochondrial dysfunction, and the accumulation of abnormal proteins like alpha-synuclein, which collectively drive neuronal death. Importantly, emerging </w:t>
      </w:r>
      <w:r w:rsidRPr="00FB171D">
        <w:rPr>
          <w:rFonts w:ascii="Georgia" w:hAnsi="Georgia" w:cs="Arial"/>
        </w:rPr>
        <w:lastRenderedPageBreak/>
        <w:t>therapies are looking beyond simply replacing dopamine, aiming instead to protect vulnerable neurons, enhance neuronal survival, and slow the overall degenerative process.</w:t>
      </w:r>
    </w:p>
    <w:p w14:paraId="27A63119" w14:textId="77777777" w:rsidR="007561C0" w:rsidRPr="00FB171D" w:rsidRDefault="007561C0" w:rsidP="00337CF6">
      <w:pPr>
        <w:rPr>
          <w:rFonts w:ascii="Georgia" w:hAnsi="Georgia" w:cs="Arial"/>
        </w:rPr>
      </w:pPr>
    </w:p>
    <w:p w14:paraId="464644E0" w14:textId="77777777" w:rsidR="007561C0" w:rsidRPr="00FB171D" w:rsidRDefault="007561C0" w:rsidP="00337CF6">
      <w:pPr>
        <w:rPr>
          <w:rFonts w:ascii="Georgia" w:hAnsi="Georgia" w:cs="Arial"/>
        </w:rPr>
      </w:pPr>
    </w:p>
    <w:p w14:paraId="1AD706D0" w14:textId="77777777" w:rsidR="008211DB" w:rsidRPr="00FB171D" w:rsidRDefault="008211DB" w:rsidP="00337CF6">
      <w:pPr>
        <w:rPr>
          <w:rFonts w:ascii="Georgia" w:hAnsi="Georgia" w:cs="Arial"/>
        </w:rPr>
      </w:pPr>
    </w:p>
    <w:p w14:paraId="48CEA094" w14:textId="3BD10A38" w:rsidR="008211DB" w:rsidRPr="00FB171D" w:rsidRDefault="008211DB" w:rsidP="00337CF6">
      <w:pPr>
        <w:rPr>
          <w:rFonts w:ascii="Georgia" w:hAnsi="Georgia" w:cs="Arial"/>
        </w:rPr>
      </w:pPr>
    </w:p>
    <w:p w14:paraId="5D926BA0" w14:textId="1103076C" w:rsidR="00370284" w:rsidRPr="00FB171D" w:rsidRDefault="0073758C" w:rsidP="00D643E3">
      <w:pPr>
        <w:pStyle w:val="Heading2"/>
        <w:rPr>
          <w:rFonts w:ascii="Georgia" w:hAnsi="Georgia" w:cs="Arial"/>
        </w:rPr>
      </w:pPr>
      <w:bookmarkStart w:id="39" w:name="_Toc209691073"/>
      <w:r w:rsidRPr="00FB171D">
        <w:rPr>
          <w:rFonts w:ascii="Georgia" w:hAnsi="Georgia" w:cs="Arial"/>
        </w:rPr>
        <w:t xml:space="preserve">Strategy </w:t>
      </w:r>
      <w:r w:rsidR="001E2486" w:rsidRPr="00FB171D">
        <w:rPr>
          <w:rFonts w:ascii="Georgia" w:hAnsi="Georgia" w:cs="Arial"/>
        </w:rPr>
        <w:t xml:space="preserve">#2 </w:t>
      </w:r>
      <w:r w:rsidRPr="00FB171D">
        <w:rPr>
          <w:rFonts w:ascii="Georgia" w:hAnsi="Georgia" w:cs="Arial"/>
        </w:rPr>
        <w:t xml:space="preserve"> for avoiding cognitive decline: Make new connections between remaining neurons</w:t>
      </w:r>
      <w:bookmarkEnd w:id="39"/>
    </w:p>
    <w:p w14:paraId="18FA21B2" w14:textId="77777777" w:rsidR="00370284" w:rsidRPr="00FB171D" w:rsidRDefault="00370284" w:rsidP="00370284">
      <w:pPr>
        <w:pStyle w:val="Subtitle"/>
        <w:rPr>
          <w:rFonts w:ascii="Georgia" w:hAnsi="Georgia" w:cs="Arial"/>
        </w:rPr>
      </w:pPr>
      <w:r w:rsidRPr="00FB171D">
        <w:rPr>
          <w:rFonts w:ascii="Georgia" w:hAnsi="Georgia" w:cs="Arial"/>
        </w:rPr>
        <w:t>Understanding Synaptic Health Across Molecular, Cellular, and Brain Levels</w:t>
      </w:r>
    </w:p>
    <w:p w14:paraId="63B5D1AC" w14:textId="63588331" w:rsidR="00370284" w:rsidRPr="00FB171D" w:rsidRDefault="00370284" w:rsidP="008B3AA3">
      <w:pPr>
        <w:pStyle w:val="Heading3"/>
        <w:rPr>
          <w:rFonts w:ascii="Georgia" w:hAnsi="Georgia" w:cs="Arial"/>
        </w:rPr>
      </w:pPr>
      <w:bookmarkStart w:id="40" w:name="_Toc209691074"/>
      <w:r w:rsidRPr="00FB171D">
        <w:rPr>
          <w:rFonts w:ascii="Georgia" w:hAnsi="Georgia" w:cs="Arial"/>
        </w:rPr>
        <w:t>Introduction</w:t>
      </w:r>
      <w:bookmarkEnd w:id="40"/>
    </w:p>
    <w:p w14:paraId="5457FE3F" w14:textId="4A309AD6" w:rsidR="00851DB6" w:rsidRPr="00FB171D" w:rsidRDefault="00851DB6" w:rsidP="00851DB6">
      <w:pPr>
        <w:spacing w:after="0"/>
        <w:rPr>
          <w:rFonts w:ascii="Georgia" w:eastAsia="Segoe UI" w:hAnsi="Georgia" w:cs="Arial"/>
        </w:rPr>
      </w:pPr>
      <w:r w:rsidRPr="00FB171D">
        <w:rPr>
          <w:rFonts w:ascii="Georgia" w:eastAsia="Segoe UI" w:hAnsi="Georgia" w:cs="Arial"/>
        </w:rPr>
        <w:t xml:space="preserve">While the nerves only diminish over time, the connections between them reflect the experience of the individual and are thus vastly different even for identical twins.  Thus, while the brain neurons are non-regenerative, the brain is capable of great plasticity, and </w:t>
      </w:r>
      <w:r w:rsidR="008A6958" w:rsidRPr="00FB171D">
        <w:rPr>
          <w:rFonts w:ascii="Georgia" w:eastAsia="Segoe UI" w:hAnsi="Georgia" w:cs="Arial"/>
        </w:rPr>
        <w:t>interconnections between the cell</w:t>
      </w:r>
      <w:r w:rsidR="0028167B" w:rsidRPr="00FB171D">
        <w:rPr>
          <w:rFonts w:ascii="Georgia" w:eastAsia="Segoe UI" w:hAnsi="Georgia" w:cs="Arial"/>
        </w:rPr>
        <w:t>s</w:t>
      </w:r>
      <w:r w:rsidR="008A6958" w:rsidRPr="00FB171D">
        <w:rPr>
          <w:rFonts w:ascii="Georgia" w:eastAsia="Segoe UI" w:hAnsi="Georgia" w:cs="Arial"/>
        </w:rPr>
        <w:t xml:space="preserve"> can </w:t>
      </w:r>
      <w:r w:rsidR="00BC1E66" w:rsidRPr="00FB171D">
        <w:rPr>
          <w:rFonts w:ascii="Georgia" w:eastAsia="Segoe UI" w:hAnsi="Georgia" w:cs="Arial"/>
        </w:rPr>
        <w:t>actually</w:t>
      </w:r>
      <w:r w:rsidR="00696F64" w:rsidRPr="00FB171D">
        <w:rPr>
          <w:rFonts w:ascii="Georgia" w:eastAsia="Segoe UI" w:hAnsi="Georgia" w:cs="Arial"/>
        </w:rPr>
        <w:t xml:space="preserve"> increase with time to offset some of the loss of neurons. </w:t>
      </w:r>
    </w:p>
    <w:p w14:paraId="04C6840B" w14:textId="071807A5" w:rsidR="00370284" w:rsidRPr="00FB171D" w:rsidRDefault="00370284" w:rsidP="00370284">
      <w:pPr>
        <w:rPr>
          <w:rFonts w:ascii="Georgia" w:hAnsi="Georgia" w:cs="Arial"/>
        </w:rPr>
      </w:pPr>
      <w:r w:rsidRPr="00FB171D">
        <w:rPr>
          <w:rFonts w:ascii="Georgia" w:hAnsi="Georgia" w:cs="Arial"/>
        </w:rPr>
        <w:t>Synaptic connections are the dynamic nodes of communication between neurons, forming the intricate networks underlying thought, memory, emotion, and behavior. Throughout life, the brain constantly remodels its synaptic architecture—a process known as synaptic plasticity. Preserving existing synapses, fostering the creation of new ones, and mitigating excessive synaptic pruning are all critical for cognitive resilience, learning, and mental health, particularly as we age.</w:t>
      </w:r>
      <w:r w:rsidR="006C028B" w:rsidRPr="00FB171D">
        <w:rPr>
          <w:rFonts w:ascii="Georgia" w:hAnsi="Georgia" w:cs="Arial"/>
        </w:rPr>
        <w:t xml:space="preserve"> It is our main method of combatting the inexorable death of neurons </w:t>
      </w:r>
      <w:r w:rsidR="003D1E9B" w:rsidRPr="00FB171D">
        <w:rPr>
          <w:rFonts w:ascii="Georgia" w:hAnsi="Georgia" w:cs="Arial"/>
        </w:rPr>
        <w:t xml:space="preserve">described in the first section.  </w:t>
      </w:r>
    </w:p>
    <w:p w14:paraId="0F4AA0F7" w14:textId="1F36E3A8" w:rsidR="00370284" w:rsidRPr="00FB171D" w:rsidRDefault="00370284" w:rsidP="00370284">
      <w:pPr>
        <w:rPr>
          <w:rFonts w:ascii="Georgia" w:hAnsi="Georgia" w:cs="Arial"/>
        </w:rPr>
      </w:pPr>
      <w:r w:rsidRPr="00FB171D">
        <w:rPr>
          <w:rFonts w:ascii="Georgia" w:hAnsi="Georgia" w:cs="Arial"/>
        </w:rPr>
        <w:t xml:space="preserve">This </w:t>
      </w:r>
      <w:r w:rsidR="003022DA" w:rsidRPr="00FB171D">
        <w:rPr>
          <w:rFonts w:ascii="Georgia" w:hAnsi="Georgia" w:cs="Arial"/>
        </w:rPr>
        <w:t>section</w:t>
      </w:r>
      <w:r w:rsidRPr="00FB171D">
        <w:rPr>
          <w:rFonts w:ascii="Georgia" w:hAnsi="Georgia" w:cs="Arial"/>
        </w:rPr>
        <w:t xml:space="preserve"> explores evidence-based strategies to maintain and enhance synaptic connectivity, the biological underpinnings of synaptic pruning, approaches to measure changes at various scales, pharmacological interventions, and the clinical effectiveness of these strategies.</w:t>
      </w:r>
    </w:p>
    <w:p w14:paraId="1E27CE2B" w14:textId="6A72BBDE" w:rsidR="000E0CEC" w:rsidRPr="00FB171D" w:rsidRDefault="000E0CEC" w:rsidP="000E0CEC">
      <w:pPr>
        <w:pStyle w:val="Heading3"/>
        <w:rPr>
          <w:rFonts w:ascii="Georgia" w:hAnsi="Georgia" w:cs="Arial"/>
        </w:rPr>
      </w:pPr>
      <w:bookmarkStart w:id="41" w:name="_Toc209691075"/>
      <w:r w:rsidRPr="00FB171D">
        <w:rPr>
          <w:rFonts w:ascii="Georgia" w:hAnsi="Georgia" w:cs="Arial"/>
        </w:rPr>
        <w:t>Measuring Synaptic Density</w:t>
      </w:r>
      <w:bookmarkEnd w:id="41"/>
    </w:p>
    <w:p w14:paraId="781D194A" w14:textId="77777777" w:rsidR="000E0CEC" w:rsidRPr="00FB171D" w:rsidRDefault="000E0CEC" w:rsidP="000E0CEC">
      <w:pPr>
        <w:rPr>
          <w:rFonts w:ascii="Georgia" w:hAnsi="Georgia" w:cs="Arial"/>
        </w:rPr>
      </w:pPr>
      <w:r w:rsidRPr="00FB171D">
        <w:rPr>
          <w:rFonts w:ascii="Georgia" w:hAnsi="Georgia" w:cs="Arial"/>
        </w:rPr>
        <w:t>Accurately quantifying synaptic density presents a considerable challenge, given the microscopic scale and intricate organization of synaptic networks. Over the years, researchers have developed several sophisticated methods to estimate the number and density of synapses in brain tissue, each with its own strengths and limitations.</w:t>
      </w:r>
    </w:p>
    <w:p w14:paraId="0F602BA4" w14:textId="77777777" w:rsidR="000E0CEC" w:rsidRPr="00FB171D" w:rsidRDefault="000E0CEC" w:rsidP="000E0CEC">
      <w:pPr>
        <w:rPr>
          <w:rFonts w:ascii="Georgia" w:hAnsi="Georgia" w:cs="Arial"/>
        </w:rPr>
      </w:pPr>
      <w:r w:rsidRPr="00FB171D">
        <w:rPr>
          <w:rFonts w:ascii="Georgia" w:hAnsi="Georgia" w:cs="Arial"/>
        </w:rPr>
        <w:t>The gold standard technique remains electron microscopy (EM), particularly serial section transmission electron microscopy and three-dimensional reconstructions. EM enables the visualization and direct counting of synaptic contacts with nanometer resolution in small volumes of tissue, offering unparalleled detail. For broader surveys, researchers may use unbiased stereological sampling in conjunction with EM to provide statistically robust estimates of synapse numbers across defined brain regions.</w:t>
      </w:r>
    </w:p>
    <w:p w14:paraId="7776DA83" w14:textId="77777777" w:rsidR="000E0CEC" w:rsidRPr="00FB171D" w:rsidRDefault="000E0CEC" w:rsidP="000E0CEC">
      <w:pPr>
        <w:rPr>
          <w:rFonts w:ascii="Georgia" w:hAnsi="Georgia" w:cs="Arial"/>
        </w:rPr>
      </w:pPr>
      <w:r w:rsidRPr="00FB171D">
        <w:rPr>
          <w:rFonts w:ascii="Georgia" w:hAnsi="Georgia" w:cs="Arial"/>
        </w:rPr>
        <w:t xml:space="preserve">Immunohistochemistry, using antibodies against synaptic proteins such as synaptophysin, PSD-95, or synapsin, allows for the visualization and quantification of synaptic puncta in brain slices via fluorescence microscopy. Techniques like confocal or super-resolution microscopy can then </w:t>
      </w:r>
      <w:r w:rsidRPr="00FB171D">
        <w:rPr>
          <w:rFonts w:ascii="Georgia" w:hAnsi="Georgia" w:cs="Arial"/>
        </w:rPr>
        <w:lastRenderedPageBreak/>
        <w:t>be harnessed to analyze synaptic density in two or three dimensions, facilitating comparisons between experimental groups.</w:t>
      </w:r>
    </w:p>
    <w:p w14:paraId="25A9CCAD" w14:textId="77777777" w:rsidR="000E0CEC" w:rsidRPr="00FB171D" w:rsidRDefault="000E0CEC" w:rsidP="000E0CEC">
      <w:pPr>
        <w:rPr>
          <w:rFonts w:ascii="Georgia" w:hAnsi="Georgia" w:cs="Arial"/>
        </w:rPr>
      </w:pPr>
      <w:r w:rsidRPr="00FB171D">
        <w:rPr>
          <w:rFonts w:ascii="Georgia" w:hAnsi="Georgia" w:cs="Arial"/>
        </w:rPr>
        <w:t>In living humans, direct measurement of synaptic density is not feasible; however, advances in molecular imaging have led to the use of positron emission tomography (PET) tracers that bind selectively to synaptic vesicle glycoprotein 2A (SV2A), offering a proxy for synaptic density in vivo. Such imaging complements structural and functional magnetic resonance imaging studies, providing a window into synaptic health in both health and disease.</w:t>
      </w:r>
    </w:p>
    <w:p w14:paraId="7E1DD0B3" w14:textId="77777777" w:rsidR="000E0CEC" w:rsidRPr="00FB171D" w:rsidRDefault="000E0CEC" w:rsidP="000E0CEC">
      <w:pPr>
        <w:rPr>
          <w:rFonts w:ascii="Georgia" w:hAnsi="Georgia" w:cs="Arial"/>
        </w:rPr>
      </w:pPr>
      <w:r w:rsidRPr="00FB171D">
        <w:rPr>
          <w:rFonts w:ascii="Georgia" w:hAnsi="Georgia" w:cs="Arial"/>
        </w:rPr>
        <w:t>Together, these approaches—from ultrastructural EM analyses to advanced molecular imaging—enable researchers to map the landscape of synaptic connections and track their changes in response to aging, disease, or interventions.</w:t>
      </w:r>
    </w:p>
    <w:p w14:paraId="378C5864" w14:textId="77777777" w:rsidR="000E0CEC" w:rsidRPr="00FB171D" w:rsidRDefault="000E0CEC" w:rsidP="00370284">
      <w:pPr>
        <w:rPr>
          <w:rFonts w:ascii="Georgia" w:hAnsi="Georgia" w:cs="Arial"/>
        </w:rPr>
      </w:pPr>
    </w:p>
    <w:p w14:paraId="5D79C741" w14:textId="6F86B1FB" w:rsidR="00370284" w:rsidRPr="00FB171D" w:rsidRDefault="00370284" w:rsidP="005F40B7">
      <w:pPr>
        <w:pStyle w:val="Heading3"/>
        <w:rPr>
          <w:rFonts w:ascii="Georgia" w:hAnsi="Georgia" w:cs="Arial"/>
        </w:rPr>
      </w:pPr>
      <w:bookmarkStart w:id="42" w:name="_Toc209691076"/>
      <w:r w:rsidRPr="00FB171D">
        <w:rPr>
          <w:rFonts w:ascii="Georgia" w:hAnsi="Georgia" w:cs="Arial"/>
        </w:rPr>
        <w:t>Understanding Synaptic Plasticity and Pruning</w:t>
      </w:r>
      <w:bookmarkEnd w:id="42"/>
    </w:p>
    <w:p w14:paraId="16B2D274" w14:textId="77777777" w:rsidR="00370284" w:rsidRPr="00FB171D" w:rsidRDefault="00370284" w:rsidP="005F40B7">
      <w:pPr>
        <w:pStyle w:val="Heading4"/>
        <w:rPr>
          <w:rFonts w:ascii="Georgia" w:hAnsi="Georgia" w:cs="Arial"/>
        </w:rPr>
      </w:pPr>
      <w:r w:rsidRPr="00FB171D">
        <w:rPr>
          <w:rFonts w:ascii="Georgia" w:hAnsi="Georgia" w:cs="Arial"/>
        </w:rPr>
        <w:t>Molecular and Cellular Basis</w:t>
      </w:r>
    </w:p>
    <w:p w14:paraId="35A561C9" w14:textId="77777777" w:rsidR="00370284" w:rsidRPr="00FB171D" w:rsidRDefault="00370284" w:rsidP="00370284">
      <w:pPr>
        <w:rPr>
          <w:rFonts w:ascii="Georgia" w:hAnsi="Georgia" w:cs="Arial"/>
        </w:rPr>
      </w:pPr>
      <w:r w:rsidRPr="00FB171D">
        <w:rPr>
          <w:rFonts w:ascii="Georgia" w:hAnsi="Georgia" w:cs="Arial"/>
        </w:rPr>
        <w:t>- Synaptic Plasticity: Plasticity refers to the brain's ability to strengthen or weaken synapses in response to activity. The two main forms are long-term potentiation (LTP) and long-term depression (LTD). LTP enhances synaptic strength and is critical for learning and memory; LTD weakens synapses, playing a role in forgetting and synaptic homeostasis.</w:t>
      </w:r>
    </w:p>
    <w:p w14:paraId="025D826D" w14:textId="77777777" w:rsidR="00370284" w:rsidRPr="00FB171D" w:rsidRDefault="00370284" w:rsidP="00370284">
      <w:pPr>
        <w:rPr>
          <w:rFonts w:ascii="Georgia" w:hAnsi="Georgia" w:cs="Arial"/>
        </w:rPr>
      </w:pPr>
      <w:r w:rsidRPr="00FB171D">
        <w:rPr>
          <w:rFonts w:ascii="Georgia" w:hAnsi="Georgia" w:cs="Arial"/>
        </w:rPr>
        <w:t>- Synaptogenesis: Formation of new synapses involves axonal growth, dendritic branching, and the recruitment of proteins such as neuroligins, neurexins, and growth-associated protein 43 (GAP-43).</w:t>
      </w:r>
    </w:p>
    <w:p w14:paraId="183B7065" w14:textId="77777777" w:rsidR="00370284" w:rsidRPr="00FB171D" w:rsidRDefault="00370284" w:rsidP="00370284">
      <w:pPr>
        <w:rPr>
          <w:rFonts w:ascii="Georgia" w:hAnsi="Georgia" w:cs="Arial"/>
        </w:rPr>
      </w:pPr>
      <w:r w:rsidRPr="00FB171D">
        <w:rPr>
          <w:rFonts w:ascii="Georgia" w:hAnsi="Georgia" w:cs="Arial"/>
        </w:rPr>
        <w:t>- Synaptic Pruning: This is the elimination of weaker synaptic contacts, especially during development but also throughout life. Pruning is essential for efficient brain function but excessive loss is implicated in cognitive decline and neuropsychiatric conditions.</w:t>
      </w:r>
    </w:p>
    <w:p w14:paraId="77057DE4" w14:textId="77777777" w:rsidR="00370284" w:rsidRPr="00FB171D" w:rsidRDefault="00370284" w:rsidP="005F40B7">
      <w:pPr>
        <w:pStyle w:val="Heading4"/>
        <w:rPr>
          <w:rFonts w:ascii="Georgia" w:hAnsi="Georgia" w:cs="Arial"/>
        </w:rPr>
      </w:pPr>
      <w:r w:rsidRPr="00FB171D">
        <w:rPr>
          <w:rFonts w:ascii="Georgia" w:hAnsi="Georgia" w:cs="Arial"/>
        </w:rPr>
        <w:t>Key Molecular Players</w:t>
      </w:r>
    </w:p>
    <w:p w14:paraId="1DC7E09E" w14:textId="77777777" w:rsidR="00370284" w:rsidRPr="00FB171D" w:rsidRDefault="00370284" w:rsidP="00734CAC">
      <w:pPr>
        <w:pStyle w:val="ListParagraph"/>
        <w:numPr>
          <w:ilvl w:val="0"/>
          <w:numId w:val="34"/>
        </w:numPr>
        <w:rPr>
          <w:rFonts w:ascii="Georgia" w:hAnsi="Georgia" w:cs="Arial"/>
        </w:rPr>
      </w:pPr>
      <w:r w:rsidRPr="00FB171D">
        <w:rPr>
          <w:rFonts w:ascii="Georgia" w:hAnsi="Georgia" w:cs="Arial"/>
        </w:rPr>
        <w:t>Brain-Derived Neurotrophic Factor (BDNF): Promotes survival, growth, and differentiation of neurons, and is crucial for synaptic plasticity.</w:t>
      </w:r>
    </w:p>
    <w:p w14:paraId="319C37BA" w14:textId="77777777" w:rsidR="00370284" w:rsidRPr="00FB171D" w:rsidRDefault="00370284" w:rsidP="00734CAC">
      <w:pPr>
        <w:pStyle w:val="ListParagraph"/>
        <w:numPr>
          <w:ilvl w:val="0"/>
          <w:numId w:val="34"/>
        </w:numPr>
        <w:rPr>
          <w:rFonts w:ascii="Georgia" w:hAnsi="Georgia" w:cs="Arial"/>
        </w:rPr>
      </w:pPr>
      <w:r w:rsidRPr="00FB171D">
        <w:rPr>
          <w:rFonts w:ascii="Georgia" w:hAnsi="Georgia" w:cs="Arial"/>
        </w:rPr>
        <w:t>NMDA and AMPA Receptors: Glutamatergic receptors that mediate excitatory synaptic transmission and plasticity.</w:t>
      </w:r>
    </w:p>
    <w:p w14:paraId="578C5E48" w14:textId="77777777" w:rsidR="00370284" w:rsidRPr="00FB171D" w:rsidRDefault="00370284" w:rsidP="00734CAC">
      <w:pPr>
        <w:pStyle w:val="ListParagraph"/>
        <w:numPr>
          <w:ilvl w:val="0"/>
          <w:numId w:val="34"/>
        </w:numPr>
        <w:rPr>
          <w:rFonts w:ascii="Georgia" w:hAnsi="Georgia" w:cs="Arial"/>
        </w:rPr>
      </w:pPr>
      <w:r w:rsidRPr="00FB171D">
        <w:rPr>
          <w:rFonts w:ascii="Georgia" w:hAnsi="Georgia" w:cs="Arial"/>
        </w:rPr>
        <w:t>Microglia: Immune cells that mediate synaptic pruning, especially via complement proteins (e.g., C1q, C3).</w:t>
      </w:r>
    </w:p>
    <w:p w14:paraId="47120A63" w14:textId="77777777" w:rsidR="00370284" w:rsidRPr="00FB171D" w:rsidRDefault="00370284" w:rsidP="00734CAC">
      <w:pPr>
        <w:pStyle w:val="ListParagraph"/>
        <w:numPr>
          <w:ilvl w:val="0"/>
          <w:numId w:val="34"/>
        </w:numPr>
        <w:rPr>
          <w:rFonts w:ascii="Georgia" w:hAnsi="Georgia" w:cs="Arial"/>
        </w:rPr>
      </w:pPr>
      <w:r w:rsidRPr="00FB171D">
        <w:rPr>
          <w:rFonts w:ascii="Georgia" w:hAnsi="Georgia" w:cs="Arial"/>
        </w:rPr>
        <w:t>CREB (cAMP Response Element-Binding Protein): A transcription factor that regulates genes involved in synaptic formation and memory consolidation.</w:t>
      </w:r>
    </w:p>
    <w:p w14:paraId="22DBC90A" w14:textId="6EA4C9A0" w:rsidR="00370284" w:rsidRPr="00FB171D" w:rsidRDefault="00370284" w:rsidP="00CF3FBA">
      <w:pPr>
        <w:pStyle w:val="Heading3"/>
        <w:rPr>
          <w:rFonts w:ascii="Georgia" w:hAnsi="Georgia" w:cs="Arial"/>
        </w:rPr>
      </w:pPr>
      <w:bookmarkStart w:id="43" w:name="_Toc209691077"/>
      <w:r w:rsidRPr="00FB171D">
        <w:rPr>
          <w:rFonts w:ascii="Georgia" w:hAnsi="Georgia" w:cs="Arial"/>
        </w:rPr>
        <w:t>How to Maintain and Promote Synaptic Connections</w:t>
      </w:r>
      <w:bookmarkEnd w:id="43"/>
    </w:p>
    <w:p w14:paraId="4114F292" w14:textId="77777777" w:rsidR="00370284" w:rsidRPr="00FB171D" w:rsidRDefault="00370284" w:rsidP="00CF3FBA">
      <w:pPr>
        <w:pStyle w:val="Heading4"/>
        <w:rPr>
          <w:rFonts w:ascii="Georgia" w:hAnsi="Georgia" w:cs="Arial"/>
        </w:rPr>
      </w:pPr>
      <w:r w:rsidRPr="00FB171D">
        <w:rPr>
          <w:rFonts w:ascii="Georgia" w:hAnsi="Georgia" w:cs="Arial"/>
        </w:rPr>
        <w:t>Lifestyle and Behavioral Interventions</w:t>
      </w:r>
    </w:p>
    <w:p w14:paraId="06F1FD36" w14:textId="77777777" w:rsidR="00370284" w:rsidRPr="00FB171D" w:rsidRDefault="00370284" w:rsidP="00734CAC">
      <w:pPr>
        <w:pStyle w:val="ListParagraph"/>
        <w:numPr>
          <w:ilvl w:val="0"/>
          <w:numId w:val="35"/>
        </w:numPr>
        <w:rPr>
          <w:rFonts w:ascii="Georgia" w:hAnsi="Georgia" w:cs="Arial"/>
        </w:rPr>
      </w:pPr>
      <w:r w:rsidRPr="00FB171D">
        <w:rPr>
          <w:rFonts w:ascii="Georgia" w:hAnsi="Georgia" w:cs="Arial"/>
        </w:rPr>
        <w:t>Cognitive Enrichment: Engaging in mentally stimulating activities (e.g., learning a new language, playing an instrument, solving puzzles) increases synaptogenesis and dendritic complexity. Evidence from both animal and human studies indicates that enriched environments induce measurable increases in synaptic density and cognitive reserve.</w:t>
      </w:r>
    </w:p>
    <w:p w14:paraId="32F13E81" w14:textId="77777777" w:rsidR="00370284" w:rsidRPr="00FB171D" w:rsidRDefault="00370284" w:rsidP="00734CAC">
      <w:pPr>
        <w:pStyle w:val="ListParagraph"/>
        <w:numPr>
          <w:ilvl w:val="0"/>
          <w:numId w:val="35"/>
        </w:numPr>
        <w:rPr>
          <w:rFonts w:ascii="Georgia" w:hAnsi="Georgia" w:cs="Arial"/>
        </w:rPr>
      </w:pPr>
      <w:r w:rsidRPr="00FB171D">
        <w:rPr>
          <w:rFonts w:ascii="Georgia" w:hAnsi="Georgia" w:cs="Arial"/>
        </w:rPr>
        <w:t xml:space="preserve">Physical Exercise: Aerobic exercise, in particular, upregulates BDNF and other growth factors, leading to increased synaptic plasticity, hippocampal neurogenesis, and </w:t>
      </w:r>
      <w:r w:rsidRPr="00FB171D">
        <w:rPr>
          <w:rFonts w:ascii="Georgia" w:hAnsi="Georgia" w:cs="Arial"/>
        </w:rPr>
        <w:lastRenderedPageBreak/>
        <w:t>improved cognitive function. Clinical trials have established that regular exercise benefits memory and slows age-related decline.</w:t>
      </w:r>
    </w:p>
    <w:p w14:paraId="5CD6A66D" w14:textId="77777777" w:rsidR="00370284" w:rsidRPr="00FB171D" w:rsidRDefault="00370284" w:rsidP="00734CAC">
      <w:pPr>
        <w:pStyle w:val="ListParagraph"/>
        <w:numPr>
          <w:ilvl w:val="0"/>
          <w:numId w:val="35"/>
        </w:numPr>
        <w:rPr>
          <w:rFonts w:ascii="Georgia" w:hAnsi="Georgia" w:cs="Arial"/>
        </w:rPr>
      </w:pPr>
      <w:r w:rsidRPr="00FB171D">
        <w:rPr>
          <w:rFonts w:ascii="Georgia" w:hAnsi="Georgia" w:cs="Arial"/>
        </w:rPr>
        <w:t>Social Engagement: Social interaction stimulates synaptic activity and protects against synaptic loss, as shown in both rodent and epidemiological human studies.</w:t>
      </w:r>
    </w:p>
    <w:p w14:paraId="77E360D9" w14:textId="77777777" w:rsidR="00370284" w:rsidRPr="00FB171D" w:rsidRDefault="00370284" w:rsidP="00734CAC">
      <w:pPr>
        <w:pStyle w:val="ListParagraph"/>
        <w:numPr>
          <w:ilvl w:val="0"/>
          <w:numId w:val="35"/>
        </w:numPr>
        <w:rPr>
          <w:rFonts w:ascii="Georgia" w:hAnsi="Georgia" w:cs="Arial"/>
        </w:rPr>
      </w:pPr>
      <w:r w:rsidRPr="00FB171D">
        <w:rPr>
          <w:rFonts w:ascii="Georgia" w:hAnsi="Georgia" w:cs="Arial"/>
        </w:rPr>
        <w:t>Sleep Hygiene: Quality sleep is vital for synaptic homeostasis. During slow-wave sleep, the brain consolidates memory and prunes weaker connections, optimizing synaptic networks.</w:t>
      </w:r>
    </w:p>
    <w:p w14:paraId="1CA45C82" w14:textId="77777777" w:rsidR="00370284" w:rsidRPr="00FB171D" w:rsidRDefault="00370284" w:rsidP="00734CAC">
      <w:pPr>
        <w:pStyle w:val="ListParagraph"/>
        <w:numPr>
          <w:ilvl w:val="0"/>
          <w:numId w:val="35"/>
        </w:numPr>
        <w:rPr>
          <w:rFonts w:ascii="Georgia" w:hAnsi="Georgia" w:cs="Arial"/>
        </w:rPr>
      </w:pPr>
      <w:r w:rsidRPr="00FB171D">
        <w:rPr>
          <w:rFonts w:ascii="Georgia" w:hAnsi="Georgia" w:cs="Arial"/>
        </w:rPr>
        <w:t>Diet: Diets rich in omega-3 fatty acids (found in fatty fish), antioxidants (berries, leafy greens), polyphenols (cocoa, green tea), and micronutrients (vitamins B, D, E, magnesium, zinc) support synaptic health by reducing inflammation and oxidative stress.</w:t>
      </w:r>
    </w:p>
    <w:p w14:paraId="3310BBC8" w14:textId="77777777" w:rsidR="00370284" w:rsidRPr="00FB171D" w:rsidRDefault="00370284" w:rsidP="00734CAC">
      <w:pPr>
        <w:pStyle w:val="ListParagraph"/>
        <w:numPr>
          <w:ilvl w:val="0"/>
          <w:numId w:val="35"/>
        </w:numPr>
        <w:rPr>
          <w:rFonts w:ascii="Georgia" w:hAnsi="Georgia" w:cs="Arial"/>
        </w:rPr>
      </w:pPr>
      <w:r w:rsidRPr="00FB171D">
        <w:rPr>
          <w:rFonts w:ascii="Georgia" w:hAnsi="Georgia" w:cs="Arial"/>
        </w:rPr>
        <w:t>Stress Reduction: Chronic stress and elevated cortisol levels are detrimental to synapses, particularly in the hippocampus. Mindfulness, meditation, and yoga show evidence of promoting synaptic resilience.</w:t>
      </w:r>
    </w:p>
    <w:p w14:paraId="5E80FDB5" w14:textId="77777777" w:rsidR="00370284" w:rsidRPr="00FB171D" w:rsidRDefault="00370284" w:rsidP="00CF3FBA">
      <w:pPr>
        <w:pStyle w:val="Heading4"/>
        <w:rPr>
          <w:rFonts w:ascii="Georgia" w:hAnsi="Georgia" w:cs="Arial"/>
        </w:rPr>
      </w:pPr>
      <w:r w:rsidRPr="00FB171D">
        <w:rPr>
          <w:rFonts w:ascii="Georgia" w:hAnsi="Georgia" w:cs="Arial"/>
        </w:rPr>
        <w:t>Pharmacological and Molecular Interventions</w:t>
      </w:r>
    </w:p>
    <w:p w14:paraId="1A6E881E" w14:textId="77777777" w:rsidR="00370284" w:rsidRPr="00FB171D" w:rsidRDefault="00370284" w:rsidP="00734CAC">
      <w:pPr>
        <w:pStyle w:val="ListParagraph"/>
        <w:numPr>
          <w:ilvl w:val="0"/>
          <w:numId w:val="36"/>
        </w:numPr>
        <w:rPr>
          <w:rFonts w:ascii="Georgia" w:hAnsi="Georgia" w:cs="Arial"/>
        </w:rPr>
      </w:pPr>
      <w:r w:rsidRPr="00FB171D">
        <w:rPr>
          <w:rFonts w:ascii="Georgia" w:hAnsi="Georgia" w:cs="Arial"/>
        </w:rPr>
        <w:t>Antidepressants (SSRIs and SNRIs): These medications, especially selective serotonin reuptake inhibitors, have been shown in animal models and human studies to increase synaptogenesis and dendritic spine density, notably in the hippocampus and prefrontal cortex.</w:t>
      </w:r>
    </w:p>
    <w:p w14:paraId="3530A5FC" w14:textId="77777777" w:rsidR="00370284" w:rsidRPr="00FB171D" w:rsidRDefault="00370284" w:rsidP="00734CAC">
      <w:pPr>
        <w:pStyle w:val="ListParagraph"/>
        <w:numPr>
          <w:ilvl w:val="0"/>
          <w:numId w:val="36"/>
        </w:numPr>
        <w:rPr>
          <w:rFonts w:ascii="Georgia" w:hAnsi="Georgia" w:cs="Arial"/>
        </w:rPr>
      </w:pPr>
      <w:r w:rsidRPr="00FB171D">
        <w:rPr>
          <w:rFonts w:ascii="Georgia" w:hAnsi="Georgia" w:cs="Arial"/>
        </w:rPr>
        <w:t>NMDA Receptor Modulators: Agents like memantine (used in Alzheimer's disease) modulate glutamatergic transmission, potentially protecting against excitotoxicity and promoting synaptic plasticity.</w:t>
      </w:r>
    </w:p>
    <w:p w14:paraId="79313182" w14:textId="77777777" w:rsidR="00370284" w:rsidRPr="00FB171D" w:rsidRDefault="00370284" w:rsidP="00734CAC">
      <w:pPr>
        <w:pStyle w:val="ListParagraph"/>
        <w:numPr>
          <w:ilvl w:val="0"/>
          <w:numId w:val="36"/>
        </w:numPr>
        <w:rPr>
          <w:rFonts w:ascii="Georgia" w:hAnsi="Georgia" w:cs="Arial"/>
        </w:rPr>
      </w:pPr>
      <w:r w:rsidRPr="00FB171D">
        <w:rPr>
          <w:rFonts w:ascii="Georgia" w:hAnsi="Georgia" w:cs="Arial"/>
        </w:rPr>
        <w:t>Cholinesterase Inhibitors: Drugs such as donepezil and rivastigmine, used in dementia, enhance cholinergic transmission and may support synaptic function, though their impact on synaptogenesis is limited.</w:t>
      </w:r>
    </w:p>
    <w:p w14:paraId="4313426B" w14:textId="77777777" w:rsidR="00370284" w:rsidRPr="00FB171D" w:rsidRDefault="00370284" w:rsidP="00734CAC">
      <w:pPr>
        <w:pStyle w:val="ListParagraph"/>
        <w:numPr>
          <w:ilvl w:val="0"/>
          <w:numId w:val="36"/>
        </w:numPr>
        <w:rPr>
          <w:rFonts w:ascii="Georgia" w:hAnsi="Georgia" w:cs="Arial"/>
        </w:rPr>
      </w:pPr>
      <w:r w:rsidRPr="00FB171D">
        <w:rPr>
          <w:rFonts w:ascii="Georgia" w:hAnsi="Georgia" w:cs="Arial"/>
        </w:rPr>
        <w:t>BDNF Mimetics and Enhancers: Ongoing research targets compounds that increase BDNF levels, such as 7,8-dihydroxyflavone. While promising in animal models, human data is still emerging.</w:t>
      </w:r>
    </w:p>
    <w:p w14:paraId="157991E4" w14:textId="77777777" w:rsidR="00370284" w:rsidRPr="00FB171D" w:rsidRDefault="00370284" w:rsidP="00734CAC">
      <w:pPr>
        <w:pStyle w:val="ListParagraph"/>
        <w:numPr>
          <w:ilvl w:val="0"/>
          <w:numId w:val="36"/>
        </w:numPr>
        <w:rPr>
          <w:rFonts w:ascii="Georgia" w:hAnsi="Georgia" w:cs="Arial"/>
        </w:rPr>
      </w:pPr>
      <w:r w:rsidRPr="00FB171D">
        <w:rPr>
          <w:rFonts w:ascii="Georgia" w:hAnsi="Georgia" w:cs="Arial"/>
        </w:rPr>
        <w:t>Senolytics and Anti-Inflammatory Agents: As neuroinflammation accelerates synaptic loss, drugs targeting senescent cells or modulating microglia (e.g., minocycline) are under investigation for their capacity to preserve synapses.</w:t>
      </w:r>
    </w:p>
    <w:p w14:paraId="70AF4488" w14:textId="77777777" w:rsidR="00370284" w:rsidRPr="00FB171D" w:rsidRDefault="00370284" w:rsidP="00734CAC">
      <w:pPr>
        <w:pStyle w:val="ListParagraph"/>
        <w:numPr>
          <w:ilvl w:val="0"/>
          <w:numId w:val="36"/>
        </w:numPr>
        <w:rPr>
          <w:rFonts w:ascii="Georgia" w:hAnsi="Georgia" w:cs="Arial"/>
        </w:rPr>
      </w:pPr>
      <w:r w:rsidRPr="00FB171D">
        <w:rPr>
          <w:rFonts w:ascii="Georgia" w:hAnsi="Georgia" w:cs="Arial"/>
        </w:rPr>
        <w:t>Potential Novel Agents: Psychedelics like psilocybin and ketamine, at sub-hallucinogenic doses, are being studied for their rapid synaptogenic effects in animal models and early clinical trials.</w:t>
      </w:r>
    </w:p>
    <w:p w14:paraId="72075B61" w14:textId="77777777" w:rsidR="00370284" w:rsidRPr="00FB171D" w:rsidRDefault="00370284" w:rsidP="00CF3FBA">
      <w:pPr>
        <w:pStyle w:val="Heading4"/>
        <w:rPr>
          <w:rFonts w:ascii="Georgia" w:hAnsi="Georgia" w:cs="Arial"/>
        </w:rPr>
      </w:pPr>
      <w:r w:rsidRPr="00FB171D">
        <w:rPr>
          <w:rFonts w:ascii="Georgia" w:hAnsi="Georgia" w:cs="Arial"/>
        </w:rPr>
        <w:t>Clinical Effectiveness and Supporting Evidence</w:t>
      </w:r>
    </w:p>
    <w:p w14:paraId="035BEB06" w14:textId="77777777" w:rsidR="00370284" w:rsidRPr="00FB171D" w:rsidRDefault="00370284" w:rsidP="00734CAC">
      <w:pPr>
        <w:pStyle w:val="ListParagraph"/>
        <w:numPr>
          <w:ilvl w:val="0"/>
          <w:numId w:val="37"/>
        </w:numPr>
        <w:rPr>
          <w:rFonts w:ascii="Georgia" w:hAnsi="Georgia" w:cs="Arial"/>
        </w:rPr>
      </w:pPr>
      <w:r w:rsidRPr="00FB171D">
        <w:rPr>
          <w:rFonts w:ascii="Georgia" w:hAnsi="Georgia" w:cs="Arial"/>
        </w:rPr>
        <w:t>Exercise: Randomized controlled trials show that regular aerobic activity increases hippocampal volume and improves cognitive performance in older adults.</w:t>
      </w:r>
    </w:p>
    <w:p w14:paraId="6EC8500F" w14:textId="77777777" w:rsidR="00370284" w:rsidRPr="00FB171D" w:rsidRDefault="00370284" w:rsidP="00734CAC">
      <w:pPr>
        <w:pStyle w:val="ListParagraph"/>
        <w:numPr>
          <w:ilvl w:val="0"/>
          <w:numId w:val="37"/>
        </w:numPr>
        <w:rPr>
          <w:rFonts w:ascii="Georgia" w:hAnsi="Georgia" w:cs="Arial"/>
        </w:rPr>
      </w:pPr>
      <w:r w:rsidRPr="00FB171D">
        <w:rPr>
          <w:rFonts w:ascii="Georgia" w:hAnsi="Georgia" w:cs="Arial"/>
        </w:rPr>
        <w:t>Cognitive Training: Studies such as the ACTIVE trial demonstrate that structured cognitive training can enhance specific cognitive abilities and slow decline.</w:t>
      </w:r>
    </w:p>
    <w:p w14:paraId="5601B8BC" w14:textId="77777777" w:rsidR="00370284" w:rsidRPr="00FB171D" w:rsidRDefault="00370284" w:rsidP="00734CAC">
      <w:pPr>
        <w:pStyle w:val="ListParagraph"/>
        <w:numPr>
          <w:ilvl w:val="0"/>
          <w:numId w:val="37"/>
        </w:numPr>
        <w:rPr>
          <w:rFonts w:ascii="Georgia" w:hAnsi="Georgia" w:cs="Arial"/>
        </w:rPr>
      </w:pPr>
      <w:r w:rsidRPr="00FB171D">
        <w:rPr>
          <w:rFonts w:ascii="Georgia" w:hAnsi="Georgia" w:cs="Arial"/>
        </w:rPr>
        <w:t>SSRIs: Imaging studies reveal increased synaptic density after chronic SSRI use in depression, correlating with improved mood and cognitive function.</w:t>
      </w:r>
    </w:p>
    <w:p w14:paraId="0AF71B29" w14:textId="77777777" w:rsidR="00370284" w:rsidRPr="00FB171D" w:rsidRDefault="00370284" w:rsidP="00734CAC">
      <w:pPr>
        <w:pStyle w:val="ListParagraph"/>
        <w:numPr>
          <w:ilvl w:val="0"/>
          <w:numId w:val="37"/>
        </w:numPr>
        <w:rPr>
          <w:rFonts w:ascii="Georgia" w:hAnsi="Georgia" w:cs="Arial"/>
        </w:rPr>
      </w:pPr>
      <w:r w:rsidRPr="00FB171D">
        <w:rPr>
          <w:rFonts w:ascii="Georgia" w:hAnsi="Georgia" w:cs="Arial"/>
        </w:rPr>
        <w:t>Ketamine: Rapid-acting antidepressant effects of ketamine are linked to increased dendritic spine formation in the prefrontal cortex, with clinical trials confirming its efficacy for treatment-resistant depression.</w:t>
      </w:r>
    </w:p>
    <w:p w14:paraId="16771550" w14:textId="77777777" w:rsidR="00370284" w:rsidRPr="00FB171D" w:rsidRDefault="00370284" w:rsidP="00734CAC">
      <w:pPr>
        <w:pStyle w:val="ListParagraph"/>
        <w:numPr>
          <w:ilvl w:val="0"/>
          <w:numId w:val="37"/>
        </w:numPr>
        <w:rPr>
          <w:rFonts w:ascii="Georgia" w:hAnsi="Georgia" w:cs="Arial"/>
        </w:rPr>
      </w:pPr>
      <w:r w:rsidRPr="00FB171D">
        <w:rPr>
          <w:rFonts w:ascii="Georgia" w:hAnsi="Georgia" w:cs="Arial"/>
        </w:rPr>
        <w:lastRenderedPageBreak/>
        <w:t>Dietary Interventions: Mediterranean and DASH diets are associated with lower rates of cognitive decline and dementia, likely via synaptic preservation mechanisms.</w:t>
      </w:r>
    </w:p>
    <w:p w14:paraId="688D3EE0" w14:textId="4AB0F4B4" w:rsidR="00370284" w:rsidRPr="00FB171D" w:rsidRDefault="00370284" w:rsidP="0050259E">
      <w:pPr>
        <w:pStyle w:val="Heading3"/>
        <w:rPr>
          <w:rFonts w:ascii="Georgia" w:hAnsi="Georgia" w:cs="Arial"/>
        </w:rPr>
      </w:pPr>
      <w:bookmarkStart w:id="44" w:name="_Toc209691078"/>
      <w:r w:rsidRPr="00FB171D">
        <w:rPr>
          <w:rFonts w:ascii="Georgia" w:hAnsi="Georgia" w:cs="Arial"/>
        </w:rPr>
        <w:t>Measuring Synaptic Change: Tools and Technologies</w:t>
      </w:r>
      <w:bookmarkEnd w:id="44"/>
    </w:p>
    <w:p w14:paraId="34DE93CB" w14:textId="77777777" w:rsidR="00370284" w:rsidRPr="00FB171D" w:rsidRDefault="00370284" w:rsidP="0050259E">
      <w:pPr>
        <w:pStyle w:val="Heading4"/>
        <w:rPr>
          <w:rFonts w:ascii="Georgia" w:hAnsi="Georgia" w:cs="Arial"/>
        </w:rPr>
      </w:pPr>
      <w:r w:rsidRPr="00FB171D">
        <w:rPr>
          <w:rFonts w:ascii="Georgia" w:hAnsi="Georgia" w:cs="Arial"/>
        </w:rPr>
        <w:t>Molecular and Cellular Level</w:t>
      </w:r>
    </w:p>
    <w:p w14:paraId="14365567" w14:textId="77777777" w:rsidR="00370284" w:rsidRPr="00FB171D" w:rsidRDefault="00370284" w:rsidP="00734CAC">
      <w:pPr>
        <w:pStyle w:val="ListParagraph"/>
        <w:numPr>
          <w:ilvl w:val="0"/>
          <w:numId w:val="38"/>
        </w:numPr>
        <w:rPr>
          <w:rFonts w:ascii="Georgia" w:hAnsi="Georgia" w:cs="Arial"/>
        </w:rPr>
      </w:pPr>
      <w:r w:rsidRPr="00FB171D">
        <w:rPr>
          <w:rFonts w:ascii="Georgia" w:hAnsi="Georgia" w:cs="Arial"/>
        </w:rPr>
        <w:t>Biomarkers: Cerebrospinal fluid (CSF) and blood-based measurement of synaptic proteins (e.g., synaptophysin, neurogranin) can provide indirect evidence of synaptic density and turnover.</w:t>
      </w:r>
    </w:p>
    <w:p w14:paraId="24EFBD2A" w14:textId="77777777" w:rsidR="00370284" w:rsidRPr="00FB171D" w:rsidRDefault="00370284" w:rsidP="00734CAC">
      <w:pPr>
        <w:pStyle w:val="ListParagraph"/>
        <w:numPr>
          <w:ilvl w:val="0"/>
          <w:numId w:val="38"/>
        </w:numPr>
        <w:rPr>
          <w:rFonts w:ascii="Georgia" w:hAnsi="Georgia" w:cs="Arial"/>
        </w:rPr>
      </w:pPr>
      <w:r w:rsidRPr="00FB171D">
        <w:rPr>
          <w:rFonts w:ascii="Georgia" w:hAnsi="Georgia" w:cs="Arial"/>
        </w:rPr>
        <w:t>Electron Microscopy: Gold standard for visualizing synapses in post-mortem or animal tissue, though not feasible in living humans.</w:t>
      </w:r>
    </w:p>
    <w:p w14:paraId="21035A8E" w14:textId="77777777" w:rsidR="00370284" w:rsidRPr="00FB171D" w:rsidRDefault="00370284" w:rsidP="0050259E">
      <w:pPr>
        <w:pStyle w:val="Heading4"/>
        <w:rPr>
          <w:rFonts w:ascii="Georgia" w:hAnsi="Georgia" w:cs="Arial"/>
        </w:rPr>
      </w:pPr>
      <w:r w:rsidRPr="00FB171D">
        <w:rPr>
          <w:rFonts w:ascii="Georgia" w:hAnsi="Georgia" w:cs="Arial"/>
        </w:rPr>
        <w:t>Brain Level (In Vivo)</w:t>
      </w:r>
    </w:p>
    <w:p w14:paraId="70B96F33" w14:textId="77777777" w:rsidR="00370284" w:rsidRPr="00FB171D" w:rsidRDefault="00370284" w:rsidP="00734CAC">
      <w:pPr>
        <w:pStyle w:val="ListParagraph"/>
        <w:numPr>
          <w:ilvl w:val="0"/>
          <w:numId w:val="39"/>
        </w:numPr>
        <w:rPr>
          <w:rFonts w:ascii="Georgia" w:hAnsi="Georgia" w:cs="Arial"/>
        </w:rPr>
      </w:pPr>
      <w:r w:rsidRPr="00FB171D">
        <w:rPr>
          <w:rFonts w:ascii="Georgia" w:hAnsi="Georgia" w:cs="Arial"/>
        </w:rPr>
        <w:t>Magnetic Resonance Imaging (MRI): Volumetric MRI assesses region-specific brain atrophy, which indirectly reflects synaptic and neuronal loss. Advanced MRI techniques (e.g., diffusion tensor imaging) can characterize white matter integrity and connectivity.</w:t>
      </w:r>
    </w:p>
    <w:p w14:paraId="511B154A" w14:textId="77777777" w:rsidR="00370284" w:rsidRPr="00FB171D" w:rsidRDefault="00370284" w:rsidP="00734CAC">
      <w:pPr>
        <w:pStyle w:val="ListParagraph"/>
        <w:numPr>
          <w:ilvl w:val="0"/>
          <w:numId w:val="39"/>
        </w:numPr>
        <w:rPr>
          <w:rFonts w:ascii="Georgia" w:hAnsi="Georgia" w:cs="Arial"/>
        </w:rPr>
      </w:pPr>
      <w:r w:rsidRPr="00FB171D">
        <w:rPr>
          <w:rFonts w:ascii="Georgia" w:hAnsi="Georgia" w:cs="Arial"/>
        </w:rPr>
        <w:t>Positron Emission Tomography (PET): Novel radioligands (e.g., SV2A tracers) allow in vivo quantification of synaptic density in humans, opening new avenues for research and diagnosis.</w:t>
      </w:r>
    </w:p>
    <w:p w14:paraId="50FA8773" w14:textId="77777777" w:rsidR="00370284" w:rsidRPr="00FB171D" w:rsidRDefault="00370284" w:rsidP="00734CAC">
      <w:pPr>
        <w:pStyle w:val="ListParagraph"/>
        <w:numPr>
          <w:ilvl w:val="0"/>
          <w:numId w:val="39"/>
        </w:numPr>
        <w:rPr>
          <w:rFonts w:ascii="Georgia" w:hAnsi="Georgia" w:cs="Arial"/>
        </w:rPr>
      </w:pPr>
      <w:r w:rsidRPr="00FB171D">
        <w:rPr>
          <w:rFonts w:ascii="Georgia" w:hAnsi="Georgia" w:cs="Arial"/>
        </w:rPr>
        <w:t>Functional MRI (fMRI): Measures brain activity and connectivity, revealing functional synaptic networks and changes with interventions.</w:t>
      </w:r>
    </w:p>
    <w:p w14:paraId="6E468807" w14:textId="77777777" w:rsidR="00370284" w:rsidRPr="00FB171D" w:rsidRDefault="00370284" w:rsidP="0050259E">
      <w:pPr>
        <w:pStyle w:val="Heading4"/>
        <w:rPr>
          <w:rFonts w:ascii="Georgia" w:hAnsi="Georgia" w:cs="Arial"/>
        </w:rPr>
      </w:pPr>
      <w:r w:rsidRPr="00FB171D">
        <w:rPr>
          <w:rFonts w:ascii="Georgia" w:hAnsi="Georgia" w:cs="Arial"/>
        </w:rPr>
        <w:t>Cognitive and Behavioral Measures</w:t>
      </w:r>
    </w:p>
    <w:p w14:paraId="78D42E9B" w14:textId="77777777" w:rsidR="00370284" w:rsidRPr="00FB171D" w:rsidRDefault="00370284" w:rsidP="00734CAC">
      <w:pPr>
        <w:pStyle w:val="ListParagraph"/>
        <w:numPr>
          <w:ilvl w:val="0"/>
          <w:numId w:val="40"/>
        </w:numPr>
        <w:rPr>
          <w:rFonts w:ascii="Georgia" w:hAnsi="Georgia" w:cs="Arial"/>
        </w:rPr>
      </w:pPr>
      <w:r w:rsidRPr="00FB171D">
        <w:rPr>
          <w:rFonts w:ascii="Georgia" w:hAnsi="Georgia" w:cs="Arial"/>
        </w:rPr>
        <w:t>Neuropsychological Testing: Sensitive cognitive tests can detect subtle improvements or declines related to synaptic health.</w:t>
      </w:r>
    </w:p>
    <w:p w14:paraId="1F4205B8" w14:textId="77777777" w:rsidR="00370284" w:rsidRPr="00FB171D" w:rsidRDefault="00370284" w:rsidP="00734CAC">
      <w:pPr>
        <w:pStyle w:val="ListParagraph"/>
        <w:numPr>
          <w:ilvl w:val="0"/>
          <w:numId w:val="40"/>
        </w:numPr>
        <w:rPr>
          <w:rFonts w:ascii="Georgia" w:hAnsi="Georgia" w:cs="Arial"/>
        </w:rPr>
      </w:pPr>
      <w:r w:rsidRPr="00FB171D">
        <w:rPr>
          <w:rFonts w:ascii="Georgia" w:hAnsi="Georgia" w:cs="Arial"/>
        </w:rPr>
        <w:t>Behavioral Assessments: Real-world measures of memory, executive function, and learning outcomes serve as indirect proxies for synaptic connectivity.</w:t>
      </w:r>
    </w:p>
    <w:p w14:paraId="460CE1D1" w14:textId="171D6E52" w:rsidR="00370284" w:rsidRPr="00FB171D" w:rsidRDefault="00370284" w:rsidP="0050259E">
      <w:pPr>
        <w:pStyle w:val="Heading3"/>
        <w:rPr>
          <w:rFonts w:ascii="Georgia" w:hAnsi="Georgia" w:cs="Arial"/>
        </w:rPr>
      </w:pPr>
      <w:bookmarkStart w:id="45" w:name="_Toc209691079"/>
      <w:r w:rsidRPr="00FB171D">
        <w:rPr>
          <w:rFonts w:ascii="Georgia" w:hAnsi="Georgia" w:cs="Arial"/>
        </w:rPr>
        <w:t>How to Avoid Excessive Synaptic Pruning</w:t>
      </w:r>
      <w:bookmarkEnd w:id="45"/>
    </w:p>
    <w:p w14:paraId="6D424085" w14:textId="77777777" w:rsidR="00370284" w:rsidRPr="00FB171D" w:rsidRDefault="00370284" w:rsidP="00370284">
      <w:pPr>
        <w:rPr>
          <w:rFonts w:ascii="Georgia" w:hAnsi="Georgia" w:cs="Arial"/>
        </w:rPr>
      </w:pPr>
      <w:r w:rsidRPr="00FB171D">
        <w:rPr>
          <w:rFonts w:ascii="Georgia" w:hAnsi="Georgia" w:cs="Arial"/>
        </w:rPr>
        <w:t>Excessive pruning is implicated in neurodevelopmental and neurodegenerative diseases. Strategies to avoid this include:</w:t>
      </w:r>
    </w:p>
    <w:p w14:paraId="06A73DD1" w14:textId="77777777" w:rsidR="00370284" w:rsidRPr="00FB171D" w:rsidRDefault="00370284" w:rsidP="00734CAC">
      <w:pPr>
        <w:pStyle w:val="ListParagraph"/>
        <w:numPr>
          <w:ilvl w:val="0"/>
          <w:numId w:val="41"/>
        </w:numPr>
        <w:rPr>
          <w:rFonts w:ascii="Georgia" w:hAnsi="Georgia" w:cs="Arial"/>
        </w:rPr>
      </w:pPr>
      <w:r w:rsidRPr="00FB171D">
        <w:rPr>
          <w:rFonts w:ascii="Georgia" w:hAnsi="Georgia" w:cs="Arial"/>
        </w:rPr>
        <w:t>Anti-Inflammatory Approaches: Controlling neuroinflammation through lifestyle (diet, exercise) and medications (NSAIDs, minocycline) may reduce overactive microglia-mediated pruning.</w:t>
      </w:r>
    </w:p>
    <w:p w14:paraId="24D7A665" w14:textId="77777777" w:rsidR="00370284" w:rsidRPr="00FB171D" w:rsidRDefault="00370284" w:rsidP="00734CAC">
      <w:pPr>
        <w:pStyle w:val="ListParagraph"/>
        <w:numPr>
          <w:ilvl w:val="0"/>
          <w:numId w:val="41"/>
        </w:numPr>
        <w:rPr>
          <w:rFonts w:ascii="Georgia" w:hAnsi="Georgia" w:cs="Arial"/>
        </w:rPr>
      </w:pPr>
      <w:r w:rsidRPr="00FB171D">
        <w:rPr>
          <w:rFonts w:ascii="Georgia" w:hAnsi="Georgia" w:cs="Arial"/>
        </w:rPr>
        <w:t>Early Intervention: Addressing risk factors (e.g., metabolic syndrome, traumatic brain injury) and treating neuropsychiatric symptoms promptly may minimize harmful synaptic elimination.</w:t>
      </w:r>
    </w:p>
    <w:p w14:paraId="2F150883" w14:textId="77777777" w:rsidR="00370284" w:rsidRPr="00FB171D" w:rsidRDefault="00370284" w:rsidP="00734CAC">
      <w:pPr>
        <w:pStyle w:val="ListParagraph"/>
        <w:numPr>
          <w:ilvl w:val="0"/>
          <w:numId w:val="41"/>
        </w:numPr>
        <w:rPr>
          <w:rFonts w:ascii="Georgia" w:hAnsi="Georgia" w:cs="Arial"/>
        </w:rPr>
      </w:pPr>
      <w:r w:rsidRPr="00FB171D">
        <w:rPr>
          <w:rFonts w:ascii="Georgia" w:hAnsi="Georgia" w:cs="Arial"/>
        </w:rPr>
        <w:t>Optimizing Sleep: Disrupted sleep is linked to aberrant pruning. Sleep hygiene is a modifiable factor.</w:t>
      </w:r>
    </w:p>
    <w:p w14:paraId="3CC13209" w14:textId="5146434C" w:rsidR="00370284" w:rsidRPr="00FB171D" w:rsidRDefault="00370284" w:rsidP="0050259E">
      <w:pPr>
        <w:pStyle w:val="Heading3"/>
        <w:rPr>
          <w:rFonts w:ascii="Georgia" w:hAnsi="Georgia" w:cs="Arial"/>
        </w:rPr>
      </w:pPr>
      <w:bookmarkStart w:id="46" w:name="_Toc209691080"/>
      <w:r w:rsidRPr="00FB171D">
        <w:rPr>
          <w:rFonts w:ascii="Georgia" w:hAnsi="Georgia" w:cs="Arial"/>
        </w:rPr>
        <w:t>Summary and Outlook</w:t>
      </w:r>
      <w:bookmarkEnd w:id="46"/>
    </w:p>
    <w:p w14:paraId="13D3ECE0" w14:textId="0032ED2B" w:rsidR="007561C0" w:rsidRPr="00FB171D" w:rsidRDefault="00370284" w:rsidP="00370284">
      <w:pPr>
        <w:rPr>
          <w:rFonts w:ascii="Georgia" w:hAnsi="Georgia" w:cs="Arial"/>
        </w:rPr>
      </w:pPr>
      <w:r w:rsidRPr="00FB171D">
        <w:rPr>
          <w:rFonts w:ascii="Georgia" w:hAnsi="Georgia" w:cs="Arial"/>
        </w:rPr>
        <w:t xml:space="preserve">The maintenance and creation of synaptic connections, alongside protection from excessive pruning, are at the heart of brain resilience and cognitive longevity. Lifestyle factors (diet, exercise, mental activity, sleep), pharmacological advances, and targeted interventions all hold promise, with mounting evidence supporting their role at molecular, cellular, and brain-system levels. While our ability to directly measure synapses in living humans is still developing, advances in imaging and biomarker science are closing this gap. Ultimately, a multifaceted, </w:t>
      </w:r>
      <w:r w:rsidRPr="00FB171D">
        <w:rPr>
          <w:rFonts w:ascii="Georgia" w:hAnsi="Georgia" w:cs="Arial"/>
        </w:rPr>
        <w:lastRenderedPageBreak/>
        <w:t>personalized approach—combining lifestyle, medical, and potentially novel therapeutic modalities—offers the best prospects for optimizing synaptic health across the lifespan.</w:t>
      </w:r>
    </w:p>
    <w:p w14:paraId="3224955A" w14:textId="77777777" w:rsidR="002F2FE5" w:rsidRPr="00FB171D" w:rsidRDefault="002F2FE5" w:rsidP="00370284">
      <w:pPr>
        <w:rPr>
          <w:rFonts w:ascii="Georgia" w:hAnsi="Georgia" w:cs="Arial"/>
        </w:rPr>
      </w:pPr>
    </w:p>
    <w:p w14:paraId="088989CB" w14:textId="4C4DA880" w:rsidR="00CE4079" w:rsidRPr="00FB171D" w:rsidRDefault="00CE4079" w:rsidP="00AE5CA4">
      <w:pPr>
        <w:pStyle w:val="Heading3"/>
        <w:rPr>
          <w:rFonts w:ascii="Georgia" w:hAnsi="Georgia" w:cs="Arial"/>
        </w:rPr>
      </w:pPr>
      <w:bookmarkStart w:id="47" w:name="_Toc209691081"/>
      <w:r w:rsidRPr="00FB171D">
        <w:rPr>
          <w:rFonts w:ascii="Georgia" w:hAnsi="Georgia" w:cs="Arial"/>
        </w:rPr>
        <w:t>Performance-Enhancing Drugs and Synaptic Connectivity</w:t>
      </w:r>
      <w:bookmarkEnd w:id="47"/>
    </w:p>
    <w:p w14:paraId="4C621A68" w14:textId="77777777" w:rsidR="00CE4079" w:rsidRPr="00FB171D" w:rsidRDefault="00CE4079" w:rsidP="00CE4079">
      <w:pPr>
        <w:pStyle w:val="Subtitle"/>
        <w:rPr>
          <w:rFonts w:ascii="Georgia" w:eastAsiaTheme="minorEastAsia" w:hAnsi="Georgia" w:cs="Arial"/>
        </w:rPr>
      </w:pPr>
      <w:r w:rsidRPr="00FB171D">
        <w:rPr>
          <w:rFonts w:ascii="Georgia" w:eastAsiaTheme="minorEastAsia" w:hAnsi="Georgia" w:cs="Arial"/>
        </w:rPr>
        <w:t>An Overview of Pharmacological Strategies for Increasing Synapses</w:t>
      </w:r>
    </w:p>
    <w:p w14:paraId="13FB493E" w14:textId="77777777" w:rsidR="00CE4079" w:rsidRPr="00FB171D" w:rsidRDefault="00CE4079" w:rsidP="00AE5CA4">
      <w:pPr>
        <w:pStyle w:val="Heading4"/>
        <w:rPr>
          <w:rFonts w:ascii="Georgia" w:eastAsiaTheme="minorEastAsia" w:hAnsi="Georgia" w:cs="Arial"/>
        </w:rPr>
      </w:pPr>
      <w:r w:rsidRPr="00FB171D">
        <w:rPr>
          <w:rFonts w:ascii="Georgia" w:eastAsiaTheme="minorEastAsia" w:hAnsi="Georgia" w:cs="Arial"/>
        </w:rPr>
        <w:t>Introduction</w:t>
      </w:r>
    </w:p>
    <w:p w14:paraId="48783B81" w14:textId="77777777" w:rsidR="00CE4079" w:rsidRPr="00FB171D" w:rsidRDefault="00CE4079" w:rsidP="00CE4079">
      <w:pPr>
        <w:rPr>
          <w:rFonts w:ascii="Georgia" w:hAnsi="Georgia" w:cs="Arial"/>
        </w:rPr>
      </w:pPr>
      <w:r w:rsidRPr="00FB171D">
        <w:rPr>
          <w:rFonts w:ascii="Georgia" w:hAnsi="Georgia" w:cs="Arial"/>
        </w:rPr>
        <w:t>Synaptic connectivity is central to brain health, influencing learning, memory, and cognitive resilience. Interest in performance-enhancing drugs (PEDs) for the brain increasingly centers on their ability to affect synapses—specifically, whether they can increase synaptic number or plasticity, rather than merely altering neurotransmitter levels. The science is complex, and evidence in humans is still emerging.</w:t>
      </w:r>
    </w:p>
    <w:p w14:paraId="47721D07" w14:textId="77777777" w:rsidR="00CE4079" w:rsidRPr="00FB171D" w:rsidRDefault="00CE4079" w:rsidP="00AE5CA4">
      <w:pPr>
        <w:pStyle w:val="Heading4"/>
        <w:rPr>
          <w:rFonts w:ascii="Georgia" w:hAnsi="Georgia" w:cs="Arial"/>
        </w:rPr>
      </w:pPr>
      <w:r w:rsidRPr="00FB171D">
        <w:rPr>
          <w:rFonts w:ascii="Georgia" w:hAnsi="Georgia" w:cs="Arial"/>
        </w:rPr>
        <w:t>Synaptic Plasticity and Cognitive Enhancement</w:t>
      </w:r>
    </w:p>
    <w:p w14:paraId="5AFCF6E7" w14:textId="77777777" w:rsidR="00CE4079" w:rsidRPr="00FB171D" w:rsidRDefault="00CE4079" w:rsidP="00CE4079">
      <w:pPr>
        <w:rPr>
          <w:rFonts w:ascii="Georgia" w:hAnsi="Georgia" w:cs="Arial"/>
        </w:rPr>
      </w:pPr>
      <w:r w:rsidRPr="00FB171D">
        <w:rPr>
          <w:rFonts w:ascii="Georgia" w:hAnsi="Georgia" w:cs="Arial"/>
        </w:rPr>
        <w:t>Neuroplasticity, the brain’s remarkable capacity to form and reorganize synaptic connections, underlies learning and adaptation. Both lifestyle interventions and pharmacological agents have been explored for their effects on synaptic plasticity. While true “synaptogenesis”—the creation of new synapses—can occur, robust evidence for drug-induced synaptogenesis in humans remains preliminary.</w:t>
      </w:r>
    </w:p>
    <w:p w14:paraId="58415389" w14:textId="77777777" w:rsidR="00CE4079" w:rsidRPr="00FB171D" w:rsidRDefault="00CE4079" w:rsidP="001F34B1">
      <w:pPr>
        <w:pStyle w:val="Heading4"/>
        <w:rPr>
          <w:rFonts w:ascii="Georgia" w:hAnsi="Georgia" w:cs="Arial"/>
        </w:rPr>
      </w:pPr>
      <w:r w:rsidRPr="00FB171D">
        <w:rPr>
          <w:rFonts w:ascii="Georgia" w:hAnsi="Georgia" w:cs="Arial"/>
        </w:rPr>
        <w:t>Categories of Performance-Enhancing Substances</w:t>
      </w:r>
    </w:p>
    <w:p w14:paraId="2B641084" w14:textId="77777777" w:rsidR="00CE4079" w:rsidRPr="00FB171D" w:rsidRDefault="00CE4079" w:rsidP="00734CAC">
      <w:pPr>
        <w:pStyle w:val="ListParagraph"/>
        <w:numPr>
          <w:ilvl w:val="0"/>
          <w:numId w:val="42"/>
        </w:numPr>
        <w:rPr>
          <w:rFonts w:ascii="Georgia" w:hAnsi="Georgia" w:cs="Arial"/>
        </w:rPr>
      </w:pPr>
      <w:r w:rsidRPr="00FB171D">
        <w:rPr>
          <w:rFonts w:ascii="Georgia" w:hAnsi="Georgia" w:cs="Arial"/>
        </w:rPr>
        <w:t>Nootropics (Cognitive Enhancers): Various compounds have been touted to boost cognitive function, though most do not directly increase synapse number.</w:t>
      </w:r>
    </w:p>
    <w:p w14:paraId="17F4B012" w14:textId="77777777" w:rsidR="00CE4079" w:rsidRPr="00FB171D" w:rsidRDefault="00CE4079" w:rsidP="00734CAC">
      <w:pPr>
        <w:pStyle w:val="ListParagraph"/>
        <w:numPr>
          <w:ilvl w:val="0"/>
          <w:numId w:val="42"/>
        </w:numPr>
        <w:rPr>
          <w:rFonts w:ascii="Georgia" w:hAnsi="Georgia" w:cs="Arial"/>
        </w:rPr>
      </w:pPr>
      <w:r w:rsidRPr="00FB171D">
        <w:rPr>
          <w:rFonts w:ascii="Georgia" w:hAnsi="Georgia" w:cs="Arial"/>
        </w:rPr>
        <w:t>Neurotrophic Factors and Modulators: Some medications and supplements may increase levels of neurotrophic proteins, which support neuron growth and synaptic connectivity.</w:t>
      </w:r>
    </w:p>
    <w:p w14:paraId="6BD8E3A6" w14:textId="77777777" w:rsidR="00CE4079" w:rsidRPr="00FB171D" w:rsidRDefault="00CE4079" w:rsidP="00734CAC">
      <w:pPr>
        <w:pStyle w:val="ListParagraph"/>
        <w:numPr>
          <w:ilvl w:val="0"/>
          <w:numId w:val="42"/>
        </w:numPr>
        <w:rPr>
          <w:rFonts w:ascii="Georgia" w:hAnsi="Georgia" w:cs="Arial"/>
        </w:rPr>
      </w:pPr>
      <w:r w:rsidRPr="00FB171D">
        <w:rPr>
          <w:rFonts w:ascii="Georgia" w:hAnsi="Georgia" w:cs="Arial"/>
        </w:rPr>
        <w:t>Antidepressants and Mood Stabilizers: Certain psychiatric drugs can improve synaptic health as a secondary effect.</w:t>
      </w:r>
    </w:p>
    <w:p w14:paraId="1CF2B1FD" w14:textId="77777777" w:rsidR="00CE4079" w:rsidRPr="00FB171D" w:rsidRDefault="00CE4079" w:rsidP="001F34B1">
      <w:pPr>
        <w:pStyle w:val="Heading4"/>
        <w:rPr>
          <w:rFonts w:ascii="Georgia" w:hAnsi="Georgia" w:cs="Arial"/>
        </w:rPr>
      </w:pPr>
      <w:r w:rsidRPr="00FB171D">
        <w:rPr>
          <w:rFonts w:ascii="Georgia" w:hAnsi="Georgia" w:cs="Arial"/>
        </w:rPr>
        <w:t>Notable Agents and Their Mechanisms</w:t>
      </w:r>
    </w:p>
    <w:p w14:paraId="3C78160D" w14:textId="77777777" w:rsidR="00CE4079" w:rsidRPr="00FB171D" w:rsidRDefault="00CE4079" w:rsidP="00734CAC">
      <w:pPr>
        <w:pStyle w:val="ListParagraph"/>
        <w:numPr>
          <w:ilvl w:val="0"/>
          <w:numId w:val="43"/>
        </w:numPr>
        <w:rPr>
          <w:rFonts w:ascii="Georgia" w:hAnsi="Georgia" w:cs="Arial"/>
        </w:rPr>
      </w:pPr>
      <w:r w:rsidRPr="00FB171D">
        <w:rPr>
          <w:rFonts w:ascii="Georgia" w:hAnsi="Georgia" w:cs="Arial"/>
        </w:rPr>
        <w:t>SSRIs (Selective Serotonin Reuptake Inhibitors): Commonly used to treat depression, some SSRIs may increase synaptic density (as shown in animal studies and limited human imaging) by boosting brain-derived neurotrophic factor (BDNF).</w:t>
      </w:r>
    </w:p>
    <w:p w14:paraId="76902B89" w14:textId="77777777" w:rsidR="00CE4079" w:rsidRPr="00FB171D" w:rsidRDefault="00CE4079" w:rsidP="00734CAC">
      <w:pPr>
        <w:pStyle w:val="ListParagraph"/>
        <w:numPr>
          <w:ilvl w:val="0"/>
          <w:numId w:val="43"/>
        </w:numPr>
        <w:rPr>
          <w:rFonts w:ascii="Georgia" w:hAnsi="Georgia" w:cs="Arial"/>
        </w:rPr>
      </w:pPr>
      <w:r w:rsidRPr="00FB171D">
        <w:rPr>
          <w:rFonts w:ascii="Georgia" w:hAnsi="Georgia" w:cs="Arial"/>
        </w:rPr>
        <w:t>Ketamine: This anesthetic and antidepressant is known for its rapid increase in synaptic connectivity, particularly via the mTOR signaling pathway and elevated BDNF.</w:t>
      </w:r>
    </w:p>
    <w:p w14:paraId="6E2C9EC7" w14:textId="77777777" w:rsidR="00CE4079" w:rsidRPr="00FB171D" w:rsidRDefault="00CE4079" w:rsidP="00734CAC">
      <w:pPr>
        <w:pStyle w:val="ListParagraph"/>
        <w:numPr>
          <w:ilvl w:val="0"/>
          <w:numId w:val="43"/>
        </w:numPr>
        <w:rPr>
          <w:rFonts w:ascii="Georgia" w:hAnsi="Georgia" w:cs="Arial"/>
        </w:rPr>
      </w:pPr>
      <w:r w:rsidRPr="00FB171D">
        <w:rPr>
          <w:rFonts w:ascii="Georgia" w:hAnsi="Georgia" w:cs="Arial"/>
        </w:rPr>
        <w:t>Noopept and Racetams: Synthetic nootropics believed to enhance neuroplasticity; they may increase nerve growth factor (NGF) and BDNF, but robust human data are limited.</w:t>
      </w:r>
    </w:p>
    <w:p w14:paraId="32B48DA5" w14:textId="77777777" w:rsidR="00CE4079" w:rsidRPr="00FB171D" w:rsidRDefault="00CE4079" w:rsidP="00734CAC">
      <w:pPr>
        <w:pStyle w:val="ListParagraph"/>
        <w:numPr>
          <w:ilvl w:val="0"/>
          <w:numId w:val="43"/>
        </w:numPr>
        <w:rPr>
          <w:rFonts w:ascii="Georgia" w:hAnsi="Georgia" w:cs="Arial"/>
        </w:rPr>
      </w:pPr>
      <w:r w:rsidRPr="00FB171D">
        <w:rPr>
          <w:rFonts w:ascii="Georgia" w:hAnsi="Georgia" w:cs="Arial"/>
        </w:rPr>
        <w:t>Modafinil: Developed for narcolepsy and used off-label for cognitive enhancement, but its effects are more related to neurotransmitter modulation than direct synaptogenesis.</w:t>
      </w:r>
    </w:p>
    <w:p w14:paraId="47D0393E" w14:textId="77777777" w:rsidR="00CE4079" w:rsidRPr="00FB171D" w:rsidRDefault="00CE4079" w:rsidP="00734CAC">
      <w:pPr>
        <w:pStyle w:val="ListParagraph"/>
        <w:numPr>
          <w:ilvl w:val="0"/>
          <w:numId w:val="43"/>
        </w:numPr>
        <w:rPr>
          <w:rFonts w:ascii="Georgia" w:hAnsi="Georgia" w:cs="Arial"/>
        </w:rPr>
      </w:pPr>
      <w:r w:rsidRPr="00FB171D">
        <w:rPr>
          <w:rFonts w:ascii="Georgia" w:hAnsi="Georgia" w:cs="Arial"/>
        </w:rPr>
        <w:t>Nicotine: While not recommended due to its risks, laboratory studies show nicotine can increase synaptic plasticity and density.</w:t>
      </w:r>
    </w:p>
    <w:p w14:paraId="4E4364A4" w14:textId="77777777" w:rsidR="00CE4079" w:rsidRPr="00FB171D" w:rsidRDefault="00CE4079" w:rsidP="001F34B1">
      <w:pPr>
        <w:pStyle w:val="Heading4"/>
        <w:rPr>
          <w:rFonts w:ascii="Georgia" w:hAnsi="Georgia" w:cs="Arial"/>
        </w:rPr>
      </w:pPr>
      <w:r w:rsidRPr="00FB171D">
        <w:rPr>
          <w:rFonts w:ascii="Georgia" w:hAnsi="Georgia" w:cs="Arial"/>
        </w:rPr>
        <w:t>Emerging and Experimental Therapies</w:t>
      </w:r>
    </w:p>
    <w:p w14:paraId="76938430" w14:textId="77777777" w:rsidR="00CE4079" w:rsidRPr="00FB171D" w:rsidRDefault="00CE4079" w:rsidP="00734CAC">
      <w:pPr>
        <w:pStyle w:val="ListParagraph"/>
        <w:numPr>
          <w:ilvl w:val="0"/>
          <w:numId w:val="44"/>
        </w:numPr>
        <w:rPr>
          <w:rFonts w:ascii="Georgia" w:hAnsi="Georgia" w:cs="Arial"/>
        </w:rPr>
      </w:pPr>
      <w:r w:rsidRPr="00FB171D">
        <w:rPr>
          <w:rFonts w:ascii="Georgia" w:hAnsi="Georgia" w:cs="Arial"/>
        </w:rPr>
        <w:t>BDNF Mimetics and Gene Therapy: Experimental approaches aim to boost endogenous BDNF or mimic its effects, targeting synaptic growth and maintenance.</w:t>
      </w:r>
    </w:p>
    <w:p w14:paraId="2EB911D7" w14:textId="77777777" w:rsidR="00CE4079" w:rsidRPr="00FB171D" w:rsidRDefault="00CE4079" w:rsidP="00734CAC">
      <w:pPr>
        <w:pStyle w:val="ListParagraph"/>
        <w:numPr>
          <w:ilvl w:val="0"/>
          <w:numId w:val="44"/>
        </w:numPr>
        <w:rPr>
          <w:rFonts w:ascii="Georgia" w:hAnsi="Georgia" w:cs="Arial"/>
        </w:rPr>
      </w:pPr>
      <w:r w:rsidRPr="00FB171D">
        <w:rPr>
          <w:rFonts w:ascii="Georgia" w:hAnsi="Georgia" w:cs="Arial"/>
        </w:rPr>
        <w:t xml:space="preserve">Psychedelic Compounds (Including LSD): Substances like LSD (lysergic acid diethylamide), psilocybin, and DMT are currently being researched for their ability to </w:t>
      </w:r>
      <w:r w:rsidRPr="00FB171D">
        <w:rPr>
          <w:rFonts w:ascii="Georgia" w:hAnsi="Georgia" w:cs="Arial"/>
        </w:rPr>
        <w:lastRenderedPageBreak/>
        <w:t>promote synaptogenesis and dendritic growth. Early studies suggest these psychedelics may foster new synaptic connections and enhance neuroplasticity, potentially explaining their persistent positive effects on mood and cognition in some clinical contexts.</w:t>
      </w:r>
    </w:p>
    <w:p w14:paraId="500134D8" w14:textId="77777777" w:rsidR="00CE4079" w:rsidRPr="00FB171D" w:rsidRDefault="00CE4079" w:rsidP="00734CAC">
      <w:pPr>
        <w:pStyle w:val="ListParagraph"/>
        <w:numPr>
          <w:ilvl w:val="0"/>
          <w:numId w:val="44"/>
        </w:numPr>
        <w:rPr>
          <w:rFonts w:ascii="Georgia" w:hAnsi="Georgia" w:cs="Arial"/>
        </w:rPr>
      </w:pPr>
      <w:r w:rsidRPr="00FB171D">
        <w:rPr>
          <w:rFonts w:ascii="Georgia" w:hAnsi="Georgia" w:cs="Arial"/>
        </w:rPr>
        <w:t>Glutamatergic Modulators: Agents that influence the glutamate system (such as NMDA receptor antagonists) are under investigation for their capacity to rapidly stimulate synaptic formation.</w:t>
      </w:r>
    </w:p>
    <w:p w14:paraId="43FAD2EF" w14:textId="77777777" w:rsidR="00CE4079" w:rsidRPr="00FB171D" w:rsidRDefault="00CE4079" w:rsidP="00AE5CA4">
      <w:pPr>
        <w:pStyle w:val="Heading4"/>
        <w:rPr>
          <w:rFonts w:ascii="Georgia" w:hAnsi="Georgia" w:cs="Arial"/>
        </w:rPr>
      </w:pPr>
      <w:r w:rsidRPr="00FB171D">
        <w:rPr>
          <w:rFonts w:ascii="Georgia" w:hAnsi="Georgia" w:cs="Arial"/>
        </w:rPr>
        <w:t>Limitations and Risks</w:t>
      </w:r>
    </w:p>
    <w:p w14:paraId="577F93BD" w14:textId="77777777" w:rsidR="00CE4079" w:rsidRPr="00FB171D" w:rsidRDefault="00CE4079" w:rsidP="00734CAC">
      <w:pPr>
        <w:pStyle w:val="ListParagraph"/>
        <w:numPr>
          <w:ilvl w:val="0"/>
          <w:numId w:val="45"/>
        </w:numPr>
        <w:rPr>
          <w:rFonts w:ascii="Georgia" w:hAnsi="Georgia" w:cs="Arial"/>
        </w:rPr>
      </w:pPr>
      <w:r w:rsidRPr="00FB171D">
        <w:rPr>
          <w:rFonts w:ascii="Georgia" w:hAnsi="Georgia" w:cs="Arial"/>
        </w:rPr>
        <w:t>Most evidence for drug-induced synaptogenesis comes from animal or cell studies; human translation remains uncertain.</w:t>
      </w:r>
    </w:p>
    <w:p w14:paraId="48E1F44E" w14:textId="77777777" w:rsidR="00CE4079" w:rsidRPr="00FB171D" w:rsidRDefault="00CE4079" w:rsidP="00734CAC">
      <w:pPr>
        <w:pStyle w:val="ListParagraph"/>
        <w:numPr>
          <w:ilvl w:val="0"/>
          <w:numId w:val="45"/>
        </w:numPr>
        <w:rPr>
          <w:rFonts w:ascii="Georgia" w:hAnsi="Georgia" w:cs="Arial"/>
        </w:rPr>
      </w:pPr>
      <w:r w:rsidRPr="00FB171D">
        <w:rPr>
          <w:rFonts w:ascii="Georgia" w:hAnsi="Georgia" w:cs="Arial"/>
        </w:rPr>
        <w:t>Long-term impacts are unknown, and abnormal synaptic growth may carry risks (such as excitotoxicity or unwanted circuit formation).</w:t>
      </w:r>
    </w:p>
    <w:p w14:paraId="2DD5D992" w14:textId="77777777" w:rsidR="00CE4079" w:rsidRPr="00FB171D" w:rsidRDefault="00CE4079" w:rsidP="00734CAC">
      <w:pPr>
        <w:pStyle w:val="ListParagraph"/>
        <w:numPr>
          <w:ilvl w:val="0"/>
          <w:numId w:val="45"/>
        </w:numPr>
        <w:rPr>
          <w:rFonts w:ascii="Georgia" w:hAnsi="Georgia" w:cs="Arial"/>
        </w:rPr>
      </w:pPr>
      <w:r w:rsidRPr="00FB171D">
        <w:rPr>
          <w:rFonts w:ascii="Georgia" w:hAnsi="Georgia" w:cs="Arial"/>
        </w:rPr>
        <w:t>Many of these agents have significant side effects, and few are approved for use in healthy individuals outside research settings.</w:t>
      </w:r>
    </w:p>
    <w:p w14:paraId="15A33C3F" w14:textId="77777777" w:rsidR="00CE4079" w:rsidRPr="00FB171D" w:rsidRDefault="00CE4079" w:rsidP="00AE5CA4">
      <w:pPr>
        <w:pStyle w:val="Heading4"/>
        <w:rPr>
          <w:rFonts w:ascii="Georgia" w:hAnsi="Georgia" w:cs="Arial"/>
        </w:rPr>
      </w:pPr>
      <w:r w:rsidRPr="00FB171D">
        <w:rPr>
          <w:rFonts w:ascii="Georgia" w:hAnsi="Georgia" w:cs="Arial"/>
        </w:rPr>
        <w:t>Conclusion</w:t>
      </w:r>
    </w:p>
    <w:p w14:paraId="167AA4F3" w14:textId="784BF92D" w:rsidR="00CE4079" w:rsidRPr="00FB171D" w:rsidRDefault="00CE4079" w:rsidP="00CE4079">
      <w:pPr>
        <w:rPr>
          <w:rFonts w:ascii="Georgia" w:hAnsi="Georgia" w:cs="Arial"/>
        </w:rPr>
      </w:pPr>
      <w:r w:rsidRPr="00FB171D">
        <w:rPr>
          <w:rFonts w:ascii="Georgia" w:hAnsi="Georgia" w:cs="Arial"/>
        </w:rPr>
        <w:t>At present, only a handful of pharmacological agents—including some psychedelics like LSD—show promise for increasing synaptic connectivity, and their use is largely experimental or limited to specific medical conditions. The most reliable ways to support synaptic health remain lifestyle-based: regular physical activity, cognitive challenges, healthy sleep patterns, and a balanced diet. As neuroscience evolves, new therapies may emerge, but individuals should consult healthcare professionals before considering off-label or experimental interventions, as these approaches carry risks and remain under active investigation.</w:t>
      </w:r>
    </w:p>
    <w:p w14:paraId="13E7CFD1" w14:textId="77777777" w:rsidR="00A51675" w:rsidRPr="00FB171D" w:rsidRDefault="00A51675" w:rsidP="00206F0D">
      <w:pPr>
        <w:pStyle w:val="Heading2"/>
        <w:rPr>
          <w:rFonts w:ascii="Georgia" w:hAnsi="Georgia" w:cs="Arial"/>
        </w:rPr>
      </w:pPr>
    </w:p>
    <w:p w14:paraId="3AE5BF7C" w14:textId="0594337B" w:rsidR="00A51675" w:rsidRPr="00FB171D" w:rsidRDefault="0055460E" w:rsidP="0055460E">
      <w:pPr>
        <w:pStyle w:val="Heading2"/>
        <w:rPr>
          <w:rFonts w:ascii="Georgia" w:hAnsi="Georgia" w:cs="Arial"/>
        </w:rPr>
      </w:pPr>
      <w:bookmarkStart w:id="48" w:name="_Toc209691082"/>
      <w:r w:rsidRPr="00FB171D">
        <w:rPr>
          <w:rFonts w:ascii="Georgia" w:hAnsi="Georgia" w:cs="Arial"/>
        </w:rPr>
        <w:t>Functions of other cells in the brain</w:t>
      </w:r>
      <w:bookmarkEnd w:id="48"/>
    </w:p>
    <w:p w14:paraId="2025C953" w14:textId="77777777" w:rsidR="00261084" w:rsidRPr="00FB171D" w:rsidRDefault="00261084" w:rsidP="00261084">
      <w:pPr>
        <w:rPr>
          <w:rFonts w:ascii="Georgia" w:hAnsi="Georgia" w:cs="Arial"/>
        </w:rPr>
      </w:pPr>
      <w:r w:rsidRPr="00FB171D">
        <w:rPr>
          <w:rFonts w:ascii="Georgia" w:hAnsi="Georgia" w:cs="Arial"/>
        </w:rPr>
        <w:t>While neurons receive much of the attention in discussions of brain health and aging, the central nervous system is actually a vast ecosystem comprising a variety of cell types, each playing vital roles in maintaining cognitive function and overall brain resilience. Among the most important of these are the glial cells, which significantly outnumber neurons and are essential for both structural support and dynamic regulation of neural circuits.</w:t>
      </w:r>
    </w:p>
    <w:p w14:paraId="213DC37B" w14:textId="77777777" w:rsidR="00261084" w:rsidRPr="00FB171D" w:rsidRDefault="00261084" w:rsidP="00261084">
      <w:pPr>
        <w:rPr>
          <w:rFonts w:ascii="Georgia" w:hAnsi="Georgia" w:cs="Arial"/>
        </w:rPr>
      </w:pPr>
      <w:r w:rsidRPr="00FB171D">
        <w:rPr>
          <w:rFonts w:ascii="Georgia" w:hAnsi="Georgia" w:cs="Arial"/>
        </w:rPr>
        <w:t>Glial cells encompass several specialized subtypes:</w:t>
      </w:r>
    </w:p>
    <w:p w14:paraId="7E6434B4" w14:textId="77777777" w:rsidR="00261084" w:rsidRPr="00FB171D" w:rsidRDefault="00261084" w:rsidP="00734CAC">
      <w:pPr>
        <w:pStyle w:val="ListParagraph"/>
        <w:numPr>
          <w:ilvl w:val="0"/>
          <w:numId w:val="46"/>
        </w:numPr>
        <w:rPr>
          <w:rFonts w:ascii="Georgia" w:hAnsi="Georgia" w:cs="Arial"/>
        </w:rPr>
      </w:pPr>
      <w:r w:rsidRPr="00FB171D">
        <w:rPr>
          <w:rFonts w:ascii="Georgia" w:hAnsi="Georgia" w:cs="Arial"/>
        </w:rPr>
        <w:t>Astrocytes: These star-shaped cells are crucial for maintaining the blood-brain barrier, regulating neurotransmitter levels, modulating synaptic activity, and supporting the metabolic needs of neurons. Astrocytes also play a role in synaptic pruning and the repair of neural tissue after injury.</w:t>
      </w:r>
    </w:p>
    <w:p w14:paraId="5B360090" w14:textId="77777777" w:rsidR="00261084" w:rsidRPr="00FB171D" w:rsidRDefault="00261084" w:rsidP="00734CAC">
      <w:pPr>
        <w:pStyle w:val="ListParagraph"/>
        <w:numPr>
          <w:ilvl w:val="0"/>
          <w:numId w:val="46"/>
        </w:numPr>
        <w:rPr>
          <w:rFonts w:ascii="Georgia" w:hAnsi="Georgia" w:cs="Arial"/>
        </w:rPr>
      </w:pPr>
      <w:r w:rsidRPr="00FB171D">
        <w:rPr>
          <w:rFonts w:ascii="Georgia" w:hAnsi="Georgia" w:cs="Arial"/>
        </w:rPr>
        <w:t>Oligodendrocytes: Responsible for producing the myelin sheath that insulates axons in the central nervous system, oligodendrocytes ensure the rapid transmission of electrical signals. Demyelination, which can occur with age or in conditions like multiple sclerosis, impairs neuronal communication and contributes to cognitive decline.</w:t>
      </w:r>
    </w:p>
    <w:p w14:paraId="594E39C9" w14:textId="77777777" w:rsidR="00261084" w:rsidRPr="00FB171D" w:rsidRDefault="00261084" w:rsidP="00734CAC">
      <w:pPr>
        <w:pStyle w:val="ListParagraph"/>
        <w:numPr>
          <w:ilvl w:val="0"/>
          <w:numId w:val="46"/>
        </w:numPr>
        <w:rPr>
          <w:rFonts w:ascii="Georgia" w:hAnsi="Georgia" w:cs="Arial"/>
        </w:rPr>
      </w:pPr>
      <w:r w:rsidRPr="00FB171D">
        <w:rPr>
          <w:rFonts w:ascii="Georgia" w:hAnsi="Georgia" w:cs="Arial"/>
        </w:rPr>
        <w:t>Schwann cells: Although primarily found in the peripheral nervous system, Schwann cells are analogous to oligodendrocytes, providing myelination and supporting nerve regeneration following injury.</w:t>
      </w:r>
    </w:p>
    <w:p w14:paraId="0B6882BB" w14:textId="77777777" w:rsidR="00261084" w:rsidRPr="00FB171D" w:rsidRDefault="00261084" w:rsidP="00734CAC">
      <w:pPr>
        <w:pStyle w:val="ListParagraph"/>
        <w:numPr>
          <w:ilvl w:val="0"/>
          <w:numId w:val="46"/>
        </w:numPr>
        <w:rPr>
          <w:rFonts w:ascii="Georgia" w:hAnsi="Georgia" w:cs="Arial"/>
        </w:rPr>
      </w:pPr>
      <w:r w:rsidRPr="00FB171D">
        <w:rPr>
          <w:rFonts w:ascii="Georgia" w:hAnsi="Georgia" w:cs="Arial"/>
        </w:rPr>
        <w:t xml:space="preserve">Microglia: Serving as the resident immune cells of the brain, microglia constantly survey the neural environment, clearing debris, responding to infections, and orchestrating </w:t>
      </w:r>
      <w:r w:rsidRPr="00FB171D">
        <w:rPr>
          <w:rFonts w:ascii="Georgia" w:hAnsi="Georgia" w:cs="Arial"/>
        </w:rPr>
        <w:lastRenderedPageBreak/>
        <w:t>inflammatory responses. With age, microglia can become dysregulated, potentially contributing to chronic inflammation and neurodegenerative disease.</w:t>
      </w:r>
    </w:p>
    <w:p w14:paraId="49FDB951" w14:textId="77777777" w:rsidR="00261084" w:rsidRPr="00FB171D" w:rsidRDefault="00261084" w:rsidP="00734CAC">
      <w:pPr>
        <w:pStyle w:val="ListParagraph"/>
        <w:numPr>
          <w:ilvl w:val="0"/>
          <w:numId w:val="46"/>
        </w:numPr>
        <w:rPr>
          <w:rFonts w:ascii="Georgia" w:hAnsi="Georgia" w:cs="Arial"/>
        </w:rPr>
      </w:pPr>
      <w:r w:rsidRPr="00FB171D">
        <w:rPr>
          <w:rFonts w:ascii="Georgia" w:hAnsi="Georgia" w:cs="Arial"/>
        </w:rPr>
        <w:t>Ependymal cells: Lining the ventricles of the brain and the central canal of the spinal cord, these cells are involved in the production and circulation of cerebrospinal fluid, which cushions the brain and helps remove metabolic waste.</w:t>
      </w:r>
    </w:p>
    <w:p w14:paraId="264AEE98" w14:textId="77777777" w:rsidR="00261084" w:rsidRPr="00FB171D" w:rsidRDefault="00261084" w:rsidP="00261084">
      <w:pPr>
        <w:rPr>
          <w:rFonts w:ascii="Georgia" w:hAnsi="Georgia" w:cs="Arial"/>
        </w:rPr>
      </w:pPr>
      <w:r w:rsidRPr="00FB171D">
        <w:rPr>
          <w:rFonts w:ascii="Georgia" w:hAnsi="Georgia" w:cs="Arial"/>
          <w:b/>
          <w:bCs/>
        </w:rPr>
        <w:t>Unlike neurons, many of these glial cell types retain the ability to proliferate and replace themselves throughout life</w:t>
      </w:r>
      <w:r w:rsidRPr="00FB171D">
        <w:rPr>
          <w:rFonts w:ascii="Georgia" w:hAnsi="Georgia" w:cs="Arial"/>
        </w:rPr>
        <w:t>. This regenerative capacity supports neuroplasticity—helping maintain healthy neural circuits, repair damage, and adapt to new challenges. However, the aging process does impact glial cells as well: their numbers and functions can diminish, leading to impaired support for neurons, increased vulnerability to stress, and reduced capacity for repair. For example, senescent astrocytes may become less effective at modulating neurotransmitters, while dysregulated microglia may promote chronic inflammation rather than resolving it.</w:t>
      </w:r>
    </w:p>
    <w:p w14:paraId="3963B085" w14:textId="5DF1F4D8" w:rsidR="00A51675" w:rsidRPr="00FB171D" w:rsidRDefault="00261084" w:rsidP="00261084">
      <w:pPr>
        <w:rPr>
          <w:rFonts w:ascii="Georgia" w:hAnsi="Georgia" w:cs="Arial"/>
        </w:rPr>
      </w:pPr>
      <w:r w:rsidRPr="00FB171D">
        <w:rPr>
          <w:rFonts w:ascii="Georgia" w:hAnsi="Georgia" w:cs="Arial"/>
        </w:rPr>
        <w:t>Recent research increasingly highlights the importance of supporting glial health alongside neuronal health for optimal cognitive aging. Strategies that may bolster glial function include anti-inflammatory interventions, a nutrient-rich diet, regular physical exercise, and cognitive stimulation. As our understanding of glial biology deepens, new therapeutic possibilities may arise, targeting not only the neurons but the entire cellular community that supports brain vitality across the lifespan.</w:t>
      </w:r>
    </w:p>
    <w:p w14:paraId="7615E172" w14:textId="77777777" w:rsidR="007561C0" w:rsidRPr="00FB171D" w:rsidRDefault="007561C0" w:rsidP="00337CF6">
      <w:pPr>
        <w:rPr>
          <w:rFonts w:ascii="Georgia" w:hAnsi="Georgia" w:cs="Arial"/>
        </w:rPr>
      </w:pPr>
    </w:p>
    <w:p w14:paraId="3AC80281" w14:textId="2EF4D62E" w:rsidR="00E53ACE" w:rsidRPr="00FB171D" w:rsidRDefault="00A16DE2" w:rsidP="008302DB">
      <w:pPr>
        <w:pStyle w:val="Heading2"/>
        <w:rPr>
          <w:rFonts w:ascii="Georgia" w:hAnsi="Georgia" w:cs="Arial"/>
        </w:rPr>
      </w:pPr>
      <w:bookmarkStart w:id="49" w:name="_Toc209691083"/>
      <w:r w:rsidRPr="00FB171D">
        <w:rPr>
          <w:rFonts w:ascii="Georgia" w:hAnsi="Georgia" w:cs="Arial"/>
        </w:rPr>
        <w:t xml:space="preserve">Blood Brain </w:t>
      </w:r>
      <w:r w:rsidR="006E2EFA" w:rsidRPr="00FB171D">
        <w:rPr>
          <w:rFonts w:ascii="Georgia" w:hAnsi="Georgia" w:cs="Arial"/>
        </w:rPr>
        <w:t>Barrier</w:t>
      </w:r>
      <w:r w:rsidRPr="00FB171D">
        <w:rPr>
          <w:rFonts w:ascii="Georgia" w:hAnsi="Georgia" w:cs="Arial"/>
        </w:rPr>
        <w:t xml:space="preserve"> </w:t>
      </w:r>
      <w:r w:rsidR="008302DB" w:rsidRPr="00FB171D">
        <w:rPr>
          <w:rFonts w:ascii="Georgia" w:hAnsi="Georgia" w:cs="Arial"/>
        </w:rPr>
        <w:t>and Aging</w:t>
      </w:r>
      <w:bookmarkEnd w:id="49"/>
    </w:p>
    <w:p w14:paraId="03B7D347" w14:textId="77777777" w:rsidR="00A16DE2" w:rsidRPr="00FB171D" w:rsidRDefault="00A16DE2" w:rsidP="00A16DE2">
      <w:pPr>
        <w:rPr>
          <w:rFonts w:ascii="Georgia" w:hAnsi="Georgia" w:cs="Arial"/>
        </w:rPr>
      </w:pPr>
      <w:r w:rsidRPr="00FB171D">
        <w:rPr>
          <w:rFonts w:ascii="Georgia" w:hAnsi="Georgia" w:cs="Arial"/>
        </w:rPr>
        <w:t>One particularly significant aspect of brain aging involves the blood-brain barrier (BBB)—a dynamic interface formed by tightly joined endothelial cells, supported by astrocytes and pericytes, that regulates the passage of substances between the circulatory system and the brain’s delicate environment. The BBB acts as both a gatekeeper and guardian, shielding neural tissue from toxins, pathogens, and fluctuations in blood-borne molecules, while selectively allowing vital nutrients, hormones, and signaling molecules to cross.</w:t>
      </w:r>
    </w:p>
    <w:p w14:paraId="0E8E4DB2" w14:textId="77777777" w:rsidR="00A16DE2" w:rsidRPr="00FB171D" w:rsidRDefault="00A16DE2" w:rsidP="00A16DE2">
      <w:pPr>
        <w:rPr>
          <w:rFonts w:ascii="Georgia" w:hAnsi="Georgia" w:cs="Arial"/>
        </w:rPr>
      </w:pPr>
      <w:r w:rsidRPr="00FB171D">
        <w:rPr>
          <w:rFonts w:ascii="Georgia" w:hAnsi="Georgia" w:cs="Arial"/>
        </w:rPr>
        <w:t>As the brain ages, however, the structural and functional integrity of the BBB can decline. The tight junctions between endothelial cells may loosen, and the supportive roles of astrocytes and pericytes can become compromised. This increased permeability allows potentially harmful substances, such as inflammatory cytokines, immune cells, and metabolic waste products, to enter brain tissue more readily. Such breaches have been implicated in the development and progression of cognitive impairment and neurodegenerative diseases, as chronic low-level inflammation and oxidative stress take a greater toll on vulnerable neural circuits.</w:t>
      </w:r>
    </w:p>
    <w:p w14:paraId="0980E677" w14:textId="458B5D7D" w:rsidR="00E53ACE" w:rsidRPr="00FB171D" w:rsidRDefault="00A16DE2" w:rsidP="00A16DE2">
      <w:pPr>
        <w:rPr>
          <w:rFonts w:ascii="Georgia" w:hAnsi="Georgia" w:cs="Arial"/>
        </w:rPr>
      </w:pPr>
      <w:r w:rsidRPr="00FB171D">
        <w:rPr>
          <w:rFonts w:ascii="Georgia" w:hAnsi="Georgia" w:cs="Arial"/>
        </w:rPr>
        <w:t>Compromised BBB function may also reduce the efficacy of nutrient delivery and waste removal, placing additional metabolic strain on neurons and glia alike. Moreover, age-related changes in transporter proteins and cellular signaling at the BBB can further disrupt the delicate balance required for optimal brain function. Understanding these shifts is crucial, as therapies that preserve or restore BBB integrity may prove vital in supporting cognitive health in the aging population.</w:t>
      </w:r>
    </w:p>
    <w:p w14:paraId="6E11865D" w14:textId="77777777" w:rsidR="009B17F3" w:rsidRPr="00FB171D" w:rsidRDefault="009B17F3" w:rsidP="00337CF6">
      <w:pPr>
        <w:rPr>
          <w:rFonts w:ascii="Georgia" w:hAnsi="Georgia" w:cs="Arial"/>
        </w:rPr>
      </w:pPr>
    </w:p>
    <w:p w14:paraId="154DF84E" w14:textId="77777777" w:rsidR="00AD60AD" w:rsidRPr="00FB171D" w:rsidRDefault="00AD60AD" w:rsidP="00AD60AD">
      <w:pPr>
        <w:pStyle w:val="Title"/>
        <w:rPr>
          <w:rFonts w:ascii="Georgia" w:hAnsi="Georgia" w:cs="Arial"/>
        </w:rPr>
      </w:pPr>
      <w:r w:rsidRPr="00FB171D">
        <w:rPr>
          <w:rFonts w:ascii="Georgia" w:hAnsi="Georgia" w:cs="Arial"/>
        </w:rPr>
        <w:lastRenderedPageBreak/>
        <w:t>The Importance of Brain Circulation and Microcirculation</w:t>
      </w:r>
    </w:p>
    <w:p w14:paraId="4329BE59" w14:textId="77777777" w:rsidR="00AD60AD" w:rsidRPr="00FB171D" w:rsidRDefault="00AD60AD" w:rsidP="00AD60AD">
      <w:pPr>
        <w:rPr>
          <w:rFonts w:ascii="Georgia" w:hAnsi="Georgia" w:cs="Arial"/>
        </w:rPr>
      </w:pPr>
      <w:r w:rsidRPr="00FB171D">
        <w:rPr>
          <w:rFonts w:ascii="Georgia" w:hAnsi="Georgia" w:cs="Arial"/>
        </w:rPr>
        <w:t>Efficient brain function is inextricably linked to the integrity of its intricate vascular network. Cerebral circulation encompasses the delivery of oxygen, glucose, and essential nutrients through a system of arteries, capillaries, and veins that penetrate every region of neural tissue. Within this vast network, microcirculation—comprising the smallest blood vessels, including capillaries and arterioles—plays a critical role in sustaining the metabolic demands of individual neurons and glial cells.</w:t>
      </w:r>
    </w:p>
    <w:p w14:paraId="2F291861" w14:textId="77777777" w:rsidR="00AD60AD" w:rsidRPr="00FB171D" w:rsidRDefault="00AD60AD" w:rsidP="00AD60AD">
      <w:pPr>
        <w:rPr>
          <w:rFonts w:ascii="Georgia" w:hAnsi="Georgia" w:cs="Arial"/>
        </w:rPr>
      </w:pPr>
      <w:r w:rsidRPr="00FB171D">
        <w:rPr>
          <w:rFonts w:ascii="Georgia" w:hAnsi="Georgia" w:cs="Arial"/>
        </w:rPr>
        <w:t>Proper circulation ensures that neural tissues receive not only an uninterrupted supply of oxygen and metabolic substrates but also rapid removal of carbon dioxide and metabolic waste. This fine-tuned exchange is essential, as even brief disruptions in blood flow can lead to energy deficits, impaired neurotransmission, and, in severe cases, neuronal injury or death. Microcirculation, in particular, is responsible for distributing blood flow with remarkable precision, adjusting to local needs in response to neural activity—a process known as neurovascular coupling.</w:t>
      </w:r>
    </w:p>
    <w:p w14:paraId="347AD78E" w14:textId="77777777" w:rsidR="00AD60AD" w:rsidRPr="00FB171D" w:rsidRDefault="00AD60AD" w:rsidP="00AD60AD">
      <w:pPr>
        <w:rPr>
          <w:rFonts w:ascii="Georgia" w:hAnsi="Georgia" w:cs="Arial"/>
        </w:rPr>
      </w:pPr>
      <w:r w:rsidRPr="00FB171D">
        <w:rPr>
          <w:rFonts w:ascii="Georgia" w:hAnsi="Georgia" w:cs="Arial"/>
        </w:rPr>
        <w:t>As the brain ages, however, subtle changes occur within this vascular system. Capillary density may decline, and the reactivity of small vessels can diminish, reducing the brain’s ability to adapt to fluctuating metabolic requirements. Moreover, the stiffening of larger blood vessels, increased vascular resistance, and the buildup of microvascular pathology—such as small vessel disease—can all compromise cerebral perfusion. These age-related alterations are associated with slower cognitive processing, impaired memory, and increased risk of neurodegenerative disease.</w:t>
      </w:r>
    </w:p>
    <w:p w14:paraId="2A1DECE7" w14:textId="77777777" w:rsidR="00AD60AD" w:rsidRPr="00FB171D" w:rsidRDefault="00AD60AD" w:rsidP="00AD60AD">
      <w:pPr>
        <w:rPr>
          <w:rFonts w:ascii="Georgia" w:hAnsi="Georgia" w:cs="Arial"/>
        </w:rPr>
      </w:pPr>
      <w:r w:rsidRPr="00FB171D">
        <w:rPr>
          <w:rFonts w:ascii="Georgia" w:hAnsi="Georgia" w:cs="Arial"/>
        </w:rPr>
        <w:t>Additionally, healthy brain circulation supports the function of the glymphatic system, a newly discovered waste clearance pathway that relies on the movement of cerebrospinal fluid along perivascular spaces. Disruptions in microcirculatory flow can impair this system, leading to the accumulation of toxic metabolites such as beta-amyloid and tau proteins, which are implicated in conditions like Alzheimer’s disease.</w:t>
      </w:r>
    </w:p>
    <w:p w14:paraId="4F30F1CB" w14:textId="1E331E4B" w:rsidR="00AD60AD" w:rsidRPr="00FB171D" w:rsidRDefault="00AD60AD" w:rsidP="00AD60AD">
      <w:pPr>
        <w:rPr>
          <w:rFonts w:ascii="Georgia" w:hAnsi="Georgia" w:cs="Arial"/>
        </w:rPr>
      </w:pPr>
      <w:r w:rsidRPr="00FB171D">
        <w:rPr>
          <w:rFonts w:ascii="Georgia" w:hAnsi="Georgia" w:cs="Arial"/>
        </w:rPr>
        <w:t xml:space="preserve">Given these dynamics, maintaining brain circulation and microcirculation is paramount for preserving cognitive health across the lifespan. Strategies such as regular aerobic exercise, blood pressure management, and diets rich in vascular-protective nutrients (like omega-3 fatty acids and antioxidants) can promote vascular flexibility and resilience. As research uncovers more </w:t>
      </w:r>
      <w:r w:rsidRPr="00FB171D">
        <w:rPr>
          <w:rFonts w:ascii="Georgia" w:hAnsi="Georgia" w:cs="Arial"/>
        </w:rPr>
        <w:lastRenderedPageBreak/>
        <w:t>about the interplay between vascular health and brain aging, interventions targeting microvascular integrity may offer promising avenues for sustaining mental agility and reducing the burden of age-related cognitive decline.</w:t>
      </w:r>
    </w:p>
    <w:p w14:paraId="063CA19B" w14:textId="77777777" w:rsidR="00AD60AD" w:rsidRPr="00FB171D" w:rsidRDefault="00AD60AD" w:rsidP="00337CF6">
      <w:pPr>
        <w:rPr>
          <w:rFonts w:ascii="Georgia" w:hAnsi="Georgia" w:cs="Arial"/>
        </w:rPr>
      </w:pPr>
    </w:p>
    <w:p w14:paraId="5408942C" w14:textId="07D1EFCA" w:rsidR="00C82479" w:rsidRPr="00FB171D" w:rsidRDefault="00C82479" w:rsidP="004921F3">
      <w:pPr>
        <w:pStyle w:val="Heading2"/>
        <w:rPr>
          <w:rFonts w:ascii="Georgia" w:hAnsi="Georgia" w:cs="Arial"/>
        </w:rPr>
      </w:pPr>
      <w:bookmarkStart w:id="50" w:name="_Toc209691084"/>
      <w:r w:rsidRPr="00FB171D">
        <w:rPr>
          <w:rFonts w:ascii="Georgia" w:hAnsi="Georgia" w:cs="Arial"/>
        </w:rPr>
        <w:t>Metabolic Changes in Brain Cells with Normal Aging</w:t>
      </w:r>
      <w:bookmarkEnd w:id="50"/>
    </w:p>
    <w:p w14:paraId="1D43DC65" w14:textId="77777777" w:rsidR="00C82479" w:rsidRPr="00FB171D" w:rsidRDefault="00C82479" w:rsidP="00C82479">
      <w:pPr>
        <w:pStyle w:val="Subtitle"/>
        <w:rPr>
          <w:rFonts w:ascii="Georgia" w:hAnsi="Georgia" w:cs="Arial"/>
        </w:rPr>
      </w:pPr>
      <w:r w:rsidRPr="00FB171D">
        <w:rPr>
          <w:rFonts w:ascii="Georgia" w:hAnsi="Georgia" w:cs="Arial"/>
        </w:rPr>
        <w:t>Exploring the Shifts in Cellular Energy and Function Across the Lifespan</w:t>
      </w:r>
    </w:p>
    <w:p w14:paraId="10EDE9C3" w14:textId="77777777" w:rsidR="00C82479" w:rsidRPr="00FB171D" w:rsidRDefault="00C82479" w:rsidP="00C82479">
      <w:pPr>
        <w:rPr>
          <w:rFonts w:ascii="Georgia" w:hAnsi="Georgia" w:cs="Arial"/>
        </w:rPr>
      </w:pPr>
      <w:r w:rsidRPr="00FB171D">
        <w:rPr>
          <w:rFonts w:ascii="Georgia" w:hAnsi="Georgia" w:cs="Arial"/>
        </w:rPr>
        <w:lastRenderedPageBreak/>
        <w:t>The human brain, remarkable in its complexity, is sustained by a delicate orchestration of metabolic processes carried out by a diverse array of cells. While neurons often receive the spotlight for their role in cognition and signaling, the metabolic health and function of all brain cells—including glia (astrocytes, oligodendrocytes, microglia), ependymal cells, and endothelial cells—are essential for maintaining cognitive resilience and neural vitality throughout life. As we age, subtle but significant shifts occur in the metabolic operations of these cells, impacting everything from energy production to cellular maintenance and repair. Understanding these changes is critical to grasping how the brain ages and what strategies might help preserve its function.</w:t>
      </w:r>
    </w:p>
    <w:p w14:paraId="0A7A416E" w14:textId="0FA251B4" w:rsidR="00C82479" w:rsidRPr="00FB171D" w:rsidRDefault="00C82479" w:rsidP="004921F3">
      <w:pPr>
        <w:pStyle w:val="Heading3"/>
        <w:rPr>
          <w:rFonts w:ascii="Georgia" w:hAnsi="Georgia" w:cs="Arial"/>
        </w:rPr>
      </w:pPr>
      <w:bookmarkStart w:id="51" w:name="_Toc209691085"/>
      <w:r w:rsidRPr="00FB171D">
        <w:rPr>
          <w:rFonts w:ascii="Georgia" w:hAnsi="Georgia" w:cs="Arial"/>
        </w:rPr>
        <w:t>Overview of Brain Metabolism</w:t>
      </w:r>
      <w:bookmarkEnd w:id="51"/>
    </w:p>
    <w:p w14:paraId="1CB451FF" w14:textId="77777777" w:rsidR="00C82479" w:rsidRPr="00FB171D" w:rsidRDefault="00C82479" w:rsidP="00C82479">
      <w:pPr>
        <w:rPr>
          <w:rFonts w:ascii="Georgia" w:hAnsi="Georgia" w:cs="Arial"/>
        </w:rPr>
      </w:pPr>
      <w:r w:rsidRPr="00FB171D">
        <w:rPr>
          <w:rFonts w:ascii="Georgia" w:hAnsi="Georgia" w:cs="Arial"/>
        </w:rPr>
        <w:t>The adult brain, constituting only about 2% of total body mass, accounts for roughly 20% of the body’s total energy consumption. This high demand is primarily due to the maintenance of ionic gradients across neuronal membranes (crucial for signaling), synthesis and recycling of neurotransmitters, and the energetic needs of supporting glial cells. Glucose is the primary fuel, though the brain adapts to use alternative substrates under certain conditions (e.g., ketone bodies during fasting or prolonged exercise). Efficient metabolism ensures synaptic activity, plasticity, and the maintenance of neural circuits.</w:t>
      </w:r>
    </w:p>
    <w:p w14:paraId="7BC433CD" w14:textId="08446441" w:rsidR="00C82479" w:rsidRPr="00FB171D" w:rsidRDefault="00C82479" w:rsidP="00C82479">
      <w:pPr>
        <w:pStyle w:val="Heading1"/>
        <w:rPr>
          <w:rStyle w:val="Heading3Char"/>
          <w:rFonts w:ascii="Georgia" w:hAnsi="Georgia" w:cs="Arial"/>
        </w:rPr>
      </w:pPr>
      <w:bookmarkStart w:id="52" w:name="_Toc209691086"/>
      <w:r w:rsidRPr="00FB171D">
        <w:rPr>
          <w:rStyle w:val="Heading3Char"/>
          <w:rFonts w:ascii="Georgia" w:hAnsi="Georgia" w:cs="Arial"/>
        </w:rPr>
        <w:t>Age-Related Metabolic Shifts in Neurons</w:t>
      </w:r>
      <w:bookmarkEnd w:id="52"/>
    </w:p>
    <w:p w14:paraId="5D1F402F" w14:textId="77777777" w:rsidR="00C82479" w:rsidRPr="00FB171D" w:rsidRDefault="00C82479" w:rsidP="00C82479">
      <w:pPr>
        <w:rPr>
          <w:rFonts w:ascii="Georgia" w:hAnsi="Georgia" w:cs="Arial"/>
        </w:rPr>
      </w:pPr>
      <w:r w:rsidRPr="00FB171D">
        <w:rPr>
          <w:rFonts w:ascii="Georgia" w:hAnsi="Georgia" w:cs="Arial"/>
        </w:rPr>
        <w:t>Neurons are post-mitotic (do not divide in adulthood) and have substantial energy requirements for transmitting electrical impulses and maintaining synaptic connections. With advancing age:</w:t>
      </w:r>
    </w:p>
    <w:p w14:paraId="25758FD6" w14:textId="77777777" w:rsidR="00C82479" w:rsidRPr="00FB171D" w:rsidRDefault="00C82479" w:rsidP="00734CAC">
      <w:pPr>
        <w:pStyle w:val="ListParagraph"/>
        <w:numPr>
          <w:ilvl w:val="0"/>
          <w:numId w:val="55"/>
        </w:numPr>
        <w:rPr>
          <w:rFonts w:ascii="Georgia" w:hAnsi="Georgia" w:cs="Arial"/>
        </w:rPr>
      </w:pPr>
      <w:r w:rsidRPr="00FB171D">
        <w:rPr>
          <w:rFonts w:ascii="Georgia" w:hAnsi="Georgia" w:cs="Arial"/>
        </w:rPr>
        <w:t>Glucose Utilization Declines: Positron emission tomography (PET) studies indicate a gradual decrease in cerebral glucose metabolism, especially in the frontal and temporal lobes. This reduction is linked to decreased neuronal activity and may be an early marker for neurodegenerative changes.</w:t>
      </w:r>
    </w:p>
    <w:p w14:paraId="7BC5F0FC" w14:textId="77777777" w:rsidR="00C82479" w:rsidRPr="00FB171D" w:rsidRDefault="00C82479" w:rsidP="00734CAC">
      <w:pPr>
        <w:pStyle w:val="ListParagraph"/>
        <w:numPr>
          <w:ilvl w:val="0"/>
          <w:numId w:val="55"/>
        </w:numPr>
        <w:rPr>
          <w:rFonts w:ascii="Georgia" w:hAnsi="Georgia" w:cs="Arial"/>
        </w:rPr>
      </w:pPr>
      <w:r w:rsidRPr="00FB171D">
        <w:rPr>
          <w:rFonts w:ascii="Georgia" w:hAnsi="Georgia" w:cs="Arial"/>
        </w:rPr>
        <w:t>Mitochondrial Dysfunction: Mitochondria, the “powerhouses” of the cell, exhibit reduced efficiency and increased production of reactive oxygen species (ROS) with age. This leads to oxidative stress, damaging cellular proteins, lipids, and DNA, thereby impairing neuronal function and viability.</w:t>
      </w:r>
    </w:p>
    <w:p w14:paraId="3C1E6FC9" w14:textId="77777777" w:rsidR="00C82479" w:rsidRPr="00FB171D" w:rsidRDefault="00C82479" w:rsidP="00734CAC">
      <w:pPr>
        <w:pStyle w:val="ListParagraph"/>
        <w:numPr>
          <w:ilvl w:val="0"/>
          <w:numId w:val="55"/>
        </w:numPr>
        <w:rPr>
          <w:rFonts w:ascii="Georgia" w:hAnsi="Georgia" w:cs="Arial"/>
        </w:rPr>
      </w:pPr>
      <w:r w:rsidRPr="00FB171D">
        <w:rPr>
          <w:rFonts w:ascii="Georgia" w:hAnsi="Georgia" w:cs="Arial"/>
        </w:rPr>
        <w:t>Impaired Neurotransmitter Synthesis: The synthesis and recycling of neurotransmitters such as dopamine, acetylcholine, and serotonin depend on metabolic pathways that become less efficient with age, potentially contributing to declines in memory, mood regulation, and executive function.</w:t>
      </w:r>
    </w:p>
    <w:p w14:paraId="1865CA5E" w14:textId="77777777" w:rsidR="00C82479" w:rsidRPr="00FB171D" w:rsidRDefault="00C82479" w:rsidP="00734CAC">
      <w:pPr>
        <w:pStyle w:val="ListParagraph"/>
        <w:numPr>
          <w:ilvl w:val="0"/>
          <w:numId w:val="55"/>
        </w:numPr>
        <w:rPr>
          <w:rFonts w:ascii="Georgia" w:hAnsi="Georgia" w:cs="Arial"/>
        </w:rPr>
      </w:pPr>
      <w:r w:rsidRPr="00FB171D">
        <w:rPr>
          <w:rFonts w:ascii="Georgia" w:hAnsi="Georgia" w:cs="Arial"/>
        </w:rPr>
        <w:t>Altered Calcium Homeostasis: Calcium ions play a central role in neuron signaling and metabolic regulation. Aging neurons often exhibit dysregulated calcium handling, making them more susceptible to excitotoxicity (overstimulation leading to cell death).</w:t>
      </w:r>
    </w:p>
    <w:p w14:paraId="40132AC8" w14:textId="77777777" w:rsidR="00C82479" w:rsidRPr="00FB171D" w:rsidRDefault="00C82479" w:rsidP="00734CAC">
      <w:pPr>
        <w:pStyle w:val="ListParagraph"/>
        <w:numPr>
          <w:ilvl w:val="0"/>
          <w:numId w:val="55"/>
        </w:numPr>
        <w:rPr>
          <w:rFonts w:ascii="Georgia" w:hAnsi="Georgia" w:cs="Arial"/>
        </w:rPr>
      </w:pPr>
      <w:r w:rsidRPr="00FB171D">
        <w:rPr>
          <w:rFonts w:ascii="Georgia" w:hAnsi="Georgia" w:cs="Arial"/>
        </w:rPr>
        <w:t>Reduced Protein Turnover: Proteostasis (the balance of protein synthesis, folding, and degradation) becomes less effective, leading to accumulation of damaged or misfolded proteins, which is implicated in neurodegenerative diseases.</w:t>
      </w:r>
    </w:p>
    <w:p w14:paraId="6CBA2C34" w14:textId="13CBF74B" w:rsidR="00C82479" w:rsidRPr="00FB171D" w:rsidRDefault="00C82479" w:rsidP="00C82479">
      <w:pPr>
        <w:pStyle w:val="Heading1"/>
        <w:rPr>
          <w:rFonts w:ascii="Georgia" w:hAnsi="Georgia" w:cs="Arial"/>
        </w:rPr>
      </w:pPr>
      <w:bookmarkStart w:id="53" w:name="_Toc209691087"/>
      <w:r w:rsidRPr="00FB171D">
        <w:rPr>
          <w:rStyle w:val="Heading3Char"/>
          <w:rFonts w:ascii="Georgia" w:hAnsi="Georgia" w:cs="Arial"/>
        </w:rPr>
        <w:t>Metabolic Changes in Glial Cells</w:t>
      </w:r>
      <w:bookmarkEnd w:id="53"/>
    </w:p>
    <w:p w14:paraId="039D70FB" w14:textId="77777777" w:rsidR="00C82479" w:rsidRPr="00FB171D" w:rsidRDefault="00C82479" w:rsidP="00C82479">
      <w:pPr>
        <w:rPr>
          <w:rFonts w:ascii="Georgia" w:hAnsi="Georgia" w:cs="Arial"/>
        </w:rPr>
      </w:pPr>
      <w:r w:rsidRPr="00FB171D">
        <w:rPr>
          <w:rFonts w:ascii="Georgia" w:hAnsi="Georgia" w:cs="Arial"/>
        </w:rPr>
        <w:t>While often overshadowed by neurons, glial cells—astrocytes, oligodendrocytes, microglia, and ependymal cells—play crucial roles in supporting metabolic function within the brain.</w:t>
      </w:r>
    </w:p>
    <w:p w14:paraId="57E757F3" w14:textId="77777777" w:rsidR="00C82479" w:rsidRPr="00FB171D" w:rsidRDefault="00C82479" w:rsidP="004921F3">
      <w:pPr>
        <w:pStyle w:val="Heading4"/>
        <w:rPr>
          <w:rFonts w:ascii="Georgia" w:hAnsi="Georgia" w:cs="Arial"/>
        </w:rPr>
      </w:pPr>
      <w:r w:rsidRPr="00FB171D">
        <w:rPr>
          <w:rFonts w:ascii="Georgia" w:hAnsi="Georgia" w:cs="Arial"/>
        </w:rPr>
        <w:lastRenderedPageBreak/>
        <w:t>Astrocytes</w:t>
      </w:r>
    </w:p>
    <w:p w14:paraId="2B55EFB4" w14:textId="77777777" w:rsidR="00C82479" w:rsidRPr="00FB171D" w:rsidRDefault="00C82479" w:rsidP="00734CAC">
      <w:pPr>
        <w:pStyle w:val="ListParagraph"/>
        <w:numPr>
          <w:ilvl w:val="0"/>
          <w:numId w:val="56"/>
        </w:numPr>
        <w:rPr>
          <w:rFonts w:ascii="Georgia" w:hAnsi="Georgia" w:cs="Arial"/>
        </w:rPr>
      </w:pPr>
      <w:r w:rsidRPr="00FB171D">
        <w:rPr>
          <w:rFonts w:ascii="Georgia" w:hAnsi="Georgia" w:cs="Arial"/>
        </w:rPr>
        <w:t>Glucose Shuttling Weakens: Astrocytes are essential for taking up glucose from the bloodstream and delivering lactate to neurons as an additional energy substrate. With age, this astrocyte-neuron lactate shuttle becomes less efficient, potentially leading to energy deficits in neurons.</w:t>
      </w:r>
    </w:p>
    <w:p w14:paraId="67792292" w14:textId="77777777" w:rsidR="00C82479" w:rsidRPr="00FB171D" w:rsidRDefault="00C82479" w:rsidP="00734CAC">
      <w:pPr>
        <w:pStyle w:val="ListParagraph"/>
        <w:numPr>
          <w:ilvl w:val="0"/>
          <w:numId w:val="56"/>
        </w:numPr>
        <w:rPr>
          <w:rFonts w:ascii="Georgia" w:hAnsi="Georgia" w:cs="Arial"/>
        </w:rPr>
      </w:pPr>
      <w:r w:rsidRPr="00FB171D">
        <w:rPr>
          <w:rFonts w:ascii="Georgia" w:hAnsi="Georgia" w:cs="Arial"/>
        </w:rPr>
        <w:t>Blood-Brain Barrier (BBB) Integrity Declines: Astrocytes support the integrity of the BBB, which regulates nutrient and waste exchange. Aging can compromise BBB function, impairing the delivery of nutrients and removal of neurotoxic byproducts.</w:t>
      </w:r>
    </w:p>
    <w:p w14:paraId="5C5E7E48" w14:textId="77777777" w:rsidR="00C82479" w:rsidRPr="00FB171D" w:rsidRDefault="00C82479" w:rsidP="00734CAC">
      <w:pPr>
        <w:pStyle w:val="ListParagraph"/>
        <w:numPr>
          <w:ilvl w:val="0"/>
          <w:numId w:val="56"/>
        </w:numPr>
        <w:rPr>
          <w:rFonts w:ascii="Georgia" w:hAnsi="Georgia" w:cs="Arial"/>
        </w:rPr>
      </w:pPr>
      <w:r w:rsidRPr="00FB171D">
        <w:rPr>
          <w:rFonts w:ascii="Georgia" w:hAnsi="Georgia" w:cs="Arial"/>
        </w:rPr>
        <w:t>Impaired Neurotransmitter Clearance: Astrocytes regulate synaptic activity by clearing excess neurotransmitters (like glutamate) from synaptic clefts. With age, this capacity wanes, increasing the risk of excitotoxicity and neuronal injury.</w:t>
      </w:r>
    </w:p>
    <w:p w14:paraId="4523E425" w14:textId="77777777" w:rsidR="00C82479" w:rsidRPr="00FB171D" w:rsidRDefault="00C82479" w:rsidP="00734CAC">
      <w:pPr>
        <w:pStyle w:val="ListParagraph"/>
        <w:numPr>
          <w:ilvl w:val="0"/>
          <w:numId w:val="56"/>
        </w:numPr>
        <w:rPr>
          <w:rFonts w:ascii="Georgia" w:hAnsi="Georgia" w:cs="Arial"/>
        </w:rPr>
      </w:pPr>
      <w:r w:rsidRPr="00FB171D">
        <w:rPr>
          <w:rFonts w:ascii="Georgia" w:hAnsi="Georgia" w:cs="Arial"/>
        </w:rPr>
        <w:t>Altered Gliotransmission: Astrocytes communicate with neurons via gliotransmitters (e.g., ATP, D-serine). Aging can disrupt these signaling pathways, diminishing synaptic plasticity and circuit adaptability.</w:t>
      </w:r>
    </w:p>
    <w:p w14:paraId="0C29350D" w14:textId="071E62E1" w:rsidR="00C82479" w:rsidRPr="00FB171D" w:rsidRDefault="00C82479" w:rsidP="00C82479">
      <w:pPr>
        <w:pStyle w:val="Heading2"/>
        <w:rPr>
          <w:rFonts w:ascii="Georgia" w:hAnsi="Georgia" w:cs="Arial"/>
        </w:rPr>
      </w:pPr>
      <w:bookmarkStart w:id="54" w:name="_Toc209691088"/>
      <w:r w:rsidRPr="00FB171D">
        <w:rPr>
          <w:rFonts w:ascii="Georgia" w:hAnsi="Georgia" w:cs="Arial"/>
        </w:rPr>
        <w:t>Oligodendrocytes</w:t>
      </w:r>
      <w:bookmarkEnd w:id="54"/>
    </w:p>
    <w:p w14:paraId="4BCC6306" w14:textId="77777777" w:rsidR="00C82479" w:rsidRPr="00FB171D" w:rsidRDefault="00C82479" w:rsidP="00734CAC">
      <w:pPr>
        <w:pStyle w:val="ListParagraph"/>
        <w:numPr>
          <w:ilvl w:val="0"/>
          <w:numId w:val="57"/>
        </w:numPr>
        <w:rPr>
          <w:rFonts w:ascii="Georgia" w:hAnsi="Georgia" w:cs="Arial"/>
        </w:rPr>
      </w:pPr>
      <w:r w:rsidRPr="00FB171D">
        <w:rPr>
          <w:rFonts w:ascii="Georgia" w:hAnsi="Georgia" w:cs="Arial"/>
        </w:rPr>
        <w:t>Reduced Myelination: Oligodendrocytes synthesize myelin, the insulating sheath for neuronal axons, critical for efficient signal transmission. Aging reduces myelin production and repair, often leading to thinner or damaged sheaths, slower neural conduction, and increased metabolic stress on neurons.</w:t>
      </w:r>
    </w:p>
    <w:p w14:paraId="48485F4D" w14:textId="77777777" w:rsidR="00C82479" w:rsidRPr="00FB171D" w:rsidRDefault="00C82479" w:rsidP="00734CAC">
      <w:pPr>
        <w:pStyle w:val="ListParagraph"/>
        <w:numPr>
          <w:ilvl w:val="0"/>
          <w:numId w:val="57"/>
        </w:numPr>
        <w:rPr>
          <w:rFonts w:ascii="Georgia" w:hAnsi="Georgia" w:cs="Arial"/>
        </w:rPr>
      </w:pPr>
      <w:r w:rsidRPr="00FB171D">
        <w:rPr>
          <w:rFonts w:ascii="Georgia" w:hAnsi="Georgia" w:cs="Arial"/>
        </w:rPr>
        <w:t>Increased Oxidative Stress: Oligodendrocytes are susceptible to oxidative damage due to their high metabolic activity. Age-related accumulation of oxidative products impairs their function in maintaining and regenerating myelin.</w:t>
      </w:r>
    </w:p>
    <w:p w14:paraId="70B55FA3" w14:textId="77777777" w:rsidR="00C82479" w:rsidRPr="00FB171D" w:rsidRDefault="00C82479" w:rsidP="004921F3">
      <w:pPr>
        <w:pStyle w:val="Heading4"/>
        <w:rPr>
          <w:rFonts w:ascii="Georgia" w:hAnsi="Georgia" w:cs="Arial"/>
        </w:rPr>
      </w:pPr>
      <w:r w:rsidRPr="00FB171D">
        <w:rPr>
          <w:rFonts w:ascii="Georgia" w:hAnsi="Georgia" w:cs="Arial"/>
        </w:rPr>
        <w:t>Microglia</w:t>
      </w:r>
    </w:p>
    <w:p w14:paraId="62D82C8B" w14:textId="77777777" w:rsidR="00C82479" w:rsidRPr="00FB171D" w:rsidRDefault="00C82479" w:rsidP="00734CAC">
      <w:pPr>
        <w:pStyle w:val="ListParagraph"/>
        <w:numPr>
          <w:ilvl w:val="0"/>
          <w:numId w:val="58"/>
        </w:numPr>
        <w:rPr>
          <w:rFonts w:ascii="Georgia" w:hAnsi="Georgia" w:cs="Arial"/>
        </w:rPr>
      </w:pPr>
      <w:r w:rsidRPr="00FB171D">
        <w:rPr>
          <w:rFonts w:ascii="Georgia" w:hAnsi="Georgia" w:cs="Arial"/>
        </w:rPr>
        <w:t>Pro-Inflammatory Shift: Microglia, the immune sentinels of the brain, tend to shift toward a more pro-inflammatory, less phagocytic phenotype with age. Chronic, low-grade inflammation disrupts neuronal metabolism and exacerbates mitochondrial dysfunction.</w:t>
      </w:r>
    </w:p>
    <w:p w14:paraId="7D99B193" w14:textId="77777777" w:rsidR="00C82479" w:rsidRPr="00FB171D" w:rsidRDefault="00C82479" w:rsidP="00734CAC">
      <w:pPr>
        <w:pStyle w:val="ListParagraph"/>
        <w:numPr>
          <w:ilvl w:val="0"/>
          <w:numId w:val="58"/>
        </w:numPr>
        <w:rPr>
          <w:rFonts w:ascii="Georgia" w:hAnsi="Georgia" w:cs="Arial"/>
        </w:rPr>
      </w:pPr>
      <w:r w:rsidRPr="00FB171D">
        <w:rPr>
          <w:rFonts w:ascii="Georgia" w:hAnsi="Georgia" w:cs="Arial"/>
        </w:rPr>
        <w:t>Reduced Debris Clearance: Microglia become less efficient at removing cellular debris and damaged synapses, contributing to metabolic stress and the buildup of toxic proteins.</w:t>
      </w:r>
    </w:p>
    <w:p w14:paraId="6E6F5F61" w14:textId="77777777" w:rsidR="00C82479" w:rsidRPr="00FB171D" w:rsidRDefault="00C82479" w:rsidP="004921F3">
      <w:pPr>
        <w:pStyle w:val="Heading4"/>
        <w:rPr>
          <w:rFonts w:ascii="Georgia" w:hAnsi="Georgia" w:cs="Arial"/>
        </w:rPr>
      </w:pPr>
      <w:r w:rsidRPr="00FB171D">
        <w:rPr>
          <w:rFonts w:ascii="Georgia" w:hAnsi="Georgia" w:cs="Arial"/>
        </w:rPr>
        <w:t>Ependymal and Other Support Cells</w:t>
      </w:r>
    </w:p>
    <w:p w14:paraId="0FB103B7" w14:textId="77777777" w:rsidR="00C82479" w:rsidRPr="00FB171D" w:rsidRDefault="00C82479" w:rsidP="00734CAC">
      <w:pPr>
        <w:pStyle w:val="ListParagraph"/>
        <w:numPr>
          <w:ilvl w:val="0"/>
          <w:numId w:val="59"/>
        </w:numPr>
        <w:rPr>
          <w:rFonts w:ascii="Georgia" w:hAnsi="Georgia" w:cs="Arial"/>
        </w:rPr>
      </w:pPr>
      <w:r w:rsidRPr="00FB171D">
        <w:rPr>
          <w:rFonts w:ascii="Georgia" w:hAnsi="Georgia" w:cs="Arial"/>
        </w:rPr>
        <w:t>Impaired Cerebrospinal Fluid (CSF) Dynamics: Ependymal cells lining the brain’s ventricles help circulate CSF, which removes metabolic waste and delivers nutrients. Age diminishes this function, allowing metabolic byproduct accumulation and further stressing neural tissue.</w:t>
      </w:r>
    </w:p>
    <w:p w14:paraId="59D035C5" w14:textId="7EAA4ABA" w:rsidR="00C82479" w:rsidRPr="00FB171D" w:rsidRDefault="00C82479" w:rsidP="004921F3">
      <w:pPr>
        <w:pStyle w:val="Heading3"/>
        <w:rPr>
          <w:rFonts w:ascii="Georgia" w:hAnsi="Georgia" w:cs="Arial"/>
        </w:rPr>
      </w:pPr>
      <w:r w:rsidRPr="00FB171D">
        <w:rPr>
          <w:rFonts w:ascii="Georgia" w:hAnsi="Georgia" w:cs="Arial"/>
        </w:rPr>
        <w:t xml:space="preserve"> </w:t>
      </w:r>
      <w:bookmarkStart w:id="55" w:name="_Toc209691089"/>
      <w:r w:rsidRPr="00FB171D">
        <w:rPr>
          <w:rFonts w:ascii="Georgia" w:hAnsi="Georgia" w:cs="Arial"/>
        </w:rPr>
        <w:t>Vascular and Nutrient Delivery Changes</w:t>
      </w:r>
      <w:bookmarkEnd w:id="55"/>
    </w:p>
    <w:p w14:paraId="150C3BC1" w14:textId="77777777" w:rsidR="00C82479" w:rsidRPr="00FB171D" w:rsidRDefault="00C82479" w:rsidP="00C82479">
      <w:pPr>
        <w:rPr>
          <w:rFonts w:ascii="Georgia" w:hAnsi="Georgia" w:cs="Arial"/>
        </w:rPr>
      </w:pPr>
      <w:r w:rsidRPr="00FB171D">
        <w:rPr>
          <w:rFonts w:ascii="Georgia" w:hAnsi="Georgia" w:cs="Arial"/>
        </w:rPr>
        <w:t>Healthy brain metabolism is inextricably linked to robust vascular function. With normal aging:</w:t>
      </w:r>
    </w:p>
    <w:p w14:paraId="62593602" w14:textId="77777777" w:rsidR="00C82479" w:rsidRPr="00FB171D" w:rsidRDefault="00C82479" w:rsidP="00734CAC">
      <w:pPr>
        <w:pStyle w:val="ListParagraph"/>
        <w:numPr>
          <w:ilvl w:val="0"/>
          <w:numId w:val="60"/>
        </w:numPr>
        <w:rPr>
          <w:rFonts w:ascii="Georgia" w:hAnsi="Georgia" w:cs="Arial"/>
        </w:rPr>
      </w:pPr>
      <w:r w:rsidRPr="00FB171D">
        <w:rPr>
          <w:rFonts w:ascii="Georgia" w:hAnsi="Georgia" w:cs="Arial"/>
        </w:rPr>
        <w:t>Vascular Stiffening and Reduced Blood Flow: Blood vessels become less flexible, diminishing cerebral perfusion. Reduced blood flow means less delivery of glucose and oxygen, and slower clearance of metabolic waste.</w:t>
      </w:r>
    </w:p>
    <w:p w14:paraId="6A3E041B" w14:textId="77777777" w:rsidR="00C82479" w:rsidRPr="00FB171D" w:rsidRDefault="00C82479" w:rsidP="00734CAC">
      <w:pPr>
        <w:pStyle w:val="ListParagraph"/>
        <w:numPr>
          <w:ilvl w:val="0"/>
          <w:numId w:val="60"/>
        </w:numPr>
        <w:rPr>
          <w:rFonts w:ascii="Georgia" w:hAnsi="Georgia" w:cs="Arial"/>
        </w:rPr>
      </w:pPr>
      <w:r w:rsidRPr="00FB171D">
        <w:rPr>
          <w:rFonts w:ascii="Georgia" w:hAnsi="Georgia" w:cs="Arial"/>
        </w:rPr>
        <w:lastRenderedPageBreak/>
        <w:t>Impaired Glucose Transporter Function: Aging affects the expression and functionality of key glucose transporters at the blood-brain barrier, further limiting energy substrate availability to brain cells.</w:t>
      </w:r>
    </w:p>
    <w:p w14:paraId="7D4CE39F" w14:textId="62413C5F" w:rsidR="00C82479" w:rsidRPr="00FB171D" w:rsidRDefault="00C82479" w:rsidP="00C82479">
      <w:pPr>
        <w:pStyle w:val="Heading1"/>
        <w:rPr>
          <w:rFonts w:ascii="Georgia" w:hAnsi="Georgia" w:cs="Arial"/>
        </w:rPr>
      </w:pPr>
      <w:bookmarkStart w:id="56" w:name="_Toc209691090"/>
      <w:r w:rsidRPr="00FB171D">
        <w:rPr>
          <w:rStyle w:val="Heading3Char"/>
          <w:rFonts w:ascii="Georgia" w:hAnsi="Georgia" w:cs="Arial"/>
        </w:rPr>
        <w:t>Systemic and Lifestyle Factors Affecting Brain Metabolism</w:t>
      </w:r>
      <w:bookmarkEnd w:id="56"/>
    </w:p>
    <w:p w14:paraId="676E2EF8" w14:textId="77777777" w:rsidR="00C82479" w:rsidRPr="00FB171D" w:rsidRDefault="00C82479" w:rsidP="00C82479">
      <w:pPr>
        <w:rPr>
          <w:rFonts w:ascii="Georgia" w:hAnsi="Georgia" w:cs="Arial"/>
        </w:rPr>
      </w:pPr>
      <w:r w:rsidRPr="00FB171D">
        <w:rPr>
          <w:rFonts w:ascii="Georgia" w:hAnsi="Georgia" w:cs="Arial"/>
        </w:rPr>
        <w:t>Aging does not occur in isolation within the brain; systemic changes influence metabolic health:</w:t>
      </w:r>
    </w:p>
    <w:p w14:paraId="6E8F22DC" w14:textId="77777777" w:rsidR="00C82479" w:rsidRPr="00FB171D" w:rsidRDefault="00C82479" w:rsidP="00734CAC">
      <w:pPr>
        <w:pStyle w:val="ListParagraph"/>
        <w:numPr>
          <w:ilvl w:val="0"/>
          <w:numId w:val="61"/>
        </w:numPr>
        <w:rPr>
          <w:rFonts w:ascii="Georgia" w:hAnsi="Georgia" w:cs="Arial"/>
        </w:rPr>
      </w:pPr>
      <w:r w:rsidRPr="00FB171D">
        <w:rPr>
          <w:rFonts w:ascii="Georgia" w:hAnsi="Georgia" w:cs="Arial"/>
        </w:rPr>
        <w:t>Insulin Resistance: Peripheral insulin resistance (as seen in metabolic syndrome and type 2 diabetes) is associated with impaired brain glucose uptake and metabolism, increasing the risk of cognitive decline.</w:t>
      </w:r>
    </w:p>
    <w:p w14:paraId="137DF53D" w14:textId="77777777" w:rsidR="00C82479" w:rsidRPr="00FB171D" w:rsidRDefault="00C82479" w:rsidP="00734CAC">
      <w:pPr>
        <w:pStyle w:val="ListParagraph"/>
        <w:numPr>
          <w:ilvl w:val="0"/>
          <w:numId w:val="61"/>
        </w:numPr>
        <w:rPr>
          <w:rFonts w:ascii="Georgia" w:hAnsi="Georgia" w:cs="Arial"/>
        </w:rPr>
      </w:pPr>
      <w:r w:rsidRPr="00FB171D">
        <w:rPr>
          <w:rFonts w:ascii="Georgia" w:hAnsi="Georgia" w:cs="Arial"/>
        </w:rPr>
        <w:t>Increased Inflammation: Systemic inflammation can cross into the brain, aggravating metabolic dysfunction in both neurons and glia.</w:t>
      </w:r>
    </w:p>
    <w:p w14:paraId="0C496262" w14:textId="77777777" w:rsidR="00C82479" w:rsidRPr="00FB171D" w:rsidRDefault="00C82479" w:rsidP="00734CAC">
      <w:pPr>
        <w:pStyle w:val="ListParagraph"/>
        <w:numPr>
          <w:ilvl w:val="0"/>
          <w:numId w:val="61"/>
        </w:numPr>
        <w:rPr>
          <w:rFonts w:ascii="Georgia" w:hAnsi="Georgia" w:cs="Arial"/>
        </w:rPr>
      </w:pPr>
      <w:r w:rsidRPr="00FB171D">
        <w:rPr>
          <w:rFonts w:ascii="Georgia" w:hAnsi="Georgia" w:cs="Arial"/>
        </w:rPr>
        <w:t>Oxidative Stress: Cumulative exposure to ROS from both internal metabolic activity and external sources (pollution, radiation, poor diet) damages cellular structures over time.</w:t>
      </w:r>
    </w:p>
    <w:p w14:paraId="4ECEE3A4" w14:textId="2CFCCA44" w:rsidR="00C82479" w:rsidRPr="00FB171D" w:rsidRDefault="00C82479" w:rsidP="00C82479">
      <w:pPr>
        <w:pStyle w:val="Heading1"/>
        <w:rPr>
          <w:rFonts w:ascii="Georgia" w:hAnsi="Georgia" w:cs="Arial"/>
        </w:rPr>
      </w:pPr>
      <w:bookmarkStart w:id="57" w:name="_Toc209691091"/>
      <w:r w:rsidRPr="00FB171D">
        <w:rPr>
          <w:rStyle w:val="Heading3Char"/>
          <w:rFonts w:ascii="Georgia" w:hAnsi="Georgia" w:cs="Arial"/>
        </w:rPr>
        <w:t>Manifestations of Metabolic Aging in the Brain</w:t>
      </w:r>
      <w:bookmarkEnd w:id="57"/>
    </w:p>
    <w:p w14:paraId="550FF32B" w14:textId="77777777" w:rsidR="00C82479" w:rsidRPr="00FB171D" w:rsidRDefault="00C82479" w:rsidP="00C82479">
      <w:pPr>
        <w:rPr>
          <w:rFonts w:ascii="Georgia" w:hAnsi="Georgia" w:cs="Arial"/>
        </w:rPr>
      </w:pPr>
      <w:r w:rsidRPr="00FB171D">
        <w:rPr>
          <w:rFonts w:ascii="Georgia" w:hAnsi="Georgia" w:cs="Arial"/>
        </w:rPr>
        <w:t>These cellular and molecular changes become evident in cognitive and functional outcomes:</w:t>
      </w:r>
    </w:p>
    <w:p w14:paraId="20D203FD" w14:textId="77777777" w:rsidR="00C82479" w:rsidRPr="00FB171D" w:rsidRDefault="00C82479" w:rsidP="00734CAC">
      <w:pPr>
        <w:pStyle w:val="ListParagraph"/>
        <w:numPr>
          <w:ilvl w:val="0"/>
          <w:numId w:val="62"/>
        </w:numPr>
        <w:rPr>
          <w:rFonts w:ascii="Georgia" w:hAnsi="Georgia" w:cs="Arial"/>
        </w:rPr>
      </w:pPr>
      <w:r w:rsidRPr="00FB171D">
        <w:rPr>
          <w:rFonts w:ascii="Georgia" w:hAnsi="Georgia" w:cs="Arial"/>
        </w:rPr>
        <w:t>Reduced Cognitive Flexibility: As metabolic efficiency wanes, the brain's ability to adapt to new tasks or recover from injury diminishes.</w:t>
      </w:r>
    </w:p>
    <w:p w14:paraId="62FB2775" w14:textId="77777777" w:rsidR="00C82479" w:rsidRPr="00FB171D" w:rsidRDefault="00C82479" w:rsidP="00734CAC">
      <w:pPr>
        <w:pStyle w:val="ListParagraph"/>
        <w:numPr>
          <w:ilvl w:val="0"/>
          <w:numId w:val="62"/>
        </w:numPr>
        <w:rPr>
          <w:rFonts w:ascii="Georgia" w:hAnsi="Georgia" w:cs="Arial"/>
        </w:rPr>
      </w:pPr>
      <w:r w:rsidRPr="00FB171D">
        <w:rPr>
          <w:rFonts w:ascii="Georgia" w:hAnsi="Georgia" w:cs="Arial"/>
        </w:rPr>
        <w:t>Slowed Processing Speed: Diminished energy production and neurotransmitter availability slow reaction times and information processing.</w:t>
      </w:r>
    </w:p>
    <w:p w14:paraId="05481770" w14:textId="77777777" w:rsidR="00C82479" w:rsidRPr="00FB171D" w:rsidRDefault="00C82479" w:rsidP="00734CAC">
      <w:pPr>
        <w:pStyle w:val="ListParagraph"/>
        <w:numPr>
          <w:ilvl w:val="0"/>
          <w:numId w:val="62"/>
        </w:numPr>
        <w:rPr>
          <w:rFonts w:ascii="Georgia" w:hAnsi="Georgia" w:cs="Arial"/>
        </w:rPr>
      </w:pPr>
      <w:r w:rsidRPr="00FB171D">
        <w:rPr>
          <w:rFonts w:ascii="Georgia" w:hAnsi="Georgia" w:cs="Arial"/>
        </w:rPr>
        <w:t>Increased Vulnerability to Neurodegeneration: Impaired metabolic maintenance increases the risk for conditions like Alzheimer’s disease, where protein aggregation and neuronal loss are prominent.</w:t>
      </w:r>
    </w:p>
    <w:p w14:paraId="4D38BEE6" w14:textId="4E8A973E" w:rsidR="00C82479" w:rsidRPr="00FB171D" w:rsidRDefault="00C82479" w:rsidP="00C82479">
      <w:pPr>
        <w:pStyle w:val="Heading1"/>
        <w:rPr>
          <w:rFonts w:ascii="Georgia" w:hAnsi="Georgia" w:cs="Arial"/>
        </w:rPr>
      </w:pPr>
      <w:bookmarkStart w:id="58" w:name="_Toc209691092"/>
      <w:r w:rsidRPr="00FB171D">
        <w:rPr>
          <w:rStyle w:val="Heading3Char"/>
          <w:rFonts w:ascii="Georgia" w:hAnsi="Georgia" w:cs="Arial"/>
        </w:rPr>
        <w:t>Neuroplasticity, Repair, and Compensation</w:t>
      </w:r>
      <w:bookmarkEnd w:id="58"/>
    </w:p>
    <w:p w14:paraId="3DD6815D" w14:textId="77777777" w:rsidR="00C82479" w:rsidRPr="00FB171D" w:rsidRDefault="00C82479" w:rsidP="00C82479">
      <w:pPr>
        <w:rPr>
          <w:rFonts w:ascii="Georgia" w:hAnsi="Georgia" w:cs="Arial"/>
        </w:rPr>
      </w:pPr>
      <w:r w:rsidRPr="00FB171D">
        <w:rPr>
          <w:rFonts w:ascii="Georgia" w:hAnsi="Georgia" w:cs="Arial"/>
        </w:rPr>
        <w:t>Despite these age-related changes, the brain retains remarkable plasticity and compensatory abilities:</w:t>
      </w:r>
    </w:p>
    <w:p w14:paraId="3B6769EC" w14:textId="77777777" w:rsidR="00C82479" w:rsidRPr="00FB171D" w:rsidRDefault="00C82479" w:rsidP="00734CAC">
      <w:pPr>
        <w:pStyle w:val="ListParagraph"/>
        <w:numPr>
          <w:ilvl w:val="0"/>
          <w:numId w:val="63"/>
        </w:numPr>
        <w:rPr>
          <w:rFonts w:ascii="Georgia" w:hAnsi="Georgia" w:cs="Arial"/>
        </w:rPr>
      </w:pPr>
      <w:r w:rsidRPr="00FB171D">
        <w:rPr>
          <w:rFonts w:ascii="Georgia" w:hAnsi="Georgia" w:cs="Arial"/>
        </w:rPr>
        <w:t>Glial Regeneration: Many glial cells maintain proliferative capacity, allowing some degree of repair and adaptation throughout life. However, this capacity also diminishes with age.</w:t>
      </w:r>
    </w:p>
    <w:p w14:paraId="75595B4C" w14:textId="77777777" w:rsidR="00C82479" w:rsidRPr="00FB171D" w:rsidRDefault="00C82479" w:rsidP="00734CAC">
      <w:pPr>
        <w:pStyle w:val="ListParagraph"/>
        <w:numPr>
          <w:ilvl w:val="0"/>
          <w:numId w:val="63"/>
        </w:numPr>
        <w:rPr>
          <w:rFonts w:ascii="Georgia" w:hAnsi="Georgia" w:cs="Arial"/>
        </w:rPr>
      </w:pPr>
      <w:r w:rsidRPr="00FB171D">
        <w:rPr>
          <w:rFonts w:ascii="Georgia" w:hAnsi="Georgia" w:cs="Arial"/>
        </w:rPr>
        <w:t>Metabolic Switching: In response to reduced glucose metabolism, the aging brain may upregulate the use of alternative fuels like ketone bodies—especially during caloric restriction or exercise.</w:t>
      </w:r>
    </w:p>
    <w:p w14:paraId="540353F3" w14:textId="77777777" w:rsidR="00C82479" w:rsidRPr="00FB171D" w:rsidRDefault="00C82479" w:rsidP="00734CAC">
      <w:pPr>
        <w:pStyle w:val="ListParagraph"/>
        <w:numPr>
          <w:ilvl w:val="0"/>
          <w:numId w:val="63"/>
        </w:numPr>
        <w:rPr>
          <w:rFonts w:ascii="Georgia" w:hAnsi="Georgia" w:cs="Arial"/>
        </w:rPr>
      </w:pPr>
      <w:r w:rsidRPr="00FB171D">
        <w:rPr>
          <w:rFonts w:ascii="Georgia" w:hAnsi="Georgia" w:cs="Arial"/>
        </w:rPr>
        <w:t>Cognitive Reserve: Lifelong learning, social engagement, and regular cognitive challenge can bolster compensatory pathways that mitigate the impact of metabolic decline.</w:t>
      </w:r>
    </w:p>
    <w:p w14:paraId="01806A4D" w14:textId="441A9262" w:rsidR="00C82479" w:rsidRPr="00FB171D" w:rsidRDefault="00C82479" w:rsidP="00C82479">
      <w:pPr>
        <w:pStyle w:val="Heading1"/>
        <w:rPr>
          <w:rFonts w:ascii="Georgia" w:hAnsi="Georgia" w:cs="Arial"/>
        </w:rPr>
      </w:pPr>
      <w:r w:rsidRPr="00FB171D">
        <w:rPr>
          <w:rFonts w:ascii="Georgia" w:hAnsi="Georgia" w:cs="Arial"/>
        </w:rPr>
        <w:t xml:space="preserve"> </w:t>
      </w:r>
      <w:bookmarkStart w:id="59" w:name="_Toc209691093"/>
      <w:r w:rsidRPr="00FB171D">
        <w:rPr>
          <w:rStyle w:val="Heading3Char"/>
          <w:rFonts w:ascii="Georgia" w:hAnsi="Georgia" w:cs="Arial"/>
        </w:rPr>
        <w:t>Strategies to Support Brain Metabolism with Age</w:t>
      </w:r>
      <w:bookmarkEnd w:id="59"/>
    </w:p>
    <w:p w14:paraId="195E0E59" w14:textId="77777777" w:rsidR="00C82479" w:rsidRPr="00FB171D" w:rsidRDefault="00C82479" w:rsidP="00C82479">
      <w:pPr>
        <w:rPr>
          <w:rFonts w:ascii="Georgia" w:hAnsi="Georgia" w:cs="Arial"/>
        </w:rPr>
      </w:pPr>
      <w:r w:rsidRPr="00FB171D">
        <w:rPr>
          <w:rFonts w:ascii="Georgia" w:hAnsi="Georgia" w:cs="Arial"/>
        </w:rPr>
        <w:t>While some metabolic changes are inevitable, research suggests several interventions may slow decline or support compensatory mechanisms:</w:t>
      </w:r>
    </w:p>
    <w:p w14:paraId="7AD87443" w14:textId="77777777" w:rsidR="00C82479" w:rsidRPr="00FB171D" w:rsidRDefault="00C82479" w:rsidP="00734CAC">
      <w:pPr>
        <w:pStyle w:val="ListParagraph"/>
        <w:numPr>
          <w:ilvl w:val="0"/>
          <w:numId w:val="64"/>
        </w:numPr>
        <w:rPr>
          <w:rFonts w:ascii="Georgia" w:hAnsi="Georgia" w:cs="Arial"/>
        </w:rPr>
      </w:pPr>
      <w:r w:rsidRPr="00FB171D">
        <w:rPr>
          <w:rFonts w:ascii="Georgia" w:hAnsi="Georgia" w:cs="Arial"/>
        </w:rPr>
        <w:t>Regular Physical Activity: Aerobic exercise enhances blood flow, promotes mitochondrial biogenesis, and stimulates neurogenesis and glial proliferation.</w:t>
      </w:r>
    </w:p>
    <w:p w14:paraId="51211D06" w14:textId="77777777" w:rsidR="00C82479" w:rsidRPr="00FB171D" w:rsidRDefault="00C82479" w:rsidP="00734CAC">
      <w:pPr>
        <w:pStyle w:val="ListParagraph"/>
        <w:numPr>
          <w:ilvl w:val="0"/>
          <w:numId w:val="64"/>
        </w:numPr>
        <w:rPr>
          <w:rFonts w:ascii="Georgia" w:hAnsi="Georgia" w:cs="Arial"/>
        </w:rPr>
      </w:pPr>
      <w:r w:rsidRPr="00FB171D">
        <w:rPr>
          <w:rFonts w:ascii="Georgia" w:hAnsi="Georgia" w:cs="Arial"/>
        </w:rPr>
        <w:lastRenderedPageBreak/>
        <w:t>Balanced Nutrition: Diets rich in antioxidants, omega-3 fatty acids, and complex carbohydrates (such as the Mediterranean diet) support mitochondrial health and reduce oxidative stress.</w:t>
      </w:r>
    </w:p>
    <w:p w14:paraId="0B30126E" w14:textId="77777777" w:rsidR="00C82479" w:rsidRPr="00FB171D" w:rsidRDefault="00C82479" w:rsidP="00734CAC">
      <w:pPr>
        <w:pStyle w:val="ListParagraph"/>
        <w:numPr>
          <w:ilvl w:val="0"/>
          <w:numId w:val="64"/>
        </w:numPr>
        <w:rPr>
          <w:rFonts w:ascii="Georgia" w:hAnsi="Georgia" w:cs="Arial"/>
        </w:rPr>
      </w:pPr>
      <w:r w:rsidRPr="00FB171D">
        <w:rPr>
          <w:rFonts w:ascii="Georgia" w:hAnsi="Georgia" w:cs="Arial"/>
        </w:rPr>
        <w:t>Sleep Hygiene: Restful sleep is necessary for metabolic waste removal and cellular repair; chronic sleep disruption exacerbates metabolic decline.</w:t>
      </w:r>
    </w:p>
    <w:p w14:paraId="7006652C" w14:textId="77777777" w:rsidR="00C82479" w:rsidRPr="00FB171D" w:rsidRDefault="00C82479" w:rsidP="00734CAC">
      <w:pPr>
        <w:pStyle w:val="ListParagraph"/>
        <w:numPr>
          <w:ilvl w:val="0"/>
          <w:numId w:val="64"/>
        </w:numPr>
        <w:rPr>
          <w:rFonts w:ascii="Georgia" w:hAnsi="Georgia" w:cs="Arial"/>
        </w:rPr>
      </w:pPr>
      <w:r w:rsidRPr="00FB171D">
        <w:rPr>
          <w:rFonts w:ascii="Georgia" w:hAnsi="Georgia" w:cs="Arial"/>
        </w:rPr>
        <w:t>Stress Management: Chronic stress increases systemic and brain inflammation, impairing both neuronal and glial metabolism. Practices like mindfulness, meditation, and social support can be protective.</w:t>
      </w:r>
    </w:p>
    <w:p w14:paraId="75FD4FBE" w14:textId="77777777" w:rsidR="00C82479" w:rsidRPr="00FB171D" w:rsidRDefault="00C82479" w:rsidP="00734CAC">
      <w:pPr>
        <w:pStyle w:val="ListParagraph"/>
        <w:numPr>
          <w:ilvl w:val="0"/>
          <w:numId w:val="64"/>
        </w:numPr>
        <w:rPr>
          <w:rFonts w:ascii="Georgia" w:hAnsi="Georgia" w:cs="Arial"/>
        </w:rPr>
      </w:pPr>
      <w:r w:rsidRPr="00FB171D">
        <w:rPr>
          <w:rFonts w:ascii="Georgia" w:hAnsi="Georgia" w:cs="Arial"/>
        </w:rPr>
        <w:t>Cognitive Stimulation: Lifelong learning and engagement in new skills enhance metabolic resilience by promoting neural activity and plasticity.</w:t>
      </w:r>
    </w:p>
    <w:p w14:paraId="2D36592B" w14:textId="60E73017" w:rsidR="00C82479" w:rsidRPr="00FB171D" w:rsidRDefault="00C82479" w:rsidP="004921F3">
      <w:pPr>
        <w:pStyle w:val="Heading3"/>
        <w:rPr>
          <w:rFonts w:ascii="Georgia" w:hAnsi="Georgia" w:cs="Arial"/>
        </w:rPr>
      </w:pPr>
      <w:bookmarkStart w:id="60" w:name="_Toc209691094"/>
      <w:r w:rsidRPr="00FB171D">
        <w:rPr>
          <w:rFonts w:ascii="Georgia" w:hAnsi="Georgia" w:cs="Arial"/>
        </w:rPr>
        <w:t>Conclusion</w:t>
      </w:r>
      <w:bookmarkEnd w:id="60"/>
    </w:p>
    <w:p w14:paraId="4714DC74" w14:textId="5421BC01" w:rsidR="009B17F3" w:rsidRPr="00FB171D" w:rsidRDefault="00C82479" w:rsidP="00C82479">
      <w:pPr>
        <w:rPr>
          <w:rFonts w:ascii="Georgia" w:hAnsi="Georgia" w:cs="Arial"/>
        </w:rPr>
      </w:pPr>
      <w:r w:rsidRPr="00FB171D">
        <w:rPr>
          <w:rFonts w:ascii="Georgia" w:hAnsi="Georgia" w:cs="Arial"/>
        </w:rPr>
        <w:t>Normal aging brings about a mosaic of metabolic changes in brain cells, from reduced glucose utilization and mitochondrial efficiency to altered glial and vascular support. While these shifts contribute to a gradual decline in cognitive function and resilience, the brain’s adaptive potential—especially when supported by healthy lifestyle choices—offers a pathway to sustained mental vitality. As research continues to unravel the intricate dance between metabolic health, cellular diversity, and cognitive aging, new strategies may emerge, targeting not only the neurons but the entire ecosystem of cells that support the brain’s remarkable longevity.</w:t>
      </w:r>
    </w:p>
    <w:p w14:paraId="4B5DBE1F" w14:textId="77777777" w:rsidR="009B17F3" w:rsidRPr="00FB171D" w:rsidRDefault="009B17F3" w:rsidP="00337CF6">
      <w:pPr>
        <w:rPr>
          <w:rFonts w:ascii="Georgia" w:hAnsi="Georgia" w:cs="Arial"/>
        </w:rPr>
      </w:pPr>
    </w:p>
    <w:p w14:paraId="3036C4D0" w14:textId="77777777" w:rsidR="009B17F3" w:rsidRPr="00FB171D" w:rsidRDefault="009B17F3" w:rsidP="00337CF6">
      <w:pPr>
        <w:rPr>
          <w:rFonts w:ascii="Georgia" w:hAnsi="Georgia" w:cs="Arial"/>
        </w:rPr>
      </w:pPr>
    </w:p>
    <w:p w14:paraId="67C9E347" w14:textId="77777777" w:rsidR="009907A0" w:rsidRPr="00FB171D" w:rsidRDefault="009907A0" w:rsidP="00337CF6">
      <w:pPr>
        <w:rPr>
          <w:rFonts w:ascii="Georgia" w:hAnsi="Georgia" w:cs="Arial"/>
        </w:rPr>
      </w:pPr>
    </w:p>
    <w:p w14:paraId="01CDE9D0" w14:textId="59674464" w:rsidR="00970659" w:rsidRPr="00FB171D" w:rsidRDefault="00970659" w:rsidP="00970659">
      <w:pPr>
        <w:pStyle w:val="Heading1"/>
        <w:rPr>
          <w:rFonts w:ascii="Georgia" w:hAnsi="Georgia" w:cs="Arial"/>
        </w:rPr>
      </w:pPr>
      <w:bookmarkStart w:id="61" w:name="_Toc209691095"/>
      <w:r w:rsidRPr="00FB171D">
        <w:rPr>
          <w:rFonts w:ascii="Georgia" w:hAnsi="Georgia" w:cs="Arial"/>
        </w:rPr>
        <w:t>Genetic and Epigenetic Changes in the Aging Brain</w:t>
      </w:r>
      <w:bookmarkEnd w:id="61"/>
    </w:p>
    <w:p w14:paraId="389E3E53" w14:textId="77777777" w:rsidR="00970659" w:rsidRPr="00FB171D" w:rsidRDefault="00970659" w:rsidP="00970659">
      <w:pPr>
        <w:rPr>
          <w:rFonts w:ascii="Georgia" w:hAnsi="Georgia" w:cs="Arial"/>
        </w:rPr>
      </w:pPr>
      <w:r w:rsidRPr="00FB171D">
        <w:rPr>
          <w:rFonts w:ascii="Georgia" w:hAnsi="Georgia" w:cs="Arial"/>
        </w:rPr>
        <w:t>As the brain ages, not only do cellular and metabolic processes evolve, but so too does the very blueprint of our biology—our genetic and epigenetic landscape. Genetic factors can predispose individuals to certain age-related neurological conditions, while epigenetic modifications—the chemical tags and structural changes that regulate gene expression without altering the underlying DNA sequence—play a dynamic role in shaping the brain's adaptability and resilience over time.</w:t>
      </w:r>
    </w:p>
    <w:p w14:paraId="101C3F43" w14:textId="77777777" w:rsidR="00970659" w:rsidRPr="00FB171D" w:rsidRDefault="00970659" w:rsidP="00970659">
      <w:pPr>
        <w:rPr>
          <w:rFonts w:ascii="Georgia" w:hAnsi="Georgia" w:cs="Arial"/>
        </w:rPr>
      </w:pPr>
      <w:r w:rsidRPr="00FB171D">
        <w:rPr>
          <w:rFonts w:ascii="Georgia" w:hAnsi="Georgia" w:cs="Arial"/>
        </w:rPr>
        <w:t>One prominent genetic influence on brain aging involves inherited variants in genes related to neural maintenance, repair, and plasticity. For example, the presence of the APOE ε4 allele is associated with an increased risk of developing Alzheimer’s disease, likely due to its effects on lipid metabolism, amyloid processing, and neuroinflammation. Meanwhile, mutations in genes regulating mitochondrial function or DNA repair can contribute to greater susceptibility to neurodegeneration and cognitive decline.</w:t>
      </w:r>
    </w:p>
    <w:p w14:paraId="22A30622" w14:textId="77777777" w:rsidR="00970659" w:rsidRPr="00FB171D" w:rsidRDefault="00970659" w:rsidP="00970659">
      <w:pPr>
        <w:rPr>
          <w:rFonts w:ascii="Georgia" w:hAnsi="Georgia" w:cs="Arial"/>
        </w:rPr>
      </w:pPr>
      <w:r w:rsidRPr="00FB171D">
        <w:rPr>
          <w:rFonts w:ascii="Georgia" w:hAnsi="Georgia" w:cs="Arial"/>
        </w:rPr>
        <w:t>Epigenetically, aging is characterized by widespread shifts in DNA methylation patterns and histone modifications within the brain. DNA methylation, the addition of methyl groups to DNA bases, typically acts to repress gene expression. With age, certain genes essential for synaptic plasticity and neuronal survival may become hypermethylated and silenced, potentially impairing cognitive functions. Conversely, other regions of the genome may lose methylation, leading to inappropriate gene activation—sometimes fueling pro-inflammatory responses or cellular senescence.</w:t>
      </w:r>
    </w:p>
    <w:p w14:paraId="34CBB947" w14:textId="77777777" w:rsidR="00970659" w:rsidRPr="00FB171D" w:rsidRDefault="00970659" w:rsidP="00970659">
      <w:pPr>
        <w:rPr>
          <w:rFonts w:ascii="Georgia" w:hAnsi="Georgia" w:cs="Arial"/>
        </w:rPr>
      </w:pPr>
      <w:r w:rsidRPr="00FB171D">
        <w:rPr>
          <w:rFonts w:ascii="Georgia" w:hAnsi="Georgia" w:cs="Arial"/>
        </w:rPr>
        <w:lastRenderedPageBreak/>
        <w:t>Histone modifications, which influence how tightly DNA is wound around its protein scaffolding, also change with age, often resulting in altered accessibility of genes involved in learning, memory, and stress response. These epigenetic shifts do not occur in isolation; they are influenced by environmental exposures, diet, physical activity, and psychosocial factors throughout the lifespan. For instance, chronic stress or persistent inflammation can accelerate epigenetic aging, whereas engagement in cognitively stimulating or emotionally enriching activities may slow or even partially reverse detrimental epigenetic marks.</w:t>
      </w:r>
    </w:p>
    <w:p w14:paraId="56A918C6" w14:textId="245039F2" w:rsidR="009907A0" w:rsidRPr="00FB171D" w:rsidRDefault="00970659" w:rsidP="00970659">
      <w:pPr>
        <w:rPr>
          <w:rFonts w:ascii="Georgia" w:hAnsi="Georgia" w:cs="Arial"/>
        </w:rPr>
      </w:pPr>
      <w:r w:rsidRPr="00FB171D">
        <w:rPr>
          <w:rFonts w:ascii="Georgia" w:hAnsi="Georgia" w:cs="Arial"/>
        </w:rPr>
        <w:t>Remarkably, the brain retains a degree of epigenetic plasticity well into late life, offering a mechanism by which lifestyle interventions—such as regular exercise, a nutrient-rich diet, and meaningful social engagement—can beneficially modulate gene expression and support brain health. As our understanding deepens, there is growing optimism that future therapies might harness the power of epigenetic reprogramming to prevent or mitigate neurodegenerative diseases.</w:t>
      </w:r>
    </w:p>
    <w:p w14:paraId="437D61C7" w14:textId="77777777" w:rsidR="00BC4A69" w:rsidRPr="00FB171D" w:rsidRDefault="00BC4A69" w:rsidP="00970659">
      <w:pPr>
        <w:rPr>
          <w:rFonts w:ascii="Georgia" w:hAnsi="Georgia" w:cs="Arial"/>
        </w:rPr>
      </w:pPr>
    </w:p>
    <w:p w14:paraId="3CC987C8" w14:textId="77777777" w:rsidR="00BC4A69" w:rsidRPr="00FB171D" w:rsidRDefault="00BC4A69" w:rsidP="00970659">
      <w:pPr>
        <w:rPr>
          <w:rFonts w:ascii="Georgia" w:hAnsi="Georgia" w:cs="Arial"/>
        </w:rPr>
      </w:pPr>
    </w:p>
    <w:p w14:paraId="00ED644E" w14:textId="77777777" w:rsidR="000679D0" w:rsidRPr="00FB171D" w:rsidRDefault="000679D0" w:rsidP="000679D0">
      <w:pPr>
        <w:pStyle w:val="Title"/>
        <w:rPr>
          <w:rFonts w:ascii="Georgia" w:hAnsi="Georgia" w:cs="Arial"/>
        </w:rPr>
      </w:pPr>
      <w:r w:rsidRPr="00FB171D">
        <w:rPr>
          <w:rFonts w:ascii="Georgia" w:hAnsi="Georgia" w:cs="Arial"/>
        </w:rPr>
        <w:t>The Brain’s Energy Sources, Glucose Metabolism, Glycation, AGE, and the Role of NAD in Aging</w:t>
      </w:r>
    </w:p>
    <w:p w14:paraId="20537F62" w14:textId="77777777" w:rsidR="000679D0" w:rsidRPr="00FB171D" w:rsidRDefault="000679D0" w:rsidP="000679D0">
      <w:pPr>
        <w:rPr>
          <w:rFonts w:ascii="Georgia" w:hAnsi="Georgia" w:cs="Arial"/>
        </w:rPr>
      </w:pPr>
      <w:r w:rsidRPr="00FB171D">
        <w:rPr>
          <w:rFonts w:ascii="Georgia" w:hAnsi="Georgia" w:cs="Arial"/>
        </w:rPr>
        <w:t>Metabolic Pathways, Vulnerabilities, and Molecular Consequences in the Aging Brain</w:t>
      </w:r>
    </w:p>
    <w:p w14:paraId="45FA2470" w14:textId="77777777" w:rsidR="000679D0" w:rsidRPr="00FB171D" w:rsidRDefault="000679D0" w:rsidP="000679D0">
      <w:pPr>
        <w:rPr>
          <w:rFonts w:ascii="Georgia" w:hAnsi="Georgia" w:cs="Arial"/>
        </w:rPr>
      </w:pPr>
      <w:r w:rsidRPr="00FB171D">
        <w:rPr>
          <w:rFonts w:ascii="Georgia" w:hAnsi="Georgia" w:cs="Arial"/>
        </w:rPr>
        <w:t>Introduction</w:t>
      </w:r>
    </w:p>
    <w:p w14:paraId="3E53916C" w14:textId="77777777" w:rsidR="000679D0" w:rsidRPr="00FB171D" w:rsidRDefault="000679D0" w:rsidP="000679D0">
      <w:pPr>
        <w:rPr>
          <w:rFonts w:ascii="Georgia" w:hAnsi="Georgia" w:cs="Arial"/>
        </w:rPr>
      </w:pPr>
      <w:r w:rsidRPr="00FB171D">
        <w:rPr>
          <w:rFonts w:ascii="Georgia" w:hAnsi="Georgia" w:cs="Arial"/>
        </w:rPr>
        <w:t>The human brain, though it comprises only about 2% of total body weight, expends close to 20% of the body’s energy. The orchestration of how the brain harnesses, allocates, and manages its fuel is vital to its function, resilience, and vulnerabilities through the aging process. Among the critical players in this process are glucose—the brain’s primary energy substrate—NAD (nicotinamide adenine dinucleotide), and the biochemical phenomena of glycation and the formation of advanced glycation end-products (AGEs), all intricately tied to normal aging and neurodegeneration.</w:t>
      </w:r>
    </w:p>
    <w:p w14:paraId="66EAB570" w14:textId="7D09439B" w:rsidR="000679D0" w:rsidRPr="00FB171D" w:rsidRDefault="000679D0" w:rsidP="000679D0">
      <w:pPr>
        <w:pStyle w:val="Heading1"/>
        <w:rPr>
          <w:rFonts w:ascii="Georgia" w:hAnsi="Georgia" w:cs="Arial"/>
        </w:rPr>
      </w:pPr>
      <w:bookmarkStart w:id="62" w:name="_Toc209691096"/>
      <w:r w:rsidRPr="00FB171D">
        <w:rPr>
          <w:rFonts w:ascii="Georgia" w:hAnsi="Georgia" w:cs="Arial"/>
        </w:rPr>
        <w:t>Brain Energy Sources: An Overview</w:t>
      </w:r>
      <w:bookmarkEnd w:id="62"/>
    </w:p>
    <w:p w14:paraId="13C79EA8" w14:textId="77777777" w:rsidR="000679D0" w:rsidRPr="00FB171D" w:rsidRDefault="000679D0" w:rsidP="000679D0">
      <w:pPr>
        <w:rPr>
          <w:rFonts w:ascii="Georgia" w:hAnsi="Georgia" w:cs="Arial"/>
        </w:rPr>
      </w:pPr>
      <w:r w:rsidRPr="00FB171D">
        <w:rPr>
          <w:rFonts w:ascii="Georgia" w:hAnsi="Georgia" w:cs="Arial"/>
        </w:rPr>
        <w:t>The brain’s energy metabolism is tightly regulated and responsive to both physiological and environmental cues:</w:t>
      </w:r>
    </w:p>
    <w:p w14:paraId="1BC47080" w14:textId="77777777" w:rsidR="000679D0" w:rsidRPr="00FB171D" w:rsidRDefault="000679D0" w:rsidP="00734CAC">
      <w:pPr>
        <w:pStyle w:val="ListParagraph"/>
        <w:numPr>
          <w:ilvl w:val="0"/>
          <w:numId w:val="65"/>
        </w:numPr>
        <w:rPr>
          <w:rFonts w:ascii="Georgia" w:hAnsi="Georgia" w:cs="Arial"/>
        </w:rPr>
      </w:pPr>
      <w:r w:rsidRPr="00FB171D">
        <w:rPr>
          <w:rFonts w:ascii="Georgia" w:hAnsi="Georgia" w:cs="Arial"/>
        </w:rPr>
        <w:t>Glucose: The principal energy source for the adult brain under standard conditions. Neurons and glial cells extract glucose from the bloodstream via specialized transporters, metabolizing it through glycolysis, the tricarboxylic acid (TCA) cycle, and oxidative phosphorylation to generate ATP.</w:t>
      </w:r>
    </w:p>
    <w:p w14:paraId="2BC69DBD" w14:textId="77777777" w:rsidR="000679D0" w:rsidRPr="00FB171D" w:rsidRDefault="000679D0" w:rsidP="00734CAC">
      <w:pPr>
        <w:pStyle w:val="ListParagraph"/>
        <w:numPr>
          <w:ilvl w:val="0"/>
          <w:numId w:val="65"/>
        </w:numPr>
        <w:rPr>
          <w:rFonts w:ascii="Georgia" w:hAnsi="Georgia" w:cs="Arial"/>
        </w:rPr>
      </w:pPr>
      <w:r w:rsidRPr="00FB171D">
        <w:rPr>
          <w:rFonts w:ascii="Georgia" w:hAnsi="Georgia" w:cs="Arial"/>
        </w:rPr>
        <w:lastRenderedPageBreak/>
        <w:t>Ketone Bodies: During times of glucose scarcity, such as fasting or ketogenic diets, the brain readily adapts to utilize ketone bodies produced in the liver, providing a metabolic alternative.</w:t>
      </w:r>
    </w:p>
    <w:p w14:paraId="5CF58FF5" w14:textId="77777777" w:rsidR="000679D0" w:rsidRPr="00FB171D" w:rsidRDefault="000679D0" w:rsidP="00734CAC">
      <w:pPr>
        <w:pStyle w:val="ListParagraph"/>
        <w:numPr>
          <w:ilvl w:val="0"/>
          <w:numId w:val="65"/>
        </w:numPr>
        <w:rPr>
          <w:rFonts w:ascii="Georgia" w:hAnsi="Georgia" w:cs="Arial"/>
        </w:rPr>
      </w:pPr>
      <w:r w:rsidRPr="00FB171D">
        <w:rPr>
          <w:rFonts w:ascii="Georgia" w:hAnsi="Georgia" w:cs="Arial"/>
        </w:rPr>
        <w:t>Lactate and Other Substrates: Astrocytes can produce lactate from glucose and shuttle it to neurons as an auxiliary energy source, especially during periods of high activity. Amino acids and fatty acids may occasionally contribute, though to a lesser degree.</w:t>
      </w:r>
    </w:p>
    <w:p w14:paraId="1828FAD2" w14:textId="1ECBEA9F" w:rsidR="000679D0" w:rsidRPr="00FB171D" w:rsidRDefault="000679D0" w:rsidP="000679D0">
      <w:pPr>
        <w:pStyle w:val="Heading2"/>
        <w:rPr>
          <w:rFonts w:ascii="Georgia" w:hAnsi="Georgia" w:cs="Arial"/>
        </w:rPr>
      </w:pPr>
      <w:bookmarkStart w:id="63" w:name="_Toc209691097"/>
      <w:r w:rsidRPr="00FB171D">
        <w:rPr>
          <w:rFonts w:ascii="Georgia" w:hAnsi="Georgia" w:cs="Arial"/>
        </w:rPr>
        <w:t>The Central Role of NAD in Brain Energy Metabolism</w:t>
      </w:r>
      <w:bookmarkEnd w:id="63"/>
    </w:p>
    <w:p w14:paraId="32F8E5D8" w14:textId="77777777" w:rsidR="000679D0" w:rsidRPr="00FB171D" w:rsidRDefault="000679D0" w:rsidP="000679D0">
      <w:pPr>
        <w:rPr>
          <w:rFonts w:ascii="Georgia" w:hAnsi="Georgia" w:cs="Arial"/>
        </w:rPr>
      </w:pPr>
      <w:r w:rsidRPr="00FB171D">
        <w:rPr>
          <w:rFonts w:ascii="Georgia" w:hAnsi="Georgia" w:cs="Arial"/>
        </w:rPr>
        <w:t>NAD is an essential coenzyme found in all living cells, acting as a critical electron carrier in redox reactions fundamental to energy metabolism. In the brain:</w:t>
      </w:r>
    </w:p>
    <w:p w14:paraId="03E01801" w14:textId="77777777" w:rsidR="000679D0" w:rsidRPr="00FB171D" w:rsidRDefault="000679D0" w:rsidP="00734CAC">
      <w:pPr>
        <w:pStyle w:val="ListParagraph"/>
        <w:numPr>
          <w:ilvl w:val="0"/>
          <w:numId w:val="66"/>
        </w:numPr>
        <w:rPr>
          <w:rFonts w:ascii="Georgia" w:hAnsi="Georgia" w:cs="Arial"/>
        </w:rPr>
      </w:pPr>
      <w:r w:rsidRPr="00FB171D">
        <w:rPr>
          <w:rFonts w:ascii="Georgia" w:hAnsi="Georgia" w:cs="Arial"/>
        </w:rPr>
        <w:t>NAD participates in glycolysis, the TCA cycle, and oxidative phosphorylation, facilitating the transfer of electrons and the generation of ATP.</w:t>
      </w:r>
    </w:p>
    <w:p w14:paraId="57F0717E" w14:textId="77777777" w:rsidR="000679D0" w:rsidRPr="00FB171D" w:rsidRDefault="000679D0" w:rsidP="00734CAC">
      <w:pPr>
        <w:pStyle w:val="ListParagraph"/>
        <w:numPr>
          <w:ilvl w:val="0"/>
          <w:numId w:val="66"/>
        </w:numPr>
        <w:rPr>
          <w:rFonts w:ascii="Georgia" w:hAnsi="Georgia" w:cs="Arial"/>
        </w:rPr>
      </w:pPr>
      <w:r w:rsidRPr="00FB171D">
        <w:rPr>
          <w:rFonts w:ascii="Georgia" w:hAnsi="Georgia" w:cs="Arial"/>
        </w:rPr>
        <w:t>NAD acts as a substrate for enzymes involved in DNA repair and cell survival, including the sirtuin family, which are linked to cellular longevity, resistance to oxidative stress, and regulation of gene expression.</w:t>
      </w:r>
    </w:p>
    <w:p w14:paraId="75474E6B" w14:textId="3DFFE2E2" w:rsidR="000679D0" w:rsidRPr="00FB171D" w:rsidRDefault="000679D0" w:rsidP="000679D0">
      <w:pPr>
        <w:pStyle w:val="Heading2"/>
        <w:rPr>
          <w:rFonts w:ascii="Georgia" w:hAnsi="Georgia" w:cs="Arial"/>
        </w:rPr>
      </w:pPr>
      <w:bookmarkStart w:id="64" w:name="_Toc209691098"/>
      <w:r w:rsidRPr="00FB171D">
        <w:rPr>
          <w:rFonts w:ascii="Georgia" w:hAnsi="Georgia" w:cs="Arial"/>
        </w:rPr>
        <w:t>NAD, Aging, and Cognitive Health</w:t>
      </w:r>
      <w:bookmarkEnd w:id="64"/>
    </w:p>
    <w:p w14:paraId="452A3ED0" w14:textId="77777777" w:rsidR="000679D0" w:rsidRPr="00FB171D" w:rsidRDefault="000679D0" w:rsidP="000679D0">
      <w:pPr>
        <w:rPr>
          <w:rFonts w:ascii="Georgia" w:hAnsi="Georgia" w:cs="Arial"/>
        </w:rPr>
      </w:pPr>
      <w:r w:rsidRPr="00FB171D">
        <w:rPr>
          <w:rFonts w:ascii="Georgia" w:hAnsi="Georgia" w:cs="Arial"/>
        </w:rPr>
        <w:t>As the brain ages, NAD levels decline, with several consequences:</w:t>
      </w:r>
    </w:p>
    <w:p w14:paraId="3E970BAA" w14:textId="77777777" w:rsidR="000679D0" w:rsidRPr="00FB171D" w:rsidRDefault="000679D0" w:rsidP="00734CAC">
      <w:pPr>
        <w:pStyle w:val="ListParagraph"/>
        <w:numPr>
          <w:ilvl w:val="0"/>
          <w:numId w:val="67"/>
        </w:numPr>
        <w:rPr>
          <w:rFonts w:ascii="Georgia" w:hAnsi="Georgia" w:cs="Arial"/>
        </w:rPr>
      </w:pPr>
      <w:r w:rsidRPr="00FB171D">
        <w:rPr>
          <w:rFonts w:ascii="Georgia" w:hAnsi="Georgia" w:cs="Arial"/>
        </w:rPr>
        <w:t>Impaired Metabolic Function: Lower NAD availability hinders efficient ATP production, compounding the decline in glucose utilization associated with aging.</w:t>
      </w:r>
    </w:p>
    <w:p w14:paraId="35BBA2DE" w14:textId="77777777" w:rsidR="000679D0" w:rsidRPr="00FB171D" w:rsidRDefault="000679D0" w:rsidP="00734CAC">
      <w:pPr>
        <w:pStyle w:val="ListParagraph"/>
        <w:numPr>
          <w:ilvl w:val="0"/>
          <w:numId w:val="67"/>
        </w:numPr>
        <w:rPr>
          <w:rFonts w:ascii="Georgia" w:hAnsi="Georgia" w:cs="Arial"/>
        </w:rPr>
      </w:pPr>
      <w:r w:rsidRPr="00FB171D">
        <w:rPr>
          <w:rFonts w:ascii="Georgia" w:hAnsi="Georgia" w:cs="Arial"/>
        </w:rPr>
        <w:t>Reduced DNA Repair and Cellular Resilience: Enzymes that rely on NAD for genomic maintenance—such as PARPs and sirtuins—become less active, which may accelerate neuronal aging and susceptibility to damage.</w:t>
      </w:r>
    </w:p>
    <w:p w14:paraId="1DAEE8E2" w14:textId="77777777" w:rsidR="000679D0" w:rsidRPr="00FB171D" w:rsidRDefault="000679D0" w:rsidP="00734CAC">
      <w:pPr>
        <w:pStyle w:val="ListParagraph"/>
        <w:numPr>
          <w:ilvl w:val="0"/>
          <w:numId w:val="67"/>
        </w:numPr>
        <w:rPr>
          <w:rFonts w:ascii="Georgia" w:hAnsi="Georgia" w:cs="Arial"/>
        </w:rPr>
      </w:pPr>
      <w:r w:rsidRPr="00FB171D">
        <w:rPr>
          <w:rFonts w:ascii="Georgia" w:hAnsi="Georgia" w:cs="Arial"/>
        </w:rPr>
        <w:t>Increased Oxidative Stress: Diminished NAD impairs mitochondrial function, leading to elevated reactive oxygen species (ROS) and heightened vulnerability to neurodegeneration.</w:t>
      </w:r>
    </w:p>
    <w:p w14:paraId="75084FAE" w14:textId="74DFBC5A" w:rsidR="000679D0" w:rsidRPr="00FB171D" w:rsidRDefault="000679D0" w:rsidP="000679D0">
      <w:pPr>
        <w:pStyle w:val="Heading2"/>
        <w:rPr>
          <w:rFonts w:ascii="Georgia" w:hAnsi="Georgia" w:cs="Arial"/>
        </w:rPr>
      </w:pPr>
      <w:bookmarkStart w:id="65" w:name="_Toc209691099"/>
      <w:r w:rsidRPr="00FB171D">
        <w:rPr>
          <w:rFonts w:ascii="Georgia" w:hAnsi="Georgia" w:cs="Arial"/>
        </w:rPr>
        <w:t>Glucose Utilization, Glycation, and the Accumulation of AGEs</w:t>
      </w:r>
      <w:bookmarkEnd w:id="65"/>
    </w:p>
    <w:p w14:paraId="1D9D501B" w14:textId="77777777" w:rsidR="000679D0" w:rsidRPr="00FB171D" w:rsidRDefault="000679D0" w:rsidP="000679D0">
      <w:pPr>
        <w:rPr>
          <w:rFonts w:ascii="Georgia" w:hAnsi="Georgia" w:cs="Arial"/>
        </w:rPr>
      </w:pPr>
      <w:r w:rsidRPr="00FB171D">
        <w:rPr>
          <w:rFonts w:ascii="Georgia" w:hAnsi="Georgia" w:cs="Arial"/>
        </w:rPr>
        <w:t>With advancing age, the brain’s capacity for efficient glucose metabolism diminishes:</w:t>
      </w:r>
    </w:p>
    <w:p w14:paraId="664AB75D" w14:textId="77777777" w:rsidR="000679D0" w:rsidRPr="00FB171D" w:rsidRDefault="000679D0" w:rsidP="00734CAC">
      <w:pPr>
        <w:pStyle w:val="ListParagraph"/>
        <w:numPr>
          <w:ilvl w:val="0"/>
          <w:numId w:val="68"/>
        </w:numPr>
        <w:rPr>
          <w:rFonts w:ascii="Georgia" w:hAnsi="Georgia" w:cs="Arial"/>
        </w:rPr>
      </w:pPr>
      <w:r w:rsidRPr="00FB171D">
        <w:rPr>
          <w:rFonts w:ascii="Georgia" w:hAnsi="Georgia" w:cs="Arial"/>
        </w:rPr>
        <w:t>Reduced Glucose Uptake: With age, expression of glucose transporters (GLUT1, GLUT3) declines, limiting glucose availability to neurons.</w:t>
      </w:r>
    </w:p>
    <w:p w14:paraId="5FEC5B3C" w14:textId="77777777" w:rsidR="000679D0" w:rsidRPr="00FB171D" w:rsidRDefault="000679D0" w:rsidP="00734CAC">
      <w:pPr>
        <w:pStyle w:val="ListParagraph"/>
        <w:numPr>
          <w:ilvl w:val="0"/>
          <w:numId w:val="68"/>
        </w:numPr>
        <w:rPr>
          <w:rFonts w:ascii="Georgia" w:hAnsi="Georgia" w:cs="Arial"/>
        </w:rPr>
      </w:pPr>
      <w:r w:rsidRPr="00FB171D">
        <w:rPr>
          <w:rFonts w:ascii="Georgia" w:hAnsi="Georgia" w:cs="Arial"/>
        </w:rPr>
        <w:t>Mitochondrial Dysfunction: Age-related mitochondrial inefficiency lessens ATP output and increases ROS, further stressing neurons.</w:t>
      </w:r>
    </w:p>
    <w:p w14:paraId="2B5EB89E" w14:textId="77777777" w:rsidR="000679D0" w:rsidRPr="00FB171D" w:rsidRDefault="000679D0" w:rsidP="00734CAC">
      <w:pPr>
        <w:pStyle w:val="ListParagraph"/>
        <w:numPr>
          <w:ilvl w:val="0"/>
          <w:numId w:val="68"/>
        </w:numPr>
        <w:rPr>
          <w:rFonts w:ascii="Georgia" w:hAnsi="Georgia" w:cs="Arial"/>
        </w:rPr>
      </w:pPr>
      <w:r w:rsidRPr="00FB171D">
        <w:rPr>
          <w:rFonts w:ascii="Georgia" w:hAnsi="Georgia" w:cs="Arial"/>
        </w:rPr>
        <w:t>Formation of AGEs: Excess or poorly regulated glucose increases glycation reactions, leading to stable AGE compounds that accumulate in long-lived brain proteins.</w:t>
      </w:r>
    </w:p>
    <w:p w14:paraId="28C17182" w14:textId="77777777" w:rsidR="000679D0" w:rsidRPr="00FB171D" w:rsidRDefault="000679D0" w:rsidP="000679D0">
      <w:pPr>
        <w:rPr>
          <w:rFonts w:ascii="Georgia" w:hAnsi="Georgia" w:cs="Arial"/>
        </w:rPr>
      </w:pPr>
      <w:r w:rsidRPr="00FB171D">
        <w:rPr>
          <w:rFonts w:ascii="Georgia" w:hAnsi="Georgia" w:cs="Arial"/>
        </w:rPr>
        <w:t>AGEs bring about structural rigidity in proteins, oxidative stress, inflammatory signaling (via RAGE receptors), and impaired protein clearance—processes that erode brain function and resilience.</w:t>
      </w:r>
    </w:p>
    <w:p w14:paraId="285F41DB" w14:textId="181D97D9" w:rsidR="000679D0" w:rsidRPr="00FB171D" w:rsidRDefault="000679D0" w:rsidP="000679D0">
      <w:pPr>
        <w:pStyle w:val="Heading2"/>
        <w:rPr>
          <w:rFonts w:ascii="Georgia" w:hAnsi="Georgia" w:cs="Arial"/>
        </w:rPr>
      </w:pPr>
      <w:bookmarkStart w:id="66" w:name="_Toc209691100"/>
      <w:r w:rsidRPr="00FB171D">
        <w:rPr>
          <w:rFonts w:ascii="Georgia" w:hAnsi="Georgia" w:cs="Arial"/>
        </w:rPr>
        <w:t>Interplay Between NAD, Glycation, and Brain Aging</w:t>
      </w:r>
      <w:bookmarkEnd w:id="66"/>
    </w:p>
    <w:p w14:paraId="63E71B4F" w14:textId="77777777" w:rsidR="000679D0" w:rsidRPr="00FB171D" w:rsidRDefault="000679D0" w:rsidP="000679D0">
      <w:pPr>
        <w:rPr>
          <w:rFonts w:ascii="Georgia" w:hAnsi="Georgia" w:cs="Arial"/>
        </w:rPr>
      </w:pPr>
      <w:r w:rsidRPr="00FB171D">
        <w:rPr>
          <w:rFonts w:ascii="Georgia" w:hAnsi="Georgia" w:cs="Arial"/>
        </w:rPr>
        <w:t>The decline in NAD and the rise of AGEs are intertwined:</w:t>
      </w:r>
    </w:p>
    <w:p w14:paraId="2825574B" w14:textId="77777777" w:rsidR="000679D0" w:rsidRPr="00FB171D" w:rsidRDefault="000679D0" w:rsidP="00734CAC">
      <w:pPr>
        <w:pStyle w:val="ListParagraph"/>
        <w:numPr>
          <w:ilvl w:val="0"/>
          <w:numId w:val="69"/>
        </w:numPr>
        <w:rPr>
          <w:rFonts w:ascii="Georgia" w:hAnsi="Georgia" w:cs="Arial"/>
        </w:rPr>
      </w:pPr>
      <w:r w:rsidRPr="00FB171D">
        <w:rPr>
          <w:rFonts w:ascii="Georgia" w:hAnsi="Georgia" w:cs="Arial"/>
        </w:rPr>
        <w:t>Lower NAD levels weaken metabolic efficiency, making neurons more vulnerable to glycation and oxidative stress.</w:t>
      </w:r>
    </w:p>
    <w:p w14:paraId="7ED2C15B" w14:textId="77777777" w:rsidR="000679D0" w:rsidRPr="00FB171D" w:rsidRDefault="000679D0" w:rsidP="00734CAC">
      <w:pPr>
        <w:pStyle w:val="ListParagraph"/>
        <w:numPr>
          <w:ilvl w:val="0"/>
          <w:numId w:val="69"/>
        </w:numPr>
        <w:rPr>
          <w:rFonts w:ascii="Georgia" w:hAnsi="Georgia" w:cs="Arial"/>
        </w:rPr>
      </w:pPr>
      <w:r w:rsidRPr="00FB171D">
        <w:rPr>
          <w:rFonts w:ascii="Georgia" w:hAnsi="Georgia" w:cs="Arial"/>
        </w:rPr>
        <w:t>AGEs and associated oxidative damage can further deplete NAD through excessive activation of repair enzymes like PARP, setting up a cascade of metabolic decline.</w:t>
      </w:r>
    </w:p>
    <w:p w14:paraId="2E430D4E" w14:textId="77777777" w:rsidR="000679D0" w:rsidRPr="00FB171D" w:rsidRDefault="000679D0" w:rsidP="00734CAC">
      <w:pPr>
        <w:pStyle w:val="ListParagraph"/>
        <w:numPr>
          <w:ilvl w:val="0"/>
          <w:numId w:val="69"/>
        </w:numPr>
        <w:rPr>
          <w:rFonts w:ascii="Georgia" w:hAnsi="Georgia" w:cs="Arial"/>
        </w:rPr>
      </w:pPr>
      <w:r w:rsidRPr="00FB171D">
        <w:rPr>
          <w:rFonts w:ascii="Georgia" w:hAnsi="Georgia" w:cs="Arial"/>
        </w:rPr>
        <w:t>The negative feedback loop between NAD depletion and AGE accumulation is a central feature of metabolic aging in the brain.</w:t>
      </w:r>
    </w:p>
    <w:p w14:paraId="134D207C" w14:textId="2EB2B86A" w:rsidR="000679D0" w:rsidRPr="00FB171D" w:rsidRDefault="000679D0" w:rsidP="000679D0">
      <w:pPr>
        <w:pStyle w:val="Heading2"/>
        <w:rPr>
          <w:rFonts w:ascii="Georgia" w:hAnsi="Georgia" w:cs="Arial"/>
        </w:rPr>
      </w:pPr>
      <w:bookmarkStart w:id="67" w:name="_Toc209691101"/>
      <w:r w:rsidRPr="00FB171D">
        <w:rPr>
          <w:rFonts w:ascii="Georgia" w:hAnsi="Georgia" w:cs="Arial"/>
        </w:rPr>
        <w:t>Strategies to Preserve NAD, Limit AGE Accumulation, and Support Brain Health</w:t>
      </w:r>
      <w:bookmarkEnd w:id="67"/>
    </w:p>
    <w:p w14:paraId="338435CA" w14:textId="77777777" w:rsidR="000679D0" w:rsidRPr="00FB171D" w:rsidRDefault="000679D0" w:rsidP="000679D0">
      <w:pPr>
        <w:rPr>
          <w:rFonts w:ascii="Georgia" w:hAnsi="Georgia" w:cs="Arial"/>
        </w:rPr>
      </w:pPr>
      <w:r w:rsidRPr="00FB171D">
        <w:rPr>
          <w:rFonts w:ascii="Georgia" w:hAnsi="Georgia" w:cs="Arial"/>
        </w:rPr>
        <w:t>Emerging evidence highlights approaches that may help maintain or restore NAD levels and restrict AGE-induced damage:</w:t>
      </w:r>
    </w:p>
    <w:p w14:paraId="1A7104E4" w14:textId="77777777" w:rsidR="000679D0" w:rsidRPr="00FB171D" w:rsidRDefault="000679D0" w:rsidP="00734CAC">
      <w:pPr>
        <w:pStyle w:val="ListParagraph"/>
        <w:numPr>
          <w:ilvl w:val="0"/>
          <w:numId w:val="70"/>
        </w:numPr>
        <w:rPr>
          <w:rFonts w:ascii="Georgia" w:hAnsi="Georgia" w:cs="Arial"/>
        </w:rPr>
      </w:pPr>
      <w:r w:rsidRPr="00FB171D">
        <w:rPr>
          <w:rFonts w:ascii="Georgia" w:hAnsi="Georgia" w:cs="Arial"/>
        </w:rPr>
        <w:t>Diet and Glycemic Control: Consuming a diet low in refined sugars and rich in fiber helps reduce substrate for glycation.</w:t>
      </w:r>
    </w:p>
    <w:p w14:paraId="1800867D" w14:textId="77777777" w:rsidR="000679D0" w:rsidRPr="00FB171D" w:rsidRDefault="000679D0" w:rsidP="00734CAC">
      <w:pPr>
        <w:pStyle w:val="ListParagraph"/>
        <w:numPr>
          <w:ilvl w:val="0"/>
          <w:numId w:val="70"/>
        </w:numPr>
        <w:rPr>
          <w:rFonts w:ascii="Georgia" w:hAnsi="Georgia" w:cs="Arial"/>
        </w:rPr>
      </w:pPr>
      <w:r w:rsidRPr="00FB171D">
        <w:rPr>
          <w:rFonts w:ascii="Georgia" w:hAnsi="Georgia" w:cs="Arial"/>
        </w:rPr>
        <w:t>NAD Precursors: Nutritional supplements like nicotinamide riboside (NR) and nicotinamide mononucleotide (NMN) have shown promise in boosting NAD levels, though their long-term cognitive benefits are still under investigation.</w:t>
      </w:r>
    </w:p>
    <w:p w14:paraId="3DDF2973" w14:textId="77777777" w:rsidR="000679D0" w:rsidRPr="00FB171D" w:rsidRDefault="000679D0" w:rsidP="00734CAC">
      <w:pPr>
        <w:pStyle w:val="ListParagraph"/>
        <w:numPr>
          <w:ilvl w:val="0"/>
          <w:numId w:val="70"/>
        </w:numPr>
        <w:rPr>
          <w:rFonts w:ascii="Georgia" w:hAnsi="Georgia" w:cs="Arial"/>
        </w:rPr>
      </w:pPr>
      <w:r w:rsidRPr="00FB171D">
        <w:rPr>
          <w:rFonts w:ascii="Georgia" w:hAnsi="Georgia" w:cs="Arial"/>
        </w:rPr>
        <w:t>Physical Activity: Regular exercise has been shown to elevate NAD biosynthesis and improve glucose metabolism in the brain.</w:t>
      </w:r>
    </w:p>
    <w:p w14:paraId="7FFEDD5F" w14:textId="77777777" w:rsidR="000679D0" w:rsidRPr="00FB171D" w:rsidRDefault="000679D0" w:rsidP="00734CAC">
      <w:pPr>
        <w:pStyle w:val="ListParagraph"/>
        <w:numPr>
          <w:ilvl w:val="0"/>
          <w:numId w:val="70"/>
        </w:numPr>
        <w:rPr>
          <w:rFonts w:ascii="Georgia" w:hAnsi="Georgia" w:cs="Arial"/>
        </w:rPr>
      </w:pPr>
      <w:r w:rsidRPr="00FB171D">
        <w:rPr>
          <w:rFonts w:ascii="Georgia" w:hAnsi="Georgia" w:cs="Arial"/>
        </w:rPr>
        <w:t>Antioxidant and Anti-inflammatory Nutrients: Diets rich in antioxidants may counteract ROS and help maintain healthy NAD:NADH ratios.</w:t>
      </w:r>
    </w:p>
    <w:p w14:paraId="1DD97E8B" w14:textId="77777777" w:rsidR="000679D0" w:rsidRPr="00FB171D" w:rsidRDefault="000679D0" w:rsidP="00734CAC">
      <w:pPr>
        <w:pStyle w:val="ListParagraph"/>
        <w:numPr>
          <w:ilvl w:val="0"/>
          <w:numId w:val="70"/>
        </w:numPr>
        <w:rPr>
          <w:rFonts w:ascii="Georgia" w:hAnsi="Georgia" w:cs="Arial"/>
        </w:rPr>
      </w:pPr>
      <w:r w:rsidRPr="00FB171D">
        <w:rPr>
          <w:rFonts w:ascii="Georgia" w:hAnsi="Georgia" w:cs="Arial"/>
        </w:rPr>
        <w:t>Cognitive Engagement: Continued learning and mental stimulation can foster a more robust, metabolically adaptive brain environment.</w:t>
      </w:r>
    </w:p>
    <w:p w14:paraId="46E4DEC0" w14:textId="443BA504" w:rsidR="000679D0" w:rsidRPr="00FB171D" w:rsidRDefault="000679D0" w:rsidP="000679D0">
      <w:pPr>
        <w:pStyle w:val="Heading2"/>
        <w:rPr>
          <w:rFonts w:ascii="Georgia" w:hAnsi="Georgia" w:cs="Arial"/>
        </w:rPr>
      </w:pPr>
      <w:bookmarkStart w:id="68" w:name="_Toc209691102"/>
      <w:r w:rsidRPr="00FB171D">
        <w:rPr>
          <w:rFonts w:ascii="Georgia" w:hAnsi="Georgia" w:cs="Arial"/>
        </w:rPr>
        <w:t>Conclusion</w:t>
      </w:r>
      <w:bookmarkEnd w:id="68"/>
    </w:p>
    <w:p w14:paraId="1097E49F" w14:textId="792621A0" w:rsidR="00BC4A69" w:rsidRPr="00FB171D" w:rsidRDefault="000679D0" w:rsidP="000679D0">
      <w:pPr>
        <w:rPr>
          <w:rFonts w:ascii="Georgia" w:hAnsi="Georgia" w:cs="Arial"/>
        </w:rPr>
      </w:pPr>
      <w:r w:rsidRPr="00FB171D">
        <w:rPr>
          <w:rFonts w:ascii="Georgia" w:hAnsi="Georgia" w:cs="Arial"/>
        </w:rPr>
        <w:t>The aging brain’s dependence on glucose as its central energy source is challenged by declining NAD levels, mitochondrial dysfunction, and the cumulative impact of glycation and AGEs. These interrelated molecular changes drive much of the vulnerability observed in cognitive aging and neurodegeneration. By deepening our understanding of these pathways and targeting them through lifestyle and potentially therapeutic interventions, it may be possible to preserve brain health and cognitive function well into advanced age.</w:t>
      </w:r>
    </w:p>
    <w:p w14:paraId="131D8AB8" w14:textId="77777777" w:rsidR="00E226B6" w:rsidRPr="00FB171D" w:rsidRDefault="00E226B6" w:rsidP="00E226B6">
      <w:pPr>
        <w:pStyle w:val="Heading3"/>
        <w:rPr>
          <w:rFonts w:ascii="Georgia" w:hAnsi="Georgia" w:cs="Arial"/>
        </w:rPr>
      </w:pPr>
    </w:p>
    <w:p w14:paraId="053CFA8D" w14:textId="21D05914" w:rsidR="004132C3" w:rsidRPr="00FB171D" w:rsidRDefault="004132C3" w:rsidP="00E226B6">
      <w:pPr>
        <w:pStyle w:val="Heading3"/>
        <w:rPr>
          <w:rFonts w:ascii="Georgia" w:hAnsi="Georgia" w:cs="Arial"/>
        </w:rPr>
      </w:pPr>
      <w:bookmarkStart w:id="69" w:name="_Toc209691103"/>
      <w:r w:rsidRPr="00FB171D">
        <w:rPr>
          <w:rFonts w:ascii="Georgia" w:hAnsi="Georgia" w:cs="Arial"/>
        </w:rPr>
        <w:t>Why Short-Term Memory Is More Affected Than Long-Term Memory in Cognitive Decline</w:t>
      </w:r>
      <w:bookmarkEnd w:id="69"/>
    </w:p>
    <w:p w14:paraId="04C32DD3" w14:textId="77777777" w:rsidR="004132C3" w:rsidRPr="00FB171D" w:rsidRDefault="004132C3" w:rsidP="004132C3">
      <w:pPr>
        <w:pStyle w:val="Subtitle"/>
        <w:rPr>
          <w:rFonts w:ascii="Georgia" w:hAnsi="Georgia" w:cs="Arial"/>
        </w:rPr>
      </w:pPr>
      <w:r w:rsidRPr="00FB171D">
        <w:rPr>
          <w:rFonts w:ascii="Georgia" w:hAnsi="Georgia" w:cs="Arial"/>
        </w:rPr>
        <w:t>Understanding the Vulnerability of Short-Term Recall as We Age</w:t>
      </w:r>
    </w:p>
    <w:p w14:paraId="4A831EF0" w14:textId="77777777" w:rsidR="004132C3" w:rsidRPr="00FB171D" w:rsidRDefault="004132C3" w:rsidP="00E226B6">
      <w:pPr>
        <w:pStyle w:val="Heading4"/>
        <w:rPr>
          <w:rFonts w:ascii="Georgia" w:hAnsi="Georgia" w:cs="Arial"/>
        </w:rPr>
      </w:pPr>
      <w:r w:rsidRPr="00FB171D">
        <w:rPr>
          <w:rFonts w:ascii="Georgia" w:hAnsi="Georgia" w:cs="Arial"/>
        </w:rPr>
        <w:t>Introduction</w:t>
      </w:r>
    </w:p>
    <w:p w14:paraId="2269F7BD" w14:textId="77777777" w:rsidR="004132C3" w:rsidRPr="00FB171D" w:rsidRDefault="004132C3" w:rsidP="004132C3">
      <w:pPr>
        <w:rPr>
          <w:rFonts w:ascii="Georgia" w:hAnsi="Georgia" w:cs="Arial"/>
        </w:rPr>
      </w:pPr>
      <w:r w:rsidRPr="00FB171D">
        <w:rPr>
          <w:rFonts w:ascii="Georgia" w:hAnsi="Georgia" w:cs="Arial"/>
        </w:rPr>
        <w:t>The process of cognitive decline, especially as observed in aging and neurodegenerative conditions, often manifests most notably as lapses in short-term memory, while long-term memories seem to endure. This pattern is common; many older adults recall events from decades ago with clarity, yet struggle to remember a name mentioned moments earlier. Why does short-term memory falter before long-term memory? The answer lies in the intricate workings of the brain, the nature of memory formation, and the unique vulnerabilities of the systems responsible for processing new information.</w:t>
      </w:r>
    </w:p>
    <w:p w14:paraId="58E8F899" w14:textId="1684DE05" w:rsidR="004132C3" w:rsidRPr="00FB171D" w:rsidRDefault="004132C3" w:rsidP="00E226B6">
      <w:pPr>
        <w:pStyle w:val="Heading3"/>
        <w:rPr>
          <w:rFonts w:ascii="Georgia" w:hAnsi="Georgia" w:cs="Arial"/>
        </w:rPr>
      </w:pPr>
      <w:bookmarkStart w:id="70" w:name="_Toc209691104"/>
      <w:r w:rsidRPr="00FB171D">
        <w:rPr>
          <w:rFonts w:ascii="Georgia" w:hAnsi="Georgia" w:cs="Arial"/>
        </w:rPr>
        <w:t>The Biology of Memory: Short-Term vs. Long-Term</w:t>
      </w:r>
      <w:bookmarkEnd w:id="70"/>
    </w:p>
    <w:p w14:paraId="2AF73494" w14:textId="6FE737F7" w:rsidR="004132C3" w:rsidRPr="00FB171D" w:rsidRDefault="004132C3" w:rsidP="00E226B6">
      <w:pPr>
        <w:pStyle w:val="Heading3"/>
        <w:rPr>
          <w:rFonts w:ascii="Georgia" w:hAnsi="Georgia" w:cs="Arial"/>
        </w:rPr>
      </w:pPr>
      <w:bookmarkStart w:id="71" w:name="_Toc209691105"/>
      <w:r w:rsidRPr="00FB171D">
        <w:rPr>
          <w:rFonts w:ascii="Georgia" w:hAnsi="Georgia" w:cs="Arial"/>
        </w:rPr>
        <w:t>Short-Term Memory: A Delicate Balancing Act</w:t>
      </w:r>
      <w:bookmarkEnd w:id="71"/>
    </w:p>
    <w:p w14:paraId="2ABDBFBD" w14:textId="77777777" w:rsidR="004132C3" w:rsidRPr="00FB171D" w:rsidRDefault="004132C3" w:rsidP="004132C3">
      <w:pPr>
        <w:rPr>
          <w:rFonts w:ascii="Georgia" w:hAnsi="Georgia" w:cs="Arial"/>
        </w:rPr>
      </w:pPr>
      <w:r w:rsidRPr="00FB171D">
        <w:rPr>
          <w:rFonts w:ascii="Georgia" w:hAnsi="Georgia" w:cs="Arial"/>
        </w:rPr>
        <w:t>Short-term memory (or working memory) is responsible for temporarily holding and manipulating small amounts of information—such as a phone number or a new acquaintance’s name—for seconds to minutes. This form of memory depends on the active firing of neurons in regions like the prefrontal cortex and the hippocampus, as well as efficient communication between these regions and the rest of the brain. The maintenance of short-term memory tasks is metabolically demanding, requiring robust energy supply, rapid synaptic signaling, and a fine balance of neurotransmitters.</w:t>
      </w:r>
    </w:p>
    <w:p w14:paraId="6FD541EF" w14:textId="7AA85A43" w:rsidR="004132C3" w:rsidRPr="00FB171D" w:rsidRDefault="004132C3" w:rsidP="004132C3">
      <w:pPr>
        <w:pStyle w:val="Heading2"/>
        <w:rPr>
          <w:rFonts w:ascii="Georgia" w:hAnsi="Georgia" w:cs="Arial"/>
        </w:rPr>
      </w:pPr>
      <w:bookmarkStart w:id="72" w:name="_Toc209691106"/>
      <w:r w:rsidRPr="00FB171D">
        <w:rPr>
          <w:rFonts w:ascii="Georgia" w:hAnsi="Georgia" w:cs="Arial"/>
        </w:rPr>
        <w:t>Long-Term Memory: Durable and Distributed</w:t>
      </w:r>
      <w:bookmarkEnd w:id="72"/>
    </w:p>
    <w:p w14:paraId="10B69C9C" w14:textId="77777777" w:rsidR="004132C3" w:rsidRPr="00FB171D" w:rsidRDefault="004132C3" w:rsidP="004132C3">
      <w:pPr>
        <w:rPr>
          <w:rFonts w:ascii="Georgia" w:hAnsi="Georgia" w:cs="Arial"/>
        </w:rPr>
      </w:pPr>
      <w:r w:rsidRPr="00FB171D">
        <w:rPr>
          <w:rFonts w:ascii="Georgia" w:hAnsi="Georgia" w:cs="Arial"/>
        </w:rPr>
        <w:t>Long-term memory involves the encoding, storage, and retrieval of information over extended periods—days, years, or even a lifetime. Once memories are consolidated, they are stored in more distributed networks of the neocortex, making them less dependent on short-term dynamic neural activity and more resilient to age-related disruptions.</w:t>
      </w:r>
    </w:p>
    <w:p w14:paraId="3A500926" w14:textId="24281ED1" w:rsidR="004132C3" w:rsidRPr="00FB171D" w:rsidRDefault="004132C3" w:rsidP="00E226B6">
      <w:pPr>
        <w:pStyle w:val="Heading3"/>
        <w:rPr>
          <w:rFonts w:ascii="Georgia" w:hAnsi="Georgia" w:cs="Arial"/>
        </w:rPr>
      </w:pPr>
      <w:bookmarkStart w:id="73" w:name="_Toc209691107"/>
      <w:r w:rsidRPr="00FB171D">
        <w:rPr>
          <w:rFonts w:ascii="Georgia" w:hAnsi="Georgia" w:cs="Arial"/>
        </w:rPr>
        <w:t>Why Short-Term Memory Is More Vulnerable</w:t>
      </w:r>
      <w:bookmarkEnd w:id="73"/>
    </w:p>
    <w:p w14:paraId="48516A09" w14:textId="77777777" w:rsidR="004132C3" w:rsidRPr="00FB171D" w:rsidRDefault="004132C3" w:rsidP="00734CAC">
      <w:pPr>
        <w:pStyle w:val="ListParagraph"/>
        <w:numPr>
          <w:ilvl w:val="0"/>
          <w:numId w:val="73"/>
        </w:numPr>
        <w:rPr>
          <w:rFonts w:ascii="Georgia" w:hAnsi="Georgia" w:cs="Arial"/>
        </w:rPr>
      </w:pPr>
      <w:r w:rsidRPr="00FB171D">
        <w:rPr>
          <w:rFonts w:ascii="Georgia" w:hAnsi="Georgia" w:cs="Arial"/>
        </w:rPr>
        <w:t>Hippocampal Sensitivity: The hippocampus, a critical hub for converting short-term memories to long-term ones, is especially vulnerable to the effects of aging, such as NAD depletion, mitochondrial dysfunction, and glycation. As noted in the context, the hippocampus itself shrinks with age, and its function is impacted by metabolic stressors, leading to lapses in short-term memory.</w:t>
      </w:r>
    </w:p>
    <w:p w14:paraId="1FF0BB35" w14:textId="77777777" w:rsidR="004132C3" w:rsidRPr="00FB171D" w:rsidRDefault="004132C3" w:rsidP="00734CAC">
      <w:pPr>
        <w:pStyle w:val="ListParagraph"/>
        <w:numPr>
          <w:ilvl w:val="0"/>
          <w:numId w:val="73"/>
        </w:numPr>
        <w:rPr>
          <w:rFonts w:ascii="Georgia" w:hAnsi="Georgia" w:cs="Arial"/>
        </w:rPr>
      </w:pPr>
      <w:r w:rsidRPr="00FB171D">
        <w:rPr>
          <w:rFonts w:ascii="Georgia" w:hAnsi="Georgia" w:cs="Arial"/>
        </w:rPr>
        <w:t>Reliance on Active Neural Networks: Short-term memory requires the ongoing activity of specific neural circuits. Aging-related reductions in glucose metabolism, mitochondrial efficiency, and NAD levels impair the brain's ability to sustain this activity, resulting in diminished capacity to hold or manipulate new information.</w:t>
      </w:r>
    </w:p>
    <w:p w14:paraId="0E397CD2" w14:textId="77777777" w:rsidR="004132C3" w:rsidRPr="00FB171D" w:rsidRDefault="004132C3" w:rsidP="00734CAC">
      <w:pPr>
        <w:pStyle w:val="ListParagraph"/>
        <w:numPr>
          <w:ilvl w:val="0"/>
          <w:numId w:val="73"/>
        </w:numPr>
        <w:rPr>
          <w:rFonts w:ascii="Georgia" w:hAnsi="Georgia" w:cs="Arial"/>
        </w:rPr>
      </w:pPr>
      <w:r w:rsidRPr="00FB171D">
        <w:rPr>
          <w:rFonts w:ascii="Georgia" w:hAnsi="Georgia" w:cs="Arial"/>
        </w:rPr>
        <w:t>Susceptibility to Distraction and Fatigue: Because working memory resources are limited and must be constantly updated, they are more easily disrupted by distractions, stress, or sleep deprivation—all of which become more pronounced or frequent with age.</w:t>
      </w:r>
    </w:p>
    <w:p w14:paraId="25C80281" w14:textId="77777777" w:rsidR="004132C3" w:rsidRPr="00FB171D" w:rsidRDefault="004132C3" w:rsidP="00734CAC">
      <w:pPr>
        <w:pStyle w:val="ListParagraph"/>
        <w:numPr>
          <w:ilvl w:val="0"/>
          <w:numId w:val="73"/>
        </w:numPr>
        <w:rPr>
          <w:rFonts w:ascii="Georgia" w:hAnsi="Georgia" w:cs="Arial"/>
        </w:rPr>
      </w:pPr>
      <w:r w:rsidRPr="00FB171D">
        <w:rPr>
          <w:rFonts w:ascii="Georgia" w:hAnsi="Georgia" w:cs="Arial"/>
        </w:rPr>
        <w:t>Impaired Neurotransmitter Dynamics: Neurotransmitters such as dopamine and acetylcholine, which are important for working memory, decline with age. This reduction disrupts communication within the prefrontal cortex and hippocampus, further weakening short-term recall.</w:t>
      </w:r>
    </w:p>
    <w:p w14:paraId="568508E4" w14:textId="77777777" w:rsidR="004132C3" w:rsidRPr="00FB171D" w:rsidRDefault="004132C3" w:rsidP="00734CAC">
      <w:pPr>
        <w:pStyle w:val="ListParagraph"/>
        <w:numPr>
          <w:ilvl w:val="0"/>
          <w:numId w:val="73"/>
        </w:numPr>
        <w:rPr>
          <w:rFonts w:ascii="Georgia" w:hAnsi="Georgia" w:cs="Arial"/>
        </w:rPr>
      </w:pPr>
      <w:r w:rsidRPr="00FB171D">
        <w:rPr>
          <w:rFonts w:ascii="Georgia" w:hAnsi="Georgia" w:cs="Arial"/>
        </w:rPr>
        <w:t>Long-Term Memory Is Distributed and Redundant: Long-term memories, once consolidated, are stored across widespread brain areas, making them more resistant to localized damage or metabolic decline. Even if some pathways are impaired, alternative routes may allow for memory retrieval.</w:t>
      </w:r>
    </w:p>
    <w:p w14:paraId="42A0DC61" w14:textId="4027FD89" w:rsidR="004132C3" w:rsidRPr="00FB171D" w:rsidRDefault="004132C3" w:rsidP="00E226B6">
      <w:pPr>
        <w:pStyle w:val="Heading3"/>
        <w:rPr>
          <w:rFonts w:ascii="Georgia" w:hAnsi="Georgia" w:cs="Arial"/>
        </w:rPr>
      </w:pPr>
      <w:bookmarkStart w:id="74" w:name="_Toc209691108"/>
      <w:r w:rsidRPr="00FB171D">
        <w:rPr>
          <w:rFonts w:ascii="Georgia" w:hAnsi="Georgia" w:cs="Arial"/>
        </w:rPr>
        <w:t>Implications for Cognitive Aging</w:t>
      </w:r>
      <w:bookmarkEnd w:id="74"/>
    </w:p>
    <w:p w14:paraId="46F8B630" w14:textId="77777777" w:rsidR="004132C3" w:rsidRPr="00FB171D" w:rsidRDefault="004132C3" w:rsidP="004132C3">
      <w:pPr>
        <w:rPr>
          <w:rFonts w:ascii="Georgia" w:hAnsi="Georgia" w:cs="Arial"/>
        </w:rPr>
      </w:pPr>
      <w:r w:rsidRPr="00FB171D">
        <w:rPr>
          <w:rFonts w:ascii="Georgia" w:hAnsi="Georgia" w:cs="Arial"/>
        </w:rPr>
        <w:t>Short-term memory’s vulnerability often explains the everyday experiences of older adults: forgetting recent conversations, appointments, or where they placed their keys, while still recalling childhood events. These lapses reflect the greater metabolic and structural demands of holding new information compared to accessing well-established neural networks supporting long-term memory.</w:t>
      </w:r>
    </w:p>
    <w:p w14:paraId="171FB098" w14:textId="1C65A0E8" w:rsidR="004132C3" w:rsidRPr="00FB171D" w:rsidRDefault="004132C3" w:rsidP="00E226B6">
      <w:pPr>
        <w:pStyle w:val="Heading3"/>
        <w:rPr>
          <w:rFonts w:ascii="Georgia" w:hAnsi="Georgia" w:cs="Arial"/>
        </w:rPr>
      </w:pPr>
      <w:bookmarkStart w:id="75" w:name="_Toc209691109"/>
      <w:r w:rsidRPr="00FB171D">
        <w:rPr>
          <w:rFonts w:ascii="Georgia" w:hAnsi="Georgia" w:cs="Arial"/>
        </w:rPr>
        <w:t>Can This Be Mitigated?</w:t>
      </w:r>
      <w:bookmarkEnd w:id="75"/>
    </w:p>
    <w:p w14:paraId="7D3BE3B6" w14:textId="77777777" w:rsidR="004132C3" w:rsidRPr="00FB171D" w:rsidRDefault="004132C3" w:rsidP="004132C3">
      <w:pPr>
        <w:rPr>
          <w:rFonts w:ascii="Georgia" w:hAnsi="Georgia" w:cs="Arial"/>
        </w:rPr>
      </w:pPr>
      <w:r w:rsidRPr="00FB171D">
        <w:rPr>
          <w:rFonts w:ascii="Georgia" w:hAnsi="Georgia" w:cs="Arial"/>
        </w:rPr>
        <w:t>While some decline is a natural part of aging, lifestyle interventions—such as a balanced diet, regular physical exercise, cognitive engagement, and management of stress and sleep—have been shown to support the neural and metabolic systems underpinning short-term memory. Emerging research in longevity medicine also suggests that maintaining NAD levels, limiting AGE accumulation, and preserving mitochondrial function may help slow or reduce the vulnerability of short-term memory circuits.</w:t>
      </w:r>
    </w:p>
    <w:p w14:paraId="373CA8FC" w14:textId="77777777" w:rsidR="004132C3" w:rsidRPr="00FB171D" w:rsidRDefault="004132C3" w:rsidP="00E226B6">
      <w:pPr>
        <w:pStyle w:val="Heading4"/>
        <w:rPr>
          <w:rFonts w:ascii="Georgia" w:hAnsi="Georgia" w:cs="Arial"/>
        </w:rPr>
      </w:pPr>
      <w:r w:rsidRPr="00FB171D">
        <w:rPr>
          <w:rFonts w:ascii="Georgia" w:hAnsi="Georgia" w:cs="Arial"/>
        </w:rPr>
        <w:t>Conclusion</w:t>
      </w:r>
    </w:p>
    <w:p w14:paraId="5EB3FE12" w14:textId="4B633031" w:rsidR="00BC59A9" w:rsidRPr="00FB171D" w:rsidRDefault="004132C3" w:rsidP="004132C3">
      <w:pPr>
        <w:rPr>
          <w:rFonts w:ascii="Georgia" w:hAnsi="Georgia" w:cs="Arial"/>
        </w:rPr>
      </w:pPr>
      <w:r w:rsidRPr="00FB171D">
        <w:rPr>
          <w:rFonts w:ascii="Georgia" w:hAnsi="Georgia" w:cs="Arial"/>
        </w:rPr>
        <w:t>In summary, the reason short-term memory is more affected in cognitive decline than long-term memory stems from its reliance on fragile, metabolically intensive neural networks and regions particularly susceptible to the effects of aging. By understanding these mechanisms, it is possible to adopt strategies that support both short- and long-term memory, fostering resilience and cognitive health throughout the aging process.</w:t>
      </w:r>
    </w:p>
    <w:p w14:paraId="02021B24" w14:textId="77777777" w:rsidR="00BC59A9" w:rsidRPr="00FB171D" w:rsidRDefault="00BC59A9" w:rsidP="00970659">
      <w:pPr>
        <w:rPr>
          <w:rFonts w:ascii="Georgia" w:hAnsi="Georgia" w:cs="Arial"/>
        </w:rPr>
      </w:pPr>
    </w:p>
    <w:p w14:paraId="688750FD" w14:textId="77777777" w:rsidR="00BC59A9" w:rsidRPr="00FB171D" w:rsidRDefault="00BC59A9" w:rsidP="00970659">
      <w:pPr>
        <w:rPr>
          <w:rFonts w:ascii="Georgia" w:hAnsi="Georgia" w:cs="Arial"/>
        </w:rPr>
      </w:pPr>
    </w:p>
    <w:p w14:paraId="3132D7E2" w14:textId="252CC78C" w:rsidR="00BC59A9" w:rsidRPr="00FB171D" w:rsidRDefault="00AE38B0" w:rsidP="00AE38B0">
      <w:pPr>
        <w:pStyle w:val="Heading3"/>
        <w:rPr>
          <w:rFonts w:ascii="Georgia" w:hAnsi="Georgia" w:cs="Arial"/>
        </w:rPr>
      </w:pPr>
      <w:bookmarkStart w:id="76" w:name="_Toc209691110"/>
      <w:r w:rsidRPr="00FB171D">
        <w:rPr>
          <w:rFonts w:ascii="Georgia" w:hAnsi="Georgia" w:cs="Arial"/>
        </w:rPr>
        <w:t>Changes in Neurotransmitters in the brain with Aging</w:t>
      </w:r>
      <w:bookmarkEnd w:id="76"/>
    </w:p>
    <w:p w14:paraId="05230EEE" w14:textId="77777777" w:rsidR="00403B98" w:rsidRPr="00FB171D" w:rsidRDefault="00403B98" w:rsidP="00403B98">
      <w:pPr>
        <w:rPr>
          <w:rFonts w:ascii="Georgia" w:hAnsi="Georgia" w:cs="Arial"/>
        </w:rPr>
      </w:pPr>
      <w:r w:rsidRPr="00FB171D">
        <w:rPr>
          <w:rFonts w:ascii="Georgia" w:hAnsi="Georgia" w:cs="Arial"/>
        </w:rPr>
        <w:t>Aging brings about pronounced changes in the brain’s delicate balance of neurotransmitters—the chemical messengers that orchestrate communication between neurons. Among the most affected are dopamine and acetylcholine, two molecules intimately linked to memory, attention, and executive function. Dopamine levels, for instance, are known to decline steadily with age, particularly in regions such as the prefrontal cortex and striatum. This reduction manifests as slower processing speed, diminished working memory capacity, and, in some cases, a decrease in motivation or the ability to focus on complex tasks.</w:t>
      </w:r>
    </w:p>
    <w:p w14:paraId="0644E0D1" w14:textId="77777777" w:rsidR="00403B98" w:rsidRPr="00FB171D" w:rsidRDefault="00403B98" w:rsidP="00403B98">
      <w:pPr>
        <w:rPr>
          <w:rFonts w:ascii="Georgia" w:hAnsi="Georgia" w:cs="Arial"/>
        </w:rPr>
      </w:pPr>
      <w:r w:rsidRPr="00FB171D">
        <w:rPr>
          <w:rFonts w:ascii="Georgia" w:hAnsi="Georgia" w:cs="Arial"/>
        </w:rPr>
        <w:t>Similarly, acetylcholine—a neurotransmitter essential for attention and the encoding of new memories—also wanes over time. Lower acetylcholine activity can disrupt the intricate signaling within the hippocampus and related cortical areas, further compounding memory lapses and difficulties with learning. These neurochemical shifts are not isolated; rather, they interact with other age-related processes, such as oxidative stress and inflammation, amplifying their impact on cognitive faculties.</w:t>
      </w:r>
    </w:p>
    <w:p w14:paraId="39A38DAF" w14:textId="19A3C9C9" w:rsidR="00403B98" w:rsidRPr="00FB171D" w:rsidRDefault="003B3F13" w:rsidP="003B3F13">
      <w:pPr>
        <w:rPr>
          <w:rFonts w:ascii="Georgia" w:hAnsi="Georgia" w:cs="Arial"/>
        </w:rPr>
      </w:pPr>
      <w:r w:rsidRPr="00FB171D">
        <w:rPr>
          <w:rFonts w:ascii="Georgia" w:hAnsi="Georgia" w:cs="Arial"/>
        </w:rPr>
        <w:t>Other neurotransmitters, including serotonin and norepinephrine, experience subtler changes that may influence mood regulation, sleep patterns, and stress resilience. Glutamine, a critical amino acid that serves as a precursor for the neurotransmitter glutamate, also plays a key role in maintaining cognitive health. As we age, disruptions in glutamine and glutamate balance can affect neural communication and synaptic plasticity, potentially impacting learning and memory processes. Melatonin, a hormone closely tied to the regulation of sleep-wake cycles, also declines with age, which can disrupt sleep quality and, in turn, further impact memory and cognitive function. The cumulative effect of these alterations is a brain less adaptable to new information and more susceptible to distraction, fatigue, and emotional fluctuation.</w:t>
      </w:r>
    </w:p>
    <w:p w14:paraId="5033E974" w14:textId="77777777" w:rsidR="00DC0A8E" w:rsidRPr="00FB171D" w:rsidRDefault="00DC0A8E" w:rsidP="00271BF7">
      <w:pPr>
        <w:pStyle w:val="Heading1"/>
        <w:rPr>
          <w:rFonts w:ascii="Georgia" w:hAnsi="Georgia" w:cs="Arial"/>
          <w:b/>
          <w:bCs/>
          <w:color w:val="EE0000"/>
        </w:rPr>
      </w:pPr>
    </w:p>
    <w:p w14:paraId="157D25EF" w14:textId="77777777" w:rsidR="00DC0A8E" w:rsidRPr="00FB171D" w:rsidRDefault="00DC0A8E" w:rsidP="00271BF7">
      <w:pPr>
        <w:pStyle w:val="Heading1"/>
        <w:rPr>
          <w:rFonts w:ascii="Georgia" w:hAnsi="Georgia" w:cs="Arial"/>
          <w:b/>
          <w:bCs/>
          <w:color w:val="EE0000"/>
        </w:rPr>
      </w:pPr>
    </w:p>
    <w:p w14:paraId="1136365E" w14:textId="77777777" w:rsidR="00DC0A8E" w:rsidRPr="00FB171D" w:rsidRDefault="00DC0A8E" w:rsidP="00271BF7">
      <w:pPr>
        <w:pStyle w:val="Heading1"/>
        <w:rPr>
          <w:rFonts w:ascii="Georgia" w:hAnsi="Georgia" w:cs="Arial"/>
          <w:b/>
          <w:bCs/>
          <w:color w:val="EE0000"/>
        </w:rPr>
      </w:pPr>
    </w:p>
    <w:p w14:paraId="2AB6FAEC" w14:textId="31FEC2A7" w:rsidR="007561C0" w:rsidRPr="00FB171D" w:rsidRDefault="00AF7FF5" w:rsidP="00271BF7">
      <w:pPr>
        <w:pStyle w:val="Heading1"/>
        <w:rPr>
          <w:rFonts w:ascii="Georgia" w:hAnsi="Georgia" w:cs="Arial"/>
          <w:b/>
          <w:bCs/>
          <w:color w:val="EE0000"/>
        </w:rPr>
      </w:pPr>
      <w:bookmarkStart w:id="77" w:name="_Toc209691111"/>
      <w:r w:rsidRPr="00FB171D">
        <w:rPr>
          <w:rFonts w:ascii="Georgia" w:hAnsi="Georgia" w:cs="Arial"/>
          <w:b/>
          <w:bCs/>
          <w:color w:val="EE0000"/>
        </w:rPr>
        <w:t xml:space="preserve">Longevity Medicine and the Aging Brain: Preservation of </w:t>
      </w:r>
      <w:r w:rsidR="00271BF7" w:rsidRPr="00FB171D">
        <w:rPr>
          <w:rFonts w:ascii="Georgia" w:hAnsi="Georgia" w:cs="Arial"/>
          <w:b/>
          <w:bCs/>
          <w:color w:val="EE0000"/>
        </w:rPr>
        <w:t>Function</w:t>
      </w:r>
      <w:bookmarkEnd w:id="77"/>
    </w:p>
    <w:p w14:paraId="333BD79A" w14:textId="77777777" w:rsidR="004B0C1F" w:rsidRPr="00FB171D" w:rsidRDefault="004B0C1F" w:rsidP="004B0C1F">
      <w:pPr>
        <w:rPr>
          <w:rFonts w:ascii="Georgia" w:hAnsi="Georgia" w:cs="Arial"/>
        </w:rPr>
      </w:pPr>
      <w:r w:rsidRPr="00FB171D">
        <w:rPr>
          <w:rFonts w:ascii="Georgia" w:hAnsi="Georgia" w:cs="Arial"/>
        </w:rPr>
        <w:t>As we deepen our understanding of the intricate relationship between various brain cell types, genetics, and environmental factors, it becomes clearer how these elements contribute to the landscape of cognitive aging. Some age-related changes are the result of unavoidable reductions in certain brain cells, such as the gradual loss of neurons or the accumulation of senescent (aging) glial cells, which can impair communication and support networks. For example, studies have shown that the hippocampus—a region critical for memory—naturally shrinks with age, leading to some of the forgetfulness commonly experienced by older adults.</w:t>
      </w:r>
    </w:p>
    <w:p w14:paraId="2B45265F" w14:textId="77777777" w:rsidR="004B0C1F" w:rsidRPr="00FB171D" w:rsidRDefault="004B0C1F" w:rsidP="004B0C1F">
      <w:pPr>
        <w:rPr>
          <w:rFonts w:ascii="Georgia" w:hAnsi="Georgia" w:cs="Arial"/>
        </w:rPr>
      </w:pPr>
      <w:r w:rsidRPr="00FB171D">
        <w:rPr>
          <w:rFonts w:ascii="Georgia" w:hAnsi="Georgia" w:cs="Arial"/>
        </w:rPr>
        <w:t>However, other functional aspects of brain aging present opportunities for intervention and support, even as neuron numbers decline. For instance, engaging in regular aerobic exercise has been shown to boost the proliferation of new glial cells and even promote neurogenesis (the birth of new neurons) in regions like the hippocampus. Similarly, adopting a Mediterranean-style diet rich in antioxidants and healthy fats can help reduce inflammation among glial cells, supporting both their function and the neurons they protect.</w:t>
      </w:r>
    </w:p>
    <w:p w14:paraId="29A4FD28" w14:textId="77777777" w:rsidR="004B0C1F" w:rsidRPr="00FB171D" w:rsidRDefault="004B0C1F" w:rsidP="004B0C1F">
      <w:pPr>
        <w:rPr>
          <w:rFonts w:ascii="Georgia" w:hAnsi="Georgia" w:cs="Arial"/>
        </w:rPr>
      </w:pPr>
      <w:r w:rsidRPr="00FB171D">
        <w:rPr>
          <w:rFonts w:ascii="Georgia" w:hAnsi="Georgia" w:cs="Arial"/>
        </w:rPr>
        <w:t>Environmental stimulation also plays a significant role: older adults who continue to challenge their brains by learning new skills, participating in social activities, or even solving puzzles tend to experience slower declines in cognitive function. For example, research suggests that multilingual individuals or those who take up musical instruments later in life may build “cognitive reserve,” allowing their brains to compensate more effectively for cell loss or damage.</w:t>
      </w:r>
    </w:p>
    <w:p w14:paraId="7109D560" w14:textId="77777777" w:rsidR="004B0C1F" w:rsidRPr="00FB171D" w:rsidRDefault="004B0C1F" w:rsidP="004B0C1F">
      <w:pPr>
        <w:rPr>
          <w:rFonts w:ascii="Georgia" w:hAnsi="Georgia" w:cs="Arial"/>
        </w:rPr>
      </w:pPr>
      <w:r w:rsidRPr="00FB171D">
        <w:rPr>
          <w:rFonts w:ascii="Georgia" w:hAnsi="Georgia" w:cs="Arial"/>
        </w:rPr>
        <w:t>On the flip side, chronic stress or poor sleep can disrupt glial cell regulation, contributing to increased inflammation and accelerating the breakdown of neural networks. Managing these risk factors through mindfulness practices, adequate sleep hygiene, and stress reduction can help preserve both the structure and function of the aging brain.</w:t>
      </w:r>
    </w:p>
    <w:p w14:paraId="74200929" w14:textId="75E51955" w:rsidR="004B0C1F" w:rsidRPr="00FB171D" w:rsidRDefault="004B0C1F" w:rsidP="004B0C1F">
      <w:pPr>
        <w:rPr>
          <w:rFonts w:ascii="Georgia" w:hAnsi="Georgia" w:cs="Arial"/>
        </w:rPr>
      </w:pPr>
      <w:r w:rsidRPr="00FB171D">
        <w:rPr>
          <w:rFonts w:ascii="Georgia" w:hAnsi="Georgia" w:cs="Arial"/>
        </w:rPr>
        <w:t>In summary, while some aspects of brain aging are genetically programmed and currently irreversible, there remains significant potential to bolster brain health through lifestyle choices and targeted interventions—offering hope for a more resilient mind well into later life.</w:t>
      </w:r>
    </w:p>
    <w:p w14:paraId="4655A8E2" w14:textId="13991DFC" w:rsidR="007561C0" w:rsidRPr="00FB171D" w:rsidRDefault="004B0C1F" w:rsidP="00337CF6">
      <w:pPr>
        <w:rPr>
          <w:rFonts w:ascii="Georgia" w:hAnsi="Georgia" w:cs="Arial"/>
        </w:rPr>
      </w:pPr>
      <w:r w:rsidRPr="00FB171D">
        <w:rPr>
          <w:rFonts w:ascii="Georgia" w:hAnsi="Georgia" w:cs="Arial"/>
        </w:rPr>
        <w:t xml:space="preserve"> </w:t>
      </w:r>
    </w:p>
    <w:p w14:paraId="3D8B1AC5" w14:textId="77777777" w:rsidR="009E2217" w:rsidRPr="00FB171D" w:rsidRDefault="009E2217" w:rsidP="00C17045">
      <w:pPr>
        <w:pStyle w:val="Heading1"/>
        <w:rPr>
          <w:rFonts w:ascii="Georgia" w:hAnsi="Georgia" w:cs="Arial"/>
        </w:rPr>
      </w:pPr>
    </w:p>
    <w:p w14:paraId="2E9F8D79" w14:textId="035CB18C" w:rsidR="009E2217" w:rsidRPr="00FB171D" w:rsidRDefault="00C17045" w:rsidP="00A83774">
      <w:pPr>
        <w:pStyle w:val="Heading1"/>
        <w:rPr>
          <w:rFonts w:ascii="Georgia" w:hAnsi="Georgia" w:cs="Arial"/>
        </w:rPr>
      </w:pPr>
      <w:bookmarkStart w:id="78" w:name="_Toc209691112"/>
      <w:r w:rsidRPr="00FB171D">
        <w:rPr>
          <w:rFonts w:ascii="Georgia" w:hAnsi="Georgia" w:cs="Arial"/>
        </w:rPr>
        <w:t>Brain aging and Longevity Medicine</w:t>
      </w:r>
      <w:bookmarkEnd w:id="78"/>
    </w:p>
    <w:p w14:paraId="2775BC0F" w14:textId="143E1EFC" w:rsidR="00C17045" w:rsidRPr="00FB171D" w:rsidRDefault="00684DF8" w:rsidP="00337CF6">
      <w:pPr>
        <w:rPr>
          <w:rFonts w:ascii="Georgia" w:hAnsi="Georgia" w:cs="Arial"/>
        </w:rPr>
      </w:pPr>
      <w:r w:rsidRPr="00FB171D">
        <w:rPr>
          <w:rFonts w:ascii="Georgia" w:hAnsi="Georgia" w:cs="Arial"/>
        </w:rPr>
        <w:t xml:space="preserve">What can longevity medicine do to </w:t>
      </w:r>
      <w:r w:rsidR="005E3995" w:rsidRPr="00FB171D">
        <w:rPr>
          <w:rFonts w:ascii="Georgia" w:hAnsi="Georgia" w:cs="Arial"/>
        </w:rPr>
        <w:t>optimize brain health and reduce cognitive decline?</w:t>
      </w:r>
      <w:r w:rsidR="00FA7D0C" w:rsidRPr="00FB171D">
        <w:rPr>
          <w:rFonts w:ascii="Georgia" w:hAnsi="Georgia" w:cs="Arial"/>
        </w:rPr>
        <w:t xml:space="preserve">  “Measure what you can, fix what is fixable”</w:t>
      </w:r>
    </w:p>
    <w:p w14:paraId="531ECBEF" w14:textId="16764B82" w:rsidR="00466821" w:rsidRPr="00FB171D" w:rsidRDefault="00467D66" w:rsidP="00A83774">
      <w:pPr>
        <w:pStyle w:val="Heading2"/>
        <w:rPr>
          <w:rFonts w:ascii="Georgia" w:hAnsi="Georgia" w:cs="Arial"/>
        </w:rPr>
      </w:pPr>
      <w:bookmarkStart w:id="79" w:name="_Toc209691113"/>
      <w:r w:rsidRPr="00FB171D">
        <w:rPr>
          <w:rFonts w:ascii="Georgia" w:hAnsi="Georgia" w:cs="Arial"/>
        </w:rPr>
        <w:t>Diagnosis</w:t>
      </w:r>
      <w:r w:rsidR="008B39B1" w:rsidRPr="00FB171D">
        <w:rPr>
          <w:rFonts w:ascii="Georgia" w:hAnsi="Georgia" w:cs="Arial"/>
        </w:rPr>
        <w:t xml:space="preserve">: </w:t>
      </w:r>
      <w:r w:rsidR="00C30C03" w:rsidRPr="00FB171D">
        <w:rPr>
          <w:rFonts w:ascii="Georgia" w:hAnsi="Georgia" w:cs="Arial"/>
        </w:rPr>
        <w:t>Gathering information to understand patient current situation</w:t>
      </w:r>
      <w:bookmarkEnd w:id="79"/>
    </w:p>
    <w:p w14:paraId="2450508B" w14:textId="4E17807F" w:rsidR="00624005" w:rsidRPr="00FB171D" w:rsidRDefault="00854EED" w:rsidP="00734CAC">
      <w:pPr>
        <w:pStyle w:val="ListParagraph"/>
        <w:numPr>
          <w:ilvl w:val="0"/>
          <w:numId w:val="71"/>
        </w:numPr>
        <w:rPr>
          <w:rFonts w:ascii="Georgia" w:hAnsi="Georgia" w:cs="Arial"/>
        </w:rPr>
      </w:pPr>
      <w:bookmarkStart w:id="80" w:name="_Toc209691114"/>
      <w:r w:rsidRPr="00FB171D">
        <w:rPr>
          <w:rStyle w:val="Heading3Char"/>
          <w:rFonts w:ascii="Georgia" w:hAnsi="Georgia" w:cs="Arial"/>
        </w:rPr>
        <w:t>Paint a clinical picture:</w:t>
      </w:r>
      <w:bookmarkEnd w:id="80"/>
      <w:r w:rsidRPr="00FB171D">
        <w:rPr>
          <w:rFonts w:ascii="Georgia" w:hAnsi="Georgia" w:cs="Arial"/>
        </w:rPr>
        <w:t xml:space="preserve"> Diagnosis and determination of degree of effect on </w:t>
      </w:r>
      <w:r w:rsidR="00AD34D9" w:rsidRPr="00FB171D">
        <w:rPr>
          <w:rFonts w:ascii="Georgia" w:hAnsi="Georgia" w:cs="Arial"/>
        </w:rPr>
        <w:t xml:space="preserve">the patient.  </w:t>
      </w:r>
      <w:r w:rsidR="00B72D40" w:rsidRPr="00FB171D">
        <w:rPr>
          <w:rFonts w:ascii="Georgia" w:hAnsi="Georgia" w:cs="Arial"/>
        </w:rPr>
        <w:t xml:space="preserve">Discuss with the patient their own impression of their brain age, including symptoms, changes in </w:t>
      </w:r>
      <w:r w:rsidR="00D9654A" w:rsidRPr="00FB171D">
        <w:rPr>
          <w:rFonts w:ascii="Georgia" w:hAnsi="Georgia" w:cs="Arial"/>
        </w:rPr>
        <w:t xml:space="preserve">speed of mental processing, and any tests that they may have already done.  </w:t>
      </w:r>
    </w:p>
    <w:p w14:paraId="6C3C043C" w14:textId="77777777" w:rsidR="00624005" w:rsidRPr="00FB171D" w:rsidRDefault="00624005" w:rsidP="00624005">
      <w:pPr>
        <w:rPr>
          <w:rFonts w:ascii="Georgia" w:hAnsi="Georgia" w:cs="Arial"/>
        </w:rPr>
      </w:pPr>
      <w:r w:rsidRPr="00FB171D">
        <w:rPr>
          <w:rFonts w:ascii="Georgia" w:hAnsi="Georgia" w:cs="Arial"/>
        </w:rPr>
        <w:t>An essential first step in optimizing brain health is to openly discuss your personal experience of cognitive aging. Reflecting on your own sense of “brain age” can yield valuable insights. For example, you might notice that tasks which once required minimal effort—recalling names, following a fast-paced conversation, or learning new technology—now seem to take longer or require more concentration. Perhaps you’ve found yourself searching for words more frequently, or needing to double-check whether you’ve locked the door or turned off the stove. These subtle changes in short-term memory and processing speed are common as we grow older, but the extent and pattern can vary greatly from person to person.</w:t>
      </w:r>
    </w:p>
    <w:p w14:paraId="577B7989" w14:textId="77777777" w:rsidR="00624005" w:rsidRPr="00FB171D" w:rsidRDefault="00624005" w:rsidP="00624005">
      <w:pPr>
        <w:rPr>
          <w:rFonts w:ascii="Georgia" w:hAnsi="Georgia" w:cs="Arial"/>
        </w:rPr>
      </w:pPr>
      <w:r w:rsidRPr="00FB171D">
        <w:rPr>
          <w:rFonts w:ascii="Georgia" w:hAnsi="Georgia" w:cs="Arial"/>
        </w:rPr>
        <w:t>It’s also important to consider how quickly you process information. Some patients describe feeling “slower on the uptake,” especially when multitasking or under time pressure. For instance, you may have noticed it takes longer to make sense of a news article, or that you prefer to drive more cautiously in busy traffic—both possible signs of shifts in cognitive speed.</w:t>
      </w:r>
    </w:p>
    <w:p w14:paraId="6427FD66" w14:textId="77777777" w:rsidR="00624005" w:rsidRPr="00FB171D" w:rsidRDefault="00624005" w:rsidP="00624005">
      <w:pPr>
        <w:rPr>
          <w:rFonts w:ascii="Georgia" w:hAnsi="Georgia" w:cs="Arial"/>
        </w:rPr>
      </w:pPr>
      <w:r w:rsidRPr="00FB171D">
        <w:rPr>
          <w:rFonts w:ascii="Georgia" w:hAnsi="Georgia" w:cs="Arial"/>
        </w:rPr>
        <w:t>If you’ve already undergone any cognitive tests, such as computerized brain age assessments, memory screenings, or even simple pencil-and-paper tasks at your doctor’s office, it’s helpful to bring those results to the conversation. Someone might recall a recent online test that estimated their brain age to be “a few years older” than their chronological age, or share results from a memory clinic visit that flagged some mild difficulties with attention or recall. Sharing these details provides a fuller picture and helps your healthcare provider tailor advice and interventions specifically for you.</w:t>
      </w:r>
    </w:p>
    <w:p w14:paraId="19770142" w14:textId="61E68923" w:rsidR="00B72D40" w:rsidRPr="00FB171D" w:rsidRDefault="00624005" w:rsidP="00624005">
      <w:pPr>
        <w:rPr>
          <w:rFonts w:ascii="Georgia" w:hAnsi="Georgia" w:cs="Arial"/>
        </w:rPr>
      </w:pPr>
      <w:r w:rsidRPr="00FB171D">
        <w:rPr>
          <w:rFonts w:ascii="Georgia" w:hAnsi="Georgia" w:cs="Arial"/>
        </w:rPr>
        <w:t>Ultimately, being open about your symptoms, changes you’ve noticed, and any testing you’ve pursued is vital. This collaborative approach ensures that any recommendations are grounded in your unique experience and needs, setting the stage for more personalized strategies to support your brain health as you age.</w:t>
      </w:r>
    </w:p>
    <w:p w14:paraId="2261EF98" w14:textId="77777777" w:rsidR="00D9654A" w:rsidRPr="00FB171D" w:rsidRDefault="00D9654A" w:rsidP="00D9654A">
      <w:pPr>
        <w:rPr>
          <w:rFonts w:ascii="Georgia" w:hAnsi="Georgia" w:cs="Arial"/>
        </w:rPr>
      </w:pPr>
    </w:p>
    <w:p w14:paraId="7A97D5DC" w14:textId="77777777" w:rsidR="00D9654A" w:rsidRPr="00FB171D" w:rsidRDefault="00D9654A" w:rsidP="009900DA">
      <w:pPr>
        <w:pStyle w:val="Heading3"/>
        <w:rPr>
          <w:rFonts w:ascii="Georgia" w:hAnsi="Georgia" w:cs="Arial"/>
        </w:rPr>
      </w:pPr>
    </w:p>
    <w:p w14:paraId="167E84AF" w14:textId="77777777" w:rsidR="003968EA" w:rsidRPr="00FB171D" w:rsidRDefault="00AD34D9" w:rsidP="00A83774">
      <w:pPr>
        <w:pStyle w:val="Heading3"/>
        <w:rPr>
          <w:rFonts w:ascii="Georgia" w:hAnsi="Georgia" w:cs="Arial"/>
        </w:rPr>
      </w:pPr>
      <w:bookmarkStart w:id="81" w:name="_Toc209691115"/>
      <w:r w:rsidRPr="00FB171D">
        <w:rPr>
          <w:rFonts w:ascii="Georgia" w:hAnsi="Georgia" w:cs="Arial"/>
        </w:rPr>
        <w:t xml:space="preserve">Measure </w:t>
      </w:r>
      <w:r w:rsidR="00C97974" w:rsidRPr="00FB171D">
        <w:rPr>
          <w:rFonts w:ascii="Georgia" w:hAnsi="Georgia" w:cs="Arial"/>
        </w:rPr>
        <w:t>brain age</w:t>
      </w:r>
      <w:bookmarkEnd w:id="81"/>
      <w:r w:rsidR="00C97974" w:rsidRPr="00FB171D">
        <w:rPr>
          <w:rFonts w:ascii="Georgia" w:hAnsi="Georgia" w:cs="Arial"/>
        </w:rPr>
        <w:t xml:space="preserve"> </w:t>
      </w:r>
    </w:p>
    <w:p w14:paraId="2DB55510" w14:textId="746309DE" w:rsidR="005E3995" w:rsidRPr="00FB171D" w:rsidRDefault="005E3995" w:rsidP="00A83774">
      <w:pPr>
        <w:pStyle w:val="Heading4"/>
        <w:rPr>
          <w:rFonts w:ascii="Georgia" w:hAnsi="Georgia" w:cs="Arial"/>
        </w:rPr>
      </w:pPr>
      <w:r w:rsidRPr="00FB171D">
        <w:rPr>
          <w:rFonts w:ascii="Georgia" w:hAnsi="Georgia" w:cs="Arial"/>
        </w:rPr>
        <w:t>Determine current brain age using one of the</w:t>
      </w:r>
      <w:r w:rsidR="00D26DFF" w:rsidRPr="00FB171D">
        <w:rPr>
          <w:rFonts w:ascii="Georgia" w:hAnsi="Georgia" w:cs="Arial"/>
        </w:rPr>
        <w:t xml:space="preserve"> valildated brain age methods detailed above.</w:t>
      </w:r>
    </w:p>
    <w:p w14:paraId="77A5AF40" w14:textId="77777777" w:rsidR="001D6D75" w:rsidRPr="00FB171D" w:rsidRDefault="001D6D75" w:rsidP="00734CAC">
      <w:pPr>
        <w:pStyle w:val="ListParagraph"/>
        <w:numPr>
          <w:ilvl w:val="0"/>
          <w:numId w:val="72"/>
        </w:numPr>
        <w:rPr>
          <w:rFonts w:ascii="Georgia" w:hAnsi="Georgia" w:cs="Arial"/>
        </w:rPr>
      </w:pPr>
      <w:r w:rsidRPr="00FB171D">
        <w:rPr>
          <w:rFonts w:ascii="Georgia" w:hAnsi="Georgia" w:cs="Arial"/>
        </w:rPr>
        <w:t>Computerized Cognitive Testing: These digital platforms (like the Cambridge Brain Sciences battery or BrainHQ) use interactive tasks to assess areas such as memory, attention, processing speed, and executive function. They generate a “brain age” score by comparing your performance to large population norms.</w:t>
      </w:r>
    </w:p>
    <w:p w14:paraId="02ED663B" w14:textId="77777777" w:rsidR="001D6D75" w:rsidRPr="00FB171D" w:rsidRDefault="001D6D75" w:rsidP="00734CAC">
      <w:pPr>
        <w:pStyle w:val="ListParagraph"/>
        <w:numPr>
          <w:ilvl w:val="0"/>
          <w:numId w:val="72"/>
        </w:numPr>
        <w:rPr>
          <w:rFonts w:ascii="Georgia" w:hAnsi="Georgia" w:cs="Arial"/>
        </w:rPr>
      </w:pPr>
      <w:r w:rsidRPr="00FB171D">
        <w:rPr>
          <w:rFonts w:ascii="Georgia" w:hAnsi="Georgia" w:cs="Arial"/>
        </w:rPr>
        <w:t>Pencil-and-Paper Assessments: Traditional neuropsychological tests—often administered in clinics—can estimate brain function and, indirectly, brain age. Examples include the Montreal Cognitive Assessment (MoCA) and Mini-Mental State Examination (MMSE).</w:t>
      </w:r>
    </w:p>
    <w:p w14:paraId="569FC6BB" w14:textId="77777777" w:rsidR="001D6D75" w:rsidRPr="00FB171D" w:rsidRDefault="001D6D75" w:rsidP="00734CAC">
      <w:pPr>
        <w:pStyle w:val="ListParagraph"/>
        <w:numPr>
          <w:ilvl w:val="0"/>
          <w:numId w:val="72"/>
        </w:numPr>
        <w:rPr>
          <w:rFonts w:ascii="Georgia" w:hAnsi="Georgia" w:cs="Arial"/>
        </w:rPr>
      </w:pPr>
      <w:r w:rsidRPr="00FB171D">
        <w:rPr>
          <w:rFonts w:ascii="Georgia" w:hAnsi="Georgia" w:cs="Arial"/>
        </w:rPr>
        <w:t>Online Brain Age Calculators: These tools use a mix of self-report questions and short cognitive tasks to estimate brain age. While convenient, their accuracy can vary based on the algorithms and data used.</w:t>
      </w:r>
    </w:p>
    <w:p w14:paraId="1E2D4BDC" w14:textId="77777777" w:rsidR="00CE5699" w:rsidRPr="00FB171D" w:rsidRDefault="00E85444" w:rsidP="00734CAC">
      <w:pPr>
        <w:pStyle w:val="ListParagraph"/>
        <w:numPr>
          <w:ilvl w:val="0"/>
          <w:numId w:val="72"/>
        </w:numPr>
        <w:rPr>
          <w:rFonts w:ascii="Georgia" w:hAnsi="Georgia" w:cs="Arial"/>
        </w:rPr>
      </w:pPr>
      <w:r w:rsidRPr="00FB171D">
        <w:rPr>
          <w:rFonts w:ascii="Georgia" w:hAnsi="Georgia" w:cs="Arial"/>
        </w:rPr>
        <w:t>In addition to cognitive assessments, routine MRI (Magnetic Resonance Imaging) of the head is playing an increasingly important role in evaluating brain health and estimating brain age. MRI scans offer detailed images that allow clinicians to assess the size and structure of various brain regions, including the hippocampus, cortex, and subcortical areas. Shrinkage (atrophy) in certain regions, particularly the temporal lobes or hippocampus, may indicate a higher risk for memory impairment or neurodegenerative conditions. MRI can also reveal changes in the white matter, the presence of small vessel disease, or silent strokes—findings that often precede symptoms of vascular dementia.</w:t>
      </w:r>
    </w:p>
    <w:p w14:paraId="7486C590" w14:textId="2D33255E" w:rsidR="00E85444" w:rsidRPr="00FB171D" w:rsidRDefault="00E85444" w:rsidP="00734CAC">
      <w:pPr>
        <w:pStyle w:val="ListParagraph"/>
        <w:numPr>
          <w:ilvl w:val="0"/>
          <w:numId w:val="72"/>
        </w:numPr>
        <w:rPr>
          <w:rFonts w:ascii="Georgia" w:hAnsi="Georgia" w:cs="Arial"/>
        </w:rPr>
      </w:pPr>
      <w:r w:rsidRPr="00FB171D">
        <w:rPr>
          <w:rFonts w:ascii="Georgia" w:hAnsi="Georgia" w:cs="Arial"/>
        </w:rPr>
        <w:t>Importantly, MRI can help evaluate the condition of the brain’s blood vessels, detecting microbleeds or narrowing that might contribute to cognitive decline. When combined with clinical assessments and cognitive testing, MRI findings provide a more comprehensive picture of brain aging and help estimate the risk for conditions such as vascular dementia. This approach allows healthcare providers to tailor recommendations and monitor changes over time, potentially identifying modifiable risk factors early on.</w:t>
      </w:r>
    </w:p>
    <w:p w14:paraId="2154A684" w14:textId="77777777" w:rsidR="00C3468A" w:rsidRPr="00FB171D" w:rsidRDefault="00C3468A" w:rsidP="00734CAC">
      <w:pPr>
        <w:pStyle w:val="ListParagraph"/>
        <w:numPr>
          <w:ilvl w:val="0"/>
          <w:numId w:val="72"/>
        </w:numPr>
        <w:rPr>
          <w:rFonts w:ascii="Georgia" w:hAnsi="Georgia" w:cs="Arial"/>
        </w:rPr>
      </w:pPr>
      <w:r w:rsidRPr="00FB171D">
        <w:rPr>
          <w:rFonts w:ascii="Georgia" w:hAnsi="Georgia" w:cs="Arial"/>
        </w:rPr>
        <w:t>Neuroimaging (MRI-based Brain Age): Advanced research centers and some clinics now offer MRI scans processed through AI models to estimate brain age based on structural changes. This method is highly precise but costly and less widely available.</w:t>
      </w:r>
    </w:p>
    <w:p w14:paraId="539CB12C" w14:textId="77777777" w:rsidR="00C3468A" w:rsidRPr="00FB171D" w:rsidRDefault="00C3468A" w:rsidP="00734CAC">
      <w:pPr>
        <w:pStyle w:val="ListParagraph"/>
        <w:numPr>
          <w:ilvl w:val="0"/>
          <w:numId w:val="72"/>
        </w:numPr>
        <w:rPr>
          <w:rFonts w:ascii="Georgia" w:hAnsi="Georgia" w:cs="Arial"/>
        </w:rPr>
      </w:pPr>
    </w:p>
    <w:p w14:paraId="5C42D75A" w14:textId="77777777" w:rsidR="00CE5699" w:rsidRPr="00FB171D" w:rsidRDefault="00CE5699" w:rsidP="00CE5699">
      <w:pPr>
        <w:rPr>
          <w:rFonts w:ascii="Georgia" w:hAnsi="Georgia" w:cs="Arial"/>
        </w:rPr>
      </w:pPr>
    </w:p>
    <w:p w14:paraId="7649D1D9" w14:textId="77777777" w:rsidR="00CE5699" w:rsidRPr="00FB171D" w:rsidRDefault="00CE5699" w:rsidP="00CE5699">
      <w:pPr>
        <w:rPr>
          <w:rFonts w:ascii="Georgia" w:hAnsi="Georgia" w:cs="Arial"/>
        </w:rPr>
      </w:pPr>
    </w:p>
    <w:p w14:paraId="7034DBEF" w14:textId="0A6A7865" w:rsidR="006D5E3D" w:rsidRPr="00FB171D" w:rsidRDefault="00FD7B98" w:rsidP="00A83774">
      <w:pPr>
        <w:pStyle w:val="Heading3"/>
        <w:rPr>
          <w:rFonts w:ascii="Georgia" w:hAnsi="Georgia" w:cs="Arial"/>
        </w:rPr>
      </w:pPr>
      <w:r w:rsidRPr="00FB171D">
        <w:rPr>
          <w:rFonts w:ascii="Georgia" w:hAnsi="Georgia" w:cs="Arial"/>
        </w:rPr>
        <w:t xml:space="preserve"> </w:t>
      </w:r>
      <w:bookmarkStart w:id="82" w:name="_Toc209691116"/>
      <w:r w:rsidRPr="00FB171D">
        <w:rPr>
          <w:rFonts w:ascii="Georgia" w:hAnsi="Georgia" w:cs="Arial"/>
        </w:rPr>
        <w:t>Evaluate genetic risks using whole genome sequencing</w:t>
      </w:r>
      <w:bookmarkEnd w:id="82"/>
    </w:p>
    <w:p w14:paraId="7223AE00" w14:textId="57EF6E50" w:rsidR="00EE1B89" w:rsidRPr="00FB171D" w:rsidRDefault="006D5E3D" w:rsidP="00A84BB3">
      <w:pPr>
        <w:rPr>
          <w:rFonts w:ascii="Georgia" w:hAnsi="Georgia" w:cs="Arial"/>
        </w:rPr>
      </w:pPr>
      <w:r w:rsidRPr="00FB171D">
        <w:rPr>
          <w:rFonts w:ascii="Georgia" w:hAnsi="Georgia" w:cs="Arial"/>
        </w:rPr>
        <w:t>Whole genome sequencing (WGS) is an advanced technology that allows clinicians and researchers to examine an individual’s entire genetic code in remarkable detail. When it comes to assessing dementia risk, WGS can identify inherited variations in specific genes that influence a person’s likelihood of developing certain forms of cognitive decline. This approach provides a more nuanced view of risk—beyond family history—by pinpointing the unique genetic factors at play for each individual.</w:t>
      </w:r>
      <w:r w:rsidR="0075102B" w:rsidRPr="00FB171D">
        <w:rPr>
          <w:rFonts w:ascii="Georgia" w:hAnsi="Georgia" w:cs="Arial"/>
        </w:rPr>
        <w:t xml:space="preserve">  </w:t>
      </w:r>
    </w:p>
    <w:p w14:paraId="1BDE415A" w14:textId="77777777" w:rsidR="00EE1B89" w:rsidRPr="00FB171D" w:rsidRDefault="00EE1B89" w:rsidP="009900DA">
      <w:pPr>
        <w:pStyle w:val="Heading4"/>
        <w:rPr>
          <w:rFonts w:ascii="Georgia" w:hAnsi="Georgia" w:cs="Arial"/>
        </w:rPr>
      </w:pPr>
      <w:r w:rsidRPr="00FB171D">
        <w:rPr>
          <w:rFonts w:ascii="Georgia" w:hAnsi="Georgia" w:cs="Arial"/>
        </w:rPr>
        <w:t>APOE4 Gene</w:t>
      </w:r>
    </w:p>
    <w:p w14:paraId="7EFCC08F" w14:textId="54B34C63" w:rsidR="00A84BB3" w:rsidRPr="00FB171D" w:rsidRDefault="00EE1B89" w:rsidP="00A84BB3">
      <w:pPr>
        <w:rPr>
          <w:rFonts w:ascii="Georgia" w:hAnsi="Georgia" w:cs="Arial"/>
        </w:rPr>
      </w:pPr>
      <w:r w:rsidRPr="00FB171D">
        <w:rPr>
          <w:rFonts w:ascii="Georgia" w:hAnsi="Georgia" w:cs="Arial"/>
        </w:rPr>
        <w:t xml:space="preserve">Testing is especially important to reveal the </w:t>
      </w:r>
      <w:r w:rsidR="00D163F8" w:rsidRPr="00FB171D">
        <w:rPr>
          <w:rFonts w:ascii="Georgia" w:hAnsi="Georgia" w:cs="Arial"/>
        </w:rPr>
        <w:t xml:space="preserve">alleles (type) or ApoE4.  </w:t>
      </w:r>
      <w:r w:rsidR="0075102B" w:rsidRPr="00FB171D">
        <w:rPr>
          <w:rFonts w:ascii="Georgia" w:hAnsi="Georgia" w:cs="Arial"/>
        </w:rPr>
        <w:t xml:space="preserve">This can be done as a separate test or as part of whole genome sequencing.  </w:t>
      </w:r>
      <w:r w:rsidR="00D163F8" w:rsidRPr="00FB171D">
        <w:rPr>
          <w:rFonts w:ascii="Georgia" w:hAnsi="Georgia" w:cs="Arial"/>
        </w:rPr>
        <w:t>The</w:t>
      </w:r>
      <w:r w:rsidR="00A84BB3" w:rsidRPr="00FB171D">
        <w:rPr>
          <w:rFonts w:ascii="Georgia" w:hAnsi="Georgia" w:cs="Arial"/>
        </w:rPr>
        <w:t>APOE gene—particularly its ε4 variant (APOE ε4)—stands out as the strongest common genetic risk factor for late-onset Alzheimer’s disease. Individuals inheriting one copy of the ε4 allele have a higher risk of developing Alzheimer’s compared to those without it; carrying two copies further magnifies this risk and may also accelerate the age at which symptoms first appear.</w:t>
      </w:r>
    </w:p>
    <w:p w14:paraId="2E2A94E8" w14:textId="77777777" w:rsidR="00A84BB3" w:rsidRPr="00FB171D" w:rsidRDefault="00A84BB3" w:rsidP="00A84BB3">
      <w:pPr>
        <w:rPr>
          <w:rFonts w:ascii="Georgia" w:hAnsi="Georgia" w:cs="Arial"/>
        </w:rPr>
      </w:pPr>
      <w:r w:rsidRPr="00FB171D">
        <w:rPr>
          <w:rFonts w:ascii="Georgia" w:hAnsi="Georgia" w:cs="Arial"/>
        </w:rPr>
        <w:t>APOE ε4’s influence extends well beyond amyloid buildup, shaping multiple pathways of brain health and function. At the cellular level, APOE ε4 is less effective at transporting cholesterol and other lipids to neurons, potentially impairing synapse formation and repair. This inefficiency may render neurons more vulnerable to degeneration over time.</w:t>
      </w:r>
    </w:p>
    <w:p w14:paraId="32949952" w14:textId="77777777" w:rsidR="00A84BB3" w:rsidRPr="00FB171D" w:rsidRDefault="00A84BB3" w:rsidP="00A84BB3">
      <w:pPr>
        <w:rPr>
          <w:rFonts w:ascii="Georgia" w:hAnsi="Georgia" w:cs="Arial"/>
        </w:rPr>
      </w:pPr>
      <w:r w:rsidRPr="00FB171D">
        <w:rPr>
          <w:rFonts w:ascii="Georgia" w:hAnsi="Georgia" w:cs="Arial"/>
        </w:rPr>
        <w:t>Crucially, APOE ε4 is also linked to increased vascular risk in the brain. Carriers tend to have a greater propensity for cerebral small vessel disease, which can manifest as white matter changes and microbleeds on MRI. These vascular alterations impair blood flow, nutrient delivery, and waste removal in brain tissue—factors that contribute to cognitive decline independent of amyloid and tau pathology. Moreover, APOE ε4 is associated with compromised integrity of the blood-brain barrier, the essential shield that protects the brain from harmful substances in the blood. When this barrier is weakened, inflammation and toxic exposures are more likely to damage neurons, further exacerbating memory loss and cognitive symptoms.</w:t>
      </w:r>
    </w:p>
    <w:p w14:paraId="3B315953" w14:textId="506AF70D" w:rsidR="003D65D9" w:rsidRPr="00FB171D" w:rsidRDefault="00A84BB3" w:rsidP="00A84BB3">
      <w:pPr>
        <w:rPr>
          <w:rFonts w:ascii="Georgia" w:hAnsi="Georgia" w:cs="Arial"/>
        </w:rPr>
      </w:pPr>
      <w:r w:rsidRPr="00FB171D">
        <w:rPr>
          <w:rFonts w:ascii="Georgia" w:hAnsi="Georgia" w:cs="Arial"/>
        </w:rPr>
        <w:t>Taken together, the effects of APOE ε4 ripple across brain function. These include not only classic Alzheimer’s features such as memory impairment but also slower processing speed, increased risk for vascular dementia, and even subtle changes in mood or attention. Recognizing APOE ε4’s multifaceted role provides a deeper understanding of why brain health is so complex, and highlights the importance of a comprehensive, personalized approach to dementia risk reduction and monitoring.</w:t>
      </w:r>
    </w:p>
    <w:p w14:paraId="5D8A2784" w14:textId="096678B4" w:rsidR="006D5E3D" w:rsidRPr="00FB171D" w:rsidRDefault="006D5E3D" w:rsidP="006D5E3D">
      <w:pPr>
        <w:rPr>
          <w:rFonts w:ascii="Georgia" w:hAnsi="Georgia" w:cs="Arial"/>
        </w:rPr>
      </w:pPr>
      <w:r w:rsidRPr="00FB171D">
        <w:rPr>
          <w:rFonts w:ascii="Georgia" w:hAnsi="Georgia" w:cs="Arial"/>
        </w:rPr>
        <w:t>Other genes, such as PSEN1 and PSEN2 (presenilin 1 and 2), and APP (amyloid precursor protein), are linked to early-onset familial Alzheimer’s disease, though mutations in these genes are rare and typically run in families with a strong history of dementia starting before age 65.</w:t>
      </w:r>
    </w:p>
    <w:p w14:paraId="5FDE932A" w14:textId="77777777" w:rsidR="006D5E3D" w:rsidRPr="00FB171D" w:rsidRDefault="006D5E3D" w:rsidP="006D5E3D">
      <w:pPr>
        <w:rPr>
          <w:rFonts w:ascii="Georgia" w:hAnsi="Georgia" w:cs="Arial"/>
        </w:rPr>
      </w:pPr>
      <w:r w:rsidRPr="00FB171D">
        <w:rPr>
          <w:rFonts w:ascii="Georgia" w:hAnsi="Georgia" w:cs="Arial"/>
        </w:rPr>
        <w:t>WGS can also detect rarer genetic changes associated with other types of dementia. For example, mutations in the MAPT gene (microtubule-associated protein tau) are tied to frontotemporal dementia, while abnormal expansions in the C9orf72 gene are linked to both frontotemporal dementia and amyotrophic lateral sclerosis (ALS). Additionally, certain genetic variants may increase susceptibility to vascular dementia or Lewy body dementia, although these relationships are still being actively researched.</w:t>
      </w:r>
    </w:p>
    <w:p w14:paraId="08083282" w14:textId="20650E34" w:rsidR="00CE5699" w:rsidRPr="00FB171D" w:rsidRDefault="006D5E3D" w:rsidP="006D5E3D">
      <w:pPr>
        <w:rPr>
          <w:rFonts w:ascii="Georgia" w:hAnsi="Georgia" w:cs="Arial"/>
        </w:rPr>
      </w:pPr>
      <w:r w:rsidRPr="00FB171D">
        <w:rPr>
          <w:rFonts w:ascii="Georgia" w:hAnsi="Georgia" w:cs="Arial"/>
        </w:rPr>
        <w:t>Importantly, the presence of a genetic risk factor does not guarantee that someone will develop dementia. Many people with high-risk genes may remain cognitively healthy, while lifestyle and environmental factors also play significant roles in the development of these conditions. Nevertheless, whole genome sequencing can empower individuals and their healthcare providers with actionable knowledge—enabling proactive steps for monitoring, prevention, or participation in clinical trials tailored to their unique genetic profile.</w:t>
      </w:r>
    </w:p>
    <w:p w14:paraId="14E3DF5C" w14:textId="77777777" w:rsidR="009A22EF" w:rsidRPr="00FB171D" w:rsidRDefault="009A22EF" w:rsidP="00634B5A">
      <w:pPr>
        <w:pStyle w:val="Heading3"/>
        <w:rPr>
          <w:rFonts w:ascii="Georgia" w:hAnsi="Georgia" w:cs="Arial"/>
        </w:rPr>
      </w:pPr>
    </w:p>
    <w:p w14:paraId="787B77E5" w14:textId="17730977" w:rsidR="00234955" w:rsidRPr="00FB171D" w:rsidRDefault="00234955" w:rsidP="00A83774">
      <w:pPr>
        <w:pStyle w:val="Heading3"/>
        <w:rPr>
          <w:rFonts w:ascii="Georgia" w:hAnsi="Georgia" w:cs="Arial"/>
        </w:rPr>
      </w:pPr>
      <w:bookmarkStart w:id="83" w:name="_Toc209691117"/>
      <w:r w:rsidRPr="00FB171D">
        <w:rPr>
          <w:rFonts w:ascii="Georgia" w:hAnsi="Georgia" w:cs="Arial"/>
        </w:rPr>
        <w:t>Look at the overall metabolic p</w:t>
      </w:r>
      <w:r w:rsidR="00771B7C" w:rsidRPr="00FB171D">
        <w:rPr>
          <w:rFonts w:ascii="Georgia" w:hAnsi="Georgia" w:cs="Arial"/>
        </w:rPr>
        <w:t>icture to minimize potential causes of trouble</w:t>
      </w:r>
      <w:r w:rsidR="00852631" w:rsidRPr="00FB171D">
        <w:rPr>
          <w:rFonts w:ascii="Georgia" w:hAnsi="Georgia" w:cs="Arial"/>
        </w:rPr>
        <w:t>: lab tests</w:t>
      </w:r>
      <w:bookmarkEnd w:id="83"/>
    </w:p>
    <w:p w14:paraId="3B42EDD0" w14:textId="77777777" w:rsidR="00B148F8" w:rsidRPr="00FB171D" w:rsidRDefault="00B148F8" w:rsidP="00B148F8">
      <w:pPr>
        <w:rPr>
          <w:rFonts w:ascii="Georgia" w:hAnsi="Georgia" w:cs="Arial"/>
        </w:rPr>
      </w:pPr>
      <w:r w:rsidRPr="00FB171D">
        <w:rPr>
          <w:rFonts w:ascii="Georgia" w:hAnsi="Georgia" w:cs="Arial"/>
        </w:rPr>
        <w:t>A crucial but sometimes overlooked dimension in dementia risk is the role of metabolic and toxic factors that may accelerate neuronal damage and cognitive decline. Disruptions in the body’s metabolic balance—such as chronic hyperglycemia seen in diabetes, insulin resistance, or deficiencies in key nutrients like vitamin B12 and folate—can impair brain energy metabolism, hinder cellular repair, and amplify oxidative stress. Inadequate mitochondrial function and diminished levels of NAD (nicotinamide adenine dinucleotide), a critical coenzyme for cellular energy, can further starve neurons of their fuel, making them more vulnerable to degeneration.</w:t>
      </w:r>
    </w:p>
    <w:p w14:paraId="5A5D6AC4" w14:textId="77777777" w:rsidR="00B148F8" w:rsidRPr="00FB171D" w:rsidRDefault="00B148F8" w:rsidP="00B148F8">
      <w:pPr>
        <w:rPr>
          <w:rFonts w:ascii="Georgia" w:hAnsi="Georgia" w:cs="Arial"/>
        </w:rPr>
      </w:pPr>
      <w:r w:rsidRPr="00FB171D">
        <w:rPr>
          <w:rFonts w:ascii="Georgia" w:hAnsi="Georgia" w:cs="Arial"/>
        </w:rPr>
        <w:t>On the toxic front, cumulative exposure to environmental toxins—heavy metals like lead or mercury, pesticides, industrial chemicals, or even chronic air pollution—can induce inflammation, disrupt neurotransmitter systems, and damage the blood-brain barrier. Excessive alcohol consumption, recreational drugs, and certain prescription medications may also contribute to neuronal loss, especially when compounded by pre-existing vulnerabilities.</w:t>
      </w:r>
    </w:p>
    <w:p w14:paraId="2281B8C3" w14:textId="77777777" w:rsidR="00B148F8" w:rsidRPr="00FB171D" w:rsidRDefault="00B148F8" w:rsidP="00B148F8">
      <w:pPr>
        <w:rPr>
          <w:rFonts w:ascii="Georgia" w:hAnsi="Georgia" w:cs="Arial"/>
        </w:rPr>
      </w:pPr>
      <w:r w:rsidRPr="00FB171D">
        <w:rPr>
          <w:rFonts w:ascii="Georgia" w:hAnsi="Georgia" w:cs="Arial"/>
        </w:rPr>
        <w:t>Chronic inflammation, often fueled by metabolic syndrome, obesity, or persistent infections, plays a pivotal role as well: pro-inflammatory cytokines can cross into the brain, triggering microglial activation and accelerating amyloid and tau pathology. Advanced glycation end-products (AGEs), arising from prolonged elevated blood sugar or highly processed diets, stiffen blood vessels and injure brain tissue, undermining both vascular and neuronal integrity.</w:t>
      </w:r>
    </w:p>
    <w:p w14:paraId="0EE0DBD5" w14:textId="66A351B0" w:rsidR="00771B7C" w:rsidRPr="00FB171D" w:rsidRDefault="00B148F8" w:rsidP="00B148F8">
      <w:pPr>
        <w:rPr>
          <w:rFonts w:ascii="Georgia" w:hAnsi="Georgia" w:cs="Arial"/>
        </w:rPr>
      </w:pPr>
      <w:r w:rsidRPr="00FB171D">
        <w:rPr>
          <w:rFonts w:ascii="Georgia" w:hAnsi="Georgia" w:cs="Arial"/>
        </w:rPr>
        <w:t>Addressing these factors through dietary modification, management of chronic health conditions, reducing exposure to toxins, and supporting metabolic health lays a vital foundation for dementia prevention.</w:t>
      </w:r>
    </w:p>
    <w:p w14:paraId="4E44C4E7" w14:textId="77777777" w:rsidR="009B387E" w:rsidRPr="00FB171D" w:rsidRDefault="009B387E" w:rsidP="00B148F8">
      <w:pPr>
        <w:rPr>
          <w:rFonts w:ascii="Georgia" w:hAnsi="Georgia" w:cs="Arial"/>
        </w:rPr>
      </w:pPr>
    </w:p>
    <w:p w14:paraId="59EF69BF" w14:textId="6328BD0D" w:rsidR="00B21B3C" w:rsidRPr="00FB171D" w:rsidRDefault="00B21B3C" w:rsidP="00A83774">
      <w:pPr>
        <w:pStyle w:val="Heading2"/>
        <w:rPr>
          <w:rFonts w:ascii="Georgia" w:hAnsi="Georgia" w:cs="Arial"/>
        </w:rPr>
      </w:pPr>
      <w:bookmarkStart w:id="84" w:name="_Toc209691118"/>
      <w:r w:rsidRPr="00FB171D">
        <w:rPr>
          <w:rFonts w:ascii="Georgia" w:hAnsi="Georgia" w:cs="Arial"/>
        </w:rPr>
        <w:t>Treatment</w:t>
      </w:r>
      <w:bookmarkEnd w:id="84"/>
    </w:p>
    <w:p w14:paraId="3AA6EC3B" w14:textId="61CA845D" w:rsidR="00ED3A3F" w:rsidRPr="00FB171D" w:rsidRDefault="00ED3A3F" w:rsidP="00ED3A3F">
      <w:pPr>
        <w:rPr>
          <w:rFonts w:ascii="Georgia" w:hAnsi="Georgia" w:cs="Arial"/>
        </w:rPr>
      </w:pPr>
      <w:r w:rsidRPr="00FB171D">
        <w:rPr>
          <w:rFonts w:ascii="Georgia" w:hAnsi="Georgia" w:cs="Arial"/>
        </w:rPr>
        <w:t>Now that we have made a diagnosis, we turn to treatment.  Treatment involves various s</w:t>
      </w:r>
      <w:r w:rsidR="00D813F4" w:rsidRPr="00FB171D">
        <w:rPr>
          <w:rFonts w:ascii="Georgia" w:hAnsi="Georgia" w:cs="Arial"/>
        </w:rPr>
        <w:t>trategies:</w:t>
      </w:r>
    </w:p>
    <w:p w14:paraId="69B07E75" w14:textId="77777777" w:rsidR="00FF307E" w:rsidRPr="00FB171D" w:rsidRDefault="00FF307E" w:rsidP="00734CAC">
      <w:pPr>
        <w:pStyle w:val="ListParagraph"/>
        <w:numPr>
          <w:ilvl w:val="0"/>
          <w:numId w:val="91"/>
        </w:numPr>
        <w:rPr>
          <w:rFonts w:ascii="Georgia" w:hAnsi="Georgia" w:cs="Arial"/>
        </w:rPr>
      </w:pPr>
      <w:r w:rsidRPr="00FB171D">
        <w:rPr>
          <w:rFonts w:ascii="Georgia" w:hAnsi="Georgia" w:cs="Arial"/>
        </w:rPr>
        <w:t>Preservation of the number of neurons</w:t>
      </w:r>
    </w:p>
    <w:p w14:paraId="25942912" w14:textId="77777777" w:rsidR="00FF307E" w:rsidRPr="00FB171D" w:rsidRDefault="00FF307E" w:rsidP="00734CAC">
      <w:pPr>
        <w:pStyle w:val="ListParagraph"/>
        <w:numPr>
          <w:ilvl w:val="0"/>
          <w:numId w:val="91"/>
        </w:numPr>
        <w:rPr>
          <w:rFonts w:ascii="Georgia" w:hAnsi="Georgia" w:cs="Arial"/>
        </w:rPr>
      </w:pPr>
      <w:r w:rsidRPr="00FB171D">
        <w:rPr>
          <w:rFonts w:ascii="Georgia" w:hAnsi="Georgia" w:cs="Arial"/>
        </w:rPr>
        <w:t>Optimizing the circulation to the brain</w:t>
      </w:r>
    </w:p>
    <w:p w14:paraId="62291891" w14:textId="77777777" w:rsidR="00FF307E" w:rsidRPr="00FB171D" w:rsidRDefault="00FF307E" w:rsidP="00734CAC">
      <w:pPr>
        <w:pStyle w:val="ListParagraph"/>
        <w:numPr>
          <w:ilvl w:val="0"/>
          <w:numId w:val="91"/>
        </w:numPr>
        <w:rPr>
          <w:rFonts w:ascii="Georgia" w:hAnsi="Georgia" w:cs="Arial"/>
        </w:rPr>
      </w:pPr>
      <w:r w:rsidRPr="00FB171D">
        <w:rPr>
          <w:rFonts w:ascii="Georgia" w:hAnsi="Georgia" w:cs="Arial"/>
        </w:rPr>
        <w:t>Increasing the richness of synaptic connections</w:t>
      </w:r>
    </w:p>
    <w:p w14:paraId="4CEC7EF4" w14:textId="77777777" w:rsidR="00FF307E" w:rsidRPr="00FB171D" w:rsidRDefault="00FF307E" w:rsidP="00734CAC">
      <w:pPr>
        <w:pStyle w:val="ListParagraph"/>
        <w:numPr>
          <w:ilvl w:val="0"/>
          <w:numId w:val="91"/>
        </w:numPr>
        <w:rPr>
          <w:rFonts w:ascii="Georgia" w:hAnsi="Georgia" w:cs="Arial"/>
        </w:rPr>
      </w:pPr>
      <w:r w:rsidRPr="00FB171D">
        <w:rPr>
          <w:rFonts w:ascii="Georgia" w:hAnsi="Georgia" w:cs="Arial"/>
        </w:rPr>
        <w:t>Optimizing the metabolic environment in the brain</w:t>
      </w:r>
    </w:p>
    <w:p w14:paraId="4F3CE769" w14:textId="7E20D731" w:rsidR="00820454" w:rsidRPr="00FB171D" w:rsidRDefault="00FF307E" w:rsidP="00734CAC">
      <w:pPr>
        <w:pStyle w:val="ListParagraph"/>
        <w:numPr>
          <w:ilvl w:val="0"/>
          <w:numId w:val="91"/>
        </w:numPr>
        <w:rPr>
          <w:rFonts w:ascii="Georgia" w:hAnsi="Georgia" w:cs="Arial"/>
        </w:rPr>
      </w:pPr>
      <w:r w:rsidRPr="00FB171D">
        <w:rPr>
          <w:rFonts w:ascii="Georgia" w:hAnsi="Georgia" w:cs="Arial"/>
        </w:rPr>
        <w:t>Reducing inflammation in the brain</w:t>
      </w:r>
    </w:p>
    <w:p w14:paraId="5CDD0813" w14:textId="268BBBC9" w:rsidR="00820454" w:rsidRPr="00FB171D" w:rsidRDefault="00820454" w:rsidP="00ED3A3F">
      <w:pPr>
        <w:rPr>
          <w:rFonts w:ascii="Georgia" w:hAnsi="Georgia" w:cs="Arial"/>
        </w:rPr>
      </w:pPr>
      <w:r w:rsidRPr="00FB171D">
        <w:rPr>
          <w:rFonts w:ascii="Georgia" w:hAnsi="Georgia" w:cs="Arial"/>
        </w:rPr>
        <w:tab/>
      </w:r>
    </w:p>
    <w:p w14:paraId="16E5A75C" w14:textId="30E22B3B" w:rsidR="00B72A55" w:rsidRPr="00FB171D" w:rsidRDefault="00B72A55" w:rsidP="00A83774">
      <w:pPr>
        <w:pStyle w:val="Heading3"/>
        <w:rPr>
          <w:rFonts w:ascii="Georgia" w:hAnsi="Georgia" w:cs="Arial"/>
        </w:rPr>
      </w:pPr>
      <w:bookmarkStart w:id="85" w:name="_Toc209691119"/>
      <w:r w:rsidRPr="00FB171D">
        <w:rPr>
          <w:rFonts w:ascii="Georgia" w:hAnsi="Georgia" w:cs="Arial"/>
        </w:rPr>
        <w:t>Minimizing Causes of Neuronal Cell Loss</w:t>
      </w:r>
      <w:bookmarkEnd w:id="85"/>
    </w:p>
    <w:p w14:paraId="4EDB96F7" w14:textId="1BD9CEA4" w:rsidR="00B72A55" w:rsidRPr="00FB171D" w:rsidRDefault="007A30DB" w:rsidP="00B72A55">
      <w:pPr>
        <w:rPr>
          <w:rFonts w:ascii="Georgia" w:hAnsi="Georgia" w:cs="Arial"/>
        </w:rPr>
      </w:pPr>
      <w:r w:rsidRPr="00FB171D">
        <w:rPr>
          <w:rFonts w:ascii="Georgia" w:hAnsi="Georgia" w:cs="Arial"/>
        </w:rPr>
        <w:t>As we learn</w:t>
      </w:r>
      <w:r w:rsidR="00272534" w:rsidRPr="00FB171D">
        <w:rPr>
          <w:rFonts w:ascii="Georgia" w:hAnsi="Georgia" w:cs="Arial"/>
        </w:rPr>
        <w:t>e</w:t>
      </w:r>
      <w:r w:rsidRPr="00FB171D">
        <w:rPr>
          <w:rFonts w:ascii="Georgia" w:hAnsi="Georgia" w:cs="Arial"/>
        </w:rPr>
        <w:t>d above</w:t>
      </w:r>
      <w:r w:rsidR="008F1B66" w:rsidRPr="00FB171D">
        <w:rPr>
          <w:rFonts w:ascii="Georgia" w:hAnsi="Georgia" w:cs="Arial"/>
        </w:rPr>
        <w:t>, neurons are irreplaceable, and so p</w:t>
      </w:r>
      <w:r w:rsidR="00B72A55" w:rsidRPr="00FB171D">
        <w:rPr>
          <w:rFonts w:ascii="Georgia" w:hAnsi="Georgia" w:cs="Arial"/>
        </w:rPr>
        <w:t xml:space="preserve">reventing neuronal cell loss is a cornerstone of brain health and dementia risk reduction. </w:t>
      </w:r>
      <w:r w:rsidR="00272534" w:rsidRPr="00FB171D">
        <w:rPr>
          <w:rFonts w:ascii="Georgia" w:hAnsi="Georgia" w:cs="Arial"/>
        </w:rPr>
        <w:t>Once the ne</w:t>
      </w:r>
      <w:r w:rsidR="00C64420" w:rsidRPr="00FB171D">
        <w:rPr>
          <w:rFonts w:ascii="Georgia" w:hAnsi="Georgia" w:cs="Arial"/>
        </w:rPr>
        <w:t xml:space="preserve">urons die, they stay dead, and we have no current therapies that can change this.  </w:t>
      </w:r>
      <w:r w:rsidR="00B72A55" w:rsidRPr="00FB171D">
        <w:rPr>
          <w:rFonts w:ascii="Georgia" w:hAnsi="Georgia" w:cs="Arial"/>
        </w:rPr>
        <w:t>Several strategies and interventions have emerged from both scientific research and clinical practice:</w:t>
      </w:r>
    </w:p>
    <w:p w14:paraId="4E5663A6" w14:textId="77777777" w:rsidR="00EE6A30" w:rsidRPr="00FB171D" w:rsidRDefault="00EE6A30" w:rsidP="00A83774">
      <w:pPr>
        <w:pStyle w:val="Heading4"/>
        <w:rPr>
          <w:rFonts w:ascii="Georgia" w:hAnsi="Georgia" w:cs="Arial"/>
        </w:rPr>
      </w:pPr>
      <w:r w:rsidRPr="00FB171D">
        <w:rPr>
          <w:rFonts w:ascii="Georgia" w:hAnsi="Georgia" w:cs="Arial"/>
        </w:rPr>
        <w:t>Avoid rapid loss of many neurons at once:</w:t>
      </w:r>
    </w:p>
    <w:p w14:paraId="4A53B2B3" w14:textId="2703C0FA" w:rsidR="0032494B" w:rsidRPr="00FB171D" w:rsidRDefault="00EE6A30" w:rsidP="00734CAC">
      <w:pPr>
        <w:pStyle w:val="ListParagraph"/>
        <w:numPr>
          <w:ilvl w:val="1"/>
          <w:numId w:val="74"/>
        </w:numPr>
        <w:rPr>
          <w:rFonts w:ascii="Georgia" w:hAnsi="Georgia" w:cs="Arial"/>
        </w:rPr>
      </w:pPr>
      <w:r w:rsidRPr="00FB171D">
        <w:rPr>
          <w:rFonts w:ascii="Georgia" w:hAnsi="Georgia" w:cs="Arial"/>
        </w:rPr>
        <w:t>Stroke</w:t>
      </w:r>
      <w:r w:rsidR="00954CD9" w:rsidRPr="00FB171D">
        <w:rPr>
          <w:rFonts w:ascii="Georgia" w:hAnsi="Georgia" w:cs="Arial"/>
        </w:rPr>
        <w:t xml:space="preserve">: we want to make sure to avoid stroke of all kinds.   </w:t>
      </w:r>
      <w:r w:rsidR="00C74996" w:rsidRPr="00FB171D">
        <w:rPr>
          <w:rFonts w:ascii="Georgia" w:hAnsi="Georgia" w:cs="Arial"/>
        </w:rPr>
        <w:t xml:space="preserve">Stroke is </w:t>
      </w:r>
      <w:r w:rsidR="0032494B" w:rsidRPr="00FB171D">
        <w:rPr>
          <w:rFonts w:ascii="Georgia" w:hAnsi="Georgia" w:cs="Arial"/>
        </w:rPr>
        <w:t xml:space="preserve">one of the most significant threats because it can cause the rapid loss of millions of neurons in a </w:t>
      </w:r>
      <w:r w:rsidR="00C74996" w:rsidRPr="00FB171D">
        <w:rPr>
          <w:rFonts w:ascii="Georgia" w:hAnsi="Georgia" w:cs="Arial"/>
        </w:rPr>
        <w:t>minutes</w:t>
      </w:r>
      <w:r w:rsidR="0032494B" w:rsidRPr="00FB171D">
        <w:rPr>
          <w:rFonts w:ascii="Georgia" w:hAnsi="Georgia" w:cs="Arial"/>
        </w:rPr>
        <w:t>. Prevention strategies are paramount. First, it is crucial to control major vascular risk factors: maintaining healthy blood pressure, managing atrial fibrillation, and controlling diabetes can all decrease the likelihood of both ischemic and hemorrhagic strokes. Regular cardiovascular screenings and prompt treatment of any detected abnormalities, such as carotid artery disease, also reduce stroke risk. Lifestyle measures play a vital role: adopting a heart-healthy diet low in saturated fat and salt, abstaining from smoking, moderating alcohol consumption, and engaging in regular physical activity all contribute to vascular resilience.</w:t>
      </w:r>
    </w:p>
    <w:p w14:paraId="03D5149A" w14:textId="7AD31904" w:rsidR="00D02B7A" w:rsidRPr="00FB171D" w:rsidRDefault="00D02B7A" w:rsidP="00734CAC">
      <w:pPr>
        <w:pStyle w:val="ListParagraph"/>
        <w:numPr>
          <w:ilvl w:val="1"/>
          <w:numId w:val="74"/>
        </w:numPr>
        <w:rPr>
          <w:rFonts w:ascii="Georgia" w:hAnsi="Georgia" w:cs="Arial"/>
        </w:rPr>
      </w:pPr>
      <w:r w:rsidRPr="00FB171D">
        <w:rPr>
          <w:rFonts w:ascii="Georgia" w:hAnsi="Georgia" w:cs="Arial"/>
        </w:rPr>
        <w:t>Equally important is the prevention of head trauma, as traumatic injuries can also cause sudden and irreversible loss</w:t>
      </w:r>
      <w:r w:rsidR="003C525A" w:rsidRPr="00FB171D">
        <w:rPr>
          <w:rFonts w:ascii="Georgia" w:hAnsi="Georgia" w:cs="Arial"/>
        </w:rPr>
        <w:t xml:space="preserve"> of large numbers of neurons</w:t>
      </w:r>
      <w:r w:rsidRPr="00FB171D">
        <w:rPr>
          <w:rFonts w:ascii="Georgia" w:hAnsi="Georgia" w:cs="Arial"/>
        </w:rPr>
        <w:t xml:space="preserve">. Simple interventions—such as wearing seatbelts, using protective </w:t>
      </w:r>
      <w:r w:rsidR="0092533A" w:rsidRPr="00FB171D">
        <w:rPr>
          <w:rFonts w:ascii="Georgia" w:hAnsi="Georgia" w:cs="Arial"/>
        </w:rPr>
        <w:t>helmets</w:t>
      </w:r>
      <w:r w:rsidRPr="00FB171D">
        <w:rPr>
          <w:rFonts w:ascii="Georgia" w:hAnsi="Georgia" w:cs="Arial"/>
        </w:rPr>
        <w:t xml:space="preserve"> during sports, and implementing fall prevention strategies in older adults—can significantly reduce the risk.</w:t>
      </w:r>
    </w:p>
    <w:p w14:paraId="5B7860C2" w14:textId="6DE240E2" w:rsidR="00B72A55" w:rsidRPr="00FB171D" w:rsidRDefault="00B72A55" w:rsidP="00D02B7A">
      <w:pPr>
        <w:pStyle w:val="ListParagraph"/>
        <w:ind w:left="1440"/>
        <w:rPr>
          <w:rFonts w:ascii="Georgia" w:hAnsi="Georgia" w:cs="Arial"/>
        </w:rPr>
      </w:pPr>
    </w:p>
    <w:p w14:paraId="5AA6864E" w14:textId="366770DE" w:rsidR="00F92F8D" w:rsidRPr="00FB171D" w:rsidRDefault="00C64420" w:rsidP="00A83774">
      <w:pPr>
        <w:pStyle w:val="Heading4"/>
        <w:rPr>
          <w:rFonts w:ascii="Georgia" w:hAnsi="Georgia" w:cs="Arial"/>
        </w:rPr>
      </w:pPr>
      <w:r w:rsidRPr="00FB171D">
        <w:rPr>
          <w:rFonts w:ascii="Georgia" w:hAnsi="Georgia" w:cs="Arial"/>
        </w:rPr>
        <w:t xml:space="preserve">Avoiding </w:t>
      </w:r>
      <w:r w:rsidR="00F92F8D" w:rsidRPr="00FB171D">
        <w:rPr>
          <w:rFonts w:ascii="Georgia" w:hAnsi="Georgia" w:cs="Arial"/>
        </w:rPr>
        <w:t>attrition of the brain with gradual loss of neurons</w:t>
      </w:r>
    </w:p>
    <w:p w14:paraId="354D43E5" w14:textId="77777777" w:rsidR="00F64A22" w:rsidRPr="00FB171D" w:rsidRDefault="00F64A22" w:rsidP="00F64A22">
      <w:pPr>
        <w:rPr>
          <w:rFonts w:ascii="Georgia" w:hAnsi="Georgia" w:cs="Arial"/>
        </w:rPr>
      </w:pPr>
      <w:r w:rsidRPr="00FB171D">
        <w:rPr>
          <w:rFonts w:ascii="Georgia" w:hAnsi="Georgia" w:cs="Arial"/>
        </w:rPr>
        <w:t>Whereas sudden events like stroke or head trauma may cause immediate and dramatic neuronal loss, more insidious threats to brain health arise from the slow, ongoing attrition of neurons over years or decades. Preventing this gradual decline relies on a multifaceted, proactive approach that addresses the underlying processes contributing to neuronal vulnerability.</w:t>
      </w:r>
    </w:p>
    <w:p w14:paraId="69D038CE" w14:textId="77777777" w:rsidR="00F64A22" w:rsidRPr="00FB171D" w:rsidRDefault="00F64A22" w:rsidP="00F64A22">
      <w:pPr>
        <w:rPr>
          <w:rFonts w:ascii="Georgia" w:hAnsi="Georgia" w:cs="Arial"/>
        </w:rPr>
      </w:pPr>
      <w:r w:rsidRPr="00FB171D">
        <w:rPr>
          <w:rFonts w:ascii="Georgia" w:hAnsi="Georgia" w:cs="Arial"/>
        </w:rPr>
        <w:t>Foremost, long-term management of vascular and metabolic risk factors is essential. Chronic conditions such as hypertension, diabetes, and hyperlipidemia expose neurons to repeated insults that, over time, can erode their resilience and function. Consistently attending to these conditions—through regular medical care, medication adherence, and lifestyle modifications—forms the bedrock of neuroprotection.</w:t>
      </w:r>
    </w:p>
    <w:p w14:paraId="72204EDE" w14:textId="77777777" w:rsidR="00F64A22" w:rsidRPr="00FB171D" w:rsidRDefault="00F64A22" w:rsidP="00F64A22">
      <w:pPr>
        <w:rPr>
          <w:rFonts w:ascii="Georgia" w:hAnsi="Georgia" w:cs="Arial"/>
        </w:rPr>
      </w:pPr>
      <w:r w:rsidRPr="00FB171D">
        <w:rPr>
          <w:rFonts w:ascii="Georgia" w:hAnsi="Georgia" w:cs="Arial"/>
        </w:rPr>
        <w:t>Equally vital is the cultivation of an anti-inflammatory lifestyle. Chronic low-grade inflammation, often fueled by poor diet, sedentary habits, uncontrolled weight, and unmanaged infections, acts as a silent architect of neurodegeneration. Adopting a nutrient-rich diet abundant in fruits, vegetables, healthy fats, and lean proteins, alongside routine physical activity, supports immune balance and helps dampen this smoldering inflammation.</w:t>
      </w:r>
    </w:p>
    <w:p w14:paraId="7FF7AA05" w14:textId="77777777" w:rsidR="00F64A22" w:rsidRPr="00FB171D" w:rsidRDefault="00F64A22" w:rsidP="00F64A22">
      <w:pPr>
        <w:rPr>
          <w:rFonts w:ascii="Georgia" w:hAnsi="Georgia" w:cs="Arial"/>
        </w:rPr>
      </w:pPr>
      <w:r w:rsidRPr="00FB171D">
        <w:rPr>
          <w:rFonts w:ascii="Georgia" w:hAnsi="Georgia" w:cs="Arial"/>
        </w:rPr>
        <w:t>Environmental exposures add another dimension to gradual neuronal loss. Over time, minute exposures to toxins such as heavy metals, pesticides, and industrial pollutants may accumulate, subtly impairing neuronal health. Practicing environmental mindfulness—choosing clean food and water sources, minimizing unnecessary chemical exposures, and avoiding excessive alcohol and recreational drug use—can reduce this slow, toxic drip.</w:t>
      </w:r>
    </w:p>
    <w:p w14:paraId="2E47F7AF" w14:textId="77777777" w:rsidR="00F64A22" w:rsidRPr="00FB171D" w:rsidRDefault="00F64A22" w:rsidP="00F64A22">
      <w:pPr>
        <w:rPr>
          <w:rFonts w:ascii="Georgia" w:hAnsi="Georgia" w:cs="Arial"/>
        </w:rPr>
      </w:pPr>
      <w:r w:rsidRPr="00FB171D">
        <w:rPr>
          <w:rFonts w:ascii="Georgia" w:hAnsi="Georgia" w:cs="Arial"/>
        </w:rPr>
        <w:t>Finally, supporting the brain’s intrinsic defenses amplifies its ability to withstand age-related attrition. Ensuring optimal levels of key nutrients, particularly B vitamins and antioxidants, fortifies neuronal metabolism and counters oxidative stress. Cognitive engagement, sustained social connection, restorative sleep, and stress management have all been shown to foster neural plasticity and resilience, further buffering the brain against the gradual tide of neuronal loss.</w:t>
      </w:r>
    </w:p>
    <w:p w14:paraId="69AB6FE8" w14:textId="54CF42F1" w:rsidR="00851ED6" w:rsidRPr="00FB171D" w:rsidRDefault="00F64A22" w:rsidP="00F64A22">
      <w:pPr>
        <w:rPr>
          <w:rFonts w:ascii="Georgia" w:hAnsi="Georgia" w:cs="Arial"/>
        </w:rPr>
      </w:pPr>
      <w:r w:rsidRPr="00FB171D">
        <w:rPr>
          <w:rFonts w:ascii="Georgia" w:hAnsi="Georgia" w:cs="Arial"/>
        </w:rPr>
        <w:t>Managing Metabolic and Vascular Health: Maintaining normal blood sugar (euglycemia), treating insulin resistance or diabetes, lowering blood pressure, and ensuring good cholesterol levels all protect neurons from vascular and metabolic insults.</w:t>
      </w:r>
    </w:p>
    <w:p w14:paraId="2B9DB5FF" w14:textId="53958CD6" w:rsidR="00B72A55" w:rsidRPr="00FB171D" w:rsidRDefault="00B72A55" w:rsidP="00A83774">
      <w:pPr>
        <w:pStyle w:val="Heading3"/>
        <w:rPr>
          <w:rFonts w:ascii="Georgia" w:hAnsi="Georgia" w:cs="Arial"/>
        </w:rPr>
      </w:pPr>
      <w:bookmarkStart w:id="86" w:name="_Toc209691120"/>
      <w:r w:rsidRPr="00FB171D">
        <w:rPr>
          <w:rFonts w:ascii="Georgia" w:hAnsi="Georgia" w:cs="Arial"/>
        </w:rPr>
        <w:t>Validated Neuroprotective Treatments and Medications</w:t>
      </w:r>
      <w:bookmarkEnd w:id="86"/>
    </w:p>
    <w:p w14:paraId="5CE9CD7F" w14:textId="77777777" w:rsidR="00B72A55" w:rsidRPr="00FB171D" w:rsidRDefault="00B72A55" w:rsidP="00B72A55">
      <w:pPr>
        <w:rPr>
          <w:rFonts w:ascii="Georgia" w:hAnsi="Georgia" w:cs="Arial"/>
        </w:rPr>
      </w:pPr>
      <w:r w:rsidRPr="00FB171D">
        <w:rPr>
          <w:rFonts w:ascii="Georgia" w:hAnsi="Georgia" w:cs="Arial"/>
        </w:rPr>
        <w:t>The search for neuroprotective agents—treatments that can directly protect neurons from degeneration—has been a major focus of neurological research. Here is an overview of current knowledge:</w:t>
      </w:r>
    </w:p>
    <w:p w14:paraId="216DCD3F" w14:textId="77777777" w:rsidR="00B72A55" w:rsidRPr="00FB171D" w:rsidRDefault="00B72A55" w:rsidP="00F7648E">
      <w:pPr>
        <w:pStyle w:val="Heading4"/>
        <w:rPr>
          <w:rFonts w:ascii="Georgia" w:hAnsi="Georgia" w:cs="Arial"/>
        </w:rPr>
      </w:pPr>
      <w:r w:rsidRPr="00FB171D">
        <w:rPr>
          <w:rFonts w:ascii="Georgia" w:hAnsi="Georgia" w:cs="Arial"/>
        </w:rPr>
        <w:t>Medications with Neuroprotective Effects</w:t>
      </w:r>
    </w:p>
    <w:p w14:paraId="02D32A99" w14:textId="77777777" w:rsidR="00B72A55" w:rsidRPr="00FB171D" w:rsidRDefault="00B72A55" w:rsidP="00734CAC">
      <w:pPr>
        <w:pStyle w:val="ListParagraph"/>
        <w:numPr>
          <w:ilvl w:val="0"/>
          <w:numId w:val="75"/>
        </w:numPr>
        <w:rPr>
          <w:rFonts w:ascii="Georgia" w:hAnsi="Georgia" w:cs="Arial"/>
        </w:rPr>
      </w:pPr>
      <w:r w:rsidRPr="00FB171D">
        <w:rPr>
          <w:rFonts w:ascii="Georgia" w:hAnsi="Georgia" w:cs="Arial"/>
        </w:rPr>
        <w:t>Cholinesterase Inhibitors (Donepezil, Rivastigmine, Galantamine): Widely prescribed for Alzheimer’s disease, these drugs can slow the progression of symptoms in some individuals by increasing acetylcholine levels. While not strictly “neuroprotective,” they can help maintain function for a time.</w:t>
      </w:r>
    </w:p>
    <w:p w14:paraId="28D6FCCC" w14:textId="77777777" w:rsidR="00B72A55" w:rsidRPr="00FB171D" w:rsidRDefault="00B72A55" w:rsidP="00734CAC">
      <w:pPr>
        <w:pStyle w:val="ListParagraph"/>
        <w:numPr>
          <w:ilvl w:val="0"/>
          <w:numId w:val="75"/>
        </w:numPr>
        <w:rPr>
          <w:rFonts w:ascii="Georgia" w:hAnsi="Georgia" w:cs="Arial"/>
        </w:rPr>
      </w:pPr>
      <w:r w:rsidRPr="00FB171D">
        <w:rPr>
          <w:rFonts w:ascii="Georgia" w:hAnsi="Georgia" w:cs="Arial"/>
        </w:rPr>
        <w:t>Memantine: This NMDA receptor antagonist is approved for moderate-to-severe Alzheimer’s and may offer some protection by reducing excitotoxicity (overstimulation that damages neurons).</w:t>
      </w:r>
    </w:p>
    <w:p w14:paraId="197115A8" w14:textId="77777777" w:rsidR="00B72A55" w:rsidRPr="00FB171D" w:rsidRDefault="00B72A55" w:rsidP="00734CAC">
      <w:pPr>
        <w:pStyle w:val="ListParagraph"/>
        <w:numPr>
          <w:ilvl w:val="0"/>
          <w:numId w:val="75"/>
        </w:numPr>
        <w:rPr>
          <w:rFonts w:ascii="Georgia" w:hAnsi="Georgia" w:cs="Arial"/>
        </w:rPr>
      </w:pPr>
      <w:r w:rsidRPr="00FB171D">
        <w:rPr>
          <w:rFonts w:ascii="Georgia" w:hAnsi="Georgia" w:cs="Arial"/>
        </w:rPr>
        <w:t>Management of Vascular Risk Factors: Controlling hypertension, diabetes, and cholesterol with medications reduces the risk of vascular dementia and slows progression in mixed dementias.</w:t>
      </w:r>
    </w:p>
    <w:p w14:paraId="441383FD" w14:textId="77777777" w:rsidR="00B72A55" w:rsidRPr="00FB171D" w:rsidRDefault="00B72A55" w:rsidP="00F7648E">
      <w:pPr>
        <w:pStyle w:val="Heading4"/>
        <w:rPr>
          <w:rFonts w:ascii="Georgia" w:hAnsi="Georgia" w:cs="Arial"/>
        </w:rPr>
      </w:pPr>
      <w:r w:rsidRPr="00FB171D">
        <w:rPr>
          <w:rFonts w:ascii="Georgia" w:hAnsi="Georgia" w:cs="Arial"/>
        </w:rPr>
        <w:t>Emerging and Experimental Neuroprotective Approaches</w:t>
      </w:r>
    </w:p>
    <w:p w14:paraId="22A09DC8" w14:textId="77777777" w:rsidR="00B72A55" w:rsidRPr="00FB171D" w:rsidRDefault="00B72A55" w:rsidP="00734CAC">
      <w:pPr>
        <w:pStyle w:val="ListParagraph"/>
        <w:numPr>
          <w:ilvl w:val="0"/>
          <w:numId w:val="76"/>
        </w:numPr>
        <w:rPr>
          <w:rFonts w:ascii="Georgia" w:hAnsi="Georgia" w:cs="Arial"/>
        </w:rPr>
      </w:pPr>
      <w:r w:rsidRPr="00FB171D">
        <w:rPr>
          <w:rFonts w:ascii="Georgia" w:hAnsi="Georgia" w:cs="Arial"/>
        </w:rPr>
        <w:t>Antioxidants and Mitochondrial Support: Supplements like vitamin E, coenzyme Q10, and agents supporting NAD levels (e.g., nicotinamide riboside) have shown some neuroprotective promise in preclinical or small clinical studies, but robust evidence for routine use is still lacking.</w:t>
      </w:r>
    </w:p>
    <w:p w14:paraId="5C954251" w14:textId="4C28C641" w:rsidR="00B72A55" w:rsidRPr="00FB171D" w:rsidRDefault="00B72A55" w:rsidP="00734CAC">
      <w:pPr>
        <w:pStyle w:val="ListParagraph"/>
        <w:numPr>
          <w:ilvl w:val="0"/>
          <w:numId w:val="76"/>
        </w:numPr>
        <w:rPr>
          <w:rFonts w:ascii="Georgia" w:hAnsi="Georgia" w:cs="Arial"/>
        </w:rPr>
      </w:pPr>
      <w:r w:rsidRPr="00FB171D">
        <w:rPr>
          <w:rFonts w:ascii="Georgia" w:hAnsi="Georgia" w:cs="Arial"/>
        </w:rPr>
        <w:t>Anti-inflammatory Agents: Non-steroidal anti-inflammatory drugs (NSAIDs) and other anti-inflammatory compounds</w:t>
      </w:r>
      <w:r w:rsidR="00893D01" w:rsidRPr="00FB171D">
        <w:rPr>
          <w:rFonts w:ascii="Georgia" w:hAnsi="Georgia" w:cs="Arial"/>
        </w:rPr>
        <w:t xml:space="preserve"> like</w:t>
      </w:r>
      <w:r w:rsidRPr="00FB171D">
        <w:rPr>
          <w:rFonts w:ascii="Georgia" w:hAnsi="Georgia" w:cs="Arial"/>
        </w:rPr>
        <w:t xml:space="preserve"> have been explored, but large trials have not consistently shown a protective effect in dementia prevention.</w:t>
      </w:r>
    </w:p>
    <w:p w14:paraId="62400DD0" w14:textId="77777777" w:rsidR="00B72A55" w:rsidRPr="00FB171D" w:rsidRDefault="00B72A55" w:rsidP="00734CAC">
      <w:pPr>
        <w:pStyle w:val="ListParagraph"/>
        <w:numPr>
          <w:ilvl w:val="0"/>
          <w:numId w:val="76"/>
        </w:numPr>
        <w:rPr>
          <w:rFonts w:ascii="Georgia" w:hAnsi="Georgia" w:cs="Arial"/>
        </w:rPr>
      </w:pPr>
      <w:r w:rsidRPr="00FB171D">
        <w:rPr>
          <w:rFonts w:ascii="Georgia" w:hAnsi="Georgia" w:cs="Arial"/>
        </w:rPr>
        <w:t>Novel Therapies: Therapies such as hydrogen (H2), astaxanthin, and hyperbaric oxygen therapy (HBOT) are being researched for their antioxidative and anti-inflammatory effects, but clinical validation is limited and not yet part of standard care.</w:t>
      </w:r>
    </w:p>
    <w:p w14:paraId="72A2BE86" w14:textId="77777777" w:rsidR="00B72A55" w:rsidRPr="00FB171D" w:rsidRDefault="00B72A55" w:rsidP="00734CAC">
      <w:pPr>
        <w:pStyle w:val="ListParagraph"/>
        <w:numPr>
          <w:ilvl w:val="0"/>
          <w:numId w:val="76"/>
        </w:numPr>
        <w:rPr>
          <w:rFonts w:ascii="Georgia" w:hAnsi="Georgia" w:cs="Arial"/>
        </w:rPr>
      </w:pPr>
      <w:r w:rsidRPr="00FB171D">
        <w:rPr>
          <w:rFonts w:ascii="Georgia" w:hAnsi="Georgia" w:cs="Arial"/>
        </w:rPr>
        <w:t>Management of Reversible Causes: Treating conditions like vitamin deficiencies, hypothyroidism, depression, or normal pressure hydrocephalus can sometimes reverse or halt cognitive decline.</w:t>
      </w:r>
    </w:p>
    <w:p w14:paraId="64346A0F" w14:textId="77777777" w:rsidR="00B72A55" w:rsidRPr="00FB171D" w:rsidRDefault="00B72A55" w:rsidP="001D28B0">
      <w:pPr>
        <w:pStyle w:val="Heading4"/>
        <w:rPr>
          <w:rFonts w:ascii="Georgia" w:hAnsi="Georgia" w:cs="Arial"/>
        </w:rPr>
      </w:pPr>
      <w:r w:rsidRPr="00FB171D">
        <w:rPr>
          <w:rFonts w:ascii="Georgia" w:hAnsi="Georgia" w:cs="Arial"/>
        </w:rPr>
        <w:t>Lifestyle Interventions</w:t>
      </w:r>
    </w:p>
    <w:p w14:paraId="3D6AFC16" w14:textId="77777777" w:rsidR="00B72A55" w:rsidRPr="00FB171D" w:rsidRDefault="00B72A55" w:rsidP="00B72A55">
      <w:pPr>
        <w:rPr>
          <w:rFonts w:ascii="Georgia" w:hAnsi="Georgia" w:cs="Arial"/>
        </w:rPr>
      </w:pPr>
      <w:r w:rsidRPr="00FB171D">
        <w:rPr>
          <w:rFonts w:ascii="Georgia" w:hAnsi="Georgia" w:cs="Arial"/>
        </w:rPr>
        <w:t>The most robust evidence for neuroprotection comes from lifestyle-based interventions:</w:t>
      </w:r>
    </w:p>
    <w:p w14:paraId="36C46F48" w14:textId="77777777" w:rsidR="00B72A55" w:rsidRPr="00FB171D" w:rsidRDefault="00B72A55" w:rsidP="00734CAC">
      <w:pPr>
        <w:pStyle w:val="ListParagraph"/>
        <w:numPr>
          <w:ilvl w:val="0"/>
          <w:numId w:val="77"/>
        </w:numPr>
        <w:rPr>
          <w:rFonts w:ascii="Georgia" w:hAnsi="Georgia" w:cs="Arial"/>
        </w:rPr>
      </w:pPr>
      <w:r w:rsidRPr="00FB171D">
        <w:rPr>
          <w:rFonts w:ascii="Georgia" w:hAnsi="Georgia" w:cs="Arial"/>
        </w:rPr>
        <w:t>Regular physical activity</w:t>
      </w:r>
    </w:p>
    <w:p w14:paraId="4771AF3B" w14:textId="77777777" w:rsidR="00B72A55" w:rsidRPr="00FB171D" w:rsidRDefault="00B72A55" w:rsidP="00734CAC">
      <w:pPr>
        <w:pStyle w:val="ListParagraph"/>
        <w:numPr>
          <w:ilvl w:val="0"/>
          <w:numId w:val="77"/>
        </w:numPr>
        <w:rPr>
          <w:rFonts w:ascii="Georgia" w:hAnsi="Georgia" w:cs="Arial"/>
        </w:rPr>
      </w:pPr>
      <w:r w:rsidRPr="00FB171D">
        <w:rPr>
          <w:rFonts w:ascii="Georgia" w:hAnsi="Georgia" w:cs="Arial"/>
        </w:rPr>
        <w:t>Mediterranean or DASH-style diets</w:t>
      </w:r>
    </w:p>
    <w:p w14:paraId="06B20B31" w14:textId="77777777" w:rsidR="00B72A55" w:rsidRPr="00FB171D" w:rsidRDefault="00B72A55" w:rsidP="00734CAC">
      <w:pPr>
        <w:pStyle w:val="ListParagraph"/>
        <w:numPr>
          <w:ilvl w:val="0"/>
          <w:numId w:val="77"/>
        </w:numPr>
        <w:rPr>
          <w:rFonts w:ascii="Georgia" w:hAnsi="Georgia" w:cs="Arial"/>
        </w:rPr>
      </w:pPr>
      <w:r w:rsidRPr="00FB171D">
        <w:rPr>
          <w:rFonts w:ascii="Georgia" w:hAnsi="Georgia" w:cs="Arial"/>
        </w:rPr>
        <w:t>Cognitive engagement and lifelong learning</w:t>
      </w:r>
    </w:p>
    <w:p w14:paraId="4EB155E2" w14:textId="77777777" w:rsidR="00B72A55" w:rsidRPr="00FB171D" w:rsidRDefault="00B72A55" w:rsidP="00734CAC">
      <w:pPr>
        <w:pStyle w:val="ListParagraph"/>
        <w:numPr>
          <w:ilvl w:val="0"/>
          <w:numId w:val="77"/>
        </w:numPr>
        <w:rPr>
          <w:rFonts w:ascii="Georgia" w:hAnsi="Georgia" w:cs="Arial"/>
        </w:rPr>
      </w:pPr>
      <w:r w:rsidRPr="00FB171D">
        <w:rPr>
          <w:rFonts w:ascii="Georgia" w:hAnsi="Georgia" w:cs="Arial"/>
        </w:rPr>
        <w:t>Social connection</w:t>
      </w:r>
    </w:p>
    <w:p w14:paraId="11EC3C8B" w14:textId="77777777" w:rsidR="00B72A55" w:rsidRPr="00FB171D" w:rsidRDefault="00B72A55" w:rsidP="00734CAC">
      <w:pPr>
        <w:pStyle w:val="ListParagraph"/>
        <w:numPr>
          <w:ilvl w:val="0"/>
          <w:numId w:val="77"/>
        </w:numPr>
        <w:rPr>
          <w:rFonts w:ascii="Georgia" w:hAnsi="Georgia" w:cs="Arial"/>
        </w:rPr>
      </w:pPr>
      <w:r w:rsidRPr="00FB171D">
        <w:rPr>
          <w:rFonts w:ascii="Georgia" w:hAnsi="Georgia" w:cs="Arial"/>
        </w:rPr>
        <w:t>Good sleep hygiene</w:t>
      </w:r>
    </w:p>
    <w:p w14:paraId="5A2EC3B8" w14:textId="77777777" w:rsidR="00B72A55" w:rsidRPr="00FB171D" w:rsidRDefault="00B72A55" w:rsidP="00B72A55">
      <w:pPr>
        <w:rPr>
          <w:rFonts w:ascii="Georgia" w:hAnsi="Georgia" w:cs="Arial"/>
        </w:rPr>
      </w:pPr>
      <w:r w:rsidRPr="00FB171D">
        <w:rPr>
          <w:rFonts w:ascii="Georgia" w:hAnsi="Georgia" w:cs="Arial"/>
        </w:rPr>
        <w:t>Large clinical trials (such as the FINGER study) show that a combination of these interventions can slow cognitive decline and may protect neuronal health, particularly when started early.</w:t>
      </w:r>
    </w:p>
    <w:p w14:paraId="2D26F619" w14:textId="77777777" w:rsidR="00B72A55" w:rsidRPr="00FB171D" w:rsidRDefault="00B72A55" w:rsidP="00461FD6">
      <w:pPr>
        <w:pStyle w:val="Heading4"/>
        <w:rPr>
          <w:rFonts w:ascii="Georgia" w:hAnsi="Georgia" w:cs="Arial"/>
        </w:rPr>
      </w:pPr>
      <w:r w:rsidRPr="00FB171D">
        <w:rPr>
          <w:rFonts w:ascii="Georgia" w:hAnsi="Georgia" w:cs="Arial"/>
        </w:rPr>
        <w:t>Conclusion</w:t>
      </w:r>
    </w:p>
    <w:p w14:paraId="7DA4BC52" w14:textId="61419CBD" w:rsidR="00D100EE" w:rsidRPr="00FB171D" w:rsidRDefault="00B72A55" w:rsidP="00B72A55">
      <w:pPr>
        <w:rPr>
          <w:rFonts w:ascii="Georgia" w:hAnsi="Georgia" w:cs="Arial"/>
        </w:rPr>
      </w:pPr>
      <w:r w:rsidRPr="00FB171D">
        <w:rPr>
          <w:rFonts w:ascii="Georgia" w:hAnsi="Georgia" w:cs="Arial"/>
        </w:rPr>
        <w:t>While a definitive neuroprotective medication that halts or reverses neuronal loss remains elusive, a comprehensive approach—including risk factor management, healthy lifestyle, and evidence-based medications—offers the best current strategy for preserving brain health and reducing dementia risk. Ongoing research continues to seek targeted neuroprotective therapies, and individuals at risk should work closely with healthcare providers to tailor prevention and treatment strategies to their unique needs.</w:t>
      </w:r>
    </w:p>
    <w:p w14:paraId="787AE14F" w14:textId="77777777" w:rsidR="001D28B0" w:rsidRPr="00FB171D" w:rsidRDefault="001D28B0" w:rsidP="00B72A55">
      <w:pPr>
        <w:rPr>
          <w:rFonts w:ascii="Georgia" w:hAnsi="Georgia" w:cs="Arial"/>
        </w:rPr>
      </w:pPr>
    </w:p>
    <w:p w14:paraId="49552AEB" w14:textId="476371A1" w:rsidR="00B629F7" w:rsidRPr="00FB171D" w:rsidRDefault="009F23FE" w:rsidP="009F23FE">
      <w:pPr>
        <w:pStyle w:val="Heading3"/>
        <w:rPr>
          <w:rFonts w:ascii="Georgia" w:hAnsi="Georgia" w:cs="Arial"/>
        </w:rPr>
      </w:pPr>
      <w:bookmarkStart w:id="87" w:name="_Toc209691121"/>
      <w:r w:rsidRPr="00FB171D">
        <w:rPr>
          <w:rFonts w:ascii="Georgia" w:hAnsi="Georgia" w:cs="Arial"/>
        </w:rPr>
        <w:t>Cerebral blood flow</w:t>
      </w:r>
      <w:bookmarkEnd w:id="87"/>
    </w:p>
    <w:p w14:paraId="7C85B442" w14:textId="4DAA93E3" w:rsidR="00B629F7" w:rsidRPr="00FB171D" w:rsidRDefault="0050660D" w:rsidP="00B629F7">
      <w:pPr>
        <w:rPr>
          <w:rFonts w:ascii="Georgia" w:hAnsi="Georgia" w:cs="Arial"/>
        </w:rPr>
      </w:pPr>
      <w:r w:rsidRPr="00FB171D">
        <w:rPr>
          <w:rFonts w:ascii="Georgia" w:hAnsi="Georgia" w:cs="Arial"/>
        </w:rPr>
        <w:t>Another key pillar in the preservation of cognitive health is the optimization of cerebral blood flow, including microcirculation. The brain, though representing only about 2% of total body weight, consumes approximately 20% of the body's oxygen and glucose, underscoring the importance of efficient circulation for neuronal function and resilience. Studies utilizing MRI imaging have demonstrated that even mild reductions in cerebral perfusion are associated with cognitive impairment and increased risk of dementia. For example, research from the Rotterdam Study found that individuals with lower cerebral blood flow had up to a 1.5-fold increased risk of developing dementia over a five-year period compared to those with higher baseline perfusion. Age-related decreases in vessel elasticity and microvascular density further challenge the brain's ability to meet its metabolic demands, highlighting why proactive management of vascular health is crucial for long-term cognitive vitality.</w:t>
      </w:r>
      <w:r w:rsidR="00120E72" w:rsidRPr="00FB171D">
        <w:rPr>
          <w:rFonts w:ascii="Georgia" w:hAnsi="Georgia" w:cs="Arial"/>
        </w:rPr>
        <w:t xml:space="preserve"> </w:t>
      </w:r>
      <w:r w:rsidR="00B629F7" w:rsidRPr="00FB171D">
        <w:rPr>
          <w:rFonts w:ascii="Georgia" w:hAnsi="Georgia" w:cs="Arial"/>
        </w:rPr>
        <w:t>A decline in cerebral blood flow has been implicated in cognitive decline and various forms of dementia, highlighting the importance of vascular health in neuroprotection.</w:t>
      </w:r>
    </w:p>
    <w:p w14:paraId="0C1252EB" w14:textId="77777777" w:rsidR="00B629F7" w:rsidRPr="00FB171D" w:rsidRDefault="00B629F7" w:rsidP="00B629F7">
      <w:pPr>
        <w:rPr>
          <w:rFonts w:ascii="Georgia" w:hAnsi="Georgia" w:cs="Arial"/>
        </w:rPr>
      </w:pPr>
      <w:r w:rsidRPr="00FB171D">
        <w:rPr>
          <w:rFonts w:ascii="Georgia" w:hAnsi="Georgia" w:cs="Arial"/>
        </w:rPr>
        <w:t>Strategies to enhance brain blood flow start with lifestyle modifications—regular aerobic exercise consistently improves endothelial function and promotes angiogenesis, fostering robust microvascular networks. Dietary patterns rich in antioxidants and omega-3 fatty acids, such as the Mediterranean diet, support vascular integrity and reduce oxidative stress. Blood pressure control is crucial, as hypertension damages small vessels and impairs cerebral perfusion; thus, adherence to antihypertensive regimens and sodium moderation are recommended.</w:t>
      </w:r>
    </w:p>
    <w:p w14:paraId="6718CFF3" w14:textId="77777777" w:rsidR="00B629F7" w:rsidRPr="00FB171D" w:rsidRDefault="00B629F7" w:rsidP="00B629F7">
      <w:pPr>
        <w:rPr>
          <w:rFonts w:ascii="Georgia" w:hAnsi="Georgia" w:cs="Arial"/>
        </w:rPr>
      </w:pPr>
      <w:r w:rsidRPr="00FB171D">
        <w:rPr>
          <w:rFonts w:ascii="Georgia" w:hAnsi="Georgia" w:cs="Arial"/>
        </w:rPr>
        <w:t>Emerging research explores adjunctive therapies like transcranial direct current stimulation, certain nutraceuticals, and intermittent hypoxic training, all aimed at enhancing microcirculatory dynamics. Maintaining healthy cholesterol levels and managing diabetes are also essential, as dyslipidemia and hyperglycemia can compromise small vessel function. Finally, lifestyle habits such as smoking cessation and limiting alcohol intake further safeguard the delicate architecture of cerebral blood flow.</w:t>
      </w:r>
    </w:p>
    <w:p w14:paraId="3628C7A2" w14:textId="375C3340" w:rsidR="00DF4670" w:rsidRPr="00FB171D" w:rsidRDefault="0049501C" w:rsidP="0049501C">
      <w:pPr>
        <w:pStyle w:val="Heading2"/>
        <w:rPr>
          <w:rFonts w:ascii="Georgia" w:hAnsi="Georgia" w:cs="Arial"/>
        </w:rPr>
      </w:pPr>
      <w:bookmarkStart w:id="88" w:name="_Toc209691122"/>
      <w:r w:rsidRPr="00FB171D">
        <w:rPr>
          <w:rFonts w:ascii="Georgia" w:hAnsi="Georgia" w:cs="Arial"/>
        </w:rPr>
        <w:t>Maintaining Synaptic Density</w:t>
      </w:r>
      <w:bookmarkEnd w:id="88"/>
    </w:p>
    <w:p w14:paraId="20865E57" w14:textId="77777777" w:rsidR="006651F3" w:rsidRPr="00FB171D" w:rsidRDefault="00DF4670" w:rsidP="00DF4670">
      <w:pPr>
        <w:rPr>
          <w:rFonts w:ascii="Georgia" w:hAnsi="Georgia" w:cs="Arial"/>
        </w:rPr>
      </w:pPr>
      <w:r w:rsidRPr="00FB171D">
        <w:rPr>
          <w:rFonts w:ascii="Georgia" w:hAnsi="Georgia" w:cs="Arial"/>
        </w:rPr>
        <w:t xml:space="preserve">A critical aspect of cognitive resilience and brain health is the enhancement of synaptic density and plasticity—the very foundation of how the brain learns, adapts, and stores memories. </w:t>
      </w:r>
    </w:p>
    <w:p w14:paraId="17423A4F" w14:textId="46D907D9" w:rsidR="008365F1" w:rsidRPr="00FB171D" w:rsidRDefault="008365F1" w:rsidP="00A83774">
      <w:pPr>
        <w:pStyle w:val="Heading4"/>
        <w:rPr>
          <w:rFonts w:ascii="Georgia" w:hAnsi="Georgia" w:cs="Arial"/>
        </w:rPr>
      </w:pPr>
      <w:r w:rsidRPr="00FB171D">
        <w:rPr>
          <w:rFonts w:ascii="Georgia" w:hAnsi="Georgia" w:cs="Arial"/>
        </w:rPr>
        <w:t>Synaptic Connections</w:t>
      </w:r>
    </w:p>
    <w:p w14:paraId="13B70869" w14:textId="172F93B5" w:rsidR="00DF4670" w:rsidRPr="00FB171D" w:rsidRDefault="00DF4670" w:rsidP="00DF4670">
      <w:pPr>
        <w:rPr>
          <w:rFonts w:ascii="Georgia" w:hAnsi="Georgia" w:cs="Arial"/>
        </w:rPr>
      </w:pPr>
      <w:r w:rsidRPr="00FB171D">
        <w:rPr>
          <w:rFonts w:ascii="Georgia" w:hAnsi="Georgia" w:cs="Arial"/>
        </w:rPr>
        <w:t>Synaptic connections, or the communication points between neurons, are not static; their numbers and strength can be shaped throughout life by both internal and external influences. Research demonstrates that individuals engaging in intellectually challenging activities—such as learning new languages, musical training, or complex problem-solving—exhibit increased synaptic density and more robust neural networks, as seen through functional MRI and post-mortem studies. For example, a landmark study published in *Nature* (1998) revealed that London taxi drivers, who regularly navigate intricate city streets and memorize vast routes, displayed enlarged hippocampi and denser synaptic connections in memory-associated brain regions compared to controls.</w:t>
      </w:r>
    </w:p>
    <w:p w14:paraId="4FEF7391" w14:textId="77777777" w:rsidR="00DF4670" w:rsidRPr="00FB171D" w:rsidRDefault="00DF4670" w:rsidP="00DF4670">
      <w:pPr>
        <w:rPr>
          <w:rFonts w:ascii="Georgia" w:hAnsi="Georgia" w:cs="Arial"/>
        </w:rPr>
      </w:pPr>
      <w:r w:rsidRPr="00FB171D">
        <w:rPr>
          <w:rFonts w:ascii="Georgia" w:hAnsi="Georgia" w:cs="Arial"/>
        </w:rPr>
        <w:t>The process known as synaptic plasticity, including long-term potentiation (LTP), is driven by repeated stimulation and novelty. Animal studies have shown that “enriched environments”—those with opportunities for exploration, novel experiences, and social interaction—can lead to a 25–30% increase in the number of synapses per neuron in the cortex and hippocampus compared to standard or deprived environments. In humans, ongoing cognitive engagement is linked to delayed onset and slower progression of dementia. A population-based study in the *New England Journal of Medicine* (2003) found that older adults who regularly participated in mentally stimulating activities had up to a 63% lower risk of developing dementia than those who did not.</w:t>
      </w:r>
    </w:p>
    <w:p w14:paraId="6DE60757" w14:textId="77777777" w:rsidR="00DF4670" w:rsidRPr="00FB171D" w:rsidRDefault="00DF4670" w:rsidP="00DF4670">
      <w:pPr>
        <w:rPr>
          <w:rFonts w:ascii="Georgia" w:hAnsi="Georgia" w:cs="Arial"/>
        </w:rPr>
      </w:pPr>
      <w:r w:rsidRPr="00FB171D">
        <w:rPr>
          <w:rFonts w:ascii="Georgia" w:hAnsi="Georgia" w:cs="Arial"/>
        </w:rPr>
        <w:t>Biochemically, synaptic growth and maintenance are supported by factors such as brain-derived neurotrophic factor (BDNF), which is upregulated through aerobic exercise, caloric moderation, and certain dietary components (e.g., omega-3 fatty acids). Higher serum BDNF levels have been correlated with better memory performance and slower cognitive decline in longitudinal cohort studies. Additionally, sleep quality directly influences synaptic remodeling; deep slow-wave sleep is associated with synaptic downscaling that optimizes network efficiency and prepares the brain for new learning the following day.</w:t>
      </w:r>
    </w:p>
    <w:p w14:paraId="130E6597" w14:textId="4A385372" w:rsidR="00DF4670" w:rsidRPr="00FB171D" w:rsidRDefault="00DF4670" w:rsidP="00DF4670">
      <w:pPr>
        <w:rPr>
          <w:rFonts w:ascii="Georgia" w:hAnsi="Georgia" w:cs="Arial"/>
        </w:rPr>
      </w:pPr>
      <w:r w:rsidRPr="00FB171D">
        <w:rPr>
          <w:rFonts w:ascii="Georgia" w:hAnsi="Georgia" w:cs="Arial"/>
        </w:rPr>
        <w:t>Chronic stress, conversely, is a synaptic saboteur—excessive cortisol levels can shrink dendritic spines and reduce synaptic richness, particularly in the hippocampus and prefrontal cortex. Mindfulness practices, social engagement, and effective stress management can buffer these adverse effects and preserve synaptic health.</w:t>
      </w:r>
    </w:p>
    <w:p w14:paraId="10DA1F32" w14:textId="2E106F0C" w:rsidR="00EC08A2" w:rsidRPr="00FB171D" w:rsidRDefault="00EC08A2" w:rsidP="00CF106F">
      <w:pPr>
        <w:pStyle w:val="Heading3"/>
        <w:rPr>
          <w:rFonts w:ascii="Georgia" w:hAnsi="Georgia" w:cs="Arial"/>
        </w:rPr>
      </w:pPr>
      <w:bookmarkStart w:id="89" w:name="_Toc209691123"/>
      <w:r w:rsidRPr="00FB171D">
        <w:rPr>
          <w:rFonts w:ascii="Georgia" w:hAnsi="Georgia" w:cs="Arial"/>
        </w:rPr>
        <w:t>The Importance of Hearing and Vision for Synaptic Robustness</w:t>
      </w:r>
      <w:bookmarkEnd w:id="89"/>
    </w:p>
    <w:p w14:paraId="1AEB686E" w14:textId="77777777" w:rsidR="00EC08A2" w:rsidRPr="00FB171D" w:rsidRDefault="00EC08A2" w:rsidP="00CF106F">
      <w:pPr>
        <w:pStyle w:val="Heading4"/>
        <w:rPr>
          <w:rFonts w:ascii="Georgia" w:hAnsi="Georgia" w:cs="Arial"/>
        </w:rPr>
      </w:pPr>
      <w:r w:rsidRPr="00FB171D">
        <w:rPr>
          <w:rFonts w:ascii="Georgia" w:hAnsi="Georgia" w:cs="Arial"/>
        </w:rPr>
        <w:t>How Sensory Health Supports Brain Connectivity and Cognitive Resilience</w:t>
      </w:r>
    </w:p>
    <w:p w14:paraId="5411FE54" w14:textId="77777777" w:rsidR="00EC08A2" w:rsidRPr="00FB171D" w:rsidRDefault="00EC08A2" w:rsidP="005B350E">
      <w:pPr>
        <w:pStyle w:val="Heading4"/>
        <w:rPr>
          <w:rFonts w:ascii="Georgia" w:hAnsi="Georgia" w:cs="Arial"/>
        </w:rPr>
      </w:pPr>
      <w:r w:rsidRPr="00FB171D">
        <w:rPr>
          <w:rFonts w:ascii="Georgia" w:hAnsi="Georgia" w:cs="Arial"/>
        </w:rPr>
        <w:t>Introduction</w:t>
      </w:r>
    </w:p>
    <w:p w14:paraId="5156C976" w14:textId="77777777" w:rsidR="00EC08A2" w:rsidRPr="00FB171D" w:rsidRDefault="00EC08A2" w:rsidP="00033C78">
      <w:pPr>
        <w:rPr>
          <w:rFonts w:ascii="Georgia" w:hAnsi="Georgia" w:cs="Arial"/>
        </w:rPr>
      </w:pPr>
      <w:r w:rsidRPr="00FB171D">
        <w:rPr>
          <w:rFonts w:ascii="Georgia" w:hAnsi="Georgia" w:cs="Arial"/>
        </w:rPr>
        <w:t>The interplay between sensory health—specifically hearing and vision—and brain function is a dynamic relationship that shapes cognitive development, learning, memory, and resilience against neurodegenerative disease. Synaptic robustness, denoting the strength, number, and adaptability of synaptic connections, serves as the biological substrate for cognitive vitality. While much attention is given to factors like exercise, diet, and mental stimulation in protecting synaptic networks, the crucial roles of sensory inputs, especially hearing and vision, are often underestimated. This document explores the science behind hearing and vision as fundamental drivers of synaptic health, their impact on cognition, and the consequences of sensory loss on brain architecture.</w:t>
      </w:r>
    </w:p>
    <w:p w14:paraId="097B91C2" w14:textId="77777777" w:rsidR="00EC08A2" w:rsidRPr="00FB171D" w:rsidRDefault="00EC08A2" w:rsidP="005B350E">
      <w:pPr>
        <w:pStyle w:val="Heading4"/>
        <w:rPr>
          <w:rFonts w:ascii="Georgia" w:hAnsi="Georgia" w:cs="Arial"/>
        </w:rPr>
      </w:pPr>
      <w:r w:rsidRPr="00FB171D">
        <w:rPr>
          <w:rFonts w:ascii="Georgia" w:hAnsi="Georgia" w:cs="Arial"/>
        </w:rPr>
        <w:t>Hearing: A Gateway to Synaptic Engagement</w:t>
      </w:r>
    </w:p>
    <w:p w14:paraId="64936371" w14:textId="77777777" w:rsidR="00EC08A2" w:rsidRPr="00FB171D" w:rsidRDefault="00EC08A2" w:rsidP="00033C78">
      <w:pPr>
        <w:rPr>
          <w:rFonts w:ascii="Georgia" w:hAnsi="Georgia" w:cs="Arial"/>
        </w:rPr>
      </w:pPr>
      <w:r w:rsidRPr="00FB171D">
        <w:rPr>
          <w:rFonts w:ascii="Georgia" w:hAnsi="Georgia" w:cs="Arial"/>
        </w:rPr>
        <w:t>Hearing is more than the passive reception of sound; it is an active process that engages vast neural networks. Auditory stimuli drive robust patterns of neuronal firing, fostering synaptic pruning, strengthening, and the formation of new connections—processes collectively known as synaptic plasticity.</w:t>
      </w:r>
    </w:p>
    <w:p w14:paraId="055AC716" w14:textId="77777777" w:rsidR="00EC08A2" w:rsidRPr="00FB171D" w:rsidRDefault="00EC08A2" w:rsidP="005B350E">
      <w:pPr>
        <w:pStyle w:val="Heading4"/>
        <w:rPr>
          <w:rFonts w:ascii="Georgia" w:hAnsi="Georgia" w:cs="Arial"/>
        </w:rPr>
      </w:pPr>
      <w:r w:rsidRPr="00FB171D">
        <w:rPr>
          <w:rFonts w:ascii="Georgia" w:hAnsi="Georgia" w:cs="Arial"/>
        </w:rPr>
        <w:t>The Auditory System and Brain Connectivity</w:t>
      </w:r>
    </w:p>
    <w:p w14:paraId="06945317" w14:textId="77777777" w:rsidR="00EC08A2" w:rsidRPr="00FB171D" w:rsidRDefault="00EC08A2" w:rsidP="00033C78">
      <w:pPr>
        <w:rPr>
          <w:rFonts w:ascii="Georgia" w:hAnsi="Georgia" w:cs="Arial"/>
        </w:rPr>
      </w:pPr>
      <w:r w:rsidRPr="00FB171D">
        <w:rPr>
          <w:rFonts w:ascii="Georgia" w:hAnsi="Georgia" w:cs="Arial"/>
        </w:rPr>
        <w:t>Auditory information is processed through an intricate neural pathway: sound waves are transformed in the cochlea, relayed to the auditory cortex, and integrated with structures responsible for memory, language, and emotion. This multisite processing means that the loss of hearing, even partially, can lead to under-stimulation of these critical brain areas.</w:t>
      </w:r>
    </w:p>
    <w:p w14:paraId="03444066" w14:textId="77777777" w:rsidR="00EC08A2" w:rsidRPr="00FB171D" w:rsidRDefault="00EC08A2" w:rsidP="00033C78">
      <w:pPr>
        <w:rPr>
          <w:rFonts w:ascii="Georgia" w:hAnsi="Georgia" w:cs="Arial"/>
        </w:rPr>
      </w:pPr>
      <w:r w:rsidRPr="00FB171D">
        <w:rPr>
          <w:rFonts w:ascii="Georgia" w:hAnsi="Georgia" w:cs="Arial"/>
        </w:rPr>
        <w:t>Research demonstrates that hearing loss accelerates synaptic decline. For example, longitudinal studies indicate that older adults with untreated hearing impairment have a significantly higher risk of cognitive decline and dementia. Functional MRI and EEG studies show that hearing loss leads to reduced neural activity in the auditory cortex and secondary brain regions, translating to weaker synaptic connections and atrophy over time. Conversely, the use of hearing aids and cochlear implants is associated with increased cortical activity, restoration of synaptic function, and even partial reversal of structural brain changes.</w:t>
      </w:r>
    </w:p>
    <w:p w14:paraId="6C672E84" w14:textId="77777777" w:rsidR="00EC08A2" w:rsidRPr="00FB171D" w:rsidRDefault="00EC08A2" w:rsidP="005B350E">
      <w:pPr>
        <w:pStyle w:val="Heading4"/>
        <w:rPr>
          <w:rFonts w:ascii="Georgia" w:hAnsi="Georgia" w:cs="Arial"/>
        </w:rPr>
      </w:pPr>
      <w:r w:rsidRPr="00FB171D">
        <w:rPr>
          <w:rFonts w:ascii="Georgia" w:hAnsi="Georgia" w:cs="Arial"/>
        </w:rPr>
        <w:t>Social Interaction and Cognitive Enrichment</w:t>
      </w:r>
    </w:p>
    <w:p w14:paraId="4D707744" w14:textId="77777777" w:rsidR="00EC08A2" w:rsidRPr="00FB171D" w:rsidRDefault="00EC08A2" w:rsidP="00033C78">
      <w:pPr>
        <w:rPr>
          <w:rFonts w:ascii="Georgia" w:hAnsi="Georgia" w:cs="Arial"/>
        </w:rPr>
      </w:pPr>
      <w:r w:rsidRPr="00FB171D">
        <w:rPr>
          <w:rFonts w:ascii="Georgia" w:hAnsi="Georgia" w:cs="Arial"/>
        </w:rPr>
        <w:t>Hearing is foundational for language comprehension and verbal communication. Rich social interactions—conversations, storytelling, debates—require rapid auditory processing, constant updating of neural networks, and reinforcement of existing synaptic pathways. Loss of hearing often results in social withdrawal, diminished engagement, and decreased cognitive stimulation, all of which are linked to weaker synaptic robustness.</w:t>
      </w:r>
    </w:p>
    <w:p w14:paraId="6E9C391A" w14:textId="77777777" w:rsidR="00EC08A2" w:rsidRPr="00FB171D" w:rsidRDefault="00EC08A2" w:rsidP="00033C78">
      <w:pPr>
        <w:rPr>
          <w:rFonts w:ascii="Georgia" w:hAnsi="Georgia" w:cs="Arial"/>
        </w:rPr>
      </w:pPr>
      <w:r w:rsidRPr="00FB171D">
        <w:rPr>
          <w:rFonts w:ascii="Georgia" w:hAnsi="Georgia" w:cs="Arial"/>
        </w:rPr>
        <w:t>Older adults with untreated hearing loss are at increased risk of depression and social isolation, both of which are independently associated with synaptic loss, particularly in the hippocampus and prefrontal cortex. Interventions that restore auditory input or improve communication skills can re-engage individuals with their environment, providing the sensory and cognitive stimulation needed to maintain healthy synaptic networks.</w:t>
      </w:r>
    </w:p>
    <w:p w14:paraId="7A478CA2" w14:textId="201C28E1" w:rsidR="00EC08A2" w:rsidRPr="00FB171D" w:rsidRDefault="00EC08A2" w:rsidP="00C014AE">
      <w:pPr>
        <w:pStyle w:val="Heading3"/>
        <w:rPr>
          <w:rFonts w:ascii="Georgia" w:hAnsi="Georgia" w:cs="Arial"/>
        </w:rPr>
      </w:pPr>
      <w:bookmarkStart w:id="90" w:name="_Toc209691124"/>
      <w:r w:rsidRPr="00FB171D">
        <w:rPr>
          <w:rFonts w:ascii="Georgia" w:hAnsi="Georgia" w:cs="Arial"/>
        </w:rPr>
        <w:t>Vision: Illuminating Paths of Synaptic Growth</w:t>
      </w:r>
      <w:bookmarkEnd w:id="90"/>
    </w:p>
    <w:p w14:paraId="25EB1C2A" w14:textId="77777777" w:rsidR="00EC08A2" w:rsidRPr="00FB171D" w:rsidRDefault="00EC08A2" w:rsidP="00033C78">
      <w:pPr>
        <w:rPr>
          <w:rFonts w:ascii="Georgia" w:hAnsi="Georgia" w:cs="Arial"/>
        </w:rPr>
      </w:pPr>
      <w:r w:rsidRPr="00FB171D">
        <w:rPr>
          <w:rFonts w:ascii="Georgia" w:hAnsi="Georgia" w:cs="Arial"/>
        </w:rPr>
        <w:t>Of all the senses, vision provides the most information to the brain. The visual system is a principal driver of neuronal firing patterns, shaping synaptic development from infancy through old age.</w:t>
      </w:r>
    </w:p>
    <w:p w14:paraId="47A42DBB" w14:textId="77777777" w:rsidR="00EC08A2" w:rsidRPr="00FB171D" w:rsidRDefault="00EC08A2" w:rsidP="00C014AE">
      <w:pPr>
        <w:pStyle w:val="Heading4"/>
        <w:rPr>
          <w:rFonts w:ascii="Georgia" w:hAnsi="Georgia" w:cs="Arial"/>
        </w:rPr>
      </w:pPr>
      <w:r w:rsidRPr="00FB171D">
        <w:rPr>
          <w:rFonts w:ascii="Georgia" w:hAnsi="Georgia" w:cs="Arial"/>
        </w:rPr>
        <w:t>The Visual Pathway and Cortical Plasticity</w:t>
      </w:r>
    </w:p>
    <w:p w14:paraId="007B3ACD" w14:textId="77777777" w:rsidR="00EC08A2" w:rsidRPr="00FB171D" w:rsidRDefault="00EC08A2" w:rsidP="00033C78">
      <w:pPr>
        <w:rPr>
          <w:rFonts w:ascii="Georgia" w:hAnsi="Georgia" w:cs="Arial"/>
        </w:rPr>
      </w:pPr>
      <w:r w:rsidRPr="00FB171D">
        <w:rPr>
          <w:rFonts w:ascii="Georgia" w:hAnsi="Georgia" w:cs="Arial"/>
        </w:rPr>
        <w:t>Visual information travels from the retina through the optic nerve to the lateral geniculate nucleus and onward to the primary visual cortex. Here, complex visual stimuli are integrated with memory, attention, and executive functions, engaging extensive cortical networks. Studies in both animals and humans reveal that visual input is crucial for the maintenance of synaptic density and the formation of new connections, particularly in the visual and association cortices.</w:t>
      </w:r>
    </w:p>
    <w:p w14:paraId="128B721D" w14:textId="77777777" w:rsidR="00EC08A2" w:rsidRPr="00FB171D" w:rsidRDefault="00EC08A2" w:rsidP="00033C78">
      <w:pPr>
        <w:rPr>
          <w:rFonts w:ascii="Georgia" w:hAnsi="Georgia" w:cs="Arial"/>
        </w:rPr>
      </w:pPr>
      <w:r w:rsidRPr="00FB171D">
        <w:rPr>
          <w:rFonts w:ascii="Georgia" w:hAnsi="Georgia" w:cs="Arial"/>
        </w:rPr>
        <w:t>Sensory deprivation studies provide striking evidence: when vision is lost or severely impaired, the brain undergoes structural changes, including synaptic loss and cortical reorganization. For example, children born with congenital cataracts demonstrate decreased synaptic density in visual areas if not treated early. In adults, progressive vision loss due to diseases such as macular degeneration or glaucoma is associated with atrophy in both visual and non-visual brain regions, and increased risk of cognitive impairment.</w:t>
      </w:r>
    </w:p>
    <w:p w14:paraId="0AA57963" w14:textId="77777777" w:rsidR="00EC08A2" w:rsidRPr="00FB171D" w:rsidRDefault="00EC08A2" w:rsidP="00700E62">
      <w:pPr>
        <w:pStyle w:val="Heading4"/>
        <w:rPr>
          <w:rFonts w:ascii="Georgia" w:hAnsi="Georgia" w:cs="Arial"/>
        </w:rPr>
      </w:pPr>
      <w:r w:rsidRPr="00FB171D">
        <w:rPr>
          <w:rFonts w:ascii="Georgia" w:hAnsi="Georgia" w:cs="Arial"/>
        </w:rPr>
        <w:t>Visual Stimulation and Higher-Order Cognition</w:t>
      </w:r>
    </w:p>
    <w:p w14:paraId="092E8872" w14:textId="77777777" w:rsidR="00EC08A2" w:rsidRPr="00FB171D" w:rsidRDefault="00EC08A2" w:rsidP="00033C78">
      <w:pPr>
        <w:rPr>
          <w:rFonts w:ascii="Georgia" w:hAnsi="Georgia" w:cs="Arial"/>
        </w:rPr>
      </w:pPr>
      <w:r w:rsidRPr="00FB171D">
        <w:rPr>
          <w:rFonts w:ascii="Georgia" w:hAnsi="Georgia" w:cs="Arial"/>
        </w:rPr>
        <w:t>Engagement in visually demanding activities—reading, interpreting art, learning new skills—requires the brain to form and reinforce complex synaptic networks. This stimulation promotes neurogenesis (the formation of new neurons) and enhances plasticity. Even passive exposure to rich visual environments can increase synaptic density, as demonstrated in "enriched environment" experiments in animal models.</w:t>
      </w:r>
    </w:p>
    <w:p w14:paraId="59354575" w14:textId="77777777" w:rsidR="00EC08A2" w:rsidRPr="00FB171D" w:rsidRDefault="00EC08A2" w:rsidP="00033C78">
      <w:pPr>
        <w:rPr>
          <w:rFonts w:ascii="Georgia" w:hAnsi="Georgia" w:cs="Arial"/>
        </w:rPr>
      </w:pPr>
      <w:r w:rsidRPr="00FB171D">
        <w:rPr>
          <w:rFonts w:ascii="Georgia" w:hAnsi="Georgia" w:cs="Arial"/>
        </w:rPr>
        <w:t>Moreover, vision facilitates spatial navigation and memory formation, which are essential for independence and quality of life. Visual cues help orient us to our environment, support the encoding of memories, and allow for efficient planning and problem-solving—all reliant on healthy, adaptable synaptic networks.</w:t>
      </w:r>
    </w:p>
    <w:p w14:paraId="756F0650" w14:textId="11E75EAF" w:rsidR="004F009C" w:rsidRPr="00FB171D" w:rsidRDefault="004F009C" w:rsidP="004F009C">
      <w:pPr>
        <w:pStyle w:val="Heading3"/>
        <w:rPr>
          <w:rFonts w:ascii="Georgia" w:hAnsi="Georgia" w:cs="Arial"/>
        </w:rPr>
      </w:pPr>
      <w:bookmarkStart w:id="91" w:name="_Toc209691125"/>
      <w:r w:rsidRPr="00FB171D">
        <w:rPr>
          <w:rFonts w:ascii="Georgia" w:hAnsi="Georgia" w:cs="Arial"/>
        </w:rPr>
        <w:t>Touch: Sculpting Brain Maps Through Physical Experience</w:t>
      </w:r>
      <w:bookmarkEnd w:id="91"/>
    </w:p>
    <w:p w14:paraId="3F522678" w14:textId="77777777" w:rsidR="004F009C" w:rsidRPr="00FB171D" w:rsidRDefault="004F009C" w:rsidP="004F009C">
      <w:pPr>
        <w:rPr>
          <w:rFonts w:ascii="Georgia" w:hAnsi="Georgia" w:cs="Arial"/>
        </w:rPr>
      </w:pPr>
      <w:r w:rsidRPr="00FB171D">
        <w:rPr>
          <w:rFonts w:ascii="Georgia" w:hAnsi="Georgia" w:cs="Arial"/>
        </w:rPr>
        <w:t>Touch, or somatosensation, is fundamental from birth. Physical contact, whether through exploration, social touch, or manipulation of objects, generates rich patterns of neural activity. The somatosensory cortex, which processes input from the skin, muscles, and joints, shows remarkable plasticity: studies of Braille readers and musicians reveal expanded and denser cortical maps driven by tactile learning and repetitive movement. Touch is crucial for early brain development, emotional regulation, and social connection, all of which further support synaptic health. Loss of tactile stimulation, as seen in isolation or in certain neurological conditions, leads to synaptic pruning and reduced cortical representation.</w:t>
      </w:r>
    </w:p>
    <w:p w14:paraId="4D9AA9BA" w14:textId="19F72FB3" w:rsidR="004F009C" w:rsidRPr="00FB171D" w:rsidRDefault="004F009C" w:rsidP="004F009C">
      <w:pPr>
        <w:pStyle w:val="Heading3"/>
        <w:rPr>
          <w:rFonts w:ascii="Georgia" w:hAnsi="Georgia" w:cs="Arial"/>
        </w:rPr>
      </w:pPr>
      <w:bookmarkStart w:id="92" w:name="_Toc209691126"/>
      <w:r w:rsidRPr="00FB171D">
        <w:rPr>
          <w:rFonts w:ascii="Georgia" w:hAnsi="Georgia" w:cs="Arial"/>
        </w:rPr>
        <w:t>Taste and Smell: Gateways to Memory and Emotion</w:t>
      </w:r>
      <w:bookmarkEnd w:id="92"/>
    </w:p>
    <w:p w14:paraId="416E2022" w14:textId="77777777" w:rsidR="004F009C" w:rsidRPr="00FB171D" w:rsidRDefault="004F009C" w:rsidP="004F009C">
      <w:pPr>
        <w:rPr>
          <w:rFonts w:ascii="Georgia" w:hAnsi="Georgia" w:cs="Arial"/>
        </w:rPr>
      </w:pPr>
      <w:r w:rsidRPr="00FB171D">
        <w:rPr>
          <w:rFonts w:ascii="Georgia" w:hAnsi="Georgia" w:cs="Arial"/>
        </w:rPr>
        <w:t>Taste (gustation) and smell (olfaction) provide more than sensory pleasure—they are deeply connected to memory, emotion, and learning. The olfactory bulb projects directly to the limbic system, particularly the hippocampus and amygdala, regions central to memory formation and emotional processing. Rich olfactory and gustatory experiences stimulate synaptic activity in these areas, shaping recognition, associative learning, and even mood. Research demonstrates that loss of smell or taste (as with aging or neurodegenerative disease) not only diminishes quality of life but correlates with accelerated cognitive decline and reduced synaptic density in brain regions critical for memory. Engaging with diverse foods, spices, and scents keeps these pathways active, supporting neuroplasticity.</w:t>
      </w:r>
    </w:p>
    <w:p w14:paraId="38D390D8" w14:textId="61B66F55" w:rsidR="004F009C" w:rsidRPr="00FB171D" w:rsidRDefault="004F009C" w:rsidP="004F009C">
      <w:pPr>
        <w:pStyle w:val="Heading3"/>
        <w:rPr>
          <w:rFonts w:ascii="Georgia" w:hAnsi="Georgia" w:cs="Arial"/>
        </w:rPr>
      </w:pPr>
      <w:bookmarkStart w:id="93" w:name="_Toc209691127"/>
      <w:r w:rsidRPr="00FB171D">
        <w:rPr>
          <w:rFonts w:ascii="Georgia" w:hAnsi="Georgia" w:cs="Arial"/>
        </w:rPr>
        <w:t>Proprioception: The Brain’s Internal GPS</w:t>
      </w:r>
      <w:bookmarkEnd w:id="93"/>
    </w:p>
    <w:p w14:paraId="276875CD" w14:textId="77777777" w:rsidR="004F009C" w:rsidRPr="00FB171D" w:rsidRDefault="004F009C" w:rsidP="004F009C">
      <w:pPr>
        <w:rPr>
          <w:rFonts w:ascii="Georgia" w:hAnsi="Georgia" w:cs="Arial"/>
        </w:rPr>
      </w:pPr>
      <w:r w:rsidRPr="00FB171D">
        <w:rPr>
          <w:rFonts w:ascii="Georgia" w:hAnsi="Georgia" w:cs="Arial"/>
        </w:rPr>
        <w:t>Proprioception—the body’s sense of its position and movement—arises from receptors in muscles, tendons, and joints. This “sixth sense” allows for coordination, balance, and complex motor learning, all of which require continuous recalibration and integration by the cerebellum, somatosensory cortex, and associated networks. Activities that challenge balance, spatial orientation, and coordinated movement (like dance, yoga, martial arts, or sports) promote dense, adaptable synaptic networks. Impaired proprioception, whether from neuropathy, immobility, or neurological disorders, is linked to reduced synaptic connectivity and slower cognitive processing. Maintaining and challenging proprioceptive skills is a powerful way to enhance brain plasticity.</w:t>
      </w:r>
    </w:p>
    <w:p w14:paraId="0C60AFDD" w14:textId="77777777" w:rsidR="004F009C" w:rsidRPr="00FB171D" w:rsidRDefault="004F009C" w:rsidP="00033C78">
      <w:pPr>
        <w:rPr>
          <w:rFonts w:ascii="Georgia" w:hAnsi="Georgia" w:cs="Arial"/>
        </w:rPr>
      </w:pPr>
    </w:p>
    <w:p w14:paraId="70C94BD4" w14:textId="77777777" w:rsidR="004F009C" w:rsidRPr="00FB171D" w:rsidRDefault="004F009C" w:rsidP="00033C78">
      <w:pPr>
        <w:rPr>
          <w:rFonts w:ascii="Georgia" w:hAnsi="Georgia" w:cs="Arial"/>
        </w:rPr>
      </w:pPr>
    </w:p>
    <w:p w14:paraId="6BB678FF" w14:textId="77777777" w:rsidR="00EC08A2" w:rsidRPr="00FB171D" w:rsidRDefault="00EC08A2" w:rsidP="00A83774">
      <w:pPr>
        <w:pStyle w:val="Heading4"/>
        <w:rPr>
          <w:rFonts w:ascii="Georgia" w:hAnsi="Georgia" w:cs="Arial"/>
        </w:rPr>
      </w:pPr>
      <w:r w:rsidRPr="00FB171D">
        <w:rPr>
          <w:rFonts w:ascii="Georgia" w:hAnsi="Georgia" w:cs="Arial"/>
        </w:rPr>
        <w:t>Consequences of Sensory Loss on Synaptic Robustness</w:t>
      </w:r>
    </w:p>
    <w:p w14:paraId="524CCEEA" w14:textId="77777777" w:rsidR="00EC08A2" w:rsidRPr="00FB171D" w:rsidRDefault="00EC08A2" w:rsidP="00033C78">
      <w:pPr>
        <w:rPr>
          <w:rFonts w:ascii="Georgia" w:hAnsi="Georgia" w:cs="Arial"/>
        </w:rPr>
      </w:pPr>
      <w:r w:rsidRPr="00FB171D">
        <w:rPr>
          <w:rFonts w:ascii="Georgia" w:hAnsi="Georgia" w:cs="Arial"/>
        </w:rPr>
        <w:t>The loss or impairment of hearing and vision, especially when uncorrected, deprives the brain of critical sensory input needed for synaptic maintenance and growth. This deprivation contributes to a cascade of negative effects:</w:t>
      </w:r>
    </w:p>
    <w:p w14:paraId="67AABFA5" w14:textId="77777777" w:rsidR="00EC08A2" w:rsidRPr="00FB171D" w:rsidRDefault="00EC08A2" w:rsidP="00734CAC">
      <w:pPr>
        <w:pStyle w:val="ListParagraph"/>
        <w:numPr>
          <w:ilvl w:val="0"/>
          <w:numId w:val="78"/>
        </w:numPr>
        <w:rPr>
          <w:rFonts w:ascii="Georgia" w:hAnsi="Georgia" w:cs="Arial"/>
        </w:rPr>
      </w:pPr>
      <w:r w:rsidRPr="00FB171D">
        <w:rPr>
          <w:rFonts w:ascii="Georgia" w:hAnsi="Georgia" w:cs="Arial"/>
        </w:rPr>
        <w:t>Reduced Synaptic Activity: Without regular sensory input, neurons involved in auditory and visual processing fire less frequently, leading to weakened synapses and eventual pruning.</w:t>
      </w:r>
    </w:p>
    <w:p w14:paraId="1C871893" w14:textId="77777777" w:rsidR="00EC08A2" w:rsidRPr="00FB171D" w:rsidRDefault="00EC08A2" w:rsidP="00734CAC">
      <w:pPr>
        <w:pStyle w:val="ListParagraph"/>
        <w:numPr>
          <w:ilvl w:val="0"/>
          <w:numId w:val="78"/>
        </w:numPr>
        <w:rPr>
          <w:rFonts w:ascii="Georgia" w:hAnsi="Georgia" w:cs="Arial"/>
        </w:rPr>
      </w:pPr>
      <w:r w:rsidRPr="00FB171D">
        <w:rPr>
          <w:rFonts w:ascii="Georgia" w:hAnsi="Georgia" w:cs="Arial"/>
        </w:rPr>
        <w:t>Cross-Modal Reorganization: The brain may repurpose sensory areas for other functions, sometimes at the expense of higher cognitive processes.</w:t>
      </w:r>
    </w:p>
    <w:p w14:paraId="05C68E02" w14:textId="77777777" w:rsidR="00EC08A2" w:rsidRPr="00FB171D" w:rsidRDefault="00EC08A2" w:rsidP="00734CAC">
      <w:pPr>
        <w:pStyle w:val="ListParagraph"/>
        <w:numPr>
          <w:ilvl w:val="0"/>
          <w:numId w:val="78"/>
        </w:numPr>
        <w:rPr>
          <w:rFonts w:ascii="Georgia" w:hAnsi="Georgia" w:cs="Arial"/>
        </w:rPr>
      </w:pPr>
      <w:r w:rsidRPr="00FB171D">
        <w:rPr>
          <w:rFonts w:ascii="Georgia" w:hAnsi="Georgia" w:cs="Arial"/>
        </w:rPr>
        <w:t>Accelerated Brain Atrophy: MRI studies reveal that sensory loss is associated with faster rates of brain volume loss, particularly in the temporal and occipital lobes.</w:t>
      </w:r>
    </w:p>
    <w:p w14:paraId="2D428498" w14:textId="77777777" w:rsidR="00EC08A2" w:rsidRPr="00FB171D" w:rsidRDefault="00EC08A2" w:rsidP="00734CAC">
      <w:pPr>
        <w:pStyle w:val="ListParagraph"/>
        <w:numPr>
          <w:ilvl w:val="0"/>
          <w:numId w:val="78"/>
        </w:numPr>
        <w:rPr>
          <w:rFonts w:ascii="Georgia" w:hAnsi="Georgia" w:cs="Arial"/>
        </w:rPr>
      </w:pPr>
      <w:r w:rsidRPr="00FB171D">
        <w:rPr>
          <w:rFonts w:ascii="Georgia" w:hAnsi="Georgia" w:cs="Arial"/>
        </w:rPr>
        <w:t>Increased Cognitive Load: Individuals with impaired hearing or vision must work harder to interpret incomplete information, leaving fewer resources for memory, learning, or executive function. This chronic overload can further weaken synaptic strength.</w:t>
      </w:r>
    </w:p>
    <w:p w14:paraId="6BE598F4" w14:textId="77777777" w:rsidR="00EC08A2" w:rsidRPr="00FB171D" w:rsidRDefault="00EC08A2" w:rsidP="00734CAC">
      <w:pPr>
        <w:pStyle w:val="ListParagraph"/>
        <w:numPr>
          <w:ilvl w:val="0"/>
          <w:numId w:val="78"/>
        </w:numPr>
        <w:rPr>
          <w:rFonts w:ascii="Georgia" w:hAnsi="Georgia" w:cs="Arial"/>
        </w:rPr>
      </w:pPr>
      <w:r w:rsidRPr="00FB171D">
        <w:rPr>
          <w:rFonts w:ascii="Georgia" w:hAnsi="Georgia" w:cs="Arial"/>
        </w:rPr>
        <w:t>Emotional and Social Impact: Sensory loss often leads to withdrawal, depression, and loneliness—states that are themselves synaptic stressors.</w:t>
      </w:r>
    </w:p>
    <w:p w14:paraId="6229AB65" w14:textId="77777777" w:rsidR="00EC08A2" w:rsidRPr="00FB171D" w:rsidRDefault="00EC08A2" w:rsidP="00A83774">
      <w:pPr>
        <w:pStyle w:val="Heading4"/>
        <w:rPr>
          <w:rFonts w:ascii="Georgia" w:hAnsi="Georgia" w:cs="Arial"/>
        </w:rPr>
      </w:pPr>
      <w:r w:rsidRPr="00FB171D">
        <w:rPr>
          <w:rFonts w:ascii="Georgia" w:hAnsi="Georgia" w:cs="Arial"/>
        </w:rPr>
        <w:t>Protecting and Enhancing Sensory Health for Synaptic Resilience</w:t>
      </w:r>
    </w:p>
    <w:p w14:paraId="73A12B1D" w14:textId="77777777" w:rsidR="00EC08A2" w:rsidRPr="00FB171D" w:rsidRDefault="00EC08A2" w:rsidP="00A83774">
      <w:pPr>
        <w:pStyle w:val="Heading4"/>
        <w:rPr>
          <w:rFonts w:ascii="Georgia" w:hAnsi="Georgia" w:cs="Arial"/>
        </w:rPr>
      </w:pPr>
      <w:r w:rsidRPr="00FB171D">
        <w:rPr>
          <w:rFonts w:ascii="Georgia" w:hAnsi="Georgia" w:cs="Arial"/>
        </w:rPr>
        <w:t>Early Detection and Intervention</w:t>
      </w:r>
    </w:p>
    <w:p w14:paraId="08FFE72F" w14:textId="77777777" w:rsidR="00EC08A2" w:rsidRPr="00FB171D" w:rsidRDefault="00EC08A2" w:rsidP="00033C78">
      <w:pPr>
        <w:rPr>
          <w:rFonts w:ascii="Georgia" w:hAnsi="Georgia" w:cs="Arial"/>
        </w:rPr>
      </w:pPr>
      <w:r w:rsidRPr="00FB171D">
        <w:rPr>
          <w:rFonts w:ascii="Georgia" w:hAnsi="Georgia" w:cs="Arial"/>
        </w:rPr>
        <w:t>Routine screening for hearing and vision loss—particularly in older adults—allows for timely intervention. Hearing aids, cochlear implants, corrective lenses, and cataract surgery are proven to restore sensory input and mitigate many of the associated risks to brain health. The earlier these interventions are deployed, the greater the preservation of synaptic robustness.</w:t>
      </w:r>
    </w:p>
    <w:p w14:paraId="5C549C10" w14:textId="77777777" w:rsidR="00EC08A2" w:rsidRPr="00FB171D" w:rsidRDefault="00EC08A2" w:rsidP="00A83774">
      <w:pPr>
        <w:pStyle w:val="Heading4"/>
        <w:rPr>
          <w:rFonts w:ascii="Georgia" w:hAnsi="Georgia" w:cs="Arial"/>
        </w:rPr>
      </w:pPr>
      <w:r w:rsidRPr="00FB171D">
        <w:rPr>
          <w:rFonts w:ascii="Georgia" w:hAnsi="Georgia" w:cs="Arial"/>
        </w:rPr>
        <w:t>Environmental Enrichment and Sensory Stimulation</w:t>
      </w:r>
    </w:p>
    <w:p w14:paraId="34F3EF2D" w14:textId="77777777" w:rsidR="00EC08A2" w:rsidRPr="00FB171D" w:rsidRDefault="00EC08A2" w:rsidP="00033C78">
      <w:pPr>
        <w:rPr>
          <w:rFonts w:ascii="Georgia" w:hAnsi="Georgia" w:cs="Arial"/>
        </w:rPr>
      </w:pPr>
      <w:r w:rsidRPr="00FB171D">
        <w:rPr>
          <w:rFonts w:ascii="Georgia" w:hAnsi="Georgia" w:cs="Arial"/>
        </w:rPr>
        <w:t>Creating environments rich in auditory and visual stimuli—music, conversation, art, nature—provides ongoing opportunities for synaptic strengthening. Regular engagement in activities that challenge hearing and vision, such as learning a new language or taking up photography, can foster new connections and enhance plasticity well into late life.</w:t>
      </w:r>
    </w:p>
    <w:p w14:paraId="0D2B5144" w14:textId="77777777" w:rsidR="00EC08A2" w:rsidRPr="00FB171D" w:rsidRDefault="00EC08A2" w:rsidP="00A83774">
      <w:pPr>
        <w:pStyle w:val="Heading4"/>
        <w:rPr>
          <w:rFonts w:ascii="Georgia" w:hAnsi="Georgia" w:cs="Arial"/>
        </w:rPr>
      </w:pPr>
      <w:r w:rsidRPr="00FB171D">
        <w:rPr>
          <w:rFonts w:ascii="Georgia" w:hAnsi="Georgia" w:cs="Arial"/>
        </w:rPr>
        <w:t>Holistic Lifestyle Factors</w:t>
      </w:r>
    </w:p>
    <w:p w14:paraId="51D94EDB" w14:textId="77777777" w:rsidR="00EC08A2" w:rsidRPr="00FB171D" w:rsidRDefault="00EC08A2" w:rsidP="00033C78">
      <w:pPr>
        <w:rPr>
          <w:rFonts w:ascii="Georgia" w:hAnsi="Georgia" w:cs="Arial"/>
        </w:rPr>
      </w:pPr>
      <w:r w:rsidRPr="00FB171D">
        <w:rPr>
          <w:rFonts w:ascii="Georgia" w:hAnsi="Georgia" w:cs="Arial"/>
        </w:rPr>
        <w:t>Sensory health is intertwined with general health: maintaining vascular health (through exercise, blood pressure control, and balanced diet), managing metabolic disorders, and avoiding neurotoxins (such as tobacco and excessive alcohol) all contribute to the protection of hearing, vision, and brain connectivity.</w:t>
      </w:r>
    </w:p>
    <w:p w14:paraId="18B30765" w14:textId="77777777" w:rsidR="00EC08A2" w:rsidRPr="00FB171D" w:rsidRDefault="00EC08A2" w:rsidP="00CC130C">
      <w:pPr>
        <w:pStyle w:val="Heading4"/>
        <w:rPr>
          <w:rFonts w:ascii="Georgia" w:hAnsi="Georgia" w:cs="Arial"/>
        </w:rPr>
      </w:pPr>
      <w:r w:rsidRPr="00FB171D">
        <w:rPr>
          <w:rFonts w:ascii="Georgia" w:hAnsi="Georgia" w:cs="Arial"/>
        </w:rPr>
        <w:t>Case Studies and Research Evidence</w:t>
      </w:r>
    </w:p>
    <w:p w14:paraId="272F6D62" w14:textId="77777777" w:rsidR="00EC08A2" w:rsidRPr="00FB171D" w:rsidRDefault="00EC08A2" w:rsidP="00033C78">
      <w:pPr>
        <w:rPr>
          <w:rFonts w:ascii="Georgia" w:hAnsi="Georgia" w:cs="Arial"/>
        </w:rPr>
      </w:pPr>
      <w:r w:rsidRPr="00FB171D">
        <w:rPr>
          <w:rFonts w:ascii="Georgia" w:hAnsi="Georgia" w:cs="Arial"/>
        </w:rPr>
        <w:t>A 2018 meta-analysis published in Lancet highlighted hearing loss as one of the major modifiable risk factors for dementia, estimating that correcting hearing loss in midlife could prevent up to 9% of dementia cases worldwide. Similarly, a study in JAMA Ophthalmology (2021) found that older adults with good visual acuity and appropriate correction had significantly slower rates of cognitive decline compared to those with untreated vision loss.</w:t>
      </w:r>
    </w:p>
    <w:p w14:paraId="61840B36" w14:textId="77777777" w:rsidR="00EC08A2" w:rsidRPr="00FB171D" w:rsidRDefault="00EC08A2" w:rsidP="00033C78">
      <w:pPr>
        <w:rPr>
          <w:rFonts w:ascii="Georgia" w:hAnsi="Georgia" w:cs="Arial"/>
        </w:rPr>
      </w:pPr>
      <w:r w:rsidRPr="00FB171D">
        <w:rPr>
          <w:rFonts w:ascii="Georgia" w:hAnsi="Georgia" w:cs="Arial"/>
        </w:rPr>
        <w:t>Animal studies reinforce these findings. Mice exposed to enriched auditory and visual environments show increased levels of brain-derived neurotrophic factor (BDNF), synaptic proteins, and dendritic spine density, indicating that multisensory stimulation boosts synaptic robustness at the cellular and molecular levels.</w:t>
      </w:r>
    </w:p>
    <w:p w14:paraId="7EB36FEB" w14:textId="21318C65" w:rsidR="00EC08A2" w:rsidRPr="00FB171D" w:rsidRDefault="00EC08A2" w:rsidP="00CF106F">
      <w:pPr>
        <w:pStyle w:val="Heading3"/>
        <w:rPr>
          <w:rFonts w:ascii="Georgia" w:hAnsi="Georgia" w:cs="Arial"/>
        </w:rPr>
      </w:pPr>
      <w:bookmarkStart w:id="94" w:name="_Toc209691128"/>
      <w:r w:rsidRPr="00FB171D">
        <w:rPr>
          <w:rFonts w:ascii="Georgia" w:hAnsi="Georgia" w:cs="Arial"/>
        </w:rPr>
        <w:t>Consequences of Multi-Sensory Loss on Synaptic Robustness</w:t>
      </w:r>
      <w:bookmarkEnd w:id="94"/>
    </w:p>
    <w:p w14:paraId="44D97D16" w14:textId="77777777" w:rsidR="00EC08A2" w:rsidRPr="00FB171D" w:rsidRDefault="00EC08A2" w:rsidP="00EC08A2">
      <w:pPr>
        <w:rPr>
          <w:rFonts w:ascii="Georgia" w:hAnsi="Georgia" w:cs="Arial"/>
        </w:rPr>
      </w:pPr>
      <w:r w:rsidRPr="00FB171D">
        <w:rPr>
          <w:rFonts w:ascii="Georgia" w:hAnsi="Georgia" w:cs="Arial"/>
        </w:rPr>
        <w:t>The loss or impairment of one or more senses limits the brain’s input, diminishing opportunities for synaptic strengthening. Multisensory stimulation is synergistic: the integration of sights, sounds, touches, tastes, smells, and internal movement signals creates a richer, more resilient neural network. Losses in any domain—be it hearing, vision, touch, taste, smell, or proprioception—can accelerate brain atrophy, reduce cognitive reserve, and even precipitate mood disorders.</w:t>
      </w:r>
    </w:p>
    <w:p w14:paraId="66A0926D" w14:textId="77777777" w:rsidR="00EC08A2" w:rsidRPr="00FB171D" w:rsidRDefault="00EC08A2" w:rsidP="00734CAC">
      <w:pPr>
        <w:pStyle w:val="ListParagraph"/>
        <w:numPr>
          <w:ilvl w:val="0"/>
          <w:numId w:val="79"/>
        </w:numPr>
        <w:rPr>
          <w:rFonts w:ascii="Georgia" w:hAnsi="Georgia" w:cs="Arial"/>
        </w:rPr>
      </w:pPr>
      <w:r w:rsidRPr="00FB171D">
        <w:rPr>
          <w:rFonts w:ascii="Georgia" w:hAnsi="Georgia" w:cs="Arial"/>
        </w:rPr>
        <w:t>Reduced Synaptic Activity: Diminished sensory input leads to weaker and fewer synapses in affected brain regions.</w:t>
      </w:r>
    </w:p>
    <w:p w14:paraId="391E4CD8" w14:textId="77777777" w:rsidR="00EC08A2" w:rsidRPr="00FB171D" w:rsidRDefault="00EC08A2" w:rsidP="00734CAC">
      <w:pPr>
        <w:pStyle w:val="ListParagraph"/>
        <w:numPr>
          <w:ilvl w:val="0"/>
          <w:numId w:val="79"/>
        </w:numPr>
        <w:rPr>
          <w:rFonts w:ascii="Georgia" w:hAnsi="Georgia" w:cs="Arial"/>
        </w:rPr>
      </w:pPr>
      <w:r w:rsidRPr="00FB171D">
        <w:rPr>
          <w:rFonts w:ascii="Georgia" w:hAnsi="Georgia" w:cs="Arial"/>
        </w:rPr>
        <w:t>Cross-Modal Reorganization: The brain often reallocates resources from deprived sensory areas, which can both compensate for and limit higher cognitive processes.</w:t>
      </w:r>
    </w:p>
    <w:p w14:paraId="5A76CDDD" w14:textId="77777777" w:rsidR="00EC08A2" w:rsidRPr="00FB171D" w:rsidRDefault="00EC08A2" w:rsidP="00734CAC">
      <w:pPr>
        <w:pStyle w:val="ListParagraph"/>
        <w:numPr>
          <w:ilvl w:val="0"/>
          <w:numId w:val="79"/>
        </w:numPr>
        <w:rPr>
          <w:rFonts w:ascii="Georgia" w:hAnsi="Georgia" w:cs="Arial"/>
        </w:rPr>
      </w:pPr>
      <w:r w:rsidRPr="00FB171D">
        <w:rPr>
          <w:rFonts w:ascii="Georgia" w:hAnsi="Georgia" w:cs="Arial"/>
        </w:rPr>
        <w:t>Emotional and Social Impact: Sensory loss in any channel increases the risk of isolation, depression, and reduced cognitive engagement.</w:t>
      </w:r>
    </w:p>
    <w:p w14:paraId="1AC4777F" w14:textId="77777777" w:rsidR="00EC08A2" w:rsidRPr="00FB171D" w:rsidRDefault="00EC08A2" w:rsidP="00734CAC">
      <w:pPr>
        <w:pStyle w:val="ListParagraph"/>
        <w:numPr>
          <w:ilvl w:val="0"/>
          <w:numId w:val="79"/>
        </w:numPr>
        <w:rPr>
          <w:rFonts w:ascii="Georgia" w:hAnsi="Georgia" w:cs="Arial"/>
        </w:rPr>
      </w:pPr>
      <w:r w:rsidRPr="00FB171D">
        <w:rPr>
          <w:rFonts w:ascii="Georgia" w:hAnsi="Georgia" w:cs="Arial"/>
        </w:rPr>
        <w:t>Decreased Quality of Life: Impaired taste and smell, diminished touch, or poor balance affect independence, nutrition, mood, and social connection.</w:t>
      </w:r>
    </w:p>
    <w:p w14:paraId="7E28FF4D" w14:textId="77777777" w:rsidR="00EC08A2" w:rsidRPr="00FB171D" w:rsidRDefault="00EC08A2" w:rsidP="00A83774">
      <w:pPr>
        <w:pStyle w:val="Heading4"/>
        <w:rPr>
          <w:rFonts w:ascii="Georgia" w:hAnsi="Georgia" w:cs="Arial"/>
        </w:rPr>
      </w:pPr>
      <w:r w:rsidRPr="00FB171D">
        <w:rPr>
          <w:rFonts w:ascii="Georgia" w:hAnsi="Georgia" w:cs="Arial"/>
        </w:rPr>
        <w:t>Protecting and Enhancing All Sensory Health for Synaptic Resilience</w:t>
      </w:r>
    </w:p>
    <w:p w14:paraId="05D727B6" w14:textId="77777777" w:rsidR="00EC08A2" w:rsidRPr="00FB171D" w:rsidRDefault="00EC08A2" w:rsidP="00CF106F">
      <w:pPr>
        <w:pStyle w:val="Heading4"/>
        <w:rPr>
          <w:rFonts w:ascii="Georgia" w:hAnsi="Georgia" w:cs="Arial"/>
        </w:rPr>
      </w:pPr>
      <w:r w:rsidRPr="00FB171D">
        <w:rPr>
          <w:rFonts w:ascii="Georgia" w:hAnsi="Georgia" w:cs="Arial"/>
        </w:rPr>
        <w:t>Early Detection and Intervention</w:t>
      </w:r>
    </w:p>
    <w:p w14:paraId="2A1B129D" w14:textId="77777777" w:rsidR="00EC08A2" w:rsidRPr="00FB171D" w:rsidRDefault="00EC08A2" w:rsidP="00EC08A2">
      <w:pPr>
        <w:rPr>
          <w:rFonts w:ascii="Georgia" w:hAnsi="Georgia" w:cs="Arial"/>
        </w:rPr>
      </w:pPr>
      <w:r w:rsidRPr="00FB171D">
        <w:rPr>
          <w:rFonts w:ascii="Georgia" w:hAnsi="Georgia" w:cs="Arial"/>
        </w:rPr>
        <w:t>Routine screening for deficits in hearing, vision, touch (neuropathy), smell, taste, and proprioception can lead to timely treatments—assistive devices, physical therapy, sensory enrichment, and dietary adaptations—that help preserve brain health.</w:t>
      </w:r>
    </w:p>
    <w:p w14:paraId="6BA5CBED" w14:textId="77777777" w:rsidR="00EC08A2" w:rsidRPr="00FB171D" w:rsidRDefault="00EC08A2" w:rsidP="00CF106F">
      <w:pPr>
        <w:pStyle w:val="Heading4"/>
        <w:rPr>
          <w:rFonts w:ascii="Georgia" w:hAnsi="Georgia" w:cs="Arial"/>
        </w:rPr>
      </w:pPr>
      <w:r w:rsidRPr="00FB171D">
        <w:rPr>
          <w:rFonts w:ascii="Georgia" w:hAnsi="Georgia" w:cs="Arial"/>
        </w:rPr>
        <w:t>Environmental Enrichment and Sensory Stimulation</w:t>
      </w:r>
    </w:p>
    <w:p w14:paraId="528D3A75" w14:textId="77777777" w:rsidR="00EC08A2" w:rsidRPr="00FB171D" w:rsidRDefault="00EC08A2" w:rsidP="00EC08A2">
      <w:pPr>
        <w:rPr>
          <w:rFonts w:ascii="Georgia" w:hAnsi="Georgia" w:cs="Arial"/>
        </w:rPr>
      </w:pPr>
      <w:r w:rsidRPr="00FB171D">
        <w:rPr>
          <w:rFonts w:ascii="Georgia" w:hAnsi="Georgia" w:cs="Arial"/>
        </w:rPr>
        <w:t>Environments that are rich in sound, color, texture, flavor, scent, and movement opportunities provide the stimulation needed to maintain and expand synaptic networks. Engaging in cooking, gardening, tactile arts, dance, or mindful movement practices can activate multiple senses at once, maximizing neuroplasticity.</w:t>
      </w:r>
    </w:p>
    <w:p w14:paraId="0F0881FC" w14:textId="77777777" w:rsidR="00EC08A2" w:rsidRPr="00FB171D" w:rsidRDefault="00EC08A2" w:rsidP="00CF106F">
      <w:pPr>
        <w:pStyle w:val="Heading4"/>
        <w:rPr>
          <w:rFonts w:ascii="Georgia" w:hAnsi="Georgia" w:cs="Arial"/>
        </w:rPr>
      </w:pPr>
      <w:r w:rsidRPr="00FB171D">
        <w:rPr>
          <w:rFonts w:ascii="Georgia" w:hAnsi="Georgia" w:cs="Arial"/>
        </w:rPr>
        <w:t>Holistic Lifestyle Factors</w:t>
      </w:r>
    </w:p>
    <w:p w14:paraId="546F4E1A" w14:textId="77777777" w:rsidR="00EC08A2" w:rsidRPr="00FB171D" w:rsidRDefault="00EC08A2" w:rsidP="00EC08A2">
      <w:pPr>
        <w:rPr>
          <w:rFonts w:ascii="Georgia" w:hAnsi="Georgia" w:cs="Arial"/>
        </w:rPr>
      </w:pPr>
      <w:r w:rsidRPr="00FB171D">
        <w:rPr>
          <w:rFonts w:ascii="Georgia" w:hAnsi="Georgia" w:cs="Arial"/>
        </w:rPr>
        <w:t>A lifestyle that includes regular exercise, healthy diet, social interaction, stress management, and avoidance of sensory toxins (such as loud noise, neurotoxic chemicals, or poor nutrition) is fundamental to protecting all sensory channels and, by extension, synaptic robustness.</w:t>
      </w:r>
    </w:p>
    <w:p w14:paraId="2480A9C3" w14:textId="6C99BA37" w:rsidR="005F3A7B" w:rsidRPr="00FB171D" w:rsidRDefault="00EC08A2" w:rsidP="00CF106F">
      <w:pPr>
        <w:pStyle w:val="Heading3"/>
        <w:rPr>
          <w:rFonts w:ascii="Georgia" w:hAnsi="Georgia" w:cs="Arial"/>
        </w:rPr>
      </w:pPr>
      <w:bookmarkStart w:id="95" w:name="_Toc209691129"/>
      <w:r w:rsidRPr="00FB171D">
        <w:rPr>
          <w:rFonts w:ascii="Georgia" w:hAnsi="Georgia" w:cs="Arial"/>
        </w:rPr>
        <w:t>Conclusion</w:t>
      </w:r>
      <w:bookmarkEnd w:id="95"/>
      <w:r w:rsidR="005F3A7B" w:rsidRPr="00FB171D">
        <w:rPr>
          <w:rFonts w:ascii="Georgia" w:hAnsi="Georgia" w:cs="Arial"/>
        </w:rPr>
        <w:t xml:space="preserve"> </w:t>
      </w:r>
    </w:p>
    <w:p w14:paraId="6C6A2386" w14:textId="77777777" w:rsidR="00CF106F" w:rsidRPr="00FB171D" w:rsidRDefault="00CF106F" w:rsidP="00CF106F">
      <w:pPr>
        <w:rPr>
          <w:rFonts w:ascii="Georgia" w:hAnsi="Georgia" w:cs="Arial"/>
        </w:rPr>
      </w:pPr>
      <w:r w:rsidRPr="00FB171D">
        <w:rPr>
          <w:rFonts w:ascii="Georgia" w:hAnsi="Georgia" w:cs="Arial"/>
        </w:rPr>
        <w:t>Hearing and vision serve as crucial gateways to the brain’s synaptic networks, shaping cognitive resilience and fostering lifelong adaptability. Yet, brain health is intricately linked not only to auditory and visual input, but also to the continual engagement of touch, smell, taste, and proprioception. Each of these senses uniquely contributes to the architecture of our neural connections, reinforcing pathways essential for memory, perception, and executive function.</w:t>
      </w:r>
    </w:p>
    <w:p w14:paraId="64BE74D7" w14:textId="28980E52" w:rsidR="000D3069" w:rsidRPr="00FB171D" w:rsidRDefault="00CF106F" w:rsidP="00CF106F">
      <w:pPr>
        <w:rPr>
          <w:rFonts w:ascii="Georgia" w:hAnsi="Georgia" w:cs="Arial"/>
        </w:rPr>
      </w:pPr>
      <w:r w:rsidRPr="00FB171D">
        <w:rPr>
          <w:rFonts w:ascii="Georgia" w:hAnsi="Georgia" w:cs="Arial"/>
        </w:rPr>
        <w:t>Protecting and enhancing sensory health through early detection, correction, and intentional stimulation—whether through vibrant sights, rich sounds, tactile exploration, flavorful foods, evocative scents, or mindful movement—forms a comprehensive strategy for preserving synaptic vitality. By nurturing all channels of sensation throughout life, we support the adaptability and robustness of the brain, helping to delay cognitive decline and enhancing resilience against aging and disease. In sum, lifelong multisensory engagement—embracing hearing, vision, touch, smell, taste, and proprioception—stands at the heart of building and maintaining a healthy, dynamic neural network.</w:t>
      </w:r>
    </w:p>
    <w:p w14:paraId="28003725" w14:textId="77777777" w:rsidR="00DF4670" w:rsidRPr="00FB171D" w:rsidRDefault="00DF4670" w:rsidP="00B629F7">
      <w:pPr>
        <w:rPr>
          <w:rFonts w:ascii="Georgia" w:hAnsi="Georgia" w:cs="Arial"/>
        </w:rPr>
      </w:pPr>
    </w:p>
    <w:p w14:paraId="1D21A31E" w14:textId="77777777" w:rsidR="00CE4FF5" w:rsidRPr="00FB171D" w:rsidRDefault="00CE4FF5" w:rsidP="00B629F7">
      <w:pPr>
        <w:rPr>
          <w:rFonts w:ascii="Georgia" w:hAnsi="Georgia" w:cs="Arial"/>
        </w:rPr>
      </w:pPr>
    </w:p>
    <w:p w14:paraId="5299F61C" w14:textId="77777777" w:rsidR="00CE4FF5" w:rsidRPr="00FB171D" w:rsidRDefault="00CE4FF5" w:rsidP="00B629F7">
      <w:pPr>
        <w:rPr>
          <w:rFonts w:ascii="Georgia" w:hAnsi="Georgia" w:cs="Arial"/>
        </w:rPr>
      </w:pPr>
    </w:p>
    <w:p w14:paraId="0AB72209" w14:textId="77777777" w:rsidR="00CE4FF5" w:rsidRPr="00FB171D" w:rsidRDefault="00CE4FF5" w:rsidP="00B629F7">
      <w:pPr>
        <w:rPr>
          <w:rFonts w:ascii="Georgia" w:hAnsi="Georgia" w:cs="Arial"/>
        </w:rPr>
      </w:pPr>
    </w:p>
    <w:p w14:paraId="03B85EFD" w14:textId="77777777" w:rsidR="00CE4FF5" w:rsidRPr="00FB171D" w:rsidRDefault="00CE4FF5" w:rsidP="00B629F7">
      <w:pPr>
        <w:rPr>
          <w:rFonts w:ascii="Georgia" w:hAnsi="Georgia" w:cs="Arial"/>
        </w:rPr>
      </w:pPr>
    </w:p>
    <w:p w14:paraId="2CF4279E" w14:textId="64E04ED3" w:rsidR="00CE4FF5" w:rsidRPr="00FB171D" w:rsidRDefault="00BF5CE9" w:rsidP="00F7451B">
      <w:pPr>
        <w:pStyle w:val="Heading2"/>
        <w:rPr>
          <w:rFonts w:ascii="Georgia" w:hAnsi="Georgia" w:cs="Arial"/>
        </w:rPr>
      </w:pPr>
      <w:bookmarkStart w:id="96" w:name="_Toc209691130"/>
      <w:r w:rsidRPr="00FB171D">
        <w:rPr>
          <w:rFonts w:ascii="Georgia" w:hAnsi="Georgia" w:cs="Arial"/>
        </w:rPr>
        <w:t>Reducing inflammation in the brain</w:t>
      </w:r>
      <w:bookmarkEnd w:id="96"/>
    </w:p>
    <w:p w14:paraId="305DFDE5" w14:textId="77777777" w:rsidR="0064414A" w:rsidRPr="00FB171D" w:rsidRDefault="0064414A" w:rsidP="0064414A">
      <w:pPr>
        <w:rPr>
          <w:rFonts w:ascii="Georgia" w:hAnsi="Georgia" w:cs="Arial"/>
        </w:rPr>
      </w:pPr>
      <w:r w:rsidRPr="00FB171D">
        <w:rPr>
          <w:rFonts w:ascii="Georgia" w:hAnsi="Georgia" w:cs="Arial"/>
        </w:rPr>
        <w:t>Reducing inflammation in the brain involves both accurate assessment and targeted intervention, as neuroinflammation underlies many neurodegenerative conditions and contributes to cognitive decline.</w:t>
      </w:r>
    </w:p>
    <w:p w14:paraId="4E854850" w14:textId="77777777" w:rsidR="0064414A" w:rsidRPr="00FB171D" w:rsidRDefault="0064414A" w:rsidP="00A83774">
      <w:pPr>
        <w:pStyle w:val="Heading4"/>
        <w:rPr>
          <w:rFonts w:ascii="Georgia" w:hAnsi="Georgia" w:cs="Arial"/>
        </w:rPr>
      </w:pPr>
      <w:r w:rsidRPr="00FB171D">
        <w:rPr>
          <w:rFonts w:ascii="Georgia" w:hAnsi="Georgia" w:cs="Arial"/>
        </w:rPr>
        <w:t>Measuring Brain Inflammation</w:t>
      </w:r>
    </w:p>
    <w:p w14:paraId="1E1BE18F" w14:textId="77777777" w:rsidR="0064414A" w:rsidRPr="00FB171D" w:rsidRDefault="0064414A" w:rsidP="0064414A">
      <w:pPr>
        <w:rPr>
          <w:rFonts w:ascii="Georgia" w:hAnsi="Georgia" w:cs="Arial"/>
        </w:rPr>
      </w:pPr>
      <w:r w:rsidRPr="00FB171D">
        <w:rPr>
          <w:rFonts w:ascii="Georgia" w:hAnsi="Georgia" w:cs="Arial"/>
        </w:rPr>
        <w:t>Direct measurement of neuroinflammation is challenging, but advances in neuroimaging and molecular diagnostics are making it more accessible. Positron Emission Tomography (PET) scans using radiolabeled tracers—such as those targeting the Translocator Protein (TSPO)—can visualize activated microglia and astrocytes in the living brain, offering a window into inflammatory processes. Blood and cerebrospinal fluid (CSF) biomarkers, including inflammatory cytokines (IL-6, TNF-alpha, IL-1β), C-reactive protein (CRP), and neurofilament light chain (NfL), may indicate ongoing neuroinflammation indirectly. Additionally, advanced MRI techniques can detect subtle changes in brain structure and perfusion that correlate with inflammation.</w:t>
      </w:r>
    </w:p>
    <w:p w14:paraId="22243E19" w14:textId="77777777" w:rsidR="0064414A" w:rsidRPr="00FB171D" w:rsidRDefault="0064414A" w:rsidP="00A83774">
      <w:pPr>
        <w:pStyle w:val="Heading4"/>
        <w:rPr>
          <w:rFonts w:ascii="Georgia" w:hAnsi="Georgia" w:cs="Arial"/>
        </w:rPr>
      </w:pPr>
      <w:r w:rsidRPr="00FB171D">
        <w:rPr>
          <w:rFonts w:ascii="Georgia" w:hAnsi="Georgia" w:cs="Arial"/>
        </w:rPr>
        <w:t>Treatment Approaches</w:t>
      </w:r>
    </w:p>
    <w:p w14:paraId="383974F2" w14:textId="77777777" w:rsidR="0064414A" w:rsidRPr="00FB171D" w:rsidRDefault="0064414A" w:rsidP="0064414A">
      <w:pPr>
        <w:rPr>
          <w:rFonts w:ascii="Georgia" w:hAnsi="Georgia" w:cs="Arial"/>
        </w:rPr>
      </w:pPr>
      <w:r w:rsidRPr="00FB171D">
        <w:rPr>
          <w:rFonts w:ascii="Georgia" w:hAnsi="Georgia" w:cs="Arial"/>
        </w:rPr>
        <w:t>Addressing brain inflammation requires a combination of lifestyle optimization, disease-specific therapy, and, in select cases, innovative biologic interventions:</w:t>
      </w:r>
    </w:p>
    <w:p w14:paraId="76DEB9DA" w14:textId="77777777" w:rsidR="0064414A" w:rsidRPr="00FB171D" w:rsidRDefault="0064414A" w:rsidP="00A83774">
      <w:pPr>
        <w:pStyle w:val="Heading4"/>
        <w:rPr>
          <w:rFonts w:ascii="Georgia" w:hAnsi="Georgia" w:cs="Arial"/>
        </w:rPr>
      </w:pPr>
      <w:r w:rsidRPr="00FB171D">
        <w:rPr>
          <w:rFonts w:ascii="Georgia" w:hAnsi="Georgia" w:cs="Arial"/>
        </w:rPr>
        <w:t>Medications That Cross the Blood-Brain Barrier (BBB)</w:t>
      </w:r>
    </w:p>
    <w:p w14:paraId="300393FF" w14:textId="77777777" w:rsidR="0064414A" w:rsidRPr="00FB171D" w:rsidRDefault="0064414A" w:rsidP="0064414A">
      <w:pPr>
        <w:rPr>
          <w:rFonts w:ascii="Georgia" w:hAnsi="Georgia" w:cs="Arial"/>
        </w:rPr>
      </w:pPr>
      <w:r w:rsidRPr="00FB171D">
        <w:rPr>
          <w:rFonts w:ascii="Georgia" w:hAnsi="Georgia" w:cs="Arial"/>
        </w:rPr>
        <w:t>A major challenge in neuroinflammation therapy is the BBB, a selective barrier that limits entry of many drugs into the brain. However, some agents can cross and have demonstrated anti-inflammatory effects:</w:t>
      </w:r>
    </w:p>
    <w:p w14:paraId="0AF897F6" w14:textId="77777777" w:rsidR="0064414A" w:rsidRPr="00FB171D" w:rsidRDefault="0064414A" w:rsidP="00734CAC">
      <w:pPr>
        <w:pStyle w:val="ListParagraph"/>
        <w:numPr>
          <w:ilvl w:val="0"/>
          <w:numId w:val="80"/>
        </w:numPr>
        <w:rPr>
          <w:rFonts w:ascii="Georgia" w:hAnsi="Georgia" w:cs="Arial"/>
        </w:rPr>
      </w:pPr>
      <w:r w:rsidRPr="00FB171D">
        <w:rPr>
          <w:rFonts w:ascii="Georgia" w:hAnsi="Georgia" w:cs="Arial"/>
        </w:rPr>
        <w:t>Minocycline: An antibiotic with neuroprotective and microglia-modulating properties.</w:t>
      </w:r>
    </w:p>
    <w:p w14:paraId="02BE31F5" w14:textId="77777777" w:rsidR="0064414A" w:rsidRPr="00FB171D" w:rsidRDefault="0064414A" w:rsidP="00734CAC">
      <w:pPr>
        <w:pStyle w:val="ListParagraph"/>
        <w:numPr>
          <w:ilvl w:val="0"/>
          <w:numId w:val="80"/>
        </w:numPr>
        <w:rPr>
          <w:rFonts w:ascii="Georgia" w:hAnsi="Georgia" w:cs="Arial"/>
        </w:rPr>
      </w:pPr>
      <w:r w:rsidRPr="00FB171D">
        <w:rPr>
          <w:rFonts w:ascii="Georgia" w:hAnsi="Georgia" w:cs="Arial"/>
        </w:rPr>
        <w:t>Nonsteroidal Anti-Inflammatory Drugs (NSAIDs): Some, such as ibuprofen, cross the BBB but their long-term efficacy in chronic neurodegenerative diseases remains debated.</w:t>
      </w:r>
    </w:p>
    <w:p w14:paraId="6BFAB1FE" w14:textId="77777777" w:rsidR="0064414A" w:rsidRPr="00FB171D" w:rsidRDefault="0064414A" w:rsidP="00734CAC">
      <w:pPr>
        <w:pStyle w:val="ListParagraph"/>
        <w:numPr>
          <w:ilvl w:val="0"/>
          <w:numId w:val="80"/>
        </w:numPr>
        <w:rPr>
          <w:rFonts w:ascii="Georgia" w:hAnsi="Georgia" w:cs="Arial"/>
        </w:rPr>
      </w:pPr>
      <w:r w:rsidRPr="00FB171D">
        <w:rPr>
          <w:rFonts w:ascii="Georgia" w:hAnsi="Georgia" w:cs="Arial"/>
        </w:rPr>
        <w:t>Corticosteroids: Potent anti-inflammatories, but their use is limited by side effects and risk of immunosuppression.</w:t>
      </w:r>
    </w:p>
    <w:p w14:paraId="5DA5CF67" w14:textId="77777777" w:rsidR="0064414A" w:rsidRPr="00FB171D" w:rsidRDefault="0064414A" w:rsidP="00734CAC">
      <w:pPr>
        <w:pStyle w:val="ListParagraph"/>
        <w:numPr>
          <w:ilvl w:val="0"/>
          <w:numId w:val="80"/>
        </w:numPr>
        <w:rPr>
          <w:rFonts w:ascii="Georgia" w:hAnsi="Georgia" w:cs="Arial"/>
        </w:rPr>
      </w:pPr>
      <w:r w:rsidRPr="00FB171D">
        <w:rPr>
          <w:rFonts w:ascii="Georgia" w:hAnsi="Georgia" w:cs="Arial"/>
        </w:rPr>
        <w:t>Hydrogen (H</w:t>
      </w:r>
      <w:r w:rsidRPr="00FB171D">
        <w:rPr>
          <w:rFonts w:ascii="Georgia" w:hAnsi="Georgia" w:cs="Cambria Math"/>
        </w:rPr>
        <w:t>₂</w:t>
      </w:r>
      <w:r w:rsidRPr="00FB171D">
        <w:rPr>
          <w:rFonts w:ascii="Georgia" w:hAnsi="Georgia" w:cs="Arial"/>
        </w:rPr>
        <w:t>) Therapy: Molecular hydrogen, administered as inhaled gas or dissolved in water, can diffuse across the BBB and act as a selective antioxidant, reducing oxidative stress and inflammation in animal and early human studies.</w:t>
      </w:r>
    </w:p>
    <w:p w14:paraId="65DF0B1E" w14:textId="77777777" w:rsidR="0064414A" w:rsidRPr="00FB171D" w:rsidRDefault="0064414A" w:rsidP="00734CAC">
      <w:pPr>
        <w:pStyle w:val="ListParagraph"/>
        <w:numPr>
          <w:ilvl w:val="0"/>
          <w:numId w:val="80"/>
        </w:numPr>
        <w:rPr>
          <w:rFonts w:ascii="Georgia" w:hAnsi="Georgia" w:cs="Arial"/>
        </w:rPr>
      </w:pPr>
      <w:r w:rsidRPr="00FB171D">
        <w:rPr>
          <w:rFonts w:ascii="Georgia" w:hAnsi="Georgia" w:cs="Arial"/>
        </w:rPr>
        <w:t>Astaxanthin: A carotenoid with potent antioxidant and anti-inflammatory effects, shown to cross the BBB in preclinical studies.</w:t>
      </w:r>
    </w:p>
    <w:p w14:paraId="4A34C758" w14:textId="77777777" w:rsidR="0064414A" w:rsidRPr="00FB171D" w:rsidRDefault="0064414A" w:rsidP="00A83774">
      <w:pPr>
        <w:pStyle w:val="Heading4"/>
        <w:rPr>
          <w:rFonts w:ascii="Georgia" w:hAnsi="Georgia" w:cs="Arial"/>
        </w:rPr>
      </w:pPr>
      <w:r w:rsidRPr="00FB171D">
        <w:rPr>
          <w:rFonts w:ascii="Georgia" w:hAnsi="Georgia" w:cs="Arial"/>
        </w:rPr>
        <w:t>Peptides</w:t>
      </w:r>
    </w:p>
    <w:p w14:paraId="2C38B038" w14:textId="77777777" w:rsidR="0064414A" w:rsidRPr="00FB171D" w:rsidRDefault="0064414A" w:rsidP="0064414A">
      <w:pPr>
        <w:rPr>
          <w:rFonts w:ascii="Georgia" w:hAnsi="Georgia" w:cs="Arial"/>
        </w:rPr>
      </w:pPr>
      <w:r w:rsidRPr="00FB171D">
        <w:rPr>
          <w:rFonts w:ascii="Georgia" w:hAnsi="Georgia" w:cs="Arial"/>
        </w:rPr>
        <w:t>Several bioactive peptides show promise for modulating neuroinflammation. For example, thymosin beta-4 and semax have demonstrated anti-inflammatory and neuroprotective properties in preclinical models. These peptides may reduce cytokine production, stabilize neural tissue, and promote repair, though more clinical research is needed.</w:t>
      </w:r>
    </w:p>
    <w:p w14:paraId="402A274C" w14:textId="77777777" w:rsidR="0064414A" w:rsidRPr="00FB171D" w:rsidRDefault="0064414A" w:rsidP="00A83774">
      <w:pPr>
        <w:pStyle w:val="Heading4"/>
        <w:rPr>
          <w:rFonts w:ascii="Georgia" w:hAnsi="Georgia" w:cs="Arial"/>
        </w:rPr>
      </w:pPr>
      <w:r w:rsidRPr="00FB171D">
        <w:rPr>
          <w:rFonts w:ascii="Georgia" w:hAnsi="Georgia" w:cs="Arial"/>
        </w:rPr>
        <w:t>Stem Cells and Exosomes</w:t>
      </w:r>
    </w:p>
    <w:p w14:paraId="212D3E7C" w14:textId="77777777" w:rsidR="0064414A" w:rsidRPr="00FB171D" w:rsidRDefault="0064414A" w:rsidP="0064414A">
      <w:pPr>
        <w:rPr>
          <w:rFonts w:ascii="Georgia" w:hAnsi="Georgia" w:cs="Arial"/>
        </w:rPr>
      </w:pPr>
      <w:r w:rsidRPr="00FB171D">
        <w:rPr>
          <w:rFonts w:ascii="Georgia" w:hAnsi="Georgia" w:cs="Arial"/>
        </w:rPr>
        <w:t>Regenerative medicine is unlocking new potential for treating neuroinflammation:</w:t>
      </w:r>
    </w:p>
    <w:p w14:paraId="1B50235E" w14:textId="77777777" w:rsidR="0064414A" w:rsidRPr="00FB171D" w:rsidRDefault="0064414A" w:rsidP="00734CAC">
      <w:pPr>
        <w:pStyle w:val="ListParagraph"/>
        <w:numPr>
          <w:ilvl w:val="0"/>
          <w:numId w:val="81"/>
        </w:numPr>
        <w:rPr>
          <w:rFonts w:ascii="Georgia" w:hAnsi="Georgia" w:cs="Arial"/>
        </w:rPr>
      </w:pPr>
      <w:r w:rsidRPr="00FB171D">
        <w:rPr>
          <w:rFonts w:ascii="Georgia" w:hAnsi="Georgia" w:cs="Arial"/>
        </w:rPr>
        <w:t>Mesenchymal Stem Cells (MSCs): These multipotent cells, when administered intravenously or intrathecally, can migrate to injury sites, secrete anti-inflammatory cytokines, and modulate immune responses. Early clinical trials suggest safety and possible efficacy in some neurodegenerative conditions.</w:t>
      </w:r>
    </w:p>
    <w:p w14:paraId="3B11F0EB" w14:textId="77777777" w:rsidR="0064414A" w:rsidRPr="00FB171D" w:rsidRDefault="0064414A" w:rsidP="00734CAC">
      <w:pPr>
        <w:pStyle w:val="ListParagraph"/>
        <w:numPr>
          <w:ilvl w:val="0"/>
          <w:numId w:val="81"/>
        </w:numPr>
        <w:rPr>
          <w:rFonts w:ascii="Georgia" w:hAnsi="Georgia" w:cs="Arial"/>
        </w:rPr>
      </w:pPr>
      <w:r w:rsidRPr="00FB171D">
        <w:rPr>
          <w:rFonts w:ascii="Georgia" w:hAnsi="Georgia" w:cs="Arial"/>
        </w:rPr>
        <w:t>Exosomes: Nano-sized vesicles secreted by stem cells, exosomes can cross the BBB and deliver anti-inflammatory and neuroprotective molecules directly to neurons and glial cells, reducing inflammation and supporting repair.</w:t>
      </w:r>
    </w:p>
    <w:p w14:paraId="3AE1EB9F" w14:textId="77777777" w:rsidR="0064414A" w:rsidRPr="00FB171D" w:rsidRDefault="0064414A" w:rsidP="00A83774">
      <w:pPr>
        <w:pStyle w:val="Heading4"/>
        <w:rPr>
          <w:rFonts w:ascii="Georgia" w:hAnsi="Georgia" w:cs="Arial"/>
        </w:rPr>
      </w:pPr>
      <w:r w:rsidRPr="00FB171D">
        <w:rPr>
          <w:rFonts w:ascii="Georgia" w:hAnsi="Georgia" w:cs="Arial"/>
        </w:rPr>
        <w:t>Other Strategies</w:t>
      </w:r>
    </w:p>
    <w:p w14:paraId="3D344C0E" w14:textId="77777777" w:rsidR="0064414A" w:rsidRPr="00FB171D" w:rsidRDefault="0064414A" w:rsidP="0064414A">
      <w:pPr>
        <w:rPr>
          <w:rFonts w:ascii="Georgia" w:hAnsi="Georgia" w:cs="Arial"/>
        </w:rPr>
      </w:pPr>
      <w:r w:rsidRPr="00FB171D">
        <w:rPr>
          <w:rFonts w:ascii="Georgia" w:hAnsi="Georgia" w:cs="Arial"/>
        </w:rPr>
        <w:t>Dietary and lifestyle interventions remain foundational: a Mediterranean-style diet rich in antioxidants, regular physical activity, management of metabolic risk factors (like diabetes and obesity), and adequate sleep can all reduce systemic and neural inflammation. Avoidance of environmental neurotoxins or chronic infections is critical.</w:t>
      </w:r>
    </w:p>
    <w:p w14:paraId="7B302A42" w14:textId="77777777" w:rsidR="0064414A" w:rsidRPr="00FB171D" w:rsidRDefault="0064414A" w:rsidP="00A83774">
      <w:pPr>
        <w:pStyle w:val="Heading4"/>
        <w:rPr>
          <w:rFonts w:ascii="Georgia" w:hAnsi="Georgia" w:cs="Arial"/>
        </w:rPr>
      </w:pPr>
      <w:r w:rsidRPr="00FB171D">
        <w:rPr>
          <w:rFonts w:ascii="Georgia" w:hAnsi="Georgia" w:cs="Arial"/>
        </w:rPr>
        <w:t>Emerging and Adjunctive Therapies</w:t>
      </w:r>
    </w:p>
    <w:p w14:paraId="1AF22B6A" w14:textId="77777777" w:rsidR="0064414A" w:rsidRPr="00FB171D" w:rsidRDefault="0064414A" w:rsidP="0064414A">
      <w:pPr>
        <w:rPr>
          <w:rFonts w:ascii="Georgia" w:hAnsi="Georgia" w:cs="Arial"/>
        </w:rPr>
      </w:pPr>
      <w:r w:rsidRPr="00FB171D">
        <w:rPr>
          <w:rFonts w:ascii="Georgia" w:hAnsi="Georgia" w:cs="Arial"/>
        </w:rPr>
        <w:t>- Hyperbaric Oxygen Therapy (HBOT) is being explored for its anti-inflammatory and neuroregenerative effects.</w:t>
      </w:r>
    </w:p>
    <w:p w14:paraId="2A07A3A0" w14:textId="77777777" w:rsidR="0064414A" w:rsidRPr="00FB171D" w:rsidRDefault="0064414A" w:rsidP="0064414A">
      <w:pPr>
        <w:rPr>
          <w:rFonts w:ascii="Georgia" w:hAnsi="Georgia" w:cs="Arial"/>
        </w:rPr>
      </w:pPr>
      <w:r w:rsidRPr="00FB171D">
        <w:rPr>
          <w:rFonts w:ascii="Georgia" w:hAnsi="Georgia" w:cs="Arial"/>
        </w:rPr>
        <w:t>- NAD+ precursors may support mitochondrial health and reduce neuroinflammation.</w:t>
      </w:r>
    </w:p>
    <w:p w14:paraId="4DB97B2E" w14:textId="77777777" w:rsidR="0064414A" w:rsidRPr="00FB171D" w:rsidRDefault="0064414A" w:rsidP="0064414A">
      <w:pPr>
        <w:rPr>
          <w:rFonts w:ascii="Georgia" w:hAnsi="Georgia" w:cs="Arial"/>
        </w:rPr>
      </w:pPr>
      <w:r w:rsidRPr="00FB171D">
        <w:rPr>
          <w:rFonts w:ascii="Georgia" w:hAnsi="Georgia" w:cs="Arial"/>
        </w:rPr>
        <w:t>- Agents targeting advanced glycation end-products (AGEs) and supporting blood-brain barrier integrity are under investigation.</w:t>
      </w:r>
    </w:p>
    <w:p w14:paraId="5DB2F4C2" w14:textId="77777777" w:rsidR="00F7451B" w:rsidRPr="00FB171D" w:rsidRDefault="0064414A" w:rsidP="0064414A">
      <w:pPr>
        <w:rPr>
          <w:rFonts w:ascii="Georgia" w:hAnsi="Georgia" w:cs="Arial"/>
        </w:rPr>
      </w:pPr>
      <w:r w:rsidRPr="00FB171D">
        <w:rPr>
          <w:rFonts w:ascii="Georgia" w:hAnsi="Georgia" w:cs="Arial"/>
        </w:rPr>
        <w:t>Ultimately, a personalized, multimodal approach—combining early detection, lifestyle modification, and targeted therapy—offers the greatest promise for reducing brain inflammation and preserving cognitive health.</w:t>
      </w:r>
    </w:p>
    <w:p w14:paraId="6EF48A78" w14:textId="77777777" w:rsidR="00F7451B" w:rsidRPr="00FB171D" w:rsidRDefault="00F7451B" w:rsidP="00F7451B">
      <w:pPr>
        <w:rPr>
          <w:rFonts w:ascii="Georgia" w:hAnsi="Georgia" w:cs="Arial"/>
        </w:rPr>
      </w:pPr>
      <w:r w:rsidRPr="00FB171D">
        <w:rPr>
          <w:rFonts w:ascii="Georgia" w:hAnsi="Georgia" w:cs="Arial"/>
        </w:rPr>
        <w:t>Reducing inflammation in the brain</w:t>
      </w:r>
    </w:p>
    <w:p w14:paraId="5D808546" w14:textId="77777777" w:rsidR="00F7451B" w:rsidRPr="00FB171D" w:rsidRDefault="00F7451B" w:rsidP="00F7451B">
      <w:pPr>
        <w:rPr>
          <w:rFonts w:ascii="Georgia" w:hAnsi="Georgia" w:cs="Arial"/>
        </w:rPr>
      </w:pPr>
      <w:r w:rsidRPr="00FB171D">
        <w:rPr>
          <w:rFonts w:ascii="Georgia" w:hAnsi="Georgia" w:cs="Arial"/>
        </w:rPr>
        <w:t>Reducing inflammation in the brain involves both accurate assessment and targeted intervention, as neuroinflammation underlies many neurodegenerative conditions and contributes to cognitive decline.</w:t>
      </w:r>
    </w:p>
    <w:p w14:paraId="2E3393DD" w14:textId="77777777" w:rsidR="00F7451B" w:rsidRPr="00FB171D" w:rsidRDefault="00F7451B" w:rsidP="00F7451B">
      <w:pPr>
        <w:rPr>
          <w:rFonts w:ascii="Georgia" w:hAnsi="Georgia" w:cs="Arial"/>
        </w:rPr>
      </w:pPr>
      <w:r w:rsidRPr="00FB171D">
        <w:rPr>
          <w:rFonts w:ascii="Georgia" w:hAnsi="Georgia" w:cs="Arial"/>
        </w:rPr>
        <w:t>The Gut-Brain Axis and Neuroinflammation</w:t>
      </w:r>
    </w:p>
    <w:p w14:paraId="65583011" w14:textId="77777777" w:rsidR="00F7451B" w:rsidRPr="00FB171D" w:rsidRDefault="00F7451B" w:rsidP="00F7451B">
      <w:pPr>
        <w:rPr>
          <w:rFonts w:ascii="Georgia" w:hAnsi="Georgia" w:cs="Arial"/>
        </w:rPr>
      </w:pPr>
      <w:r w:rsidRPr="00FB171D">
        <w:rPr>
          <w:rFonts w:ascii="Georgia" w:hAnsi="Georgia" w:cs="Arial"/>
        </w:rPr>
        <w:t>Increasing evidence highlights the crucial role of the gut-brain axis in regulating neuroinflammation and overall brain health. The gut-brain axis refers to the bidirectional communication network involving the central nervous system, the enteric nervous system, and the gut microbiome. The composition and diversity of gut microbiota profoundly influence immune signaling, neurotransmitter production, and inflammatory responses both locally and in the brain. Disruptions in the gut microbiome—such as those caused by poor diet, antibiotics, chronic stress, or infection—can lead to increased intestinal permeability ("leaky gut"), allowing pro-inflammatory molecules and endotoxins to enter the bloodstream. These substances can cross or affect the blood-brain barrier, activating microglia and triggering neuroinflammatory cascades.</w:t>
      </w:r>
    </w:p>
    <w:p w14:paraId="67964BE5" w14:textId="0547747D" w:rsidR="008D71AD" w:rsidRPr="00FB171D" w:rsidRDefault="00CC7C6E" w:rsidP="00CC7C6E">
      <w:pPr>
        <w:rPr>
          <w:rFonts w:ascii="Georgia" w:hAnsi="Georgia" w:cs="Arial"/>
        </w:rPr>
      </w:pPr>
      <w:r w:rsidRPr="00FB171D">
        <w:rPr>
          <w:rFonts w:ascii="Georgia" w:hAnsi="Georgia" w:cs="Arial"/>
        </w:rPr>
        <w:t>Beyond the bloodstream, another intriguing pathway for gut-derived inflammation to influence the brain involves direct neural signaling—specifically, the retrograde transport of inflammatory signals along nerves, such as the vagus nerve, that connect the gut and the central nervous system. The vagus nerve operates as a critical bi-directional communication superhighway, carrying sensory information from the gut to the brainstem. Emerging research suggests that neuroimmune interactions along these fibers can permit the direct transmission of inflammatory mediators, cytokines, or even pathogen-derived molecules from the gut to the brain. This retrograde neural transport can activate microglia and astrocytes, contributing to neuroinflammation without the need for circulating immune cells or systemic spillover. In certain contexts, such as gastrointestinal infections or chronic intestinal inflammation, this neural conduit may amplify the brain’s inflammatory response, highlighting the complexity of gut-brain crosstalk and underscoring the importance of maintaining both gut and neural health to protect cognitive function.</w:t>
      </w:r>
    </w:p>
    <w:p w14:paraId="70517251" w14:textId="77777777" w:rsidR="00F7451B" w:rsidRPr="00FB171D" w:rsidRDefault="00F7451B" w:rsidP="00F7451B">
      <w:pPr>
        <w:rPr>
          <w:rFonts w:ascii="Georgia" w:hAnsi="Georgia" w:cs="Arial"/>
        </w:rPr>
      </w:pPr>
      <w:r w:rsidRPr="00FB171D">
        <w:rPr>
          <w:rFonts w:ascii="Georgia" w:hAnsi="Georgia" w:cs="Arial"/>
        </w:rPr>
        <w:t>Supporting a healthy gut through a fiber-rich, diverse diet (e.g., Mediterranean-style), probiotics, prebiotics, and reduced intake of processed foods may reduce systemic inflammation, strengthen the blood-brain barrier, and decrease neuroinflammation risk. Lifestyle measures including stress management and adequate sleep also modulate gut microbiota balance, further supporting the gut-brain connection.</w:t>
      </w:r>
    </w:p>
    <w:p w14:paraId="32DC3538" w14:textId="77777777" w:rsidR="00F7451B" w:rsidRPr="00FB171D" w:rsidRDefault="00F7451B" w:rsidP="00F7451B">
      <w:pPr>
        <w:rPr>
          <w:rFonts w:ascii="Georgia" w:hAnsi="Georgia" w:cs="Arial"/>
        </w:rPr>
      </w:pPr>
      <w:r w:rsidRPr="00FB171D">
        <w:rPr>
          <w:rFonts w:ascii="Georgia" w:hAnsi="Georgia" w:cs="Arial"/>
        </w:rPr>
        <w:t>Measuring Brain Inflammation</w:t>
      </w:r>
    </w:p>
    <w:p w14:paraId="74082276" w14:textId="77777777" w:rsidR="00F7451B" w:rsidRPr="00FB171D" w:rsidRDefault="00F7451B" w:rsidP="00F7451B">
      <w:pPr>
        <w:rPr>
          <w:rFonts w:ascii="Georgia" w:hAnsi="Georgia" w:cs="Arial"/>
        </w:rPr>
      </w:pPr>
      <w:r w:rsidRPr="00FB171D">
        <w:rPr>
          <w:rFonts w:ascii="Georgia" w:hAnsi="Georgia" w:cs="Arial"/>
        </w:rPr>
        <w:t>Direct measurement of neuroinflammation is challenging, but advances in neuroimaging and molecular diagnostics are making it more accessible. Positron Emission Tomography (PET) scans using radiolabeled tracers—such as those targeting the Translocator Protein (TSPO)—can visualize activated microglia and astrocytes in the living brain, offering a window into inflammatory processes. Blood and cerebrospinal fluid (CSF) biomarkers, including inflammatory cytokines (IL-6, TNF-alpha, IL-1β), C-reactive protein (CRP), and neurofilament light chain (NfL), may indicate ongoing neuroinflammation indirectly. Additionally, advanced MRI techniques can detect subtle changes in brain structure and perfusion that correlate with inflammation.</w:t>
      </w:r>
    </w:p>
    <w:p w14:paraId="543BBE7B" w14:textId="77777777" w:rsidR="00F7451B" w:rsidRPr="00FB171D" w:rsidRDefault="00F7451B" w:rsidP="00F7451B">
      <w:pPr>
        <w:rPr>
          <w:rFonts w:ascii="Georgia" w:hAnsi="Georgia" w:cs="Arial"/>
        </w:rPr>
      </w:pPr>
      <w:r w:rsidRPr="00FB171D">
        <w:rPr>
          <w:rFonts w:ascii="Georgia" w:hAnsi="Georgia" w:cs="Arial"/>
        </w:rPr>
        <w:t>Treatment Approaches</w:t>
      </w:r>
    </w:p>
    <w:p w14:paraId="4F02854C" w14:textId="77777777" w:rsidR="00F7451B" w:rsidRPr="00FB171D" w:rsidRDefault="00F7451B" w:rsidP="00F7451B">
      <w:pPr>
        <w:rPr>
          <w:rFonts w:ascii="Georgia" w:hAnsi="Georgia" w:cs="Arial"/>
        </w:rPr>
      </w:pPr>
      <w:r w:rsidRPr="00FB171D">
        <w:rPr>
          <w:rFonts w:ascii="Georgia" w:hAnsi="Georgia" w:cs="Arial"/>
        </w:rPr>
        <w:t>Addressing brain inflammation requires a combination of lifestyle optimization, disease-specific therapy, and, in select cases, innovative biologic interventions:</w:t>
      </w:r>
    </w:p>
    <w:p w14:paraId="2FD80C53" w14:textId="77777777" w:rsidR="00F7451B" w:rsidRPr="00FB171D" w:rsidRDefault="00F7451B" w:rsidP="00F7451B">
      <w:pPr>
        <w:rPr>
          <w:rFonts w:ascii="Georgia" w:hAnsi="Georgia" w:cs="Arial"/>
        </w:rPr>
      </w:pPr>
      <w:r w:rsidRPr="00FB171D">
        <w:rPr>
          <w:rFonts w:ascii="Georgia" w:hAnsi="Georgia" w:cs="Arial"/>
        </w:rPr>
        <w:t>Medications That Cross the Blood-Brain Barrier (BBB)</w:t>
      </w:r>
    </w:p>
    <w:p w14:paraId="2102A75F" w14:textId="77777777" w:rsidR="00F7451B" w:rsidRPr="00FB171D" w:rsidRDefault="00F7451B" w:rsidP="00F7451B">
      <w:pPr>
        <w:rPr>
          <w:rFonts w:ascii="Georgia" w:hAnsi="Georgia" w:cs="Arial"/>
        </w:rPr>
      </w:pPr>
      <w:r w:rsidRPr="00FB171D">
        <w:rPr>
          <w:rFonts w:ascii="Georgia" w:hAnsi="Georgia" w:cs="Arial"/>
        </w:rPr>
        <w:t>A major challenge in neuroinflammation therapy is the BBB, a selective barrier that limits entry of many drugs into the brain. However, some agents can cross and have demonstrated anti-inflammatory effects:</w:t>
      </w:r>
    </w:p>
    <w:p w14:paraId="15826C76" w14:textId="77777777" w:rsidR="00F7451B" w:rsidRPr="00FB171D" w:rsidRDefault="00F7451B" w:rsidP="00734CAC">
      <w:pPr>
        <w:pStyle w:val="ListParagraph"/>
        <w:numPr>
          <w:ilvl w:val="0"/>
          <w:numId w:val="82"/>
        </w:numPr>
        <w:rPr>
          <w:rFonts w:ascii="Georgia" w:hAnsi="Georgia" w:cs="Arial"/>
        </w:rPr>
      </w:pPr>
      <w:r w:rsidRPr="00FB171D">
        <w:rPr>
          <w:rFonts w:ascii="Georgia" w:hAnsi="Georgia" w:cs="Arial"/>
        </w:rPr>
        <w:t>Minocycline: An antibiotic with neuroprotective and microglia-modulating properties.</w:t>
      </w:r>
    </w:p>
    <w:p w14:paraId="43F92D55" w14:textId="77777777" w:rsidR="00F7451B" w:rsidRPr="00FB171D" w:rsidRDefault="00F7451B" w:rsidP="00734CAC">
      <w:pPr>
        <w:pStyle w:val="ListParagraph"/>
        <w:numPr>
          <w:ilvl w:val="0"/>
          <w:numId w:val="82"/>
        </w:numPr>
        <w:rPr>
          <w:rFonts w:ascii="Georgia" w:hAnsi="Georgia" w:cs="Arial"/>
        </w:rPr>
      </w:pPr>
      <w:r w:rsidRPr="00FB171D">
        <w:rPr>
          <w:rFonts w:ascii="Georgia" w:hAnsi="Georgia" w:cs="Arial"/>
        </w:rPr>
        <w:t>Nonsteroidal Anti-Inflammatory Drugs (NSAIDs): Some, such as ibuprofen, cross the BBB but their long-term efficacy in chronic neurodegenerative diseases remains debated.</w:t>
      </w:r>
    </w:p>
    <w:p w14:paraId="40103B5E" w14:textId="77777777" w:rsidR="00F7451B" w:rsidRPr="00FB171D" w:rsidRDefault="00F7451B" w:rsidP="00734CAC">
      <w:pPr>
        <w:pStyle w:val="ListParagraph"/>
        <w:numPr>
          <w:ilvl w:val="0"/>
          <w:numId w:val="82"/>
        </w:numPr>
        <w:rPr>
          <w:rFonts w:ascii="Georgia" w:hAnsi="Georgia" w:cs="Arial"/>
        </w:rPr>
      </w:pPr>
      <w:r w:rsidRPr="00FB171D">
        <w:rPr>
          <w:rFonts w:ascii="Georgia" w:hAnsi="Georgia" w:cs="Arial"/>
        </w:rPr>
        <w:t>Corticosteroids: Potent anti-inflammatories, but their use is limited by side effects and risk of immunosuppression.</w:t>
      </w:r>
    </w:p>
    <w:p w14:paraId="2581C8BA" w14:textId="77777777" w:rsidR="00F7451B" w:rsidRPr="00FB171D" w:rsidRDefault="00F7451B" w:rsidP="00734CAC">
      <w:pPr>
        <w:pStyle w:val="ListParagraph"/>
        <w:numPr>
          <w:ilvl w:val="0"/>
          <w:numId w:val="82"/>
        </w:numPr>
        <w:rPr>
          <w:rFonts w:ascii="Georgia" w:hAnsi="Georgia" w:cs="Arial"/>
        </w:rPr>
      </w:pPr>
      <w:r w:rsidRPr="00FB171D">
        <w:rPr>
          <w:rFonts w:ascii="Georgia" w:hAnsi="Georgia" w:cs="Arial"/>
        </w:rPr>
        <w:t>Hydrogen (H</w:t>
      </w:r>
      <w:r w:rsidRPr="00FB171D">
        <w:rPr>
          <w:rFonts w:ascii="Georgia" w:hAnsi="Georgia" w:cs="Cambria Math"/>
        </w:rPr>
        <w:t>₂</w:t>
      </w:r>
      <w:r w:rsidRPr="00FB171D">
        <w:rPr>
          <w:rFonts w:ascii="Georgia" w:hAnsi="Georgia" w:cs="Arial"/>
        </w:rPr>
        <w:t>) Therapy: Molecular hydrogen, administered as inhaled gas or dissolved in water, can diffuse across the BBB and act as a selective antioxidant, reducing oxidative stress and inflammation in animal and early human studies.</w:t>
      </w:r>
    </w:p>
    <w:p w14:paraId="2C160EDB" w14:textId="77777777" w:rsidR="00F7451B" w:rsidRPr="00FB171D" w:rsidRDefault="00F7451B" w:rsidP="00734CAC">
      <w:pPr>
        <w:pStyle w:val="ListParagraph"/>
        <w:numPr>
          <w:ilvl w:val="0"/>
          <w:numId w:val="82"/>
        </w:numPr>
        <w:rPr>
          <w:rFonts w:ascii="Georgia" w:hAnsi="Georgia" w:cs="Arial"/>
        </w:rPr>
      </w:pPr>
      <w:r w:rsidRPr="00FB171D">
        <w:rPr>
          <w:rFonts w:ascii="Georgia" w:hAnsi="Georgia" w:cs="Arial"/>
        </w:rPr>
        <w:t>Astaxanthin: A carotenoid with potent antioxidant and anti-inflammatory effects, shown to cross the BBB in preclinical studies.</w:t>
      </w:r>
    </w:p>
    <w:p w14:paraId="23B30762" w14:textId="77777777" w:rsidR="00F7451B" w:rsidRPr="00FB171D" w:rsidRDefault="00F7451B" w:rsidP="00F7451B">
      <w:pPr>
        <w:rPr>
          <w:rFonts w:ascii="Georgia" w:hAnsi="Georgia" w:cs="Arial"/>
        </w:rPr>
      </w:pPr>
      <w:r w:rsidRPr="00FB171D">
        <w:rPr>
          <w:rFonts w:ascii="Georgia" w:hAnsi="Georgia" w:cs="Arial"/>
        </w:rPr>
        <w:t>Peptides</w:t>
      </w:r>
    </w:p>
    <w:p w14:paraId="7E908DDB" w14:textId="77777777" w:rsidR="00F7451B" w:rsidRPr="00FB171D" w:rsidRDefault="00F7451B" w:rsidP="00F7451B">
      <w:pPr>
        <w:rPr>
          <w:rFonts w:ascii="Georgia" w:hAnsi="Georgia" w:cs="Arial"/>
        </w:rPr>
      </w:pPr>
      <w:r w:rsidRPr="00FB171D">
        <w:rPr>
          <w:rFonts w:ascii="Georgia" w:hAnsi="Georgia" w:cs="Arial"/>
        </w:rPr>
        <w:t>Several bioactive peptides show promise for modulating neuroinflammation. For example, thymosin beta-4 and semax have demonstrated anti-inflammatory and neuroprotective properties in preclinical models. These peptides may reduce cytokine production, stabilize neural tissue, and promote repair, though more clinical research is needed.</w:t>
      </w:r>
    </w:p>
    <w:p w14:paraId="5D0A3350" w14:textId="77777777" w:rsidR="00F7451B" w:rsidRPr="00FB171D" w:rsidRDefault="00F7451B" w:rsidP="00F7451B">
      <w:pPr>
        <w:rPr>
          <w:rFonts w:ascii="Georgia" w:hAnsi="Georgia" w:cs="Arial"/>
        </w:rPr>
      </w:pPr>
      <w:r w:rsidRPr="00FB171D">
        <w:rPr>
          <w:rFonts w:ascii="Georgia" w:hAnsi="Georgia" w:cs="Arial"/>
        </w:rPr>
        <w:t>Stem Cells and Exosomes</w:t>
      </w:r>
    </w:p>
    <w:p w14:paraId="3643AF43" w14:textId="77777777" w:rsidR="00F7451B" w:rsidRPr="00FB171D" w:rsidRDefault="00F7451B" w:rsidP="00F7451B">
      <w:pPr>
        <w:rPr>
          <w:rFonts w:ascii="Georgia" w:hAnsi="Georgia" w:cs="Arial"/>
        </w:rPr>
      </w:pPr>
      <w:r w:rsidRPr="00FB171D">
        <w:rPr>
          <w:rFonts w:ascii="Georgia" w:hAnsi="Georgia" w:cs="Arial"/>
        </w:rPr>
        <w:t>Regenerative medicine is unlocking new potential for treating neuroinflammation:</w:t>
      </w:r>
    </w:p>
    <w:p w14:paraId="029E2BF7" w14:textId="77777777" w:rsidR="00F7451B" w:rsidRPr="00FB171D" w:rsidRDefault="00F7451B" w:rsidP="00734CAC">
      <w:pPr>
        <w:pStyle w:val="ListParagraph"/>
        <w:numPr>
          <w:ilvl w:val="0"/>
          <w:numId w:val="83"/>
        </w:numPr>
        <w:rPr>
          <w:rFonts w:ascii="Georgia" w:hAnsi="Georgia" w:cs="Arial"/>
        </w:rPr>
      </w:pPr>
      <w:r w:rsidRPr="00FB171D">
        <w:rPr>
          <w:rFonts w:ascii="Georgia" w:hAnsi="Georgia" w:cs="Arial"/>
        </w:rPr>
        <w:t>Mesenchymal Stem Cells (MSCs): These multipotent cells, when administered intravenously or intrathecally, can migrate to injury sites, secrete anti-inflammatory cytokines, and modulate immune responses. Early clinical trials suggest safety and possible efficacy in some neurodegenerative conditions.</w:t>
      </w:r>
    </w:p>
    <w:p w14:paraId="4B2B879B" w14:textId="77777777" w:rsidR="00F7451B" w:rsidRPr="00FB171D" w:rsidRDefault="00F7451B" w:rsidP="00734CAC">
      <w:pPr>
        <w:pStyle w:val="ListParagraph"/>
        <w:numPr>
          <w:ilvl w:val="0"/>
          <w:numId w:val="83"/>
        </w:numPr>
        <w:rPr>
          <w:rFonts w:ascii="Georgia" w:hAnsi="Georgia" w:cs="Arial"/>
        </w:rPr>
      </w:pPr>
      <w:r w:rsidRPr="00FB171D">
        <w:rPr>
          <w:rFonts w:ascii="Georgia" w:hAnsi="Georgia" w:cs="Arial"/>
        </w:rPr>
        <w:t>Exosomes: Nano-sized vesicles secreted by stem cells, exosomes can cross the BBB and deliver anti-inflammatory and neuroprotective molecules directly to neurons and glial cells, reducing inflammation and supporting repair.</w:t>
      </w:r>
    </w:p>
    <w:p w14:paraId="328A3636" w14:textId="77777777" w:rsidR="00F7451B" w:rsidRPr="00FB171D" w:rsidRDefault="00F7451B" w:rsidP="00F7451B">
      <w:pPr>
        <w:rPr>
          <w:rFonts w:ascii="Georgia" w:hAnsi="Georgia" w:cs="Arial"/>
        </w:rPr>
      </w:pPr>
      <w:r w:rsidRPr="00FB171D">
        <w:rPr>
          <w:rFonts w:ascii="Georgia" w:hAnsi="Georgia" w:cs="Arial"/>
        </w:rPr>
        <w:t>Other Strategies</w:t>
      </w:r>
    </w:p>
    <w:p w14:paraId="4E3EC1BB" w14:textId="77777777" w:rsidR="00F7451B" w:rsidRPr="00FB171D" w:rsidRDefault="00F7451B" w:rsidP="00F7451B">
      <w:pPr>
        <w:rPr>
          <w:rFonts w:ascii="Georgia" w:hAnsi="Georgia" w:cs="Arial"/>
        </w:rPr>
      </w:pPr>
      <w:r w:rsidRPr="00FB171D">
        <w:rPr>
          <w:rFonts w:ascii="Georgia" w:hAnsi="Georgia" w:cs="Arial"/>
        </w:rPr>
        <w:t>Dietary and lifestyle interventions remain foundational: a Mediterranean-style diet rich in antioxidants and fiber (which also supports a healthy gut microbiome), regular physical activity, management of metabolic risk factors (like diabetes and obesity), and adequate sleep can all reduce systemic and neural inflammation. Avoidance of environmental neurotoxins or chronic infections is critical.</w:t>
      </w:r>
    </w:p>
    <w:p w14:paraId="10BAF467" w14:textId="77777777" w:rsidR="00F7451B" w:rsidRPr="00FB171D" w:rsidRDefault="00F7451B" w:rsidP="00F7451B">
      <w:pPr>
        <w:rPr>
          <w:rFonts w:ascii="Georgia" w:hAnsi="Georgia" w:cs="Arial"/>
        </w:rPr>
      </w:pPr>
      <w:r w:rsidRPr="00FB171D">
        <w:rPr>
          <w:rFonts w:ascii="Georgia" w:hAnsi="Georgia" w:cs="Arial"/>
        </w:rPr>
        <w:t>Emerging and Adjunctive Therapies</w:t>
      </w:r>
    </w:p>
    <w:p w14:paraId="47DAFCE4" w14:textId="77777777" w:rsidR="00F7451B" w:rsidRPr="00FB171D" w:rsidRDefault="00F7451B" w:rsidP="00734CAC">
      <w:pPr>
        <w:pStyle w:val="ListParagraph"/>
        <w:numPr>
          <w:ilvl w:val="0"/>
          <w:numId w:val="84"/>
        </w:numPr>
        <w:rPr>
          <w:rFonts w:ascii="Georgia" w:hAnsi="Georgia" w:cs="Arial"/>
        </w:rPr>
      </w:pPr>
      <w:r w:rsidRPr="00FB171D">
        <w:rPr>
          <w:rFonts w:ascii="Georgia" w:hAnsi="Georgia" w:cs="Arial"/>
        </w:rPr>
        <w:t>Hyperbaric Oxygen Therapy (HBOT) is being explored for its anti-inflammatory and neuroregenerative effects.</w:t>
      </w:r>
    </w:p>
    <w:p w14:paraId="7089B2EA" w14:textId="77777777" w:rsidR="00F7451B" w:rsidRPr="00FB171D" w:rsidRDefault="00F7451B" w:rsidP="00734CAC">
      <w:pPr>
        <w:pStyle w:val="ListParagraph"/>
        <w:numPr>
          <w:ilvl w:val="0"/>
          <w:numId w:val="84"/>
        </w:numPr>
        <w:rPr>
          <w:rFonts w:ascii="Georgia" w:hAnsi="Georgia" w:cs="Arial"/>
        </w:rPr>
      </w:pPr>
      <w:r w:rsidRPr="00FB171D">
        <w:rPr>
          <w:rFonts w:ascii="Georgia" w:hAnsi="Georgia" w:cs="Arial"/>
        </w:rPr>
        <w:t>NAD+ precursors may support mitochondrial health and reduce neuroinflammation.</w:t>
      </w:r>
    </w:p>
    <w:p w14:paraId="6D23E761" w14:textId="77777777" w:rsidR="00F7451B" w:rsidRPr="00FB171D" w:rsidRDefault="00F7451B" w:rsidP="00734CAC">
      <w:pPr>
        <w:pStyle w:val="ListParagraph"/>
        <w:numPr>
          <w:ilvl w:val="0"/>
          <w:numId w:val="84"/>
        </w:numPr>
        <w:rPr>
          <w:rFonts w:ascii="Georgia" w:hAnsi="Georgia" w:cs="Arial"/>
        </w:rPr>
      </w:pPr>
      <w:r w:rsidRPr="00FB171D">
        <w:rPr>
          <w:rFonts w:ascii="Georgia" w:hAnsi="Georgia" w:cs="Arial"/>
        </w:rPr>
        <w:t>Agents targeting advanced glycation end-products (AGEs) and supporting blood-brain barrier integrity are under investigation.</w:t>
      </w:r>
    </w:p>
    <w:p w14:paraId="06621521" w14:textId="722E168C" w:rsidR="00BF5CE9" w:rsidRPr="00FB171D" w:rsidRDefault="00F7451B" w:rsidP="00F7451B">
      <w:pPr>
        <w:rPr>
          <w:rFonts w:ascii="Georgia" w:hAnsi="Georgia" w:cs="Arial"/>
        </w:rPr>
      </w:pPr>
      <w:r w:rsidRPr="00FB171D">
        <w:rPr>
          <w:rFonts w:ascii="Georgia" w:hAnsi="Georgia" w:cs="Arial"/>
        </w:rPr>
        <w:t>Ultimately, a personalized, multimodal approach—combining early detection, lifestyle modification (including a focus on gut health), and targeted therapy—offers the greatest promise for reducing brain inflammation and preserving cognitive health.</w:t>
      </w:r>
    </w:p>
    <w:p w14:paraId="081F28A1" w14:textId="77777777" w:rsidR="00CE4FF5" w:rsidRPr="00FB171D" w:rsidRDefault="00CE4FF5" w:rsidP="00B629F7">
      <w:pPr>
        <w:rPr>
          <w:rFonts w:ascii="Georgia" w:hAnsi="Georgia" w:cs="Arial"/>
        </w:rPr>
      </w:pPr>
    </w:p>
    <w:p w14:paraId="29921101" w14:textId="77777777" w:rsidR="00CE4FF5" w:rsidRPr="00FB171D" w:rsidRDefault="00CE4FF5" w:rsidP="00B629F7">
      <w:pPr>
        <w:rPr>
          <w:rFonts w:ascii="Georgia" w:hAnsi="Georgia" w:cs="Arial"/>
        </w:rPr>
      </w:pPr>
    </w:p>
    <w:p w14:paraId="0551FDD8" w14:textId="77777777" w:rsidR="00CE4FF5" w:rsidRPr="00FB171D" w:rsidRDefault="00CE4FF5" w:rsidP="00B629F7">
      <w:pPr>
        <w:rPr>
          <w:rFonts w:ascii="Georgia" w:hAnsi="Georgia" w:cs="Arial"/>
        </w:rPr>
      </w:pPr>
    </w:p>
    <w:p w14:paraId="2275B0A4" w14:textId="77777777" w:rsidR="00CE4FF5" w:rsidRPr="00FB171D" w:rsidRDefault="00CE4FF5" w:rsidP="00B629F7">
      <w:pPr>
        <w:rPr>
          <w:rFonts w:ascii="Georgia" w:hAnsi="Georgia" w:cs="Arial"/>
        </w:rPr>
      </w:pPr>
    </w:p>
    <w:p w14:paraId="44664422" w14:textId="5878C185" w:rsidR="00CE4FF5" w:rsidRPr="00FB171D" w:rsidRDefault="00CA6137" w:rsidP="00CA6137">
      <w:pPr>
        <w:pStyle w:val="Heading3"/>
        <w:rPr>
          <w:rFonts w:ascii="Georgia" w:hAnsi="Georgia" w:cs="Arial"/>
        </w:rPr>
      </w:pPr>
      <w:bookmarkStart w:id="97" w:name="_Toc209691131"/>
      <w:r w:rsidRPr="00FB171D">
        <w:rPr>
          <w:rFonts w:ascii="Georgia" w:hAnsi="Georgia" w:cs="Arial"/>
        </w:rPr>
        <w:t>Eliminate Revers</w:t>
      </w:r>
      <w:r w:rsidR="003D5331" w:rsidRPr="00FB171D">
        <w:rPr>
          <w:rFonts w:ascii="Georgia" w:hAnsi="Georgia" w:cs="Arial"/>
        </w:rPr>
        <w:t>ib</w:t>
      </w:r>
      <w:r w:rsidRPr="00FB171D">
        <w:rPr>
          <w:rFonts w:ascii="Georgia" w:hAnsi="Georgia" w:cs="Arial"/>
        </w:rPr>
        <w:t>l</w:t>
      </w:r>
      <w:r w:rsidR="003D5331" w:rsidRPr="00FB171D">
        <w:rPr>
          <w:rFonts w:ascii="Georgia" w:hAnsi="Georgia" w:cs="Arial"/>
        </w:rPr>
        <w:t>e</w:t>
      </w:r>
      <w:r w:rsidRPr="00FB171D">
        <w:rPr>
          <w:rFonts w:ascii="Georgia" w:hAnsi="Georgia" w:cs="Arial"/>
        </w:rPr>
        <w:t xml:space="preserve"> Causes of Dementia</w:t>
      </w:r>
      <w:bookmarkEnd w:id="97"/>
    </w:p>
    <w:p w14:paraId="70808B21" w14:textId="77777777" w:rsidR="003D5331" w:rsidRPr="00FB171D" w:rsidRDefault="003D5331" w:rsidP="003D5331">
      <w:pPr>
        <w:rPr>
          <w:rFonts w:ascii="Georgia" w:hAnsi="Georgia" w:cs="Arial"/>
        </w:rPr>
      </w:pPr>
      <w:r w:rsidRPr="00FB171D">
        <w:rPr>
          <w:rFonts w:ascii="Georgia" w:hAnsi="Georgia" w:cs="Arial"/>
        </w:rPr>
        <w:t>Before pursuing advanced therapies or symptomatic treatments, it is essential to systematically assess and eliminate reversible causes of cognitive decline. Many treatable conditions can mimic or exacerbate dementia, and addressing them may halt or even reverse cognitive impairment in some individuals. These include metabolic disturbances (such as hypothyroidism, vitamin B12 or folate deficiency), medication side effects (notably anticholinergics, sedatives, or polypharmacy interactions), depression ("pseudodementia"), untreated sleep apnea, chronic infections (like urinary tract infections or Lyme disease), and sensory deficits (vision or hearing loss).</w:t>
      </w:r>
    </w:p>
    <w:p w14:paraId="0A349A0C" w14:textId="5E229A26" w:rsidR="00CA6137" w:rsidRPr="00FB171D" w:rsidRDefault="003D5331" w:rsidP="003D5331">
      <w:pPr>
        <w:rPr>
          <w:rFonts w:ascii="Georgia" w:hAnsi="Georgia" w:cs="Arial"/>
        </w:rPr>
      </w:pPr>
      <w:r w:rsidRPr="00FB171D">
        <w:rPr>
          <w:rFonts w:ascii="Georgia" w:hAnsi="Georgia" w:cs="Arial"/>
        </w:rPr>
        <w:t>A thorough medical evaluation—including laboratory tests, medication review, sleep studies, and screening for mood disorders—can help identify these conditions. Prompt treatment may restore cognitive function or at least prevent further decline. Given the complexity of dementia syndromes, an interdisciplinary approach ensures that reversible contributors are not overlooked as part of a comprehensive, individualized care plan.</w:t>
      </w:r>
    </w:p>
    <w:p w14:paraId="0D7E2BC1" w14:textId="77777777" w:rsidR="00CA6137" w:rsidRPr="00FB171D" w:rsidRDefault="00CA6137" w:rsidP="00CC130C">
      <w:pPr>
        <w:pStyle w:val="Heading2"/>
        <w:rPr>
          <w:rFonts w:ascii="Georgia" w:hAnsi="Georgia" w:cs="Arial"/>
        </w:rPr>
      </w:pPr>
    </w:p>
    <w:p w14:paraId="3744CD06" w14:textId="49D78619" w:rsidR="00056C32" w:rsidRPr="00FB171D" w:rsidRDefault="00056C32" w:rsidP="00CC130C">
      <w:pPr>
        <w:pStyle w:val="Heading2"/>
        <w:rPr>
          <w:rFonts w:ascii="Georgia" w:hAnsi="Georgia" w:cs="Arial"/>
        </w:rPr>
      </w:pPr>
      <w:bookmarkStart w:id="98" w:name="_Toc209691132"/>
      <w:r w:rsidRPr="00FB171D">
        <w:rPr>
          <w:rFonts w:ascii="Georgia" w:hAnsi="Georgia" w:cs="Arial"/>
        </w:rPr>
        <w:t>Optimizing the Metabolic Microenvironment of the Brain</w:t>
      </w:r>
      <w:bookmarkEnd w:id="98"/>
    </w:p>
    <w:p w14:paraId="2B4F3750" w14:textId="77777777" w:rsidR="00056C32" w:rsidRPr="00FB171D" w:rsidRDefault="00056C32" w:rsidP="00056C32">
      <w:pPr>
        <w:pStyle w:val="Subtitle"/>
        <w:rPr>
          <w:rFonts w:ascii="Georgia" w:hAnsi="Georgia" w:cs="Arial"/>
        </w:rPr>
      </w:pPr>
      <w:r w:rsidRPr="00FB171D">
        <w:rPr>
          <w:rFonts w:ascii="Georgia" w:hAnsi="Georgia" w:cs="Arial"/>
        </w:rPr>
        <w:t>Strategies for Enhancing Cognitive Vitality and Resilience</w:t>
      </w:r>
    </w:p>
    <w:p w14:paraId="453FD8E5" w14:textId="77777777" w:rsidR="00056C32" w:rsidRPr="00FB171D" w:rsidRDefault="00056C32" w:rsidP="00056C32">
      <w:pPr>
        <w:rPr>
          <w:rFonts w:ascii="Georgia" w:hAnsi="Georgia" w:cs="Arial"/>
        </w:rPr>
      </w:pPr>
      <w:r w:rsidRPr="00FB171D">
        <w:rPr>
          <w:rFonts w:ascii="Georgia" w:hAnsi="Georgia" w:cs="Arial"/>
        </w:rPr>
        <w:t>The brain is a metabolically demanding organ, accounting for only about 2% of total body weight but consuming nearly 20% of the body’s energy resources. Its function relies on a delicate metabolic microenvironment—an intricate interplay of blood flow, nutrient delivery, mitochondrial function, waste clearance, and the regulation of oxidative and inflammatory processes. Disruption of this metabolic milieu is increasingly recognized as a key contributor to neurodegenerative disease, cognitive decline, and mood disorders. Optimizing the brain’s metabolic microenvironment, therefore, represents a promising frontier for both the prevention and management of brain health across the lifespan.</w:t>
      </w:r>
    </w:p>
    <w:p w14:paraId="6F88F0D4" w14:textId="77777777" w:rsidR="00056C32" w:rsidRPr="00FB171D" w:rsidRDefault="00056C32" w:rsidP="00DD79CD">
      <w:pPr>
        <w:pStyle w:val="Heading4"/>
        <w:rPr>
          <w:rFonts w:ascii="Georgia" w:hAnsi="Georgia" w:cs="Arial"/>
        </w:rPr>
      </w:pPr>
      <w:r w:rsidRPr="00FB171D">
        <w:rPr>
          <w:rFonts w:ascii="Georgia" w:hAnsi="Georgia" w:cs="Arial"/>
        </w:rPr>
        <w:t>The Fundamentals: What Is the Brain's Metabolic Microenvironment?</w:t>
      </w:r>
    </w:p>
    <w:p w14:paraId="673564F2" w14:textId="77777777" w:rsidR="00056C32" w:rsidRPr="00FB171D" w:rsidRDefault="00056C32" w:rsidP="00056C32">
      <w:pPr>
        <w:rPr>
          <w:rFonts w:ascii="Georgia" w:hAnsi="Georgia" w:cs="Arial"/>
        </w:rPr>
      </w:pPr>
      <w:r w:rsidRPr="00FB171D">
        <w:rPr>
          <w:rFonts w:ascii="Georgia" w:hAnsi="Georgia" w:cs="Arial"/>
        </w:rPr>
        <w:t>At its core, the brain’s metabolic microenvironment encompasses the dynamic balance of substrates (like glucose, ketones, and oxygen), cellular energy production (mitochondrial health), neurovascular coupling (the relationship between neural activity and blood flow), the blood-brain barrier (BBB), and the management of metabolic byproducts and inflammatory mediators. It is shaped by genetic predispositions as well as lifestyle factors such as diet, exercise, sleep, and exposure to environmental toxins or infections.</w:t>
      </w:r>
    </w:p>
    <w:p w14:paraId="7D7B22AE" w14:textId="77777777" w:rsidR="00056C32" w:rsidRPr="00FB171D" w:rsidRDefault="00056C32" w:rsidP="00056C32">
      <w:pPr>
        <w:rPr>
          <w:rFonts w:ascii="Georgia" w:hAnsi="Georgia" w:cs="Arial"/>
        </w:rPr>
      </w:pPr>
      <w:r w:rsidRPr="00FB171D">
        <w:rPr>
          <w:rFonts w:ascii="Georgia" w:hAnsi="Georgia" w:cs="Arial"/>
        </w:rPr>
        <w:t>Disruptions in any component—be it impaired glucose handling, mitochondrial dysfunction, chronic inflammation, or breakdown of the BBB—can set the stage for cognitive impairment or neurodegenerative disease. Yet, these factors also present multiple avenues for intervention.</w:t>
      </w:r>
    </w:p>
    <w:p w14:paraId="091545FC" w14:textId="77777777" w:rsidR="00056C32" w:rsidRPr="00FB171D" w:rsidRDefault="00056C32" w:rsidP="00DD79CD">
      <w:pPr>
        <w:pStyle w:val="Heading4"/>
        <w:rPr>
          <w:rFonts w:ascii="Georgia" w:hAnsi="Georgia" w:cs="Arial"/>
        </w:rPr>
      </w:pPr>
      <w:r w:rsidRPr="00FB171D">
        <w:rPr>
          <w:rFonts w:ascii="Georgia" w:hAnsi="Georgia" w:cs="Arial"/>
        </w:rPr>
        <w:t>Optimizing Energy Substrates and Mitochondrial Function</w:t>
      </w:r>
    </w:p>
    <w:p w14:paraId="2981E344" w14:textId="77777777" w:rsidR="00056C32" w:rsidRPr="00FB171D" w:rsidRDefault="00056C32" w:rsidP="00DD79CD">
      <w:pPr>
        <w:pStyle w:val="Heading4"/>
        <w:rPr>
          <w:rFonts w:ascii="Georgia" w:hAnsi="Georgia" w:cs="Arial"/>
        </w:rPr>
      </w:pPr>
      <w:r w:rsidRPr="00FB171D">
        <w:rPr>
          <w:rFonts w:ascii="Georgia" w:hAnsi="Georgia" w:cs="Arial"/>
        </w:rPr>
        <w:t>Nutritional Strategies</w:t>
      </w:r>
    </w:p>
    <w:p w14:paraId="18E47D57" w14:textId="77777777" w:rsidR="00056C32" w:rsidRPr="00FB171D" w:rsidRDefault="00056C32" w:rsidP="00734CAC">
      <w:pPr>
        <w:pStyle w:val="ListParagraph"/>
        <w:numPr>
          <w:ilvl w:val="0"/>
          <w:numId w:val="85"/>
        </w:numPr>
        <w:rPr>
          <w:rFonts w:ascii="Georgia" w:hAnsi="Georgia" w:cs="Arial"/>
        </w:rPr>
      </w:pPr>
      <w:r w:rsidRPr="00FB171D">
        <w:rPr>
          <w:rFonts w:ascii="Georgia" w:hAnsi="Georgia" w:cs="Arial"/>
        </w:rPr>
        <w:t>Balanced Glucose Homeostasis: The brain depends primarily on glucose for energy, but both hypoglycemia and chronic hyperglycemia are detrimental. Sustained high blood sugar can drive the formation of advanced glycation end-products (AGEs) and increase oxidative stress, while low blood sugar can cause acute cognitive impairment. Maintaining euglycemia—stable, healthy blood sugar levels—through a balanced diet (rich in complex carbohydrates, fiber, and healthy fats) is foundational.</w:t>
      </w:r>
    </w:p>
    <w:p w14:paraId="3E078B97" w14:textId="77777777" w:rsidR="00056C32" w:rsidRPr="00FB171D" w:rsidRDefault="00056C32" w:rsidP="00734CAC">
      <w:pPr>
        <w:pStyle w:val="ListParagraph"/>
        <w:numPr>
          <w:ilvl w:val="0"/>
          <w:numId w:val="85"/>
        </w:numPr>
        <w:rPr>
          <w:rFonts w:ascii="Georgia" w:hAnsi="Georgia" w:cs="Arial"/>
        </w:rPr>
      </w:pPr>
      <w:r w:rsidRPr="00FB171D">
        <w:rPr>
          <w:rFonts w:ascii="Georgia" w:hAnsi="Georgia" w:cs="Arial"/>
        </w:rPr>
        <w:t>Ketone Bodies: In times of glucose scarcity (fasting, ketogenic diets), the liver produces ketone bodies, which provide an alternative and efficient energy source for neurons. Some studies suggest that ketogenic diets or intermittent fasting may offer neuroprotective benefits, particularly in the context of mild cognitive impairment and early Alzheimer’s disease, by reducing oxidative stress and improving mitochondrial efficiency.</w:t>
      </w:r>
    </w:p>
    <w:p w14:paraId="43F577A4" w14:textId="77777777" w:rsidR="00056C32" w:rsidRPr="00FB171D" w:rsidRDefault="00056C32" w:rsidP="00734CAC">
      <w:pPr>
        <w:pStyle w:val="ListParagraph"/>
        <w:numPr>
          <w:ilvl w:val="0"/>
          <w:numId w:val="85"/>
        </w:numPr>
        <w:rPr>
          <w:rFonts w:ascii="Georgia" w:hAnsi="Georgia" w:cs="Arial"/>
        </w:rPr>
      </w:pPr>
      <w:r w:rsidRPr="00FB171D">
        <w:rPr>
          <w:rFonts w:ascii="Georgia" w:hAnsi="Georgia" w:cs="Arial"/>
        </w:rPr>
        <w:t>Essential Nutrients and Cofactors: B-vitamins (especially B1, B6, B12, and folate), magnesium, zinc, and omega-3 fatty acids are vital for energy metabolism, neurotransmitter synthesis, and membrane integrity. Deficiencies in these nutrients are linked to cognitive decline and mood disturbances. A Mediterranean-style diet that emphasizes whole grains, vegetables, fruits, nuts, fish, and olive oil can help provide these nutrients in abundance.</w:t>
      </w:r>
    </w:p>
    <w:p w14:paraId="4142B338" w14:textId="539D2E92" w:rsidR="00056C32" w:rsidRPr="00FB171D" w:rsidRDefault="00056C32" w:rsidP="00EC1BF5">
      <w:pPr>
        <w:pStyle w:val="Heading3"/>
        <w:rPr>
          <w:rFonts w:ascii="Georgia" w:hAnsi="Georgia" w:cs="Arial"/>
        </w:rPr>
      </w:pPr>
      <w:bookmarkStart w:id="99" w:name="_Toc209691133"/>
      <w:r w:rsidRPr="00FB171D">
        <w:rPr>
          <w:rFonts w:ascii="Georgia" w:hAnsi="Georgia" w:cs="Arial"/>
        </w:rPr>
        <w:t>Enhancing Mitochondrial Health</w:t>
      </w:r>
      <w:bookmarkEnd w:id="99"/>
    </w:p>
    <w:p w14:paraId="13842722" w14:textId="77777777" w:rsidR="00056C32" w:rsidRPr="00FB171D" w:rsidRDefault="00056C32" w:rsidP="00734CAC">
      <w:pPr>
        <w:pStyle w:val="ListParagraph"/>
        <w:numPr>
          <w:ilvl w:val="0"/>
          <w:numId w:val="86"/>
        </w:numPr>
        <w:rPr>
          <w:rFonts w:ascii="Georgia" w:hAnsi="Georgia" w:cs="Arial"/>
        </w:rPr>
      </w:pPr>
      <w:r w:rsidRPr="00FB171D">
        <w:rPr>
          <w:rFonts w:ascii="Georgia" w:hAnsi="Georgia" w:cs="Arial"/>
        </w:rPr>
        <w:t>NAD+ Precursors: Nicotinamide adenine dinucleotide (NAD+) is a central coenzyme in cellular energy production. NAD+ levels decline with age and neurodegeneration. Supplementation with NAD+ precursors such as nicotinamide riboside (NR) or nicotinamide mononucleotide (NMN) is being investigated for their potential to restore mitochondrial function and reduce neuroinflammation, although robust clinical evidence is still emerging.</w:t>
      </w:r>
    </w:p>
    <w:p w14:paraId="7E1C7B3C" w14:textId="77777777" w:rsidR="00056C32" w:rsidRPr="00FB171D" w:rsidRDefault="00056C32" w:rsidP="00734CAC">
      <w:pPr>
        <w:pStyle w:val="ListParagraph"/>
        <w:numPr>
          <w:ilvl w:val="0"/>
          <w:numId w:val="86"/>
        </w:numPr>
        <w:rPr>
          <w:rFonts w:ascii="Georgia" w:hAnsi="Georgia" w:cs="Arial"/>
        </w:rPr>
      </w:pPr>
      <w:r w:rsidRPr="00FB171D">
        <w:rPr>
          <w:rFonts w:ascii="Georgia" w:hAnsi="Georgia" w:cs="Arial"/>
        </w:rPr>
        <w:t>Antioxidant Strategies: Mitochondria are both energy producers and major generators of reactive oxygen species (ROS). Overproduction of ROS can damage cellular components and promote neurodegeneration. Antioxidants such as astaxanthin, vitamin E, and polyphenols (found in berries, tea, and dark chocolate) can help neutralize ROS and protect mitochondrial integrity.</w:t>
      </w:r>
    </w:p>
    <w:p w14:paraId="3E91EE90" w14:textId="3805C4C7" w:rsidR="00056C32" w:rsidRPr="00FB171D" w:rsidRDefault="00056C32" w:rsidP="00EC1BF5">
      <w:pPr>
        <w:pStyle w:val="Heading3"/>
        <w:rPr>
          <w:rFonts w:ascii="Georgia" w:hAnsi="Georgia" w:cs="Arial"/>
        </w:rPr>
      </w:pPr>
      <w:bookmarkStart w:id="100" w:name="_Toc209691134"/>
      <w:r w:rsidRPr="00FB171D">
        <w:rPr>
          <w:rFonts w:ascii="Georgia" w:hAnsi="Georgia" w:cs="Arial"/>
        </w:rPr>
        <w:t>Blood-Brain Barrier Integrity and Vascular Health</w:t>
      </w:r>
      <w:bookmarkEnd w:id="100"/>
    </w:p>
    <w:p w14:paraId="45B45E7B" w14:textId="77777777" w:rsidR="00056C32" w:rsidRPr="00FB171D" w:rsidRDefault="00056C32" w:rsidP="00056C32">
      <w:pPr>
        <w:rPr>
          <w:rFonts w:ascii="Georgia" w:hAnsi="Georgia" w:cs="Arial"/>
        </w:rPr>
      </w:pPr>
      <w:r w:rsidRPr="00FB171D">
        <w:rPr>
          <w:rFonts w:ascii="Georgia" w:hAnsi="Georgia" w:cs="Arial"/>
        </w:rPr>
        <w:t>The blood-brain barrier acts as a selective gatekeeper, protecting the brain from toxins, pathogens, and peripheral inflammation. Loss of BBB integrity is associated with neurodegenerative diseases and cognitive impairment.</w:t>
      </w:r>
    </w:p>
    <w:p w14:paraId="32D3BA65" w14:textId="77777777" w:rsidR="00056C32" w:rsidRPr="00FB171D" w:rsidRDefault="00056C32" w:rsidP="00734CAC">
      <w:pPr>
        <w:pStyle w:val="ListParagraph"/>
        <w:numPr>
          <w:ilvl w:val="0"/>
          <w:numId w:val="87"/>
        </w:numPr>
        <w:rPr>
          <w:rFonts w:ascii="Georgia" w:hAnsi="Georgia" w:cs="Arial"/>
        </w:rPr>
      </w:pPr>
      <w:r w:rsidRPr="00FB171D">
        <w:rPr>
          <w:rFonts w:ascii="Georgia" w:hAnsi="Georgia" w:cs="Arial"/>
        </w:rPr>
        <w:t>Maintain Vascular Health: Regular aerobic exercise stimulates the production of brain-derived neurotrophic factor (BDNF), enhances cerebral blood flow, and supports endothelial function. These effects help maintain both vascular and BBB integrity.</w:t>
      </w:r>
    </w:p>
    <w:p w14:paraId="1041B9C7" w14:textId="77777777" w:rsidR="00056C32" w:rsidRPr="00FB171D" w:rsidRDefault="00056C32" w:rsidP="00734CAC">
      <w:pPr>
        <w:pStyle w:val="ListParagraph"/>
        <w:numPr>
          <w:ilvl w:val="0"/>
          <w:numId w:val="87"/>
        </w:numPr>
        <w:rPr>
          <w:rFonts w:ascii="Georgia" w:hAnsi="Georgia" w:cs="Arial"/>
        </w:rPr>
      </w:pPr>
      <w:r w:rsidRPr="00FB171D">
        <w:rPr>
          <w:rFonts w:ascii="Georgia" w:hAnsi="Georgia" w:cs="Arial"/>
        </w:rPr>
        <w:t>Control of Metabolic Risk Factors: Hypertension, diabetes, and obesity are all detrimental to cerebrovascular health. Managing these conditions through lifestyle interventions—diet, exercise, weight loss—is critical for maintaining a healthy BBB.</w:t>
      </w:r>
    </w:p>
    <w:p w14:paraId="098E3F56" w14:textId="77777777" w:rsidR="00056C32" w:rsidRPr="00FB171D" w:rsidRDefault="00056C32" w:rsidP="00734CAC">
      <w:pPr>
        <w:pStyle w:val="ListParagraph"/>
        <w:numPr>
          <w:ilvl w:val="0"/>
          <w:numId w:val="87"/>
        </w:numPr>
        <w:rPr>
          <w:rFonts w:ascii="Georgia" w:hAnsi="Georgia" w:cs="Arial"/>
        </w:rPr>
      </w:pPr>
      <w:r w:rsidRPr="00FB171D">
        <w:rPr>
          <w:rFonts w:ascii="Georgia" w:hAnsi="Georgia" w:cs="Arial"/>
        </w:rPr>
        <w:t>Limiting AGEs: Advanced glycation end-products, formed by chronic high blood sugar or consumption of highly processed foods, can compromise the BBB and provoke inflammation. Reducing intake of processed foods and focusing on low-glycemic-index foods can reduce AGE burden.</w:t>
      </w:r>
    </w:p>
    <w:p w14:paraId="57BDAC2A" w14:textId="77777777" w:rsidR="00056C32" w:rsidRPr="00FB171D" w:rsidRDefault="00056C32" w:rsidP="005830E1">
      <w:pPr>
        <w:pStyle w:val="Heading4"/>
        <w:rPr>
          <w:rFonts w:ascii="Georgia" w:hAnsi="Georgia" w:cs="Arial"/>
        </w:rPr>
      </w:pPr>
      <w:r w:rsidRPr="00FB171D">
        <w:rPr>
          <w:rFonts w:ascii="Georgia" w:hAnsi="Georgia" w:cs="Arial"/>
        </w:rPr>
        <w:t>Modulating Inflammation and Supporting the Neuroimmune Microenvironment</w:t>
      </w:r>
    </w:p>
    <w:p w14:paraId="1F072605" w14:textId="77777777" w:rsidR="00056C32" w:rsidRPr="00FB171D" w:rsidRDefault="00056C32" w:rsidP="00056C32">
      <w:pPr>
        <w:rPr>
          <w:rFonts w:ascii="Georgia" w:hAnsi="Georgia" w:cs="Arial"/>
        </w:rPr>
      </w:pPr>
      <w:r w:rsidRPr="00FB171D">
        <w:rPr>
          <w:rFonts w:ascii="Georgia" w:hAnsi="Georgia" w:cs="Arial"/>
        </w:rPr>
        <w:t>Chronic, low-grade inflammation is a common denominator across many neurological and psychiatric conditions. Targeting inflammatory pathways can help optimize the brain’s metabolic microenvironment.</w:t>
      </w:r>
    </w:p>
    <w:p w14:paraId="3A44F986" w14:textId="77777777" w:rsidR="00056C32" w:rsidRPr="00FB171D" w:rsidRDefault="00056C32" w:rsidP="00734CAC">
      <w:pPr>
        <w:pStyle w:val="ListParagraph"/>
        <w:numPr>
          <w:ilvl w:val="0"/>
          <w:numId w:val="88"/>
        </w:numPr>
        <w:rPr>
          <w:rFonts w:ascii="Georgia" w:hAnsi="Georgia" w:cs="Arial"/>
        </w:rPr>
      </w:pPr>
      <w:r w:rsidRPr="00FB171D">
        <w:rPr>
          <w:rFonts w:ascii="Georgia" w:hAnsi="Georgia" w:cs="Arial"/>
        </w:rPr>
        <w:t>Anti-Inflammatory Diets: Diets rich in antioxidants, omega-3 fatty acids, and polyphenols—such as the Mediterranean or MIND diets—reduce inflammatory signaling in the brain and peripheral tissues.</w:t>
      </w:r>
    </w:p>
    <w:p w14:paraId="331502CA" w14:textId="77777777" w:rsidR="00056C32" w:rsidRPr="00FB171D" w:rsidRDefault="00056C32" w:rsidP="00734CAC">
      <w:pPr>
        <w:pStyle w:val="ListParagraph"/>
        <w:numPr>
          <w:ilvl w:val="0"/>
          <w:numId w:val="88"/>
        </w:numPr>
        <w:rPr>
          <w:rFonts w:ascii="Georgia" w:hAnsi="Georgia" w:cs="Arial"/>
        </w:rPr>
      </w:pPr>
      <w:r w:rsidRPr="00FB171D">
        <w:rPr>
          <w:rFonts w:ascii="Georgia" w:hAnsi="Georgia" w:cs="Arial"/>
        </w:rPr>
        <w:t>Hyperbaric Oxygen Therapy (HBOT): This emerging therapy is being explored for its potential to reduce neuroinflammation and promote neuroregeneration by increasing oxygen delivery to hypoxic brain tissue.</w:t>
      </w:r>
    </w:p>
    <w:p w14:paraId="45D1AB48" w14:textId="77777777" w:rsidR="00056C32" w:rsidRPr="00FB171D" w:rsidRDefault="00056C32" w:rsidP="00734CAC">
      <w:pPr>
        <w:pStyle w:val="ListParagraph"/>
        <w:numPr>
          <w:ilvl w:val="0"/>
          <w:numId w:val="88"/>
        </w:numPr>
        <w:rPr>
          <w:rFonts w:ascii="Georgia" w:hAnsi="Georgia" w:cs="Arial"/>
        </w:rPr>
      </w:pPr>
      <w:r w:rsidRPr="00FB171D">
        <w:rPr>
          <w:rFonts w:ascii="Georgia" w:hAnsi="Georgia" w:cs="Arial"/>
        </w:rPr>
        <w:t>Gut-Brain Axis: The gut microbiome significantly influences systemic and brain inflammation. Diets high in fiber and fermented foods support beneficial gut bacteria, which can produce anti-inflammatory metabolites (like short-chain fatty acids) and modulate neuroimmune activity.</w:t>
      </w:r>
    </w:p>
    <w:p w14:paraId="6396114A" w14:textId="77777777" w:rsidR="00056C32" w:rsidRPr="00FB171D" w:rsidRDefault="00056C32" w:rsidP="00734CAC">
      <w:pPr>
        <w:pStyle w:val="ListParagraph"/>
        <w:numPr>
          <w:ilvl w:val="0"/>
          <w:numId w:val="88"/>
        </w:numPr>
        <w:rPr>
          <w:rFonts w:ascii="Georgia" w:hAnsi="Georgia" w:cs="Arial"/>
        </w:rPr>
      </w:pPr>
      <w:r w:rsidRPr="00FB171D">
        <w:rPr>
          <w:rFonts w:ascii="Georgia" w:hAnsi="Georgia" w:cs="Arial"/>
        </w:rPr>
        <w:t>Sleep Optimization: Chronic sleep deprivation increases inflammatory mediators and impairs glymphatic clearance of metabolic waste from the brain, emphasizing the need for adequate, restorative sleep.</w:t>
      </w:r>
    </w:p>
    <w:p w14:paraId="57268AA0" w14:textId="77777777" w:rsidR="00056C32" w:rsidRPr="00FB171D" w:rsidRDefault="00056C32" w:rsidP="005830E1">
      <w:pPr>
        <w:pStyle w:val="Heading4"/>
        <w:rPr>
          <w:rFonts w:ascii="Georgia" w:hAnsi="Georgia" w:cs="Arial"/>
        </w:rPr>
      </w:pPr>
      <w:r w:rsidRPr="00FB171D">
        <w:rPr>
          <w:rFonts w:ascii="Georgia" w:hAnsi="Georgia" w:cs="Arial"/>
        </w:rPr>
        <w:t>Eliminating Reversible Causes of Metabolic Brain Dysfunction</w:t>
      </w:r>
    </w:p>
    <w:p w14:paraId="6EB55D93" w14:textId="77777777" w:rsidR="00056C32" w:rsidRPr="00FB171D" w:rsidRDefault="00056C32" w:rsidP="00056C32">
      <w:pPr>
        <w:rPr>
          <w:rFonts w:ascii="Georgia" w:hAnsi="Georgia" w:cs="Arial"/>
        </w:rPr>
      </w:pPr>
      <w:r w:rsidRPr="00FB171D">
        <w:rPr>
          <w:rFonts w:ascii="Georgia" w:hAnsi="Georgia" w:cs="Arial"/>
        </w:rPr>
        <w:t>Before advanced interventions are pursued, it is crucial to systematically evaluate and correct reversible contributors to metabolic brain dysfunction:</w:t>
      </w:r>
    </w:p>
    <w:p w14:paraId="526D43F7" w14:textId="77777777" w:rsidR="00056C32" w:rsidRPr="00FB171D" w:rsidRDefault="00056C32" w:rsidP="00734CAC">
      <w:pPr>
        <w:pStyle w:val="ListParagraph"/>
        <w:numPr>
          <w:ilvl w:val="0"/>
          <w:numId w:val="89"/>
        </w:numPr>
        <w:rPr>
          <w:rFonts w:ascii="Georgia" w:hAnsi="Georgia" w:cs="Arial"/>
        </w:rPr>
      </w:pPr>
      <w:r w:rsidRPr="00FB171D">
        <w:rPr>
          <w:rFonts w:ascii="Georgia" w:hAnsi="Georgia" w:cs="Arial"/>
        </w:rPr>
        <w:t>Metabolic Disturbances: Address hypothyroidism, vitamin B12 or folate deficiency, and any electrolyte imbalances.</w:t>
      </w:r>
    </w:p>
    <w:p w14:paraId="2F6DF900" w14:textId="77777777" w:rsidR="00056C32" w:rsidRPr="00FB171D" w:rsidRDefault="00056C32" w:rsidP="00734CAC">
      <w:pPr>
        <w:pStyle w:val="ListParagraph"/>
        <w:numPr>
          <w:ilvl w:val="0"/>
          <w:numId w:val="89"/>
        </w:numPr>
        <w:rPr>
          <w:rFonts w:ascii="Georgia" w:hAnsi="Georgia" w:cs="Arial"/>
        </w:rPr>
      </w:pPr>
      <w:r w:rsidRPr="00FB171D">
        <w:rPr>
          <w:rFonts w:ascii="Georgia" w:hAnsi="Georgia" w:cs="Arial"/>
        </w:rPr>
        <w:t>Medication Management: Review for drugs with cognitive side effects, such as anticholinergics, benzodiazepines, sedatives, or problematic polypharmacy.</w:t>
      </w:r>
    </w:p>
    <w:p w14:paraId="0546FA38" w14:textId="77777777" w:rsidR="00056C32" w:rsidRPr="00FB171D" w:rsidRDefault="00056C32" w:rsidP="00734CAC">
      <w:pPr>
        <w:pStyle w:val="ListParagraph"/>
        <w:numPr>
          <w:ilvl w:val="0"/>
          <w:numId w:val="89"/>
        </w:numPr>
        <w:rPr>
          <w:rFonts w:ascii="Georgia" w:hAnsi="Georgia" w:cs="Arial"/>
        </w:rPr>
      </w:pPr>
      <w:r w:rsidRPr="00FB171D">
        <w:rPr>
          <w:rFonts w:ascii="Georgia" w:hAnsi="Georgia" w:cs="Arial"/>
        </w:rPr>
        <w:t>Mood and Sleep Disorders: Assess for depression ("pseudodementia") and untreated sleep apnea, both of which can mimic or worsen cognitive symptoms.</w:t>
      </w:r>
    </w:p>
    <w:p w14:paraId="73AF347F" w14:textId="77777777" w:rsidR="00056C32" w:rsidRPr="00FB171D" w:rsidRDefault="00056C32" w:rsidP="00734CAC">
      <w:pPr>
        <w:pStyle w:val="ListParagraph"/>
        <w:numPr>
          <w:ilvl w:val="0"/>
          <w:numId w:val="89"/>
        </w:numPr>
        <w:rPr>
          <w:rFonts w:ascii="Georgia" w:hAnsi="Georgia" w:cs="Arial"/>
        </w:rPr>
      </w:pPr>
      <w:r w:rsidRPr="00FB171D">
        <w:rPr>
          <w:rFonts w:ascii="Georgia" w:hAnsi="Georgia" w:cs="Arial"/>
        </w:rPr>
        <w:t>Chronic Infections and Sensory Deficits: Evaluate for urinary tract infections, Lyme disease, and sensory loss (vision, hearing) that can worsen cognitive outcomes.</w:t>
      </w:r>
    </w:p>
    <w:p w14:paraId="75478A9B" w14:textId="77777777" w:rsidR="00056C32" w:rsidRPr="00FB171D" w:rsidRDefault="00056C32" w:rsidP="00056C32">
      <w:pPr>
        <w:rPr>
          <w:rFonts w:ascii="Georgia" w:hAnsi="Georgia" w:cs="Arial"/>
        </w:rPr>
      </w:pPr>
      <w:r w:rsidRPr="00FB171D">
        <w:rPr>
          <w:rFonts w:ascii="Georgia" w:hAnsi="Georgia" w:cs="Arial"/>
        </w:rPr>
        <w:t>A comprehensive medical evaluation—including laboratory testing, medication review, sleep studies, and mental health screening—should be part of any strategy to optimize cognitive health, ensuring treatable conditions are identified and managed.</w:t>
      </w:r>
    </w:p>
    <w:p w14:paraId="659AFB9B" w14:textId="77777777" w:rsidR="00056C32" w:rsidRPr="00FB171D" w:rsidRDefault="00056C32" w:rsidP="005830E1">
      <w:pPr>
        <w:pStyle w:val="Heading4"/>
        <w:rPr>
          <w:rFonts w:ascii="Georgia" w:hAnsi="Georgia" w:cs="Arial"/>
        </w:rPr>
      </w:pPr>
      <w:r w:rsidRPr="00FB171D">
        <w:rPr>
          <w:rFonts w:ascii="Georgia" w:hAnsi="Georgia" w:cs="Arial"/>
        </w:rPr>
        <w:t>Adjunctive and Emerging Therapies</w:t>
      </w:r>
    </w:p>
    <w:p w14:paraId="75CFB764" w14:textId="77777777" w:rsidR="00056C32" w:rsidRPr="00FB171D" w:rsidRDefault="00056C32" w:rsidP="00056C32">
      <w:pPr>
        <w:rPr>
          <w:rFonts w:ascii="Georgia" w:hAnsi="Georgia" w:cs="Arial"/>
        </w:rPr>
      </w:pPr>
      <w:r w:rsidRPr="00FB171D">
        <w:rPr>
          <w:rFonts w:ascii="Georgia" w:hAnsi="Georgia" w:cs="Arial"/>
        </w:rPr>
        <w:t>As our understanding of brain metabolism evolves, several novel and adjunct therapies are being explored:</w:t>
      </w:r>
    </w:p>
    <w:p w14:paraId="3AF239D5" w14:textId="77777777" w:rsidR="00056C32" w:rsidRPr="00FB171D" w:rsidRDefault="00056C32" w:rsidP="00734CAC">
      <w:pPr>
        <w:pStyle w:val="ListParagraph"/>
        <w:numPr>
          <w:ilvl w:val="0"/>
          <w:numId w:val="90"/>
        </w:numPr>
        <w:rPr>
          <w:rFonts w:ascii="Georgia" w:hAnsi="Georgia" w:cs="Arial"/>
        </w:rPr>
      </w:pPr>
      <w:r w:rsidRPr="00FB171D">
        <w:rPr>
          <w:rFonts w:ascii="Georgia" w:hAnsi="Georgia" w:cs="Arial"/>
        </w:rPr>
        <w:t>Stimulants and Neuroenhancers: In select cases, medications may be used to temporarily improve alertness or attention, but these should be carefully considered in the context of underlying metabolic health.</w:t>
      </w:r>
    </w:p>
    <w:p w14:paraId="189C3736" w14:textId="77777777" w:rsidR="00056C32" w:rsidRPr="00FB171D" w:rsidRDefault="00056C32" w:rsidP="00734CAC">
      <w:pPr>
        <w:pStyle w:val="ListParagraph"/>
        <w:numPr>
          <w:ilvl w:val="0"/>
          <w:numId w:val="90"/>
        </w:numPr>
        <w:rPr>
          <w:rFonts w:ascii="Georgia" w:hAnsi="Georgia" w:cs="Arial"/>
        </w:rPr>
      </w:pPr>
      <w:r w:rsidRPr="00FB171D">
        <w:rPr>
          <w:rFonts w:ascii="Georgia" w:hAnsi="Georgia" w:cs="Arial"/>
        </w:rPr>
        <w:t>Agents Targeting AGEs and Inflammatory Pathways: Drugs and nutraceuticals that neutralize AGEs, support BBB integrity, or modulate specific inflammatory cascades are the focus of ongoing research.</w:t>
      </w:r>
    </w:p>
    <w:p w14:paraId="11FA3B21" w14:textId="77777777" w:rsidR="00056C32" w:rsidRPr="00FB171D" w:rsidRDefault="00056C32" w:rsidP="00734CAC">
      <w:pPr>
        <w:pStyle w:val="ListParagraph"/>
        <w:numPr>
          <w:ilvl w:val="0"/>
          <w:numId w:val="90"/>
        </w:numPr>
        <w:rPr>
          <w:rFonts w:ascii="Georgia" w:hAnsi="Georgia" w:cs="Arial"/>
        </w:rPr>
      </w:pPr>
      <w:r w:rsidRPr="00FB171D">
        <w:rPr>
          <w:rFonts w:ascii="Georgia" w:hAnsi="Georgia" w:cs="Arial"/>
        </w:rPr>
        <w:t>Personalized Multimodal Approaches: Ultimately, the most effective approach combines foundational lifestyle interventions with targeted therapies, tailored to individual risk profiles, genetic backgrounds, and clinical presentations.</w:t>
      </w:r>
    </w:p>
    <w:p w14:paraId="51D7714D" w14:textId="6DB255B2" w:rsidR="00056C32" w:rsidRPr="00FB171D" w:rsidRDefault="00056C32" w:rsidP="00EC1BF5">
      <w:pPr>
        <w:pStyle w:val="Heading3"/>
        <w:rPr>
          <w:rFonts w:ascii="Georgia" w:hAnsi="Georgia" w:cs="Arial"/>
        </w:rPr>
      </w:pPr>
      <w:bookmarkStart w:id="101" w:name="_Toc209691135"/>
      <w:r w:rsidRPr="00FB171D">
        <w:rPr>
          <w:rFonts w:ascii="Georgia" w:hAnsi="Georgia" w:cs="Arial"/>
        </w:rPr>
        <w:t>Conclusion: A Holistic, Personalized Pathway to Brain Health</w:t>
      </w:r>
      <w:bookmarkEnd w:id="101"/>
    </w:p>
    <w:p w14:paraId="656BC0CF" w14:textId="77777777" w:rsidR="00056C32" w:rsidRPr="00FB171D" w:rsidRDefault="00056C32" w:rsidP="00056C32">
      <w:pPr>
        <w:rPr>
          <w:rFonts w:ascii="Georgia" w:hAnsi="Georgia" w:cs="Arial"/>
        </w:rPr>
      </w:pPr>
      <w:r w:rsidRPr="00FB171D">
        <w:rPr>
          <w:rFonts w:ascii="Georgia" w:hAnsi="Georgia" w:cs="Arial"/>
        </w:rPr>
        <w:t>Optimizing the metabolic microenvironment of the brain is a multifaceted challenge—one that transcends any single dietary supplement, drug, or intervention. It demands a holistic and personalized approach, beginning with the fundamentals of lifestyle: a nutrient-rich, anti-inflammatory diet; regular physical activity; metabolic risk management; restorative sleep; and the avoidance of toxins and chronic infections. Adjunctive therapies, from NAD+ precursors to emerging neuroprotective agents, hold promise but must be integrated thoughtfully and in the context of each individual’s needs.</w:t>
      </w:r>
    </w:p>
    <w:p w14:paraId="0B5AB399" w14:textId="49693D91" w:rsidR="00CE4FF5" w:rsidRPr="00FB171D" w:rsidRDefault="00056C32" w:rsidP="00056C32">
      <w:pPr>
        <w:rPr>
          <w:rFonts w:ascii="Georgia" w:hAnsi="Georgia" w:cs="Arial"/>
        </w:rPr>
      </w:pPr>
      <w:r w:rsidRPr="00FB171D">
        <w:rPr>
          <w:rFonts w:ascii="Georgia" w:hAnsi="Georgia" w:cs="Arial"/>
        </w:rPr>
        <w:t>By fostering resilient cellular energy systems, supporting vascular and blood-brain barrier integrity, and taming inflammatory processes, we can help preserve cognitive vitality into old age. This comprehensive strategy, grounded in both scientific evidence and clinical wisdom, offers the greatest hope for reducing the burden of neurodegenerative disease and supporting flourishing brain health throughout life.</w:t>
      </w:r>
    </w:p>
    <w:p w14:paraId="2CEB28A4" w14:textId="77777777" w:rsidR="00CE4FF5" w:rsidRPr="00FB171D" w:rsidRDefault="00CE4FF5" w:rsidP="00B629F7">
      <w:pPr>
        <w:rPr>
          <w:rFonts w:ascii="Georgia" w:hAnsi="Georgia" w:cs="Arial"/>
        </w:rPr>
      </w:pPr>
    </w:p>
    <w:p w14:paraId="3E5BA390" w14:textId="77777777" w:rsidR="00CE4FF5" w:rsidRPr="00FB171D" w:rsidRDefault="00CE4FF5" w:rsidP="00B629F7">
      <w:pPr>
        <w:rPr>
          <w:rFonts w:ascii="Georgia" w:hAnsi="Georgia" w:cs="Arial"/>
        </w:rPr>
      </w:pPr>
    </w:p>
    <w:p w14:paraId="4B2D321E" w14:textId="77777777" w:rsidR="00CE4FF5" w:rsidRPr="00FB171D" w:rsidRDefault="00CE4FF5" w:rsidP="00B629F7">
      <w:pPr>
        <w:rPr>
          <w:rFonts w:ascii="Georgia" w:hAnsi="Georgia" w:cs="Arial"/>
        </w:rPr>
      </w:pPr>
    </w:p>
    <w:p w14:paraId="37C988DD" w14:textId="77777777" w:rsidR="00CE4FF5" w:rsidRPr="00FB171D" w:rsidRDefault="00CE4FF5" w:rsidP="0059516F">
      <w:pPr>
        <w:pStyle w:val="Heading3"/>
        <w:rPr>
          <w:rFonts w:ascii="Georgia" w:hAnsi="Georgia" w:cs="Arial"/>
        </w:rPr>
      </w:pPr>
    </w:p>
    <w:p w14:paraId="5D1E72F3" w14:textId="5B8E5375" w:rsidR="00CE4FF5" w:rsidRPr="00FB171D" w:rsidRDefault="0059516F" w:rsidP="0059516F">
      <w:pPr>
        <w:pStyle w:val="Heading3"/>
        <w:rPr>
          <w:rFonts w:ascii="Georgia" w:hAnsi="Georgia" w:cs="Arial"/>
        </w:rPr>
      </w:pPr>
      <w:bookmarkStart w:id="102" w:name="_Toc209691136"/>
      <w:r w:rsidRPr="00FB171D">
        <w:rPr>
          <w:rStyle w:val="cf01"/>
          <w:rFonts w:ascii="Georgia" w:hAnsi="Georgia" w:cs="Arial"/>
          <w:sz w:val="28"/>
          <w:szCs w:val="28"/>
        </w:rPr>
        <w:t>Drugs to improve cognitive performance</w:t>
      </w:r>
      <w:bookmarkEnd w:id="102"/>
    </w:p>
    <w:p w14:paraId="266A6EC9" w14:textId="77777777" w:rsidR="0059516F" w:rsidRPr="00FB171D" w:rsidRDefault="0059516F" w:rsidP="00930CE2">
      <w:pPr>
        <w:rPr>
          <w:rFonts w:ascii="Georgia" w:hAnsi="Georgia" w:cs="Arial"/>
        </w:rPr>
      </w:pPr>
    </w:p>
    <w:p w14:paraId="28B78D5C" w14:textId="55227835" w:rsidR="00930CE2" w:rsidRPr="00FB171D" w:rsidRDefault="00930CE2" w:rsidP="00930CE2">
      <w:pPr>
        <w:rPr>
          <w:rFonts w:ascii="Georgia" w:hAnsi="Georgia" w:cs="Arial"/>
        </w:rPr>
      </w:pPr>
      <w:r w:rsidRPr="00FB171D">
        <w:rPr>
          <w:rFonts w:ascii="Georgia" w:hAnsi="Georgia" w:cs="Arial"/>
        </w:rPr>
        <w:t>Among the wide array of agents that have been studied or used with the aim of enhancing cognitive performance, several naturally occurring and synthetic substances warrant consideration. Caffeine, found in coffee, tea, and even chocolate, is one of the most widely consumed neurostimulants worldwide; it acts by blocking adenosine receptors, thereby promoting alertness, improving attention, and, in moderate doses, sometimes enhancing memory consolidation. Chocolate, particularly dark chocolate, contains not only caffeine but also theobromine and flavonoids, which together may contribute to increased cerebral blood flow and mild cognitive benefits.</w:t>
      </w:r>
    </w:p>
    <w:p w14:paraId="4DB8E6AB" w14:textId="77777777" w:rsidR="00930CE2" w:rsidRPr="00FB171D" w:rsidRDefault="00930CE2" w:rsidP="00930CE2">
      <w:pPr>
        <w:rPr>
          <w:rFonts w:ascii="Georgia" w:hAnsi="Georgia" w:cs="Arial"/>
        </w:rPr>
      </w:pPr>
      <w:r w:rsidRPr="00FB171D">
        <w:rPr>
          <w:rFonts w:ascii="Georgia" w:hAnsi="Georgia" w:cs="Arial"/>
        </w:rPr>
        <w:t>Ginseng, a traditional herbal remedy, has been investigated for its potential to support mental clarity and reduce cognitive fatigue. Some studies suggest that ginsenosides—active compounds in ginseng—can modulate neurotransmitter systems and exert antioxidant effects, possibly enhancing memory and processing speed, though results remain mixed and often depend on preparation and dosage.</w:t>
      </w:r>
    </w:p>
    <w:p w14:paraId="1087BB4C" w14:textId="77777777" w:rsidR="00930CE2" w:rsidRPr="00FB171D" w:rsidRDefault="00930CE2" w:rsidP="00930CE2">
      <w:pPr>
        <w:rPr>
          <w:rFonts w:ascii="Georgia" w:hAnsi="Georgia" w:cs="Arial"/>
        </w:rPr>
      </w:pPr>
      <w:r w:rsidRPr="00FB171D">
        <w:rPr>
          <w:rFonts w:ascii="Georgia" w:hAnsi="Georgia" w:cs="Arial"/>
        </w:rPr>
        <w:t>Conversely, certain powerful stimulants like cocaine have been misused in attempts to boost cognitive energy or focus. Cocaine, while capable of producing temporary increases in alertness or euphoria by ramping up dopamine signaling, carries substantial risks: it is highly addictive, neurotoxic, and its use is associated with significant legal, ethical, and health consequences. Importantly, reliance on illicit substances jeopardizes long-term brain health and can lead to profound cognitive decline over time.</w:t>
      </w:r>
    </w:p>
    <w:p w14:paraId="73652C72" w14:textId="48CD8C2F" w:rsidR="00CE4FF5" w:rsidRPr="00FB171D" w:rsidRDefault="00930CE2" w:rsidP="00930CE2">
      <w:pPr>
        <w:rPr>
          <w:rFonts w:ascii="Georgia" w:hAnsi="Georgia" w:cs="Arial"/>
        </w:rPr>
      </w:pPr>
      <w:r w:rsidRPr="00FB171D">
        <w:rPr>
          <w:rFonts w:ascii="Georgia" w:hAnsi="Georgia" w:cs="Arial"/>
        </w:rPr>
        <w:t>When considering cognitive enhancers, it is crucial to weigh the quality and safety of evidence, recognize individual variability in response, and prioritize interventions that support sustainable, holistic brain health rather than fleeting or risky improvements.</w:t>
      </w:r>
    </w:p>
    <w:p w14:paraId="08055B39" w14:textId="77777777" w:rsidR="00CE4FF5" w:rsidRPr="00FB171D" w:rsidRDefault="00CE4FF5" w:rsidP="00B629F7">
      <w:pPr>
        <w:rPr>
          <w:rFonts w:ascii="Georgia" w:hAnsi="Georgia" w:cs="Arial"/>
        </w:rPr>
      </w:pPr>
    </w:p>
    <w:p w14:paraId="3FF263C5" w14:textId="77777777" w:rsidR="00CE4FF5" w:rsidRPr="00FB171D" w:rsidRDefault="00CE4FF5" w:rsidP="00B629F7">
      <w:pPr>
        <w:rPr>
          <w:rFonts w:ascii="Georgia" w:hAnsi="Georgia" w:cs="Arial"/>
        </w:rPr>
      </w:pPr>
    </w:p>
    <w:p w14:paraId="495501B4" w14:textId="77777777" w:rsidR="00CE4FF5" w:rsidRPr="00FB171D" w:rsidRDefault="00CE4FF5" w:rsidP="00B629F7">
      <w:pPr>
        <w:rPr>
          <w:rFonts w:ascii="Georgia" w:hAnsi="Georgia" w:cs="Arial"/>
        </w:rPr>
      </w:pPr>
    </w:p>
    <w:p w14:paraId="759F4182" w14:textId="77777777" w:rsidR="00CE4FF5" w:rsidRPr="00FB171D" w:rsidRDefault="00CE4FF5" w:rsidP="00B629F7">
      <w:pPr>
        <w:rPr>
          <w:rFonts w:ascii="Georgia" w:hAnsi="Georgia" w:cs="Arial"/>
        </w:rPr>
      </w:pPr>
    </w:p>
    <w:p w14:paraId="3407E793" w14:textId="77777777" w:rsidR="00CE4FF5" w:rsidRPr="00FB171D" w:rsidRDefault="00CE4FF5" w:rsidP="00B629F7">
      <w:pPr>
        <w:rPr>
          <w:rFonts w:ascii="Georgia" w:hAnsi="Georgia" w:cs="Arial"/>
        </w:rPr>
      </w:pPr>
    </w:p>
    <w:p w14:paraId="2A9CD294" w14:textId="77777777" w:rsidR="00CE4FF5" w:rsidRPr="00FB171D" w:rsidRDefault="00CE4FF5" w:rsidP="00B629F7">
      <w:pPr>
        <w:rPr>
          <w:rFonts w:ascii="Georgia" w:hAnsi="Georgia" w:cs="Arial"/>
        </w:rPr>
      </w:pPr>
    </w:p>
    <w:p w14:paraId="1382BF73" w14:textId="77777777" w:rsidR="00CE4FF5" w:rsidRPr="00FB171D" w:rsidRDefault="00CE4FF5" w:rsidP="00B629F7">
      <w:pPr>
        <w:rPr>
          <w:rFonts w:ascii="Georgia" w:hAnsi="Georgia" w:cs="Arial"/>
        </w:rPr>
      </w:pPr>
    </w:p>
    <w:p w14:paraId="422C417D" w14:textId="77777777" w:rsidR="00CE4FF5" w:rsidRPr="00FB171D" w:rsidRDefault="00CE4FF5" w:rsidP="00B629F7">
      <w:pPr>
        <w:rPr>
          <w:rFonts w:ascii="Georgia" w:hAnsi="Georgia" w:cs="Arial"/>
        </w:rPr>
      </w:pPr>
    </w:p>
    <w:p w14:paraId="46B1442E" w14:textId="77777777" w:rsidR="00CE4FF5" w:rsidRPr="00FB171D" w:rsidRDefault="00CE4FF5" w:rsidP="00B629F7">
      <w:pPr>
        <w:rPr>
          <w:rFonts w:ascii="Georgia" w:hAnsi="Georgia" w:cs="Arial"/>
        </w:rPr>
      </w:pPr>
    </w:p>
    <w:p w14:paraId="7A68EDF6" w14:textId="77777777" w:rsidR="00CE4FF5" w:rsidRPr="00FB171D" w:rsidRDefault="00CE4FF5" w:rsidP="00B629F7">
      <w:pPr>
        <w:rPr>
          <w:rFonts w:ascii="Georgia" w:hAnsi="Georgia" w:cs="Arial"/>
        </w:rPr>
      </w:pPr>
    </w:p>
    <w:p w14:paraId="4A6045AA" w14:textId="77777777" w:rsidR="00CE4FF5" w:rsidRPr="00FB171D" w:rsidRDefault="00CE4FF5" w:rsidP="00B629F7">
      <w:pPr>
        <w:rPr>
          <w:rFonts w:ascii="Georgia" w:hAnsi="Georgia" w:cs="Arial"/>
        </w:rPr>
      </w:pPr>
    </w:p>
    <w:p w14:paraId="1B8477C8" w14:textId="77777777" w:rsidR="00CE4FF5" w:rsidRPr="00FB171D" w:rsidRDefault="00CE4FF5" w:rsidP="00B629F7">
      <w:pPr>
        <w:rPr>
          <w:rFonts w:ascii="Georgia" w:hAnsi="Georgia" w:cs="Arial"/>
        </w:rPr>
      </w:pPr>
    </w:p>
    <w:p w14:paraId="0343C37F" w14:textId="77777777" w:rsidR="00CE4FF5" w:rsidRPr="00FB171D" w:rsidRDefault="00CE4FF5" w:rsidP="00B629F7">
      <w:pPr>
        <w:rPr>
          <w:rFonts w:ascii="Georgia" w:hAnsi="Georgia" w:cs="Arial"/>
        </w:rPr>
      </w:pPr>
    </w:p>
    <w:p w14:paraId="3EB54CED" w14:textId="77777777" w:rsidR="00CE4FF5" w:rsidRPr="00FB171D" w:rsidRDefault="00CE4FF5" w:rsidP="00B629F7">
      <w:pPr>
        <w:rPr>
          <w:rFonts w:ascii="Georgia" w:hAnsi="Georgia" w:cs="Arial"/>
        </w:rPr>
      </w:pPr>
    </w:p>
    <w:p w14:paraId="737278F1" w14:textId="77777777" w:rsidR="00CE4FF5" w:rsidRPr="00FB171D" w:rsidRDefault="00CE4FF5" w:rsidP="00B629F7">
      <w:pPr>
        <w:rPr>
          <w:rFonts w:ascii="Georgia" w:hAnsi="Georgia" w:cs="Arial"/>
        </w:rPr>
      </w:pPr>
    </w:p>
    <w:p w14:paraId="753D8511" w14:textId="77777777" w:rsidR="00CE4FF5" w:rsidRPr="00FB171D" w:rsidRDefault="00CE4FF5" w:rsidP="00B629F7">
      <w:pPr>
        <w:rPr>
          <w:rFonts w:ascii="Georgia" w:hAnsi="Georgia" w:cs="Arial"/>
        </w:rPr>
      </w:pPr>
    </w:p>
    <w:p w14:paraId="6E27F0AD" w14:textId="77777777" w:rsidR="00CE4FF5" w:rsidRPr="00FB171D" w:rsidRDefault="00CE4FF5" w:rsidP="00B629F7">
      <w:pPr>
        <w:rPr>
          <w:rFonts w:ascii="Georgia" w:hAnsi="Georgia" w:cs="Arial"/>
        </w:rPr>
      </w:pPr>
    </w:p>
    <w:p w14:paraId="458B1479" w14:textId="77777777" w:rsidR="00CE4FF5" w:rsidRPr="00FB171D" w:rsidRDefault="00CE4FF5" w:rsidP="00B629F7">
      <w:pPr>
        <w:rPr>
          <w:rFonts w:ascii="Georgia" w:hAnsi="Georgia" w:cs="Arial"/>
        </w:rPr>
      </w:pPr>
    </w:p>
    <w:p w14:paraId="40D67B9A" w14:textId="77777777" w:rsidR="00CE4FF5" w:rsidRPr="00FB171D" w:rsidRDefault="00CE4FF5" w:rsidP="00B629F7">
      <w:pPr>
        <w:rPr>
          <w:rFonts w:ascii="Georgia" w:hAnsi="Georgia" w:cs="Arial"/>
        </w:rPr>
      </w:pPr>
    </w:p>
    <w:p w14:paraId="543C69F0" w14:textId="77777777" w:rsidR="00CE4FF5" w:rsidRPr="00FB171D" w:rsidRDefault="00CE4FF5" w:rsidP="00B629F7">
      <w:pPr>
        <w:rPr>
          <w:rFonts w:ascii="Georgia" w:hAnsi="Georgia" w:cs="Arial"/>
        </w:rPr>
      </w:pPr>
    </w:p>
    <w:p w14:paraId="5124A0CC" w14:textId="77777777" w:rsidR="00CE4FF5" w:rsidRPr="00FB171D" w:rsidRDefault="00CE4FF5" w:rsidP="00B629F7">
      <w:pPr>
        <w:rPr>
          <w:rFonts w:ascii="Georgia" w:hAnsi="Georgia" w:cs="Arial"/>
        </w:rPr>
      </w:pPr>
    </w:p>
    <w:p w14:paraId="0CF6ECBA" w14:textId="77777777" w:rsidR="00CE4FF5" w:rsidRPr="00FB171D" w:rsidRDefault="00CE4FF5" w:rsidP="00B629F7">
      <w:pPr>
        <w:rPr>
          <w:rFonts w:ascii="Georgia" w:hAnsi="Georgia" w:cs="Arial"/>
        </w:rPr>
      </w:pPr>
    </w:p>
    <w:p w14:paraId="0DB645A7" w14:textId="77777777" w:rsidR="00CE4FF5" w:rsidRPr="00FB171D" w:rsidRDefault="00CE4FF5" w:rsidP="00B629F7">
      <w:pPr>
        <w:rPr>
          <w:rFonts w:ascii="Georgia" w:hAnsi="Georgia" w:cs="Arial"/>
        </w:rPr>
      </w:pPr>
    </w:p>
    <w:p w14:paraId="6489786B" w14:textId="77777777" w:rsidR="00CE4FF5" w:rsidRPr="00FB171D" w:rsidRDefault="00CE4FF5" w:rsidP="00B629F7">
      <w:pPr>
        <w:rPr>
          <w:rFonts w:ascii="Georgia" w:hAnsi="Georgia" w:cs="Arial"/>
        </w:rPr>
      </w:pPr>
    </w:p>
    <w:p w14:paraId="35AD934A" w14:textId="77777777" w:rsidR="00CE4FF5" w:rsidRPr="00FB171D" w:rsidRDefault="00CE4FF5" w:rsidP="00B629F7">
      <w:pPr>
        <w:rPr>
          <w:rFonts w:ascii="Georgia" w:hAnsi="Georgia" w:cs="Arial"/>
        </w:rPr>
      </w:pPr>
    </w:p>
    <w:p w14:paraId="743F546F" w14:textId="77777777" w:rsidR="00CE4FF5" w:rsidRPr="00FB171D" w:rsidRDefault="00CE4FF5" w:rsidP="00B629F7">
      <w:pPr>
        <w:rPr>
          <w:rFonts w:ascii="Georgia" w:hAnsi="Georgia" w:cs="Arial"/>
        </w:rPr>
      </w:pPr>
    </w:p>
    <w:p w14:paraId="0BB9B14C" w14:textId="77777777" w:rsidR="00CE4FF5" w:rsidRPr="00FB171D" w:rsidRDefault="00CE4FF5" w:rsidP="00B629F7">
      <w:pPr>
        <w:rPr>
          <w:rFonts w:ascii="Georgia" w:hAnsi="Georgia" w:cs="Arial"/>
        </w:rPr>
      </w:pPr>
    </w:p>
    <w:p w14:paraId="60E75AD8" w14:textId="77777777" w:rsidR="00CE4FF5" w:rsidRPr="00FB171D" w:rsidRDefault="00CE4FF5" w:rsidP="00B629F7">
      <w:pPr>
        <w:rPr>
          <w:rFonts w:ascii="Georgia" w:hAnsi="Georgia" w:cs="Arial"/>
        </w:rPr>
      </w:pPr>
    </w:p>
    <w:p w14:paraId="45931B71" w14:textId="77777777" w:rsidR="00DF4670" w:rsidRPr="00FB171D" w:rsidRDefault="00DF4670" w:rsidP="00B629F7">
      <w:pPr>
        <w:rPr>
          <w:rFonts w:ascii="Georgia" w:hAnsi="Georgia" w:cs="Arial"/>
        </w:rPr>
      </w:pPr>
    </w:p>
    <w:p w14:paraId="3F344D9D" w14:textId="77777777" w:rsidR="00DF4670" w:rsidRPr="00FB171D" w:rsidRDefault="00DF4670" w:rsidP="00B629F7">
      <w:pPr>
        <w:rPr>
          <w:rFonts w:ascii="Georgia" w:hAnsi="Georgia" w:cs="Arial"/>
        </w:rPr>
      </w:pPr>
    </w:p>
    <w:p w14:paraId="093443C2" w14:textId="77777777" w:rsidR="00B629F7" w:rsidRPr="00FB171D" w:rsidRDefault="00B629F7" w:rsidP="00B629F7">
      <w:pPr>
        <w:rPr>
          <w:rFonts w:ascii="Georgia" w:hAnsi="Georgia" w:cs="Arial"/>
        </w:rPr>
      </w:pPr>
      <w:r w:rsidRPr="00FB171D">
        <w:rPr>
          <w:rFonts w:ascii="Georgia" w:hAnsi="Georgia" w:cs="Arial"/>
        </w:rPr>
        <w:t>Optimize brain metabolic support: NAD, euglycemia,</w:t>
      </w:r>
    </w:p>
    <w:p w14:paraId="00D63099" w14:textId="77777777" w:rsidR="00B629F7" w:rsidRPr="00FB171D" w:rsidRDefault="00B629F7" w:rsidP="00B629F7">
      <w:pPr>
        <w:rPr>
          <w:rFonts w:ascii="Georgia" w:hAnsi="Georgia" w:cs="Arial"/>
        </w:rPr>
      </w:pPr>
      <w:r w:rsidRPr="00FB171D">
        <w:rPr>
          <w:rFonts w:ascii="Georgia" w:hAnsi="Georgia" w:cs="Arial"/>
        </w:rPr>
        <w:t>Reduce inflammation of the brain:  H2, astaxanthin, HBOT?</w:t>
      </w:r>
    </w:p>
    <w:p w14:paraId="5FC5CC22" w14:textId="77777777" w:rsidR="00B629F7" w:rsidRPr="00FB171D" w:rsidRDefault="00B629F7" w:rsidP="00B629F7">
      <w:pPr>
        <w:rPr>
          <w:rFonts w:ascii="Georgia" w:hAnsi="Georgia" w:cs="Arial"/>
        </w:rPr>
      </w:pPr>
      <w:r w:rsidRPr="00FB171D">
        <w:rPr>
          <w:rFonts w:ascii="Georgia" w:hAnsi="Georgia" w:cs="Arial"/>
        </w:rPr>
        <w:t>Support the blood brain barrier integrity:  Reduce AGEs</w:t>
      </w:r>
    </w:p>
    <w:p w14:paraId="56D9AEF5" w14:textId="77777777" w:rsidR="00B629F7" w:rsidRPr="00FB171D" w:rsidRDefault="00B629F7" w:rsidP="00B629F7">
      <w:pPr>
        <w:rPr>
          <w:rFonts w:ascii="Georgia" w:hAnsi="Georgia" w:cs="Arial"/>
        </w:rPr>
      </w:pPr>
      <w:r w:rsidRPr="00FB171D">
        <w:rPr>
          <w:rFonts w:ascii="Georgia" w:hAnsi="Georgia" w:cs="Arial"/>
        </w:rPr>
        <w:t>Maintain circulation</w:t>
      </w:r>
    </w:p>
    <w:p w14:paraId="7B990E42" w14:textId="77777777" w:rsidR="00B629F7" w:rsidRPr="00FB171D" w:rsidRDefault="00B629F7" w:rsidP="00B629F7">
      <w:pPr>
        <w:rPr>
          <w:rFonts w:ascii="Georgia" w:hAnsi="Georgia" w:cs="Arial"/>
        </w:rPr>
      </w:pPr>
      <w:r w:rsidRPr="00FB171D">
        <w:rPr>
          <w:rFonts w:ascii="Georgia" w:hAnsi="Georgia" w:cs="Arial"/>
        </w:rPr>
        <w:t>Remove reversible causes of dementia</w:t>
      </w:r>
    </w:p>
    <w:p w14:paraId="06A39666" w14:textId="77777777" w:rsidR="00B629F7" w:rsidRPr="00FB171D" w:rsidRDefault="00B629F7" w:rsidP="00B629F7">
      <w:pPr>
        <w:rPr>
          <w:rFonts w:ascii="Georgia" w:hAnsi="Georgia" w:cs="Arial"/>
        </w:rPr>
      </w:pPr>
      <w:r w:rsidRPr="00FB171D">
        <w:rPr>
          <w:rFonts w:ascii="Georgia" w:hAnsi="Georgia" w:cs="Arial"/>
        </w:rPr>
        <w:t>Stimulants and other temporary changes</w:t>
      </w:r>
    </w:p>
    <w:p w14:paraId="375E71FD" w14:textId="77777777" w:rsidR="00B629F7" w:rsidRPr="00FB171D" w:rsidRDefault="00B629F7" w:rsidP="00B629F7">
      <w:pPr>
        <w:rPr>
          <w:rFonts w:ascii="Georgia" w:hAnsi="Georgia" w:cs="Arial"/>
        </w:rPr>
      </w:pPr>
      <w:r w:rsidRPr="00FB171D">
        <w:rPr>
          <w:rFonts w:ascii="Georgia" w:hAnsi="Georgia" w:cs="Arial"/>
        </w:rPr>
        <w:t>Some common brain afflictions with aging are:</w:t>
      </w:r>
    </w:p>
    <w:p w14:paraId="3D4AA460" w14:textId="77777777" w:rsidR="00B629F7" w:rsidRPr="00FB171D" w:rsidRDefault="00B629F7" w:rsidP="00B629F7">
      <w:pPr>
        <w:rPr>
          <w:rFonts w:ascii="Georgia" w:hAnsi="Georgia" w:cs="Arial"/>
        </w:rPr>
      </w:pPr>
      <w:r w:rsidRPr="00FB171D">
        <w:rPr>
          <w:rFonts w:ascii="Georgia" w:hAnsi="Georgia" w:cs="Arial"/>
        </w:rPr>
        <w:t>- Mild Cognitive Impairment (MCI): This is a condition where people have more problems with memory or other thinking skills than normal for their age, but not enough to interfere with their daily activities3. People with MCI have an increased risk of developing Alzheimer’s disease or other types of dementia, but not all of them do4.</w:t>
      </w:r>
    </w:p>
    <w:p w14:paraId="2332348C" w14:textId="77777777" w:rsidR="00B629F7" w:rsidRPr="00FB171D" w:rsidRDefault="00B629F7" w:rsidP="00B629F7">
      <w:pPr>
        <w:rPr>
          <w:rFonts w:ascii="Georgia" w:hAnsi="Georgia" w:cs="Arial"/>
        </w:rPr>
      </w:pPr>
      <w:r w:rsidRPr="00FB171D">
        <w:rPr>
          <w:rFonts w:ascii="Georgia" w:hAnsi="Georgia" w:cs="Arial"/>
        </w:rPr>
        <w:t>- Dementia: This is a general term for a decline in mental abilities that is severe enough to affect daily life5. Dementia can affect memory, language, judgment, reasoning, planning, and behavior6. There are many causes of dementia, such as Alzheimer’s disease, vascular dementia, Lewy body dementia, frontotemporal dementia, and Parkinson’s disease dementia5. Some of these causes are irreversible, while others may be treatable or preventable7.</w:t>
      </w:r>
    </w:p>
    <w:p w14:paraId="2698A110" w14:textId="3091778C" w:rsidR="00D26DFF" w:rsidRPr="00FB171D" w:rsidRDefault="00D26DFF" w:rsidP="00D26DFF">
      <w:pPr>
        <w:ind w:left="360"/>
        <w:rPr>
          <w:rFonts w:ascii="Georgia" w:hAnsi="Georgia" w:cs="Arial"/>
        </w:rPr>
      </w:pPr>
    </w:p>
    <w:p w14:paraId="23617D95" w14:textId="77777777" w:rsidR="009E2217" w:rsidRPr="00FB171D" w:rsidRDefault="009E2217" w:rsidP="00337CF6">
      <w:pPr>
        <w:rPr>
          <w:rFonts w:ascii="Georgia" w:hAnsi="Georgia" w:cs="Arial"/>
        </w:rPr>
      </w:pPr>
    </w:p>
    <w:p w14:paraId="319E4F3C" w14:textId="77777777" w:rsidR="009E2217" w:rsidRPr="00FB171D" w:rsidRDefault="009E2217" w:rsidP="00337CF6">
      <w:pPr>
        <w:rPr>
          <w:rFonts w:ascii="Georgia" w:hAnsi="Georgia" w:cs="Arial"/>
        </w:rPr>
      </w:pPr>
    </w:p>
    <w:p w14:paraId="7594ECC8" w14:textId="77777777" w:rsidR="009E2217" w:rsidRPr="00FB171D" w:rsidRDefault="009E2217" w:rsidP="00337CF6">
      <w:pPr>
        <w:rPr>
          <w:rFonts w:ascii="Georgia" w:hAnsi="Georgia" w:cs="Arial"/>
        </w:rPr>
      </w:pPr>
    </w:p>
    <w:p w14:paraId="32057635" w14:textId="77777777" w:rsidR="009E2217" w:rsidRPr="00FB171D" w:rsidRDefault="009E2217" w:rsidP="00337CF6">
      <w:pPr>
        <w:rPr>
          <w:rFonts w:ascii="Georgia" w:hAnsi="Georgia" w:cs="Arial"/>
        </w:rPr>
      </w:pPr>
    </w:p>
    <w:p w14:paraId="5BE94046" w14:textId="77777777" w:rsidR="009E2217" w:rsidRPr="00FB171D" w:rsidRDefault="009E2217" w:rsidP="00337CF6">
      <w:pPr>
        <w:rPr>
          <w:rFonts w:ascii="Georgia" w:hAnsi="Georgia" w:cs="Arial"/>
        </w:rPr>
      </w:pPr>
    </w:p>
    <w:p w14:paraId="0B48DC6D" w14:textId="77777777" w:rsidR="009E2217" w:rsidRPr="00FB171D" w:rsidRDefault="009E2217" w:rsidP="00337CF6">
      <w:pPr>
        <w:rPr>
          <w:rFonts w:ascii="Georgia" w:hAnsi="Georgia" w:cs="Arial"/>
        </w:rPr>
      </w:pPr>
    </w:p>
    <w:p w14:paraId="107B5598" w14:textId="77777777" w:rsidR="009E2217" w:rsidRPr="00FB171D" w:rsidRDefault="009E2217" w:rsidP="00337CF6">
      <w:pPr>
        <w:rPr>
          <w:rFonts w:ascii="Georgia" w:hAnsi="Georgia" w:cs="Arial"/>
        </w:rPr>
      </w:pPr>
    </w:p>
    <w:p w14:paraId="232B1F72" w14:textId="77777777" w:rsidR="009E2217" w:rsidRPr="00FB171D" w:rsidRDefault="009E2217" w:rsidP="00337CF6">
      <w:pPr>
        <w:rPr>
          <w:rFonts w:ascii="Georgia" w:hAnsi="Georgia" w:cs="Arial"/>
        </w:rPr>
      </w:pPr>
    </w:p>
    <w:p w14:paraId="749739B0" w14:textId="77777777" w:rsidR="009E2217" w:rsidRPr="00FB171D" w:rsidRDefault="009E2217" w:rsidP="00337CF6">
      <w:pPr>
        <w:rPr>
          <w:rFonts w:ascii="Georgia" w:hAnsi="Georgia" w:cs="Arial"/>
        </w:rPr>
      </w:pPr>
    </w:p>
    <w:p w14:paraId="0479F9F9" w14:textId="77777777" w:rsidR="009E2217" w:rsidRPr="00FB171D" w:rsidRDefault="009E2217" w:rsidP="00337CF6">
      <w:pPr>
        <w:rPr>
          <w:rFonts w:ascii="Georgia" w:hAnsi="Georgia" w:cs="Arial"/>
        </w:rPr>
      </w:pPr>
    </w:p>
    <w:p w14:paraId="3DB279AA" w14:textId="77777777" w:rsidR="009E2217" w:rsidRPr="00FB171D" w:rsidRDefault="009E2217" w:rsidP="00337CF6">
      <w:pPr>
        <w:rPr>
          <w:rFonts w:ascii="Georgia" w:hAnsi="Georgia" w:cs="Arial"/>
        </w:rPr>
      </w:pPr>
    </w:p>
    <w:p w14:paraId="2322CF67" w14:textId="77777777" w:rsidR="009E2217" w:rsidRPr="00FB171D" w:rsidRDefault="009E2217" w:rsidP="00337CF6">
      <w:pPr>
        <w:rPr>
          <w:rFonts w:ascii="Georgia" w:hAnsi="Georgia" w:cs="Arial"/>
        </w:rPr>
      </w:pPr>
    </w:p>
    <w:p w14:paraId="5FF388D1" w14:textId="77777777" w:rsidR="009E2217" w:rsidRPr="00FB171D" w:rsidRDefault="009E2217" w:rsidP="00337CF6">
      <w:pPr>
        <w:rPr>
          <w:rFonts w:ascii="Georgia" w:hAnsi="Georgia" w:cs="Arial"/>
        </w:rPr>
      </w:pPr>
    </w:p>
    <w:p w14:paraId="4B9DCCAE" w14:textId="77777777" w:rsidR="00E36A7D" w:rsidRPr="00FB171D" w:rsidRDefault="00E36A7D" w:rsidP="00F53799">
      <w:pPr>
        <w:spacing w:after="0"/>
        <w:rPr>
          <w:rFonts w:ascii="Georgia" w:eastAsia="Segoe UI" w:hAnsi="Georgia" w:cs="Arial"/>
          <w:sz w:val="28"/>
          <w:szCs w:val="28"/>
        </w:rPr>
      </w:pPr>
    </w:p>
    <w:p w14:paraId="4825F2E6" w14:textId="77777777" w:rsidR="00F53799" w:rsidRPr="00FB171D" w:rsidRDefault="00F53799" w:rsidP="00F53799">
      <w:pPr>
        <w:spacing w:after="0"/>
        <w:rPr>
          <w:rFonts w:ascii="Georgia" w:eastAsia="Segoe UI" w:hAnsi="Georgia" w:cs="Arial"/>
          <w:sz w:val="28"/>
          <w:szCs w:val="28"/>
        </w:rPr>
      </w:pPr>
    </w:p>
    <w:p w14:paraId="1AC9D37E" w14:textId="77777777" w:rsidR="001A2364" w:rsidRPr="00FB171D" w:rsidRDefault="001A2364" w:rsidP="00227BB3">
      <w:pPr>
        <w:rPr>
          <w:rFonts w:ascii="Georgia" w:hAnsi="Georgia" w:cs="Arial"/>
        </w:rPr>
      </w:pPr>
    </w:p>
    <w:p w14:paraId="1E64A63F" w14:textId="77777777" w:rsidR="00F53799" w:rsidRPr="00FB171D" w:rsidRDefault="00F53799" w:rsidP="00F53799">
      <w:pPr>
        <w:spacing w:after="0"/>
        <w:rPr>
          <w:rFonts w:ascii="Georgia" w:eastAsia="Segoe UI" w:hAnsi="Georgia" w:cs="Arial"/>
          <w:b/>
          <w:bCs/>
          <w:color w:val="FF0000"/>
          <w:sz w:val="36"/>
          <w:szCs w:val="36"/>
          <w:u w:val="single"/>
        </w:rPr>
      </w:pPr>
    </w:p>
    <w:p w14:paraId="164A81C3" w14:textId="77777777" w:rsidR="00F53799" w:rsidRPr="00FB171D" w:rsidRDefault="00F53799" w:rsidP="00F53799">
      <w:pPr>
        <w:spacing w:after="0"/>
        <w:rPr>
          <w:rFonts w:ascii="Georgia" w:eastAsia="Segoe UI" w:hAnsi="Georgia" w:cs="Arial"/>
          <w:color w:val="FF0000"/>
          <w:sz w:val="32"/>
          <w:szCs w:val="32"/>
        </w:rPr>
      </w:pPr>
      <w:r w:rsidRPr="00FB171D">
        <w:rPr>
          <w:rFonts w:ascii="Georgia" w:eastAsia="Segoe UI" w:hAnsi="Georgia" w:cs="Arial"/>
          <w:color w:val="FF0000"/>
        </w:rPr>
        <w:tab/>
      </w:r>
      <w:r w:rsidRPr="00FB171D">
        <w:rPr>
          <w:rFonts w:ascii="Georgia" w:eastAsia="Segoe UI" w:hAnsi="Georgia" w:cs="Arial"/>
          <w:color w:val="FF0000"/>
          <w:sz w:val="32"/>
          <w:szCs w:val="32"/>
        </w:rPr>
        <w:t>What are the hallmarks?</w:t>
      </w:r>
    </w:p>
    <w:p w14:paraId="398B7E65" w14:textId="77777777" w:rsidR="005A450E" w:rsidRPr="00FB171D" w:rsidRDefault="005A450E" w:rsidP="005A450E">
      <w:pPr>
        <w:spacing w:before="100" w:beforeAutospacing="1" w:after="100" w:afterAutospacing="1" w:line="240" w:lineRule="auto"/>
        <w:rPr>
          <w:rFonts w:ascii="Georgia" w:eastAsia="Times New Roman" w:hAnsi="Georgia" w:cs="Arial"/>
          <w:color w:val="000000"/>
          <w:sz w:val="27"/>
          <w:szCs w:val="27"/>
        </w:rPr>
      </w:pPr>
      <w:r w:rsidRPr="00FB171D">
        <w:rPr>
          <w:rFonts w:ascii="Georgia" w:eastAsia="Times New Roman" w:hAnsi="Georgia" w:cs="Arial"/>
          <w:color w:val="000000"/>
          <w:sz w:val="27"/>
          <w:szCs w:val="27"/>
        </w:rPr>
        <w:t>Here are some key points about cognitive decline with age:</w:t>
      </w:r>
    </w:p>
    <w:p w14:paraId="377CB797" w14:textId="77777777" w:rsidR="005A450E" w:rsidRPr="00FB171D" w:rsidRDefault="005A450E" w:rsidP="00734CAC">
      <w:pPr>
        <w:numPr>
          <w:ilvl w:val="0"/>
          <w:numId w:val="10"/>
        </w:numPr>
        <w:spacing w:before="100" w:beforeAutospacing="1" w:after="100" w:afterAutospacing="1" w:line="240" w:lineRule="auto"/>
        <w:rPr>
          <w:rFonts w:ascii="Georgia" w:eastAsia="Times New Roman" w:hAnsi="Georgia" w:cs="Arial"/>
          <w:color w:val="000000"/>
          <w:sz w:val="27"/>
          <w:szCs w:val="27"/>
        </w:rPr>
      </w:pPr>
      <w:r w:rsidRPr="00FB171D">
        <w:rPr>
          <w:rFonts w:ascii="Georgia" w:eastAsia="Times New Roman" w:hAnsi="Georgia" w:cs="Arial"/>
          <w:b/>
          <w:bCs/>
          <w:color w:val="000000"/>
          <w:sz w:val="27"/>
          <w:szCs w:val="27"/>
        </w:rPr>
        <w:t>Normal Cognitive Aging</w:t>
      </w:r>
      <w:r w:rsidRPr="00FB171D">
        <w:rPr>
          <w:rFonts w:ascii="Georgia" w:eastAsia="Times New Roman" w:hAnsi="Georgia" w:cs="Arial"/>
          <w:color w:val="000000"/>
          <w:sz w:val="27"/>
          <w:szCs w:val="27"/>
        </w:rPr>
        <w:t xml:space="preserve">: Most of us experience a relatively small amount of decline in some of our thinking skills. </w:t>
      </w:r>
      <w:hyperlink r:id="rId6" w:history="1">
        <w:r w:rsidRPr="00FB171D">
          <w:rPr>
            <w:rFonts w:ascii="Georgia" w:eastAsia="Times New Roman" w:hAnsi="Georgia" w:cs="Arial"/>
            <w:color w:val="0000FF"/>
            <w:sz w:val="27"/>
            <w:szCs w:val="27"/>
            <w:u w:val="single"/>
          </w:rPr>
          <w:t>This doesn’t usually affect our independence or quality of life</w:t>
        </w:r>
      </w:hyperlink>
      <w:hyperlink r:id="rId7" w:tgtFrame="_blank" w:history="1">
        <w:r w:rsidRPr="00FB171D">
          <w:rPr>
            <w:rFonts w:ascii="Georgia" w:eastAsia="Times New Roman" w:hAnsi="Georgia" w:cs="Arial"/>
            <w:color w:val="0000FF"/>
            <w:sz w:val="27"/>
            <w:szCs w:val="27"/>
            <w:u w:val="single"/>
            <w:vertAlign w:val="superscript"/>
          </w:rPr>
          <w:t>2</w:t>
        </w:r>
      </w:hyperlink>
      <w:r w:rsidRPr="00FB171D">
        <w:rPr>
          <w:rFonts w:ascii="Georgia" w:eastAsia="Times New Roman" w:hAnsi="Georgia" w:cs="Arial"/>
          <w:color w:val="000000"/>
          <w:sz w:val="27"/>
          <w:szCs w:val="27"/>
        </w:rPr>
        <w:t xml:space="preserve">. </w:t>
      </w:r>
      <w:hyperlink r:id="rId8" w:history="1">
        <w:r w:rsidRPr="00FB171D">
          <w:rPr>
            <w:rFonts w:ascii="Georgia" w:eastAsia="Times New Roman" w:hAnsi="Georgia" w:cs="Arial"/>
            <w:color w:val="0000FF"/>
            <w:sz w:val="27"/>
            <w:szCs w:val="27"/>
            <w:u w:val="single"/>
          </w:rPr>
          <w:t>On average in older age, we know more than younger people but are not as quick in figuring out problems or completing tasks</w:t>
        </w:r>
      </w:hyperlink>
      <w:hyperlink r:id="rId9" w:tgtFrame="_blank" w:history="1">
        <w:r w:rsidRPr="00FB171D">
          <w:rPr>
            <w:rFonts w:ascii="Georgia" w:eastAsia="Times New Roman" w:hAnsi="Georgia" w:cs="Arial"/>
            <w:color w:val="0000FF"/>
            <w:sz w:val="27"/>
            <w:szCs w:val="27"/>
            <w:u w:val="single"/>
            <w:vertAlign w:val="superscript"/>
          </w:rPr>
          <w:t>2</w:t>
        </w:r>
      </w:hyperlink>
      <w:r w:rsidRPr="00FB171D">
        <w:rPr>
          <w:rFonts w:ascii="Georgia" w:eastAsia="Times New Roman" w:hAnsi="Georgia" w:cs="Arial"/>
          <w:color w:val="000000"/>
          <w:sz w:val="27"/>
          <w:szCs w:val="27"/>
        </w:rPr>
        <w:t>.</w:t>
      </w:r>
    </w:p>
    <w:p w14:paraId="469BFFF6" w14:textId="77777777" w:rsidR="005A450E" w:rsidRPr="00FB171D" w:rsidRDefault="00000000" w:rsidP="00734CAC">
      <w:pPr>
        <w:numPr>
          <w:ilvl w:val="0"/>
          <w:numId w:val="10"/>
        </w:numPr>
        <w:spacing w:before="100" w:beforeAutospacing="1" w:after="100" w:afterAutospacing="1" w:line="240" w:lineRule="auto"/>
        <w:rPr>
          <w:rFonts w:ascii="Georgia" w:eastAsia="Times New Roman" w:hAnsi="Georgia" w:cs="Arial"/>
          <w:color w:val="000000"/>
          <w:sz w:val="27"/>
          <w:szCs w:val="27"/>
        </w:rPr>
      </w:pPr>
      <w:hyperlink r:id="rId10" w:history="1">
        <w:r w:rsidR="005A450E" w:rsidRPr="00FB171D">
          <w:rPr>
            <w:rFonts w:ascii="Georgia" w:eastAsia="Times New Roman" w:hAnsi="Georgia" w:cs="Arial"/>
            <w:b/>
            <w:bCs/>
            <w:color w:val="0000FF"/>
            <w:sz w:val="27"/>
            <w:szCs w:val="27"/>
            <w:u w:val="single"/>
          </w:rPr>
          <w:t>Affected Skills</w:t>
        </w:r>
        <w:r w:rsidR="005A450E" w:rsidRPr="00FB171D">
          <w:rPr>
            <w:rFonts w:ascii="Georgia" w:eastAsia="Times New Roman" w:hAnsi="Georgia" w:cs="Arial"/>
            <w:color w:val="0000FF"/>
            <w:sz w:val="27"/>
            <w:szCs w:val="27"/>
            <w:u w:val="single"/>
          </w:rPr>
          <w:t>: The thinking skills that are affected by normal cognitive ageing include short-term memory, reasoning, speed of processing of information</w:t>
        </w:r>
      </w:hyperlink>
      <w:hyperlink r:id="rId11" w:tgtFrame="_blank" w:history="1">
        <w:r w:rsidR="005A450E" w:rsidRPr="00FB171D">
          <w:rPr>
            <w:rFonts w:ascii="Georgia" w:eastAsia="Times New Roman" w:hAnsi="Georgia" w:cs="Arial"/>
            <w:color w:val="0000FF"/>
            <w:sz w:val="27"/>
            <w:szCs w:val="27"/>
            <w:u w:val="single"/>
            <w:vertAlign w:val="superscript"/>
          </w:rPr>
          <w:t>2</w:t>
        </w:r>
      </w:hyperlink>
      <w:r w:rsidR="005A450E" w:rsidRPr="00FB171D">
        <w:rPr>
          <w:rFonts w:ascii="Georgia" w:eastAsia="Times New Roman" w:hAnsi="Georgia" w:cs="Arial"/>
          <w:color w:val="000000"/>
          <w:sz w:val="27"/>
          <w:szCs w:val="27"/>
        </w:rPr>
        <w:t>.</w:t>
      </w:r>
    </w:p>
    <w:p w14:paraId="69B74D9E" w14:textId="77777777" w:rsidR="005A450E" w:rsidRPr="00FB171D" w:rsidRDefault="00000000" w:rsidP="00734CAC">
      <w:pPr>
        <w:numPr>
          <w:ilvl w:val="0"/>
          <w:numId w:val="10"/>
        </w:numPr>
        <w:spacing w:before="100" w:beforeAutospacing="1" w:after="100" w:afterAutospacing="1" w:line="240" w:lineRule="auto"/>
        <w:rPr>
          <w:rFonts w:ascii="Georgia" w:eastAsia="Times New Roman" w:hAnsi="Georgia" w:cs="Arial"/>
          <w:color w:val="000000"/>
          <w:sz w:val="27"/>
          <w:szCs w:val="27"/>
        </w:rPr>
      </w:pPr>
      <w:hyperlink r:id="rId12" w:history="1">
        <w:r w:rsidR="005A450E" w:rsidRPr="00FB171D">
          <w:rPr>
            <w:rFonts w:ascii="Georgia" w:eastAsia="Times New Roman" w:hAnsi="Georgia" w:cs="Arial"/>
            <w:b/>
            <w:bCs/>
            <w:color w:val="0000FF"/>
            <w:sz w:val="27"/>
            <w:szCs w:val="27"/>
            <w:u w:val="single"/>
          </w:rPr>
          <w:t>Unaffected Skills</w:t>
        </w:r>
        <w:r w:rsidR="005A450E" w:rsidRPr="00FB171D">
          <w:rPr>
            <w:rFonts w:ascii="Georgia" w:eastAsia="Times New Roman" w:hAnsi="Georgia" w:cs="Arial"/>
            <w:color w:val="0000FF"/>
            <w:sz w:val="27"/>
            <w:szCs w:val="27"/>
            <w:u w:val="single"/>
          </w:rPr>
          <w:t>: General vocabulary and knowledge are not affected by normal cognitive ageing</w:t>
        </w:r>
      </w:hyperlink>
      <w:hyperlink r:id="rId13" w:tgtFrame="_blank" w:history="1">
        <w:r w:rsidR="005A450E" w:rsidRPr="00FB171D">
          <w:rPr>
            <w:rFonts w:ascii="Georgia" w:eastAsia="Times New Roman" w:hAnsi="Georgia" w:cs="Arial"/>
            <w:color w:val="0000FF"/>
            <w:sz w:val="27"/>
            <w:szCs w:val="27"/>
            <w:u w:val="single"/>
            <w:vertAlign w:val="superscript"/>
          </w:rPr>
          <w:t>2</w:t>
        </w:r>
      </w:hyperlink>
      <w:r w:rsidR="005A450E" w:rsidRPr="00FB171D">
        <w:rPr>
          <w:rFonts w:ascii="Georgia" w:eastAsia="Times New Roman" w:hAnsi="Georgia" w:cs="Arial"/>
          <w:color w:val="000000"/>
          <w:sz w:val="27"/>
          <w:szCs w:val="27"/>
        </w:rPr>
        <w:t>.</w:t>
      </w:r>
    </w:p>
    <w:p w14:paraId="38298AA7" w14:textId="77777777" w:rsidR="005A450E" w:rsidRPr="00FB171D" w:rsidRDefault="00000000" w:rsidP="00734CAC">
      <w:pPr>
        <w:numPr>
          <w:ilvl w:val="0"/>
          <w:numId w:val="10"/>
        </w:numPr>
        <w:spacing w:before="100" w:beforeAutospacing="1" w:after="100" w:afterAutospacing="1" w:line="240" w:lineRule="auto"/>
        <w:rPr>
          <w:rFonts w:ascii="Georgia" w:eastAsia="Times New Roman" w:hAnsi="Georgia" w:cs="Arial"/>
          <w:color w:val="000000"/>
          <w:sz w:val="27"/>
          <w:szCs w:val="27"/>
        </w:rPr>
      </w:pPr>
      <w:hyperlink r:id="rId14" w:history="1">
        <w:r w:rsidR="005A450E" w:rsidRPr="00FB171D">
          <w:rPr>
            <w:rFonts w:ascii="Georgia" w:eastAsia="Times New Roman" w:hAnsi="Georgia" w:cs="Arial"/>
            <w:b/>
            <w:bCs/>
            <w:color w:val="0000FF"/>
            <w:sz w:val="27"/>
            <w:szCs w:val="27"/>
            <w:u w:val="single"/>
          </w:rPr>
          <w:t>Stages of Cognitive Decline</w:t>
        </w:r>
        <w:r w:rsidR="005A450E" w:rsidRPr="00FB171D">
          <w:rPr>
            <w:rFonts w:ascii="Georgia" w:eastAsia="Times New Roman" w:hAnsi="Georgia" w:cs="Arial"/>
            <w:color w:val="0000FF"/>
            <w:sz w:val="27"/>
            <w:szCs w:val="27"/>
            <w:u w:val="single"/>
          </w:rPr>
          <w:t>: Specialists generally recognize four stages of cognition as people age: No cognitive impairment (NCI), Subjective cognitive decline (SCD), Mild cognitive impairment (MCI), and Dementia</w:t>
        </w:r>
      </w:hyperlink>
      <w:hyperlink r:id="rId15" w:tgtFrame="_blank" w:history="1">
        <w:r w:rsidR="005A450E" w:rsidRPr="00FB171D">
          <w:rPr>
            <w:rFonts w:ascii="Georgia" w:eastAsia="Times New Roman" w:hAnsi="Georgia" w:cs="Arial"/>
            <w:color w:val="0000FF"/>
            <w:sz w:val="27"/>
            <w:szCs w:val="27"/>
            <w:u w:val="single"/>
            <w:vertAlign w:val="superscript"/>
          </w:rPr>
          <w:t>3</w:t>
        </w:r>
      </w:hyperlink>
      <w:r w:rsidR="005A450E" w:rsidRPr="00FB171D">
        <w:rPr>
          <w:rFonts w:ascii="Georgia" w:eastAsia="Times New Roman" w:hAnsi="Georgia" w:cs="Arial"/>
          <w:color w:val="000000"/>
          <w:sz w:val="27"/>
          <w:szCs w:val="27"/>
        </w:rPr>
        <w:t>.</w:t>
      </w:r>
    </w:p>
    <w:p w14:paraId="2CB903DB" w14:textId="77777777" w:rsidR="005A450E" w:rsidRPr="00FB171D" w:rsidRDefault="00000000" w:rsidP="00734CAC">
      <w:pPr>
        <w:numPr>
          <w:ilvl w:val="0"/>
          <w:numId w:val="10"/>
        </w:numPr>
        <w:spacing w:before="100" w:beforeAutospacing="1" w:after="100" w:afterAutospacing="1" w:line="240" w:lineRule="auto"/>
        <w:rPr>
          <w:rFonts w:ascii="Georgia" w:eastAsia="Times New Roman" w:hAnsi="Georgia" w:cs="Arial"/>
          <w:color w:val="000000"/>
          <w:sz w:val="27"/>
          <w:szCs w:val="27"/>
        </w:rPr>
      </w:pPr>
      <w:hyperlink r:id="rId16" w:history="1">
        <w:r w:rsidR="005A450E" w:rsidRPr="00FB171D">
          <w:rPr>
            <w:rFonts w:ascii="Georgia" w:eastAsia="Times New Roman" w:hAnsi="Georgia" w:cs="Arial"/>
            <w:b/>
            <w:bCs/>
            <w:color w:val="0000FF"/>
            <w:sz w:val="27"/>
            <w:szCs w:val="27"/>
            <w:u w:val="single"/>
          </w:rPr>
          <w:t>Genetic and Environmental Factors</w:t>
        </w:r>
        <w:r w:rsidR="005A450E" w:rsidRPr="00FB171D">
          <w:rPr>
            <w:rFonts w:ascii="Georgia" w:eastAsia="Times New Roman" w:hAnsi="Georgia" w:cs="Arial"/>
            <w:color w:val="0000FF"/>
            <w:sz w:val="27"/>
            <w:szCs w:val="27"/>
            <w:u w:val="single"/>
          </w:rPr>
          <w:t>: Genes account for nearly one quarter (24%) of the change in thinking skills across our lifetime</w:t>
        </w:r>
      </w:hyperlink>
      <w:hyperlink r:id="rId17" w:tgtFrame="_blank" w:history="1">
        <w:r w:rsidR="005A450E" w:rsidRPr="00FB171D">
          <w:rPr>
            <w:rFonts w:ascii="Georgia" w:eastAsia="Times New Roman" w:hAnsi="Georgia" w:cs="Arial"/>
            <w:color w:val="0000FF"/>
            <w:sz w:val="27"/>
            <w:szCs w:val="27"/>
            <w:u w:val="single"/>
            <w:vertAlign w:val="superscript"/>
          </w:rPr>
          <w:t>2</w:t>
        </w:r>
      </w:hyperlink>
      <w:r w:rsidR="005A450E" w:rsidRPr="00FB171D">
        <w:rPr>
          <w:rFonts w:ascii="Georgia" w:eastAsia="Times New Roman" w:hAnsi="Georgia" w:cs="Arial"/>
          <w:color w:val="000000"/>
          <w:sz w:val="27"/>
          <w:szCs w:val="27"/>
        </w:rPr>
        <w:t xml:space="preserve">. </w:t>
      </w:r>
      <w:hyperlink r:id="rId18" w:history="1">
        <w:r w:rsidR="005A450E" w:rsidRPr="00FB171D">
          <w:rPr>
            <w:rFonts w:ascii="Georgia" w:eastAsia="Times New Roman" w:hAnsi="Georgia" w:cs="Arial"/>
            <w:color w:val="0000FF"/>
            <w:sz w:val="27"/>
            <w:szCs w:val="27"/>
            <w:u w:val="single"/>
          </w:rPr>
          <w:t>The remaining three quarters of the change is due to lifestyle choices we can control or change</w:t>
        </w:r>
      </w:hyperlink>
      <w:hyperlink r:id="rId19" w:tgtFrame="_blank" w:history="1">
        <w:r w:rsidR="005A450E" w:rsidRPr="00FB171D">
          <w:rPr>
            <w:rFonts w:ascii="Georgia" w:eastAsia="Times New Roman" w:hAnsi="Georgia" w:cs="Arial"/>
            <w:color w:val="0000FF"/>
            <w:sz w:val="27"/>
            <w:szCs w:val="27"/>
            <w:u w:val="single"/>
            <w:vertAlign w:val="superscript"/>
          </w:rPr>
          <w:t>2</w:t>
        </w:r>
      </w:hyperlink>
      <w:r w:rsidR="005A450E" w:rsidRPr="00FB171D">
        <w:rPr>
          <w:rFonts w:ascii="Georgia" w:eastAsia="Times New Roman" w:hAnsi="Georgia" w:cs="Arial"/>
          <w:color w:val="000000"/>
          <w:sz w:val="27"/>
          <w:szCs w:val="27"/>
        </w:rPr>
        <w:t>.</w:t>
      </w:r>
    </w:p>
    <w:p w14:paraId="50D5C492" w14:textId="77777777" w:rsidR="005A450E" w:rsidRPr="00FB171D" w:rsidRDefault="00000000" w:rsidP="00734CAC">
      <w:pPr>
        <w:numPr>
          <w:ilvl w:val="0"/>
          <w:numId w:val="10"/>
        </w:numPr>
        <w:spacing w:before="100" w:beforeAutospacing="1" w:after="100" w:afterAutospacing="1" w:line="240" w:lineRule="auto"/>
        <w:rPr>
          <w:rFonts w:ascii="Georgia" w:eastAsia="Times New Roman" w:hAnsi="Georgia" w:cs="Arial"/>
          <w:color w:val="000000"/>
          <w:sz w:val="27"/>
          <w:szCs w:val="27"/>
        </w:rPr>
      </w:pPr>
      <w:hyperlink r:id="rId20" w:history="1">
        <w:r w:rsidR="005A450E" w:rsidRPr="00FB171D">
          <w:rPr>
            <w:rFonts w:ascii="Georgia" w:eastAsia="Times New Roman" w:hAnsi="Georgia" w:cs="Arial"/>
            <w:b/>
            <w:bCs/>
            <w:color w:val="0000FF"/>
            <w:sz w:val="27"/>
            <w:szCs w:val="27"/>
            <w:u w:val="single"/>
          </w:rPr>
          <w:t>Prevalence</w:t>
        </w:r>
        <w:r w:rsidR="005A450E" w:rsidRPr="00FB171D">
          <w:rPr>
            <w:rFonts w:ascii="Georgia" w:eastAsia="Times New Roman" w:hAnsi="Georgia" w:cs="Arial"/>
            <w:color w:val="0000FF"/>
            <w:sz w:val="27"/>
            <w:szCs w:val="27"/>
            <w:u w:val="single"/>
          </w:rPr>
          <w:t>: Mild cognitive impairment was estimated to affect 6.7% of 60- to 64-year-olds but more than 25% of 80 to 84-year-olds</w:t>
        </w:r>
      </w:hyperlink>
      <w:hyperlink r:id="rId21" w:tgtFrame="_blank" w:history="1">
        <w:r w:rsidR="005A450E" w:rsidRPr="00FB171D">
          <w:rPr>
            <w:rFonts w:ascii="Georgia" w:eastAsia="Times New Roman" w:hAnsi="Georgia" w:cs="Arial"/>
            <w:color w:val="0000FF"/>
            <w:sz w:val="27"/>
            <w:szCs w:val="27"/>
            <w:u w:val="single"/>
            <w:vertAlign w:val="superscript"/>
          </w:rPr>
          <w:t>4</w:t>
        </w:r>
      </w:hyperlink>
      <w:r w:rsidR="005A450E" w:rsidRPr="00FB171D">
        <w:rPr>
          <w:rFonts w:ascii="Georgia" w:eastAsia="Times New Roman" w:hAnsi="Georgia" w:cs="Arial"/>
          <w:color w:val="000000"/>
          <w:sz w:val="27"/>
          <w:szCs w:val="27"/>
        </w:rPr>
        <w:t>.</w:t>
      </w:r>
    </w:p>
    <w:p w14:paraId="33E2F0FA" w14:textId="77777777" w:rsidR="005A450E" w:rsidRPr="00FB171D" w:rsidRDefault="00000000" w:rsidP="005A450E">
      <w:pPr>
        <w:spacing w:after="0"/>
        <w:rPr>
          <w:rFonts w:ascii="Georgia" w:eastAsia="Segoe UI" w:hAnsi="Georgia" w:cs="Arial"/>
          <w:sz w:val="28"/>
          <w:szCs w:val="28"/>
        </w:rPr>
      </w:pPr>
      <w:hyperlink r:id="rId22" w:tgtFrame="_blank" w:history="1">
        <w:r w:rsidR="005A450E" w:rsidRPr="00FB171D">
          <w:rPr>
            <w:rFonts w:ascii="Georgia" w:eastAsia="Times New Roman" w:hAnsi="Georgia" w:cs="Arial"/>
            <w:color w:val="0000FF"/>
            <w:sz w:val="27"/>
            <w:szCs w:val="27"/>
            <w:u w:val="single"/>
          </w:rPr>
          <w:t>Please note that while some cognitive decline is normal with age, more significant changes can be a sign of a cognitive disorder</w:t>
        </w:r>
      </w:hyperlink>
    </w:p>
    <w:p w14:paraId="20191506" w14:textId="77777777" w:rsidR="0082207F" w:rsidRPr="00FB171D" w:rsidRDefault="0082207F" w:rsidP="00DB7A21">
      <w:pPr>
        <w:rPr>
          <w:rFonts w:ascii="Georgia" w:hAnsi="Georgia" w:cs="Arial"/>
        </w:rPr>
      </w:pPr>
    </w:p>
    <w:p w14:paraId="5B8E1C32" w14:textId="77777777" w:rsidR="0082207F" w:rsidRPr="00FB171D" w:rsidRDefault="0082207F" w:rsidP="00DB7A21">
      <w:pPr>
        <w:rPr>
          <w:rFonts w:ascii="Georgia" w:hAnsi="Georgia" w:cs="Arial"/>
        </w:rPr>
      </w:pPr>
    </w:p>
    <w:p w14:paraId="53F9B321" w14:textId="77777777" w:rsidR="00DB7A21" w:rsidRPr="00FB171D" w:rsidRDefault="00DB7A21" w:rsidP="00F53799">
      <w:pPr>
        <w:spacing w:before="100" w:beforeAutospacing="1" w:after="100" w:afterAutospacing="1" w:line="240" w:lineRule="auto"/>
        <w:rPr>
          <w:rFonts w:ascii="Georgia" w:eastAsia="Times New Roman" w:hAnsi="Georgia" w:cs="Arial"/>
          <w:color w:val="000000"/>
          <w:sz w:val="27"/>
          <w:szCs w:val="27"/>
        </w:rPr>
      </w:pPr>
    </w:p>
    <w:p w14:paraId="76A0016C" w14:textId="77777777" w:rsidR="00F53799" w:rsidRPr="00FB171D" w:rsidRDefault="00F53799" w:rsidP="00F53799">
      <w:pPr>
        <w:spacing w:after="0"/>
        <w:rPr>
          <w:rFonts w:ascii="Georgia" w:eastAsia="Segoe UI" w:hAnsi="Georgia" w:cs="Arial"/>
          <w:color w:val="FF0000"/>
          <w:sz w:val="32"/>
          <w:szCs w:val="32"/>
        </w:rPr>
      </w:pPr>
    </w:p>
    <w:p w14:paraId="7363811F" w14:textId="77777777" w:rsidR="00F53799" w:rsidRPr="00FB171D" w:rsidRDefault="00F53799" w:rsidP="00F53799">
      <w:pPr>
        <w:spacing w:after="0"/>
        <w:rPr>
          <w:rFonts w:ascii="Georgia" w:eastAsia="Segoe UI" w:hAnsi="Georgia" w:cs="Arial"/>
          <w:color w:val="FF0000"/>
          <w:sz w:val="32"/>
          <w:szCs w:val="32"/>
        </w:rPr>
      </w:pPr>
      <w:r w:rsidRPr="00FB171D">
        <w:rPr>
          <w:rFonts w:ascii="Georgia" w:eastAsia="Segoe UI" w:hAnsi="Georgia" w:cs="Arial"/>
          <w:color w:val="FF0000"/>
          <w:sz w:val="32"/>
          <w:szCs w:val="32"/>
        </w:rPr>
        <w:tab/>
        <w:t>What is going on inside?</w:t>
      </w:r>
    </w:p>
    <w:p w14:paraId="4B5D69E3" w14:textId="77777777" w:rsidR="00F53799" w:rsidRPr="00FB171D" w:rsidRDefault="00000000" w:rsidP="00F53799">
      <w:pPr>
        <w:spacing w:before="100" w:beforeAutospacing="1" w:after="100" w:afterAutospacing="1" w:line="240" w:lineRule="auto"/>
        <w:rPr>
          <w:rFonts w:ascii="Georgia" w:eastAsia="Times New Roman" w:hAnsi="Georgia" w:cs="Arial"/>
          <w:color w:val="000000"/>
          <w:sz w:val="27"/>
          <w:szCs w:val="27"/>
        </w:rPr>
      </w:pPr>
      <w:hyperlink r:id="rId23" w:history="1">
        <w:r w:rsidR="00F53799" w:rsidRPr="00FB171D">
          <w:rPr>
            <w:rFonts w:ascii="Georgia" w:eastAsia="Times New Roman" w:hAnsi="Georgia" w:cs="Arial"/>
            <w:color w:val="0000FF"/>
            <w:sz w:val="27"/>
            <w:szCs w:val="27"/>
            <w:u w:val="single"/>
          </w:rPr>
          <w:t>As we age, our brains undergo several changes at the molecular, cellular, and structural levels</w:t>
        </w:r>
      </w:hyperlink>
      <w:hyperlink r:id="rId24" w:tgtFrame="_blank" w:history="1">
        <w:r w:rsidR="00F53799" w:rsidRPr="00FB171D">
          <w:rPr>
            <w:rFonts w:ascii="Georgia" w:eastAsia="Times New Roman" w:hAnsi="Georgia" w:cs="Arial"/>
            <w:color w:val="0000FF"/>
            <w:sz w:val="27"/>
            <w:szCs w:val="27"/>
            <w:u w:val="single"/>
            <w:vertAlign w:val="superscript"/>
          </w:rPr>
          <w:t>1</w:t>
        </w:r>
      </w:hyperlink>
      <w:hyperlink r:id="rId25" w:tgtFrame="_blank" w:history="1">
        <w:r w:rsidR="00F53799" w:rsidRPr="00FB171D">
          <w:rPr>
            <w:rFonts w:ascii="Georgia" w:eastAsia="Times New Roman" w:hAnsi="Georgia" w:cs="Arial"/>
            <w:color w:val="0000FF"/>
            <w:sz w:val="27"/>
            <w:szCs w:val="27"/>
            <w:u w:val="single"/>
            <w:vertAlign w:val="superscript"/>
          </w:rPr>
          <w:t>2</w:t>
        </w:r>
      </w:hyperlink>
      <w:r w:rsidR="00F53799" w:rsidRPr="00FB171D">
        <w:rPr>
          <w:rFonts w:ascii="Georgia" w:eastAsia="Times New Roman" w:hAnsi="Georgia" w:cs="Arial"/>
          <w:color w:val="000000"/>
          <w:sz w:val="27"/>
          <w:szCs w:val="27"/>
        </w:rPr>
        <w:t>:</w:t>
      </w:r>
    </w:p>
    <w:p w14:paraId="59B40B65" w14:textId="77777777" w:rsidR="00F53799" w:rsidRPr="00FB171D" w:rsidRDefault="00000000" w:rsidP="00734CAC">
      <w:pPr>
        <w:numPr>
          <w:ilvl w:val="0"/>
          <w:numId w:val="1"/>
        </w:numPr>
        <w:spacing w:before="100" w:beforeAutospacing="1" w:after="100" w:afterAutospacing="1" w:line="240" w:lineRule="auto"/>
        <w:rPr>
          <w:rFonts w:ascii="Georgia" w:eastAsia="Times New Roman" w:hAnsi="Georgia" w:cs="Arial"/>
          <w:color w:val="000000"/>
          <w:sz w:val="27"/>
          <w:szCs w:val="27"/>
        </w:rPr>
      </w:pPr>
      <w:hyperlink r:id="rId26" w:history="1">
        <w:r w:rsidR="00F53799" w:rsidRPr="00FB171D">
          <w:rPr>
            <w:rFonts w:ascii="Georgia" w:eastAsia="Times New Roman" w:hAnsi="Georgia" w:cs="Arial"/>
            <w:b/>
            <w:bCs/>
            <w:color w:val="0000FF"/>
            <w:sz w:val="27"/>
            <w:szCs w:val="27"/>
            <w:u w:val="single"/>
          </w:rPr>
          <w:t>Molecular and Cellular Changes</w:t>
        </w:r>
        <w:r w:rsidR="00F53799" w:rsidRPr="00FB171D">
          <w:rPr>
            <w:rFonts w:ascii="Georgia" w:eastAsia="Times New Roman" w:hAnsi="Georgia" w:cs="Arial"/>
            <w:color w:val="0000FF"/>
            <w:sz w:val="27"/>
            <w:szCs w:val="27"/>
            <w:u w:val="single"/>
          </w:rPr>
          <w:t>: Aging is associated with a gradual decrease in neurophysiological functions, impaired adaptive neuroplasticity, dysregulation of neuronal Ca 2+ homeostasis, neuroinflammation, and oxidatively modified molecules and organelles</w:t>
        </w:r>
      </w:hyperlink>
      <w:hyperlink r:id="rId27" w:tgtFrame="_blank" w:history="1">
        <w:r w:rsidR="00F53799" w:rsidRPr="00FB171D">
          <w:rPr>
            <w:rFonts w:ascii="Georgia" w:eastAsia="Times New Roman" w:hAnsi="Georgia" w:cs="Arial"/>
            <w:color w:val="0000FF"/>
            <w:sz w:val="27"/>
            <w:szCs w:val="27"/>
            <w:u w:val="single"/>
            <w:vertAlign w:val="superscript"/>
          </w:rPr>
          <w:t>1</w:t>
        </w:r>
      </w:hyperlink>
      <w:r w:rsidR="00F53799" w:rsidRPr="00FB171D">
        <w:rPr>
          <w:rFonts w:ascii="Georgia" w:eastAsia="Times New Roman" w:hAnsi="Georgia" w:cs="Arial"/>
          <w:color w:val="000000"/>
          <w:sz w:val="27"/>
          <w:szCs w:val="27"/>
        </w:rPr>
        <w:t xml:space="preserve">. </w:t>
      </w:r>
      <w:hyperlink r:id="rId28" w:history="1">
        <w:r w:rsidR="00F53799" w:rsidRPr="00FB171D">
          <w:rPr>
            <w:rFonts w:ascii="Georgia" w:eastAsia="Times New Roman" w:hAnsi="Georgia" w:cs="Arial"/>
            <w:color w:val="0000FF"/>
            <w:sz w:val="27"/>
            <w:szCs w:val="27"/>
            <w:u w:val="single"/>
          </w:rPr>
          <w:t>There are disturbances in energy metabolism such as deregulated autophagy, mitochondrial dysfunction, and IGF-1, mTOR, ROS, AMPK, SIRTs, and p53 as central modulators of the metabolic control</w:t>
        </w:r>
      </w:hyperlink>
      <w:hyperlink r:id="rId29" w:tgtFrame="_blank" w:history="1">
        <w:r w:rsidR="00F53799" w:rsidRPr="00FB171D">
          <w:rPr>
            <w:rFonts w:ascii="Georgia" w:eastAsia="Times New Roman" w:hAnsi="Georgia" w:cs="Arial"/>
            <w:color w:val="0000FF"/>
            <w:sz w:val="27"/>
            <w:szCs w:val="27"/>
            <w:u w:val="single"/>
            <w:vertAlign w:val="superscript"/>
          </w:rPr>
          <w:t>1</w:t>
        </w:r>
      </w:hyperlink>
      <w:r w:rsidR="00F53799" w:rsidRPr="00FB171D">
        <w:rPr>
          <w:rFonts w:ascii="Georgia" w:eastAsia="Times New Roman" w:hAnsi="Georgia" w:cs="Arial"/>
          <w:color w:val="000000"/>
          <w:sz w:val="27"/>
          <w:szCs w:val="27"/>
        </w:rPr>
        <w:t>.</w:t>
      </w:r>
    </w:p>
    <w:p w14:paraId="6B260B0A" w14:textId="77777777" w:rsidR="00F53799" w:rsidRPr="00FB171D" w:rsidRDefault="00000000" w:rsidP="00734CAC">
      <w:pPr>
        <w:numPr>
          <w:ilvl w:val="0"/>
          <w:numId w:val="1"/>
        </w:numPr>
        <w:spacing w:before="100" w:beforeAutospacing="1" w:after="100" w:afterAutospacing="1" w:line="240" w:lineRule="auto"/>
        <w:rPr>
          <w:rFonts w:ascii="Georgia" w:eastAsia="Times New Roman" w:hAnsi="Georgia" w:cs="Arial"/>
          <w:color w:val="000000"/>
          <w:sz w:val="27"/>
          <w:szCs w:val="27"/>
        </w:rPr>
      </w:pPr>
      <w:hyperlink r:id="rId30" w:history="1">
        <w:r w:rsidR="00F53799" w:rsidRPr="00FB171D">
          <w:rPr>
            <w:rFonts w:ascii="Georgia" w:eastAsia="Times New Roman" w:hAnsi="Georgia" w:cs="Arial"/>
            <w:b/>
            <w:bCs/>
            <w:color w:val="0000FF"/>
            <w:sz w:val="27"/>
            <w:szCs w:val="27"/>
            <w:u w:val="single"/>
          </w:rPr>
          <w:t>Structural Changes</w:t>
        </w:r>
        <w:r w:rsidR="00F53799" w:rsidRPr="00FB171D">
          <w:rPr>
            <w:rFonts w:ascii="Georgia" w:eastAsia="Times New Roman" w:hAnsi="Georgia" w:cs="Arial"/>
            <w:color w:val="0000FF"/>
            <w:sz w:val="27"/>
            <w:szCs w:val="27"/>
            <w:u w:val="single"/>
          </w:rPr>
          <w:t>: The overall volume of the brain begins to shrink when we’re in our 30s or 40s, with the rate of shrinkage increasing around age 60</w:t>
        </w:r>
      </w:hyperlink>
      <w:hyperlink r:id="rId31" w:tgtFrame="_blank" w:history="1">
        <w:r w:rsidR="00F53799" w:rsidRPr="00FB171D">
          <w:rPr>
            <w:rFonts w:ascii="Georgia" w:eastAsia="Times New Roman" w:hAnsi="Georgia" w:cs="Arial"/>
            <w:color w:val="0000FF"/>
            <w:sz w:val="27"/>
            <w:szCs w:val="27"/>
            <w:u w:val="single"/>
            <w:vertAlign w:val="superscript"/>
          </w:rPr>
          <w:t>2</w:t>
        </w:r>
      </w:hyperlink>
      <w:r w:rsidR="00F53799" w:rsidRPr="00FB171D">
        <w:rPr>
          <w:rFonts w:ascii="Georgia" w:eastAsia="Times New Roman" w:hAnsi="Georgia" w:cs="Arial"/>
          <w:color w:val="000000"/>
          <w:sz w:val="27"/>
          <w:szCs w:val="27"/>
        </w:rPr>
        <w:t xml:space="preserve">. </w:t>
      </w:r>
      <w:hyperlink r:id="rId32" w:history="1">
        <w:r w:rsidR="00F53799" w:rsidRPr="00FB171D">
          <w:rPr>
            <w:rFonts w:ascii="Georgia" w:eastAsia="Times New Roman" w:hAnsi="Georgia" w:cs="Arial"/>
            <w:color w:val="0000FF"/>
            <w:sz w:val="27"/>
            <w:szCs w:val="27"/>
            <w:u w:val="single"/>
          </w:rPr>
          <w:t>The volume loss isn’t uniform throughout the brain — some areas shrink more, and faster, than other areas</w:t>
        </w:r>
      </w:hyperlink>
      <w:hyperlink r:id="rId33" w:tgtFrame="_blank" w:history="1">
        <w:r w:rsidR="00F53799" w:rsidRPr="00FB171D">
          <w:rPr>
            <w:rFonts w:ascii="Georgia" w:eastAsia="Times New Roman" w:hAnsi="Georgia" w:cs="Arial"/>
            <w:color w:val="0000FF"/>
            <w:sz w:val="27"/>
            <w:szCs w:val="27"/>
            <w:u w:val="single"/>
            <w:vertAlign w:val="superscript"/>
          </w:rPr>
          <w:t>2</w:t>
        </w:r>
      </w:hyperlink>
      <w:r w:rsidR="00F53799" w:rsidRPr="00FB171D">
        <w:rPr>
          <w:rFonts w:ascii="Georgia" w:eastAsia="Times New Roman" w:hAnsi="Georgia" w:cs="Arial"/>
          <w:color w:val="000000"/>
          <w:sz w:val="27"/>
          <w:szCs w:val="27"/>
        </w:rPr>
        <w:t xml:space="preserve">. Changes at the level of individual neurons contribute to the shrinkage and cortical thinning of the aging brain. Neurons shrink and retract their dendrites, and the fatty myelin that wraps around axons deteriorates. </w:t>
      </w:r>
      <w:hyperlink r:id="rId34" w:history="1">
        <w:r w:rsidR="00F53799" w:rsidRPr="00FB171D">
          <w:rPr>
            <w:rFonts w:ascii="Georgia" w:eastAsia="Times New Roman" w:hAnsi="Georgia" w:cs="Arial"/>
            <w:color w:val="0000FF"/>
            <w:sz w:val="27"/>
            <w:szCs w:val="27"/>
            <w:u w:val="single"/>
          </w:rPr>
          <w:t>The number of connections, or synapses, between brain cells also drops, which can affect learning and memory</w:t>
        </w:r>
      </w:hyperlink>
      <w:hyperlink r:id="rId35" w:tgtFrame="_blank" w:history="1">
        <w:r w:rsidR="00F53799" w:rsidRPr="00FB171D">
          <w:rPr>
            <w:rFonts w:ascii="Georgia" w:eastAsia="Times New Roman" w:hAnsi="Georgia" w:cs="Arial"/>
            <w:color w:val="0000FF"/>
            <w:sz w:val="27"/>
            <w:szCs w:val="27"/>
            <w:u w:val="single"/>
            <w:vertAlign w:val="superscript"/>
          </w:rPr>
          <w:t>2</w:t>
        </w:r>
      </w:hyperlink>
      <w:r w:rsidR="00F53799" w:rsidRPr="00FB171D">
        <w:rPr>
          <w:rFonts w:ascii="Georgia" w:eastAsia="Times New Roman" w:hAnsi="Georgia" w:cs="Arial"/>
          <w:color w:val="000000"/>
          <w:sz w:val="27"/>
          <w:szCs w:val="27"/>
        </w:rPr>
        <w:t>.</w:t>
      </w:r>
    </w:p>
    <w:p w14:paraId="2D82674F" w14:textId="77777777" w:rsidR="00F53799" w:rsidRPr="00FB171D" w:rsidRDefault="00F53799" w:rsidP="00734CAC">
      <w:pPr>
        <w:numPr>
          <w:ilvl w:val="0"/>
          <w:numId w:val="1"/>
        </w:numPr>
        <w:spacing w:before="100" w:beforeAutospacing="1" w:after="100" w:afterAutospacing="1" w:line="240" w:lineRule="auto"/>
        <w:rPr>
          <w:rFonts w:ascii="Georgia" w:eastAsia="Times New Roman" w:hAnsi="Georgia" w:cs="Arial"/>
          <w:color w:val="000000"/>
          <w:sz w:val="27"/>
          <w:szCs w:val="27"/>
        </w:rPr>
      </w:pPr>
      <w:r w:rsidRPr="00FB171D">
        <w:rPr>
          <w:rFonts w:ascii="Georgia" w:eastAsia="Times New Roman" w:hAnsi="Georgia" w:cs="Arial"/>
          <w:b/>
          <w:bCs/>
          <w:color w:val="000000"/>
          <w:sz w:val="27"/>
          <w:szCs w:val="27"/>
        </w:rPr>
        <w:t>Cognitive Changes</w:t>
      </w:r>
      <w:r w:rsidRPr="00FB171D">
        <w:rPr>
          <w:rFonts w:ascii="Georgia" w:eastAsia="Times New Roman" w:hAnsi="Georgia" w:cs="Arial"/>
          <w:color w:val="000000"/>
          <w:sz w:val="27"/>
          <w:szCs w:val="27"/>
        </w:rPr>
        <w:t xml:space="preserve">: The normal aging process brings subtle changes in cognitive abilities. </w:t>
      </w:r>
      <w:hyperlink r:id="rId36" w:history="1">
        <w:r w:rsidRPr="00FB171D">
          <w:rPr>
            <w:rFonts w:ascii="Georgia" w:eastAsia="Times New Roman" w:hAnsi="Georgia" w:cs="Arial"/>
            <w:color w:val="0000FF"/>
            <w:sz w:val="27"/>
            <w:szCs w:val="27"/>
            <w:u w:val="single"/>
          </w:rPr>
          <w:t>Committing new information to memory and recalling names and numbers can take longer</w:t>
        </w:r>
      </w:hyperlink>
      <w:hyperlink r:id="rId37" w:tgtFrame="_blank" w:history="1">
        <w:r w:rsidRPr="00FB171D">
          <w:rPr>
            <w:rFonts w:ascii="Georgia" w:eastAsia="Times New Roman" w:hAnsi="Georgia" w:cs="Arial"/>
            <w:color w:val="0000FF"/>
            <w:sz w:val="27"/>
            <w:szCs w:val="27"/>
            <w:u w:val="single"/>
            <w:vertAlign w:val="superscript"/>
          </w:rPr>
          <w:t>2</w:t>
        </w:r>
      </w:hyperlink>
      <w:r w:rsidRPr="00FB171D">
        <w:rPr>
          <w:rFonts w:ascii="Georgia" w:eastAsia="Times New Roman" w:hAnsi="Georgia" w:cs="Arial"/>
          <w:color w:val="000000"/>
          <w:sz w:val="27"/>
          <w:szCs w:val="27"/>
        </w:rPr>
        <w:t xml:space="preserve">. </w:t>
      </w:r>
      <w:hyperlink r:id="rId38" w:history="1">
        <w:r w:rsidRPr="00FB171D">
          <w:rPr>
            <w:rFonts w:ascii="Georgia" w:eastAsia="Times New Roman" w:hAnsi="Georgia" w:cs="Arial"/>
            <w:color w:val="0000FF"/>
            <w:sz w:val="27"/>
            <w:szCs w:val="27"/>
            <w:u w:val="single"/>
          </w:rPr>
          <w:t>Working memory — the ability to hold a piece of information in mind, such as a phone number, password, or the location of a parked car — also declines with age</w:t>
        </w:r>
      </w:hyperlink>
      <w:hyperlink r:id="rId39" w:tgtFrame="_blank" w:history="1">
        <w:r w:rsidRPr="00FB171D">
          <w:rPr>
            <w:rFonts w:ascii="Georgia" w:eastAsia="Times New Roman" w:hAnsi="Georgia" w:cs="Arial"/>
            <w:color w:val="0000FF"/>
            <w:sz w:val="27"/>
            <w:szCs w:val="27"/>
            <w:u w:val="single"/>
            <w:vertAlign w:val="superscript"/>
          </w:rPr>
          <w:t>2</w:t>
        </w:r>
      </w:hyperlink>
      <w:r w:rsidRPr="00FB171D">
        <w:rPr>
          <w:rFonts w:ascii="Georgia" w:eastAsia="Times New Roman" w:hAnsi="Georgia" w:cs="Arial"/>
          <w:color w:val="000000"/>
          <w:sz w:val="27"/>
          <w:szCs w:val="27"/>
        </w:rPr>
        <w:t>.</w:t>
      </w:r>
    </w:p>
    <w:p w14:paraId="7EC21218" w14:textId="77777777" w:rsidR="00F53799" w:rsidRPr="00FB171D" w:rsidRDefault="00000000" w:rsidP="00734CAC">
      <w:pPr>
        <w:numPr>
          <w:ilvl w:val="0"/>
          <w:numId w:val="1"/>
        </w:numPr>
        <w:spacing w:before="100" w:beforeAutospacing="1" w:after="100" w:afterAutospacing="1" w:line="240" w:lineRule="auto"/>
        <w:rPr>
          <w:rFonts w:ascii="Georgia" w:eastAsia="Times New Roman" w:hAnsi="Georgia" w:cs="Arial"/>
          <w:color w:val="000000"/>
          <w:sz w:val="27"/>
          <w:szCs w:val="27"/>
        </w:rPr>
      </w:pPr>
      <w:hyperlink r:id="rId40" w:history="1">
        <w:r w:rsidR="00F53799" w:rsidRPr="00FB171D">
          <w:rPr>
            <w:rFonts w:ascii="Georgia" w:eastAsia="Times New Roman" w:hAnsi="Georgia" w:cs="Arial"/>
            <w:b/>
            <w:bCs/>
            <w:color w:val="0000FF"/>
            <w:sz w:val="27"/>
            <w:szCs w:val="27"/>
            <w:u w:val="single"/>
          </w:rPr>
          <w:t>Compensation Mechanisms</w:t>
        </w:r>
        <w:r w:rsidR="00F53799" w:rsidRPr="00FB171D">
          <w:rPr>
            <w:rFonts w:ascii="Georgia" w:eastAsia="Times New Roman" w:hAnsi="Georgia" w:cs="Arial"/>
            <w:color w:val="0000FF"/>
            <w:sz w:val="27"/>
            <w:szCs w:val="27"/>
            <w:u w:val="single"/>
          </w:rPr>
          <w:t>: The compensation mechanism for neuron loss in the aging brain is through expanding dendritic arbors and synaptic connections</w:t>
        </w:r>
      </w:hyperlink>
      <w:hyperlink r:id="rId41" w:tgtFrame="_blank" w:history="1">
        <w:r w:rsidR="00F53799" w:rsidRPr="00FB171D">
          <w:rPr>
            <w:rFonts w:ascii="Georgia" w:eastAsia="Times New Roman" w:hAnsi="Georgia" w:cs="Arial"/>
            <w:color w:val="0000FF"/>
            <w:sz w:val="27"/>
            <w:szCs w:val="27"/>
            <w:u w:val="single"/>
            <w:vertAlign w:val="superscript"/>
          </w:rPr>
          <w:t>1</w:t>
        </w:r>
      </w:hyperlink>
      <w:r w:rsidR="00F53799" w:rsidRPr="00FB171D">
        <w:rPr>
          <w:rFonts w:ascii="Georgia" w:eastAsia="Times New Roman" w:hAnsi="Georgia" w:cs="Arial"/>
          <w:color w:val="000000"/>
          <w:sz w:val="27"/>
          <w:szCs w:val="27"/>
        </w:rPr>
        <w:t xml:space="preserve">. The brain in age-associated neurodegenerative diseases loses dendritic arbors and synaptic contacts. </w:t>
      </w:r>
      <w:hyperlink r:id="rId42" w:history="1">
        <w:r w:rsidR="00F53799" w:rsidRPr="00FB171D">
          <w:rPr>
            <w:rFonts w:ascii="Georgia" w:eastAsia="Times New Roman" w:hAnsi="Georgia" w:cs="Arial"/>
            <w:color w:val="0000FF"/>
            <w:sz w:val="27"/>
            <w:szCs w:val="27"/>
            <w:u w:val="single"/>
          </w:rPr>
          <w:t>It thus cannot compensate for the neuronal loss</w:t>
        </w:r>
      </w:hyperlink>
      <w:hyperlink r:id="rId43" w:tgtFrame="_blank" w:history="1">
        <w:r w:rsidR="00F53799" w:rsidRPr="00FB171D">
          <w:rPr>
            <w:rFonts w:ascii="Georgia" w:eastAsia="Times New Roman" w:hAnsi="Georgia" w:cs="Arial"/>
            <w:color w:val="0000FF"/>
            <w:sz w:val="27"/>
            <w:szCs w:val="27"/>
            <w:u w:val="single"/>
            <w:vertAlign w:val="superscript"/>
          </w:rPr>
          <w:t>1</w:t>
        </w:r>
      </w:hyperlink>
      <w:r w:rsidR="00F53799" w:rsidRPr="00FB171D">
        <w:rPr>
          <w:rFonts w:ascii="Georgia" w:eastAsia="Times New Roman" w:hAnsi="Georgia" w:cs="Arial"/>
          <w:color w:val="000000"/>
          <w:sz w:val="27"/>
          <w:szCs w:val="27"/>
        </w:rPr>
        <w:t>.</w:t>
      </w:r>
    </w:p>
    <w:p w14:paraId="763D1F19" w14:textId="77777777" w:rsidR="00F53799" w:rsidRPr="00FB171D" w:rsidRDefault="00F53799" w:rsidP="00F53799">
      <w:pPr>
        <w:spacing w:before="100" w:beforeAutospacing="1" w:after="100" w:afterAutospacing="1" w:line="240" w:lineRule="auto"/>
        <w:rPr>
          <w:rFonts w:ascii="Georgia" w:eastAsia="Times New Roman" w:hAnsi="Georgia" w:cs="Arial"/>
          <w:color w:val="000000"/>
          <w:sz w:val="27"/>
          <w:szCs w:val="27"/>
        </w:rPr>
      </w:pPr>
      <w:r w:rsidRPr="00FB171D">
        <w:rPr>
          <w:rFonts w:ascii="Georgia" w:eastAsia="Times New Roman" w:hAnsi="Georgia" w:cs="Arial"/>
          <w:color w:val="000000"/>
          <w:sz w:val="27"/>
          <w:szCs w:val="27"/>
        </w:rPr>
        <w:t>Please note that while these changes are a normal part of aging, significant cognitive decline or changes in behavior could be a sign of a neurological condition. If you have concerns about your cognitive health, it’s best to consult with a healthcare professional.</w:t>
      </w:r>
    </w:p>
    <w:p w14:paraId="21DEF001" w14:textId="77777777" w:rsidR="00F53799" w:rsidRPr="00FB171D" w:rsidRDefault="00F53799" w:rsidP="00F53799">
      <w:pPr>
        <w:spacing w:after="0"/>
        <w:rPr>
          <w:rFonts w:ascii="Georgia" w:eastAsia="Segoe UI" w:hAnsi="Georgia" w:cs="Arial"/>
          <w:color w:val="FF0000"/>
          <w:sz w:val="32"/>
          <w:szCs w:val="32"/>
        </w:rPr>
      </w:pPr>
    </w:p>
    <w:p w14:paraId="70734A6F" w14:textId="77777777" w:rsidR="00F53799" w:rsidRPr="00FB171D" w:rsidRDefault="00F53799" w:rsidP="00F53799">
      <w:pPr>
        <w:spacing w:after="0"/>
        <w:ind w:firstLine="720"/>
        <w:rPr>
          <w:rFonts w:ascii="Georgia" w:eastAsia="Segoe UI" w:hAnsi="Georgia" w:cs="Arial"/>
          <w:color w:val="FF0000"/>
          <w:sz w:val="28"/>
          <w:szCs w:val="28"/>
        </w:rPr>
      </w:pPr>
    </w:p>
    <w:p w14:paraId="11FB89ED" w14:textId="77777777" w:rsidR="00F53799" w:rsidRPr="00FB171D" w:rsidRDefault="00F53799" w:rsidP="00F53799">
      <w:pPr>
        <w:spacing w:after="0"/>
        <w:rPr>
          <w:rFonts w:ascii="Georgia" w:eastAsia="Segoe UI" w:hAnsi="Georgia" w:cs="Arial"/>
          <w:color w:val="FF0000"/>
          <w:sz w:val="28"/>
          <w:szCs w:val="28"/>
        </w:rPr>
      </w:pPr>
      <w:r w:rsidRPr="00FB171D">
        <w:rPr>
          <w:rFonts w:ascii="Georgia" w:eastAsia="Segoe UI" w:hAnsi="Georgia" w:cs="Arial"/>
          <w:color w:val="FF0000"/>
          <w:sz w:val="28"/>
          <w:szCs w:val="28"/>
        </w:rPr>
        <w:t>Genetics?</w:t>
      </w:r>
    </w:p>
    <w:p w14:paraId="79E6F77A" w14:textId="77777777" w:rsidR="00F53799" w:rsidRPr="00FB171D" w:rsidRDefault="00000000" w:rsidP="00F53799">
      <w:pPr>
        <w:spacing w:before="100" w:beforeAutospacing="1" w:after="100" w:afterAutospacing="1" w:line="240" w:lineRule="auto"/>
        <w:rPr>
          <w:rFonts w:ascii="Georgia" w:eastAsia="Times New Roman" w:hAnsi="Georgia" w:cs="Arial"/>
          <w:color w:val="000000"/>
          <w:sz w:val="27"/>
          <w:szCs w:val="27"/>
        </w:rPr>
      </w:pPr>
      <w:hyperlink r:id="rId44" w:history="1">
        <w:r w:rsidR="00F53799" w:rsidRPr="00FB171D">
          <w:rPr>
            <w:rFonts w:ascii="Georgia" w:eastAsia="Times New Roman" w:hAnsi="Georgia" w:cs="Arial"/>
            <w:color w:val="0000FF"/>
            <w:sz w:val="27"/>
            <w:szCs w:val="27"/>
            <w:u w:val="single"/>
          </w:rPr>
          <w:t>The genetics of brain aging is a complex field that involves numerous genes and pathways</w:t>
        </w:r>
      </w:hyperlink>
      <w:hyperlink r:id="rId45" w:tgtFrame="_blank" w:history="1">
        <w:r w:rsidR="00F53799" w:rsidRPr="00FB171D">
          <w:rPr>
            <w:rFonts w:ascii="Georgia" w:eastAsia="Times New Roman" w:hAnsi="Georgia" w:cs="Arial"/>
            <w:color w:val="0000FF"/>
            <w:sz w:val="27"/>
            <w:szCs w:val="27"/>
            <w:u w:val="single"/>
            <w:vertAlign w:val="superscript"/>
          </w:rPr>
          <w:t>1</w:t>
        </w:r>
      </w:hyperlink>
      <w:hyperlink r:id="rId46" w:tgtFrame="_blank" w:history="1">
        <w:r w:rsidR="00F53799" w:rsidRPr="00FB171D">
          <w:rPr>
            <w:rFonts w:ascii="Georgia" w:eastAsia="Times New Roman" w:hAnsi="Georgia" w:cs="Arial"/>
            <w:color w:val="0000FF"/>
            <w:sz w:val="27"/>
            <w:szCs w:val="27"/>
            <w:u w:val="single"/>
            <w:vertAlign w:val="superscript"/>
          </w:rPr>
          <w:t>2</w:t>
        </w:r>
      </w:hyperlink>
      <w:hyperlink r:id="rId47" w:tgtFrame="_blank" w:history="1">
        <w:r w:rsidR="00F53799" w:rsidRPr="00FB171D">
          <w:rPr>
            <w:rFonts w:ascii="Georgia" w:eastAsia="Times New Roman" w:hAnsi="Georgia" w:cs="Arial"/>
            <w:color w:val="0000FF"/>
            <w:sz w:val="27"/>
            <w:szCs w:val="27"/>
            <w:u w:val="single"/>
            <w:vertAlign w:val="superscript"/>
          </w:rPr>
          <w:t>3</w:t>
        </w:r>
      </w:hyperlink>
      <w:hyperlink r:id="rId48" w:tgtFrame="_blank" w:history="1">
        <w:r w:rsidR="00F53799" w:rsidRPr="00FB171D">
          <w:rPr>
            <w:rFonts w:ascii="Georgia" w:eastAsia="Times New Roman" w:hAnsi="Georgia" w:cs="Arial"/>
            <w:color w:val="0000FF"/>
            <w:sz w:val="27"/>
            <w:szCs w:val="27"/>
            <w:u w:val="single"/>
            <w:vertAlign w:val="superscript"/>
          </w:rPr>
          <w:t>4</w:t>
        </w:r>
      </w:hyperlink>
      <w:r w:rsidR="00F53799" w:rsidRPr="00FB171D">
        <w:rPr>
          <w:rFonts w:ascii="Georgia" w:eastAsia="Times New Roman" w:hAnsi="Georgia" w:cs="Arial"/>
          <w:color w:val="000000"/>
          <w:sz w:val="27"/>
          <w:szCs w:val="27"/>
        </w:rPr>
        <w:t>. Here are some key points:</w:t>
      </w:r>
    </w:p>
    <w:p w14:paraId="2CB0EDDF" w14:textId="77777777" w:rsidR="00F53799" w:rsidRPr="00FB171D" w:rsidRDefault="00000000" w:rsidP="00734CAC">
      <w:pPr>
        <w:numPr>
          <w:ilvl w:val="0"/>
          <w:numId w:val="2"/>
        </w:numPr>
        <w:spacing w:before="100" w:beforeAutospacing="1" w:after="100" w:afterAutospacing="1" w:line="240" w:lineRule="auto"/>
        <w:rPr>
          <w:rFonts w:ascii="Georgia" w:eastAsia="Times New Roman" w:hAnsi="Georgia" w:cs="Arial"/>
          <w:color w:val="000000"/>
          <w:sz w:val="27"/>
          <w:szCs w:val="27"/>
        </w:rPr>
      </w:pPr>
      <w:hyperlink r:id="rId49" w:history="1">
        <w:r w:rsidR="00F53799" w:rsidRPr="00FB171D">
          <w:rPr>
            <w:rFonts w:ascii="Georgia" w:eastAsia="Times New Roman" w:hAnsi="Georgia" w:cs="Arial"/>
            <w:b/>
            <w:bCs/>
            <w:color w:val="0000FF"/>
            <w:sz w:val="27"/>
            <w:szCs w:val="27"/>
            <w:u w:val="single"/>
          </w:rPr>
          <w:t>Gene Expression Changes</w:t>
        </w:r>
        <w:r w:rsidR="00F53799" w:rsidRPr="00FB171D">
          <w:rPr>
            <w:rFonts w:ascii="Georgia" w:eastAsia="Times New Roman" w:hAnsi="Georgia" w:cs="Arial"/>
            <w:color w:val="0000FF"/>
            <w:sz w:val="27"/>
            <w:szCs w:val="27"/>
            <w:u w:val="single"/>
          </w:rPr>
          <w:t>: A study led by Stanford Medicine researchers found that the most pronounced changes occur in the white matter, a type of nervous system tissue that’s integral to transmitting signals across the brain</w:t>
        </w:r>
      </w:hyperlink>
      <w:hyperlink r:id="rId50" w:tgtFrame="_blank" w:history="1">
        <w:r w:rsidR="00F53799" w:rsidRPr="00FB171D">
          <w:rPr>
            <w:rFonts w:ascii="Georgia" w:eastAsia="Times New Roman" w:hAnsi="Georgia" w:cs="Arial"/>
            <w:color w:val="0000FF"/>
            <w:sz w:val="27"/>
            <w:szCs w:val="27"/>
            <w:u w:val="single"/>
            <w:vertAlign w:val="superscript"/>
          </w:rPr>
          <w:t>2</w:t>
        </w:r>
      </w:hyperlink>
      <w:r w:rsidR="00F53799" w:rsidRPr="00FB171D">
        <w:rPr>
          <w:rFonts w:ascii="Georgia" w:eastAsia="Times New Roman" w:hAnsi="Georgia" w:cs="Arial"/>
          <w:color w:val="000000"/>
          <w:sz w:val="27"/>
          <w:szCs w:val="27"/>
        </w:rPr>
        <w:t xml:space="preserve">. </w:t>
      </w:r>
      <w:hyperlink r:id="rId51" w:history="1">
        <w:r w:rsidR="00F53799" w:rsidRPr="00FB171D">
          <w:rPr>
            <w:rFonts w:ascii="Georgia" w:eastAsia="Times New Roman" w:hAnsi="Georgia" w:cs="Arial"/>
            <w:color w:val="0000FF"/>
            <w:sz w:val="27"/>
            <w:szCs w:val="27"/>
            <w:u w:val="single"/>
          </w:rPr>
          <w:t>They identified 82 genes that are frequently found and vary in concentration in 10 or more regions</w:t>
        </w:r>
      </w:hyperlink>
      <w:hyperlink r:id="rId52" w:tgtFrame="_blank" w:history="1">
        <w:r w:rsidR="00F53799" w:rsidRPr="00FB171D">
          <w:rPr>
            <w:rFonts w:ascii="Georgia" w:eastAsia="Times New Roman" w:hAnsi="Georgia" w:cs="Arial"/>
            <w:color w:val="0000FF"/>
            <w:sz w:val="27"/>
            <w:szCs w:val="27"/>
            <w:u w:val="single"/>
            <w:vertAlign w:val="superscript"/>
          </w:rPr>
          <w:t>2</w:t>
        </w:r>
      </w:hyperlink>
      <w:hyperlink r:id="rId53" w:tgtFrame="_blank" w:history="1">
        <w:r w:rsidR="00F53799" w:rsidRPr="00FB171D">
          <w:rPr>
            <w:rFonts w:ascii="Georgia" w:eastAsia="Times New Roman" w:hAnsi="Georgia" w:cs="Arial"/>
            <w:color w:val="0000FF"/>
            <w:sz w:val="27"/>
            <w:szCs w:val="27"/>
            <w:u w:val="single"/>
            <w:vertAlign w:val="superscript"/>
          </w:rPr>
          <w:t>4</w:t>
        </w:r>
      </w:hyperlink>
      <w:r w:rsidR="00F53799" w:rsidRPr="00FB171D">
        <w:rPr>
          <w:rFonts w:ascii="Georgia" w:eastAsia="Times New Roman" w:hAnsi="Georgia" w:cs="Arial"/>
          <w:color w:val="000000"/>
          <w:sz w:val="27"/>
          <w:szCs w:val="27"/>
        </w:rPr>
        <w:t>.</w:t>
      </w:r>
    </w:p>
    <w:p w14:paraId="1AA242E1" w14:textId="77777777" w:rsidR="00F53799" w:rsidRPr="00FB171D" w:rsidRDefault="00000000" w:rsidP="00734CAC">
      <w:pPr>
        <w:numPr>
          <w:ilvl w:val="0"/>
          <w:numId w:val="2"/>
        </w:numPr>
        <w:spacing w:before="100" w:beforeAutospacing="1" w:after="100" w:afterAutospacing="1" w:line="240" w:lineRule="auto"/>
        <w:rPr>
          <w:rFonts w:ascii="Georgia" w:eastAsia="Times New Roman" w:hAnsi="Georgia" w:cs="Arial"/>
          <w:color w:val="000000"/>
          <w:sz w:val="27"/>
          <w:szCs w:val="27"/>
        </w:rPr>
      </w:pPr>
      <w:hyperlink r:id="rId54" w:history="1">
        <w:r w:rsidR="00F53799" w:rsidRPr="00FB171D">
          <w:rPr>
            <w:rFonts w:ascii="Georgia" w:eastAsia="Times New Roman" w:hAnsi="Georgia" w:cs="Arial"/>
            <w:b/>
            <w:bCs/>
            <w:color w:val="0000FF"/>
            <w:sz w:val="27"/>
            <w:szCs w:val="27"/>
            <w:u w:val="single"/>
          </w:rPr>
          <w:t>Common Aging Score</w:t>
        </w:r>
        <w:r w:rsidR="00F53799" w:rsidRPr="00FB171D">
          <w:rPr>
            <w:rFonts w:ascii="Georgia" w:eastAsia="Times New Roman" w:hAnsi="Georgia" w:cs="Arial"/>
            <w:color w:val="0000FF"/>
            <w:sz w:val="27"/>
            <w:szCs w:val="27"/>
            <w:u w:val="single"/>
          </w:rPr>
          <w:t>: The researchers used these genes to develop a common aging score, assessing how gene activity in different regions of the brain change with age</w:t>
        </w:r>
      </w:hyperlink>
      <w:hyperlink r:id="rId55" w:tgtFrame="_blank" w:history="1">
        <w:r w:rsidR="00F53799" w:rsidRPr="00FB171D">
          <w:rPr>
            <w:rFonts w:ascii="Georgia" w:eastAsia="Times New Roman" w:hAnsi="Georgia" w:cs="Arial"/>
            <w:color w:val="0000FF"/>
            <w:sz w:val="27"/>
            <w:szCs w:val="27"/>
            <w:u w:val="single"/>
            <w:vertAlign w:val="superscript"/>
          </w:rPr>
          <w:t>2</w:t>
        </w:r>
      </w:hyperlink>
      <w:hyperlink r:id="rId56" w:tgtFrame="_blank" w:history="1">
        <w:r w:rsidR="00F53799" w:rsidRPr="00FB171D">
          <w:rPr>
            <w:rFonts w:ascii="Georgia" w:eastAsia="Times New Roman" w:hAnsi="Georgia" w:cs="Arial"/>
            <w:color w:val="0000FF"/>
            <w:sz w:val="27"/>
            <w:szCs w:val="27"/>
            <w:u w:val="single"/>
            <w:vertAlign w:val="superscript"/>
          </w:rPr>
          <w:t>4</w:t>
        </w:r>
      </w:hyperlink>
      <w:r w:rsidR="00F53799" w:rsidRPr="00FB171D">
        <w:rPr>
          <w:rFonts w:ascii="Georgia" w:eastAsia="Times New Roman" w:hAnsi="Georgia" w:cs="Arial"/>
          <w:color w:val="000000"/>
          <w:sz w:val="27"/>
          <w:szCs w:val="27"/>
        </w:rPr>
        <w:t>.</w:t>
      </w:r>
    </w:p>
    <w:p w14:paraId="5DEC746C" w14:textId="77777777" w:rsidR="00F53799" w:rsidRPr="00FB171D" w:rsidRDefault="00000000" w:rsidP="00734CAC">
      <w:pPr>
        <w:numPr>
          <w:ilvl w:val="0"/>
          <w:numId w:val="2"/>
        </w:numPr>
        <w:spacing w:before="100" w:beforeAutospacing="1" w:after="100" w:afterAutospacing="1" w:line="240" w:lineRule="auto"/>
        <w:rPr>
          <w:rFonts w:ascii="Georgia" w:eastAsia="Times New Roman" w:hAnsi="Georgia" w:cs="Arial"/>
          <w:color w:val="000000"/>
          <w:sz w:val="27"/>
          <w:szCs w:val="27"/>
        </w:rPr>
      </w:pPr>
      <w:hyperlink r:id="rId57" w:history="1">
        <w:r w:rsidR="00F53799" w:rsidRPr="00FB171D">
          <w:rPr>
            <w:rFonts w:ascii="Georgia" w:eastAsia="Times New Roman" w:hAnsi="Georgia" w:cs="Arial"/>
            <w:b/>
            <w:bCs/>
            <w:color w:val="0000FF"/>
            <w:sz w:val="27"/>
            <w:szCs w:val="27"/>
            <w:u w:val="single"/>
          </w:rPr>
          <w:t>Genetic Variant Impacting Brain Aging</w:t>
        </w:r>
        <w:r w:rsidR="00F53799" w:rsidRPr="00FB171D">
          <w:rPr>
            <w:rFonts w:ascii="Georgia" w:eastAsia="Times New Roman" w:hAnsi="Georgia" w:cs="Arial"/>
            <w:color w:val="0000FF"/>
            <w:sz w:val="27"/>
            <w:szCs w:val="27"/>
            <w:u w:val="single"/>
          </w:rPr>
          <w:t>: Columbia University Medical Center (CUMC) researchers have discovered a common genetic variant that greatly impacts normal brain aging, starting at around age 65, and may modify the risk for neurodegenerative diseases</w:t>
        </w:r>
      </w:hyperlink>
      <w:hyperlink r:id="rId58" w:tgtFrame="_blank" w:history="1">
        <w:r w:rsidR="00F53799" w:rsidRPr="00FB171D">
          <w:rPr>
            <w:rFonts w:ascii="Georgia" w:eastAsia="Times New Roman" w:hAnsi="Georgia" w:cs="Arial"/>
            <w:color w:val="0000FF"/>
            <w:sz w:val="27"/>
            <w:szCs w:val="27"/>
            <w:u w:val="single"/>
            <w:vertAlign w:val="superscript"/>
          </w:rPr>
          <w:t>3</w:t>
        </w:r>
      </w:hyperlink>
      <w:r w:rsidR="00F53799" w:rsidRPr="00FB171D">
        <w:rPr>
          <w:rFonts w:ascii="Georgia" w:eastAsia="Times New Roman" w:hAnsi="Georgia" w:cs="Arial"/>
          <w:color w:val="000000"/>
          <w:sz w:val="27"/>
          <w:szCs w:val="27"/>
        </w:rPr>
        <w:t>.</w:t>
      </w:r>
    </w:p>
    <w:p w14:paraId="533B4666" w14:textId="77777777" w:rsidR="00F53799" w:rsidRPr="00FB171D" w:rsidRDefault="00000000" w:rsidP="00734CAC">
      <w:pPr>
        <w:numPr>
          <w:ilvl w:val="0"/>
          <w:numId w:val="2"/>
        </w:numPr>
        <w:spacing w:before="100" w:beforeAutospacing="1" w:after="100" w:afterAutospacing="1" w:line="240" w:lineRule="auto"/>
        <w:rPr>
          <w:rFonts w:ascii="Georgia" w:eastAsia="Times New Roman" w:hAnsi="Georgia" w:cs="Arial"/>
          <w:color w:val="000000"/>
          <w:sz w:val="27"/>
          <w:szCs w:val="27"/>
        </w:rPr>
      </w:pPr>
      <w:hyperlink r:id="rId59" w:history="1">
        <w:r w:rsidR="00F53799" w:rsidRPr="00FB171D">
          <w:rPr>
            <w:rFonts w:ascii="Georgia" w:eastAsia="Times New Roman" w:hAnsi="Georgia" w:cs="Arial"/>
            <w:b/>
            <w:bCs/>
            <w:color w:val="0000FF"/>
            <w:sz w:val="27"/>
            <w:szCs w:val="27"/>
            <w:u w:val="single"/>
          </w:rPr>
          <w:t>Potential Treatments</w:t>
        </w:r>
        <w:r w:rsidR="00F53799" w:rsidRPr="00FB171D">
          <w:rPr>
            <w:rFonts w:ascii="Georgia" w:eastAsia="Times New Roman" w:hAnsi="Georgia" w:cs="Arial"/>
            <w:color w:val="0000FF"/>
            <w:sz w:val="27"/>
            <w:szCs w:val="27"/>
            <w:u w:val="single"/>
          </w:rPr>
          <w:t>: The Stanford study also examined two treatments — caloric restriction and infusions of plasma from young mice — that affect certain regions of the brain, with the plasma appearing to slow the age-related decline</w:t>
        </w:r>
      </w:hyperlink>
      <w:hyperlink r:id="rId60" w:tgtFrame="_blank" w:history="1">
        <w:r w:rsidR="00F53799" w:rsidRPr="00FB171D">
          <w:rPr>
            <w:rFonts w:ascii="Georgia" w:eastAsia="Times New Roman" w:hAnsi="Georgia" w:cs="Arial"/>
            <w:color w:val="0000FF"/>
            <w:sz w:val="27"/>
            <w:szCs w:val="27"/>
            <w:u w:val="single"/>
            <w:vertAlign w:val="superscript"/>
          </w:rPr>
          <w:t>2</w:t>
        </w:r>
      </w:hyperlink>
      <w:r w:rsidR="00F53799" w:rsidRPr="00FB171D">
        <w:rPr>
          <w:rFonts w:ascii="Georgia" w:eastAsia="Times New Roman" w:hAnsi="Georgia" w:cs="Arial"/>
          <w:color w:val="000000"/>
          <w:sz w:val="27"/>
          <w:szCs w:val="27"/>
        </w:rPr>
        <w:t>.</w:t>
      </w:r>
    </w:p>
    <w:p w14:paraId="240897DD" w14:textId="77777777" w:rsidR="00F53799" w:rsidRPr="00FB171D" w:rsidRDefault="00000000" w:rsidP="00F53799">
      <w:pPr>
        <w:spacing w:before="100" w:beforeAutospacing="1" w:after="100" w:afterAutospacing="1" w:line="240" w:lineRule="auto"/>
        <w:rPr>
          <w:rFonts w:ascii="Georgia" w:eastAsia="Times New Roman" w:hAnsi="Georgia" w:cs="Arial"/>
          <w:color w:val="000000"/>
          <w:sz w:val="27"/>
          <w:szCs w:val="27"/>
        </w:rPr>
      </w:pPr>
      <w:hyperlink r:id="rId61" w:history="1">
        <w:r w:rsidR="00F53799" w:rsidRPr="00FB171D">
          <w:rPr>
            <w:rFonts w:ascii="Georgia" w:eastAsia="Times New Roman" w:hAnsi="Georgia" w:cs="Arial"/>
            <w:b/>
            <w:bCs/>
            <w:color w:val="0000FF"/>
            <w:sz w:val="27"/>
            <w:szCs w:val="27"/>
            <w:u w:val="single"/>
          </w:rPr>
          <w:t>The Apolipoprotein E gene (APOE) ε4</w:t>
        </w:r>
        <w:r w:rsidR="00F53799" w:rsidRPr="00FB171D">
          <w:rPr>
            <w:rFonts w:ascii="Georgia" w:eastAsia="Times New Roman" w:hAnsi="Georgia" w:cs="Arial"/>
            <w:color w:val="0000FF"/>
            <w:sz w:val="27"/>
            <w:szCs w:val="27"/>
            <w:u w:val="single"/>
          </w:rPr>
          <w:t xml:space="preserve"> allele is a well-known genetic risk factor for late-onset Alzheimer’s disease (AD)</w:t>
        </w:r>
      </w:hyperlink>
      <w:hyperlink r:id="rId62" w:tgtFrame="_blank" w:history="1">
        <w:r w:rsidR="00F53799" w:rsidRPr="00FB171D">
          <w:rPr>
            <w:rFonts w:ascii="Georgia" w:eastAsia="Times New Roman" w:hAnsi="Georgia" w:cs="Arial"/>
            <w:color w:val="0000FF"/>
            <w:sz w:val="27"/>
            <w:szCs w:val="27"/>
            <w:u w:val="single"/>
            <w:vertAlign w:val="superscript"/>
          </w:rPr>
          <w:t>1</w:t>
        </w:r>
      </w:hyperlink>
      <w:hyperlink r:id="rId63" w:tgtFrame="_blank" w:history="1">
        <w:r w:rsidR="00F53799" w:rsidRPr="00FB171D">
          <w:rPr>
            <w:rFonts w:ascii="Georgia" w:eastAsia="Times New Roman" w:hAnsi="Georgia" w:cs="Arial"/>
            <w:color w:val="0000FF"/>
            <w:sz w:val="27"/>
            <w:szCs w:val="27"/>
            <w:u w:val="single"/>
            <w:vertAlign w:val="superscript"/>
          </w:rPr>
          <w:t>2</w:t>
        </w:r>
      </w:hyperlink>
      <w:r w:rsidR="00F53799" w:rsidRPr="00FB171D">
        <w:rPr>
          <w:rFonts w:ascii="Georgia" w:eastAsia="Times New Roman" w:hAnsi="Georgia" w:cs="Arial"/>
          <w:color w:val="000000"/>
          <w:sz w:val="27"/>
          <w:szCs w:val="27"/>
        </w:rPr>
        <w:t xml:space="preserve">. </w:t>
      </w:r>
      <w:hyperlink r:id="rId64" w:history="1">
        <w:r w:rsidR="00F53799" w:rsidRPr="00FB171D">
          <w:rPr>
            <w:rFonts w:ascii="Georgia" w:eastAsia="Times New Roman" w:hAnsi="Georgia" w:cs="Arial"/>
            <w:color w:val="0000FF"/>
            <w:sz w:val="27"/>
            <w:szCs w:val="27"/>
            <w:u w:val="single"/>
          </w:rPr>
          <w:t>Carrying at least one ε4 allele increases the risk of AD and decreases the age of disease onset</w:t>
        </w:r>
      </w:hyperlink>
      <w:hyperlink r:id="rId65" w:tgtFrame="_blank" w:history="1">
        <w:r w:rsidR="00F53799" w:rsidRPr="00FB171D">
          <w:rPr>
            <w:rFonts w:ascii="Georgia" w:eastAsia="Times New Roman" w:hAnsi="Georgia" w:cs="Arial"/>
            <w:color w:val="0000FF"/>
            <w:sz w:val="27"/>
            <w:szCs w:val="27"/>
            <w:u w:val="single"/>
            <w:vertAlign w:val="superscript"/>
          </w:rPr>
          <w:t>1</w:t>
        </w:r>
      </w:hyperlink>
      <w:hyperlink r:id="rId66" w:tgtFrame="_blank" w:history="1">
        <w:r w:rsidR="00F53799" w:rsidRPr="00FB171D">
          <w:rPr>
            <w:rFonts w:ascii="Georgia" w:eastAsia="Times New Roman" w:hAnsi="Georgia" w:cs="Arial"/>
            <w:color w:val="0000FF"/>
            <w:sz w:val="27"/>
            <w:szCs w:val="27"/>
            <w:u w:val="single"/>
            <w:vertAlign w:val="superscript"/>
          </w:rPr>
          <w:t>2</w:t>
        </w:r>
      </w:hyperlink>
      <w:r w:rsidR="00F53799" w:rsidRPr="00FB171D">
        <w:rPr>
          <w:rFonts w:ascii="Georgia" w:eastAsia="Times New Roman" w:hAnsi="Georgia" w:cs="Arial"/>
          <w:color w:val="000000"/>
          <w:sz w:val="27"/>
          <w:szCs w:val="27"/>
        </w:rPr>
        <w:t>. Here are some key points about APOE ε4 and cognitive decline:</w:t>
      </w:r>
    </w:p>
    <w:p w14:paraId="78B6C6D5" w14:textId="77777777" w:rsidR="00F53799" w:rsidRPr="00FB171D" w:rsidRDefault="00000000" w:rsidP="00734CAC">
      <w:pPr>
        <w:numPr>
          <w:ilvl w:val="0"/>
          <w:numId w:val="3"/>
        </w:numPr>
        <w:spacing w:before="100" w:beforeAutospacing="1" w:after="100" w:afterAutospacing="1" w:line="240" w:lineRule="auto"/>
        <w:rPr>
          <w:rFonts w:ascii="Georgia" w:eastAsia="Times New Roman" w:hAnsi="Georgia" w:cs="Arial"/>
          <w:color w:val="000000"/>
          <w:sz w:val="27"/>
          <w:szCs w:val="27"/>
        </w:rPr>
      </w:pPr>
      <w:hyperlink r:id="rId67" w:history="1">
        <w:r w:rsidR="00F53799" w:rsidRPr="00FB171D">
          <w:rPr>
            <w:rFonts w:ascii="Georgia" w:eastAsia="Times New Roman" w:hAnsi="Georgia" w:cs="Arial"/>
            <w:b/>
            <w:bCs/>
            <w:color w:val="0000FF"/>
            <w:sz w:val="27"/>
            <w:szCs w:val="27"/>
            <w:u w:val="single"/>
          </w:rPr>
          <w:t>Cognitive Function</w:t>
        </w:r>
        <w:r w:rsidR="00F53799" w:rsidRPr="00FB171D">
          <w:rPr>
            <w:rFonts w:ascii="Georgia" w:eastAsia="Times New Roman" w:hAnsi="Georgia" w:cs="Arial"/>
            <w:color w:val="0000FF"/>
            <w:sz w:val="27"/>
            <w:szCs w:val="27"/>
            <w:u w:val="single"/>
          </w:rPr>
          <w:t>: A study found that both heterozygous and homozygous ε4 carriers had poorer cognition and greater risk of dementia at older ages</w:t>
        </w:r>
      </w:hyperlink>
      <w:hyperlink r:id="rId68" w:tgtFrame="_blank" w:history="1">
        <w:r w:rsidR="00F53799" w:rsidRPr="00FB171D">
          <w:rPr>
            <w:rFonts w:ascii="Georgia" w:eastAsia="Times New Roman" w:hAnsi="Georgia" w:cs="Arial"/>
            <w:color w:val="0000FF"/>
            <w:sz w:val="27"/>
            <w:szCs w:val="27"/>
            <w:u w:val="single"/>
            <w:vertAlign w:val="superscript"/>
          </w:rPr>
          <w:t>3</w:t>
        </w:r>
      </w:hyperlink>
      <w:r w:rsidR="00F53799" w:rsidRPr="00FB171D">
        <w:rPr>
          <w:rFonts w:ascii="Georgia" w:eastAsia="Times New Roman" w:hAnsi="Georgia" w:cs="Arial"/>
          <w:color w:val="000000"/>
          <w:sz w:val="27"/>
          <w:szCs w:val="27"/>
        </w:rPr>
        <w:t xml:space="preserve">. </w:t>
      </w:r>
      <w:hyperlink r:id="rId69" w:tgtFrame="_blank" w:history="1">
        <w:r w:rsidR="00F53799" w:rsidRPr="00FB171D">
          <w:rPr>
            <w:rFonts w:ascii="Georgia" w:eastAsia="Times New Roman" w:hAnsi="Georgia" w:cs="Arial"/>
            <w:color w:val="0000FF"/>
            <w:sz w:val="27"/>
            <w:szCs w:val="27"/>
            <w:u w:val="single"/>
          </w:rPr>
          <w:t>ε4 homozygotes had poorer global cognitive scores starting from 65 years, while ε4 heterozygotes had better scores between 45 and 55 years, then no difference until poorer cognitive scores from 75 years onwards</w:t>
        </w:r>
      </w:hyperlink>
      <w:hyperlink r:id="rId70" w:tgtFrame="_blank" w:history="1">
        <w:r w:rsidR="00F53799" w:rsidRPr="00FB171D">
          <w:rPr>
            <w:rFonts w:ascii="Georgia" w:eastAsia="Times New Roman" w:hAnsi="Georgia" w:cs="Arial"/>
            <w:color w:val="0000FF"/>
            <w:sz w:val="27"/>
            <w:szCs w:val="27"/>
            <w:u w:val="single"/>
            <w:vertAlign w:val="superscript"/>
          </w:rPr>
          <w:t>3</w:t>
        </w:r>
      </w:hyperlink>
      <w:r w:rsidR="00F53799" w:rsidRPr="00FB171D">
        <w:rPr>
          <w:rFonts w:ascii="Georgia" w:eastAsia="Times New Roman" w:hAnsi="Georgia" w:cs="Arial"/>
          <w:color w:val="000000"/>
          <w:sz w:val="27"/>
          <w:szCs w:val="27"/>
        </w:rPr>
        <w:t>.</w:t>
      </w:r>
    </w:p>
    <w:p w14:paraId="16F6D982" w14:textId="77777777" w:rsidR="00F53799" w:rsidRPr="00FB171D" w:rsidRDefault="00000000" w:rsidP="00734CAC">
      <w:pPr>
        <w:numPr>
          <w:ilvl w:val="0"/>
          <w:numId w:val="3"/>
        </w:numPr>
        <w:spacing w:before="100" w:beforeAutospacing="1" w:after="100" w:afterAutospacing="1" w:line="240" w:lineRule="auto"/>
        <w:rPr>
          <w:rFonts w:ascii="Georgia" w:eastAsia="Times New Roman" w:hAnsi="Georgia" w:cs="Arial"/>
          <w:color w:val="000000"/>
          <w:sz w:val="27"/>
          <w:szCs w:val="27"/>
        </w:rPr>
      </w:pPr>
      <w:hyperlink r:id="rId71" w:tgtFrame="_blank" w:history="1">
        <w:r w:rsidR="00F53799" w:rsidRPr="00FB171D">
          <w:rPr>
            <w:rFonts w:ascii="Georgia" w:eastAsia="Times New Roman" w:hAnsi="Georgia" w:cs="Arial"/>
            <w:b/>
            <w:bCs/>
            <w:color w:val="0000FF"/>
            <w:sz w:val="27"/>
            <w:szCs w:val="27"/>
            <w:u w:val="single"/>
          </w:rPr>
          <w:t>Dementia Risk</w:t>
        </w:r>
        <w:r w:rsidR="00F53799" w:rsidRPr="00FB171D">
          <w:rPr>
            <w:rFonts w:ascii="Georgia" w:eastAsia="Times New Roman" w:hAnsi="Georgia" w:cs="Arial"/>
            <w:color w:val="0000FF"/>
            <w:sz w:val="27"/>
            <w:szCs w:val="27"/>
            <w:u w:val="single"/>
          </w:rPr>
          <w:t>: Compared to non-carriers, heterozygote (prevalence 25%) and homozygote (prevalence 2%) APOE ε4 carriers had an increased risk of dementia</w:t>
        </w:r>
      </w:hyperlink>
      <w:hyperlink r:id="rId72" w:tgtFrame="_blank" w:history="1">
        <w:r w:rsidR="00F53799" w:rsidRPr="00FB171D">
          <w:rPr>
            <w:rFonts w:ascii="Georgia" w:eastAsia="Times New Roman" w:hAnsi="Georgia" w:cs="Arial"/>
            <w:color w:val="0000FF"/>
            <w:sz w:val="27"/>
            <w:szCs w:val="27"/>
            <w:u w:val="single"/>
            <w:vertAlign w:val="superscript"/>
          </w:rPr>
          <w:t>3</w:t>
        </w:r>
      </w:hyperlink>
      <w:r w:rsidR="00F53799" w:rsidRPr="00FB171D">
        <w:rPr>
          <w:rFonts w:ascii="Georgia" w:eastAsia="Times New Roman" w:hAnsi="Georgia" w:cs="Arial"/>
          <w:color w:val="000000"/>
          <w:sz w:val="27"/>
          <w:szCs w:val="27"/>
        </w:rPr>
        <w:t>.</w:t>
      </w:r>
    </w:p>
    <w:p w14:paraId="17031B15" w14:textId="77777777" w:rsidR="00F53799" w:rsidRPr="00FB171D" w:rsidRDefault="00000000" w:rsidP="00734CAC">
      <w:pPr>
        <w:numPr>
          <w:ilvl w:val="0"/>
          <w:numId w:val="3"/>
        </w:numPr>
        <w:spacing w:before="100" w:beforeAutospacing="1" w:after="100" w:afterAutospacing="1" w:line="240" w:lineRule="auto"/>
        <w:rPr>
          <w:rFonts w:ascii="Georgia" w:eastAsia="Times New Roman" w:hAnsi="Georgia" w:cs="Arial"/>
          <w:color w:val="000000"/>
          <w:sz w:val="27"/>
          <w:szCs w:val="27"/>
        </w:rPr>
      </w:pPr>
      <w:hyperlink r:id="rId73" w:history="1">
        <w:r w:rsidR="00F53799" w:rsidRPr="00FB171D">
          <w:rPr>
            <w:rFonts w:ascii="Georgia" w:eastAsia="Times New Roman" w:hAnsi="Georgia" w:cs="Arial"/>
            <w:b/>
            <w:bCs/>
            <w:color w:val="0000FF"/>
            <w:sz w:val="27"/>
            <w:szCs w:val="27"/>
            <w:u w:val="single"/>
          </w:rPr>
          <w:t>Neurotoxicity</w:t>
        </w:r>
        <w:r w:rsidR="00F53799" w:rsidRPr="00FB171D">
          <w:rPr>
            <w:rFonts w:ascii="Georgia" w:eastAsia="Times New Roman" w:hAnsi="Georgia" w:cs="Arial"/>
            <w:color w:val="0000FF"/>
            <w:sz w:val="27"/>
            <w:szCs w:val="27"/>
            <w:u w:val="single"/>
          </w:rPr>
          <w:t>: GABAergic interneurons in the hippocampus, which are crucial for proper cognitive function, are selectively vulnerable to apoE4-mediated neurotoxicity</w:t>
        </w:r>
      </w:hyperlink>
      <w:hyperlink r:id="rId74" w:tgtFrame="_blank" w:history="1">
        <w:r w:rsidR="00F53799" w:rsidRPr="00FB171D">
          <w:rPr>
            <w:rFonts w:ascii="Georgia" w:eastAsia="Times New Roman" w:hAnsi="Georgia" w:cs="Arial"/>
            <w:color w:val="0000FF"/>
            <w:sz w:val="27"/>
            <w:szCs w:val="27"/>
            <w:u w:val="single"/>
            <w:vertAlign w:val="superscript"/>
          </w:rPr>
          <w:t>1</w:t>
        </w:r>
      </w:hyperlink>
      <w:r w:rsidR="00F53799" w:rsidRPr="00FB171D">
        <w:rPr>
          <w:rFonts w:ascii="Georgia" w:eastAsia="Times New Roman" w:hAnsi="Georgia" w:cs="Arial"/>
          <w:color w:val="000000"/>
          <w:sz w:val="27"/>
          <w:szCs w:val="27"/>
        </w:rPr>
        <w:t>.</w:t>
      </w:r>
    </w:p>
    <w:p w14:paraId="6D32B9B6" w14:textId="77777777" w:rsidR="00F53799" w:rsidRPr="00FB171D" w:rsidRDefault="00000000" w:rsidP="00734CAC">
      <w:pPr>
        <w:numPr>
          <w:ilvl w:val="0"/>
          <w:numId w:val="3"/>
        </w:numPr>
        <w:spacing w:before="100" w:beforeAutospacing="1" w:after="100" w:afterAutospacing="1" w:line="240" w:lineRule="auto"/>
        <w:rPr>
          <w:rFonts w:ascii="Georgia" w:eastAsia="Times New Roman" w:hAnsi="Georgia" w:cs="Arial"/>
          <w:color w:val="000000"/>
          <w:sz w:val="27"/>
          <w:szCs w:val="27"/>
        </w:rPr>
      </w:pPr>
      <w:hyperlink r:id="rId75" w:tgtFrame="_blank" w:history="1">
        <w:r w:rsidR="00F53799" w:rsidRPr="00FB171D">
          <w:rPr>
            <w:rFonts w:ascii="Georgia" w:eastAsia="Times New Roman" w:hAnsi="Georgia" w:cs="Arial"/>
            <w:b/>
            <w:bCs/>
            <w:color w:val="0000FF"/>
            <w:sz w:val="27"/>
            <w:szCs w:val="27"/>
            <w:u w:val="single"/>
          </w:rPr>
          <w:t>Atherosclerosis and Stroke</w:t>
        </w:r>
        <w:r w:rsidR="00F53799" w:rsidRPr="00FB171D">
          <w:rPr>
            <w:rFonts w:ascii="Georgia" w:eastAsia="Times New Roman" w:hAnsi="Georgia" w:cs="Arial"/>
            <w:color w:val="0000FF"/>
            <w:sz w:val="27"/>
            <w:szCs w:val="27"/>
            <w:u w:val="single"/>
          </w:rPr>
          <w:t>: Outside the brain, APOE4 can increase the risk of atherosclerosis (i.e., hardening of the arteries) and stroke, which may explain why APOE4 is a risk factor for vascular causes of cognitive impairment and dementia</w:t>
        </w:r>
      </w:hyperlink>
      <w:hyperlink r:id="rId76" w:tgtFrame="_blank" w:history="1">
        <w:r w:rsidR="00F53799" w:rsidRPr="00FB171D">
          <w:rPr>
            <w:rFonts w:ascii="Georgia" w:eastAsia="Times New Roman" w:hAnsi="Georgia" w:cs="Arial"/>
            <w:color w:val="0000FF"/>
            <w:sz w:val="27"/>
            <w:szCs w:val="27"/>
            <w:u w:val="single"/>
            <w:vertAlign w:val="superscript"/>
          </w:rPr>
          <w:t>4</w:t>
        </w:r>
      </w:hyperlink>
      <w:r w:rsidR="00F53799" w:rsidRPr="00FB171D">
        <w:rPr>
          <w:rFonts w:ascii="Georgia" w:eastAsia="Times New Roman" w:hAnsi="Georgia" w:cs="Arial"/>
          <w:color w:val="000000"/>
          <w:sz w:val="27"/>
          <w:szCs w:val="27"/>
        </w:rPr>
        <w:t>.</w:t>
      </w:r>
    </w:p>
    <w:p w14:paraId="4E0B6717" w14:textId="77777777" w:rsidR="00F53799" w:rsidRPr="00FB171D" w:rsidRDefault="00F53799" w:rsidP="00F53799">
      <w:pPr>
        <w:spacing w:after="0"/>
        <w:rPr>
          <w:rFonts w:ascii="Georgia" w:eastAsia="Segoe UI" w:hAnsi="Georgia" w:cs="Arial"/>
          <w:color w:val="FF0000"/>
          <w:sz w:val="28"/>
          <w:szCs w:val="28"/>
        </w:rPr>
      </w:pPr>
    </w:p>
    <w:p w14:paraId="267EAD75" w14:textId="77777777" w:rsidR="00F53799" w:rsidRPr="00FB171D" w:rsidRDefault="00F53799" w:rsidP="00F53799">
      <w:pPr>
        <w:spacing w:after="0"/>
        <w:rPr>
          <w:rFonts w:ascii="Georgia" w:eastAsia="Segoe UI" w:hAnsi="Georgia" w:cs="Arial"/>
          <w:color w:val="FF0000"/>
          <w:sz w:val="28"/>
          <w:szCs w:val="28"/>
        </w:rPr>
      </w:pPr>
      <w:r w:rsidRPr="00FB171D">
        <w:rPr>
          <w:rFonts w:ascii="Georgia" w:eastAsia="Segoe UI" w:hAnsi="Georgia" w:cs="Arial"/>
          <w:color w:val="FF0000"/>
          <w:sz w:val="28"/>
          <w:szCs w:val="28"/>
        </w:rPr>
        <w:t>Epigenetics</w:t>
      </w:r>
    </w:p>
    <w:p w14:paraId="64D11BA5" w14:textId="77777777" w:rsidR="00F53799" w:rsidRPr="00FB171D" w:rsidRDefault="00F53799" w:rsidP="00F53799">
      <w:pPr>
        <w:spacing w:after="0" w:line="240" w:lineRule="auto"/>
        <w:rPr>
          <w:rFonts w:ascii="Georgia" w:eastAsia="Times New Roman" w:hAnsi="Georgia" w:cs="Arial"/>
          <w:color w:val="000000"/>
          <w:sz w:val="27"/>
          <w:szCs w:val="27"/>
        </w:rPr>
      </w:pPr>
    </w:p>
    <w:p w14:paraId="451E8758" w14:textId="77777777" w:rsidR="00F53799" w:rsidRPr="00FB171D" w:rsidRDefault="00000000" w:rsidP="00F53799">
      <w:pPr>
        <w:spacing w:before="100" w:beforeAutospacing="1" w:after="100" w:afterAutospacing="1" w:line="240" w:lineRule="auto"/>
        <w:rPr>
          <w:rFonts w:ascii="Georgia" w:eastAsia="Times New Roman" w:hAnsi="Georgia" w:cs="Arial"/>
          <w:color w:val="000000"/>
          <w:sz w:val="27"/>
          <w:szCs w:val="27"/>
        </w:rPr>
      </w:pPr>
      <w:hyperlink r:id="rId77" w:history="1">
        <w:r w:rsidR="00F53799" w:rsidRPr="00FB171D">
          <w:rPr>
            <w:rFonts w:ascii="Georgia" w:eastAsia="Times New Roman" w:hAnsi="Georgia" w:cs="Arial"/>
            <w:color w:val="0000FF"/>
            <w:sz w:val="27"/>
            <w:szCs w:val="27"/>
            <w:u w:val="single"/>
          </w:rPr>
          <w:t>Epigenetic changes play a significant role in brain aging</w:t>
        </w:r>
      </w:hyperlink>
      <w:hyperlink r:id="rId78" w:tgtFrame="_blank" w:history="1">
        <w:r w:rsidR="00F53799" w:rsidRPr="00FB171D">
          <w:rPr>
            <w:rFonts w:ascii="Georgia" w:eastAsia="Times New Roman" w:hAnsi="Georgia" w:cs="Arial"/>
            <w:color w:val="0000FF"/>
            <w:sz w:val="27"/>
            <w:szCs w:val="27"/>
            <w:u w:val="single"/>
            <w:vertAlign w:val="superscript"/>
          </w:rPr>
          <w:t>1</w:t>
        </w:r>
      </w:hyperlink>
      <w:hyperlink r:id="rId79" w:tgtFrame="_blank" w:history="1">
        <w:r w:rsidR="00F53799" w:rsidRPr="00FB171D">
          <w:rPr>
            <w:rFonts w:ascii="Georgia" w:eastAsia="Times New Roman" w:hAnsi="Georgia" w:cs="Arial"/>
            <w:color w:val="0000FF"/>
            <w:sz w:val="27"/>
            <w:szCs w:val="27"/>
            <w:u w:val="single"/>
            <w:vertAlign w:val="superscript"/>
          </w:rPr>
          <w:t>2</w:t>
        </w:r>
      </w:hyperlink>
      <w:hyperlink r:id="rId80" w:tgtFrame="_blank" w:history="1">
        <w:r w:rsidR="00F53799" w:rsidRPr="00FB171D">
          <w:rPr>
            <w:rFonts w:ascii="Georgia" w:eastAsia="Times New Roman" w:hAnsi="Georgia" w:cs="Arial"/>
            <w:color w:val="0000FF"/>
            <w:sz w:val="27"/>
            <w:szCs w:val="27"/>
            <w:u w:val="single"/>
            <w:vertAlign w:val="superscript"/>
          </w:rPr>
          <w:t>3</w:t>
        </w:r>
      </w:hyperlink>
      <w:hyperlink r:id="rId81" w:tgtFrame="_blank" w:history="1">
        <w:r w:rsidR="00F53799" w:rsidRPr="00FB171D">
          <w:rPr>
            <w:rFonts w:ascii="Georgia" w:eastAsia="Times New Roman" w:hAnsi="Georgia" w:cs="Arial"/>
            <w:color w:val="0000FF"/>
            <w:sz w:val="27"/>
            <w:szCs w:val="27"/>
            <w:u w:val="single"/>
            <w:vertAlign w:val="superscript"/>
          </w:rPr>
          <w:t>4</w:t>
        </w:r>
      </w:hyperlink>
      <w:r w:rsidR="00F53799" w:rsidRPr="00FB171D">
        <w:rPr>
          <w:rFonts w:ascii="Georgia" w:eastAsia="Times New Roman" w:hAnsi="Georgia" w:cs="Arial"/>
          <w:color w:val="000000"/>
          <w:sz w:val="27"/>
          <w:szCs w:val="27"/>
        </w:rPr>
        <w:t>. Here are some key points:</w:t>
      </w:r>
    </w:p>
    <w:p w14:paraId="3F3B2538" w14:textId="77777777" w:rsidR="00F53799" w:rsidRPr="00FB171D" w:rsidRDefault="00000000" w:rsidP="00734CAC">
      <w:pPr>
        <w:numPr>
          <w:ilvl w:val="0"/>
          <w:numId w:val="4"/>
        </w:numPr>
        <w:spacing w:before="100" w:beforeAutospacing="1" w:after="100" w:afterAutospacing="1" w:line="240" w:lineRule="auto"/>
        <w:rPr>
          <w:rFonts w:ascii="Georgia" w:eastAsia="Times New Roman" w:hAnsi="Georgia" w:cs="Arial"/>
          <w:color w:val="000000"/>
          <w:sz w:val="27"/>
          <w:szCs w:val="27"/>
        </w:rPr>
      </w:pPr>
      <w:hyperlink r:id="rId82" w:history="1">
        <w:r w:rsidR="00F53799" w:rsidRPr="00FB171D">
          <w:rPr>
            <w:rFonts w:ascii="Georgia" w:eastAsia="Times New Roman" w:hAnsi="Georgia" w:cs="Arial"/>
            <w:b/>
            <w:bCs/>
            <w:color w:val="0000FF"/>
            <w:sz w:val="27"/>
            <w:szCs w:val="27"/>
            <w:u w:val="single"/>
          </w:rPr>
          <w:t>Epigenetic Modifications</w:t>
        </w:r>
        <w:r w:rsidR="00F53799" w:rsidRPr="00FB171D">
          <w:rPr>
            <w:rFonts w:ascii="Georgia" w:eastAsia="Times New Roman" w:hAnsi="Georgia" w:cs="Arial"/>
            <w:color w:val="0000FF"/>
            <w:sz w:val="27"/>
            <w:szCs w:val="27"/>
            <w:u w:val="single"/>
          </w:rPr>
          <w:t>: Epigenetic modifications that affect brain cell interactions alter cellular chromatin structure</w:t>
        </w:r>
      </w:hyperlink>
      <w:hyperlink r:id="rId83" w:tgtFrame="_blank" w:history="1">
        <w:r w:rsidR="00F53799" w:rsidRPr="00FB171D">
          <w:rPr>
            <w:rFonts w:ascii="Georgia" w:eastAsia="Times New Roman" w:hAnsi="Georgia" w:cs="Arial"/>
            <w:color w:val="0000FF"/>
            <w:sz w:val="27"/>
            <w:szCs w:val="27"/>
            <w:u w:val="single"/>
            <w:vertAlign w:val="superscript"/>
          </w:rPr>
          <w:t>4</w:t>
        </w:r>
      </w:hyperlink>
      <w:r w:rsidR="00F53799" w:rsidRPr="00FB171D">
        <w:rPr>
          <w:rFonts w:ascii="Georgia" w:eastAsia="Times New Roman" w:hAnsi="Georgia" w:cs="Arial"/>
          <w:color w:val="000000"/>
          <w:sz w:val="27"/>
          <w:szCs w:val="27"/>
        </w:rPr>
        <w:t xml:space="preserve">. </w:t>
      </w:r>
      <w:hyperlink r:id="rId84" w:history="1">
        <w:r w:rsidR="00F53799" w:rsidRPr="00FB171D">
          <w:rPr>
            <w:rFonts w:ascii="Georgia" w:eastAsia="Times New Roman" w:hAnsi="Georgia" w:cs="Arial"/>
            <w:color w:val="0000FF"/>
            <w:sz w:val="27"/>
            <w:szCs w:val="27"/>
            <w:u w:val="single"/>
          </w:rPr>
          <w:t>DNA methylation and histone modifications determine the aging processes of the brain</w:t>
        </w:r>
      </w:hyperlink>
      <w:hyperlink r:id="rId85" w:tgtFrame="_blank" w:history="1">
        <w:r w:rsidR="00F53799" w:rsidRPr="00FB171D">
          <w:rPr>
            <w:rFonts w:ascii="Georgia" w:eastAsia="Times New Roman" w:hAnsi="Georgia" w:cs="Arial"/>
            <w:color w:val="0000FF"/>
            <w:sz w:val="27"/>
            <w:szCs w:val="27"/>
            <w:u w:val="single"/>
            <w:vertAlign w:val="superscript"/>
          </w:rPr>
          <w:t>4</w:t>
        </w:r>
      </w:hyperlink>
      <w:r w:rsidR="00F53799" w:rsidRPr="00FB171D">
        <w:rPr>
          <w:rFonts w:ascii="Georgia" w:eastAsia="Times New Roman" w:hAnsi="Georgia" w:cs="Arial"/>
          <w:color w:val="000000"/>
          <w:sz w:val="27"/>
          <w:szCs w:val="27"/>
        </w:rPr>
        <w:t>.</w:t>
      </w:r>
    </w:p>
    <w:p w14:paraId="5B0F9E8C" w14:textId="77777777" w:rsidR="00F53799" w:rsidRPr="00FB171D" w:rsidRDefault="00000000" w:rsidP="00734CAC">
      <w:pPr>
        <w:numPr>
          <w:ilvl w:val="0"/>
          <w:numId w:val="4"/>
        </w:numPr>
        <w:spacing w:before="100" w:beforeAutospacing="1" w:after="100" w:afterAutospacing="1" w:line="240" w:lineRule="auto"/>
        <w:rPr>
          <w:rFonts w:ascii="Georgia" w:eastAsia="Times New Roman" w:hAnsi="Georgia" w:cs="Arial"/>
          <w:color w:val="000000"/>
          <w:sz w:val="27"/>
          <w:szCs w:val="27"/>
        </w:rPr>
      </w:pPr>
      <w:hyperlink r:id="rId86" w:history="1">
        <w:r w:rsidR="00F53799" w:rsidRPr="00FB171D">
          <w:rPr>
            <w:rFonts w:ascii="Georgia" w:eastAsia="Times New Roman" w:hAnsi="Georgia" w:cs="Arial"/>
            <w:b/>
            <w:bCs/>
            <w:color w:val="0000FF"/>
            <w:sz w:val="27"/>
            <w:szCs w:val="27"/>
            <w:u w:val="single"/>
          </w:rPr>
          <w:t>Oxidative Stress</w:t>
        </w:r>
        <w:r w:rsidR="00F53799" w:rsidRPr="00FB171D">
          <w:rPr>
            <w:rFonts w:ascii="Georgia" w:eastAsia="Times New Roman" w:hAnsi="Georgia" w:cs="Arial"/>
            <w:color w:val="0000FF"/>
            <w:sz w:val="27"/>
            <w:szCs w:val="27"/>
            <w:u w:val="single"/>
          </w:rPr>
          <w:t>: Brain aging is accompanied by oxidative damage of nuclear as well as mitochondrial DNA, and diminished repair</w:t>
        </w:r>
      </w:hyperlink>
      <w:hyperlink r:id="rId87" w:tgtFrame="_blank" w:history="1">
        <w:r w:rsidR="00F53799" w:rsidRPr="00FB171D">
          <w:rPr>
            <w:rFonts w:ascii="Georgia" w:eastAsia="Times New Roman" w:hAnsi="Georgia" w:cs="Arial"/>
            <w:color w:val="0000FF"/>
            <w:sz w:val="27"/>
            <w:szCs w:val="27"/>
            <w:u w:val="single"/>
            <w:vertAlign w:val="superscript"/>
          </w:rPr>
          <w:t>3</w:t>
        </w:r>
      </w:hyperlink>
      <w:r w:rsidR="00F53799" w:rsidRPr="00FB171D">
        <w:rPr>
          <w:rFonts w:ascii="Georgia" w:eastAsia="Times New Roman" w:hAnsi="Georgia" w:cs="Arial"/>
          <w:color w:val="000000"/>
          <w:sz w:val="27"/>
          <w:szCs w:val="27"/>
        </w:rPr>
        <w:t xml:space="preserve">. </w:t>
      </w:r>
      <w:hyperlink r:id="rId88" w:history="1">
        <w:r w:rsidR="00F53799" w:rsidRPr="00FB171D">
          <w:rPr>
            <w:rFonts w:ascii="Georgia" w:eastAsia="Times New Roman" w:hAnsi="Georgia" w:cs="Arial"/>
            <w:color w:val="0000FF"/>
            <w:sz w:val="27"/>
            <w:szCs w:val="27"/>
            <w:u w:val="single"/>
          </w:rPr>
          <w:t>Reactive oxygen species (ROS) regulate various systems through distinct mechanisms</w:t>
        </w:r>
      </w:hyperlink>
      <w:hyperlink r:id="rId89" w:tgtFrame="_blank" w:history="1">
        <w:r w:rsidR="00F53799" w:rsidRPr="00FB171D">
          <w:rPr>
            <w:rFonts w:ascii="Georgia" w:eastAsia="Times New Roman" w:hAnsi="Georgia" w:cs="Arial"/>
            <w:color w:val="0000FF"/>
            <w:sz w:val="27"/>
            <w:szCs w:val="27"/>
            <w:u w:val="single"/>
            <w:vertAlign w:val="superscript"/>
          </w:rPr>
          <w:t>3</w:t>
        </w:r>
      </w:hyperlink>
      <w:r w:rsidR="00F53799" w:rsidRPr="00FB171D">
        <w:rPr>
          <w:rFonts w:ascii="Georgia" w:eastAsia="Times New Roman" w:hAnsi="Georgia" w:cs="Arial"/>
          <w:color w:val="000000"/>
          <w:sz w:val="27"/>
          <w:szCs w:val="27"/>
        </w:rPr>
        <w:t>.</w:t>
      </w:r>
    </w:p>
    <w:p w14:paraId="01424C76" w14:textId="77777777" w:rsidR="00F53799" w:rsidRPr="00FB171D" w:rsidRDefault="00000000" w:rsidP="00734CAC">
      <w:pPr>
        <w:numPr>
          <w:ilvl w:val="0"/>
          <w:numId w:val="4"/>
        </w:numPr>
        <w:spacing w:before="100" w:beforeAutospacing="1" w:after="100" w:afterAutospacing="1" w:line="240" w:lineRule="auto"/>
        <w:rPr>
          <w:rFonts w:ascii="Georgia" w:eastAsia="Times New Roman" w:hAnsi="Georgia" w:cs="Arial"/>
          <w:color w:val="000000"/>
          <w:sz w:val="27"/>
          <w:szCs w:val="27"/>
        </w:rPr>
      </w:pPr>
      <w:hyperlink r:id="rId90" w:history="1">
        <w:r w:rsidR="00F53799" w:rsidRPr="00FB171D">
          <w:rPr>
            <w:rFonts w:ascii="Georgia" w:eastAsia="Times New Roman" w:hAnsi="Georgia" w:cs="Arial"/>
            <w:b/>
            <w:bCs/>
            <w:color w:val="0000FF"/>
            <w:sz w:val="27"/>
            <w:szCs w:val="27"/>
            <w:u w:val="single"/>
          </w:rPr>
          <w:t>Loss of Epigenetic Information</w:t>
        </w:r>
        <w:r w:rsidR="00F53799" w:rsidRPr="00FB171D">
          <w:rPr>
            <w:rFonts w:ascii="Georgia" w:eastAsia="Times New Roman" w:hAnsi="Georgia" w:cs="Arial"/>
            <w:color w:val="0000FF"/>
            <w:sz w:val="27"/>
            <w:szCs w:val="27"/>
            <w:u w:val="single"/>
          </w:rPr>
          <w:t>: An international study demonstrates that degradation in the way DNA is organized and regulated — known as epigenetics — can drive aging in an organism, independently of changes to the genetic code itself</w:t>
        </w:r>
      </w:hyperlink>
      <w:hyperlink r:id="rId91" w:tgtFrame="_blank" w:history="1">
        <w:r w:rsidR="00F53799" w:rsidRPr="00FB171D">
          <w:rPr>
            <w:rFonts w:ascii="Georgia" w:eastAsia="Times New Roman" w:hAnsi="Georgia" w:cs="Arial"/>
            <w:color w:val="0000FF"/>
            <w:sz w:val="27"/>
            <w:szCs w:val="27"/>
            <w:u w:val="single"/>
            <w:vertAlign w:val="superscript"/>
          </w:rPr>
          <w:t>2</w:t>
        </w:r>
      </w:hyperlink>
      <w:r w:rsidR="00F53799" w:rsidRPr="00FB171D">
        <w:rPr>
          <w:rFonts w:ascii="Georgia" w:eastAsia="Times New Roman" w:hAnsi="Georgia" w:cs="Arial"/>
          <w:color w:val="000000"/>
          <w:sz w:val="27"/>
          <w:szCs w:val="27"/>
        </w:rPr>
        <w:t xml:space="preserve">. </w:t>
      </w:r>
      <w:hyperlink r:id="rId92" w:history="1">
        <w:r w:rsidR="00F53799" w:rsidRPr="00FB171D">
          <w:rPr>
            <w:rFonts w:ascii="Georgia" w:eastAsia="Times New Roman" w:hAnsi="Georgia" w:cs="Arial"/>
            <w:color w:val="0000FF"/>
            <w:sz w:val="27"/>
            <w:szCs w:val="27"/>
            <w:u w:val="single"/>
          </w:rPr>
          <w:t>The work shows that a breakdown in epigenetic information causes mice to age and that restoring the integrity of the epigenome reverses those signs of aging</w:t>
        </w:r>
      </w:hyperlink>
      <w:hyperlink r:id="rId93" w:tgtFrame="_blank" w:history="1">
        <w:r w:rsidR="00F53799" w:rsidRPr="00FB171D">
          <w:rPr>
            <w:rFonts w:ascii="Georgia" w:eastAsia="Times New Roman" w:hAnsi="Georgia" w:cs="Arial"/>
            <w:color w:val="0000FF"/>
            <w:sz w:val="27"/>
            <w:szCs w:val="27"/>
            <w:u w:val="single"/>
            <w:vertAlign w:val="superscript"/>
          </w:rPr>
          <w:t>2</w:t>
        </w:r>
      </w:hyperlink>
      <w:r w:rsidR="00F53799" w:rsidRPr="00FB171D">
        <w:rPr>
          <w:rFonts w:ascii="Georgia" w:eastAsia="Times New Roman" w:hAnsi="Georgia" w:cs="Arial"/>
          <w:color w:val="000000"/>
          <w:sz w:val="27"/>
          <w:szCs w:val="27"/>
        </w:rPr>
        <w:t>.</w:t>
      </w:r>
    </w:p>
    <w:p w14:paraId="677BF80C" w14:textId="77777777" w:rsidR="00F53799" w:rsidRPr="00FB171D" w:rsidRDefault="00000000" w:rsidP="00734CAC">
      <w:pPr>
        <w:numPr>
          <w:ilvl w:val="0"/>
          <w:numId w:val="4"/>
        </w:numPr>
        <w:spacing w:before="100" w:beforeAutospacing="1" w:after="100" w:afterAutospacing="1" w:line="240" w:lineRule="auto"/>
        <w:rPr>
          <w:rFonts w:ascii="Georgia" w:eastAsia="Times New Roman" w:hAnsi="Georgia" w:cs="Arial"/>
          <w:color w:val="000000"/>
          <w:sz w:val="27"/>
          <w:szCs w:val="27"/>
        </w:rPr>
      </w:pPr>
      <w:hyperlink r:id="rId94" w:history="1">
        <w:r w:rsidR="00F53799" w:rsidRPr="00FB171D">
          <w:rPr>
            <w:rFonts w:ascii="Georgia" w:eastAsia="Times New Roman" w:hAnsi="Georgia" w:cs="Arial"/>
            <w:b/>
            <w:bCs/>
            <w:color w:val="0000FF"/>
            <w:sz w:val="27"/>
            <w:szCs w:val="27"/>
            <w:u w:val="single"/>
          </w:rPr>
          <w:t>Lifestyle and Behavioral Factors</w:t>
        </w:r>
        <w:r w:rsidR="00F53799" w:rsidRPr="00FB171D">
          <w:rPr>
            <w:rFonts w:ascii="Georgia" w:eastAsia="Times New Roman" w:hAnsi="Georgia" w:cs="Arial"/>
            <w:color w:val="0000FF"/>
            <w:sz w:val="27"/>
            <w:szCs w:val="27"/>
            <w:u w:val="single"/>
          </w:rPr>
          <w:t>: Different lifestyle and behavioral factors such as diet, sleep, exercise, smoking, and drinking alcohol can also affect the composition and location of the chemical groups that bind to our DNA</w:t>
        </w:r>
      </w:hyperlink>
      <w:hyperlink r:id="rId95" w:tgtFrame="_blank" w:history="1">
        <w:r w:rsidR="00F53799" w:rsidRPr="00FB171D">
          <w:rPr>
            <w:rFonts w:ascii="Georgia" w:eastAsia="Times New Roman" w:hAnsi="Georgia" w:cs="Arial"/>
            <w:color w:val="0000FF"/>
            <w:sz w:val="27"/>
            <w:szCs w:val="27"/>
            <w:u w:val="single"/>
            <w:vertAlign w:val="superscript"/>
          </w:rPr>
          <w:t>1</w:t>
        </w:r>
      </w:hyperlink>
      <w:r w:rsidR="00F53799" w:rsidRPr="00FB171D">
        <w:rPr>
          <w:rFonts w:ascii="Georgia" w:eastAsia="Times New Roman" w:hAnsi="Georgia" w:cs="Arial"/>
          <w:color w:val="000000"/>
          <w:sz w:val="27"/>
          <w:szCs w:val="27"/>
        </w:rPr>
        <w:t xml:space="preserve">. </w:t>
      </w:r>
      <w:hyperlink r:id="rId96" w:history="1">
        <w:r w:rsidR="00F53799" w:rsidRPr="00FB171D">
          <w:rPr>
            <w:rFonts w:ascii="Georgia" w:eastAsia="Times New Roman" w:hAnsi="Georgia" w:cs="Arial"/>
            <w:color w:val="0000FF"/>
            <w:sz w:val="27"/>
            <w:szCs w:val="27"/>
            <w:u w:val="single"/>
          </w:rPr>
          <w:t>Environmental factors such as stress and trauma or even neighborhoods or zip codes may also have an impact</w:t>
        </w:r>
      </w:hyperlink>
      <w:hyperlink r:id="rId97" w:tgtFrame="_blank" w:history="1">
        <w:r w:rsidR="00F53799" w:rsidRPr="00FB171D">
          <w:rPr>
            <w:rFonts w:ascii="Georgia" w:eastAsia="Times New Roman" w:hAnsi="Georgia" w:cs="Arial"/>
            <w:color w:val="0000FF"/>
            <w:sz w:val="27"/>
            <w:szCs w:val="27"/>
            <w:u w:val="single"/>
            <w:vertAlign w:val="superscript"/>
          </w:rPr>
          <w:t>1</w:t>
        </w:r>
      </w:hyperlink>
      <w:r w:rsidR="00F53799" w:rsidRPr="00FB171D">
        <w:rPr>
          <w:rFonts w:ascii="Georgia" w:eastAsia="Times New Roman" w:hAnsi="Georgia" w:cs="Arial"/>
          <w:color w:val="000000"/>
          <w:sz w:val="27"/>
          <w:szCs w:val="27"/>
        </w:rPr>
        <w:t>.</w:t>
      </w:r>
    </w:p>
    <w:p w14:paraId="19E7D282" w14:textId="77777777" w:rsidR="00F53799" w:rsidRPr="00FB171D" w:rsidRDefault="00F53799" w:rsidP="00F53799">
      <w:pPr>
        <w:spacing w:before="100" w:beforeAutospacing="1" w:after="100" w:afterAutospacing="1" w:line="240" w:lineRule="auto"/>
        <w:rPr>
          <w:rFonts w:ascii="Georgia" w:eastAsia="Times New Roman" w:hAnsi="Georgia" w:cs="Arial"/>
          <w:color w:val="000000"/>
          <w:sz w:val="27"/>
          <w:szCs w:val="27"/>
        </w:rPr>
      </w:pPr>
      <w:r w:rsidRPr="00FB171D">
        <w:rPr>
          <w:rFonts w:ascii="Georgia" w:eastAsia="Times New Roman" w:hAnsi="Georgia" w:cs="Arial"/>
          <w:color w:val="000000"/>
          <w:sz w:val="27"/>
          <w:szCs w:val="27"/>
        </w:rPr>
        <w:t>Please note that while these findings are significant, more research is needed to fully understand the complex interplay of epigenetics and brain aging. If you have concerns about your cognitive health, it’s best to consult with a healthcare professional.</w:t>
      </w:r>
    </w:p>
    <w:p w14:paraId="6D83849D" w14:textId="77777777" w:rsidR="00F53799" w:rsidRPr="00FB171D" w:rsidRDefault="00F53799" w:rsidP="00F53799">
      <w:pPr>
        <w:spacing w:after="0"/>
        <w:rPr>
          <w:rFonts w:ascii="Georgia" w:eastAsia="Segoe UI" w:hAnsi="Georgia" w:cs="Arial"/>
          <w:color w:val="FF0000"/>
          <w:sz w:val="28"/>
          <w:szCs w:val="28"/>
        </w:rPr>
      </w:pPr>
    </w:p>
    <w:p w14:paraId="69836E7F" w14:textId="77777777" w:rsidR="00F53799" w:rsidRPr="00FB171D" w:rsidRDefault="00F53799" w:rsidP="00F53799">
      <w:pPr>
        <w:spacing w:after="0"/>
        <w:rPr>
          <w:rFonts w:ascii="Georgia" w:eastAsia="Segoe UI" w:hAnsi="Georgia" w:cs="Arial"/>
          <w:b/>
          <w:bCs/>
          <w:color w:val="FF0000"/>
          <w:sz w:val="32"/>
          <w:szCs w:val="32"/>
        </w:rPr>
      </w:pPr>
      <w:r w:rsidRPr="00FB171D">
        <w:rPr>
          <w:rFonts w:ascii="Georgia" w:eastAsia="Segoe UI" w:hAnsi="Georgia" w:cs="Arial"/>
          <w:b/>
          <w:bCs/>
          <w:color w:val="FF0000"/>
          <w:sz w:val="32"/>
          <w:szCs w:val="32"/>
        </w:rPr>
        <w:t>What can alter this clock:</w:t>
      </w:r>
    </w:p>
    <w:p w14:paraId="42CCD92E" w14:textId="77777777" w:rsidR="00F53799" w:rsidRPr="00FB171D" w:rsidRDefault="00F53799" w:rsidP="00F53799">
      <w:pPr>
        <w:spacing w:after="0"/>
        <w:rPr>
          <w:rFonts w:ascii="Georgia" w:eastAsia="Segoe UI" w:hAnsi="Georgia" w:cs="Arial"/>
          <w:color w:val="FF0000"/>
          <w:sz w:val="28"/>
          <w:szCs w:val="28"/>
        </w:rPr>
      </w:pPr>
    </w:p>
    <w:p w14:paraId="47B48371" w14:textId="77777777" w:rsidR="00F53799" w:rsidRPr="00FB171D" w:rsidRDefault="00F53799" w:rsidP="00F53799">
      <w:pPr>
        <w:spacing w:after="0"/>
        <w:rPr>
          <w:rFonts w:ascii="Georgia" w:eastAsia="Segoe UI" w:hAnsi="Georgia" w:cs="Arial"/>
          <w:b/>
          <w:bCs/>
          <w:color w:val="FF0000"/>
          <w:sz w:val="32"/>
          <w:szCs w:val="32"/>
        </w:rPr>
      </w:pPr>
      <w:r w:rsidRPr="00FB171D">
        <w:rPr>
          <w:rFonts w:ascii="Georgia" w:eastAsia="Segoe UI" w:hAnsi="Georgia" w:cs="Arial"/>
          <w:b/>
          <w:bCs/>
          <w:color w:val="FF0000"/>
          <w:sz w:val="32"/>
          <w:szCs w:val="32"/>
        </w:rPr>
        <w:t>How do we treat it and/or compensate for it?</w:t>
      </w:r>
    </w:p>
    <w:p w14:paraId="06221AE0" w14:textId="77777777" w:rsidR="00C0651C" w:rsidRPr="00FB171D" w:rsidRDefault="00C0651C" w:rsidP="00C0651C">
      <w:pPr>
        <w:rPr>
          <w:rFonts w:ascii="Georgia" w:hAnsi="Georgia" w:cs="Arial"/>
        </w:rPr>
      </w:pPr>
    </w:p>
    <w:p w14:paraId="503D0BF9" w14:textId="294F57D7" w:rsidR="00C0651C" w:rsidRPr="00FB171D" w:rsidRDefault="00C0651C" w:rsidP="00C0651C">
      <w:pPr>
        <w:pStyle w:val="Heading1"/>
        <w:rPr>
          <w:rFonts w:ascii="Georgia" w:hAnsi="Georgia" w:cs="Arial"/>
        </w:rPr>
      </w:pPr>
      <w:bookmarkStart w:id="103" w:name="_Toc209691137"/>
      <w:r w:rsidRPr="00FB171D">
        <w:rPr>
          <w:rFonts w:ascii="Georgia" w:hAnsi="Georgia" w:cs="Arial"/>
        </w:rPr>
        <w:t>Supportive Therapies</w:t>
      </w:r>
      <w:bookmarkEnd w:id="103"/>
    </w:p>
    <w:p w14:paraId="6C481A15" w14:textId="77777777" w:rsidR="00C0651C" w:rsidRPr="00FB171D" w:rsidRDefault="00C0651C" w:rsidP="00C0651C">
      <w:pPr>
        <w:rPr>
          <w:rFonts w:ascii="Georgia" w:hAnsi="Georgia" w:cs="Arial"/>
        </w:rPr>
      </w:pPr>
      <w:r w:rsidRPr="00FB171D">
        <w:rPr>
          <w:rFonts w:ascii="Georgia" w:hAnsi="Georgia" w:cs="Arial"/>
        </w:rPr>
        <w:t>Occupational therapy, speech therapy, and physical therapy can also be useful in helping individuals adapt to changes in cognitive function. These therapies can provide strategies to cope with daily challenges and maintain independence.</w:t>
      </w:r>
    </w:p>
    <w:p w14:paraId="0486ED41" w14:textId="4B573990" w:rsidR="00F00E83" w:rsidRPr="00FB171D" w:rsidRDefault="00C0651C" w:rsidP="00C0651C">
      <w:pPr>
        <w:rPr>
          <w:rFonts w:ascii="Georgia" w:hAnsi="Georgia" w:cs="Arial"/>
        </w:rPr>
      </w:pPr>
      <w:r w:rsidRPr="00FB171D">
        <w:rPr>
          <w:rFonts w:ascii="Georgia" w:hAnsi="Georgia" w:cs="Arial"/>
        </w:rPr>
        <w:t>By combining these strategies and seeking personalized advice from healthcare professionals, individuals can effectively manage cognitive decline and promote brain health.</w:t>
      </w:r>
    </w:p>
    <w:p w14:paraId="3F48A122" w14:textId="58D48AE3" w:rsidR="00C0651C" w:rsidRPr="00FB171D" w:rsidRDefault="00C0651C" w:rsidP="00C0651C">
      <w:pPr>
        <w:rPr>
          <w:rFonts w:ascii="Georgia" w:hAnsi="Georgia" w:cs="Arial"/>
        </w:rPr>
      </w:pPr>
    </w:p>
    <w:p w14:paraId="062C7636" w14:textId="77777777" w:rsidR="00C0651C" w:rsidRPr="00FB171D" w:rsidRDefault="00C0651C" w:rsidP="00C0651C">
      <w:pPr>
        <w:rPr>
          <w:rFonts w:ascii="Georgia" w:hAnsi="Georgia" w:cs="Arial"/>
        </w:rPr>
      </w:pPr>
    </w:p>
    <w:p w14:paraId="3EE2B9B1" w14:textId="61C5593D" w:rsidR="00C0651C" w:rsidRPr="00FB171D" w:rsidRDefault="00C0651C" w:rsidP="00F53799">
      <w:pPr>
        <w:spacing w:after="0"/>
        <w:rPr>
          <w:rFonts w:ascii="Georgia" w:eastAsia="Segoe UI" w:hAnsi="Georgia" w:cs="Arial"/>
          <w:b/>
          <w:bCs/>
          <w:color w:val="FF0000"/>
          <w:sz w:val="32"/>
          <w:szCs w:val="32"/>
        </w:rPr>
      </w:pPr>
      <w:r w:rsidRPr="00FB171D">
        <w:rPr>
          <w:rFonts w:ascii="Georgia" w:eastAsia="Segoe UI" w:hAnsi="Georgia" w:cs="Arial"/>
          <w:b/>
          <w:bCs/>
          <w:color w:val="FF0000"/>
          <w:sz w:val="32"/>
          <w:szCs w:val="32"/>
        </w:rPr>
        <w:t>Stop or reverse it?</w:t>
      </w:r>
    </w:p>
    <w:p w14:paraId="66D9C449" w14:textId="77777777" w:rsidR="006F366F" w:rsidRPr="00FB171D" w:rsidRDefault="006F366F" w:rsidP="006F366F">
      <w:pPr>
        <w:rPr>
          <w:rFonts w:ascii="Georgia" w:hAnsi="Georgia" w:cs="Arial"/>
        </w:rPr>
      </w:pPr>
      <w:r w:rsidRPr="00FB171D">
        <w:rPr>
          <w:rFonts w:ascii="Georgia" w:hAnsi="Georgia" w:cs="Arial"/>
        </w:rPr>
        <w:t>Research into treatments that can stop or reverse age-related cognitive decline is ongoing, but currently, no definitive cure exists. However, several interventions show promise in slowing the progression of symptoms. Lifestyle changes, such as a healthy diet, regular exercise, and cognitive training, have been shown to improve brain function and delay the onset of dementia-related symptoms.</w:t>
      </w:r>
    </w:p>
    <w:p w14:paraId="732355B2" w14:textId="1AFA87A8" w:rsidR="00F53799" w:rsidRPr="00FB171D" w:rsidRDefault="00F53799" w:rsidP="00F53799">
      <w:pPr>
        <w:spacing w:after="0"/>
        <w:rPr>
          <w:rFonts w:ascii="Georgia" w:eastAsia="Segoe UI" w:hAnsi="Georgia" w:cs="Arial"/>
          <w:b/>
          <w:bCs/>
          <w:color w:val="FF0000"/>
          <w:sz w:val="32"/>
          <w:szCs w:val="32"/>
        </w:rPr>
      </w:pPr>
      <w:r w:rsidRPr="00FB171D">
        <w:rPr>
          <w:rFonts w:ascii="Georgia" w:eastAsia="Segoe UI" w:hAnsi="Georgia" w:cs="Arial"/>
          <w:b/>
          <w:bCs/>
          <w:color w:val="FF0000"/>
          <w:sz w:val="32"/>
          <w:szCs w:val="32"/>
        </w:rPr>
        <w:t>How effective are current treatments?</w:t>
      </w:r>
    </w:p>
    <w:p w14:paraId="2D9B9117" w14:textId="77777777" w:rsidR="00F53799" w:rsidRPr="00FB171D" w:rsidRDefault="00F53799" w:rsidP="00F53799">
      <w:pPr>
        <w:spacing w:after="0"/>
        <w:rPr>
          <w:rFonts w:ascii="Georgia" w:eastAsia="Segoe UI" w:hAnsi="Georgia" w:cs="Arial"/>
          <w:color w:val="FF0000"/>
          <w:sz w:val="28"/>
          <w:szCs w:val="28"/>
        </w:rPr>
      </w:pPr>
      <w:r w:rsidRPr="00FB171D">
        <w:rPr>
          <w:rFonts w:ascii="Georgia" w:eastAsia="Segoe UI" w:hAnsi="Georgia" w:cs="Arial"/>
          <w:color w:val="FF0000"/>
        </w:rPr>
        <w:tab/>
      </w:r>
      <w:r w:rsidRPr="00FB171D">
        <w:rPr>
          <w:rFonts w:ascii="Georgia" w:eastAsia="Segoe UI" w:hAnsi="Georgia" w:cs="Arial"/>
          <w:color w:val="FF0000"/>
          <w:sz w:val="28"/>
          <w:szCs w:val="28"/>
        </w:rPr>
        <w:t>Medication</w:t>
      </w:r>
    </w:p>
    <w:p w14:paraId="4419E9E9" w14:textId="77777777" w:rsidR="00F53799" w:rsidRPr="00FB171D" w:rsidRDefault="00000000" w:rsidP="00F53799">
      <w:pPr>
        <w:spacing w:before="100" w:beforeAutospacing="1" w:after="100" w:afterAutospacing="1" w:line="240" w:lineRule="auto"/>
        <w:rPr>
          <w:rFonts w:ascii="Georgia" w:eastAsia="Times New Roman" w:hAnsi="Georgia" w:cs="Arial"/>
          <w:color w:val="000000"/>
          <w:sz w:val="27"/>
          <w:szCs w:val="27"/>
        </w:rPr>
      </w:pPr>
      <w:hyperlink r:id="rId98" w:history="1">
        <w:r w:rsidR="00F53799" w:rsidRPr="00FB171D">
          <w:rPr>
            <w:rFonts w:ascii="Georgia" w:eastAsia="Times New Roman" w:hAnsi="Georgia" w:cs="Arial"/>
            <w:color w:val="0000FF"/>
            <w:sz w:val="27"/>
            <w:szCs w:val="27"/>
            <w:u w:val="single"/>
          </w:rPr>
          <w:t>There are several medications available to help manage the symptoms of dementia</w:t>
        </w:r>
      </w:hyperlink>
      <w:hyperlink r:id="rId99" w:tgtFrame="_blank" w:history="1">
        <w:r w:rsidR="00F53799" w:rsidRPr="00FB171D">
          <w:rPr>
            <w:rFonts w:ascii="Georgia" w:eastAsia="Times New Roman" w:hAnsi="Georgia" w:cs="Arial"/>
            <w:color w:val="0000FF"/>
            <w:sz w:val="27"/>
            <w:szCs w:val="27"/>
            <w:u w:val="single"/>
            <w:vertAlign w:val="superscript"/>
          </w:rPr>
          <w:t>1</w:t>
        </w:r>
      </w:hyperlink>
      <w:hyperlink r:id="rId100" w:tgtFrame="_blank" w:history="1">
        <w:r w:rsidR="00F53799" w:rsidRPr="00FB171D">
          <w:rPr>
            <w:rFonts w:ascii="Georgia" w:eastAsia="Times New Roman" w:hAnsi="Georgia" w:cs="Arial"/>
            <w:color w:val="0000FF"/>
            <w:sz w:val="27"/>
            <w:szCs w:val="27"/>
            <w:u w:val="single"/>
            <w:vertAlign w:val="superscript"/>
          </w:rPr>
          <w:t>2</w:t>
        </w:r>
      </w:hyperlink>
      <w:hyperlink r:id="rId101" w:tgtFrame="_blank" w:history="1">
        <w:r w:rsidR="00F53799" w:rsidRPr="00FB171D">
          <w:rPr>
            <w:rFonts w:ascii="Georgia" w:eastAsia="Times New Roman" w:hAnsi="Georgia" w:cs="Arial"/>
            <w:color w:val="0000FF"/>
            <w:sz w:val="27"/>
            <w:szCs w:val="27"/>
            <w:u w:val="single"/>
            <w:vertAlign w:val="superscript"/>
          </w:rPr>
          <w:t>3</w:t>
        </w:r>
      </w:hyperlink>
      <w:r w:rsidR="00F53799" w:rsidRPr="00FB171D">
        <w:rPr>
          <w:rFonts w:ascii="Georgia" w:eastAsia="Times New Roman" w:hAnsi="Georgia" w:cs="Arial"/>
          <w:color w:val="000000"/>
          <w:sz w:val="27"/>
          <w:szCs w:val="27"/>
        </w:rPr>
        <w:t>. Here are some of them:</w:t>
      </w:r>
    </w:p>
    <w:p w14:paraId="312F5F38" w14:textId="77777777" w:rsidR="00F53799" w:rsidRPr="00FB171D" w:rsidRDefault="00000000" w:rsidP="00734CAC">
      <w:pPr>
        <w:numPr>
          <w:ilvl w:val="0"/>
          <w:numId w:val="5"/>
        </w:numPr>
        <w:spacing w:before="100" w:beforeAutospacing="1" w:after="100" w:afterAutospacing="1" w:line="240" w:lineRule="auto"/>
        <w:rPr>
          <w:rFonts w:ascii="Georgia" w:eastAsia="Times New Roman" w:hAnsi="Georgia" w:cs="Arial"/>
          <w:color w:val="000000"/>
          <w:sz w:val="27"/>
          <w:szCs w:val="27"/>
        </w:rPr>
      </w:pPr>
      <w:hyperlink r:id="rId102" w:history="1">
        <w:r w:rsidR="00F53799" w:rsidRPr="00FB171D">
          <w:rPr>
            <w:rFonts w:ascii="Georgia" w:eastAsia="Times New Roman" w:hAnsi="Georgia" w:cs="Arial"/>
            <w:b/>
            <w:bCs/>
            <w:color w:val="0000FF"/>
            <w:sz w:val="27"/>
            <w:szCs w:val="27"/>
            <w:u w:val="single"/>
          </w:rPr>
          <w:t>Acetylcholinesterase inhibitors</w:t>
        </w:r>
        <w:r w:rsidR="00F53799" w:rsidRPr="00FB171D">
          <w:rPr>
            <w:rFonts w:ascii="Georgia" w:eastAsia="Times New Roman" w:hAnsi="Georgia" w:cs="Arial"/>
            <w:color w:val="0000FF"/>
            <w:sz w:val="27"/>
            <w:szCs w:val="27"/>
            <w:u w:val="single"/>
          </w:rPr>
          <w:t>: These medicines prevent an enzyme from breaking down a substance called acetylcholine in the brain, which helps nerve cells communicate with each other</w:t>
        </w:r>
      </w:hyperlink>
      <w:hyperlink r:id="rId103" w:tgtFrame="_blank" w:history="1">
        <w:r w:rsidR="00F53799" w:rsidRPr="00FB171D">
          <w:rPr>
            <w:rFonts w:ascii="Georgia" w:eastAsia="Times New Roman" w:hAnsi="Georgia" w:cs="Arial"/>
            <w:color w:val="0000FF"/>
            <w:sz w:val="27"/>
            <w:szCs w:val="27"/>
            <w:u w:val="single"/>
            <w:vertAlign w:val="superscript"/>
          </w:rPr>
          <w:t>1</w:t>
        </w:r>
      </w:hyperlink>
      <w:r w:rsidR="00F53799" w:rsidRPr="00FB171D">
        <w:rPr>
          <w:rFonts w:ascii="Georgia" w:eastAsia="Times New Roman" w:hAnsi="Georgia" w:cs="Arial"/>
          <w:color w:val="000000"/>
          <w:sz w:val="27"/>
          <w:szCs w:val="27"/>
        </w:rPr>
        <w:t xml:space="preserve">. </w:t>
      </w:r>
      <w:hyperlink r:id="rId104" w:history="1">
        <w:r w:rsidR="00F53799" w:rsidRPr="00FB171D">
          <w:rPr>
            <w:rFonts w:ascii="Georgia" w:eastAsia="Times New Roman" w:hAnsi="Georgia" w:cs="Arial"/>
            <w:color w:val="0000FF"/>
            <w:sz w:val="27"/>
            <w:szCs w:val="27"/>
            <w:u w:val="single"/>
          </w:rPr>
          <w:t>Donepezil (also known as Aricept), rivastigmine (Exelon), and galantamine (Reminyl) are used to treat the symptoms of mild to moderate Alzheimer’s disease</w:t>
        </w:r>
      </w:hyperlink>
      <w:hyperlink r:id="rId105" w:tgtFrame="_blank" w:history="1">
        <w:r w:rsidR="00F53799" w:rsidRPr="00FB171D">
          <w:rPr>
            <w:rFonts w:ascii="Georgia" w:eastAsia="Times New Roman" w:hAnsi="Georgia" w:cs="Arial"/>
            <w:color w:val="0000FF"/>
            <w:sz w:val="27"/>
            <w:szCs w:val="27"/>
            <w:u w:val="single"/>
            <w:vertAlign w:val="superscript"/>
          </w:rPr>
          <w:t>1</w:t>
        </w:r>
      </w:hyperlink>
      <w:r w:rsidR="00F53799" w:rsidRPr="00FB171D">
        <w:rPr>
          <w:rFonts w:ascii="Georgia" w:eastAsia="Times New Roman" w:hAnsi="Georgia" w:cs="Arial"/>
          <w:color w:val="000000"/>
          <w:sz w:val="27"/>
          <w:szCs w:val="27"/>
        </w:rPr>
        <w:t xml:space="preserve">. </w:t>
      </w:r>
      <w:hyperlink r:id="rId106" w:history="1">
        <w:r w:rsidR="00F53799" w:rsidRPr="00FB171D">
          <w:rPr>
            <w:rFonts w:ascii="Georgia" w:eastAsia="Times New Roman" w:hAnsi="Georgia" w:cs="Arial"/>
            <w:color w:val="0000FF"/>
            <w:sz w:val="27"/>
            <w:szCs w:val="27"/>
            <w:u w:val="single"/>
          </w:rPr>
          <w:t>Donepezil is also used to treat more severe Alzheimer’s disease</w:t>
        </w:r>
      </w:hyperlink>
      <w:hyperlink r:id="rId107" w:tgtFrame="_blank" w:history="1">
        <w:r w:rsidR="00F53799" w:rsidRPr="00FB171D">
          <w:rPr>
            <w:rFonts w:ascii="Georgia" w:eastAsia="Times New Roman" w:hAnsi="Georgia" w:cs="Arial"/>
            <w:color w:val="0000FF"/>
            <w:sz w:val="27"/>
            <w:szCs w:val="27"/>
            <w:u w:val="single"/>
            <w:vertAlign w:val="superscript"/>
          </w:rPr>
          <w:t>1</w:t>
        </w:r>
      </w:hyperlink>
      <w:r w:rsidR="00F53799" w:rsidRPr="00FB171D">
        <w:rPr>
          <w:rFonts w:ascii="Georgia" w:eastAsia="Times New Roman" w:hAnsi="Georgia" w:cs="Arial"/>
          <w:color w:val="000000"/>
          <w:sz w:val="27"/>
          <w:szCs w:val="27"/>
        </w:rPr>
        <w:t>.</w:t>
      </w:r>
    </w:p>
    <w:p w14:paraId="0164BD71" w14:textId="77777777" w:rsidR="00F53799" w:rsidRPr="00FB171D" w:rsidRDefault="00000000" w:rsidP="00734CAC">
      <w:pPr>
        <w:numPr>
          <w:ilvl w:val="0"/>
          <w:numId w:val="5"/>
        </w:numPr>
        <w:spacing w:before="100" w:beforeAutospacing="1" w:after="100" w:afterAutospacing="1" w:line="240" w:lineRule="auto"/>
        <w:rPr>
          <w:rFonts w:ascii="Georgia" w:eastAsia="Times New Roman" w:hAnsi="Georgia" w:cs="Arial"/>
          <w:color w:val="000000"/>
          <w:sz w:val="27"/>
          <w:szCs w:val="27"/>
        </w:rPr>
      </w:pPr>
      <w:hyperlink r:id="rId108" w:history="1">
        <w:r w:rsidR="00F53799" w:rsidRPr="00FB171D">
          <w:rPr>
            <w:rFonts w:ascii="Georgia" w:eastAsia="Times New Roman" w:hAnsi="Georgia" w:cs="Arial"/>
            <w:b/>
            <w:bCs/>
            <w:color w:val="0000FF"/>
            <w:sz w:val="27"/>
            <w:szCs w:val="27"/>
            <w:u w:val="single"/>
          </w:rPr>
          <w:t>Memantine</w:t>
        </w:r>
        <w:r w:rsidR="00F53799" w:rsidRPr="00FB171D">
          <w:rPr>
            <w:rFonts w:ascii="Georgia" w:eastAsia="Times New Roman" w:hAnsi="Georgia" w:cs="Arial"/>
            <w:color w:val="0000FF"/>
            <w:sz w:val="27"/>
            <w:szCs w:val="27"/>
            <w:u w:val="single"/>
          </w:rPr>
          <w:t>: This medicine (also known as Ebixa, Marixino, or Valios) is given to people with moderate or severe Alzheimer’s disease, dementia with Lewy bodies, and those with a combination of Alzheimer’s disease and vascular dementia</w:t>
        </w:r>
      </w:hyperlink>
      <w:hyperlink r:id="rId109" w:tgtFrame="_blank" w:history="1">
        <w:r w:rsidR="00F53799" w:rsidRPr="00FB171D">
          <w:rPr>
            <w:rFonts w:ascii="Georgia" w:eastAsia="Times New Roman" w:hAnsi="Georgia" w:cs="Arial"/>
            <w:color w:val="0000FF"/>
            <w:sz w:val="27"/>
            <w:szCs w:val="27"/>
            <w:u w:val="single"/>
            <w:vertAlign w:val="superscript"/>
          </w:rPr>
          <w:t>1</w:t>
        </w:r>
      </w:hyperlink>
      <w:r w:rsidR="00F53799" w:rsidRPr="00FB171D">
        <w:rPr>
          <w:rFonts w:ascii="Georgia" w:eastAsia="Times New Roman" w:hAnsi="Georgia" w:cs="Arial"/>
          <w:color w:val="000000"/>
          <w:sz w:val="27"/>
          <w:szCs w:val="27"/>
        </w:rPr>
        <w:t xml:space="preserve">. </w:t>
      </w:r>
      <w:hyperlink r:id="rId110" w:history="1">
        <w:r w:rsidR="00F53799" w:rsidRPr="00FB171D">
          <w:rPr>
            <w:rFonts w:ascii="Georgia" w:eastAsia="Times New Roman" w:hAnsi="Georgia" w:cs="Arial"/>
            <w:color w:val="0000FF"/>
            <w:sz w:val="27"/>
            <w:szCs w:val="27"/>
            <w:u w:val="single"/>
          </w:rPr>
          <w:t>Memantine works by blocking the effects of an excessive amount of a chemical in the brain called glutamate</w:t>
        </w:r>
      </w:hyperlink>
      <w:hyperlink r:id="rId111" w:tgtFrame="_blank" w:history="1">
        <w:r w:rsidR="00F53799" w:rsidRPr="00FB171D">
          <w:rPr>
            <w:rFonts w:ascii="Georgia" w:eastAsia="Times New Roman" w:hAnsi="Georgia" w:cs="Arial"/>
            <w:color w:val="0000FF"/>
            <w:sz w:val="27"/>
            <w:szCs w:val="27"/>
            <w:u w:val="single"/>
            <w:vertAlign w:val="superscript"/>
          </w:rPr>
          <w:t>1</w:t>
        </w:r>
      </w:hyperlink>
      <w:r w:rsidR="00F53799" w:rsidRPr="00FB171D">
        <w:rPr>
          <w:rFonts w:ascii="Georgia" w:eastAsia="Times New Roman" w:hAnsi="Georgia" w:cs="Arial"/>
          <w:color w:val="000000"/>
          <w:sz w:val="27"/>
          <w:szCs w:val="27"/>
        </w:rPr>
        <w:t>.</w:t>
      </w:r>
    </w:p>
    <w:p w14:paraId="10C44037" w14:textId="77777777" w:rsidR="00F53799" w:rsidRPr="00FB171D" w:rsidRDefault="00000000" w:rsidP="00734CAC">
      <w:pPr>
        <w:numPr>
          <w:ilvl w:val="0"/>
          <w:numId w:val="5"/>
        </w:numPr>
        <w:spacing w:before="100" w:beforeAutospacing="1" w:after="100" w:afterAutospacing="1" w:line="240" w:lineRule="auto"/>
        <w:rPr>
          <w:rFonts w:ascii="Georgia" w:eastAsia="Times New Roman" w:hAnsi="Georgia" w:cs="Arial"/>
          <w:color w:val="000000"/>
          <w:sz w:val="27"/>
          <w:szCs w:val="27"/>
        </w:rPr>
      </w:pPr>
      <w:hyperlink r:id="rId112" w:history="1">
        <w:r w:rsidR="00F53799" w:rsidRPr="00FB171D">
          <w:rPr>
            <w:rFonts w:ascii="Georgia" w:eastAsia="Times New Roman" w:hAnsi="Georgia" w:cs="Arial"/>
            <w:b/>
            <w:bCs/>
            <w:color w:val="0000FF"/>
            <w:sz w:val="27"/>
            <w:szCs w:val="27"/>
            <w:u w:val="single"/>
          </w:rPr>
          <w:t>Antipsychotic Medicines</w:t>
        </w:r>
        <w:r w:rsidR="00F53799" w:rsidRPr="00FB171D">
          <w:rPr>
            <w:rFonts w:ascii="Georgia" w:eastAsia="Times New Roman" w:hAnsi="Georgia" w:cs="Arial"/>
            <w:color w:val="0000FF"/>
            <w:sz w:val="27"/>
            <w:szCs w:val="27"/>
            <w:u w:val="single"/>
          </w:rPr>
          <w:t>: Antipsychotic medicines such as risperidone or haloperidol may be prescribed for those showing persistent aggression or extreme distress</w:t>
        </w:r>
      </w:hyperlink>
      <w:hyperlink r:id="rId113" w:tgtFrame="_blank" w:history="1">
        <w:r w:rsidR="00F53799" w:rsidRPr="00FB171D">
          <w:rPr>
            <w:rFonts w:ascii="Georgia" w:eastAsia="Times New Roman" w:hAnsi="Georgia" w:cs="Arial"/>
            <w:color w:val="0000FF"/>
            <w:sz w:val="27"/>
            <w:szCs w:val="27"/>
            <w:u w:val="single"/>
            <w:vertAlign w:val="superscript"/>
          </w:rPr>
          <w:t>1</w:t>
        </w:r>
      </w:hyperlink>
      <w:r w:rsidR="00F53799" w:rsidRPr="00FB171D">
        <w:rPr>
          <w:rFonts w:ascii="Georgia" w:eastAsia="Times New Roman" w:hAnsi="Georgia" w:cs="Arial"/>
          <w:color w:val="000000"/>
          <w:sz w:val="27"/>
          <w:szCs w:val="27"/>
        </w:rPr>
        <w:t>.</w:t>
      </w:r>
    </w:p>
    <w:p w14:paraId="53E03F3E" w14:textId="77777777" w:rsidR="00F53799" w:rsidRPr="00FB171D" w:rsidRDefault="00000000" w:rsidP="00F53799">
      <w:pPr>
        <w:spacing w:before="100" w:beforeAutospacing="1" w:after="100" w:afterAutospacing="1" w:line="240" w:lineRule="auto"/>
        <w:rPr>
          <w:rFonts w:ascii="Georgia" w:eastAsia="Times New Roman" w:hAnsi="Georgia" w:cs="Arial"/>
          <w:color w:val="000000"/>
          <w:sz w:val="27"/>
          <w:szCs w:val="27"/>
        </w:rPr>
      </w:pPr>
      <w:hyperlink r:id="rId114" w:history="1">
        <w:r w:rsidR="00F53799" w:rsidRPr="00FB171D">
          <w:rPr>
            <w:rFonts w:ascii="Georgia" w:eastAsia="Times New Roman" w:hAnsi="Georgia" w:cs="Arial"/>
            <w:color w:val="0000FF"/>
            <w:sz w:val="27"/>
            <w:szCs w:val="27"/>
            <w:u w:val="single"/>
          </w:rPr>
          <w:t>Please note that while these medications can help manage symptoms, they do not cure dementia</w:t>
        </w:r>
      </w:hyperlink>
      <w:hyperlink r:id="rId115" w:tgtFrame="_blank" w:history="1">
        <w:r w:rsidR="00F53799" w:rsidRPr="00FB171D">
          <w:rPr>
            <w:rFonts w:ascii="Georgia" w:eastAsia="Times New Roman" w:hAnsi="Georgia" w:cs="Arial"/>
            <w:color w:val="0000FF"/>
            <w:sz w:val="27"/>
            <w:szCs w:val="27"/>
            <w:u w:val="single"/>
            <w:vertAlign w:val="superscript"/>
          </w:rPr>
          <w:t>1</w:t>
        </w:r>
      </w:hyperlink>
      <w:hyperlink r:id="rId116" w:tgtFrame="_blank" w:history="1">
        <w:r w:rsidR="00F53799" w:rsidRPr="00FB171D">
          <w:rPr>
            <w:rFonts w:ascii="Georgia" w:eastAsia="Times New Roman" w:hAnsi="Georgia" w:cs="Arial"/>
            <w:color w:val="0000FF"/>
            <w:sz w:val="27"/>
            <w:szCs w:val="27"/>
            <w:u w:val="single"/>
            <w:vertAlign w:val="superscript"/>
          </w:rPr>
          <w:t>2</w:t>
        </w:r>
      </w:hyperlink>
      <w:hyperlink r:id="rId117" w:tgtFrame="_blank" w:history="1">
        <w:r w:rsidR="00F53799" w:rsidRPr="00FB171D">
          <w:rPr>
            <w:rFonts w:ascii="Georgia" w:eastAsia="Times New Roman" w:hAnsi="Georgia" w:cs="Arial"/>
            <w:color w:val="0000FF"/>
            <w:sz w:val="27"/>
            <w:szCs w:val="27"/>
            <w:u w:val="single"/>
            <w:vertAlign w:val="superscript"/>
          </w:rPr>
          <w:t>3</w:t>
        </w:r>
      </w:hyperlink>
      <w:r w:rsidR="00F53799" w:rsidRPr="00FB171D">
        <w:rPr>
          <w:rFonts w:ascii="Georgia" w:eastAsia="Times New Roman" w:hAnsi="Georgia" w:cs="Arial"/>
          <w:color w:val="000000"/>
          <w:sz w:val="27"/>
          <w:szCs w:val="27"/>
        </w:rPr>
        <w:t>. It’s important to consult with a healthcare professional for advice tailored to the individual’s specific circumstances.</w:t>
      </w:r>
    </w:p>
    <w:p w14:paraId="5CE71AE1" w14:textId="77777777" w:rsidR="00F53799" w:rsidRPr="00FB171D" w:rsidRDefault="00F53799" w:rsidP="00F53799">
      <w:pPr>
        <w:spacing w:after="0"/>
        <w:rPr>
          <w:rFonts w:ascii="Georgia" w:eastAsia="Segoe UI" w:hAnsi="Georgia" w:cs="Arial"/>
          <w:color w:val="FF0000"/>
          <w:sz w:val="28"/>
          <w:szCs w:val="28"/>
        </w:rPr>
      </w:pPr>
    </w:p>
    <w:p w14:paraId="28FF1ABB" w14:textId="77777777" w:rsidR="00F53799" w:rsidRPr="00FB171D" w:rsidRDefault="00F53799" w:rsidP="00F53799">
      <w:pPr>
        <w:spacing w:after="0"/>
        <w:rPr>
          <w:rFonts w:ascii="Georgia" w:eastAsia="Segoe UI" w:hAnsi="Georgia" w:cs="Arial"/>
          <w:color w:val="FF0000"/>
          <w:sz w:val="28"/>
          <w:szCs w:val="28"/>
        </w:rPr>
      </w:pPr>
      <w:r w:rsidRPr="00FB171D">
        <w:rPr>
          <w:rFonts w:ascii="Georgia" w:eastAsia="Segoe UI" w:hAnsi="Georgia" w:cs="Arial"/>
          <w:color w:val="FF0000"/>
          <w:sz w:val="28"/>
          <w:szCs w:val="28"/>
        </w:rPr>
        <w:tab/>
        <w:t>Peptides</w:t>
      </w:r>
    </w:p>
    <w:p w14:paraId="5DB14E79" w14:textId="77777777" w:rsidR="00F53799" w:rsidRPr="00FB171D" w:rsidRDefault="00000000" w:rsidP="00F53799">
      <w:pPr>
        <w:spacing w:before="100" w:beforeAutospacing="1" w:after="100" w:afterAutospacing="1" w:line="240" w:lineRule="auto"/>
        <w:rPr>
          <w:rFonts w:ascii="Georgia" w:eastAsia="Times New Roman" w:hAnsi="Georgia" w:cs="Arial"/>
          <w:color w:val="000000"/>
          <w:sz w:val="27"/>
          <w:szCs w:val="27"/>
        </w:rPr>
      </w:pPr>
      <w:hyperlink r:id="rId118" w:history="1">
        <w:r w:rsidR="00F53799" w:rsidRPr="00FB171D">
          <w:rPr>
            <w:rFonts w:ascii="Georgia" w:eastAsia="Times New Roman" w:hAnsi="Georgia" w:cs="Arial"/>
            <w:color w:val="0000FF"/>
            <w:sz w:val="27"/>
            <w:szCs w:val="27"/>
            <w:u w:val="single"/>
          </w:rPr>
          <w:t>Peptide treatments are being explored for their potential to address cognitive decline, particularly in the context of neurodegenerative diseases like Alzheimer’s</w:t>
        </w:r>
      </w:hyperlink>
      <w:hyperlink r:id="rId119" w:tgtFrame="_blank" w:history="1">
        <w:r w:rsidR="00F53799" w:rsidRPr="00FB171D">
          <w:rPr>
            <w:rFonts w:ascii="Georgia" w:eastAsia="Times New Roman" w:hAnsi="Georgia" w:cs="Arial"/>
            <w:color w:val="0000FF"/>
            <w:sz w:val="27"/>
            <w:szCs w:val="27"/>
            <w:u w:val="single"/>
            <w:vertAlign w:val="superscript"/>
          </w:rPr>
          <w:t>1</w:t>
        </w:r>
      </w:hyperlink>
      <w:hyperlink r:id="rId120" w:tgtFrame="_blank" w:history="1">
        <w:r w:rsidR="00F53799" w:rsidRPr="00FB171D">
          <w:rPr>
            <w:rFonts w:ascii="Georgia" w:eastAsia="Times New Roman" w:hAnsi="Georgia" w:cs="Arial"/>
            <w:color w:val="0000FF"/>
            <w:sz w:val="27"/>
            <w:szCs w:val="27"/>
            <w:u w:val="single"/>
            <w:vertAlign w:val="superscript"/>
          </w:rPr>
          <w:t>2</w:t>
        </w:r>
      </w:hyperlink>
      <w:hyperlink r:id="rId121" w:tgtFrame="_blank" w:history="1">
        <w:r w:rsidR="00F53799" w:rsidRPr="00FB171D">
          <w:rPr>
            <w:rFonts w:ascii="Georgia" w:eastAsia="Times New Roman" w:hAnsi="Georgia" w:cs="Arial"/>
            <w:color w:val="0000FF"/>
            <w:sz w:val="27"/>
            <w:szCs w:val="27"/>
            <w:u w:val="single"/>
            <w:vertAlign w:val="superscript"/>
          </w:rPr>
          <w:t>3</w:t>
        </w:r>
      </w:hyperlink>
      <w:r w:rsidR="00F53799" w:rsidRPr="00FB171D">
        <w:rPr>
          <w:rFonts w:ascii="Georgia" w:eastAsia="Times New Roman" w:hAnsi="Georgia" w:cs="Arial"/>
          <w:color w:val="000000"/>
          <w:sz w:val="27"/>
          <w:szCs w:val="27"/>
        </w:rPr>
        <w:t>. Here are some key points:</w:t>
      </w:r>
    </w:p>
    <w:p w14:paraId="761C704A" w14:textId="77777777" w:rsidR="00F53799" w:rsidRPr="00FB171D" w:rsidRDefault="00000000" w:rsidP="00734CAC">
      <w:pPr>
        <w:numPr>
          <w:ilvl w:val="0"/>
          <w:numId w:val="7"/>
        </w:numPr>
        <w:spacing w:before="100" w:beforeAutospacing="1" w:after="100" w:afterAutospacing="1" w:line="240" w:lineRule="auto"/>
        <w:rPr>
          <w:rFonts w:ascii="Georgia" w:eastAsia="Times New Roman" w:hAnsi="Georgia" w:cs="Arial"/>
          <w:color w:val="000000"/>
          <w:sz w:val="27"/>
          <w:szCs w:val="27"/>
        </w:rPr>
      </w:pPr>
      <w:hyperlink r:id="rId122" w:history="1">
        <w:r w:rsidR="00F53799" w:rsidRPr="00FB171D">
          <w:rPr>
            <w:rFonts w:ascii="Georgia" w:eastAsia="Times New Roman" w:hAnsi="Georgia" w:cs="Arial"/>
            <w:b/>
            <w:bCs/>
            <w:color w:val="0000FF"/>
            <w:sz w:val="27"/>
            <w:szCs w:val="27"/>
            <w:u w:val="single"/>
          </w:rPr>
          <w:t>CDK5 Inhibitor Peptide</w:t>
        </w:r>
        <w:r w:rsidR="00F53799" w:rsidRPr="00FB171D">
          <w:rPr>
            <w:rFonts w:ascii="Georgia" w:eastAsia="Times New Roman" w:hAnsi="Georgia" w:cs="Arial"/>
            <w:color w:val="0000FF"/>
            <w:sz w:val="27"/>
            <w:szCs w:val="27"/>
            <w:u w:val="single"/>
          </w:rPr>
          <w:t>: MIT neuroscientists developed a peptide that blocks a hyperactive version of an enzyme called CDK5</w:t>
        </w:r>
      </w:hyperlink>
      <w:hyperlink r:id="rId123" w:tgtFrame="_blank" w:history="1">
        <w:r w:rsidR="00F53799" w:rsidRPr="00FB171D">
          <w:rPr>
            <w:rFonts w:ascii="Georgia" w:eastAsia="Times New Roman" w:hAnsi="Georgia" w:cs="Arial"/>
            <w:color w:val="0000FF"/>
            <w:sz w:val="27"/>
            <w:szCs w:val="27"/>
            <w:u w:val="single"/>
            <w:vertAlign w:val="superscript"/>
          </w:rPr>
          <w:t>1</w:t>
        </w:r>
      </w:hyperlink>
      <w:r w:rsidR="00F53799" w:rsidRPr="00FB171D">
        <w:rPr>
          <w:rFonts w:ascii="Georgia" w:eastAsia="Times New Roman" w:hAnsi="Georgia" w:cs="Arial"/>
          <w:color w:val="000000"/>
          <w:sz w:val="27"/>
          <w:szCs w:val="27"/>
        </w:rPr>
        <w:t xml:space="preserve">. </w:t>
      </w:r>
      <w:hyperlink r:id="rId124" w:history="1">
        <w:r w:rsidR="00F53799" w:rsidRPr="00FB171D">
          <w:rPr>
            <w:rFonts w:ascii="Georgia" w:eastAsia="Times New Roman" w:hAnsi="Georgia" w:cs="Arial"/>
            <w:color w:val="0000FF"/>
            <w:sz w:val="27"/>
            <w:szCs w:val="27"/>
            <w:u w:val="single"/>
          </w:rPr>
          <w:t>When they treated mice with this peptide, they found dramatic reductions in neurodegeneration and DNA damage in the brain</w:t>
        </w:r>
      </w:hyperlink>
      <w:hyperlink r:id="rId125" w:tgtFrame="_blank" w:history="1">
        <w:r w:rsidR="00F53799" w:rsidRPr="00FB171D">
          <w:rPr>
            <w:rFonts w:ascii="Georgia" w:eastAsia="Times New Roman" w:hAnsi="Georgia" w:cs="Arial"/>
            <w:color w:val="0000FF"/>
            <w:sz w:val="27"/>
            <w:szCs w:val="27"/>
            <w:u w:val="single"/>
            <w:vertAlign w:val="superscript"/>
          </w:rPr>
          <w:t>1</w:t>
        </w:r>
      </w:hyperlink>
      <w:r w:rsidR="00F53799" w:rsidRPr="00FB171D">
        <w:rPr>
          <w:rFonts w:ascii="Georgia" w:eastAsia="Times New Roman" w:hAnsi="Georgia" w:cs="Arial"/>
          <w:color w:val="000000"/>
          <w:sz w:val="27"/>
          <w:szCs w:val="27"/>
        </w:rPr>
        <w:t xml:space="preserve">. </w:t>
      </w:r>
      <w:hyperlink r:id="rId126" w:history="1">
        <w:r w:rsidR="00F53799" w:rsidRPr="00FB171D">
          <w:rPr>
            <w:rFonts w:ascii="Georgia" w:eastAsia="Times New Roman" w:hAnsi="Georgia" w:cs="Arial"/>
            <w:color w:val="0000FF"/>
            <w:sz w:val="27"/>
            <w:szCs w:val="27"/>
            <w:u w:val="single"/>
          </w:rPr>
          <w:t>These mice also showed improvements in their ability to perform tasks such as learning to navigate a water maze</w:t>
        </w:r>
      </w:hyperlink>
      <w:hyperlink r:id="rId127" w:tgtFrame="_blank" w:history="1">
        <w:r w:rsidR="00F53799" w:rsidRPr="00FB171D">
          <w:rPr>
            <w:rFonts w:ascii="Georgia" w:eastAsia="Times New Roman" w:hAnsi="Georgia" w:cs="Arial"/>
            <w:color w:val="0000FF"/>
            <w:sz w:val="27"/>
            <w:szCs w:val="27"/>
            <w:u w:val="single"/>
            <w:vertAlign w:val="superscript"/>
          </w:rPr>
          <w:t>1</w:t>
        </w:r>
      </w:hyperlink>
      <w:r w:rsidR="00F53799" w:rsidRPr="00FB171D">
        <w:rPr>
          <w:rFonts w:ascii="Georgia" w:eastAsia="Times New Roman" w:hAnsi="Georgia" w:cs="Arial"/>
          <w:color w:val="000000"/>
          <w:sz w:val="27"/>
          <w:szCs w:val="27"/>
        </w:rPr>
        <w:t xml:space="preserve">. </w:t>
      </w:r>
      <w:hyperlink r:id="rId128" w:history="1">
        <w:r w:rsidR="00F53799" w:rsidRPr="00FB171D">
          <w:rPr>
            <w:rFonts w:ascii="Georgia" w:eastAsia="Times New Roman" w:hAnsi="Georgia" w:cs="Arial"/>
            <w:color w:val="0000FF"/>
            <w:sz w:val="27"/>
            <w:szCs w:val="27"/>
            <w:u w:val="single"/>
          </w:rPr>
          <w:t>The researchers hope that with further testing, this peptide could eventually be used as a treatment for patients with Alzheimer’s disease and other forms of dementia that have CDK5 overactivation</w:t>
        </w:r>
      </w:hyperlink>
      <w:hyperlink r:id="rId129" w:tgtFrame="_blank" w:history="1">
        <w:r w:rsidR="00F53799" w:rsidRPr="00FB171D">
          <w:rPr>
            <w:rFonts w:ascii="Georgia" w:eastAsia="Times New Roman" w:hAnsi="Georgia" w:cs="Arial"/>
            <w:color w:val="0000FF"/>
            <w:sz w:val="27"/>
            <w:szCs w:val="27"/>
            <w:u w:val="single"/>
            <w:vertAlign w:val="superscript"/>
          </w:rPr>
          <w:t>1</w:t>
        </w:r>
      </w:hyperlink>
      <w:r w:rsidR="00F53799" w:rsidRPr="00FB171D">
        <w:rPr>
          <w:rFonts w:ascii="Georgia" w:eastAsia="Times New Roman" w:hAnsi="Georgia" w:cs="Arial"/>
          <w:color w:val="000000"/>
          <w:sz w:val="27"/>
          <w:szCs w:val="27"/>
        </w:rPr>
        <w:t>.</w:t>
      </w:r>
    </w:p>
    <w:p w14:paraId="3C0CBC25" w14:textId="77777777" w:rsidR="00F53799" w:rsidRPr="00FB171D" w:rsidRDefault="00000000" w:rsidP="00734CAC">
      <w:pPr>
        <w:numPr>
          <w:ilvl w:val="0"/>
          <w:numId w:val="7"/>
        </w:numPr>
        <w:spacing w:before="100" w:beforeAutospacing="1" w:after="100" w:afterAutospacing="1" w:line="240" w:lineRule="auto"/>
        <w:rPr>
          <w:rFonts w:ascii="Georgia" w:eastAsia="Times New Roman" w:hAnsi="Georgia" w:cs="Arial"/>
          <w:color w:val="000000"/>
          <w:sz w:val="27"/>
          <w:szCs w:val="27"/>
        </w:rPr>
      </w:pPr>
      <w:hyperlink r:id="rId130" w:history="1">
        <w:r w:rsidR="00F53799" w:rsidRPr="00FB171D">
          <w:rPr>
            <w:rFonts w:ascii="Georgia" w:eastAsia="Times New Roman" w:hAnsi="Georgia" w:cs="Arial"/>
            <w:b/>
            <w:bCs/>
            <w:color w:val="0000FF"/>
            <w:sz w:val="27"/>
            <w:szCs w:val="27"/>
            <w:u w:val="single"/>
          </w:rPr>
          <w:t>Nootropic Peptides</w:t>
        </w:r>
        <w:r w:rsidR="00F53799" w:rsidRPr="00FB171D">
          <w:rPr>
            <w:rFonts w:ascii="Georgia" w:eastAsia="Times New Roman" w:hAnsi="Georgia" w:cs="Arial"/>
            <w:color w:val="0000FF"/>
            <w:sz w:val="27"/>
            <w:szCs w:val="27"/>
            <w:u w:val="single"/>
          </w:rPr>
          <w:t>: Nootropic peptides are substances that may alter, improve, or augment cognitive performance</w:t>
        </w:r>
      </w:hyperlink>
      <w:hyperlink r:id="rId131" w:tgtFrame="_blank" w:history="1">
        <w:r w:rsidR="00F53799" w:rsidRPr="00FB171D">
          <w:rPr>
            <w:rFonts w:ascii="Georgia" w:eastAsia="Times New Roman" w:hAnsi="Georgia" w:cs="Arial"/>
            <w:color w:val="0000FF"/>
            <w:sz w:val="27"/>
            <w:szCs w:val="27"/>
            <w:u w:val="single"/>
            <w:vertAlign w:val="superscript"/>
          </w:rPr>
          <w:t>2</w:t>
        </w:r>
      </w:hyperlink>
      <w:r w:rsidR="00F53799" w:rsidRPr="00FB171D">
        <w:rPr>
          <w:rFonts w:ascii="Georgia" w:eastAsia="Times New Roman" w:hAnsi="Georgia" w:cs="Arial"/>
          <w:color w:val="000000"/>
          <w:sz w:val="27"/>
          <w:szCs w:val="27"/>
        </w:rPr>
        <w:t xml:space="preserve">. </w:t>
      </w:r>
      <w:hyperlink r:id="rId132" w:history="1">
        <w:r w:rsidR="00F53799" w:rsidRPr="00FB171D">
          <w:rPr>
            <w:rFonts w:ascii="Georgia" w:eastAsia="Times New Roman" w:hAnsi="Georgia" w:cs="Arial"/>
            <w:color w:val="0000FF"/>
            <w:sz w:val="27"/>
            <w:szCs w:val="27"/>
            <w:u w:val="single"/>
          </w:rPr>
          <w:t>They are synthetically created or naturally produced by the body with the intention of positively regulating and/or improving one or more aspects of cognitive function in humans</w:t>
        </w:r>
      </w:hyperlink>
      <w:hyperlink r:id="rId133" w:tgtFrame="_blank" w:history="1">
        <w:r w:rsidR="00F53799" w:rsidRPr="00FB171D">
          <w:rPr>
            <w:rFonts w:ascii="Georgia" w:eastAsia="Times New Roman" w:hAnsi="Georgia" w:cs="Arial"/>
            <w:color w:val="0000FF"/>
            <w:sz w:val="27"/>
            <w:szCs w:val="27"/>
            <w:u w:val="single"/>
            <w:vertAlign w:val="superscript"/>
          </w:rPr>
          <w:t>2</w:t>
        </w:r>
      </w:hyperlink>
      <w:r w:rsidR="00F53799" w:rsidRPr="00FB171D">
        <w:rPr>
          <w:rFonts w:ascii="Georgia" w:eastAsia="Times New Roman" w:hAnsi="Georgia" w:cs="Arial"/>
          <w:color w:val="000000"/>
          <w:sz w:val="27"/>
          <w:szCs w:val="27"/>
        </w:rPr>
        <w:t xml:space="preserve">. </w:t>
      </w:r>
      <w:hyperlink r:id="rId134" w:history="1">
        <w:r w:rsidR="00F53799" w:rsidRPr="00FB171D">
          <w:rPr>
            <w:rFonts w:ascii="Georgia" w:eastAsia="Times New Roman" w:hAnsi="Georgia" w:cs="Arial"/>
            <w:color w:val="0000FF"/>
            <w:sz w:val="27"/>
            <w:szCs w:val="27"/>
            <w:u w:val="single"/>
          </w:rPr>
          <w:t>Some of the best nootropic peptides for cognitive enhancement include Semax, Selank, Dihexa, Cerebrolysin, Orexin A, FGL, PE-22-28, and Melanotan I</w:t>
        </w:r>
      </w:hyperlink>
      <w:hyperlink r:id="rId135" w:tgtFrame="_blank" w:history="1">
        <w:r w:rsidR="00F53799" w:rsidRPr="00FB171D">
          <w:rPr>
            <w:rFonts w:ascii="Georgia" w:eastAsia="Times New Roman" w:hAnsi="Georgia" w:cs="Arial"/>
            <w:color w:val="0000FF"/>
            <w:sz w:val="27"/>
            <w:szCs w:val="27"/>
            <w:u w:val="single"/>
            <w:vertAlign w:val="superscript"/>
          </w:rPr>
          <w:t>2</w:t>
        </w:r>
      </w:hyperlink>
      <w:r w:rsidR="00F53799" w:rsidRPr="00FB171D">
        <w:rPr>
          <w:rFonts w:ascii="Georgia" w:eastAsia="Times New Roman" w:hAnsi="Georgia" w:cs="Arial"/>
          <w:color w:val="000000"/>
          <w:sz w:val="27"/>
          <w:szCs w:val="27"/>
        </w:rPr>
        <w:t>.</w:t>
      </w:r>
    </w:p>
    <w:p w14:paraId="4F9ABB9F" w14:textId="77777777" w:rsidR="00F53799" w:rsidRPr="00FB171D" w:rsidRDefault="00000000" w:rsidP="00734CAC">
      <w:pPr>
        <w:numPr>
          <w:ilvl w:val="0"/>
          <w:numId w:val="7"/>
        </w:numPr>
        <w:spacing w:before="100" w:beforeAutospacing="1" w:after="100" w:afterAutospacing="1" w:line="240" w:lineRule="auto"/>
        <w:rPr>
          <w:rFonts w:ascii="Georgia" w:eastAsia="Times New Roman" w:hAnsi="Georgia" w:cs="Arial"/>
          <w:color w:val="000000"/>
          <w:sz w:val="27"/>
          <w:szCs w:val="27"/>
        </w:rPr>
      </w:pPr>
      <w:hyperlink r:id="rId136" w:history="1">
        <w:r w:rsidR="00F53799" w:rsidRPr="00FB171D">
          <w:rPr>
            <w:rFonts w:ascii="Georgia" w:eastAsia="Times New Roman" w:hAnsi="Georgia" w:cs="Arial"/>
            <w:b/>
            <w:bCs/>
            <w:color w:val="0000FF"/>
            <w:sz w:val="27"/>
            <w:szCs w:val="27"/>
            <w:u w:val="single"/>
          </w:rPr>
          <w:t>Synthetic Peptides for Alzheimer’s</w:t>
        </w:r>
        <w:r w:rsidR="00F53799" w:rsidRPr="00FB171D">
          <w:rPr>
            <w:rFonts w:ascii="Georgia" w:eastAsia="Times New Roman" w:hAnsi="Georgia" w:cs="Arial"/>
            <w:color w:val="0000FF"/>
            <w:sz w:val="27"/>
            <w:szCs w:val="27"/>
            <w:u w:val="single"/>
          </w:rPr>
          <w:t>: Scientists have developed synthetic peptides that target and inhibit the buildup of small, toxic proteins which trigger Alzheimer’s disease</w:t>
        </w:r>
      </w:hyperlink>
      <w:hyperlink r:id="rId137" w:tgtFrame="_blank" w:history="1">
        <w:r w:rsidR="00F53799" w:rsidRPr="00FB171D">
          <w:rPr>
            <w:rFonts w:ascii="Georgia" w:eastAsia="Times New Roman" w:hAnsi="Georgia" w:cs="Arial"/>
            <w:color w:val="0000FF"/>
            <w:sz w:val="27"/>
            <w:szCs w:val="27"/>
            <w:u w:val="single"/>
            <w:vertAlign w:val="superscript"/>
          </w:rPr>
          <w:t>3</w:t>
        </w:r>
      </w:hyperlink>
      <w:r w:rsidR="00F53799" w:rsidRPr="00FB171D">
        <w:rPr>
          <w:rFonts w:ascii="Georgia" w:eastAsia="Times New Roman" w:hAnsi="Georgia" w:cs="Arial"/>
          <w:color w:val="000000"/>
          <w:sz w:val="27"/>
          <w:szCs w:val="27"/>
        </w:rPr>
        <w:t xml:space="preserve">. </w:t>
      </w:r>
      <w:hyperlink r:id="rId138" w:history="1">
        <w:r w:rsidR="00F53799" w:rsidRPr="00FB171D">
          <w:rPr>
            <w:rFonts w:ascii="Georgia" w:eastAsia="Times New Roman" w:hAnsi="Georgia" w:cs="Arial"/>
            <w:color w:val="0000FF"/>
            <w:sz w:val="27"/>
            <w:szCs w:val="27"/>
            <w:u w:val="single"/>
          </w:rPr>
          <w:t>This research may pave the way for treating the neurodegenerative disorder at an early stage</w:t>
        </w:r>
      </w:hyperlink>
      <w:hyperlink r:id="rId139" w:tgtFrame="_blank" w:history="1">
        <w:r w:rsidR="00F53799" w:rsidRPr="00FB171D">
          <w:rPr>
            <w:rFonts w:ascii="Georgia" w:eastAsia="Times New Roman" w:hAnsi="Georgia" w:cs="Arial"/>
            <w:color w:val="0000FF"/>
            <w:sz w:val="27"/>
            <w:szCs w:val="27"/>
            <w:u w:val="single"/>
            <w:vertAlign w:val="superscript"/>
          </w:rPr>
          <w:t>3</w:t>
        </w:r>
      </w:hyperlink>
      <w:r w:rsidR="00F53799" w:rsidRPr="00FB171D">
        <w:rPr>
          <w:rFonts w:ascii="Georgia" w:eastAsia="Times New Roman" w:hAnsi="Georgia" w:cs="Arial"/>
          <w:color w:val="000000"/>
          <w:sz w:val="27"/>
          <w:szCs w:val="27"/>
        </w:rPr>
        <w:t>.</w:t>
      </w:r>
    </w:p>
    <w:p w14:paraId="7E1C96FA" w14:textId="77777777" w:rsidR="00F53799" w:rsidRPr="00FB171D" w:rsidRDefault="00F53799" w:rsidP="00F53799">
      <w:pPr>
        <w:spacing w:after="0"/>
        <w:rPr>
          <w:rFonts w:ascii="Georgia" w:eastAsia="Segoe UI" w:hAnsi="Georgia" w:cs="Arial"/>
          <w:color w:val="FF0000"/>
          <w:sz w:val="28"/>
          <w:szCs w:val="28"/>
        </w:rPr>
      </w:pPr>
    </w:p>
    <w:p w14:paraId="29D8FB51" w14:textId="77777777" w:rsidR="00F53799" w:rsidRPr="00FB171D" w:rsidRDefault="00F53799" w:rsidP="00F53799">
      <w:pPr>
        <w:spacing w:after="0"/>
        <w:rPr>
          <w:rFonts w:ascii="Georgia" w:eastAsia="Segoe UI" w:hAnsi="Georgia" w:cs="Arial"/>
          <w:color w:val="FF0000"/>
          <w:sz w:val="28"/>
          <w:szCs w:val="28"/>
        </w:rPr>
      </w:pPr>
      <w:r w:rsidRPr="00FB171D">
        <w:rPr>
          <w:rFonts w:ascii="Georgia" w:eastAsia="Segoe UI" w:hAnsi="Georgia" w:cs="Arial"/>
          <w:color w:val="FF0000"/>
          <w:sz w:val="28"/>
          <w:szCs w:val="28"/>
        </w:rPr>
        <w:tab/>
        <w:t>Stem Cells</w:t>
      </w:r>
    </w:p>
    <w:p w14:paraId="0D5DFFD3" w14:textId="77777777" w:rsidR="00111BCF" w:rsidRPr="00FB171D" w:rsidRDefault="00111BCF" w:rsidP="00111BCF">
      <w:pPr>
        <w:pStyle w:val="Title"/>
        <w:rPr>
          <w:rFonts w:ascii="Georgia" w:eastAsia="Segoe UI" w:hAnsi="Georgia" w:cs="Arial"/>
        </w:rPr>
      </w:pPr>
      <w:r w:rsidRPr="00FB171D">
        <w:rPr>
          <w:rFonts w:ascii="Georgia" w:eastAsia="Segoe UI" w:hAnsi="Georgia" w:cs="Arial"/>
        </w:rPr>
        <w:t>Stem Cells and Cognitive Decline: Potential, Evidence, and Future Directions</w:t>
      </w:r>
    </w:p>
    <w:p w14:paraId="1A8A2646" w14:textId="77777777" w:rsidR="00111BCF" w:rsidRPr="00FB171D" w:rsidRDefault="00111BCF" w:rsidP="00111BCF">
      <w:pPr>
        <w:pStyle w:val="Subtitle"/>
        <w:rPr>
          <w:rFonts w:ascii="Georgia" w:eastAsia="Segoe UI" w:hAnsi="Georgia" w:cs="Arial"/>
        </w:rPr>
      </w:pPr>
      <w:r w:rsidRPr="00FB171D">
        <w:rPr>
          <w:rFonts w:ascii="Georgia" w:eastAsia="Segoe UI" w:hAnsi="Georgia" w:cs="Arial"/>
        </w:rPr>
        <w:t>Exploring the Promise of Regenerative Medicine in Neurodegenerative Disorders</w:t>
      </w:r>
    </w:p>
    <w:p w14:paraId="67F409CC" w14:textId="77777777" w:rsidR="00111BCF" w:rsidRPr="00FB171D" w:rsidRDefault="00111BCF" w:rsidP="00111BCF">
      <w:pPr>
        <w:pStyle w:val="Heading1"/>
        <w:rPr>
          <w:rFonts w:ascii="Georgia" w:eastAsia="Segoe UI" w:hAnsi="Georgia" w:cs="Arial"/>
        </w:rPr>
      </w:pPr>
      <w:bookmarkStart w:id="104" w:name="_Toc209691138"/>
      <w:r w:rsidRPr="00FB171D">
        <w:rPr>
          <w:rFonts w:ascii="Georgia" w:eastAsia="Segoe UI" w:hAnsi="Georgia" w:cs="Arial"/>
        </w:rPr>
        <w:t>Introduction</w:t>
      </w:r>
      <w:bookmarkEnd w:id="104"/>
    </w:p>
    <w:p w14:paraId="22772037" w14:textId="77777777" w:rsidR="00111BCF" w:rsidRPr="00FB171D" w:rsidRDefault="00111BCF" w:rsidP="00111BCF">
      <w:pPr>
        <w:rPr>
          <w:rFonts w:ascii="Georgia" w:hAnsi="Georgia" w:cs="Arial"/>
        </w:rPr>
      </w:pPr>
      <w:r w:rsidRPr="00FB171D">
        <w:rPr>
          <w:rFonts w:ascii="Georgia" w:hAnsi="Georgia" w:cs="Arial"/>
        </w:rPr>
        <w:t>Cognitive decline—characterized by deterioration in memory, thinking, and reasoning—is a hallmark of aging and several neurodegenerative diseases, most notably Alzheimer’s disease, Parkinson’s disease, and dementia resulting from vascular and traumatic causes. While traditional pharmaceutical therapies provide symptomatic relief, they do not reverse or halt the underlying causes of brain cell loss and dysfunction. In this context, stem cell therapies have emerged as a promising field in regenerative medicine, offering the potential to repair, replace, or rejuvenate damaged neural tissue. This document examines the rationale behind stem cell treatment for cognitive decline, reviews the evidence supporting its efficacy, and considers current status and future directions in research and clinical application.</w:t>
      </w:r>
    </w:p>
    <w:p w14:paraId="4904D8AA" w14:textId="77777777" w:rsidR="00111BCF" w:rsidRPr="00FB171D" w:rsidRDefault="00111BCF" w:rsidP="00111BCF">
      <w:pPr>
        <w:pStyle w:val="Heading1"/>
        <w:rPr>
          <w:rFonts w:ascii="Georgia" w:hAnsi="Georgia" w:cs="Arial"/>
        </w:rPr>
      </w:pPr>
      <w:bookmarkStart w:id="105" w:name="_Toc209691139"/>
      <w:r w:rsidRPr="00FB171D">
        <w:rPr>
          <w:rFonts w:ascii="Georgia" w:hAnsi="Georgia" w:cs="Arial"/>
        </w:rPr>
        <w:t>Why Stem Cells Could Help with Cognitive Decline</w:t>
      </w:r>
      <w:bookmarkEnd w:id="105"/>
    </w:p>
    <w:p w14:paraId="0877402E" w14:textId="77777777" w:rsidR="00111BCF" w:rsidRPr="00FB171D" w:rsidRDefault="00111BCF" w:rsidP="00111BCF">
      <w:pPr>
        <w:pStyle w:val="Heading2"/>
        <w:rPr>
          <w:rFonts w:ascii="Georgia" w:hAnsi="Georgia" w:cs="Arial"/>
        </w:rPr>
      </w:pPr>
      <w:bookmarkStart w:id="106" w:name="_Toc209691140"/>
      <w:r w:rsidRPr="00FB171D">
        <w:rPr>
          <w:rFonts w:ascii="Georgia" w:hAnsi="Georgia" w:cs="Arial"/>
        </w:rPr>
        <w:t>The Rationale for Stem Cell Therapy</w:t>
      </w:r>
      <w:bookmarkEnd w:id="106"/>
    </w:p>
    <w:p w14:paraId="5B9E0930" w14:textId="77777777" w:rsidR="00111BCF" w:rsidRPr="00FB171D" w:rsidRDefault="00111BCF" w:rsidP="00111BCF">
      <w:pPr>
        <w:rPr>
          <w:rFonts w:ascii="Georgia" w:hAnsi="Georgia" w:cs="Arial"/>
        </w:rPr>
      </w:pPr>
      <w:r w:rsidRPr="00FB171D">
        <w:rPr>
          <w:rFonts w:ascii="Georgia" w:hAnsi="Georgia" w:cs="Arial"/>
        </w:rPr>
        <w:t>Stem cells are unique in their ability to self-renew and differentiate into specialized cell types. In the brain, neural stem cells have the potential to generate neurons, astrocytes, and oligodendrocytes—the primary cell types responsible for cognitive processes. The rationale for using stem cells to combat cognitive decline rests on several foundational principles:</w:t>
      </w:r>
    </w:p>
    <w:p w14:paraId="0AE9C789" w14:textId="77777777" w:rsidR="00111BCF" w:rsidRPr="00FB171D" w:rsidRDefault="00111BCF" w:rsidP="00111BCF">
      <w:pPr>
        <w:pStyle w:val="ListParagraph"/>
        <w:numPr>
          <w:ilvl w:val="0"/>
          <w:numId w:val="116"/>
        </w:numPr>
        <w:rPr>
          <w:rFonts w:ascii="Georgia" w:hAnsi="Georgia" w:cs="Arial"/>
        </w:rPr>
      </w:pPr>
      <w:r w:rsidRPr="00FB171D">
        <w:rPr>
          <w:rFonts w:ascii="Georgia" w:hAnsi="Georgia" w:cs="Arial"/>
        </w:rPr>
        <w:t>Regeneration of Lost Neurons: Neurodegenerative diseases and brain injuries cause the death of neurons, which are not naturally replaced in significant numbers in the adult brain. By introducing stem cells or stimulating endogenous stem cells, damaged neural circuits may be rebuilt.</w:t>
      </w:r>
    </w:p>
    <w:p w14:paraId="44554454" w14:textId="77777777" w:rsidR="00111BCF" w:rsidRPr="00FB171D" w:rsidRDefault="00111BCF" w:rsidP="00111BCF">
      <w:pPr>
        <w:pStyle w:val="ListParagraph"/>
        <w:numPr>
          <w:ilvl w:val="0"/>
          <w:numId w:val="116"/>
        </w:numPr>
        <w:rPr>
          <w:rFonts w:ascii="Georgia" w:hAnsi="Georgia" w:cs="Arial"/>
        </w:rPr>
      </w:pPr>
      <w:r w:rsidRPr="00FB171D">
        <w:rPr>
          <w:rFonts w:ascii="Georgia" w:hAnsi="Georgia" w:cs="Arial"/>
        </w:rPr>
        <w:t>Repair of Brain Tissue: Stem cells can secrete neurotrophic factors and anti-inflammatory molecules, helping to reduce inflammation, promote repair, and limit further damage to neural tissue.</w:t>
      </w:r>
    </w:p>
    <w:p w14:paraId="498BF9E2" w14:textId="77777777" w:rsidR="00111BCF" w:rsidRPr="00FB171D" w:rsidRDefault="00111BCF" w:rsidP="00111BCF">
      <w:pPr>
        <w:pStyle w:val="ListParagraph"/>
        <w:numPr>
          <w:ilvl w:val="0"/>
          <w:numId w:val="116"/>
        </w:numPr>
        <w:rPr>
          <w:rFonts w:ascii="Georgia" w:hAnsi="Georgia" w:cs="Arial"/>
        </w:rPr>
      </w:pPr>
      <w:r w:rsidRPr="00FB171D">
        <w:rPr>
          <w:rFonts w:ascii="Georgia" w:hAnsi="Georgia" w:cs="Arial"/>
        </w:rPr>
        <w:t>Replacement of Specific Cell Types: Diseases like Parkinson's involve the loss of dopamine-producing cells. Stem cells can be differentiated into dopamine-secreting neurons and transplanted into affected areas, potentially restoring function.</w:t>
      </w:r>
    </w:p>
    <w:p w14:paraId="73CFF091" w14:textId="77777777" w:rsidR="00111BCF" w:rsidRPr="00FB171D" w:rsidRDefault="00111BCF" w:rsidP="00111BCF">
      <w:pPr>
        <w:pStyle w:val="ListParagraph"/>
        <w:numPr>
          <w:ilvl w:val="0"/>
          <w:numId w:val="116"/>
        </w:numPr>
        <w:rPr>
          <w:rFonts w:ascii="Georgia" w:hAnsi="Georgia" w:cs="Arial"/>
        </w:rPr>
      </w:pPr>
      <w:r w:rsidRPr="00FB171D">
        <w:rPr>
          <w:rFonts w:ascii="Georgia" w:hAnsi="Georgia" w:cs="Arial"/>
        </w:rPr>
        <w:t>Plasticity and Adaptability: Stem cells' inherent plasticity allows them to adapt to the microenvironment they are introduced into, increasing the likelihood of successful integration and repair.</w:t>
      </w:r>
    </w:p>
    <w:p w14:paraId="2582028D" w14:textId="77777777" w:rsidR="00111BCF" w:rsidRPr="00FB171D" w:rsidRDefault="00111BCF" w:rsidP="00111BCF">
      <w:pPr>
        <w:pStyle w:val="Heading2"/>
        <w:rPr>
          <w:rFonts w:ascii="Georgia" w:hAnsi="Georgia" w:cs="Arial"/>
        </w:rPr>
      </w:pPr>
      <w:bookmarkStart w:id="107" w:name="_Toc209691141"/>
      <w:r w:rsidRPr="00FB171D">
        <w:rPr>
          <w:rFonts w:ascii="Georgia" w:hAnsi="Georgia" w:cs="Arial"/>
        </w:rPr>
        <w:t>Mechanisms of Stem Cell Action in the Brain</w:t>
      </w:r>
      <w:bookmarkEnd w:id="107"/>
    </w:p>
    <w:p w14:paraId="4C202B96" w14:textId="77777777" w:rsidR="00111BCF" w:rsidRPr="00FB171D" w:rsidRDefault="00111BCF" w:rsidP="00111BCF">
      <w:pPr>
        <w:rPr>
          <w:rFonts w:ascii="Georgia" w:hAnsi="Georgia" w:cs="Arial"/>
        </w:rPr>
      </w:pPr>
      <w:r w:rsidRPr="00FB171D">
        <w:rPr>
          <w:rFonts w:ascii="Georgia" w:hAnsi="Georgia" w:cs="Arial"/>
        </w:rPr>
        <w:t>Stem cell therapy for cognitive decline can work through multiple mechanisms:</w:t>
      </w:r>
    </w:p>
    <w:p w14:paraId="78289734" w14:textId="77777777" w:rsidR="00111BCF" w:rsidRPr="00FB171D" w:rsidRDefault="00111BCF" w:rsidP="00111BCF">
      <w:pPr>
        <w:pStyle w:val="ListParagraph"/>
        <w:numPr>
          <w:ilvl w:val="0"/>
          <w:numId w:val="117"/>
        </w:numPr>
        <w:rPr>
          <w:rFonts w:ascii="Georgia" w:hAnsi="Georgia" w:cs="Arial"/>
        </w:rPr>
      </w:pPr>
      <w:r w:rsidRPr="00FB171D">
        <w:rPr>
          <w:rFonts w:ascii="Georgia" w:hAnsi="Georgia" w:cs="Arial"/>
        </w:rPr>
        <w:t>Direct replacement of lost or damaged neurons</w:t>
      </w:r>
    </w:p>
    <w:p w14:paraId="4F263E25" w14:textId="77777777" w:rsidR="00111BCF" w:rsidRPr="00FB171D" w:rsidRDefault="00111BCF" w:rsidP="00111BCF">
      <w:pPr>
        <w:pStyle w:val="ListParagraph"/>
        <w:numPr>
          <w:ilvl w:val="0"/>
          <w:numId w:val="117"/>
        </w:numPr>
        <w:rPr>
          <w:rFonts w:ascii="Georgia" w:hAnsi="Georgia" w:cs="Arial"/>
        </w:rPr>
      </w:pPr>
      <w:r w:rsidRPr="00FB171D">
        <w:rPr>
          <w:rFonts w:ascii="Georgia" w:hAnsi="Georgia" w:cs="Arial"/>
        </w:rPr>
        <w:t>Secretion of growth factors that support existing neurons</w:t>
      </w:r>
    </w:p>
    <w:p w14:paraId="3528057D" w14:textId="77777777" w:rsidR="00111BCF" w:rsidRPr="00FB171D" w:rsidRDefault="00111BCF" w:rsidP="00111BCF">
      <w:pPr>
        <w:pStyle w:val="ListParagraph"/>
        <w:numPr>
          <w:ilvl w:val="0"/>
          <w:numId w:val="117"/>
        </w:numPr>
        <w:rPr>
          <w:rFonts w:ascii="Georgia" w:hAnsi="Georgia" w:cs="Arial"/>
        </w:rPr>
      </w:pPr>
      <w:r w:rsidRPr="00FB171D">
        <w:rPr>
          <w:rFonts w:ascii="Georgia" w:hAnsi="Georgia" w:cs="Arial"/>
        </w:rPr>
        <w:t>Reduction of inflammation and edema in the brain</w:t>
      </w:r>
    </w:p>
    <w:p w14:paraId="4660AD19" w14:textId="77777777" w:rsidR="00111BCF" w:rsidRPr="00FB171D" w:rsidRDefault="00111BCF" w:rsidP="00111BCF">
      <w:pPr>
        <w:pStyle w:val="ListParagraph"/>
        <w:numPr>
          <w:ilvl w:val="0"/>
          <w:numId w:val="117"/>
        </w:numPr>
        <w:rPr>
          <w:rFonts w:ascii="Georgia" w:hAnsi="Georgia" w:cs="Arial"/>
        </w:rPr>
      </w:pPr>
      <w:r w:rsidRPr="00FB171D">
        <w:rPr>
          <w:rFonts w:ascii="Georgia" w:hAnsi="Georgia" w:cs="Arial"/>
        </w:rPr>
        <w:t>Promotion of angiogenesis, increasing blood supply to affected areas</w:t>
      </w:r>
    </w:p>
    <w:p w14:paraId="07C188B5" w14:textId="77777777" w:rsidR="00111BCF" w:rsidRPr="00FB171D" w:rsidRDefault="00111BCF" w:rsidP="00111BCF">
      <w:pPr>
        <w:pStyle w:val="ListParagraph"/>
        <w:numPr>
          <w:ilvl w:val="0"/>
          <w:numId w:val="117"/>
        </w:numPr>
        <w:rPr>
          <w:rFonts w:ascii="Georgia" w:hAnsi="Georgia" w:cs="Arial"/>
        </w:rPr>
      </w:pPr>
      <w:r w:rsidRPr="00FB171D">
        <w:rPr>
          <w:rFonts w:ascii="Georgia" w:hAnsi="Georgia" w:cs="Arial"/>
        </w:rPr>
        <w:t>Stimulation of endogenous neural stem cells to proliferate and repair tissue</w:t>
      </w:r>
    </w:p>
    <w:p w14:paraId="2B199968" w14:textId="77777777" w:rsidR="00111BCF" w:rsidRPr="00FB171D" w:rsidRDefault="00111BCF" w:rsidP="00111BCF">
      <w:pPr>
        <w:pStyle w:val="Heading1"/>
        <w:rPr>
          <w:rFonts w:ascii="Georgia" w:hAnsi="Georgia" w:cs="Arial"/>
        </w:rPr>
      </w:pPr>
      <w:bookmarkStart w:id="108" w:name="_Toc209691142"/>
      <w:r w:rsidRPr="00FB171D">
        <w:rPr>
          <w:rFonts w:ascii="Georgia" w:hAnsi="Georgia" w:cs="Arial"/>
        </w:rPr>
        <w:t>Evidence for Stem Cells in Treating Cognitive Decline</w:t>
      </w:r>
      <w:bookmarkEnd w:id="108"/>
    </w:p>
    <w:p w14:paraId="342656C6" w14:textId="77777777" w:rsidR="00111BCF" w:rsidRPr="00FB171D" w:rsidRDefault="00111BCF" w:rsidP="00111BCF">
      <w:pPr>
        <w:pStyle w:val="Heading2"/>
        <w:rPr>
          <w:rFonts w:ascii="Georgia" w:hAnsi="Georgia" w:cs="Arial"/>
        </w:rPr>
      </w:pPr>
      <w:bookmarkStart w:id="109" w:name="_Toc209691143"/>
      <w:r w:rsidRPr="00FB171D">
        <w:rPr>
          <w:rFonts w:ascii="Georgia" w:hAnsi="Georgia" w:cs="Arial"/>
        </w:rPr>
        <w:t>Preclinical Studies</w:t>
      </w:r>
      <w:bookmarkEnd w:id="109"/>
    </w:p>
    <w:p w14:paraId="24E9FDE4" w14:textId="77777777" w:rsidR="00111BCF" w:rsidRPr="00FB171D" w:rsidRDefault="00111BCF" w:rsidP="00111BCF">
      <w:pPr>
        <w:rPr>
          <w:rFonts w:ascii="Georgia" w:hAnsi="Georgia" w:cs="Arial"/>
        </w:rPr>
      </w:pPr>
      <w:r w:rsidRPr="00FB171D">
        <w:rPr>
          <w:rFonts w:ascii="Georgia" w:hAnsi="Georgia" w:cs="Arial"/>
        </w:rPr>
        <w:t>Animal models of neurodegenerative diseases and traumatic brain injury have been instrumental in demonstrating the efficacy of stem cell-based treatments. In these studies:</w:t>
      </w:r>
    </w:p>
    <w:p w14:paraId="5E6E24C9" w14:textId="77777777" w:rsidR="00111BCF" w:rsidRPr="00FB171D" w:rsidRDefault="00111BCF" w:rsidP="00111BCF">
      <w:pPr>
        <w:pStyle w:val="ListParagraph"/>
        <w:numPr>
          <w:ilvl w:val="0"/>
          <w:numId w:val="118"/>
        </w:numPr>
        <w:rPr>
          <w:rFonts w:ascii="Georgia" w:hAnsi="Georgia" w:cs="Arial"/>
        </w:rPr>
      </w:pPr>
      <w:r w:rsidRPr="00FB171D">
        <w:rPr>
          <w:rFonts w:ascii="Georgia" w:hAnsi="Georgia" w:cs="Arial"/>
        </w:rPr>
        <w:t>Transplanted stem cells have shown the ability to survive, differentiate, and integrate into host brain tissue.</w:t>
      </w:r>
    </w:p>
    <w:p w14:paraId="07C11CC3" w14:textId="77777777" w:rsidR="00111BCF" w:rsidRPr="00FB171D" w:rsidRDefault="00111BCF" w:rsidP="00111BCF">
      <w:pPr>
        <w:pStyle w:val="ListParagraph"/>
        <w:numPr>
          <w:ilvl w:val="0"/>
          <w:numId w:val="118"/>
        </w:numPr>
        <w:rPr>
          <w:rFonts w:ascii="Georgia" w:hAnsi="Georgia" w:cs="Arial"/>
        </w:rPr>
      </w:pPr>
      <w:r w:rsidRPr="00FB171D">
        <w:rPr>
          <w:rFonts w:ascii="Georgia" w:hAnsi="Georgia" w:cs="Arial"/>
        </w:rPr>
        <w:t>Stem cell therapy led to improved cognitive functions in tasks like maze navigation, object recognition, and learning in rodents with induced brain injury or neurodegeneration.</w:t>
      </w:r>
    </w:p>
    <w:p w14:paraId="75DA3C57" w14:textId="77777777" w:rsidR="00111BCF" w:rsidRPr="00FB171D" w:rsidRDefault="00111BCF" w:rsidP="00111BCF">
      <w:pPr>
        <w:pStyle w:val="ListParagraph"/>
        <w:numPr>
          <w:ilvl w:val="0"/>
          <w:numId w:val="118"/>
        </w:numPr>
        <w:rPr>
          <w:rFonts w:ascii="Georgia" w:hAnsi="Georgia" w:cs="Arial"/>
        </w:rPr>
      </w:pPr>
      <w:r w:rsidRPr="00FB171D">
        <w:rPr>
          <w:rFonts w:ascii="Georgia" w:hAnsi="Georgia" w:cs="Arial"/>
        </w:rPr>
        <w:t>Reductions in brain swelling and repair of damaged nerve cells were observed following stem cell transplantation into injured sites.</w:t>
      </w:r>
    </w:p>
    <w:p w14:paraId="5C652CDA" w14:textId="77777777" w:rsidR="00111BCF" w:rsidRPr="00FB171D" w:rsidRDefault="00111BCF" w:rsidP="00111BCF">
      <w:pPr>
        <w:pStyle w:val="Heading2"/>
        <w:rPr>
          <w:rFonts w:ascii="Georgia" w:hAnsi="Georgia" w:cs="Arial"/>
        </w:rPr>
      </w:pPr>
      <w:bookmarkStart w:id="110" w:name="_Toc209691144"/>
      <w:r w:rsidRPr="00FB171D">
        <w:rPr>
          <w:rFonts w:ascii="Georgia" w:hAnsi="Georgia" w:cs="Arial"/>
        </w:rPr>
        <w:t>Clinical Trials and Human Evidence</w:t>
      </w:r>
      <w:bookmarkEnd w:id="110"/>
    </w:p>
    <w:p w14:paraId="69B07836" w14:textId="77777777" w:rsidR="00111BCF" w:rsidRPr="00FB171D" w:rsidRDefault="00111BCF" w:rsidP="00111BCF">
      <w:pPr>
        <w:rPr>
          <w:rFonts w:ascii="Georgia" w:hAnsi="Georgia" w:cs="Arial"/>
        </w:rPr>
      </w:pPr>
      <w:r w:rsidRPr="00FB171D">
        <w:rPr>
          <w:rFonts w:ascii="Georgia" w:hAnsi="Georgia" w:cs="Arial"/>
        </w:rPr>
        <w:t>Early-phase clinical trials have begun to explore the safety and efficacy of stem cell therapies in humans:</w:t>
      </w:r>
    </w:p>
    <w:p w14:paraId="6DA20E3B" w14:textId="77777777" w:rsidR="00111BCF" w:rsidRPr="00FB171D" w:rsidRDefault="00111BCF" w:rsidP="00111BCF">
      <w:pPr>
        <w:pStyle w:val="ListParagraph"/>
        <w:numPr>
          <w:ilvl w:val="0"/>
          <w:numId w:val="119"/>
        </w:numPr>
        <w:rPr>
          <w:rFonts w:ascii="Georgia" w:hAnsi="Georgia" w:cs="Arial"/>
        </w:rPr>
      </w:pPr>
      <w:r w:rsidRPr="00FB171D">
        <w:rPr>
          <w:rFonts w:ascii="Georgia" w:hAnsi="Georgia" w:cs="Arial"/>
        </w:rPr>
        <w:t>Alzheimer’s Disease:</w:t>
      </w:r>
    </w:p>
    <w:p w14:paraId="42125F88" w14:textId="77777777" w:rsidR="00111BCF" w:rsidRPr="00FB171D" w:rsidRDefault="00111BCF" w:rsidP="00111BCF">
      <w:pPr>
        <w:pStyle w:val="ListParagraph"/>
        <w:numPr>
          <w:ilvl w:val="0"/>
          <w:numId w:val="119"/>
        </w:numPr>
        <w:rPr>
          <w:rFonts w:ascii="Georgia" w:hAnsi="Georgia" w:cs="Arial"/>
        </w:rPr>
      </w:pPr>
      <w:r w:rsidRPr="00FB171D">
        <w:rPr>
          <w:rFonts w:ascii="Georgia" w:hAnsi="Georgia" w:cs="Arial"/>
        </w:rPr>
        <w:t>Clinical studies are investigating whether stem cell transplantation can reduce brain inflammation, repair nerve cells, and improve cognitive function in patients with mild to severe Alzheimer’s disease.</w:t>
      </w:r>
    </w:p>
    <w:p w14:paraId="520EBF40" w14:textId="77777777" w:rsidR="00111BCF" w:rsidRPr="00FB171D" w:rsidRDefault="00111BCF" w:rsidP="00111BCF">
      <w:pPr>
        <w:pStyle w:val="ListParagraph"/>
        <w:numPr>
          <w:ilvl w:val="0"/>
          <w:numId w:val="119"/>
        </w:numPr>
        <w:rPr>
          <w:rFonts w:ascii="Georgia" w:hAnsi="Georgia" w:cs="Arial"/>
        </w:rPr>
      </w:pPr>
      <w:r w:rsidRPr="00FB171D">
        <w:rPr>
          <w:rFonts w:ascii="Georgia" w:hAnsi="Georgia" w:cs="Arial"/>
        </w:rPr>
        <w:t>Preliminary results suggest potential improvements in brain health, though large-scale, long-term studies are required for conclusive evidence.</w:t>
      </w:r>
    </w:p>
    <w:p w14:paraId="148604D5" w14:textId="77777777" w:rsidR="00111BCF" w:rsidRPr="00FB171D" w:rsidRDefault="00111BCF" w:rsidP="00111BCF">
      <w:pPr>
        <w:rPr>
          <w:rFonts w:ascii="Georgia" w:hAnsi="Georgia" w:cs="Arial"/>
        </w:rPr>
      </w:pPr>
      <w:r w:rsidRPr="00FB171D">
        <w:rPr>
          <w:rFonts w:ascii="Georgia" w:hAnsi="Georgia" w:cs="Arial"/>
        </w:rPr>
        <w:t>Traumatic Brain Injury and Stroke:</w:t>
      </w:r>
    </w:p>
    <w:p w14:paraId="695A28C3" w14:textId="77777777" w:rsidR="00111BCF" w:rsidRPr="00FB171D" w:rsidRDefault="00111BCF" w:rsidP="00111BCF">
      <w:pPr>
        <w:rPr>
          <w:rFonts w:ascii="Georgia" w:hAnsi="Georgia" w:cs="Arial"/>
        </w:rPr>
      </w:pPr>
      <w:r w:rsidRPr="00FB171D">
        <w:rPr>
          <w:rFonts w:ascii="Georgia" w:hAnsi="Georgia" w:cs="Arial"/>
        </w:rPr>
        <w:t>Modified stem cells have been placed directly into the site of brain injury in participants with stroke or traumatic brain injury (TBI).</w:t>
      </w:r>
    </w:p>
    <w:p w14:paraId="49733F98" w14:textId="77777777" w:rsidR="00111BCF" w:rsidRPr="00FB171D" w:rsidRDefault="00111BCF" w:rsidP="00111BCF">
      <w:pPr>
        <w:rPr>
          <w:rFonts w:ascii="Georgia" w:hAnsi="Georgia" w:cs="Arial"/>
        </w:rPr>
      </w:pPr>
      <w:r w:rsidRPr="00FB171D">
        <w:rPr>
          <w:rFonts w:ascii="Georgia" w:hAnsi="Georgia" w:cs="Arial"/>
        </w:rPr>
        <w:t>Some patients have shown regeneration of damaged brain areas and partial recovery of lost functions, including cognitive abilities.</w:t>
      </w:r>
    </w:p>
    <w:p w14:paraId="4EAD2970" w14:textId="77777777" w:rsidR="00111BCF" w:rsidRPr="00FB171D" w:rsidRDefault="00111BCF" w:rsidP="00111BCF">
      <w:pPr>
        <w:rPr>
          <w:rFonts w:ascii="Georgia" w:hAnsi="Georgia" w:cs="Arial"/>
        </w:rPr>
      </w:pPr>
      <w:r w:rsidRPr="00FB171D">
        <w:rPr>
          <w:rFonts w:ascii="Georgia" w:hAnsi="Georgia" w:cs="Arial"/>
        </w:rPr>
        <w:t>Parkinson’s Disease:</w:t>
      </w:r>
    </w:p>
    <w:p w14:paraId="512E1433" w14:textId="77777777" w:rsidR="00111BCF" w:rsidRPr="00FB171D" w:rsidRDefault="00111BCF" w:rsidP="00111BCF">
      <w:pPr>
        <w:rPr>
          <w:rFonts w:ascii="Georgia" w:hAnsi="Georgia" w:cs="Arial"/>
        </w:rPr>
      </w:pPr>
      <w:r w:rsidRPr="00FB171D">
        <w:rPr>
          <w:rFonts w:ascii="Georgia" w:hAnsi="Georgia" w:cs="Arial"/>
        </w:rPr>
        <w:t>Stem cell therapy aims to replace lost dopamine-producing neurons, with evidence of reduced tremors and improved movement in some participants.</w:t>
      </w:r>
    </w:p>
    <w:p w14:paraId="0659D015" w14:textId="77777777" w:rsidR="00111BCF" w:rsidRPr="00FB171D" w:rsidRDefault="00111BCF" w:rsidP="00111BCF">
      <w:pPr>
        <w:rPr>
          <w:rFonts w:ascii="Georgia" w:hAnsi="Georgia" w:cs="Arial"/>
        </w:rPr>
      </w:pPr>
      <w:r w:rsidRPr="00FB171D">
        <w:rPr>
          <w:rFonts w:ascii="Georgia" w:hAnsi="Georgia" w:cs="Arial"/>
        </w:rPr>
        <w:t>This approach also has implications for cognitive symptoms associated with Parkinson’s.</w:t>
      </w:r>
    </w:p>
    <w:p w14:paraId="2BF6CBD0" w14:textId="77777777" w:rsidR="00111BCF" w:rsidRPr="00FB171D" w:rsidRDefault="00111BCF" w:rsidP="00111BCF">
      <w:pPr>
        <w:pStyle w:val="Heading2"/>
        <w:rPr>
          <w:rFonts w:ascii="Georgia" w:hAnsi="Georgia" w:cs="Arial"/>
        </w:rPr>
      </w:pPr>
      <w:bookmarkStart w:id="111" w:name="_Toc209691145"/>
      <w:r w:rsidRPr="00FB171D">
        <w:rPr>
          <w:rFonts w:ascii="Georgia" w:hAnsi="Georgia" w:cs="Arial"/>
        </w:rPr>
        <w:t>Limitations and Challenges</w:t>
      </w:r>
      <w:bookmarkEnd w:id="111"/>
    </w:p>
    <w:p w14:paraId="044676CA" w14:textId="77777777" w:rsidR="00111BCF" w:rsidRPr="00FB171D" w:rsidRDefault="00111BCF" w:rsidP="00111BCF">
      <w:pPr>
        <w:rPr>
          <w:rFonts w:ascii="Georgia" w:hAnsi="Georgia" w:cs="Arial"/>
        </w:rPr>
      </w:pPr>
      <w:r w:rsidRPr="00FB171D">
        <w:rPr>
          <w:rFonts w:ascii="Georgia" w:hAnsi="Georgia" w:cs="Arial"/>
        </w:rPr>
        <w:t>Despite promising results, several challenges remain:</w:t>
      </w:r>
    </w:p>
    <w:p w14:paraId="401F835E" w14:textId="77777777" w:rsidR="00111BCF" w:rsidRPr="00FB171D" w:rsidRDefault="00111BCF" w:rsidP="00111BCF">
      <w:pPr>
        <w:pStyle w:val="ListParagraph"/>
        <w:numPr>
          <w:ilvl w:val="0"/>
          <w:numId w:val="120"/>
        </w:numPr>
        <w:rPr>
          <w:rFonts w:ascii="Georgia" w:hAnsi="Georgia" w:cs="Arial"/>
        </w:rPr>
      </w:pPr>
      <w:r w:rsidRPr="00FB171D">
        <w:rPr>
          <w:rFonts w:ascii="Georgia" w:hAnsi="Georgia" w:cs="Arial"/>
        </w:rPr>
        <w:t>Potential for immune rejection or tumor formation from transplanted cells</w:t>
      </w:r>
    </w:p>
    <w:p w14:paraId="6C2CC3E6" w14:textId="77777777" w:rsidR="00111BCF" w:rsidRPr="00FB171D" w:rsidRDefault="00111BCF" w:rsidP="00111BCF">
      <w:pPr>
        <w:pStyle w:val="ListParagraph"/>
        <w:numPr>
          <w:ilvl w:val="0"/>
          <w:numId w:val="120"/>
        </w:numPr>
        <w:rPr>
          <w:rFonts w:ascii="Georgia" w:hAnsi="Georgia" w:cs="Arial"/>
        </w:rPr>
      </w:pPr>
      <w:r w:rsidRPr="00FB171D">
        <w:rPr>
          <w:rFonts w:ascii="Georgia" w:hAnsi="Georgia" w:cs="Arial"/>
        </w:rPr>
        <w:t>Difficulties in controlling stem cell differentiation and integration</w:t>
      </w:r>
    </w:p>
    <w:p w14:paraId="67C2CE96" w14:textId="77777777" w:rsidR="00111BCF" w:rsidRPr="00FB171D" w:rsidRDefault="00111BCF" w:rsidP="00111BCF">
      <w:pPr>
        <w:pStyle w:val="ListParagraph"/>
        <w:numPr>
          <w:ilvl w:val="0"/>
          <w:numId w:val="120"/>
        </w:numPr>
        <w:rPr>
          <w:rFonts w:ascii="Georgia" w:hAnsi="Georgia" w:cs="Arial"/>
        </w:rPr>
      </w:pPr>
      <w:r w:rsidRPr="00FB171D">
        <w:rPr>
          <w:rFonts w:ascii="Georgia" w:hAnsi="Georgia" w:cs="Arial"/>
        </w:rPr>
        <w:t>Ethical and regulatory concerns surrounding embryonic stem cell use</w:t>
      </w:r>
    </w:p>
    <w:p w14:paraId="722E8CD0" w14:textId="77777777" w:rsidR="00111BCF" w:rsidRPr="00FB171D" w:rsidRDefault="00111BCF" w:rsidP="00111BCF">
      <w:pPr>
        <w:pStyle w:val="ListParagraph"/>
        <w:numPr>
          <w:ilvl w:val="0"/>
          <w:numId w:val="120"/>
        </w:numPr>
        <w:rPr>
          <w:rFonts w:ascii="Georgia" w:hAnsi="Georgia" w:cs="Arial"/>
        </w:rPr>
      </w:pPr>
      <w:r w:rsidRPr="00FB171D">
        <w:rPr>
          <w:rFonts w:ascii="Georgia" w:hAnsi="Georgia" w:cs="Arial"/>
        </w:rPr>
        <w:t>Variability in patient responses, necessitating personalized approaches</w:t>
      </w:r>
    </w:p>
    <w:p w14:paraId="4220B7B0" w14:textId="77777777" w:rsidR="00111BCF" w:rsidRPr="00FB171D" w:rsidRDefault="00111BCF" w:rsidP="00111BCF">
      <w:pPr>
        <w:pStyle w:val="Heading1"/>
        <w:rPr>
          <w:rFonts w:ascii="Georgia" w:hAnsi="Georgia" w:cs="Arial"/>
        </w:rPr>
      </w:pPr>
      <w:bookmarkStart w:id="112" w:name="_Toc209691146"/>
      <w:r w:rsidRPr="00FB171D">
        <w:rPr>
          <w:rFonts w:ascii="Georgia" w:hAnsi="Georgia" w:cs="Arial"/>
        </w:rPr>
        <w:t>Current Status of Stem Cell Therapy for Cognitive Decline</w:t>
      </w:r>
      <w:bookmarkEnd w:id="112"/>
    </w:p>
    <w:p w14:paraId="428AA41F" w14:textId="77777777" w:rsidR="00111BCF" w:rsidRPr="00FB171D" w:rsidRDefault="00111BCF" w:rsidP="00111BCF">
      <w:pPr>
        <w:pStyle w:val="Heading2"/>
        <w:rPr>
          <w:rFonts w:ascii="Georgia" w:hAnsi="Georgia" w:cs="Arial"/>
        </w:rPr>
      </w:pPr>
      <w:bookmarkStart w:id="113" w:name="_Toc209691147"/>
      <w:r w:rsidRPr="00FB171D">
        <w:rPr>
          <w:rFonts w:ascii="Georgia" w:hAnsi="Georgia" w:cs="Arial"/>
        </w:rPr>
        <w:t>Clinical Application and Safety</w:t>
      </w:r>
      <w:bookmarkEnd w:id="113"/>
    </w:p>
    <w:p w14:paraId="03B51F20" w14:textId="77777777" w:rsidR="00111BCF" w:rsidRPr="00FB171D" w:rsidRDefault="00111BCF" w:rsidP="00111BCF">
      <w:pPr>
        <w:rPr>
          <w:rFonts w:ascii="Georgia" w:hAnsi="Georgia" w:cs="Arial"/>
        </w:rPr>
      </w:pPr>
      <w:r w:rsidRPr="00FB171D">
        <w:rPr>
          <w:rFonts w:ascii="Georgia" w:hAnsi="Georgia" w:cs="Arial"/>
        </w:rPr>
        <w:t>Stem cell therapies remain largely experimental for most neurodegenerative conditions. Most clinical trials are in early phases, focusing on safety, optimal dosing, and delivery methods. The flexibility and adaptability of stem cells are particularly exciting, but rigorous evidence of long-term benefit and safety is still being gathered.</w:t>
      </w:r>
    </w:p>
    <w:p w14:paraId="1469F674" w14:textId="77777777" w:rsidR="00111BCF" w:rsidRPr="00FB171D" w:rsidRDefault="00111BCF" w:rsidP="00111BCF">
      <w:pPr>
        <w:pStyle w:val="Heading2"/>
        <w:rPr>
          <w:rFonts w:ascii="Georgia" w:hAnsi="Georgia" w:cs="Arial"/>
        </w:rPr>
      </w:pPr>
      <w:bookmarkStart w:id="114" w:name="_Toc209691148"/>
      <w:r w:rsidRPr="00FB171D">
        <w:rPr>
          <w:rFonts w:ascii="Georgia" w:hAnsi="Georgia" w:cs="Arial"/>
        </w:rPr>
        <w:t>Types of Stem Cells in Use</w:t>
      </w:r>
      <w:bookmarkEnd w:id="114"/>
    </w:p>
    <w:p w14:paraId="42FDD290" w14:textId="77777777" w:rsidR="00111BCF" w:rsidRPr="00FB171D" w:rsidRDefault="00111BCF" w:rsidP="00111BCF">
      <w:pPr>
        <w:pStyle w:val="ListParagraph"/>
        <w:numPr>
          <w:ilvl w:val="0"/>
          <w:numId w:val="121"/>
        </w:numPr>
        <w:rPr>
          <w:rFonts w:ascii="Georgia" w:hAnsi="Georgia" w:cs="Arial"/>
        </w:rPr>
      </w:pPr>
      <w:r w:rsidRPr="00FB171D">
        <w:rPr>
          <w:rFonts w:ascii="Georgia" w:hAnsi="Georgia" w:cs="Arial"/>
        </w:rPr>
        <w:t>Embryonic Stem Cells: Highly pluripotent, but associated with ethical debates and risk of uncontrolled growth.</w:t>
      </w:r>
    </w:p>
    <w:p w14:paraId="1126DDBF" w14:textId="77777777" w:rsidR="00111BCF" w:rsidRPr="00FB171D" w:rsidRDefault="00111BCF" w:rsidP="00111BCF">
      <w:pPr>
        <w:pStyle w:val="ListParagraph"/>
        <w:numPr>
          <w:ilvl w:val="0"/>
          <w:numId w:val="121"/>
        </w:numPr>
        <w:rPr>
          <w:rFonts w:ascii="Georgia" w:hAnsi="Georgia" w:cs="Arial"/>
        </w:rPr>
      </w:pPr>
      <w:r w:rsidRPr="00FB171D">
        <w:rPr>
          <w:rFonts w:ascii="Georgia" w:hAnsi="Georgia" w:cs="Arial"/>
        </w:rPr>
        <w:t>Adult Stem Cells: Sourced from bone marrow, fat, or neural tissue, with lower risk and easier acceptance.</w:t>
      </w:r>
    </w:p>
    <w:p w14:paraId="042D7D47" w14:textId="77777777" w:rsidR="00111BCF" w:rsidRPr="00FB171D" w:rsidRDefault="00111BCF" w:rsidP="00111BCF">
      <w:pPr>
        <w:pStyle w:val="ListParagraph"/>
        <w:numPr>
          <w:ilvl w:val="0"/>
          <w:numId w:val="121"/>
        </w:numPr>
        <w:rPr>
          <w:rFonts w:ascii="Georgia" w:hAnsi="Georgia" w:cs="Arial"/>
        </w:rPr>
      </w:pPr>
      <w:r w:rsidRPr="00FB171D">
        <w:rPr>
          <w:rFonts w:ascii="Georgia" w:hAnsi="Georgia" w:cs="Arial"/>
        </w:rPr>
        <w:t>Induced Pluripotent Stem Cells (iPSCs): Adult cells reprogrammed to act like embryonic stem cells, allowing for patient-specific therapy and minimizing immune rejection.</w:t>
      </w:r>
    </w:p>
    <w:p w14:paraId="1C4814EC" w14:textId="77777777" w:rsidR="00111BCF" w:rsidRPr="00FB171D" w:rsidRDefault="00111BCF" w:rsidP="00111BCF">
      <w:pPr>
        <w:pStyle w:val="Heading2"/>
        <w:rPr>
          <w:rFonts w:ascii="Georgia" w:hAnsi="Georgia" w:cs="Arial"/>
        </w:rPr>
      </w:pPr>
      <w:bookmarkStart w:id="115" w:name="_Toc209691149"/>
      <w:r w:rsidRPr="00FB171D">
        <w:rPr>
          <w:rFonts w:ascii="Georgia" w:hAnsi="Georgia" w:cs="Arial"/>
        </w:rPr>
        <w:t>Current Clinical Trials</w:t>
      </w:r>
      <w:bookmarkEnd w:id="115"/>
    </w:p>
    <w:p w14:paraId="490BFC66" w14:textId="77777777" w:rsidR="00111BCF" w:rsidRPr="00FB171D" w:rsidRDefault="00111BCF" w:rsidP="00111BCF">
      <w:pPr>
        <w:rPr>
          <w:rFonts w:ascii="Georgia" w:hAnsi="Georgia" w:cs="Arial"/>
        </w:rPr>
      </w:pPr>
      <w:r w:rsidRPr="00FB171D">
        <w:rPr>
          <w:rFonts w:ascii="Georgia" w:hAnsi="Georgia" w:cs="Arial"/>
        </w:rPr>
        <w:t>Numerous trials are underway worldwide to assess stem cell therapy for Alzheimer's disease, Parkinson’s disease, TBI, and stroke. These efforts are testing various cell types, delivery methods (intravenous, intracerebral), and adjunctive treatments.</w:t>
      </w:r>
    </w:p>
    <w:p w14:paraId="19E58468" w14:textId="77777777" w:rsidR="00111BCF" w:rsidRPr="00FB171D" w:rsidRDefault="00111BCF" w:rsidP="00111BCF">
      <w:pPr>
        <w:pStyle w:val="Heading1"/>
        <w:rPr>
          <w:rFonts w:ascii="Georgia" w:hAnsi="Georgia" w:cs="Arial"/>
        </w:rPr>
      </w:pPr>
      <w:bookmarkStart w:id="116" w:name="_Toc209691150"/>
      <w:r w:rsidRPr="00FB171D">
        <w:rPr>
          <w:rFonts w:ascii="Georgia" w:hAnsi="Georgia" w:cs="Arial"/>
        </w:rPr>
        <w:t>Future Directions</w:t>
      </w:r>
      <w:bookmarkEnd w:id="116"/>
    </w:p>
    <w:p w14:paraId="3221444D" w14:textId="77777777" w:rsidR="00111BCF" w:rsidRPr="00FB171D" w:rsidRDefault="00111BCF" w:rsidP="00111BCF">
      <w:pPr>
        <w:pStyle w:val="Heading2"/>
        <w:rPr>
          <w:rFonts w:ascii="Georgia" w:hAnsi="Georgia" w:cs="Arial"/>
        </w:rPr>
      </w:pPr>
      <w:bookmarkStart w:id="117" w:name="_Toc209691151"/>
      <w:r w:rsidRPr="00FB171D">
        <w:rPr>
          <w:rFonts w:ascii="Georgia" w:hAnsi="Georgia" w:cs="Arial"/>
        </w:rPr>
        <w:t>Personalized and Precision Medicine</w:t>
      </w:r>
      <w:bookmarkEnd w:id="117"/>
    </w:p>
    <w:p w14:paraId="72F5818D" w14:textId="77777777" w:rsidR="00111BCF" w:rsidRPr="00FB171D" w:rsidRDefault="00111BCF" w:rsidP="00111BCF">
      <w:pPr>
        <w:rPr>
          <w:rFonts w:ascii="Georgia" w:hAnsi="Georgia" w:cs="Arial"/>
        </w:rPr>
      </w:pPr>
      <w:r w:rsidRPr="00FB171D">
        <w:rPr>
          <w:rFonts w:ascii="Georgia" w:hAnsi="Georgia" w:cs="Arial"/>
        </w:rPr>
        <w:t>The future of stem cell therapy for cognitive decline will likely involve personalized approaches, using patient-derived cells to minimize rejection and enhance compatibility. Advances in gene editing (such as CRISPR) may allow for the correction of genetic defects before transplantation.</w:t>
      </w:r>
    </w:p>
    <w:p w14:paraId="7ECCA3F8" w14:textId="77777777" w:rsidR="00111BCF" w:rsidRPr="00FB171D" w:rsidRDefault="00111BCF" w:rsidP="00111BCF">
      <w:pPr>
        <w:pStyle w:val="Heading2"/>
        <w:rPr>
          <w:rFonts w:ascii="Georgia" w:hAnsi="Georgia" w:cs="Arial"/>
        </w:rPr>
      </w:pPr>
      <w:bookmarkStart w:id="118" w:name="_Toc209691152"/>
      <w:r w:rsidRPr="00FB171D">
        <w:rPr>
          <w:rFonts w:ascii="Georgia" w:hAnsi="Georgia" w:cs="Arial"/>
        </w:rPr>
        <w:t>Combination Therapies</w:t>
      </w:r>
      <w:bookmarkEnd w:id="118"/>
    </w:p>
    <w:p w14:paraId="4E913718" w14:textId="77777777" w:rsidR="00111BCF" w:rsidRPr="00FB171D" w:rsidRDefault="00111BCF" w:rsidP="00111BCF">
      <w:pPr>
        <w:rPr>
          <w:rFonts w:ascii="Georgia" w:hAnsi="Georgia" w:cs="Arial"/>
        </w:rPr>
      </w:pPr>
      <w:r w:rsidRPr="00FB171D">
        <w:rPr>
          <w:rFonts w:ascii="Georgia" w:hAnsi="Georgia" w:cs="Arial"/>
        </w:rPr>
        <w:t>Stem cell therapy may be combined with other modalities—such as pharmaceuticals, peptides, or rehabilitation—to improve outcomes. Multi-modal approaches are being explored for synergistic effects.</w:t>
      </w:r>
    </w:p>
    <w:p w14:paraId="25BBC060" w14:textId="77777777" w:rsidR="00111BCF" w:rsidRPr="00FB171D" w:rsidRDefault="00111BCF" w:rsidP="00111BCF">
      <w:pPr>
        <w:pStyle w:val="Heading2"/>
        <w:rPr>
          <w:rFonts w:ascii="Georgia" w:hAnsi="Georgia" w:cs="Arial"/>
        </w:rPr>
      </w:pPr>
      <w:bookmarkStart w:id="119" w:name="_Toc209691153"/>
      <w:r w:rsidRPr="00FB171D">
        <w:rPr>
          <w:rFonts w:ascii="Georgia" w:hAnsi="Georgia" w:cs="Arial"/>
        </w:rPr>
        <w:t>Biomaterials and Scaffold Technology</w:t>
      </w:r>
      <w:bookmarkEnd w:id="119"/>
    </w:p>
    <w:p w14:paraId="554FCBEB" w14:textId="77777777" w:rsidR="00111BCF" w:rsidRPr="00FB171D" w:rsidRDefault="00111BCF" w:rsidP="00111BCF">
      <w:pPr>
        <w:rPr>
          <w:rFonts w:ascii="Georgia" w:hAnsi="Georgia" w:cs="Arial"/>
        </w:rPr>
      </w:pPr>
      <w:r w:rsidRPr="00FB171D">
        <w:rPr>
          <w:rFonts w:ascii="Georgia" w:hAnsi="Georgia" w:cs="Arial"/>
        </w:rPr>
        <w:t>Innovations in biomaterials may provide scaffolds that support stem cell survival, integration, and function within damaged brain areas.</w:t>
      </w:r>
    </w:p>
    <w:p w14:paraId="03E7A03F" w14:textId="77777777" w:rsidR="00111BCF" w:rsidRPr="00FB171D" w:rsidRDefault="00111BCF" w:rsidP="00111BCF">
      <w:pPr>
        <w:pStyle w:val="Heading2"/>
        <w:rPr>
          <w:rFonts w:ascii="Georgia" w:hAnsi="Georgia" w:cs="Arial"/>
        </w:rPr>
      </w:pPr>
      <w:bookmarkStart w:id="120" w:name="_Toc209691154"/>
      <w:r w:rsidRPr="00FB171D">
        <w:rPr>
          <w:rFonts w:ascii="Georgia" w:hAnsi="Georgia" w:cs="Arial"/>
        </w:rPr>
        <w:t>Monitoring and Imaging</w:t>
      </w:r>
      <w:bookmarkEnd w:id="120"/>
    </w:p>
    <w:p w14:paraId="6BF96295" w14:textId="77777777" w:rsidR="00111BCF" w:rsidRPr="00FB171D" w:rsidRDefault="00111BCF" w:rsidP="00111BCF">
      <w:pPr>
        <w:rPr>
          <w:rFonts w:ascii="Georgia" w:hAnsi="Georgia" w:cs="Arial"/>
        </w:rPr>
      </w:pPr>
      <w:r w:rsidRPr="00FB171D">
        <w:rPr>
          <w:rFonts w:ascii="Georgia" w:hAnsi="Georgia" w:cs="Arial"/>
        </w:rPr>
        <w:t>Technologies to track implanted stem cells in real time—using imaging and biomarkers—will help researchers understand their fate and optimize treatment protocols.</w:t>
      </w:r>
    </w:p>
    <w:p w14:paraId="52E7BB99" w14:textId="77777777" w:rsidR="00111BCF" w:rsidRPr="00FB171D" w:rsidRDefault="00111BCF" w:rsidP="00111BCF">
      <w:pPr>
        <w:pStyle w:val="Heading2"/>
        <w:rPr>
          <w:rFonts w:ascii="Georgia" w:hAnsi="Georgia" w:cs="Arial"/>
        </w:rPr>
      </w:pPr>
      <w:bookmarkStart w:id="121" w:name="_Toc209691155"/>
      <w:r w:rsidRPr="00FB171D">
        <w:rPr>
          <w:rFonts w:ascii="Georgia" w:hAnsi="Georgia" w:cs="Arial"/>
        </w:rPr>
        <w:t>Ethical and Regulatory Advances</w:t>
      </w:r>
      <w:bookmarkEnd w:id="121"/>
    </w:p>
    <w:p w14:paraId="6DCB3BDD" w14:textId="77777777" w:rsidR="00111BCF" w:rsidRPr="00FB171D" w:rsidRDefault="00111BCF" w:rsidP="00111BCF">
      <w:pPr>
        <w:rPr>
          <w:rFonts w:ascii="Georgia" w:hAnsi="Georgia" w:cs="Arial"/>
        </w:rPr>
      </w:pPr>
      <w:r w:rsidRPr="00FB171D">
        <w:rPr>
          <w:rFonts w:ascii="Georgia" w:hAnsi="Georgia" w:cs="Arial"/>
        </w:rPr>
        <w:t>Ongoing discussions about the ethical use of stem cells, especially embryonic sources, and the establishment of clear regulatory pathways will be vital to expanding clinical access.</w:t>
      </w:r>
    </w:p>
    <w:p w14:paraId="12274091" w14:textId="77777777" w:rsidR="00111BCF" w:rsidRPr="00FB171D" w:rsidRDefault="00111BCF" w:rsidP="00111BCF">
      <w:pPr>
        <w:pStyle w:val="Heading1"/>
        <w:rPr>
          <w:rFonts w:ascii="Georgia" w:hAnsi="Georgia" w:cs="Arial"/>
        </w:rPr>
      </w:pPr>
      <w:bookmarkStart w:id="122" w:name="_Toc209691156"/>
      <w:r w:rsidRPr="00FB171D">
        <w:rPr>
          <w:rFonts w:ascii="Georgia" w:hAnsi="Georgia" w:cs="Arial"/>
        </w:rPr>
        <w:t>Conclusion</w:t>
      </w:r>
      <w:bookmarkEnd w:id="122"/>
    </w:p>
    <w:p w14:paraId="528F86AD" w14:textId="31973DB6" w:rsidR="003D5104" w:rsidRPr="00FB171D" w:rsidRDefault="00111BCF" w:rsidP="00111BCF">
      <w:pPr>
        <w:rPr>
          <w:rFonts w:ascii="Georgia" w:hAnsi="Georgia" w:cs="Arial"/>
        </w:rPr>
      </w:pPr>
      <w:r w:rsidRPr="00FB171D">
        <w:rPr>
          <w:rFonts w:ascii="Georgia" w:hAnsi="Georgia" w:cs="Arial"/>
        </w:rPr>
        <w:t>Stem cell therapy represents one of the most promising potential treatments for cognitive decline. The power to regenerate, repair, and replace lost brain cells offers hope for reversing or slowing the progression of neurodegenerative diseases and brain injuries. Early evidence from animal studies and initial clinical trials suggests that stem cell approaches can improve brain function and cognitive abilities, though much work remains before these therapies become standard practice. The coming years will bring advances in cell engineering, delivery techniques, and personalized medicine, moving stem cell therapy closer to clinical reality for those suffering from cognitive decline.</w:t>
      </w:r>
    </w:p>
    <w:p w14:paraId="042E2E11" w14:textId="77777777" w:rsidR="00F53799" w:rsidRPr="00FB171D" w:rsidRDefault="00000000" w:rsidP="00F53799">
      <w:pPr>
        <w:spacing w:before="100" w:beforeAutospacing="1" w:after="100" w:afterAutospacing="1" w:line="240" w:lineRule="auto"/>
        <w:rPr>
          <w:rFonts w:ascii="Georgia" w:eastAsia="Times New Roman" w:hAnsi="Georgia" w:cs="Arial"/>
          <w:color w:val="000000"/>
          <w:sz w:val="27"/>
          <w:szCs w:val="27"/>
        </w:rPr>
      </w:pPr>
      <w:hyperlink r:id="rId140" w:history="1">
        <w:r w:rsidR="00F53799" w:rsidRPr="00FB171D">
          <w:rPr>
            <w:rFonts w:ascii="Georgia" w:eastAsia="Times New Roman" w:hAnsi="Georgia" w:cs="Arial"/>
            <w:color w:val="0000FF"/>
            <w:sz w:val="27"/>
            <w:szCs w:val="27"/>
            <w:u w:val="single"/>
          </w:rPr>
          <w:t>Stem cell treatments are being explored for their potential to improve brain function, particularly in the context of neurodegenerative diseases and brain injuries</w:t>
        </w:r>
      </w:hyperlink>
      <w:hyperlink r:id="rId141" w:tgtFrame="_blank" w:history="1">
        <w:r w:rsidR="00F53799" w:rsidRPr="00FB171D">
          <w:rPr>
            <w:rFonts w:ascii="Georgia" w:eastAsia="Times New Roman" w:hAnsi="Georgia" w:cs="Arial"/>
            <w:color w:val="0000FF"/>
            <w:sz w:val="27"/>
            <w:szCs w:val="27"/>
            <w:u w:val="single"/>
            <w:vertAlign w:val="superscript"/>
          </w:rPr>
          <w:t>1</w:t>
        </w:r>
      </w:hyperlink>
      <w:hyperlink r:id="rId142" w:tgtFrame="_blank" w:history="1">
        <w:r w:rsidR="00F53799" w:rsidRPr="00FB171D">
          <w:rPr>
            <w:rFonts w:ascii="Georgia" w:eastAsia="Times New Roman" w:hAnsi="Georgia" w:cs="Arial"/>
            <w:color w:val="0000FF"/>
            <w:sz w:val="27"/>
            <w:szCs w:val="27"/>
            <w:u w:val="single"/>
            <w:vertAlign w:val="superscript"/>
          </w:rPr>
          <w:t>2</w:t>
        </w:r>
      </w:hyperlink>
      <w:hyperlink r:id="rId143" w:tgtFrame="_blank" w:history="1">
        <w:r w:rsidR="00F53799" w:rsidRPr="00FB171D">
          <w:rPr>
            <w:rFonts w:ascii="Georgia" w:eastAsia="Times New Roman" w:hAnsi="Georgia" w:cs="Arial"/>
            <w:color w:val="0000FF"/>
            <w:sz w:val="27"/>
            <w:szCs w:val="27"/>
            <w:u w:val="single"/>
            <w:vertAlign w:val="superscript"/>
          </w:rPr>
          <w:t>3</w:t>
        </w:r>
      </w:hyperlink>
      <w:hyperlink r:id="rId144" w:tgtFrame="_blank" w:history="1">
        <w:r w:rsidR="00F53799" w:rsidRPr="00FB171D">
          <w:rPr>
            <w:rFonts w:ascii="Georgia" w:eastAsia="Times New Roman" w:hAnsi="Georgia" w:cs="Arial"/>
            <w:color w:val="0000FF"/>
            <w:sz w:val="27"/>
            <w:szCs w:val="27"/>
            <w:u w:val="single"/>
            <w:vertAlign w:val="superscript"/>
          </w:rPr>
          <w:t>4</w:t>
        </w:r>
      </w:hyperlink>
      <w:r w:rsidR="00F53799" w:rsidRPr="00FB171D">
        <w:rPr>
          <w:rFonts w:ascii="Georgia" w:eastAsia="Times New Roman" w:hAnsi="Georgia" w:cs="Arial"/>
          <w:color w:val="000000"/>
          <w:sz w:val="27"/>
          <w:szCs w:val="27"/>
        </w:rPr>
        <w:t>. Here are some key points:</w:t>
      </w:r>
    </w:p>
    <w:p w14:paraId="7AA9FB45" w14:textId="77777777" w:rsidR="00F53799" w:rsidRPr="00FB171D" w:rsidRDefault="00000000" w:rsidP="00734CAC">
      <w:pPr>
        <w:numPr>
          <w:ilvl w:val="0"/>
          <w:numId w:val="8"/>
        </w:numPr>
        <w:spacing w:before="100" w:beforeAutospacing="1" w:after="100" w:afterAutospacing="1" w:line="240" w:lineRule="auto"/>
        <w:rPr>
          <w:rFonts w:ascii="Georgia" w:eastAsia="Times New Roman" w:hAnsi="Georgia" w:cs="Arial"/>
          <w:color w:val="000000"/>
          <w:sz w:val="27"/>
          <w:szCs w:val="27"/>
        </w:rPr>
      </w:pPr>
      <w:hyperlink r:id="rId145" w:history="1">
        <w:r w:rsidR="00F53799" w:rsidRPr="00FB171D">
          <w:rPr>
            <w:rFonts w:ascii="Georgia" w:eastAsia="Times New Roman" w:hAnsi="Georgia" w:cs="Arial"/>
            <w:b/>
            <w:bCs/>
            <w:color w:val="0000FF"/>
            <w:sz w:val="27"/>
            <w:szCs w:val="27"/>
            <w:u w:val="single"/>
          </w:rPr>
          <w:t>Regenerative Medicine</w:t>
        </w:r>
        <w:r w:rsidR="00F53799" w:rsidRPr="00FB171D">
          <w:rPr>
            <w:rFonts w:ascii="Georgia" w:eastAsia="Times New Roman" w:hAnsi="Georgia" w:cs="Arial"/>
            <w:color w:val="0000FF"/>
            <w:sz w:val="27"/>
            <w:szCs w:val="27"/>
            <w:u w:val="single"/>
          </w:rPr>
          <w:t>: Clinical trials using stem cells have shown promising early results as cellular therapies in regenerative medicine</w:t>
        </w:r>
      </w:hyperlink>
      <w:hyperlink r:id="rId146" w:tgtFrame="_blank" w:history="1">
        <w:r w:rsidR="00F53799" w:rsidRPr="00FB171D">
          <w:rPr>
            <w:rFonts w:ascii="Georgia" w:eastAsia="Times New Roman" w:hAnsi="Georgia" w:cs="Arial"/>
            <w:color w:val="0000FF"/>
            <w:sz w:val="27"/>
            <w:szCs w:val="27"/>
            <w:u w:val="single"/>
            <w:vertAlign w:val="superscript"/>
          </w:rPr>
          <w:t>1</w:t>
        </w:r>
      </w:hyperlink>
      <w:r w:rsidR="00F53799" w:rsidRPr="00FB171D">
        <w:rPr>
          <w:rFonts w:ascii="Georgia" w:eastAsia="Times New Roman" w:hAnsi="Georgia" w:cs="Arial"/>
          <w:color w:val="000000"/>
          <w:sz w:val="27"/>
          <w:szCs w:val="27"/>
        </w:rPr>
        <w:t xml:space="preserve">. </w:t>
      </w:r>
      <w:hyperlink r:id="rId147" w:history="1">
        <w:r w:rsidR="00F53799" w:rsidRPr="00FB171D">
          <w:rPr>
            <w:rFonts w:ascii="Georgia" w:eastAsia="Times New Roman" w:hAnsi="Georgia" w:cs="Arial"/>
            <w:color w:val="0000FF"/>
            <w:sz w:val="27"/>
            <w:szCs w:val="27"/>
            <w:u w:val="single"/>
          </w:rPr>
          <w:t>The flexibility and adaptability of these cells make them especially exciting new therapeutic options, both for rebuilding damaged brain tissues as well as for combatting cancer</w:t>
        </w:r>
      </w:hyperlink>
      <w:hyperlink r:id="rId148" w:tgtFrame="_blank" w:history="1">
        <w:r w:rsidR="00F53799" w:rsidRPr="00FB171D">
          <w:rPr>
            <w:rFonts w:ascii="Georgia" w:eastAsia="Times New Roman" w:hAnsi="Georgia" w:cs="Arial"/>
            <w:color w:val="0000FF"/>
            <w:sz w:val="27"/>
            <w:szCs w:val="27"/>
            <w:u w:val="single"/>
            <w:vertAlign w:val="superscript"/>
          </w:rPr>
          <w:t>1</w:t>
        </w:r>
      </w:hyperlink>
      <w:r w:rsidR="00F53799" w:rsidRPr="00FB171D">
        <w:rPr>
          <w:rFonts w:ascii="Georgia" w:eastAsia="Times New Roman" w:hAnsi="Georgia" w:cs="Arial"/>
          <w:color w:val="000000"/>
          <w:sz w:val="27"/>
          <w:szCs w:val="27"/>
        </w:rPr>
        <w:t>.</w:t>
      </w:r>
    </w:p>
    <w:p w14:paraId="66196FA3" w14:textId="77777777" w:rsidR="00F53799" w:rsidRPr="00FB171D" w:rsidRDefault="00000000" w:rsidP="00734CAC">
      <w:pPr>
        <w:numPr>
          <w:ilvl w:val="0"/>
          <w:numId w:val="8"/>
        </w:numPr>
        <w:spacing w:before="100" w:beforeAutospacing="1" w:after="100" w:afterAutospacing="1" w:line="240" w:lineRule="auto"/>
        <w:rPr>
          <w:rFonts w:ascii="Georgia" w:eastAsia="Times New Roman" w:hAnsi="Georgia" w:cs="Arial"/>
          <w:color w:val="000000"/>
          <w:sz w:val="27"/>
          <w:szCs w:val="27"/>
        </w:rPr>
      </w:pPr>
      <w:hyperlink r:id="rId149" w:history="1">
        <w:r w:rsidR="00F53799" w:rsidRPr="00FB171D">
          <w:rPr>
            <w:rFonts w:ascii="Georgia" w:eastAsia="Times New Roman" w:hAnsi="Georgia" w:cs="Arial"/>
            <w:b/>
            <w:bCs/>
            <w:color w:val="0000FF"/>
            <w:sz w:val="27"/>
            <w:szCs w:val="27"/>
            <w:u w:val="single"/>
          </w:rPr>
          <w:t>Stem Cell Therapy</w:t>
        </w:r>
        <w:r w:rsidR="00F53799" w:rsidRPr="00FB171D">
          <w:rPr>
            <w:rFonts w:ascii="Georgia" w:eastAsia="Times New Roman" w:hAnsi="Georgia" w:cs="Arial"/>
            <w:color w:val="0000FF"/>
            <w:sz w:val="27"/>
            <w:szCs w:val="27"/>
            <w:u w:val="single"/>
          </w:rPr>
          <w:t>: Stem cell therapy can potentially help brain injury patients regenerate the damaged parts of their brain and recover function</w:t>
        </w:r>
      </w:hyperlink>
      <w:hyperlink r:id="rId150" w:tgtFrame="_blank" w:history="1">
        <w:r w:rsidR="00F53799" w:rsidRPr="00FB171D">
          <w:rPr>
            <w:rFonts w:ascii="Georgia" w:eastAsia="Times New Roman" w:hAnsi="Georgia" w:cs="Arial"/>
            <w:color w:val="0000FF"/>
            <w:sz w:val="27"/>
            <w:szCs w:val="27"/>
            <w:u w:val="single"/>
            <w:vertAlign w:val="superscript"/>
          </w:rPr>
          <w:t>4</w:t>
        </w:r>
      </w:hyperlink>
      <w:r w:rsidR="00F53799" w:rsidRPr="00FB171D">
        <w:rPr>
          <w:rFonts w:ascii="Georgia" w:eastAsia="Times New Roman" w:hAnsi="Georgia" w:cs="Arial"/>
          <w:color w:val="000000"/>
          <w:sz w:val="27"/>
          <w:szCs w:val="27"/>
        </w:rPr>
        <w:t xml:space="preserve">. </w:t>
      </w:r>
      <w:hyperlink r:id="rId151" w:history="1">
        <w:r w:rsidR="00F53799" w:rsidRPr="00FB171D">
          <w:rPr>
            <w:rFonts w:ascii="Georgia" w:eastAsia="Times New Roman" w:hAnsi="Georgia" w:cs="Arial"/>
            <w:color w:val="0000FF"/>
            <w:sz w:val="27"/>
            <w:szCs w:val="27"/>
            <w:u w:val="single"/>
          </w:rPr>
          <w:t>Modified stem cells were placed directly into the site of brain injury in stroke and traumatic brain injury (TBI) participants</w:t>
        </w:r>
      </w:hyperlink>
      <w:hyperlink r:id="rId152" w:tgtFrame="_blank" w:history="1">
        <w:r w:rsidR="00F53799" w:rsidRPr="00FB171D">
          <w:rPr>
            <w:rFonts w:ascii="Georgia" w:eastAsia="Times New Roman" w:hAnsi="Georgia" w:cs="Arial"/>
            <w:color w:val="0000FF"/>
            <w:sz w:val="27"/>
            <w:szCs w:val="27"/>
            <w:u w:val="single"/>
            <w:vertAlign w:val="superscript"/>
          </w:rPr>
          <w:t>1</w:t>
        </w:r>
      </w:hyperlink>
      <w:r w:rsidR="00F53799" w:rsidRPr="00FB171D">
        <w:rPr>
          <w:rFonts w:ascii="Georgia" w:eastAsia="Times New Roman" w:hAnsi="Georgia" w:cs="Arial"/>
          <w:color w:val="000000"/>
          <w:sz w:val="27"/>
          <w:szCs w:val="27"/>
        </w:rPr>
        <w:t>.</w:t>
      </w:r>
    </w:p>
    <w:p w14:paraId="78DCBDDE" w14:textId="77777777" w:rsidR="00F53799" w:rsidRPr="00FB171D" w:rsidRDefault="00000000" w:rsidP="00734CAC">
      <w:pPr>
        <w:numPr>
          <w:ilvl w:val="0"/>
          <w:numId w:val="8"/>
        </w:numPr>
        <w:spacing w:before="100" w:beforeAutospacing="1" w:after="100" w:afterAutospacing="1" w:line="240" w:lineRule="auto"/>
        <w:rPr>
          <w:rFonts w:ascii="Georgia" w:eastAsia="Times New Roman" w:hAnsi="Georgia" w:cs="Arial"/>
          <w:color w:val="000000"/>
          <w:sz w:val="27"/>
          <w:szCs w:val="27"/>
        </w:rPr>
      </w:pPr>
      <w:hyperlink r:id="rId153" w:history="1">
        <w:r w:rsidR="00F53799" w:rsidRPr="00FB171D">
          <w:rPr>
            <w:rFonts w:ascii="Georgia" w:eastAsia="Times New Roman" w:hAnsi="Georgia" w:cs="Arial"/>
            <w:b/>
            <w:bCs/>
            <w:color w:val="0000FF"/>
            <w:sz w:val="27"/>
            <w:szCs w:val="27"/>
            <w:u w:val="single"/>
          </w:rPr>
          <w:t>Alzheimer’s Disease</w:t>
        </w:r>
        <w:r w:rsidR="00F53799" w:rsidRPr="00FB171D">
          <w:rPr>
            <w:rFonts w:ascii="Georgia" w:eastAsia="Times New Roman" w:hAnsi="Georgia" w:cs="Arial"/>
            <w:color w:val="0000FF"/>
            <w:sz w:val="27"/>
            <w:szCs w:val="27"/>
            <w:u w:val="single"/>
          </w:rPr>
          <w:t>: Research suggests stem cell therapy may improve brain health by reducing swelling, repairing damaged nerve cells, and improving cognitive function in people with mild to severe Alzheimer’s disease and other related dementias</w:t>
        </w:r>
      </w:hyperlink>
      <w:hyperlink r:id="rId154" w:tgtFrame="_blank" w:history="1">
        <w:r w:rsidR="00F53799" w:rsidRPr="00FB171D">
          <w:rPr>
            <w:rFonts w:ascii="Georgia" w:eastAsia="Times New Roman" w:hAnsi="Georgia" w:cs="Arial"/>
            <w:color w:val="0000FF"/>
            <w:sz w:val="27"/>
            <w:szCs w:val="27"/>
            <w:u w:val="single"/>
            <w:vertAlign w:val="superscript"/>
          </w:rPr>
          <w:t>3</w:t>
        </w:r>
      </w:hyperlink>
      <w:r w:rsidR="00F53799" w:rsidRPr="00FB171D">
        <w:rPr>
          <w:rFonts w:ascii="Georgia" w:eastAsia="Times New Roman" w:hAnsi="Georgia" w:cs="Arial"/>
          <w:color w:val="000000"/>
          <w:sz w:val="27"/>
          <w:szCs w:val="27"/>
        </w:rPr>
        <w:t>.</w:t>
      </w:r>
    </w:p>
    <w:p w14:paraId="476CDEF1" w14:textId="77777777" w:rsidR="00F53799" w:rsidRPr="00FB171D" w:rsidRDefault="00000000" w:rsidP="00734CAC">
      <w:pPr>
        <w:numPr>
          <w:ilvl w:val="0"/>
          <w:numId w:val="8"/>
        </w:numPr>
        <w:spacing w:before="100" w:beforeAutospacing="1" w:after="100" w:afterAutospacing="1" w:line="240" w:lineRule="auto"/>
        <w:rPr>
          <w:rFonts w:ascii="Georgia" w:eastAsia="Times New Roman" w:hAnsi="Georgia" w:cs="Arial"/>
          <w:color w:val="000000"/>
          <w:sz w:val="27"/>
          <w:szCs w:val="27"/>
        </w:rPr>
      </w:pPr>
      <w:hyperlink r:id="rId155" w:history="1">
        <w:r w:rsidR="00F53799" w:rsidRPr="00FB171D">
          <w:rPr>
            <w:rFonts w:ascii="Georgia" w:eastAsia="Times New Roman" w:hAnsi="Georgia" w:cs="Arial"/>
            <w:b/>
            <w:bCs/>
            <w:color w:val="0000FF"/>
            <w:sz w:val="27"/>
            <w:szCs w:val="27"/>
            <w:u w:val="single"/>
          </w:rPr>
          <w:t>Aging Brain</w:t>
        </w:r>
        <w:r w:rsidR="00F53799" w:rsidRPr="00FB171D">
          <w:rPr>
            <w:rFonts w:ascii="Georgia" w:eastAsia="Times New Roman" w:hAnsi="Georgia" w:cs="Arial"/>
            <w:color w:val="0000FF"/>
            <w:sz w:val="27"/>
            <w:szCs w:val="27"/>
            <w:u w:val="single"/>
          </w:rPr>
          <w:t>: Using stem cell approaches to boost brain function and prevent effects of the aging brain is of interest in maintaining brain health as well</w:t>
        </w:r>
      </w:hyperlink>
      <w:hyperlink r:id="rId156" w:tgtFrame="_blank" w:history="1">
        <w:r w:rsidR="00F53799" w:rsidRPr="00FB171D">
          <w:rPr>
            <w:rFonts w:ascii="Georgia" w:eastAsia="Times New Roman" w:hAnsi="Georgia" w:cs="Arial"/>
            <w:color w:val="0000FF"/>
            <w:sz w:val="27"/>
            <w:szCs w:val="27"/>
            <w:u w:val="single"/>
            <w:vertAlign w:val="superscript"/>
          </w:rPr>
          <w:t>1</w:t>
        </w:r>
      </w:hyperlink>
      <w:r w:rsidR="00F53799" w:rsidRPr="00FB171D">
        <w:rPr>
          <w:rFonts w:ascii="Georgia" w:eastAsia="Times New Roman" w:hAnsi="Georgia" w:cs="Arial"/>
          <w:color w:val="000000"/>
          <w:sz w:val="27"/>
          <w:szCs w:val="27"/>
        </w:rPr>
        <w:t>.</w:t>
      </w:r>
    </w:p>
    <w:p w14:paraId="36B18F9B" w14:textId="77777777" w:rsidR="00F53799" w:rsidRPr="00FB171D" w:rsidRDefault="00000000" w:rsidP="00F53799">
      <w:pPr>
        <w:spacing w:after="0"/>
        <w:rPr>
          <w:rFonts w:ascii="Georgia" w:eastAsia="Segoe UI" w:hAnsi="Georgia" w:cs="Arial"/>
          <w:color w:val="FF0000"/>
          <w:sz w:val="28"/>
          <w:szCs w:val="28"/>
        </w:rPr>
      </w:pPr>
      <w:hyperlink r:id="rId157" w:tgtFrame="_blank" w:history="1">
        <w:r w:rsidR="00F53799" w:rsidRPr="00FB171D">
          <w:rPr>
            <w:rFonts w:ascii="Georgia" w:hAnsi="Georgia" w:cs="Arial"/>
            <w:color w:val="4007A2"/>
            <w:u w:val="single"/>
            <w:shd w:val="clear" w:color="auto" w:fill="FFFFFF"/>
          </w:rPr>
          <w:t>Stem cell therapy is a </w:t>
        </w:r>
        <w:r w:rsidR="00F53799" w:rsidRPr="00FB171D">
          <w:rPr>
            <w:rFonts w:ascii="Georgia" w:hAnsi="Georgia" w:cs="Arial"/>
            <w:b/>
            <w:bCs/>
            <w:color w:val="4007A2"/>
            <w:shd w:val="clear" w:color="auto" w:fill="FFFFFF"/>
          </w:rPr>
          <w:t>promising potential treatment for Parkinson’s disease</w:t>
        </w:r>
      </w:hyperlink>
      <w:hyperlink r:id="rId158" w:tgtFrame="_blank" w:history="1">
        <w:r w:rsidR="00F53799" w:rsidRPr="00FB171D">
          <w:rPr>
            <w:rFonts w:ascii="Georgia" w:hAnsi="Georgia" w:cs="Arial"/>
            <w:b/>
            <w:bCs/>
            <w:color w:val="123BB6"/>
            <w:sz w:val="15"/>
            <w:szCs w:val="15"/>
            <w:u w:val="single"/>
            <w:shd w:val="clear" w:color="auto" w:fill="D1DBFA"/>
            <w:vertAlign w:val="superscript"/>
          </w:rPr>
          <w:t>1</w:t>
        </w:r>
      </w:hyperlink>
      <w:hyperlink r:id="rId159" w:tgtFrame="_blank" w:history="1">
        <w:r w:rsidR="00F53799" w:rsidRPr="00FB171D">
          <w:rPr>
            <w:rFonts w:ascii="Georgia" w:hAnsi="Georgia" w:cs="Arial"/>
            <w:b/>
            <w:bCs/>
            <w:color w:val="123BB6"/>
            <w:sz w:val="15"/>
            <w:szCs w:val="15"/>
            <w:u w:val="single"/>
            <w:shd w:val="clear" w:color="auto" w:fill="D1DBFA"/>
            <w:vertAlign w:val="superscript"/>
          </w:rPr>
          <w:t>2</w:t>
        </w:r>
      </w:hyperlink>
      <w:hyperlink r:id="rId160" w:tgtFrame="_blank" w:history="1">
        <w:r w:rsidR="00F53799" w:rsidRPr="00FB171D">
          <w:rPr>
            <w:rFonts w:ascii="Georgia" w:hAnsi="Georgia" w:cs="Arial"/>
            <w:b/>
            <w:bCs/>
            <w:color w:val="123BB6"/>
            <w:sz w:val="15"/>
            <w:szCs w:val="15"/>
            <w:u w:val="single"/>
            <w:shd w:val="clear" w:color="auto" w:fill="D1DBFA"/>
            <w:vertAlign w:val="superscript"/>
          </w:rPr>
          <w:t>3</w:t>
        </w:r>
      </w:hyperlink>
      <w:hyperlink r:id="rId161" w:tgtFrame="_blank" w:history="1">
        <w:r w:rsidR="00F53799" w:rsidRPr="00FB171D">
          <w:rPr>
            <w:rFonts w:ascii="Georgia" w:hAnsi="Georgia" w:cs="Arial"/>
            <w:b/>
            <w:bCs/>
            <w:color w:val="123BB6"/>
            <w:sz w:val="15"/>
            <w:szCs w:val="15"/>
            <w:u w:val="single"/>
            <w:shd w:val="clear" w:color="auto" w:fill="D1DBFA"/>
            <w:vertAlign w:val="superscript"/>
          </w:rPr>
          <w:t>4</w:t>
        </w:r>
      </w:hyperlink>
      <w:r w:rsidR="00F53799" w:rsidRPr="00FB171D">
        <w:rPr>
          <w:rFonts w:ascii="Georgia" w:hAnsi="Georgia" w:cs="Arial"/>
          <w:color w:val="111111"/>
          <w:shd w:val="clear" w:color="auto" w:fill="FFFFFF"/>
        </w:rPr>
        <w:t>. </w:t>
      </w:r>
      <w:hyperlink r:id="rId162" w:tgtFrame="_blank" w:history="1">
        <w:r w:rsidR="00F53799" w:rsidRPr="00FB171D">
          <w:rPr>
            <w:rFonts w:ascii="Georgia" w:hAnsi="Georgia" w:cs="Arial"/>
            <w:color w:val="4007A2"/>
            <w:u w:val="single"/>
            <w:shd w:val="clear" w:color="auto" w:fill="FFFFFF"/>
          </w:rPr>
          <w:t>Stem cells may be able to replace or repair lost or damaged dopamine-producing cells in the brain, which can help to reduce tremors and improve the function of the dopamine-producing cells in the brain, which can help improve bradykinesia</w:t>
        </w:r>
      </w:hyperlink>
      <w:hyperlink r:id="rId163" w:tgtFrame="_blank" w:history="1">
        <w:r w:rsidR="00F53799" w:rsidRPr="00FB171D">
          <w:rPr>
            <w:rFonts w:ascii="Georgia" w:hAnsi="Georgia" w:cs="Arial"/>
            <w:b/>
            <w:bCs/>
            <w:color w:val="123BB6"/>
            <w:sz w:val="15"/>
            <w:szCs w:val="15"/>
            <w:u w:val="single"/>
            <w:shd w:val="clear" w:color="auto" w:fill="D1DBFA"/>
            <w:vertAlign w:val="superscript"/>
          </w:rPr>
          <w:t>1</w:t>
        </w:r>
      </w:hyperlink>
      <w:hyperlink r:id="rId164" w:tgtFrame="_blank" w:history="1">
        <w:r w:rsidR="00F53799" w:rsidRPr="00FB171D">
          <w:rPr>
            <w:rFonts w:ascii="Georgia" w:hAnsi="Georgia" w:cs="Arial"/>
            <w:b/>
            <w:bCs/>
            <w:color w:val="123BB6"/>
            <w:sz w:val="15"/>
            <w:szCs w:val="15"/>
            <w:u w:val="single"/>
            <w:shd w:val="clear" w:color="auto" w:fill="D1DBFA"/>
            <w:vertAlign w:val="superscript"/>
          </w:rPr>
          <w:t>2</w:t>
        </w:r>
      </w:hyperlink>
      <w:r w:rsidR="00F53799" w:rsidRPr="00FB171D">
        <w:rPr>
          <w:rFonts w:ascii="Georgia" w:hAnsi="Georgia" w:cs="Arial"/>
          <w:color w:val="111111"/>
          <w:shd w:val="clear" w:color="auto" w:fill="FFFFFF"/>
        </w:rPr>
        <w:t>. </w:t>
      </w:r>
      <w:hyperlink r:id="rId165" w:tgtFrame="_blank" w:history="1">
        <w:r w:rsidR="00F53799" w:rsidRPr="00FB171D">
          <w:rPr>
            <w:rFonts w:ascii="Georgia" w:hAnsi="Georgia" w:cs="Arial"/>
            <w:color w:val="4007A2"/>
            <w:u w:val="single"/>
            <w:shd w:val="clear" w:color="auto" w:fill="FFFFFF"/>
          </w:rPr>
          <w:t>Stem cell therapy is based on cultivating stem cells and differentiating them to grow into dopamine-secreting neurons which can be transplanted into the brain</w:t>
        </w:r>
      </w:hyperlink>
      <w:hyperlink r:id="rId166" w:tgtFrame="_blank" w:history="1">
        <w:r w:rsidR="00F53799" w:rsidRPr="00FB171D">
          <w:rPr>
            <w:rFonts w:ascii="Georgia" w:hAnsi="Georgia" w:cs="Arial"/>
            <w:b/>
            <w:bCs/>
            <w:color w:val="123BB6"/>
            <w:sz w:val="15"/>
            <w:szCs w:val="15"/>
            <w:u w:val="single"/>
            <w:shd w:val="clear" w:color="auto" w:fill="D1DBFA"/>
            <w:vertAlign w:val="superscript"/>
          </w:rPr>
          <w:t>3</w:t>
        </w:r>
      </w:hyperlink>
      <w:r w:rsidR="00F53799" w:rsidRPr="00FB171D">
        <w:rPr>
          <w:rFonts w:ascii="Georgia" w:hAnsi="Georgia" w:cs="Arial"/>
          <w:color w:val="111111"/>
          <w:shd w:val="clear" w:color="auto" w:fill="FFFFFF"/>
        </w:rPr>
        <w:t>.</w:t>
      </w:r>
    </w:p>
    <w:p w14:paraId="54DEEECC" w14:textId="77777777" w:rsidR="00F53799" w:rsidRPr="00FB171D" w:rsidRDefault="00F53799" w:rsidP="00F53799">
      <w:pPr>
        <w:spacing w:after="0"/>
        <w:rPr>
          <w:rFonts w:ascii="Georgia" w:eastAsia="Segoe UI" w:hAnsi="Georgia" w:cs="Arial"/>
          <w:color w:val="FF0000"/>
          <w:sz w:val="28"/>
          <w:szCs w:val="28"/>
        </w:rPr>
      </w:pPr>
      <w:r w:rsidRPr="00FB171D">
        <w:rPr>
          <w:rFonts w:ascii="Georgia" w:eastAsia="Segoe UI" w:hAnsi="Georgia" w:cs="Arial"/>
          <w:color w:val="FF0000"/>
          <w:sz w:val="28"/>
          <w:szCs w:val="28"/>
        </w:rPr>
        <w:tab/>
      </w:r>
    </w:p>
    <w:p w14:paraId="077BD883" w14:textId="77777777" w:rsidR="00F53799" w:rsidRPr="00FB171D" w:rsidRDefault="00F53799" w:rsidP="00F53799">
      <w:pPr>
        <w:spacing w:after="0"/>
        <w:rPr>
          <w:rFonts w:ascii="Georgia" w:eastAsia="Segoe UI" w:hAnsi="Georgia" w:cs="Arial"/>
          <w:color w:val="FF0000"/>
          <w:sz w:val="28"/>
          <w:szCs w:val="28"/>
        </w:rPr>
      </w:pPr>
    </w:p>
    <w:p w14:paraId="352DC93F" w14:textId="77777777" w:rsidR="00F53799" w:rsidRPr="00FB171D" w:rsidRDefault="00F53799" w:rsidP="00F53799">
      <w:pPr>
        <w:spacing w:after="0"/>
        <w:rPr>
          <w:rFonts w:ascii="Georgia" w:eastAsia="Segoe UI" w:hAnsi="Georgia" w:cs="Arial"/>
          <w:color w:val="FF0000"/>
          <w:sz w:val="28"/>
          <w:szCs w:val="28"/>
        </w:rPr>
      </w:pPr>
      <w:r w:rsidRPr="00FB171D">
        <w:rPr>
          <w:rFonts w:ascii="Georgia" w:eastAsia="Segoe UI" w:hAnsi="Georgia" w:cs="Arial"/>
          <w:color w:val="FF0000"/>
          <w:sz w:val="28"/>
          <w:szCs w:val="28"/>
        </w:rPr>
        <w:t>Hormones</w:t>
      </w:r>
    </w:p>
    <w:p w14:paraId="4DB6149B" w14:textId="77777777" w:rsidR="00E82955" w:rsidRPr="00FB171D" w:rsidRDefault="00000000" w:rsidP="00F53799">
      <w:pPr>
        <w:spacing w:before="100" w:beforeAutospacing="1" w:after="100" w:afterAutospacing="1" w:line="240" w:lineRule="auto"/>
        <w:rPr>
          <w:rFonts w:ascii="Georgia" w:eastAsia="Times New Roman" w:hAnsi="Georgia" w:cs="Arial"/>
          <w:color w:val="000000"/>
          <w:sz w:val="27"/>
          <w:szCs w:val="27"/>
        </w:rPr>
      </w:pPr>
      <w:hyperlink r:id="rId167" w:history="1">
        <w:r w:rsidR="00F53799" w:rsidRPr="00FB171D">
          <w:rPr>
            <w:rFonts w:ascii="Georgia" w:eastAsia="Times New Roman" w:hAnsi="Georgia" w:cs="Arial"/>
            <w:color w:val="0000FF"/>
            <w:sz w:val="27"/>
            <w:szCs w:val="27"/>
            <w:u w:val="single"/>
          </w:rPr>
          <w:t>Hormone treatments have been studied for their potential effects on cognitive decline, particularly in the context of menopause and aging</w:t>
        </w:r>
      </w:hyperlink>
      <w:hyperlink r:id="rId168" w:tgtFrame="_blank" w:history="1">
        <w:r w:rsidR="00F53799" w:rsidRPr="00FB171D">
          <w:rPr>
            <w:rFonts w:ascii="Georgia" w:eastAsia="Times New Roman" w:hAnsi="Georgia" w:cs="Arial"/>
            <w:color w:val="0000FF"/>
            <w:sz w:val="27"/>
            <w:szCs w:val="27"/>
            <w:u w:val="single"/>
            <w:vertAlign w:val="superscript"/>
          </w:rPr>
          <w:t>1</w:t>
        </w:r>
      </w:hyperlink>
      <w:hyperlink r:id="rId169" w:tgtFrame="_blank" w:history="1">
        <w:r w:rsidR="00F53799" w:rsidRPr="00FB171D">
          <w:rPr>
            <w:rFonts w:ascii="Georgia" w:eastAsia="Times New Roman" w:hAnsi="Georgia" w:cs="Arial"/>
            <w:color w:val="0000FF"/>
            <w:sz w:val="27"/>
            <w:szCs w:val="27"/>
            <w:u w:val="single"/>
            <w:vertAlign w:val="superscript"/>
          </w:rPr>
          <w:t>2</w:t>
        </w:r>
      </w:hyperlink>
      <w:hyperlink r:id="rId170" w:tgtFrame="_blank" w:history="1">
        <w:r w:rsidR="00F53799" w:rsidRPr="00FB171D">
          <w:rPr>
            <w:rFonts w:ascii="Georgia" w:eastAsia="Times New Roman" w:hAnsi="Georgia" w:cs="Arial"/>
            <w:color w:val="0000FF"/>
            <w:sz w:val="27"/>
            <w:szCs w:val="27"/>
            <w:u w:val="single"/>
            <w:vertAlign w:val="superscript"/>
          </w:rPr>
          <w:t>3</w:t>
        </w:r>
      </w:hyperlink>
      <w:hyperlink r:id="rId171" w:tgtFrame="_blank" w:history="1">
        <w:r w:rsidR="00F53799" w:rsidRPr="00FB171D">
          <w:rPr>
            <w:rFonts w:ascii="Georgia" w:eastAsia="Times New Roman" w:hAnsi="Georgia" w:cs="Arial"/>
            <w:color w:val="0000FF"/>
            <w:sz w:val="27"/>
            <w:szCs w:val="27"/>
            <w:u w:val="single"/>
            <w:vertAlign w:val="superscript"/>
          </w:rPr>
          <w:t>4</w:t>
        </w:r>
      </w:hyperlink>
      <w:r w:rsidR="00F53799" w:rsidRPr="00FB171D">
        <w:rPr>
          <w:rFonts w:ascii="Georgia" w:eastAsia="Times New Roman" w:hAnsi="Georgia" w:cs="Arial"/>
          <w:color w:val="000000"/>
          <w:sz w:val="27"/>
          <w:szCs w:val="27"/>
        </w:rPr>
        <w:t xml:space="preserve">. </w:t>
      </w:r>
    </w:p>
    <w:p w14:paraId="2BC715CD" w14:textId="77777777" w:rsidR="00E82955" w:rsidRPr="00FB171D" w:rsidRDefault="00E82955" w:rsidP="00E82955">
      <w:pPr>
        <w:pStyle w:val="Heading1"/>
        <w:rPr>
          <w:rFonts w:ascii="Georgia" w:eastAsia="Times New Roman" w:hAnsi="Georgia" w:cs="Arial"/>
        </w:rPr>
      </w:pPr>
      <w:bookmarkStart w:id="123" w:name="_Toc209691157"/>
      <w:r w:rsidRPr="00FB171D">
        <w:rPr>
          <w:rFonts w:ascii="Georgia" w:eastAsia="Times New Roman" w:hAnsi="Georgia" w:cs="Arial"/>
        </w:rPr>
        <w:t>Hormone Therapy and Cognitive Decline</w:t>
      </w:r>
      <w:bookmarkEnd w:id="123"/>
    </w:p>
    <w:p w14:paraId="62D6CFDA" w14:textId="77777777" w:rsidR="00E82955" w:rsidRPr="00FB171D" w:rsidRDefault="00E82955" w:rsidP="00E82955">
      <w:pPr>
        <w:rPr>
          <w:rFonts w:ascii="Georgia" w:hAnsi="Georgia" w:cs="Arial"/>
        </w:rPr>
      </w:pPr>
      <w:r w:rsidRPr="00FB171D">
        <w:rPr>
          <w:rFonts w:ascii="Georgia" w:hAnsi="Georgia" w:cs="Arial"/>
        </w:rPr>
        <w:t>The complex interplay between hormones and brain function has become an important area of study in the quest to mitigate cognitive decline. Hormones regulate a wide array of physiological processes in the brain, influencing memory, mood, neuroprotection, and even the structure of neural circuits. Several hormone-based therapies have therefore been explored for their potential to prevent, slow, or even reverse cognitive impairment associated with aging and neurodegenerative diseases.</w:t>
      </w:r>
    </w:p>
    <w:p w14:paraId="0F563A12" w14:textId="77777777" w:rsidR="00E82955" w:rsidRPr="00FB171D" w:rsidRDefault="00E82955" w:rsidP="00E82955">
      <w:pPr>
        <w:pStyle w:val="Heading2"/>
        <w:rPr>
          <w:rFonts w:ascii="Georgia" w:hAnsi="Georgia" w:cs="Arial"/>
        </w:rPr>
      </w:pPr>
      <w:bookmarkStart w:id="124" w:name="_Toc209691158"/>
      <w:r w:rsidRPr="00FB171D">
        <w:rPr>
          <w:rFonts w:ascii="Georgia" w:hAnsi="Georgia" w:cs="Arial"/>
        </w:rPr>
        <w:t>Menopausal Hormone Therapy (MHT)</w:t>
      </w:r>
      <w:bookmarkEnd w:id="124"/>
    </w:p>
    <w:p w14:paraId="145A75FE" w14:textId="77777777" w:rsidR="00E82955" w:rsidRPr="00FB171D" w:rsidRDefault="00E82955" w:rsidP="00E82955">
      <w:pPr>
        <w:rPr>
          <w:rFonts w:ascii="Georgia" w:hAnsi="Georgia" w:cs="Arial"/>
        </w:rPr>
      </w:pPr>
      <w:r w:rsidRPr="00FB171D">
        <w:rPr>
          <w:rFonts w:ascii="Georgia" w:hAnsi="Georgia" w:cs="Arial"/>
        </w:rPr>
        <w:t>Menopausal Hormone Therapy (MHT), primarily involving estrogen and/or progestogen supplementation, is widely used to manage the symptoms of menopause. Research indicates that MHT may offer neuroprotective benefits, particularly in women with genetic risk factors such as the APOE4 gene. Some studies have linked MHT to better memory, improved cognitive function, and larger brain volumes in later life. However, the evidence is nuanced: while the Women’s Health Initiative Memory Study (WHIMS) found an increased risk of dementia among older postmenopausal women treated with certain estrogen therapies, this risk did not extend to women who began treatment between ages 50-55, as shown in the WHIMS of Younger Women (WHIMS-Y). These findings suggest timing, hormone formulation, and individual risk factors are critical in determining the cognitive outcomes of MHT.</w:t>
      </w:r>
    </w:p>
    <w:p w14:paraId="5BB310B5" w14:textId="77777777" w:rsidR="00E82955" w:rsidRPr="00FB171D" w:rsidRDefault="00E82955" w:rsidP="00E82955">
      <w:pPr>
        <w:pStyle w:val="Heading2"/>
        <w:rPr>
          <w:rFonts w:ascii="Georgia" w:hAnsi="Georgia" w:cs="Arial"/>
        </w:rPr>
      </w:pPr>
      <w:bookmarkStart w:id="125" w:name="_Toc209691159"/>
      <w:r w:rsidRPr="00FB171D">
        <w:rPr>
          <w:rFonts w:ascii="Georgia" w:hAnsi="Georgia" w:cs="Arial"/>
        </w:rPr>
        <w:t>Testosterone</w:t>
      </w:r>
      <w:bookmarkEnd w:id="125"/>
    </w:p>
    <w:p w14:paraId="0D00E3B8" w14:textId="77777777" w:rsidR="00E82955" w:rsidRPr="00FB171D" w:rsidRDefault="00E82955" w:rsidP="00E82955">
      <w:pPr>
        <w:rPr>
          <w:rFonts w:ascii="Georgia" w:hAnsi="Georgia" w:cs="Arial"/>
        </w:rPr>
      </w:pPr>
      <w:r w:rsidRPr="00FB171D">
        <w:rPr>
          <w:rFonts w:ascii="Georgia" w:hAnsi="Georgia" w:cs="Arial"/>
        </w:rPr>
        <w:t>Testosterone plays a role in cognitive health for all sexes, though its effects are most studied in males. Age-related declines in testosterone levels have been associated with reduced cognitive performance, particularly in domains of spatial ability, memory, and executive function. Some clinical trials suggest that testosterone replacement therapy may modestly improve certain aspects of cognition in hypogonadal men; however, results are mixed and benefits must be weighed against potential risks, including cardiovascular and prostate issues.</w:t>
      </w:r>
    </w:p>
    <w:p w14:paraId="3C2AE538" w14:textId="77777777" w:rsidR="00E82955" w:rsidRPr="00FB171D" w:rsidRDefault="00E82955" w:rsidP="00E82955">
      <w:pPr>
        <w:pStyle w:val="Heading2"/>
        <w:rPr>
          <w:rFonts w:ascii="Georgia" w:hAnsi="Georgia" w:cs="Arial"/>
        </w:rPr>
      </w:pPr>
      <w:bookmarkStart w:id="126" w:name="_Toc209691160"/>
      <w:r w:rsidRPr="00FB171D">
        <w:rPr>
          <w:rFonts w:ascii="Georgia" w:hAnsi="Georgia" w:cs="Arial"/>
        </w:rPr>
        <w:t>Thyroid Hormone</w:t>
      </w:r>
      <w:bookmarkEnd w:id="126"/>
    </w:p>
    <w:p w14:paraId="7021D9E9" w14:textId="77777777" w:rsidR="00E82955" w:rsidRPr="00FB171D" w:rsidRDefault="00E82955" w:rsidP="00E82955">
      <w:pPr>
        <w:rPr>
          <w:rFonts w:ascii="Georgia" w:hAnsi="Georgia" w:cs="Arial"/>
        </w:rPr>
      </w:pPr>
      <w:r w:rsidRPr="00FB171D">
        <w:rPr>
          <w:rFonts w:ascii="Georgia" w:hAnsi="Georgia" w:cs="Arial"/>
        </w:rPr>
        <w:t>Thyroid hormones, especially thyroxine (T4) and triiodothyronine (T3), are crucial for brain development and ongoing cognitive function. Both hypothyroidism (low thyroid) and hyperthyroidism (excess thyroid) can contribute to memory deficits, slowed processing speed, and impaired attention. Correction of thyroid imbalance through appropriate medication often leads to marked improvement in cognitive symptoms, underlining the importance of thyroid health in maintaining brain function throughout life.</w:t>
      </w:r>
    </w:p>
    <w:p w14:paraId="249B0CAF" w14:textId="77777777" w:rsidR="00E82955" w:rsidRPr="00FB171D" w:rsidRDefault="00E82955" w:rsidP="00E82955">
      <w:pPr>
        <w:pStyle w:val="Heading2"/>
        <w:rPr>
          <w:rFonts w:ascii="Georgia" w:hAnsi="Georgia" w:cs="Arial"/>
        </w:rPr>
      </w:pPr>
      <w:bookmarkStart w:id="127" w:name="_Toc209691161"/>
      <w:r w:rsidRPr="00FB171D">
        <w:rPr>
          <w:rFonts w:ascii="Georgia" w:hAnsi="Georgia" w:cs="Arial"/>
        </w:rPr>
        <w:t>Growth Hormone</w:t>
      </w:r>
      <w:bookmarkEnd w:id="127"/>
    </w:p>
    <w:p w14:paraId="73BEDAF2" w14:textId="77777777" w:rsidR="00E82955" w:rsidRPr="00FB171D" w:rsidRDefault="00E82955" w:rsidP="00E82955">
      <w:pPr>
        <w:rPr>
          <w:rFonts w:ascii="Georgia" w:hAnsi="Georgia" w:cs="Arial"/>
        </w:rPr>
      </w:pPr>
      <w:r w:rsidRPr="00FB171D">
        <w:rPr>
          <w:rFonts w:ascii="Georgia" w:hAnsi="Georgia" w:cs="Arial"/>
        </w:rPr>
        <w:t>Growth hormone (GH) and its mediator, insulin-like growth factor 1 (IGF-1), are involved in neural growth, synaptic plasticity, and cognitive performance. As GH levels decline with age, some research has explored the use of GH or IGF-1 supplementation to counteract age-related cognitive decline. While animal studies and limited human trials suggest potential benefits for memory and learning, ethical considerations and the risk of adverse effects mean that GH therapy is not commonly used solely for cognitive enhancement outside of specific medical indications.</w:t>
      </w:r>
    </w:p>
    <w:p w14:paraId="76AED49F" w14:textId="77777777" w:rsidR="00E82955" w:rsidRPr="00FB171D" w:rsidRDefault="00E82955" w:rsidP="00E82955">
      <w:pPr>
        <w:pStyle w:val="Heading2"/>
        <w:rPr>
          <w:rFonts w:ascii="Georgia" w:hAnsi="Georgia" w:cs="Arial"/>
        </w:rPr>
      </w:pPr>
      <w:bookmarkStart w:id="128" w:name="_Toc209691162"/>
      <w:r w:rsidRPr="00FB171D">
        <w:rPr>
          <w:rFonts w:ascii="Georgia" w:hAnsi="Georgia" w:cs="Arial"/>
        </w:rPr>
        <w:t>Corticosteroids</w:t>
      </w:r>
      <w:bookmarkEnd w:id="128"/>
    </w:p>
    <w:p w14:paraId="73A21D8B" w14:textId="77777777" w:rsidR="00E82955" w:rsidRPr="00FB171D" w:rsidRDefault="00E82955" w:rsidP="00E82955">
      <w:pPr>
        <w:rPr>
          <w:rFonts w:ascii="Georgia" w:hAnsi="Georgia" w:cs="Arial"/>
        </w:rPr>
      </w:pPr>
      <w:r w:rsidRPr="00FB171D">
        <w:rPr>
          <w:rFonts w:ascii="Georgia" w:hAnsi="Georgia" w:cs="Arial"/>
        </w:rPr>
        <w:t>Corticosteroids, such as cortisol, are stress hormones that can have complex effects on the brain. Short-term elevations in cortisol may enhance alertness and memory formation, but chronic exposure to high levels—such as from prolonged stress or long-term corticosteroid therapy for inflammatory conditions—has been linked to hippocampal atrophy and deficits in memory and learning. Therefore, the therapeutic use of corticosteroids must be balanced against their potential to exacerbate or precipitate cognitive decline, particularly in vulnerable populations.</w:t>
      </w:r>
    </w:p>
    <w:p w14:paraId="7A1759DE" w14:textId="77777777" w:rsidR="00E82955" w:rsidRPr="00FB171D" w:rsidRDefault="00E82955" w:rsidP="00E82955">
      <w:pPr>
        <w:pStyle w:val="Heading2"/>
        <w:rPr>
          <w:rFonts w:ascii="Georgia" w:hAnsi="Georgia" w:cs="Arial"/>
        </w:rPr>
      </w:pPr>
      <w:bookmarkStart w:id="129" w:name="_Toc209691163"/>
      <w:r w:rsidRPr="00FB171D">
        <w:rPr>
          <w:rFonts w:ascii="Georgia" w:hAnsi="Georgia" w:cs="Arial"/>
        </w:rPr>
        <w:t>Other Hormones and Combinations</w:t>
      </w:r>
      <w:bookmarkEnd w:id="129"/>
    </w:p>
    <w:p w14:paraId="18710BFB" w14:textId="77777777" w:rsidR="00E82955" w:rsidRPr="00FB171D" w:rsidRDefault="00E82955" w:rsidP="00E82955">
      <w:pPr>
        <w:rPr>
          <w:rFonts w:ascii="Georgia" w:hAnsi="Georgia" w:cs="Arial"/>
        </w:rPr>
      </w:pPr>
      <w:r w:rsidRPr="00FB171D">
        <w:rPr>
          <w:rFonts w:ascii="Georgia" w:hAnsi="Georgia" w:cs="Arial"/>
        </w:rPr>
        <w:t>Emerging research is investigating the roles of other hormones, including dehydroepiandrosterone (DHEA), melatonin, and oxytocin, in cognitive health. For instance, DHEA supplementation has shown inconsistent effects on cognition, while melatonin may be beneficial for sleep regulation and, indirectly, for maintaining cognitive function in aging individuals. As the field advances, personalized approaches that take into account an individual’s hormonal profile, genetic risk, and specific symptoms are likely to yield the best outcomes.</w:t>
      </w:r>
    </w:p>
    <w:p w14:paraId="61D3F390" w14:textId="28D898F7" w:rsidR="00E82955" w:rsidRPr="00FB171D" w:rsidRDefault="00E82955" w:rsidP="00E82955">
      <w:pPr>
        <w:rPr>
          <w:rFonts w:ascii="Georgia" w:hAnsi="Georgia" w:cs="Arial"/>
        </w:rPr>
      </w:pPr>
      <w:r w:rsidRPr="00FB171D">
        <w:rPr>
          <w:rFonts w:ascii="Georgia" w:hAnsi="Georgia" w:cs="Arial"/>
        </w:rPr>
        <w:t>In summary, hormone therapies offer a range of potential benefits and risks for cognitive decline, and their effects depend on the type of hormone, timing of intervention, dosage, and individual patient characteristics. Ongoing research and individualized medical evaluation will continue to refine our understanding of how best to leverage hormone therapy in the service of brain health.</w:t>
      </w:r>
    </w:p>
    <w:p w14:paraId="388E3D72" w14:textId="31749DBC" w:rsidR="00F53799" w:rsidRPr="00FB171D" w:rsidRDefault="00F53799" w:rsidP="00F53799">
      <w:pPr>
        <w:spacing w:before="100" w:beforeAutospacing="1" w:after="100" w:afterAutospacing="1" w:line="240" w:lineRule="auto"/>
        <w:rPr>
          <w:rFonts w:ascii="Georgia" w:eastAsia="Times New Roman" w:hAnsi="Georgia" w:cs="Arial"/>
          <w:color w:val="000000"/>
          <w:sz w:val="27"/>
          <w:szCs w:val="27"/>
        </w:rPr>
      </w:pPr>
      <w:r w:rsidRPr="00FB171D">
        <w:rPr>
          <w:rFonts w:ascii="Georgia" w:eastAsia="Times New Roman" w:hAnsi="Georgia" w:cs="Arial"/>
          <w:color w:val="000000"/>
          <w:sz w:val="27"/>
          <w:szCs w:val="27"/>
        </w:rPr>
        <w:t>Here are some key points:</w:t>
      </w:r>
    </w:p>
    <w:p w14:paraId="43D803CC" w14:textId="77777777" w:rsidR="00F53799" w:rsidRPr="00FB171D" w:rsidRDefault="00000000" w:rsidP="00734CAC">
      <w:pPr>
        <w:numPr>
          <w:ilvl w:val="0"/>
          <w:numId w:val="6"/>
        </w:numPr>
        <w:spacing w:before="100" w:beforeAutospacing="1" w:after="100" w:afterAutospacing="1" w:line="240" w:lineRule="auto"/>
        <w:rPr>
          <w:rFonts w:ascii="Georgia" w:eastAsia="Times New Roman" w:hAnsi="Georgia" w:cs="Arial"/>
          <w:color w:val="000000"/>
          <w:sz w:val="27"/>
          <w:szCs w:val="27"/>
        </w:rPr>
      </w:pPr>
      <w:hyperlink r:id="rId172" w:history="1">
        <w:r w:rsidR="00F53799" w:rsidRPr="00FB171D">
          <w:rPr>
            <w:rFonts w:ascii="Georgia" w:eastAsia="Times New Roman" w:hAnsi="Georgia" w:cs="Arial"/>
            <w:b/>
            <w:bCs/>
            <w:color w:val="0000FF"/>
            <w:sz w:val="27"/>
            <w:szCs w:val="27"/>
            <w:u w:val="single"/>
          </w:rPr>
          <w:t>Menopausal Hormone Therapy (MHT)</w:t>
        </w:r>
        <w:r w:rsidR="00F53799" w:rsidRPr="00FB171D">
          <w:rPr>
            <w:rFonts w:ascii="Georgia" w:eastAsia="Times New Roman" w:hAnsi="Georgia" w:cs="Arial"/>
            <w:color w:val="0000FF"/>
            <w:sz w:val="27"/>
            <w:szCs w:val="27"/>
            <w:u w:val="single"/>
          </w:rPr>
          <w:t>: MHT, which helps control symptoms of menopause, is associated with better memory, cognitive function, and larger brain volumes in later life in women with the APOE4 gene</w:t>
        </w:r>
      </w:hyperlink>
      <w:hyperlink r:id="rId173" w:tgtFrame="_blank" w:history="1">
        <w:r w:rsidR="00F53799" w:rsidRPr="00FB171D">
          <w:rPr>
            <w:rFonts w:ascii="Georgia" w:eastAsia="Times New Roman" w:hAnsi="Georgia" w:cs="Arial"/>
            <w:color w:val="0000FF"/>
            <w:sz w:val="27"/>
            <w:szCs w:val="27"/>
            <w:u w:val="single"/>
            <w:vertAlign w:val="superscript"/>
          </w:rPr>
          <w:t>4</w:t>
        </w:r>
      </w:hyperlink>
      <w:r w:rsidR="00F53799" w:rsidRPr="00FB171D">
        <w:rPr>
          <w:rFonts w:ascii="Georgia" w:eastAsia="Times New Roman" w:hAnsi="Georgia" w:cs="Arial"/>
          <w:color w:val="000000"/>
          <w:sz w:val="27"/>
          <w:szCs w:val="27"/>
        </w:rPr>
        <w:t xml:space="preserve">. </w:t>
      </w:r>
      <w:hyperlink r:id="rId174" w:history="1">
        <w:r w:rsidR="00F53799" w:rsidRPr="00FB171D">
          <w:rPr>
            <w:rFonts w:ascii="Georgia" w:eastAsia="Times New Roman" w:hAnsi="Georgia" w:cs="Arial"/>
            <w:color w:val="0000FF"/>
            <w:sz w:val="27"/>
            <w:szCs w:val="27"/>
            <w:u w:val="single"/>
          </w:rPr>
          <w:t>However, the Women’s Health Initiative Memory Study (WHIMS) showed an increased risk of dementia in postmenopausal women treated with conjugated equine estrogen with or without medroxyprogesterone</w:t>
        </w:r>
      </w:hyperlink>
      <w:hyperlink r:id="rId175" w:tgtFrame="_blank" w:history="1">
        <w:r w:rsidR="00F53799" w:rsidRPr="00FB171D">
          <w:rPr>
            <w:rFonts w:ascii="Georgia" w:eastAsia="Times New Roman" w:hAnsi="Georgia" w:cs="Arial"/>
            <w:color w:val="0000FF"/>
            <w:sz w:val="27"/>
            <w:szCs w:val="27"/>
            <w:u w:val="single"/>
            <w:vertAlign w:val="superscript"/>
          </w:rPr>
          <w:t>3</w:t>
        </w:r>
      </w:hyperlink>
      <w:r w:rsidR="00F53799" w:rsidRPr="00FB171D">
        <w:rPr>
          <w:rFonts w:ascii="Georgia" w:eastAsia="Times New Roman" w:hAnsi="Georgia" w:cs="Arial"/>
          <w:color w:val="000000"/>
          <w:sz w:val="27"/>
          <w:szCs w:val="27"/>
        </w:rPr>
        <w:t xml:space="preserve">. </w:t>
      </w:r>
      <w:hyperlink r:id="rId176" w:history="1">
        <w:r w:rsidR="00F53799" w:rsidRPr="00FB171D">
          <w:rPr>
            <w:rFonts w:ascii="Georgia" w:eastAsia="Times New Roman" w:hAnsi="Georgia" w:cs="Arial"/>
            <w:color w:val="0000FF"/>
            <w:sz w:val="27"/>
            <w:szCs w:val="27"/>
            <w:u w:val="single"/>
          </w:rPr>
          <w:t>The risk did not increase among women starting hormone therapy aged 50-55 years in the WHIMS of Younger Women (WHIMS-Y)</w:t>
        </w:r>
      </w:hyperlink>
      <w:hyperlink r:id="rId177" w:tgtFrame="_blank" w:history="1">
        <w:r w:rsidR="00F53799" w:rsidRPr="00FB171D">
          <w:rPr>
            <w:rFonts w:ascii="Georgia" w:eastAsia="Times New Roman" w:hAnsi="Georgia" w:cs="Arial"/>
            <w:color w:val="0000FF"/>
            <w:sz w:val="27"/>
            <w:szCs w:val="27"/>
            <w:u w:val="single"/>
            <w:vertAlign w:val="superscript"/>
          </w:rPr>
          <w:t>3</w:t>
        </w:r>
      </w:hyperlink>
      <w:r w:rsidR="00F53799" w:rsidRPr="00FB171D">
        <w:rPr>
          <w:rFonts w:ascii="Georgia" w:eastAsia="Times New Roman" w:hAnsi="Georgia" w:cs="Arial"/>
          <w:color w:val="000000"/>
          <w:sz w:val="27"/>
          <w:szCs w:val="27"/>
        </w:rPr>
        <w:t>.</w:t>
      </w:r>
    </w:p>
    <w:p w14:paraId="51168A97" w14:textId="77777777" w:rsidR="00F53799" w:rsidRPr="00FB171D" w:rsidRDefault="00000000" w:rsidP="00734CAC">
      <w:pPr>
        <w:numPr>
          <w:ilvl w:val="0"/>
          <w:numId w:val="6"/>
        </w:numPr>
        <w:spacing w:before="100" w:beforeAutospacing="1" w:after="100" w:afterAutospacing="1" w:line="240" w:lineRule="auto"/>
        <w:rPr>
          <w:rFonts w:ascii="Georgia" w:eastAsia="Times New Roman" w:hAnsi="Georgia" w:cs="Arial"/>
          <w:color w:val="000000"/>
          <w:sz w:val="27"/>
          <w:szCs w:val="27"/>
        </w:rPr>
      </w:pPr>
      <w:hyperlink r:id="rId178" w:history="1">
        <w:r w:rsidR="00F53799" w:rsidRPr="00FB171D">
          <w:rPr>
            <w:rFonts w:ascii="Georgia" w:eastAsia="Times New Roman" w:hAnsi="Georgia" w:cs="Arial"/>
            <w:b/>
            <w:bCs/>
            <w:color w:val="0000FF"/>
            <w:sz w:val="27"/>
            <w:szCs w:val="27"/>
            <w:u w:val="single"/>
          </w:rPr>
          <w:t>Progesterone and Estrogen</w:t>
        </w:r>
        <w:r w:rsidR="00F53799" w:rsidRPr="00FB171D">
          <w:rPr>
            <w:rFonts w:ascii="Georgia" w:eastAsia="Times New Roman" w:hAnsi="Georgia" w:cs="Arial"/>
            <w:color w:val="0000FF"/>
            <w:sz w:val="27"/>
            <w:szCs w:val="27"/>
            <w:u w:val="single"/>
          </w:rPr>
          <w:t>: The first hormone level to drop is usually progesterone, and this can be related to irritability, mood swings, and brain fog</w:t>
        </w:r>
      </w:hyperlink>
      <w:hyperlink r:id="rId179" w:tgtFrame="_blank" w:history="1">
        <w:r w:rsidR="00F53799" w:rsidRPr="00FB171D">
          <w:rPr>
            <w:rFonts w:ascii="Georgia" w:eastAsia="Times New Roman" w:hAnsi="Georgia" w:cs="Arial"/>
            <w:color w:val="0000FF"/>
            <w:sz w:val="27"/>
            <w:szCs w:val="27"/>
            <w:u w:val="single"/>
            <w:vertAlign w:val="superscript"/>
          </w:rPr>
          <w:t>1</w:t>
        </w:r>
      </w:hyperlink>
      <w:r w:rsidR="00F53799" w:rsidRPr="00FB171D">
        <w:rPr>
          <w:rFonts w:ascii="Georgia" w:eastAsia="Times New Roman" w:hAnsi="Georgia" w:cs="Arial"/>
          <w:color w:val="000000"/>
          <w:sz w:val="27"/>
          <w:szCs w:val="27"/>
        </w:rPr>
        <w:t xml:space="preserve">. </w:t>
      </w:r>
      <w:hyperlink r:id="rId180" w:history="1">
        <w:r w:rsidR="00F53799" w:rsidRPr="00FB171D">
          <w:rPr>
            <w:rFonts w:ascii="Georgia" w:eastAsia="Times New Roman" w:hAnsi="Georgia" w:cs="Arial"/>
            <w:color w:val="0000FF"/>
            <w:sz w:val="27"/>
            <w:szCs w:val="27"/>
            <w:u w:val="single"/>
          </w:rPr>
          <w:t>The drop in progesterone can also cause sleep disturbance, which can affect the brain’s ability to function optimally</w:t>
        </w:r>
      </w:hyperlink>
      <w:hyperlink r:id="rId181" w:tgtFrame="_blank" w:history="1">
        <w:r w:rsidR="00F53799" w:rsidRPr="00FB171D">
          <w:rPr>
            <w:rFonts w:ascii="Georgia" w:eastAsia="Times New Roman" w:hAnsi="Georgia" w:cs="Arial"/>
            <w:color w:val="0000FF"/>
            <w:sz w:val="27"/>
            <w:szCs w:val="27"/>
            <w:u w:val="single"/>
            <w:vertAlign w:val="superscript"/>
          </w:rPr>
          <w:t>1</w:t>
        </w:r>
      </w:hyperlink>
      <w:r w:rsidR="00F53799" w:rsidRPr="00FB171D">
        <w:rPr>
          <w:rFonts w:ascii="Georgia" w:eastAsia="Times New Roman" w:hAnsi="Georgia" w:cs="Arial"/>
          <w:color w:val="000000"/>
          <w:sz w:val="27"/>
          <w:szCs w:val="27"/>
        </w:rPr>
        <w:t xml:space="preserve">. </w:t>
      </w:r>
      <w:hyperlink r:id="rId182" w:history="1">
        <w:r w:rsidR="00F53799" w:rsidRPr="00FB171D">
          <w:rPr>
            <w:rFonts w:ascii="Georgia" w:eastAsia="Times New Roman" w:hAnsi="Georgia" w:cs="Arial"/>
            <w:color w:val="0000FF"/>
            <w:sz w:val="27"/>
            <w:szCs w:val="27"/>
            <w:u w:val="single"/>
          </w:rPr>
          <w:t>Dips in estrogen levels cause the well-recognized symptoms of menopause, including hot flushes, mood changes, irritability, mental confusion, and decreased energy</w:t>
        </w:r>
      </w:hyperlink>
      <w:hyperlink r:id="rId183" w:tgtFrame="_blank" w:history="1">
        <w:r w:rsidR="00F53799" w:rsidRPr="00FB171D">
          <w:rPr>
            <w:rFonts w:ascii="Georgia" w:eastAsia="Times New Roman" w:hAnsi="Georgia" w:cs="Arial"/>
            <w:color w:val="0000FF"/>
            <w:sz w:val="27"/>
            <w:szCs w:val="27"/>
            <w:u w:val="single"/>
            <w:vertAlign w:val="superscript"/>
          </w:rPr>
          <w:t>1</w:t>
        </w:r>
      </w:hyperlink>
      <w:r w:rsidR="00F53799" w:rsidRPr="00FB171D">
        <w:rPr>
          <w:rFonts w:ascii="Georgia" w:eastAsia="Times New Roman" w:hAnsi="Georgia" w:cs="Arial"/>
          <w:color w:val="000000"/>
          <w:sz w:val="27"/>
          <w:szCs w:val="27"/>
        </w:rPr>
        <w:t>.</w:t>
      </w:r>
    </w:p>
    <w:p w14:paraId="68CFA8C1" w14:textId="77777777" w:rsidR="00F53799" w:rsidRPr="00FB171D" w:rsidRDefault="00000000" w:rsidP="00734CAC">
      <w:pPr>
        <w:numPr>
          <w:ilvl w:val="0"/>
          <w:numId w:val="6"/>
        </w:numPr>
        <w:spacing w:before="100" w:beforeAutospacing="1" w:after="100" w:afterAutospacing="1" w:line="240" w:lineRule="auto"/>
        <w:rPr>
          <w:rFonts w:ascii="Georgia" w:eastAsia="Times New Roman" w:hAnsi="Georgia" w:cs="Arial"/>
          <w:color w:val="000000"/>
          <w:sz w:val="27"/>
          <w:szCs w:val="27"/>
        </w:rPr>
      </w:pPr>
      <w:hyperlink r:id="rId184" w:history="1">
        <w:r w:rsidR="00F53799" w:rsidRPr="00FB171D">
          <w:rPr>
            <w:rFonts w:ascii="Georgia" w:eastAsia="Times New Roman" w:hAnsi="Georgia" w:cs="Arial"/>
            <w:b/>
            <w:bCs/>
            <w:color w:val="0000FF"/>
            <w:sz w:val="27"/>
            <w:szCs w:val="27"/>
            <w:u w:val="single"/>
          </w:rPr>
          <w:t>Conflicting Results</w:t>
        </w:r>
        <w:r w:rsidR="00F53799" w:rsidRPr="00FB171D">
          <w:rPr>
            <w:rFonts w:ascii="Georgia" w:eastAsia="Times New Roman" w:hAnsi="Georgia" w:cs="Arial"/>
            <w:color w:val="0000FF"/>
            <w:sz w:val="27"/>
            <w:szCs w:val="27"/>
            <w:u w:val="single"/>
          </w:rPr>
          <w:t>: There are conflicting results regarding the risk of Alzheimer’s disease in hormone therapy users</w:t>
        </w:r>
      </w:hyperlink>
      <w:hyperlink r:id="rId185" w:tgtFrame="_blank" w:history="1">
        <w:r w:rsidR="00F53799" w:rsidRPr="00FB171D">
          <w:rPr>
            <w:rFonts w:ascii="Georgia" w:eastAsia="Times New Roman" w:hAnsi="Georgia" w:cs="Arial"/>
            <w:color w:val="0000FF"/>
            <w:sz w:val="27"/>
            <w:szCs w:val="27"/>
            <w:u w:val="single"/>
            <w:vertAlign w:val="superscript"/>
          </w:rPr>
          <w:t>3</w:t>
        </w:r>
      </w:hyperlink>
      <w:r w:rsidR="00F53799" w:rsidRPr="00FB171D">
        <w:rPr>
          <w:rFonts w:ascii="Georgia" w:eastAsia="Times New Roman" w:hAnsi="Georgia" w:cs="Arial"/>
          <w:color w:val="000000"/>
          <w:sz w:val="27"/>
          <w:szCs w:val="27"/>
        </w:rPr>
        <w:t xml:space="preserve">. </w:t>
      </w:r>
      <w:hyperlink r:id="rId186" w:tgtFrame="_blank" w:history="1">
        <w:r w:rsidR="00F53799" w:rsidRPr="00FB171D">
          <w:rPr>
            <w:rFonts w:ascii="Georgia" w:eastAsia="Times New Roman" w:hAnsi="Georgia" w:cs="Arial"/>
            <w:color w:val="0000FF"/>
            <w:sz w:val="27"/>
            <w:szCs w:val="27"/>
            <w:u w:val="single"/>
          </w:rPr>
          <w:t>Some studies have shown beneficial effects from hormone therapy, while others have suggested increased risks for estrogen treatments, with and without progestogen</w:t>
        </w:r>
      </w:hyperlink>
      <w:hyperlink r:id="rId187" w:tgtFrame="_blank" w:history="1">
        <w:r w:rsidR="00F53799" w:rsidRPr="00FB171D">
          <w:rPr>
            <w:rFonts w:ascii="Georgia" w:eastAsia="Times New Roman" w:hAnsi="Georgia" w:cs="Arial"/>
            <w:color w:val="0000FF"/>
            <w:sz w:val="27"/>
            <w:szCs w:val="27"/>
            <w:u w:val="single"/>
            <w:vertAlign w:val="superscript"/>
          </w:rPr>
          <w:t>3</w:t>
        </w:r>
      </w:hyperlink>
      <w:r w:rsidR="00F53799" w:rsidRPr="00FB171D">
        <w:rPr>
          <w:rFonts w:ascii="Georgia" w:eastAsia="Times New Roman" w:hAnsi="Georgia" w:cs="Arial"/>
          <w:color w:val="000000"/>
          <w:sz w:val="27"/>
          <w:szCs w:val="27"/>
        </w:rPr>
        <w:t>.</w:t>
      </w:r>
    </w:p>
    <w:p w14:paraId="0189F585" w14:textId="77777777" w:rsidR="00F53799" w:rsidRPr="00FB171D" w:rsidRDefault="00F53799" w:rsidP="00F53799">
      <w:pPr>
        <w:spacing w:after="0"/>
        <w:rPr>
          <w:rFonts w:ascii="Georgia" w:eastAsia="Segoe UI" w:hAnsi="Georgia" w:cs="Arial"/>
          <w:color w:val="FF0000"/>
          <w:sz w:val="28"/>
          <w:szCs w:val="28"/>
        </w:rPr>
      </w:pPr>
    </w:p>
    <w:p w14:paraId="249C9708" w14:textId="46A7AFD4" w:rsidR="00F53799" w:rsidRPr="00FB171D" w:rsidRDefault="00F53799" w:rsidP="008F065E">
      <w:pPr>
        <w:spacing w:after="0"/>
        <w:ind w:left="720"/>
        <w:rPr>
          <w:rFonts w:ascii="Georgia" w:eastAsia="Segoe UI" w:hAnsi="Georgia" w:cs="Arial"/>
          <w:color w:val="FF0000"/>
          <w:sz w:val="28"/>
          <w:szCs w:val="28"/>
        </w:rPr>
      </w:pPr>
      <w:r w:rsidRPr="00FB171D">
        <w:rPr>
          <w:rFonts w:ascii="Georgia" w:eastAsia="Segoe UI" w:hAnsi="Georgia" w:cs="Arial"/>
          <w:color w:val="FF0000"/>
          <w:sz w:val="28"/>
          <w:szCs w:val="28"/>
        </w:rPr>
        <w:t>Exosomes</w:t>
      </w:r>
    </w:p>
    <w:p w14:paraId="010E3E09" w14:textId="77777777" w:rsidR="003144A0" w:rsidRPr="00FB171D" w:rsidRDefault="003144A0" w:rsidP="003144A0">
      <w:pPr>
        <w:rPr>
          <w:rFonts w:ascii="Georgia" w:hAnsi="Georgia" w:cs="Arial"/>
        </w:rPr>
      </w:pPr>
      <w:r w:rsidRPr="00FB171D">
        <w:rPr>
          <w:rFonts w:ascii="Georgia" w:hAnsi="Georgia" w:cs="Arial"/>
        </w:rPr>
        <w:t>Exosomes are nano-sized vesicles secreted by cells that play a crucial role in cell-to-cell communication, particularly in the nervous system. Recent studies have shown that exosome treatments may hold promise in delaying or preventing cognitive decline and the loss of neurons associated with neurodegenerative diseases.</w:t>
      </w:r>
    </w:p>
    <w:p w14:paraId="6FAA78D2" w14:textId="77777777" w:rsidR="003144A0" w:rsidRPr="00FB171D" w:rsidRDefault="003144A0" w:rsidP="003144A0">
      <w:pPr>
        <w:rPr>
          <w:rFonts w:ascii="Georgia" w:hAnsi="Georgia" w:cs="Arial"/>
        </w:rPr>
      </w:pPr>
      <w:r w:rsidRPr="00FB171D">
        <w:rPr>
          <w:rFonts w:ascii="Georgia" w:hAnsi="Georgia" w:cs="Arial"/>
        </w:rPr>
        <w:t>One notable study demonstrated that exosomes derived from mesenchymal stem cells (MSCs) possess neuroprotective properties. These exosomes have been shown to carry beneficial molecules such as proteins, lipids, and RNAs that can reduce inflammation, promote neuronal survival, and stimulate neurogenesis. In animal models of Alzheimer’s disease, administration of MSC-derived exosomes has led to improved cognitive function and reduced amyloid-beta plaque formation.</w:t>
      </w:r>
    </w:p>
    <w:p w14:paraId="619868E3" w14:textId="77777777" w:rsidR="003144A0" w:rsidRPr="00FB171D" w:rsidRDefault="003144A0" w:rsidP="003144A0">
      <w:pPr>
        <w:rPr>
          <w:rFonts w:ascii="Georgia" w:hAnsi="Georgia" w:cs="Arial"/>
        </w:rPr>
      </w:pPr>
      <w:r w:rsidRPr="00FB171D">
        <w:rPr>
          <w:rFonts w:ascii="Georgia" w:hAnsi="Georgia" w:cs="Arial"/>
        </w:rPr>
        <w:t>Additionally, exosomes derived from neural stem cells (NSCs) have shown potential in treating neurodegenerative conditions. These exosomes can enhance synaptic plasticity, which is crucial for learning and memory, and have been observed to promote the regeneration of damaged neurons.</w:t>
      </w:r>
    </w:p>
    <w:p w14:paraId="045832F6" w14:textId="4161D796" w:rsidR="008F065E" w:rsidRPr="00FB171D" w:rsidRDefault="003144A0" w:rsidP="003144A0">
      <w:pPr>
        <w:rPr>
          <w:rFonts w:ascii="Georgia" w:hAnsi="Georgia" w:cs="Arial"/>
        </w:rPr>
      </w:pPr>
      <w:r w:rsidRPr="00FB171D">
        <w:rPr>
          <w:rFonts w:ascii="Georgia" w:hAnsi="Georgia" w:cs="Arial"/>
        </w:rPr>
        <w:t>While these findings are promising, further research is needed to establish the safety and efficacy of exosome treatments in humans. Clinical trials are currently underway to explore the therapeutic potential of exosomes in various neurodegenerative diseases, including Alzheimer’s and Parkinson’s disease.</w:t>
      </w:r>
    </w:p>
    <w:p w14:paraId="265ACBBA" w14:textId="77777777" w:rsidR="00F53799" w:rsidRPr="00FB171D" w:rsidRDefault="00F53799" w:rsidP="00F53799">
      <w:pPr>
        <w:spacing w:after="0"/>
        <w:rPr>
          <w:rFonts w:ascii="Georgia" w:eastAsia="Segoe UI" w:hAnsi="Georgia" w:cs="Arial"/>
          <w:color w:val="FF0000"/>
          <w:sz w:val="28"/>
          <w:szCs w:val="28"/>
        </w:rPr>
      </w:pPr>
      <w:r w:rsidRPr="00FB171D">
        <w:rPr>
          <w:rFonts w:ascii="Georgia" w:eastAsia="Segoe UI" w:hAnsi="Georgia" w:cs="Arial"/>
          <w:color w:val="FF0000"/>
          <w:sz w:val="28"/>
          <w:szCs w:val="28"/>
        </w:rPr>
        <w:tab/>
        <w:t>Telomeres</w:t>
      </w:r>
    </w:p>
    <w:p w14:paraId="3AE5F47F" w14:textId="77777777" w:rsidR="003144A0" w:rsidRPr="00FB171D" w:rsidRDefault="003144A0" w:rsidP="003144A0">
      <w:pPr>
        <w:rPr>
          <w:rFonts w:ascii="Georgia" w:hAnsi="Georgia" w:cs="Arial"/>
        </w:rPr>
      </w:pPr>
      <w:r w:rsidRPr="00FB171D">
        <w:rPr>
          <w:rFonts w:ascii="Georgia" w:hAnsi="Georgia" w:cs="Arial"/>
        </w:rPr>
        <w:t>Telomeres, the protective caps at the ends of chromosomes, have been the focus of extensive research, particularly concerning their role in aging and neurodegenerative diseases. Shortened telomeres have been associated with increased cellular aging and cognitive decline. There are a few key treatments that have shown promise in delaying or preventing cognitive decline by targeting telomere length:</w:t>
      </w:r>
    </w:p>
    <w:p w14:paraId="24DD0E9C" w14:textId="77777777" w:rsidR="003144A0" w:rsidRPr="00FB171D" w:rsidRDefault="003144A0" w:rsidP="003144A0">
      <w:pPr>
        <w:rPr>
          <w:rFonts w:ascii="Georgia" w:hAnsi="Georgia" w:cs="Arial"/>
        </w:rPr>
      </w:pPr>
      <w:r w:rsidRPr="00FB171D">
        <w:rPr>
          <w:rFonts w:ascii="Georgia" w:hAnsi="Georgia" w:cs="Arial"/>
        </w:rPr>
        <w:t>1. **Telomerase Activators**: Certain compounds, such as TA-65, have been found to activate telomerase, the enzyme responsible for maintaining telomere length. Preliminary studies suggest that these activators can improve cognitive function and delay the onset of neurodegenerative diseases.</w:t>
      </w:r>
    </w:p>
    <w:p w14:paraId="0051BDD6" w14:textId="77777777" w:rsidR="003144A0" w:rsidRPr="00FB171D" w:rsidRDefault="003144A0" w:rsidP="003144A0">
      <w:pPr>
        <w:rPr>
          <w:rFonts w:ascii="Georgia" w:hAnsi="Georgia" w:cs="Arial"/>
        </w:rPr>
      </w:pPr>
      <w:r w:rsidRPr="00FB171D">
        <w:rPr>
          <w:rFonts w:ascii="Georgia" w:hAnsi="Georgia" w:cs="Arial"/>
        </w:rPr>
        <w:t>2. **Lifestyle Interventions**: Regular physical exercise, a balanced diet rich in antioxidants, and stress reduction techniques have been demonstrated to maintain telomere length and enhance cognitive health. These lifestyle modifications are supported by findings from studies such as the Centenarian Study, which examines factors contributing to longevity and cognitive preservation.</w:t>
      </w:r>
    </w:p>
    <w:p w14:paraId="525520AA" w14:textId="77777777" w:rsidR="003144A0" w:rsidRPr="00FB171D" w:rsidRDefault="003144A0" w:rsidP="003144A0">
      <w:pPr>
        <w:rPr>
          <w:rFonts w:ascii="Georgia" w:hAnsi="Georgia" w:cs="Arial"/>
        </w:rPr>
      </w:pPr>
      <w:r w:rsidRPr="00FB171D">
        <w:rPr>
          <w:rFonts w:ascii="Georgia" w:hAnsi="Georgia" w:cs="Arial"/>
        </w:rPr>
        <w:t>3. **Nutritional Supplements**: Supplements containing omega-3 fatty acids, vitamin D, and other micronutrients have been linked to telomere maintenance and neuroprotection. These supplements work by reducing inflammation and oxidative stress, which are both implicated in telomere shortening and cognitive decline.</w:t>
      </w:r>
    </w:p>
    <w:p w14:paraId="1DB2546D" w14:textId="77777777" w:rsidR="003144A0" w:rsidRPr="00FB171D" w:rsidRDefault="003144A0" w:rsidP="003144A0">
      <w:pPr>
        <w:rPr>
          <w:rFonts w:ascii="Georgia" w:hAnsi="Georgia" w:cs="Arial"/>
        </w:rPr>
      </w:pPr>
      <w:r w:rsidRPr="00FB171D">
        <w:rPr>
          <w:rFonts w:ascii="Georgia" w:hAnsi="Georgia" w:cs="Arial"/>
        </w:rPr>
        <w:t>While these treatments are promising, more research is needed to fully understand their efficacy and long-term impact on human health. Current clinical trials are investigating these interventions to establish robust evidence for their use in preventing or delaying neurodegenerative conditions.</w:t>
      </w:r>
    </w:p>
    <w:p w14:paraId="044657EF" w14:textId="77777777" w:rsidR="00F53799" w:rsidRPr="00FB171D" w:rsidRDefault="00F53799" w:rsidP="00F53799">
      <w:pPr>
        <w:spacing w:after="0"/>
        <w:rPr>
          <w:rFonts w:ascii="Georgia" w:eastAsia="Segoe UI" w:hAnsi="Georgia" w:cs="Arial"/>
          <w:b/>
          <w:bCs/>
          <w:color w:val="FF0000"/>
          <w:sz w:val="28"/>
          <w:szCs w:val="28"/>
        </w:rPr>
      </w:pPr>
      <w:r w:rsidRPr="00FB171D">
        <w:rPr>
          <w:rFonts w:ascii="Georgia" w:eastAsia="Segoe UI" w:hAnsi="Georgia" w:cs="Arial"/>
          <w:b/>
          <w:bCs/>
          <w:color w:val="FF0000"/>
          <w:sz w:val="28"/>
          <w:szCs w:val="28"/>
        </w:rPr>
        <w:t>Diet</w:t>
      </w:r>
    </w:p>
    <w:p w14:paraId="7A665551" w14:textId="77777777" w:rsidR="00177B5F" w:rsidRPr="00FB171D" w:rsidRDefault="00177B5F" w:rsidP="00177B5F">
      <w:pPr>
        <w:rPr>
          <w:rFonts w:ascii="Georgia" w:hAnsi="Georgia" w:cs="Arial"/>
        </w:rPr>
      </w:pPr>
      <w:r w:rsidRPr="00FB171D">
        <w:rPr>
          <w:rFonts w:ascii="Georgia" w:hAnsi="Georgia" w:cs="Arial"/>
        </w:rPr>
        <w:t>Several specific dietary interventions have shown promise in delaying or preventing cognitive decline and neuronal loss. The Mediterranean diet, rich in fruits, vegetables, whole grains, nuts, and olive oil, has been extensively studied and is associated with a lower risk of cognitive impairment and Alzheimer's disease. This diet emphasizes the consumption of omega-3 fatty acids, primarily from fish, which are known to support brain health.</w:t>
      </w:r>
    </w:p>
    <w:p w14:paraId="67441F62" w14:textId="77777777" w:rsidR="00177B5F" w:rsidRPr="00FB171D" w:rsidRDefault="00177B5F" w:rsidP="00177B5F">
      <w:pPr>
        <w:rPr>
          <w:rFonts w:ascii="Georgia" w:hAnsi="Georgia" w:cs="Arial"/>
        </w:rPr>
      </w:pPr>
      <w:r w:rsidRPr="00FB171D">
        <w:rPr>
          <w:rFonts w:ascii="Georgia" w:hAnsi="Georgia" w:cs="Arial"/>
        </w:rPr>
        <w:t>Another notable dietary pattern is the DASH (Dietary Approaches to Stop Hypertension) diet, which not only manages blood pressure but also benefits cognitive function. Combining aspects of both the Mediterranean and DASH diets, the MIND (Mediterranean-DASH Diet Intervention for Neurodegenerative Delay) diet specifically targets brain health and has been linked to reduced rates of Alzheimer's disease.</w:t>
      </w:r>
    </w:p>
    <w:p w14:paraId="66494EE0" w14:textId="7534022B" w:rsidR="003144A0" w:rsidRPr="00FB171D" w:rsidRDefault="00177B5F" w:rsidP="00177B5F">
      <w:pPr>
        <w:rPr>
          <w:rFonts w:ascii="Georgia" w:hAnsi="Georgia" w:cs="Arial"/>
        </w:rPr>
      </w:pPr>
      <w:r w:rsidRPr="00FB171D">
        <w:rPr>
          <w:rFonts w:ascii="Georgia" w:hAnsi="Georgia" w:cs="Arial"/>
        </w:rPr>
        <w:t>In addition to these diets, intermittent fasting and caloric restriction have garnered attention for their potential neuroprotective effects. These dietary approaches are thought to enhance autophagy, reduce oxidative stress, and improve mitochondrial function, all of which are beneficial for maintaining cognitive abilities and neuronal integrity.</w:t>
      </w:r>
    </w:p>
    <w:p w14:paraId="19A80DE2" w14:textId="77777777" w:rsidR="00F53799" w:rsidRPr="00FB171D" w:rsidRDefault="00F53799" w:rsidP="00F53799">
      <w:pPr>
        <w:spacing w:after="0"/>
        <w:rPr>
          <w:rFonts w:ascii="Georgia" w:eastAsia="Segoe UI" w:hAnsi="Georgia" w:cs="Arial"/>
          <w:b/>
          <w:bCs/>
          <w:color w:val="FF0000"/>
          <w:sz w:val="28"/>
          <w:szCs w:val="28"/>
        </w:rPr>
      </w:pPr>
      <w:r w:rsidRPr="00FB171D">
        <w:rPr>
          <w:rFonts w:ascii="Georgia" w:eastAsia="Segoe UI" w:hAnsi="Georgia" w:cs="Arial"/>
          <w:b/>
          <w:bCs/>
          <w:color w:val="FF0000"/>
          <w:sz w:val="28"/>
          <w:szCs w:val="28"/>
        </w:rPr>
        <w:t>Other lifestyle modifications</w:t>
      </w:r>
    </w:p>
    <w:p w14:paraId="4E714780" w14:textId="77777777" w:rsidR="00177B5F" w:rsidRPr="00FB171D" w:rsidRDefault="00177B5F" w:rsidP="00177B5F">
      <w:pPr>
        <w:rPr>
          <w:rFonts w:ascii="Georgia" w:hAnsi="Georgia" w:cs="Arial"/>
        </w:rPr>
      </w:pPr>
      <w:r w:rsidRPr="00FB171D">
        <w:rPr>
          <w:rFonts w:ascii="Georgia" w:hAnsi="Georgia" w:cs="Arial"/>
        </w:rPr>
        <w:t>Physical exercise is another critical lifestyle modification that has gained recognition for its neuroprotective benefits. Regular aerobic and resistance training have been shown to improve cardiovascular health, enhance neurogenesis, and elevate levels of brain-derived neurotrophic factor (BDNF), which supports the survival and growth of neurons. Mental exercises, including engaging in complex cognitive tasks, learning new skills, and participating in social activities, also play a crucial role in maintaining cognitive function and preventing neuronal loss.</w:t>
      </w:r>
    </w:p>
    <w:p w14:paraId="5AB41002" w14:textId="77777777" w:rsidR="00177B5F" w:rsidRPr="00FB171D" w:rsidRDefault="00177B5F" w:rsidP="00177B5F">
      <w:pPr>
        <w:rPr>
          <w:rFonts w:ascii="Georgia" w:hAnsi="Georgia" w:cs="Arial"/>
        </w:rPr>
      </w:pPr>
      <w:r w:rsidRPr="00FB171D">
        <w:rPr>
          <w:rFonts w:ascii="Georgia" w:hAnsi="Georgia" w:cs="Arial"/>
        </w:rPr>
        <w:t>Managing stress through mindfulness practices, such as meditation and yoga, can further aid in reducing the risk of cognitive decline. Chronic stress is known to negatively impact brain structure and function, while mindfulness practices promote relaxation, improve mood, and enhance overall mental well-being.</w:t>
      </w:r>
    </w:p>
    <w:p w14:paraId="6DCBD601" w14:textId="77777777" w:rsidR="00177B5F" w:rsidRPr="00FB171D" w:rsidRDefault="00177B5F" w:rsidP="00177B5F">
      <w:pPr>
        <w:rPr>
          <w:rFonts w:ascii="Georgia" w:hAnsi="Georgia" w:cs="Arial"/>
        </w:rPr>
      </w:pPr>
      <w:r w:rsidRPr="00FB171D">
        <w:rPr>
          <w:rFonts w:ascii="Georgia" w:hAnsi="Georgia" w:cs="Arial"/>
        </w:rPr>
        <w:t>Lastly, adequate sleep is essential for brain health. Poor sleep quality and sleep disorders have been linked to increased amyloid-beta accumulation, a hallmark of Alzheimer’s disease. Ensuring sufficient and high-quality sleep can help clear these toxic proteins from the brain and maintain cognitive integrity.</w:t>
      </w:r>
    </w:p>
    <w:p w14:paraId="5F294CB6" w14:textId="77777777" w:rsidR="00F53799" w:rsidRPr="00FB171D" w:rsidRDefault="00F53799" w:rsidP="00F53799">
      <w:pPr>
        <w:spacing w:after="0"/>
        <w:rPr>
          <w:rFonts w:ascii="Georgia" w:eastAsia="Segoe UI" w:hAnsi="Georgia" w:cs="Arial"/>
          <w:color w:val="FF0000"/>
        </w:rPr>
      </w:pPr>
      <w:r w:rsidRPr="00FB171D">
        <w:rPr>
          <w:rFonts w:ascii="Georgia" w:eastAsia="Segoe UI" w:hAnsi="Georgia" w:cs="Arial"/>
          <w:color w:val="FF0000"/>
        </w:rPr>
        <w:tab/>
      </w:r>
    </w:p>
    <w:p w14:paraId="4E70CDC0" w14:textId="77777777" w:rsidR="00F53799" w:rsidRPr="00FB171D" w:rsidRDefault="00F53799" w:rsidP="00F53799">
      <w:pPr>
        <w:spacing w:after="0"/>
        <w:rPr>
          <w:rFonts w:ascii="Georgia" w:eastAsia="Segoe UI" w:hAnsi="Georgia" w:cs="Arial"/>
          <w:color w:val="FF0000"/>
          <w:sz w:val="32"/>
          <w:szCs w:val="32"/>
        </w:rPr>
      </w:pPr>
      <w:r w:rsidRPr="00FB171D">
        <w:rPr>
          <w:rFonts w:ascii="Georgia" w:eastAsia="Segoe UI" w:hAnsi="Georgia" w:cs="Arial"/>
          <w:color w:val="FF0000"/>
          <w:sz w:val="32"/>
          <w:szCs w:val="32"/>
        </w:rPr>
        <w:t>What does the Centenarian Study teach us about this?</w:t>
      </w:r>
    </w:p>
    <w:p w14:paraId="234949C1" w14:textId="77777777" w:rsidR="00177B5F" w:rsidRPr="00FB171D" w:rsidRDefault="00177B5F" w:rsidP="00177B5F">
      <w:pPr>
        <w:rPr>
          <w:rFonts w:ascii="Georgia" w:hAnsi="Georgia" w:cs="Arial"/>
        </w:rPr>
      </w:pPr>
      <w:r w:rsidRPr="00FB171D">
        <w:rPr>
          <w:rFonts w:ascii="Georgia" w:hAnsi="Georgia" w:cs="Arial"/>
        </w:rPr>
        <w:t>The Centenarian Study offers valuable insights into the factors that contribute to cognitive longevity and resistance to neuron loss. This extensive research reveals that centenarians often maintain cognitive health through a combination of genetics, lifestyle choices, and social engagement. Regular physical activity, a balanced diet rich in antioxidants, and strong social connections are key components that appear to protect against cognitive decline.</w:t>
      </w:r>
    </w:p>
    <w:p w14:paraId="32BDC62C" w14:textId="77777777" w:rsidR="00177B5F" w:rsidRPr="00FB171D" w:rsidRDefault="00177B5F" w:rsidP="00177B5F">
      <w:pPr>
        <w:rPr>
          <w:rFonts w:ascii="Georgia" w:hAnsi="Georgia" w:cs="Arial"/>
        </w:rPr>
      </w:pPr>
      <w:r w:rsidRPr="00FB171D">
        <w:rPr>
          <w:rFonts w:ascii="Georgia" w:hAnsi="Georgia" w:cs="Arial"/>
        </w:rPr>
        <w:t>Importantly, the study also highlights the role of mental stimulation and lifelong learning in preserving brain function. Centenarians frequently engage in activities that challenge their minds, such as reading, puzzles, and even learning new skills well into their later years. This consistent mental engagement promotes neuroplasticity, the brain's ability to form and reorganize synaptic connections, which is crucial in mitigating neuron loss and maintaining cognitive integrity.</w:t>
      </w:r>
    </w:p>
    <w:p w14:paraId="5F8C08FD" w14:textId="77777777" w:rsidR="00177B5F" w:rsidRPr="00FB171D" w:rsidRDefault="00177B5F" w:rsidP="00177B5F">
      <w:pPr>
        <w:rPr>
          <w:rFonts w:ascii="Georgia" w:hAnsi="Georgia" w:cs="Arial"/>
        </w:rPr>
      </w:pPr>
      <w:r w:rsidRPr="00FB171D">
        <w:rPr>
          <w:rFonts w:ascii="Georgia" w:hAnsi="Georgia" w:cs="Arial"/>
        </w:rPr>
        <w:t>Furthermore, the study underscores the importance of a positive attitude and resilience. Centenarians often exhibit a remarkable ability to adapt to life's challenges and maintain a sense of purpose, which contributes to their overall mental and emotional well-being.</w:t>
      </w:r>
    </w:p>
    <w:p w14:paraId="7E22531D" w14:textId="77777777" w:rsidR="004D1C32" w:rsidRPr="00FB171D" w:rsidRDefault="004D1C32" w:rsidP="00F53799">
      <w:pPr>
        <w:spacing w:after="0"/>
        <w:rPr>
          <w:rFonts w:ascii="Georgia" w:eastAsia="Segoe UI" w:hAnsi="Georgia" w:cs="Arial"/>
          <w:color w:val="FF0000"/>
          <w:sz w:val="32"/>
          <w:szCs w:val="32"/>
        </w:rPr>
      </w:pPr>
    </w:p>
    <w:p w14:paraId="52417614" w14:textId="77777777" w:rsidR="004D1C32" w:rsidRPr="00FB171D" w:rsidRDefault="004D1C32" w:rsidP="00F53799">
      <w:pPr>
        <w:spacing w:after="0"/>
        <w:rPr>
          <w:rFonts w:ascii="Georgia" w:eastAsia="Segoe UI" w:hAnsi="Georgia" w:cs="Arial"/>
          <w:color w:val="FF0000"/>
          <w:sz w:val="32"/>
          <w:szCs w:val="32"/>
        </w:rPr>
      </w:pPr>
    </w:p>
    <w:p w14:paraId="589228FF" w14:textId="05DB89C8" w:rsidR="00F53799" w:rsidRPr="00FB171D" w:rsidRDefault="00F53799" w:rsidP="00F53799">
      <w:pPr>
        <w:spacing w:after="0"/>
        <w:rPr>
          <w:rFonts w:ascii="Georgia" w:eastAsia="Segoe UI" w:hAnsi="Georgia" w:cs="Arial"/>
          <w:color w:val="FF0000"/>
          <w:sz w:val="32"/>
          <w:szCs w:val="32"/>
        </w:rPr>
      </w:pPr>
      <w:r w:rsidRPr="00FB171D">
        <w:rPr>
          <w:rFonts w:ascii="Georgia" w:eastAsia="Segoe UI" w:hAnsi="Georgia" w:cs="Arial"/>
          <w:color w:val="FF0000"/>
          <w:sz w:val="32"/>
          <w:szCs w:val="32"/>
        </w:rPr>
        <w:t>How will future treatments work, and when will they be available?</w:t>
      </w:r>
    </w:p>
    <w:p w14:paraId="4D0AFE66" w14:textId="118A16C5" w:rsidR="0062139A" w:rsidRPr="00FB171D" w:rsidRDefault="0062139A" w:rsidP="00992692">
      <w:pPr>
        <w:rPr>
          <w:rFonts w:ascii="Georgia" w:hAnsi="Georgia" w:cs="Arial"/>
        </w:rPr>
      </w:pPr>
      <w:r w:rsidRPr="00FB171D">
        <w:rPr>
          <w:rFonts w:ascii="Georgia" w:hAnsi="Georgia" w:cs="Arial"/>
        </w:rPr>
        <w:t xml:space="preserve">Preservation of nerve cells </w:t>
      </w:r>
    </w:p>
    <w:p w14:paraId="5DE6854A" w14:textId="77777777" w:rsidR="00031103" w:rsidRPr="00FB171D" w:rsidRDefault="00031103" w:rsidP="00992692">
      <w:pPr>
        <w:rPr>
          <w:rFonts w:ascii="Georgia" w:hAnsi="Georgia" w:cs="Arial"/>
        </w:rPr>
      </w:pPr>
    </w:p>
    <w:p w14:paraId="2850895C" w14:textId="09C57D94" w:rsidR="00031103" w:rsidRPr="00FB171D" w:rsidRDefault="00031103" w:rsidP="00992692">
      <w:pPr>
        <w:rPr>
          <w:rFonts w:ascii="Georgia" w:hAnsi="Georgia" w:cs="Arial"/>
        </w:rPr>
      </w:pPr>
      <w:r w:rsidRPr="00FB171D">
        <w:rPr>
          <w:rFonts w:ascii="Georgia" w:hAnsi="Georgia" w:cs="Arial"/>
        </w:rPr>
        <w:t>Improving the health of neural connections</w:t>
      </w:r>
    </w:p>
    <w:p w14:paraId="60FB98A2" w14:textId="77777777" w:rsidR="00031103" w:rsidRPr="00FB171D" w:rsidRDefault="00031103" w:rsidP="00992692">
      <w:pPr>
        <w:rPr>
          <w:rFonts w:ascii="Georgia" w:hAnsi="Georgia" w:cs="Arial"/>
        </w:rPr>
      </w:pPr>
    </w:p>
    <w:p w14:paraId="49487767" w14:textId="151A31E1" w:rsidR="00031103" w:rsidRPr="00FB171D" w:rsidRDefault="00031103" w:rsidP="00992692">
      <w:pPr>
        <w:rPr>
          <w:rFonts w:ascii="Georgia" w:hAnsi="Georgia" w:cs="Arial"/>
        </w:rPr>
      </w:pPr>
      <w:r w:rsidRPr="00FB171D">
        <w:rPr>
          <w:rFonts w:ascii="Georgia" w:hAnsi="Georgia" w:cs="Arial"/>
        </w:rPr>
        <w:t xml:space="preserve">Improving </w:t>
      </w:r>
      <w:r w:rsidR="00ED00D9" w:rsidRPr="00FB171D">
        <w:rPr>
          <w:rFonts w:ascii="Georgia" w:hAnsi="Georgia" w:cs="Arial"/>
        </w:rPr>
        <w:t>neuronal metabolism</w:t>
      </w:r>
    </w:p>
    <w:p w14:paraId="59687B6C" w14:textId="77777777" w:rsidR="00ED00D9" w:rsidRPr="00FB171D" w:rsidRDefault="00ED00D9" w:rsidP="00992692">
      <w:pPr>
        <w:rPr>
          <w:rFonts w:ascii="Georgia" w:hAnsi="Georgia" w:cs="Arial"/>
        </w:rPr>
      </w:pPr>
    </w:p>
    <w:p w14:paraId="60397205" w14:textId="2A0EDE82" w:rsidR="00ED00D9" w:rsidRPr="00FB171D" w:rsidRDefault="00ED00D9" w:rsidP="00992692">
      <w:pPr>
        <w:rPr>
          <w:rFonts w:ascii="Georgia" w:hAnsi="Georgia" w:cs="Arial"/>
        </w:rPr>
      </w:pPr>
      <w:r w:rsidRPr="00FB171D">
        <w:rPr>
          <w:rFonts w:ascii="Georgia" w:hAnsi="Georgia" w:cs="Arial"/>
        </w:rPr>
        <w:t>Decreasing neural inflammation</w:t>
      </w:r>
    </w:p>
    <w:p w14:paraId="632136CE" w14:textId="77777777" w:rsidR="00ED00D9" w:rsidRPr="00FB171D" w:rsidRDefault="00ED00D9" w:rsidP="00992692">
      <w:pPr>
        <w:rPr>
          <w:rFonts w:ascii="Georgia" w:hAnsi="Georgia" w:cs="Arial"/>
        </w:rPr>
      </w:pPr>
    </w:p>
    <w:p w14:paraId="1CC84B52" w14:textId="1BB409B0" w:rsidR="00ED00D9" w:rsidRPr="00FB171D" w:rsidRDefault="00ED00D9" w:rsidP="00992692">
      <w:pPr>
        <w:rPr>
          <w:rFonts w:ascii="Georgia" w:hAnsi="Georgia" w:cs="Arial"/>
        </w:rPr>
      </w:pPr>
      <w:r w:rsidRPr="00FB171D">
        <w:rPr>
          <w:rFonts w:ascii="Georgia" w:hAnsi="Georgia" w:cs="Arial"/>
        </w:rPr>
        <w:t>Supporting brain circulation</w:t>
      </w:r>
    </w:p>
    <w:p w14:paraId="29BE850D" w14:textId="77777777" w:rsidR="00ED00D9" w:rsidRPr="00FB171D" w:rsidRDefault="00ED00D9" w:rsidP="00992692">
      <w:pPr>
        <w:rPr>
          <w:rFonts w:ascii="Georgia" w:hAnsi="Georgia" w:cs="Arial"/>
        </w:rPr>
      </w:pPr>
    </w:p>
    <w:p w14:paraId="49F9C159" w14:textId="0FEB0CE4" w:rsidR="00ED00D9" w:rsidRPr="00FB171D" w:rsidRDefault="00C735A7" w:rsidP="00992692">
      <w:pPr>
        <w:rPr>
          <w:rFonts w:ascii="Georgia" w:hAnsi="Georgia" w:cs="Arial"/>
        </w:rPr>
      </w:pPr>
      <w:r w:rsidRPr="00FB171D">
        <w:rPr>
          <w:rFonts w:ascii="Georgia" w:hAnsi="Georgia" w:cs="Arial"/>
        </w:rPr>
        <w:t>Enhancing blood brain barrier function</w:t>
      </w:r>
    </w:p>
    <w:p w14:paraId="4180897F" w14:textId="77777777" w:rsidR="0062139A" w:rsidRPr="00FB171D" w:rsidRDefault="0062139A" w:rsidP="00992692">
      <w:pPr>
        <w:rPr>
          <w:rFonts w:ascii="Georgia" w:hAnsi="Georgia" w:cs="Arial"/>
        </w:rPr>
      </w:pPr>
    </w:p>
    <w:p w14:paraId="3CD00463" w14:textId="77777777" w:rsidR="0062139A" w:rsidRPr="00FB171D" w:rsidRDefault="0062139A" w:rsidP="00992692">
      <w:pPr>
        <w:rPr>
          <w:rFonts w:ascii="Georgia" w:hAnsi="Georgia" w:cs="Arial"/>
        </w:rPr>
      </w:pPr>
    </w:p>
    <w:p w14:paraId="5E366A9C" w14:textId="77777777" w:rsidR="0062139A" w:rsidRPr="00FB171D" w:rsidRDefault="0062139A" w:rsidP="00992692">
      <w:pPr>
        <w:rPr>
          <w:rFonts w:ascii="Georgia" w:hAnsi="Georgia" w:cs="Arial"/>
        </w:rPr>
      </w:pPr>
    </w:p>
    <w:p w14:paraId="761AFFDD" w14:textId="13452202" w:rsidR="00992692" w:rsidRPr="00FB171D" w:rsidRDefault="00992692" w:rsidP="00992692">
      <w:pPr>
        <w:rPr>
          <w:rFonts w:ascii="Georgia" w:hAnsi="Georgia" w:cs="Arial"/>
        </w:rPr>
      </w:pPr>
      <w:r w:rsidRPr="00FB171D">
        <w:rPr>
          <w:rFonts w:ascii="Georgia" w:hAnsi="Georgia" w:cs="Arial"/>
        </w:rPr>
        <w:t>As we advance in understanding the science of aging, researchers are developing innovative treatments aimed at extending not just lifespan but also healthspan — the duration of life spent in optimal health. Future treatments are expected to integrate personalized medicine, advanced biotechnology, and lifestyle modifications to comprehensively address the multifaceted nature of aging.</w:t>
      </w:r>
    </w:p>
    <w:p w14:paraId="29C6424C" w14:textId="77777777" w:rsidR="00992692" w:rsidRPr="00FB171D" w:rsidRDefault="00992692" w:rsidP="00992692">
      <w:pPr>
        <w:rPr>
          <w:rFonts w:ascii="Georgia" w:hAnsi="Georgia" w:cs="Arial"/>
        </w:rPr>
      </w:pPr>
      <w:r w:rsidRPr="00FB171D">
        <w:rPr>
          <w:rFonts w:ascii="Georgia" w:hAnsi="Georgia" w:cs="Arial"/>
        </w:rPr>
        <w:t>One promising area of research involves senolytics, a class of drugs designed to target and remove senescent cells, which contribute to age-related diseases and physiological decline. For instance, the drug Navitoclax has demonstrated potential in preclinical studies for eliminating these deleterious cells. Moreover, advancements in gene therapy, such as CRISPR-Cas9 technology, are poised to offer solutions by repairing or replacing defective genes implicated in the aging process. Another exciting development is in regenerative medicine, where stem cell therapy and tissue engineering hold the potential to rejuvenate damaged organs and tissues. An example is the use of induced pluripotent stem cells (iPSCs) to regenerate myocardial tissue damaged by heart attacks.</w:t>
      </w:r>
    </w:p>
    <w:p w14:paraId="6EB78015" w14:textId="61D454CE" w:rsidR="00992692" w:rsidRPr="00FB171D" w:rsidRDefault="00992692" w:rsidP="00992692">
      <w:pPr>
        <w:rPr>
          <w:rFonts w:ascii="Georgia" w:hAnsi="Georgia" w:cs="Arial"/>
        </w:rPr>
      </w:pPr>
      <w:r w:rsidRPr="00FB171D">
        <w:rPr>
          <w:rFonts w:ascii="Georgia" w:hAnsi="Georgia" w:cs="Arial"/>
        </w:rPr>
        <w:t>These treatments are currently in various stages of research and clinical trials, with their broader availability anticipated within the next decade. The timeline for their availability will depend on the outcomes of ongoing studies, regulatory approvals, and the feasibility of scaling these treatments for widespread use.</w:t>
      </w:r>
    </w:p>
    <w:p w14:paraId="7DA2156A" w14:textId="77777777" w:rsidR="002E0686" w:rsidRPr="00FB171D" w:rsidRDefault="002E0686" w:rsidP="002E0686">
      <w:pPr>
        <w:spacing w:before="100" w:beforeAutospacing="1" w:after="100" w:afterAutospacing="1" w:line="300" w:lineRule="atLeast"/>
        <w:rPr>
          <w:rFonts w:ascii="Georgia" w:eastAsia="Times New Roman" w:hAnsi="Georgia" w:cs="Arial"/>
          <w:sz w:val="21"/>
          <w:szCs w:val="21"/>
        </w:rPr>
      </w:pPr>
    </w:p>
    <w:p w14:paraId="38431FDD" w14:textId="6ED67EC7" w:rsidR="002E0686" w:rsidRPr="00FB171D" w:rsidRDefault="002E0686" w:rsidP="002E0686">
      <w:pPr>
        <w:spacing w:before="100" w:beforeAutospacing="1" w:after="100" w:afterAutospacing="1" w:line="300" w:lineRule="atLeast"/>
        <w:rPr>
          <w:rFonts w:ascii="Georgia" w:eastAsia="Times New Roman" w:hAnsi="Georgia" w:cs="Arial"/>
          <w:sz w:val="21"/>
          <w:szCs w:val="21"/>
        </w:rPr>
      </w:pPr>
      <w:r w:rsidRPr="00FB171D">
        <w:rPr>
          <w:rFonts w:ascii="Georgia" w:eastAsia="Times New Roman" w:hAnsi="Georgia" w:cs="Arial"/>
          <w:sz w:val="21"/>
          <w:szCs w:val="21"/>
        </w:rPr>
        <w:t xml:space="preserve">The brain </w:t>
      </w:r>
      <w:r w:rsidR="00E00B2B" w:rsidRPr="00FB171D">
        <w:rPr>
          <w:rFonts w:ascii="Georgia" w:eastAsia="Times New Roman" w:hAnsi="Georgia" w:cs="Arial"/>
          <w:sz w:val="21"/>
          <w:szCs w:val="21"/>
        </w:rPr>
        <w:t>is aware of its own decline, but powerless? To help it</w:t>
      </w:r>
    </w:p>
    <w:p w14:paraId="342D0138" w14:textId="0FA864A6" w:rsidR="00E00B2B" w:rsidRPr="00FB171D" w:rsidRDefault="00E00B2B" w:rsidP="002E0686">
      <w:pPr>
        <w:spacing w:before="100" w:beforeAutospacing="1" w:after="100" w:afterAutospacing="1" w:line="300" w:lineRule="atLeast"/>
        <w:rPr>
          <w:rFonts w:ascii="Georgia" w:eastAsia="Times New Roman" w:hAnsi="Georgia" w:cs="Arial"/>
          <w:sz w:val="21"/>
          <w:szCs w:val="21"/>
        </w:rPr>
      </w:pPr>
      <w:r w:rsidRPr="00FB171D">
        <w:rPr>
          <w:rFonts w:ascii="Georgia" w:eastAsia="Times New Roman" w:hAnsi="Georgia" w:cs="Arial"/>
          <w:sz w:val="21"/>
          <w:szCs w:val="21"/>
        </w:rPr>
        <w:t xml:space="preserve">Brain age </w:t>
      </w:r>
      <w:r w:rsidR="006A5FFD" w:rsidRPr="00FB171D">
        <w:rPr>
          <w:rFonts w:ascii="Georgia" w:eastAsia="Times New Roman" w:hAnsi="Georgia" w:cs="Arial"/>
          <w:sz w:val="21"/>
          <w:szCs w:val="21"/>
        </w:rPr>
        <w:t>vs</w:t>
      </w:r>
      <w:r w:rsidRPr="00FB171D">
        <w:rPr>
          <w:rFonts w:ascii="Georgia" w:eastAsia="Times New Roman" w:hAnsi="Georgia" w:cs="Arial"/>
          <w:sz w:val="21"/>
          <w:szCs w:val="21"/>
        </w:rPr>
        <w:t xml:space="preserve"> aging</w:t>
      </w:r>
    </w:p>
    <w:p w14:paraId="47E6B036" w14:textId="4E912CD9" w:rsidR="006A5FFD" w:rsidRPr="00FB171D" w:rsidRDefault="006A5FFD" w:rsidP="002E0686">
      <w:pPr>
        <w:spacing w:before="100" w:beforeAutospacing="1" w:after="100" w:afterAutospacing="1" w:line="300" w:lineRule="atLeast"/>
        <w:rPr>
          <w:rFonts w:ascii="Georgia" w:eastAsia="Times New Roman" w:hAnsi="Georgia" w:cs="Arial"/>
          <w:sz w:val="21"/>
          <w:szCs w:val="21"/>
        </w:rPr>
      </w:pPr>
      <w:r w:rsidRPr="00FB171D">
        <w:rPr>
          <w:rFonts w:ascii="Georgia" w:eastAsia="Times New Roman" w:hAnsi="Georgia" w:cs="Arial"/>
          <w:sz w:val="21"/>
          <w:szCs w:val="21"/>
        </w:rPr>
        <w:t>When the neurons are dead, it is too late</w:t>
      </w:r>
    </w:p>
    <w:p w14:paraId="6B0FA77F" w14:textId="0EA63674" w:rsidR="006A5FFD" w:rsidRPr="00FB171D" w:rsidRDefault="006A5FFD" w:rsidP="002E0686">
      <w:pPr>
        <w:spacing w:before="100" w:beforeAutospacing="1" w:after="100" w:afterAutospacing="1" w:line="300" w:lineRule="atLeast"/>
        <w:rPr>
          <w:rFonts w:ascii="Georgia" w:eastAsia="Times New Roman" w:hAnsi="Georgia" w:cs="Arial"/>
          <w:sz w:val="21"/>
          <w:szCs w:val="21"/>
        </w:rPr>
      </w:pPr>
      <w:r w:rsidRPr="00FB171D">
        <w:rPr>
          <w:rFonts w:ascii="Georgia" w:eastAsia="Times New Roman" w:hAnsi="Georgia" w:cs="Arial"/>
          <w:sz w:val="21"/>
          <w:szCs w:val="21"/>
        </w:rPr>
        <w:t>Reversible causes of cognitive decline</w:t>
      </w:r>
    </w:p>
    <w:p w14:paraId="6FF57EE2" w14:textId="0CB3F913" w:rsidR="00C04375" w:rsidRPr="00FB171D" w:rsidRDefault="00A90461" w:rsidP="002E0686">
      <w:pPr>
        <w:spacing w:before="100" w:beforeAutospacing="1" w:after="100" w:afterAutospacing="1" w:line="300" w:lineRule="atLeast"/>
        <w:rPr>
          <w:rFonts w:ascii="Georgia" w:eastAsia="Times New Roman" w:hAnsi="Georgia" w:cs="Arial"/>
          <w:sz w:val="21"/>
          <w:szCs w:val="21"/>
        </w:rPr>
      </w:pPr>
      <w:r w:rsidRPr="00FB171D">
        <w:rPr>
          <w:rFonts w:ascii="Georgia" w:eastAsia="Times New Roman" w:hAnsi="Georgia" w:cs="Arial"/>
          <w:sz w:val="21"/>
          <w:szCs w:val="21"/>
        </w:rPr>
        <w:t xml:space="preserve">Presentation is variable depending on which neurons/synapses are gone and </w:t>
      </w:r>
      <w:r w:rsidR="00ED5913" w:rsidRPr="00FB171D">
        <w:rPr>
          <w:rFonts w:ascii="Georgia" w:eastAsia="Times New Roman" w:hAnsi="Georgia" w:cs="Arial"/>
          <w:sz w:val="21"/>
          <w:szCs w:val="21"/>
        </w:rPr>
        <w:t>what they do</w:t>
      </w:r>
    </w:p>
    <w:p w14:paraId="5DE07595" w14:textId="2935B43D" w:rsidR="00ED5913" w:rsidRPr="00FB171D" w:rsidRDefault="00ED5913" w:rsidP="002E0686">
      <w:pPr>
        <w:spacing w:before="100" w:beforeAutospacing="1" w:after="100" w:afterAutospacing="1" w:line="300" w:lineRule="atLeast"/>
        <w:rPr>
          <w:rFonts w:ascii="Georgia" w:eastAsia="Times New Roman" w:hAnsi="Georgia" w:cs="Arial"/>
          <w:sz w:val="21"/>
          <w:szCs w:val="21"/>
        </w:rPr>
      </w:pPr>
      <w:r w:rsidRPr="00FB171D">
        <w:rPr>
          <w:rFonts w:ascii="Georgia" w:eastAsia="Times New Roman" w:hAnsi="Georgia" w:cs="Arial"/>
          <w:sz w:val="21"/>
          <w:szCs w:val="21"/>
        </w:rPr>
        <w:t>Brain metabolism and dysfunction</w:t>
      </w:r>
    </w:p>
    <w:p w14:paraId="7E6B5E1B" w14:textId="5AD1EEF7" w:rsidR="00ED5913" w:rsidRPr="00FB171D" w:rsidRDefault="00ED5913" w:rsidP="002E0686">
      <w:pPr>
        <w:spacing w:before="100" w:beforeAutospacing="1" w:after="100" w:afterAutospacing="1" w:line="300" w:lineRule="atLeast"/>
        <w:rPr>
          <w:rFonts w:ascii="Georgia" w:eastAsia="Times New Roman" w:hAnsi="Georgia" w:cs="Arial"/>
          <w:sz w:val="21"/>
          <w:szCs w:val="21"/>
        </w:rPr>
      </w:pPr>
      <w:r w:rsidRPr="00FB171D">
        <w:rPr>
          <w:rFonts w:ascii="Georgia" w:eastAsia="Times New Roman" w:hAnsi="Georgia" w:cs="Arial"/>
          <w:sz w:val="21"/>
          <w:szCs w:val="21"/>
        </w:rPr>
        <w:t>Toxins</w:t>
      </w:r>
    </w:p>
    <w:p w14:paraId="442FB054" w14:textId="5D29970B" w:rsidR="00ED5913" w:rsidRPr="00FB171D" w:rsidRDefault="00FD4BC8" w:rsidP="002E0686">
      <w:pPr>
        <w:spacing w:before="100" w:beforeAutospacing="1" w:after="100" w:afterAutospacing="1" w:line="300" w:lineRule="atLeast"/>
        <w:rPr>
          <w:rFonts w:ascii="Georgia" w:eastAsia="Times New Roman" w:hAnsi="Georgia" w:cs="Arial"/>
          <w:sz w:val="21"/>
          <w:szCs w:val="21"/>
        </w:rPr>
      </w:pPr>
      <w:r w:rsidRPr="00FB171D">
        <w:rPr>
          <w:rFonts w:ascii="Georgia" w:eastAsia="Times New Roman" w:hAnsi="Georgia" w:cs="Arial"/>
          <w:sz w:val="21"/>
          <w:szCs w:val="21"/>
        </w:rPr>
        <w:t>Age and experience can compensate or even outweigh neuron loss, but only up to a certain point</w:t>
      </w:r>
    </w:p>
    <w:p w14:paraId="1C3C3516" w14:textId="666224FE" w:rsidR="00FD4BC8" w:rsidRPr="00FB171D" w:rsidRDefault="00FD4BC8" w:rsidP="002E0686">
      <w:pPr>
        <w:spacing w:before="100" w:beforeAutospacing="1" w:after="100" w:afterAutospacing="1" w:line="300" w:lineRule="atLeast"/>
        <w:rPr>
          <w:rFonts w:ascii="Georgia" w:eastAsia="Times New Roman" w:hAnsi="Georgia" w:cs="Arial"/>
          <w:sz w:val="21"/>
          <w:szCs w:val="21"/>
        </w:rPr>
      </w:pPr>
      <w:r w:rsidRPr="00FB171D">
        <w:rPr>
          <w:rFonts w:ascii="Georgia" w:eastAsia="Times New Roman" w:hAnsi="Georgia" w:cs="Arial"/>
          <w:sz w:val="21"/>
          <w:szCs w:val="21"/>
        </w:rPr>
        <w:t>Early stages may hide due to compensation and focus on past events</w:t>
      </w:r>
    </w:p>
    <w:p w14:paraId="44916F49" w14:textId="7E2B2CD9" w:rsidR="00FD4BC8" w:rsidRPr="00FB171D" w:rsidRDefault="00FD4BC8" w:rsidP="002E0686">
      <w:pPr>
        <w:spacing w:before="100" w:beforeAutospacing="1" w:after="100" w:afterAutospacing="1" w:line="300" w:lineRule="atLeast"/>
        <w:rPr>
          <w:rFonts w:ascii="Georgia" w:eastAsia="Times New Roman" w:hAnsi="Georgia" w:cs="Arial"/>
          <w:sz w:val="21"/>
          <w:szCs w:val="21"/>
        </w:rPr>
      </w:pPr>
      <w:r w:rsidRPr="00FB171D">
        <w:rPr>
          <w:rFonts w:ascii="Georgia" w:eastAsia="Times New Roman" w:hAnsi="Georgia" w:cs="Arial"/>
          <w:sz w:val="21"/>
          <w:szCs w:val="21"/>
        </w:rPr>
        <w:t>Why loss of short term vs. long term memory?  Is this effect real or just because it is harder to verify long term memory?</w:t>
      </w:r>
    </w:p>
    <w:p w14:paraId="002FC297" w14:textId="77777777" w:rsidR="00FD4BC8" w:rsidRPr="00FB171D" w:rsidRDefault="00FD4BC8" w:rsidP="002E0686">
      <w:pPr>
        <w:spacing w:before="100" w:beforeAutospacing="1" w:after="100" w:afterAutospacing="1" w:line="300" w:lineRule="atLeast"/>
        <w:rPr>
          <w:rFonts w:ascii="Georgia" w:eastAsia="Times New Roman" w:hAnsi="Georgia" w:cs="Arial"/>
          <w:sz w:val="21"/>
          <w:szCs w:val="21"/>
        </w:rPr>
      </w:pPr>
    </w:p>
    <w:p w14:paraId="4D03E18D" w14:textId="7398BE06" w:rsidR="0077760F" w:rsidRPr="00FB171D" w:rsidRDefault="0077760F" w:rsidP="002E0686">
      <w:pPr>
        <w:spacing w:before="100" w:beforeAutospacing="1" w:after="100" w:afterAutospacing="1" w:line="300" w:lineRule="atLeast"/>
        <w:rPr>
          <w:rFonts w:ascii="Georgia" w:eastAsia="Times New Roman" w:hAnsi="Georgia" w:cs="Arial"/>
          <w:sz w:val="21"/>
          <w:szCs w:val="21"/>
        </w:rPr>
      </w:pPr>
      <w:r w:rsidRPr="00FB171D">
        <w:rPr>
          <w:rFonts w:ascii="Georgia" w:eastAsia="Times New Roman" w:hAnsi="Georgia" w:cs="Arial"/>
          <w:sz w:val="21"/>
          <w:szCs w:val="21"/>
        </w:rPr>
        <w:t>The basics: brain cell death.  Synpatic connections.  Nerve sheaths.  Why brain neurons cannot be replaced (too many connections).  How this causes aging.</w:t>
      </w:r>
    </w:p>
    <w:p w14:paraId="46EFBACA" w14:textId="390C48EA" w:rsidR="0077760F" w:rsidRPr="00FB171D" w:rsidRDefault="0077760F" w:rsidP="002E0686">
      <w:pPr>
        <w:spacing w:before="100" w:beforeAutospacing="1" w:after="100" w:afterAutospacing="1" w:line="300" w:lineRule="atLeast"/>
        <w:rPr>
          <w:rFonts w:ascii="Georgia" w:eastAsia="Times New Roman" w:hAnsi="Georgia" w:cs="Arial"/>
          <w:sz w:val="21"/>
          <w:szCs w:val="21"/>
        </w:rPr>
      </w:pPr>
      <w:r w:rsidRPr="00FB171D">
        <w:rPr>
          <w:rFonts w:ascii="Georgia" w:eastAsia="Times New Roman" w:hAnsi="Georgia" w:cs="Arial"/>
          <w:sz w:val="21"/>
          <w:szCs w:val="21"/>
        </w:rPr>
        <w:t>Clinical presentations:</w:t>
      </w:r>
      <w:r w:rsidR="008E66B9" w:rsidRPr="00FB171D">
        <w:rPr>
          <w:rFonts w:ascii="Georgia" w:eastAsia="Times New Roman" w:hAnsi="Georgia" w:cs="Arial"/>
          <w:sz w:val="21"/>
          <w:szCs w:val="21"/>
        </w:rPr>
        <w:t xml:space="preserve"> How the underlying changes manifest themselves and making sense of them.  What can be done.  Reversible causes.  Prevention.  Modern ther</w:t>
      </w:r>
      <w:r w:rsidR="00C55A36" w:rsidRPr="00FB171D">
        <w:rPr>
          <w:rFonts w:ascii="Georgia" w:eastAsia="Times New Roman" w:hAnsi="Georgia" w:cs="Arial"/>
          <w:sz w:val="21"/>
          <w:szCs w:val="21"/>
        </w:rPr>
        <w:t xml:space="preserve">apies.  </w:t>
      </w:r>
    </w:p>
    <w:p w14:paraId="3EB43142" w14:textId="77777777" w:rsidR="00E4258B" w:rsidRPr="00FB171D" w:rsidRDefault="00E4258B" w:rsidP="00E4258B">
      <w:pPr>
        <w:spacing w:before="100" w:beforeAutospacing="1" w:after="100" w:afterAutospacing="1" w:line="240" w:lineRule="auto"/>
        <w:rPr>
          <w:rFonts w:ascii="Georgia" w:eastAsia="Times New Roman" w:hAnsi="Georgia" w:cs="Arial"/>
          <w:color w:val="000000"/>
          <w:sz w:val="27"/>
          <w:szCs w:val="27"/>
        </w:rPr>
      </w:pPr>
      <w:r w:rsidRPr="00FB171D">
        <w:rPr>
          <w:rFonts w:ascii="Georgia" w:eastAsia="Times New Roman" w:hAnsi="Georgia" w:cs="Arial"/>
          <w:color w:val="000000"/>
          <w:sz w:val="27"/>
          <w:szCs w:val="27"/>
        </w:rPr>
        <w:t xml:space="preserve">Dementia is a term used to describe the symptoms that occur when there’s a decline in brain function. </w:t>
      </w:r>
      <w:hyperlink r:id="rId188" w:history="1">
        <w:r w:rsidRPr="00FB171D">
          <w:rPr>
            <w:rFonts w:ascii="Georgia" w:eastAsia="Times New Roman" w:hAnsi="Georgia" w:cs="Arial"/>
            <w:color w:val="0000FF"/>
            <w:sz w:val="27"/>
            <w:szCs w:val="27"/>
            <w:u w:val="single"/>
          </w:rPr>
          <w:t>It develops when the parts of your brain involved with learning, memory, decision-making, or language are affected by infections or diseases</w:t>
        </w:r>
      </w:hyperlink>
      <w:hyperlink r:id="rId189" w:tgtFrame="_blank" w:history="1">
        <w:r w:rsidRPr="00FB171D">
          <w:rPr>
            <w:rFonts w:ascii="Georgia" w:eastAsia="Times New Roman" w:hAnsi="Georgia" w:cs="Arial"/>
            <w:color w:val="0000FF"/>
            <w:sz w:val="27"/>
            <w:szCs w:val="27"/>
            <w:u w:val="single"/>
            <w:vertAlign w:val="superscript"/>
          </w:rPr>
          <w:t>1</w:t>
        </w:r>
      </w:hyperlink>
      <w:hyperlink r:id="rId190" w:tgtFrame="_blank" w:history="1">
        <w:r w:rsidRPr="00FB171D">
          <w:rPr>
            <w:rFonts w:ascii="Georgia" w:eastAsia="Times New Roman" w:hAnsi="Georgia" w:cs="Arial"/>
            <w:color w:val="0000FF"/>
            <w:sz w:val="27"/>
            <w:szCs w:val="27"/>
            <w:u w:val="single"/>
            <w:vertAlign w:val="superscript"/>
          </w:rPr>
          <w:t>2</w:t>
        </w:r>
      </w:hyperlink>
      <w:r w:rsidRPr="00FB171D">
        <w:rPr>
          <w:rFonts w:ascii="Georgia" w:eastAsia="Times New Roman" w:hAnsi="Georgia" w:cs="Arial"/>
          <w:color w:val="000000"/>
          <w:sz w:val="27"/>
          <w:szCs w:val="27"/>
        </w:rPr>
        <w:t>. Here are some known causes of dementia:</w:t>
      </w:r>
    </w:p>
    <w:p w14:paraId="21D2850D" w14:textId="77777777" w:rsidR="00E4258B" w:rsidRPr="00FB171D" w:rsidRDefault="00E4258B" w:rsidP="00734CAC">
      <w:pPr>
        <w:numPr>
          <w:ilvl w:val="0"/>
          <w:numId w:val="9"/>
        </w:numPr>
        <w:spacing w:before="100" w:beforeAutospacing="1" w:after="100" w:afterAutospacing="1" w:line="240" w:lineRule="auto"/>
        <w:rPr>
          <w:rFonts w:ascii="Georgia" w:eastAsia="Times New Roman" w:hAnsi="Georgia" w:cs="Arial"/>
          <w:color w:val="000000"/>
          <w:sz w:val="27"/>
          <w:szCs w:val="27"/>
        </w:rPr>
      </w:pPr>
      <w:r w:rsidRPr="00FB171D">
        <w:rPr>
          <w:rFonts w:ascii="Georgia" w:eastAsia="Times New Roman" w:hAnsi="Georgia" w:cs="Arial"/>
          <w:b/>
          <w:bCs/>
          <w:color w:val="000000"/>
          <w:sz w:val="27"/>
          <w:szCs w:val="27"/>
        </w:rPr>
        <w:t>Alzheimer’s Disease</w:t>
      </w:r>
      <w:r w:rsidRPr="00FB171D">
        <w:rPr>
          <w:rFonts w:ascii="Georgia" w:eastAsia="Times New Roman" w:hAnsi="Georgia" w:cs="Arial"/>
          <w:color w:val="000000"/>
          <w:sz w:val="27"/>
          <w:szCs w:val="27"/>
        </w:rPr>
        <w:t xml:space="preserve">: The most common cause of dementia. </w:t>
      </w:r>
      <w:hyperlink r:id="rId191" w:history="1">
        <w:r w:rsidRPr="00FB171D">
          <w:rPr>
            <w:rFonts w:ascii="Georgia" w:eastAsia="Times New Roman" w:hAnsi="Georgia" w:cs="Arial"/>
            <w:color w:val="0000FF"/>
            <w:sz w:val="27"/>
            <w:szCs w:val="27"/>
            <w:u w:val="single"/>
          </w:rPr>
          <w:t>It’s thought to be caused by the abnormal build-up of two proteins called amyloid and tau</w:t>
        </w:r>
      </w:hyperlink>
      <w:hyperlink r:id="rId192" w:tgtFrame="_blank" w:history="1">
        <w:r w:rsidRPr="00FB171D">
          <w:rPr>
            <w:rFonts w:ascii="Georgia" w:eastAsia="Times New Roman" w:hAnsi="Georgia" w:cs="Arial"/>
            <w:color w:val="0000FF"/>
            <w:sz w:val="27"/>
            <w:szCs w:val="27"/>
            <w:u w:val="single"/>
            <w:vertAlign w:val="superscript"/>
          </w:rPr>
          <w:t>3</w:t>
        </w:r>
      </w:hyperlink>
      <w:r w:rsidRPr="00FB171D">
        <w:rPr>
          <w:rFonts w:ascii="Georgia" w:eastAsia="Times New Roman" w:hAnsi="Georgia" w:cs="Arial"/>
          <w:color w:val="000000"/>
          <w:sz w:val="27"/>
          <w:szCs w:val="27"/>
        </w:rPr>
        <w:t>.</w:t>
      </w:r>
    </w:p>
    <w:p w14:paraId="2446FB06" w14:textId="77777777" w:rsidR="00E4258B" w:rsidRPr="00FB171D" w:rsidRDefault="00000000" w:rsidP="00734CAC">
      <w:pPr>
        <w:numPr>
          <w:ilvl w:val="0"/>
          <w:numId w:val="9"/>
        </w:numPr>
        <w:spacing w:before="100" w:beforeAutospacing="1" w:after="100" w:afterAutospacing="1" w:line="240" w:lineRule="auto"/>
        <w:rPr>
          <w:rFonts w:ascii="Georgia" w:eastAsia="Times New Roman" w:hAnsi="Georgia" w:cs="Arial"/>
          <w:color w:val="000000"/>
          <w:sz w:val="27"/>
          <w:szCs w:val="27"/>
        </w:rPr>
      </w:pPr>
      <w:hyperlink r:id="rId193" w:history="1">
        <w:r w:rsidR="00E4258B" w:rsidRPr="00FB171D">
          <w:rPr>
            <w:rFonts w:ascii="Georgia" w:eastAsia="Times New Roman" w:hAnsi="Georgia" w:cs="Arial"/>
            <w:b/>
            <w:bCs/>
            <w:color w:val="0000FF"/>
            <w:sz w:val="27"/>
            <w:szCs w:val="27"/>
            <w:u w:val="single"/>
          </w:rPr>
          <w:t>Vascular Dementia</w:t>
        </w:r>
        <w:r w:rsidR="00E4258B" w:rsidRPr="00FB171D">
          <w:rPr>
            <w:rFonts w:ascii="Georgia" w:eastAsia="Times New Roman" w:hAnsi="Georgia" w:cs="Arial"/>
            <w:color w:val="0000FF"/>
            <w:sz w:val="27"/>
            <w:szCs w:val="27"/>
            <w:u w:val="single"/>
          </w:rPr>
          <w:t>: Caused by reduced blood flow to the brain, which damages and eventually kills brain cells</w:t>
        </w:r>
      </w:hyperlink>
      <w:hyperlink r:id="rId194" w:tgtFrame="_blank" w:history="1">
        <w:r w:rsidR="00E4258B" w:rsidRPr="00FB171D">
          <w:rPr>
            <w:rFonts w:ascii="Georgia" w:eastAsia="Times New Roman" w:hAnsi="Georgia" w:cs="Arial"/>
            <w:color w:val="0000FF"/>
            <w:sz w:val="27"/>
            <w:szCs w:val="27"/>
            <w:u w:val="single"/>
            <w:vertAlign w:val="superscript"/>
          </w:rPr>
          <w:t>3</w:t>
        </w:r>
      </w:hyperlink>
      <w:r w:rsidR="00E4258B" w:rsidRPr="00FB171D">
        <w:rPr>
          <w:rFonts w:ascii="Georgia" w:eastAsia="Times New Roman" w:hAnsi="Georgia" w:cs="Arial"/>
          <w:color w:val="000000"/>
          <w:sz w:val="27"/>
          <w:szCs w:val="27"/>
        </w:rPr>
        <w:t>.</w:t>
      </w:r>
    </w:p>
    <w:p w14:paraId="5218CA9A" w14:textId="77777777" w:rsidR="00E4258B" w:rsidRPr="00FB171D" w:rsidRDefault="00E4258B" w:rsidP="00734CAC">
      <w:pPr>
        <w:numPr>
          <w:ilvl w:val="0"/>
          <w:numId w:val="9"/>
        </w:numPr>
        <w:spacing w:before="100" w:beforeAutospacing="1" w:after="100" w:afterAutospacing="1" w:line="240" w:lineRule="auto"/>
        <w:rPr>
          <w:rFonts w:ascii="Georgia" w:eastAsia="Times New Roman" w:hAnsi="Georgia" w:cs="Arial"/>
          <w:color w:val="000000"/>
          <w:sz w:val="27"/>
          <w:szCs w:val="27"/>
        </w:rPr>
      </w:pPr>
      <w:r w:rsidRPr="00FB171D">
        <w:rPr>
          <w:rFonts w:ascii="Georgia" w:eastAsia="Times New Roman" w:hAnsi="Georgia" w:cs="Arial"/>
          <w:b/>
          <w:bCs/>
          <w:color w:val="000000"/>
          <w:sz w:val="27"/>
          <w:szCs w:val="27"/>
        </w:rPr>
        <w:t>Dementia with Lewy Bodies</w:t>
      </w:r>
      <w:r w:rsidRPr="00FB171D">
        <w:rPr>
          <w:rFonts w:ascii="Georgia" w:eastAsia="Times New Roman" w:hAnsi="Georgia" w:cs="Arial"/>
          <w:color w:val="000000"/>
          <w:sz w:val="27"/>
          <w:szCs w:val="27"/>
        </w:rPr>
        <w:t xml:space="preserve">: Lewy bodies are tiny clumps of a protein called alpha-synuclein that can develop inside brain cells. </w:t>
      </w:r>
      <w:hyperlink r:id="rId195" w:history="1">
        <w:r w:rsidRPr="00FB171D">
          <w:rPr>
            <w:rFonts w:ascii="Georgia" w:eastAsia="Times New Roman" w:hAnsi="Georgia" w:cs="Arial"/>
            <w:color w:val="0000FF"/>
            <w:sz w:val="27"/>
            <w:szCs w:val="27"/>
            <w:u w:val="single"/>
          </w:rPr>
          <w:t>These clumps damage the way the cells work and communicate with each other, and the brain cells eventually die</w:t>
        </w:r>
      </w:hyperlink>
      <w:hyperlink r:id="rId196" w:tgtFrame="_blank" w:history="1">
        <w:r w:rsidRPr="00FB171D">
          <w:rPr>
            <w:rFonts w:ascii="Georgia" w:eastAsia="Times New Roman" w:hAnsi="Georgia" w:cs="Arial"/>
            <w:color w:val="0000FF"/>
            <w:sz w:val="27"/>
            <w:szCs w:val="27"/>
            <w:u w:val="single"/>
            <w:vertAlign w:val="superscript"/>
          </w:rPr>
          <w:t>3</w:t>
        </w:r>
      </w:hyperlink>
      <w:r w:rsidRPr="00FB171D">
        <w:rPr>
          <w:rFonts w:ascii="Georgia" w:eastAsia="Times New Roman" w:hAnsi="Georgia" w:cs="Arial"/>
          <w:color w:val="000000"/>
          <w:sz w:val="27"/>
          <w:szCs w:val="27"/>
        </w:rPr>
        <w:t>.</w:t>
      </w:r>
    </w:p>
    <w:p w14:paraId="1C216358" w14:textId="77777777" w:rsidR="00E4258B" w:rsidRPr="00FB171D" w:rsidRDefault="00000000" w:rsidP="00734CAC">
      <w:pPr>
        <w:numPr>
          <w:ilvl w:val="0"/>
          <w:numId w:val="9"/>
        </w:numPr>
        <w:spacing w:before="100" w:beforeAutospacing="1" w:after="100" w:afterAutospacing="1" w:line="240" w:lineRule="auto"/>
        <w:rPr>
          <w:rFonts w:ascii="Georgia" w:eastAsia="Times New Roman" w:hAnsi="Georgia" w:cs="Arial"/>
          <w:color w:val="000000"/>
          <w:sz w:val="27"/>
          <w:szCs w:val="27"/>
        </w:rPr>
      </w:pPr>
      <w:hyperlink r:id="rId197" w:history="1">
        <w:r w:rsidR="00E4258B" w:rsidRPr="00FB171D">
          <w:rPr>
            <w:rFonts w:ascii="Georgia" w:eastAsia="Times New Roman" w:hAnsi="Georgia" w:cs="Arial"/>
            <w:b/>
            <w:bCs/>
            <w:color w:val="0000FF"/>
            <w:sz w:val="27"/>
            <w:szCs w:val="27"/>
            <w:u w:val="single"/>
          </w:rPr>
          <w:t>Frontotemporal Dementia</w:t>
        </w:r>
        <w:r w:rsidR="00E4258B" w:rsidRPr="00FB171D">
          <w:rPr>
            <w:rFonts w:ascii="Georgia" w:eastAsia="Times New Roman" w:hAnsi="Georgia" w:cs="Arial"/>
            <w:color w:val="0000FF"/>
            <w:sz w:val="27"/>
            <w:szCs w:val="27"/>
            <w:u w:val="single"/>
          </w:rPr>
          <w:t>: This form of dementia occurs when the frontal and temporal lobes of the brain shrink</w:t>
        </w:r>
      </w:hyperlink>
      <w:hyperlink r:id="rId198" w:tgtFrame="_blank" w:history="1">
        <w:r w:rsidR="00E4258B" w:rsidRPr="00FB171D">
          <w:rPr>
            <w:rFonts w:ascii="Georgia" w:eastAsia="Times New Roman" w:hAnsi="Georgia" w:cs="Arial"/>
            <w:color w:val="0000FF"/>
            <w:sz w:val="27"/>
            <w:szCs w:val="27"/>
            <w:u w:val="single"/>
            <w:vertAlign w:val="superscript"/>
          </w:rPr>
          <w:t>2</w:t>
        </w:r>
      </w:hyperlink>
      <w:r w:rsidR="00E4258B" w:rsidRPr="00FB171D">
        <w:rPr>
          <w:rFonts w:ascii="Georgia" w:eastAsia="Times New Roman" w:hAnsi="Georgia" w:cs="Arial"/>
          <w:color w:val="000000"/>
          <w:sz w:val="27"/>
          <w:szCs w:val="27"/>
        </w:rPr>
        <w:t>.</w:t>
      </w:r>
    </w:p>
    <w:p w14:paraId="47ECE1F0" w14:textId="77777777" w:rsidR="00E4258B" w:rsidRPr="00FB171D" w:rsidRDefault="00000000" w:rsidP="00734CAC">
      <w:pPr>
        <w:numPr>
          <w:ilvl w:val="0"/>
          <w:numId w:val="9"/>
        </w:numPr>
        <w:spacing w:before="100" w:beforeAutospacing="1" w:after="100" w:afterAutospacing="1" w:line="240" w:lineRule="auto"/>
        <w:rPr>
          <w:rFonts w:ascii="Georgia" w:eastAsia="Times New Roman" w:hAnsi="Georgia" w:cs="Arial"/>
          <w:color w:val="000000"/>
          <w:sz w:val="27"/>
          <w:szCs w:val="27"/>
        </w:rPr>
      </w:pPr>
      <w:hyperlink r:id="rId199" w:history="1">
        <w:r w:rsidR="00E4258B" w:rsidRPr="00FB171D">
          <w:rPr>
            <w:rFonts w:ascii="Georgia" w:eastAsia="Times New Roman" w:hAnsi="Georgia" w:cs="Arial"/>
            <w:b/>
            <w:bCs/>
            <w:color w:val="0000FF"/>
            <w:sz w:val="27"/>
            <w:szCs w:val="27"/>
            <w:u w:val="single"/>
          </w:rPr>
          <w:t>Mixed Dementia</w:t>
        </w:r>
        <w:r w:rsidR="00E4258B" w:rsidRPr="00FB171D">
          <w:rPr>
            <w:rFonts w:ascii="Georgia" w:eastAsia="Times New Roman" w:hAnsi="Georgia" w:cs="Arial"/>
            <w:color w:val="0000FF"/>
            <w:sz w:val="27"/>
            <w:szCs w:val="27"/>
            <w:u w:val="single"/>
          </w:rPr>
          <w:t>: Both vascular dementia and Alzheimer’s disease may be present together</w:t>
        </w:r>
      </w:hyperlink>
      <w:hyperlink r:id="rId200" w:tgtFrame="_blank" w:history="1">
        <w:r w:rsidR="00E4258B" w:rsidRPr="00FB171D">
          <w:rPr>
            <w:rFonts w:ascii="Georgia" w:eastAsia="Times New Roman" w:hAnsi="Georgia" w:cs="Arial"/>
            <w:color w:val="0000FF"/>
            <w:sz w:val="27"/>
            <w:szCs w:val="27"/>
            <w:u w:val="single"/>
            <w:vertAlign w:val="superscript"/>
          </w:rPr>
          <w:t>3</w:t>
        </w:r>
      </w:hyperlink>
      <w:r w:rsidR="00E4258B" w:rsidRPr="00FB171D">
        <w:rPr>
          <w:rFonts w:ascii="Georgia" w:eastAsia="Times New Roman" w:hAnsi="Georgia" w:cs="Arial"/>
          <w:color w:val="000000"/>
          <w:sz w:val="27"/>
          <w:szCs w:val="27"/>
        </w:rPr>
        <w:t>.</w:t>
      </w:r>
    </w:p>
    <w:p w14:paraId="65A48C27" w14:textId="77777777" w:rsidR="00E4258B" w:rsidRPr="00FB171D" w:rsidRDefault="00000000" w:rsidP="00E4258B">
      <w:pPr>
        <w:spacing w:before="100" w:beforeAutospacing="1" w:after="100" w:afterAutospacing="1" w:line="240" w:lineRule="auto"/>
        <w:rPr>
          <w:rFonts w:ascii="Georgia" w:eastAsia="Times New Roman" w:hAnsi="Georgia" w:cs="Arial"/>
          <w:color w:val="000000"/>
          <w:sz w:val="27"/>
          <w:szCs w:val="27"/>
        </w:rPr>
      </w:pPr>
      <w:hyperlink r:id="rId201" w:tgtFrame="_blank" w:history="1">
        <w:r w:rsidR="00E4258B" w:rsidRPr="00FB171D">
          <w:rPr>
            <w:rFonts w:ascii="Georgia" w:eastAsia="Times New Roman" w:hAnsi="Georgia" w:cs="Arial"/>
            <w:color w:val="0000FF"/>
            <w:sz w:val="27"/>
            <w:szCs w:val="27"/>
            <w:u w:val="single"/>
          </w:rPr>
          <w:t>Other factors that can cause dementia include advanced age, family history, damage to blood vessels of the brain, accumulation of clumps of protein in the brain, genetic disorders such as Huntington’s disease, mental and neurological disorders such as Parkinson’s disease and depression, traumatic brain injury, infections which cause high fever, metabolic disorders such as thyroid problems and diabetes, certain medications, vitamin deficiencies, poisoning with heavy metals or pesticides, alcohol abuse, and brain tumor or cancer</w:t>
        </w:r>
      </w:hyperlink>
      <w:hyperlink r:id="rId202" w:tgtFrame="_blank" w:history="1">
        <w:r w:rsidR="00E4258B" w:rsidRPr="00FB171D">
          <w:rPr>
            <w:rFonts w:ascii="Georgia" w:eastAsia="Times New Roman" w:hAnsi="Georgia" w:cs="Arial"/>
            <w:color w:val="0000FF"/>
            <w:sz w:val="27"/>
            <w:szCs w:val="27"/>
            <w:u w:val="single"/>
            <w:vertAlign w:val="superscript"/>
          </w:rPr>
          <w:t>1</w:t>
        </w:r>
      </w:hyperlink>
      <w:r w:rsidR="00E4258B" w:rsidRPr="00FB171D">
        <w:rPr>
          <w:rFonts w:ascii="Georgia" w:eastAsia="Times New Roman" w:hAnsi="Georgia" w:cs="Arial"/>
          <w:color w:val="000000"/>
          <w:sz w:val="27"/>
          <w:szCs w:val="27"/>
        </w:rPr>
        <w:t>.</w:t>
      </w:r>
    </w:p>
    <w:p w14:paraId="72AAA4AA" w14:textId="77777777" w:rsidR="00E4258B" w:rsidRPr="00FB171D" w:rsidRDefault="00E4258B" w:rsidP="00E4258B">
      <w:pPr>
        <w:rPr>
          <w:rFonts w:ascii="Georgia" w:hAnsi="Georgia" w:cs="Arial"/>
        </w:rPr>
      </w:pPr>
      <w:r w:rsidRPr="00FB171D">
        <w:rPr>
          <w:rFonts w:ascii="Georgia" w:hAnsi="Georgia" w:cs="Arial"/>
        </w:rPr>
        <w:t>Excessive alcohol consumption has well-documented neurotoxic effects, which can result in structural brain damage and cognitive deficits. Chronic alcohol abuse is known to lead to conditions such as Wernicke-Korsakoff syndrome, characterized by severe memory impairment and motor dysfunction.</w:t>
      </w:r>
    </w:p>
    <w:p w14:paraId="177C0B44" w14:textId="77777777" w:rsidR="00E4258B" w:rsidRPr="00FB171D" w:rsidRDefault="00E4258B" w:rsidP="00E4258B">
      <w:pPr>
        <w:rPr>
          <w:rFonts w:ascii="Georgia" w:hAnsi="Georgia" w:cs="Arial"/>
        </w:rPr>
      </w:pPr>
      <w:r w:rsidRPr="00FB171D">
        <w:rPr>
          <w:rFonts w:ascii="Georgia" w:hAnsi="Georgia" w:cs="Arial"/>
        </w:rPr>
        <w:t>The use of illicit drugs, such as cocaine, methamphetamine, and opioids, can significantly disrupt neurotransmitter systems and cause permanent changes in brain structure and function. Long-term use of these substances is often associated with cognitive decline, memory loss, and impaired executive function.</w:t>
      </w:r>
    </w:p>
    <w:p w14:paraId="0CC8ECC6" w14:textId="77777777" w:rsidR="00E4258B" w:rsidRPr="00FB171D" w:rsidRDefault="00E4258B" w:rsidP="00E4258B">
      <w:pPr>
        <w:rPr>
          <w:rFonts w:ascii="Georgia" w:hAnsi="Georgia" w:cs="Arial"/>
        </w:rPr>
      </w:pPr>
      <w:r w:rsidRPr="00FB171D">
        <w:rPr>
          <w:rFonts w:ascii="Georgia" w:hAnsi="Georgia" w:cs="Arial"/>
        </w:rPr>
        <w:t>Moreover, certain medications, particularly those with anticholinergic properties (e.g., diphenhydramine, oxybutynin), have been linked to an increased risk of cognitive decline. These medications can interfere with acetylcholine, a key neurotransmitter involved in memory and learning processes.</w:t>
      </w:r>
    </w:p>
    <w:p w14:paraId="13301CD5" w14:textId="77777777" w:rsidR="00E4258B" w:rsidRPr="00FB171D" w:rsidRDefault="00E4258B" w:rsidP="00E4258B">
      <w:pPr>
        <w:rPr>
          <w:rFonts w:ascii="Georgia" w:hAnsi="Georgia" w:cs="Arial"/>
        </w:rPr>
      </w:pPr>
      <w:r w:rsidRPr="00FB171D">
        <w:rPr>
          <w:rFonts w:ascii="Georgia" w:hAnsi="Georgia" w:cs="Arial"/>
        </w:rPr>
        <w:t>In conclusion, it is imperative to consider and address these factors when assessing overall brain health and cognitive function, as they play a substantial role in the etiology of cognitive impairments and dementia.</w:t>
      </w:r>
    </w:p>
    <w:p w14:paraId="37CED3FF" w14:textId="77777777" w:rsidR="00E4258B" w:rsidRPr="00FB171D" w:rsidRDefault="00E4258B" w:rsidP="00E4258B">
      <w:pPr>
        <w:spacing w:after="0"/>
        <w:ind w:firstLine="720"/>
        <w:rPr>
          <w:rFonts w:ascii="Georgia" w:eastAsia="Segoe UI" w:hAnsi="Georgia" w:cs="Arial"/>
          <w:color w:val="FF0000"/>
          <w:sz w:val="28"/>
          <w:szCs w:val="28"/>
        </w:rPr>
      </w:pPr>
    </w:p>
    <w:p w14:paraId="14A7B575" w14:textId="77777777" w:rsidR="00E4258B" w:rsidRPr="00FB171D" w:rsidRDefault="00E4258B" w:rsidP="00E4258B">
      <w:pPr>
        <w:rPr>
          <w:rFonts w:ascii="Georgia" w:hAnsi="Georgia" w:cs="Arial"/>
        </w:rPr>
      </w:pPr>
    </w:p>
    <w:p w14:paraId="00E8F87D" w14:textId="1E69F3C9" w:rsidR="00E4258B" w:rsidRPr="00FB171D" w:rsidRDefault="00200F13" w:rsidP="00E4258B">
      <w:pPr>
        <w:rPr>
          <w:rFonts w:ascii="Georgia" w:hAnsi="Georgia" w:cs="Arial"/>
        </w:rPr>
      </w:pPr>
      <w:r w:rsidRPr="00FB171D">
        <w:rPr>
          <w:rFonts w:ascii="Georgia" w:hAnsi="Georgia" w:cs="Arial"/>
        </w:rPr>
        <w:t>Appendix A</w:t>
      </w:r>
    </w:p>
    <w:p w14:paraId="3C3A25C2" w14:textId="6AEBCDBA" w:rsidR="00200F13" w:rsidRPr="00FB171D" w:rsidRDefault="00200F13" w:rsidP="00E4258B">
      <w:pPr>
        <w:rPr>
          <w:rFonts w:ascii="Georgia" w:hAnsi="Georgia" w:cs="Arial"/>
        </w:rPr>
      </w:pPr>
      <w:r w:rsidRPr="00FB171D">
        <w:rPr>
          <w:rFonts w:ascii="Georgia" w:hAnsi="Georgia" w:cs="Arial"/>
        </w:rPr>
        <w:t>Montreal brain age test</w:t>
      </w:r>
    </w:p>
    <w:p w14:paraId="504F95E3" w14:textId="77777777" w:rsidR="00AD1F05" w:rsidRPr="00FB171D" w:rsidRDefault="00AD1F05" w:rsidP="00AD1F05">
      <w:pPr>
        <w:pStyle w:val="ListParagraph"/>
        <w:numPr>
          <w:ilvl w:val="0"/>
          <w:numId w:val="92"/>
        </w:numPr>
        <w:rPr>
          <w:rFonts w:ascii="Georgia" w:hAnsi="Georgia" w:cs="Arial"/>
        </w:rPr>
      </w:pPr>
      <w:r w:rsidRPr="00FB171D">
        <w:rPr>
          <w:rFonts w:ascii="Georgia" w:hAnsi="Georgia" w:cs="Arial"/>
        </w:rPr>
        <w:t>Memory Tests: Tasks such as recalling word lists or stories after short and long delays, which evaluate both immediate and delayed memory abilities.</w:t>
      </w:r>
    </w:p>
    <w:p w14:paraId="7DBF93F2" w14:textId="77777777" w:rsidR="00AD1F05" w:rsidRPr="00FB171D" w:rsidRDefault="00AD1F05" w:rsidP="00AD1F05">
      <w:pPr>
        <w:pStyle w:val="ListParagraph"/>
        <w:numPr>
          <w:ilvl w:val="0"/>
          <w:numId w:val="92"/>
        </w:numPr>
        <w:rPr>
          <w:rFonts w:ascii="Georgia" w:hAnsi="Georgia" w:cs="Arial"/>
        </w:rPr>
      </w:pPr>
      <w:r w:rsidRPr="00FB171D">
        <w:rPr>
          <w:rFonts w:ascii="Georgia" w:hAnsi="Georgia" w:cs="Arial"/>
        </w:rPr>
        <w:t>Attention and Concentration: Exercises like digit span (repeating numbers forwards and backwards) or identifying specific targets among distractors.</w:t>
      </w:r>
    </w:p>
    <w:p w14:paraId="7BC0E66D" w14:textId="77777777" w:rsidR="00AD1F05" w:rsidRPr="00FB171D" w:rsidRDefault="00AD1F05" w:rsidP="00AD1F05">
      <w:pPr>
        <w:pStyle w:val="ListParagraph"/>
        <w:numPr>
          <w:ilvl w:val="0"/>
          <w:numId w:val="92"/>
        </w:numPr>
        <w:rPr>
          <w:rFonts w:ascii="Georgia" w:hAnsi="Georgia" w:cs="Arial"/>
        </w:rPr>
      </w:pPr>
      <w:r w:rsidRPr="00FB171D">
        <w:rPr>
          <w:rFonts w:ascii="Georgia" w:hAnsi="Georgia" w:cs="Arial"/>
        </w:rPr>
        <w:t>Executive Function: Tests such as Trail Making (connecting sequences of numbers and/or letters), verbal fluency (generating words in a category or beginning with a certain letter), and problem-solving puzzles.</w:t>
      </w:r>
    </w:p>
    <w:p w14:paraId="67C675E6" w14:textId="77777777" w:rsidR="00AD1F05" w:rsidRPr="00FB171D" w:rsidRDefault="00AD1F05" w:rsidP="00AD1F05">
      <w:pPr>
        <w:pStyle w:val="ListParagraph"/>
        <w:numPr>
          <w:ilvl w:val="0"/>
          <w:numId w:val="92"/>
        </w:numPr>
        <w:rPr>
          <w:rFonts w:ascii="Georgia" w:hAnsi="Georgia" w:cs="Arial"/>
        </w:rPr>
      </w:pPr>
      <w:r w:rsidRPr="00FB171D">
        <w:rPr>
          <w:rFonts w:ascii="Georgia" w:hAnsi="Georgia" w:cs="Arial"/>
        </w:rPr>
        <w:t>Processing Speed: Timed activities that require rapid visual scanning, symbol substitution, or pattern matching.</w:t>
      </w:r>
    </w:p>
    <w:p w14:paraId="5D11CB50" w14:textId="77777777" w:rsidR="00AD1F05" w:rsidRPr="00FB171D" w:rsidRDefault="00AD1F05" w:rsidP="00AD1F05">
      <w:pPr>
        <w:pStyle w:val="ListParagraph"/>
        <w:numPr>
          <w:ilvl w:val="0"/>
          <w:numId w:val="92"/>
        </w:numPr>
        <w:rPr>
          <w:rFonts w:ascii="Georgia" w:hAnsi="Georgia" w:cs="Arial"/>
        </w:rPr>
      </w:pPr>
      <w:r w:rsidRPr="00FB171D">
        <w:rPr>
          <w:rFonts w:ascii="Georgia" w:hAnsi="Georgia" w:cs="Arial"/>
        </w:rPr>
        <w:t>Language Skills: Tasks assessing naming objects, repeating sentences, and understanding verbal instructions.</w:t>
      </w:r>
    </w:p>
    <w:p w14:paraId="490A4723" w14:textId="77777777" w:rsidR="00AD1F05" w:rsidRPr="00FB171D" w:rsidRDefault="00AD1F05" w:rsidP="00AD1F05">
      <w:pPr>
        <w:pStyle w:val="ListParagraph"/>
        <w:numPr>
          <w:ilvl w:val="0"/>
          <w:numId w:val="92"/>
        </w:numPr>
        <w:rPr>
          <w:rFonts w:ascii="Georgia" w:hAnsi="Georgia" w:cs="Arial"/>
        </w:rPr>
      </w:pPr>
      <w:r w:rsidRPr="00FB171D">
        <w:rPr>
          <w:rFonts w:ascii="Georgia" w:hAnsi="Georgia" w:cs="Arial"/>
        </w:rPr>
        <w:t>Visuospatial Abilities: Copying complex shapes, drawing clocks, or identifying spatial relationships.</w:t>
      </w:r>
    </w:p>
    <w:p w14:paraId="761FCADC" w14:textId="275D8028" w:rsidR="00AD1F05" w:rsidRPr="00FB171D" w:rsidRDefault="00AD1F05" w:rsidP="00AD1F05">
      <w:pPr>
        <w:rPr>
          <w:rFonts w:ascii="Georgia" w:hAnsi="Georgia" w:cs="Arial"/>
        </w:rPr>
      </w:pPr>
      <w:r w:rsidRPr="00FB171D">
        <w:rPr>
          <w:rFonts w:ascii="Georgia" w:hAnsi="Georgia" w:cs="Arial"/>
        </w:rPr>
        <w:t>These components collectively provide a comprehensive picture of cognitive function, which is then used to estimate an individual's "brain age" compared to population norms.</w:t>
      </w:r>
    </w:p>
    <w:p w14:paraId="7012A783" w14:textId="77777777" w:rsidR="00F241D6" w:rsidRPr="00FB171D" w:rsidRDefault="00F241D6" w:rsidP="00F241D6">
      <w:pPr>
        <w:rPr>
          <w:rFonts w:ascii="Georgia" w:hAnsi="Georgia" w:cs="Arial"/>
        </w:rPr>
      </w:pPr>
      <w:r w:rsidRPr="00FB171D">
        <w:rPr>
          <w:rFonts w:ascii="Georgia" w:hAnsi="Georgia" w:cs="Arial"/>
        </w:rPr>
        <w:t>Below is an example of a Montreal brain age test, demonstrating the types of tasks a participant might encounter:</w:t>
      </w:r>
    </w:p>
    <w:p w14:paraId="432CEDF4" w14:textId="77777777" w:rsidR="00F241D6" w:rsidRPr="00FB171D" w:rsidRDefault="00F241D6" w:rsidP="00F241D6">
      <w:pPr>
        <w:rPr>
          <w:rFonts w:ascii="Georgia" w:hAnsi="Georgia" w:cs="Arial"/>
        </w:rPr>
      </w:pPr>
      <w:r w:rsidRPr="00FB171D">
        <w:rPr>
          <w:rFonts w:ascii="Georgia" w:hAnsi="Georgia" w:cs="Arial"/>
        </w:rPr>
        <w:t>Sample Montreal Brain Age Test</w:t>
      </w:r>
    </w:p>
    <w:p w14:paraId="4F1173B6" w14:textId="77777777" w:rsidR="00F241D6" w:rsidRPr="00FB171D" w:rsidRDefault="00F241D6" w:rsidP="00F241D6">
      <w:pPr>
        <w:rPr>
          <w:rFonts w:ascii="Georgia" w:hAnsi="Georgia" w:cs="Arial"/>
        </w:rPr>
      </w:pPr>
      <w:r w:rsidRPr="00FB171D">
        <w:rPr>
          <w:rFonts w:ascii="Georgia" w:hAnsi="Georgia" w:cs="Arial"/>
        </w:rPr>
        <w:t>1. Memory Test</w:t>
      </w:r>
    </w:p>
    <w:p w14:paraId="361042A6" w14:textId="77777777" w:rsidR="00F241D6" w:rsidRPr="00FB171D" w:rsidRDefault="00F241D6" w:rsidP="00F241D6">
      <w:pPr>
        <w:rPr>
          <w:rFonts w:ascii="Georgia" w:hAnsi="Georgia" w:cs="Arial"/>
        </w:rPr>
      </w:pPr>
      <w:r w:rsidRPr="00FB171D">
        <w:rPr>
          <w:rFonts w:ascii="Georgia" w:hAnsi="Georgia" w:cs="Arial"/>
        </w:rPr>
        <w:t>- You will hear a list of 12 words: apple, chair, river, house, pencil, flower, window, mountain, orange, tree, shoe, car.</w:t>
      </w:r>
    </w:p>
    <w:p w14:paraId="7FBBB172" w14:textId="77777777" w:rsidR="00F241D6" w:rsidRPr="00FB171D" w:rsidRDefault="00F241D6" w:rsidP="00F241D6">
      <w:pPr>
        <w:rPr>
          <w:rFonts w:ascii="Georgia" w:hAnsi="Georgia" w:cs="Arial"/>
        </w:rPr>
      </w:pPr>
      <w:r w:rsidRPr="00FB171D">
        <w:rPr>
          <w:rFonts w:ascii="Georgia" w:hAnsi="Georgia" w:cs="Arial"/>
        </w:rPr>
        <w:t>- After a distraction task (for example, counting backwards from 100 by sevens), you’ll be asked to recall as many words as possible.</w:t>
      </w:r>
    </w:p>
    <w:p w14:paraId="02D7FBB4" w14:textId="77777777" w:rsidR="00F241D6" w:rsidRPr="00FB171D" w:rsidRDefault="00F241D6" w:rsidP="00F241D6">
      <w:pPr>
        <w:rPr>
          <w:rFonts w:ascii="Georgia" w:hAnsi="Georgia" w:cs="Arial"/>
        </w:rPr>
      </w:pPr>
      <w:r w:rsidRPr="00FB171D">
        <w:rPr>
          <w:rFonts w:ascii="Georgia" w:hAnsi="Georgia" w:cs="Arial"/>
        </w:rPr>
        <w:t>- Later, after a longer delay, you’ll again be asked to recall the same list.</w:t>
      </w:r>
    </w:p>
    <w:p w14:paraId="2661ABC4" w14:textId="77777777" w:rsidR="00F241D6" w:rsidRPr="00FB171D" w:rsidRDefault="00F241D6" w:rsidP="00F241D6">
      <w:pPr>
        <w:rPr>
          <w:rFonts w:ascii="Georgia" w:hAnsi="Georgia" w:cs="Arial"/>
        </w:rPr>
      </w:pPr>
      <w:r w:rsidRPr="00FB171D">
        <w:rPr>
          <w:rFonts w:ascii="Georgia" w:hAnsi="Georgia" w:cs="Arial"/>
        </w:rPr>
        <w:t>2. Attention and Concentration</w:t>
      </w:r>
    </w:p>
    <w:p w14:paraId="3A810E94" w14:textId="77777777" w:rsidR="00F241D6" w:rsidRPr="00FB171D" w:rsidRDefault="00F241D6" w:rsidP="00F241D6">
      <w:pPr>
        <w:rPr>
          <w:rFonts w:ascii="Georgia" w:hAnsi="Georgia" w:cs="Arial"/>
        </w:rPr>
      </w:pPr>
      <w:r w:rsidRPr="00FB171D">
        <w:rPr>
          <w:rFonts w:ascii="Georgia" w:hAnsi="Georgia" w:cs="Arial"/>
        </w:rPr>
        <w:t>- Digit Span Forward: Listen to a sequence of numbers (e.g., 7 – 2 – 4 – 9 – 6) and repeat them back in the same order.</w:t>
      </w:r>
    </w:p>
    <w:p w14:paraId="644E3ACF" w14:textId="77777777" w:rsidR="00F241D6" w:rsidRPr="00FB171D" w:rsidRDefault="00F241D6" w:rsidP="00F241D6">
      <w:pPr>
        <w:rPr>
          <w:rFonts w:ascii="Georgia" w:hAnsi="Georgia" w:cs="Arial"/>
        </w:rPr>
      </w:pPr>
      <w:r w:rsidRPr="00FB171D">
        <w:rPr>
          <w:rFonts w:ascii="Georgia" w:hAnsi="Georgia" w:cs="Arial"/>
        </w:rPr>
        <w:t>- Digit Span Backward: Hear another sequence (e.g., 3 – 8 – 1 – 5) and repeat them in reverse order.</w:t>
      </w:r>
    </w:p>
    <w:p w14:paraId="0274BFD4" w14:textId="77777777" w:rsidR="00F241D6" w:rsidRPr="00FB171D" w:rsidRDefault="00F241D6" w:rsidP="00F241D6">
      <w:pPr>
        <w:rPr>
          <w:rFonts w:ascii="Georgia" w:hAnsi="Georgia" w:cs="Arial"/>
        </w:rPr>
      </w:pPr>
      <w:r w:rsidRPr="00FB171D">
        <w:rPr>
          <w:rFonts w:ascii="Georgia" w:hAnsi="Georgia" w:cs="Arial"/>
        </w:rPr>
        <w:t>- Visual Search: Circle all the letter “A”s in a block of random letters as quickly as possible.</w:t>
      </w:r>
    </w:p>
    <w:p w14:paraId="14E81622" w14:textId="77777777" w:rsidR="00F241D6" w:rsidRPr="00FB171D" w:rsidRDefault="00F241D6" w:rsidP="00F241D6">
      <w:pPr>
        <w:rPr>
          <w:rFonts w:ascii="Georgia" w:hAnsi="Georgia" w:cs="Arial"/>
        </w:rPr>
      </w:pPr>
      <w:r w:rsidRPr="00FB171D">
        <w:rPr>
          <w:rFonts w:ascii="Georgia" w:hAnsi="Georgia" w:cs="Arial"/>
        </w:rPr>
        <w:t>3. Executive Function</w:t>
      </w:r>
    </w:p>
    <w:p w14:paraId="764B1303" w14:textId="77777777" w:rsidR="00F241D6" w:rsidRPr="00FB171D" w:rsidRDefault="00F241D6" w:rsidP="00F241D6">
      <w:pPr>
        <w:rPr>
          <w:rFonts w:ascii="Georgia" w:hAnsi="Georgia" w:cs="Arial"/>
        </w:rPr>
      </w:pPr>
      <w:r w:rsidRPr="00FB171D">
        <w:rPr>
          <w:rFonts w:ascii="Georgia" w:hAnsi="Georgia" w:cs="Arial"/>
        </w:rPr>
        <w:t>- Trail Making Test Part A: Draw a line connecting numbers 1 to 25 in ascending order, as quickly as possible.</w:t>
      </w:r>
    </w:p>
    <w:p w14:paraId="418FE171" w14:textId="77777777" w:rsidR="00F241D6" w:rsidRPr="00FB171D" w:rsidRDefault="00F241D6" w:rsidP="00F241D6">
      <w:pPr>
        <w:rPr>
          <w:rFonts w:ascii="Georgia" w:hAnsi="Georgia" w:cs="Arial"/>
        </w:rPr>
      </w:pPr>
      <w:r w:rsidRPr="00FB171D">
        <w:rPr>
          <w:rFonts w:ascii="Georgia" w:hAnsi="Georgia" w:cs="Arial"/>
        </w:rPr>
        <w:t>- Trail Making Test Part B: Alternate between numbers and letters (1 – A – 2 – B – 3 – C, etc.) until the sequence ends.</w:t>
      </w:r>
    </w:p>
    <w:p w14:paraId="5DCB51C3" w14:textId="77777777" w:rsidR="00F241D6" w:rsidRPr="00FB171D" w:rsidRDefault="00F241D6" w:rsidP="00F241D6">
      <w:pPr>
        <w:rPr>
          <w:rFonts w:ascii="Georgia" w:hAnsi="Georgia" w:cs="Arial"/>
        </w:rPr>
      </w:pPr>
      <w:r w:rsidRPr="00FB171D">
        <w:rPr>
          <w:rFonts w:ascii="Georgia" w:hAnsi="Georgia" w:cs="Arial"/>
        </w:rPr>
        <w:t>- Verbal Fluency: In one minute, name as many animals as possible.</w:t>
      </w:r>
    </w:p>
    <w:p w14:paraId="16152C85" w14:textId="77777777" w:rsidR="00F241D6" w:rsidRPr="00FB171D" w:rsidRDefault="00F241D6" w:rsidP="00F241D6">
      <w:pPr>
        <w:rPr>
          <w:rFonts w:ascii="Georgia" w:hAnsi="Georgia" w:cs="Arial"/>
        </w:rPr>
      </w:pPr>
      <w:r w:rsidRPr="00FB171D">
        <w:rPr>
          <w:rFonts w:ascii="Georgia" w:hAnsi="Georgia" w:cs="Arial"/>
        </w:rPr>
        <w:t>4. Processing Speed</w:t>
      </w:r>
    </w:p>
    <w:p w14:paraId="3DC9E8D0" w14:textId="77777777" w:rsidR="00F241D6" w:rsidRPr="00FB171D" w:rsidRDefault="00F241D6" w:rsidP="00F241D6">
      <w:pPr>
        <w:rPr>
          <w:rFonts w:ascii="Georgia" w:hAnsi="Georgia" w:cs="Arial"/>
        </w:rPr>
      </w:pPr>
      <w:r w:rsidRPr="00FB171D">
        <w:rPr>
          <w:rFonts w:ascii="Georgia" w:hAnsi="Georgia" w:cs="Arial"/>
        </w:rPr>
        <w:t>- Symbol Substitution: Given a key where each symbol matches a number, fill in as many blank symbols as possible with the correct numbers in two minutes.</w:t>
      </w:r>
    </w:p>
    <w:p w14:paraId="4FB95745" w14:textId="77777777" w:rsidR="00F241D6" w:rsidRPr="00FB171D" w:rsidRDefault="00F241D6" w:rsidP="00F241D6">
      <w:pPr>
        <w:rPr>
          <w:rFonts w:ascii="Georgia" w:hAnsi="Georgia" w:cs="Arial"/>
        </w:rPr>
      </w:pPr>
      <w:r w:rsidRPr="00FB171D">
        <w:rPr>
          <w:rFonts w:ascii="Georgia" w:hAnsi="Georgia" w:cs="Arial"/>
        </w:rPr>
        <w:t>- Pattern Matching: Quickly match geometric shapes to their identical pairs.</w:t>
      </w:r>
    </w:p>
    <w:p w14:paraId="3CE41C6F" w14:textId="77777777" w:rsidR="00F241D6" w:rsidRPr="00FB171D" w:rsidRDefault="00F241D6" w:rsidP="00F241D6">
      <w:pPr>
        <w:rPr>
          <w:rFonts w:ascii="Georgia" w:hAnsi="Georgia" w:cs="Arial"/>
        </w:rPr>
      </w:pPr>
      <w:r w:rsidRPr="00FB171D">
        <w:rPr>
          <w:rFonts w:ascii="Georgia" w:hAnsi="Georgia" w:cs="Arial"/>
        </w:rPr>
        <w:t>5. Language Skills</w:t>
      </w:r>
    </w:p>
    <w:p w14:paraId="6909F4FC" w14:textId="77777777" w:rsidR="00F241D6" w:rsidRPr="00FB171D" w:rsidRDefault="00F241D6" w:rsidP="00F241D6">
      <w:pPr>
        <w:rPr>
          <w:rFonts w:ascii="Georgia" w:hAnsi="Georgia" w:cs="Arial"/>
        </w:rPr>
      </w:pPr>
      <w:r w:rsidRPr="00FB171D">
        <w:rPr>
          <w:rFonts w:ascii="Georgia" w:hAnsi="Georgia" w:cs="Arial"/>
        </w:rPr>
        <w:t>- Object Naming: Presented with pictures of ten everyday objects, name each aloud.</w:t>
      </w:r>
    </w:p>
    <w:p w14:paraId="64750709" w14:textId="77777777" w:rsidR="00F241D6" w:rsidRPr="00FB171D" w:rsidRDefault="00F241D6" w:rsidP="00F241D6">
      <w:pPr>
        <w:rPr>
          <w:rFonts w:ascii="Georgia" w:hAnsi="Georgia" w:cs="Arial"/>
        </w:rPr>
      </w:pPr>
      <w:r w:rsidRPr="00FB171D">
        <w:rPr>
          <w:rFonts w:ascii="Georgia" w:hAnsi="Georgia" w:cs="Arial"/>
        </w:rPr>
        <w:t>- Repetition: Repeat sentences of increasing length and complexity.</w:t>
      </w:r>
    </w:p>
    <w:p w14:paraId="1DC54111" w14:textId="77777777" w:rsidR="00F241D6" w:rsidRPr="00FB171D" w:rsidRDefault="00F241D6" w:rsidP="00F241D6">
      <w:pPr>
        <w:rPr>
          <w:rFonts w:ascii="Georgia" w:hAnsi="Georgia" w:cs="Arial"/>
        </w:rPr>
      </w:pPr>
      <w:r w:rsidRPr="00FB171D">
        <w:rPr>
          <w:rFonts w:ascii="Georgia" w:hAnsi="Georgia" w:cs="Arial"/>
        </w:rPr>
        <w:t>- Following Commands: Listen to instructions like “Touch your left ear with your right hand, then clap twice.”</w:t>
      </w:r>
    </w:p>
    <w:p w14:paraId="0C338C19" w14:textId="77777777" w:rsidR="00F241D6" w:rsidRPr="00FB171D" w:rsidRDefault="00F241D6" w:rsidP="00F241D6">
      <w:pPr>
        <w:rPr>
          <w:rFonts w:ascii="Georgia" w:hAnsi="Georgia" w:cs="Arial"/>
        </w:rPr>
      </w:pPr>
      <w:r w:rsidRPr="00FB171D">
        <w:rPr>
          <w:rFonts w:ascii="Georgia" w:hAnsi="Georgia" w:cs="Arial"/>
        </w:rPr>
        <w:t>6. Visuospatial Abilities</w:t>
      </w:r>
    </w:p>
    <w:p w14:paraId="67A90AD1" w14:textId="77777777" w:rsidR="00F241D6" w:rsidRPr="00FB171D" w:rsidRDefault="00F241D6" w:rsidP="00F241D6">
      <w:pPr>
        <w:rPr>
          <w:rFonts w:ascii="Georgia" w:hAnsi="Georgia" w:cs="Arial"/>
        </w:rPr>
      </w:pPr>
      <w:r w:rsidRPr="00FB171D">
        <w:rPr>
          <w:rFonts w:ascii="Georgia" w:hAnsi="Georgia" w:cs="Arial"/>
        </w:rPr>
        <w:t>- Copying: Given a complex geometric figure, reproduce it on blank paper.</w:t>
      </w:r>
    </w:p>
    <w:p w14:paraId="1719B13E" w14:textId="77777777" w:rsidR="00F241D6" w:rsidRPr="00FB171D" w:rsidRDefault="00F241D6" w:rsidP="00F241D6">
      <w:pPr>
        <w:rPr>
          <w:rFonts w:ascii="Georgia" w:hAnsi="Georgia" w:cs="Arial"/>
        </w:rPr>
      </w:pPr>
      <w:r w:rsidRPr="00FB171D">
        <w:rPr>
          <w:rFonts w:ascii="Georgia" w:hAnsi="Georgia" w:cs="Arial"/>
        </w:rPr>
        <w:t>- Clock Drawing: Draw a clock showing the time “10 past 11.”</w:t>
      </w:r>
    </w:p>
    <w:p w14:paraId="21A54AAA" w14:textId="77777777" w:rsidR="00F241D6" w:rsidRPr="00FB171D" w:rsidRDefault="00F241D6" w:rsidP="00F241D6">
      <w:pPr>
        <w:rPr>
          <w:rFonts w:ascii="Georgia" w:hAnsi="Georgia" w:cs="Arial"/>
        </w:rPr>
      </w:pPr>
      <w:r w:rsidRPr="00FB171D">
        <w:rPr>
          <w:rFonts w:ascii="Georgia" w:hAnsi="Georgia" w:cs="Arial"/>
        </w:rPr>
        <w:t>- Figure Recognition: Identify which shape among several choices is rotated but otherwise identical to a target.</w:t>
      </w:r>
    </w:p>
    <w:p w14:paraId="5EFD0FE7" w14:textId="77777777" w:rsidR="00F241D6" w:rsidRPr="00FB171D" w:rsidRDefault="00F241D6" w:rsidP="00F241D6">
      <w:pPr>
        <w:rPr>
          <w:rFonts w:ascii="Georgia" w:hAnsi="Georgia" w:cs="Arial"/>
        </w:rPr>
      </w:pPr>
      <w:r w:rsidRPr="00FB171D">
        <w:rPr>
          <w:rFonts w:ascii="Georgia" w:hAnsi="Georgia" w:cs="Arial"/>
        </w:rPr>
        <w:t>Scoring and Interpretation:</w:t>
      </w:r>
    </w:p>
    <w:p w14:paraId="1B6E563A" w14:textId="77777777" w:rsidR="00F241D6" w:rsidRPr="00FB171D" w:rsidRDefault="00F241D6" w:rsidP="00F241D6">
      <w:pPr>
        <w:rPr>
          <w:rFonts w:ascii="Georgia" w:hAnsi="Georgia" w:cs="Arial"/>
        </w:rPr>
      </w:pPr>
      <w:r w:rsidRPr="00FB171D">
        <w:rPr>
          <w:rFonts w:ascii="Georgia" w:hAnsi="Georgia" w:cs="Arial"/>
        </w:rPr>
        <w:t>Each section is scored individually, often with a maximum total of 30 points. The combined results are compared with age-based population norms to estimate a “brain age.” A significant difference between chronological and brain age may indicate risk for cognitive decline.</w:t>
      </w:r>
    </w:p>
    <w:p w14:paraId="721F4DA7" w14:textId="0DCD637C" w:rsidR="00F4167A" w:rsidRPr="00FB171D" w:rsidRDefault="00F241D6" w:rsidP="00F241D6">
      <w:pPr>
        <w:rPr>
          <w:rFonts w:ascii="Georgia" w:hAnsi="Georgia" w:cs="Arial"/>
        </w:rPr>
      </w:pPr>
      <w:r w:rsidRPr="00FB171D">
        <w:rPr>
          <w:rFonts w:ascii="Georgia" w:hAnsi="Georgia" w:cs="Arial"/>
        </w:rPr>
        <w:t>These practice items illustrate the comprehensive, multi-domain approach of the Montreal brain age assessment, designed to capture subtle changes in cognitive functioning across the lifespan.</w:t>
      </w:r>
    </w:p>
    <w:p w14:paraId="48047B1D" w14:textId="77777777" w:rsidR="00F241D6" w:rsidRPr="00FB171D" w:rsidRDefault="00F241D6" w:rsidP="00F241D6">
      <w:pPr>
        <w:rPr>
          <w:rFonts w:ascii="Georgia" w:hAnsi="Georgia" w:cs="Arial"/>
        </w:rPr>
      </w:pPr>
    </w:p>
    <w:p w14:paraId="1CC3B56E" w14:textId="21B89799" w:rsidR="00F241D6" w:rsidRPr="00FB171D" w:rsidRDefault="00F241D6" w:rsidP="00F241D6">
      <w:pPr>
        <w:rPr>
          <w:rFonts w:ascii="Georgia" w:hAnsi="Georgia" w:cs="Arial"/>
          <w:sz w:val="52"/>
          <w:szCs w:val="52"/>
        </w:rPr>
      </w:pPr>
      <w:r w:rsidRPr="00FB171D">
        <w:rPr>
          <w:rFonts w:ascii="Georgia" w:hAnsi="Georgia" w:cs="Arial"/>
          <w:sz w:val="52"/>
          <w:szCs w:val="52"/>
        </w:rPr>
        <w:t>Appendix B:  More than just thinking</w:t>
      </w:r>
    </w:p>
    <w:p w14:paraId="7D237A32" w14:textId="77777777" w:rsidR="00846344" w:rsidRPr="00FB171D" w:rsidRDefault="00846344" w:rsidP="00846344">
      <w:pPr>
        <w:pStyle w:val="Heading1"/>
        <w:rPr>
          <w:rFonts w:ascii="Georgia" w:hAnsi="Georgia" w:cs="Arial"/>
        </w:rPr>
      </w:pPr>
      <w:bookmarkStart w:id="130" w:name="_Toc209691164"/>
      <w:r w:rsidRPr="00FB171D">
        <w:rPr>
          <w:rFonts w:ascii="Georgia" w:hAnsi="Georgia" w:cs="Arial"/>
        </w:rPr>
        <w:t>Functions of the Brain Beyond Cognition and Their Age-Associated Decline</w:t>
      </w:r>
      <w:bookmarkEnd w:id="130"/>
    </w:p>
    <w:p w14:paraId="7AAF694C" w14:textId="77777777" w:rsidR="00846344" w:rsidRPr="00FB171D" w:rsidRDefault="00846344" w:rsidP="00846344">
      <w:pPr>
        <w:rPr>
          <w:rFonts w:ascii="Georgia" w:hAnsi="Georgia" w:cs="Arial"/>
        </w:rPr>
      </w:pPr>
      <w:r w:rsidRPr="00FB171D">
        <w:rPr>
          <w:rFonts w:ascii="Georgia" w:hAnsi="Georgia" w:cs="Arial"/>
        </w:rPr>
        <w:t>The brain is responsible for a wide range of essential functions that extend far beyond cognition. These include:</w:t>
      </w:r>
    </w:p>
    <w:p w14:paraId="00452BC1" w14:textId="77777777" w:rsidR="00846344" w:rsidRPr="00FB171D" w:rsidRDefault="00846344" w:rsidP="00846344">
      <w:pPr>
        <w:pStyle w:val="ListParagraph"/>
        <w:numPr>
          <w:ilvl w:val="0"/>
          <w:numId w:val="93"/>
        </w:numPr>
        <w:rPr>
          <w:rFonts w:ascii="Georgia" w:hAnsi="Georgia" w:cs="Arial"/>
        </w:rPr>
      </w:pPr>
      <w:r w:rsidRPr="00FB171D">
        <w:rPr>
          <w:rFonts w:ascii="Georgia" w:hAnsi="Georgia" w:cs="Arial"/>
        </w:rPr>
        <w:t>Emotional and mood regulation</w:t>
      </w:r>
    </w:p>
    <w:p w14:paraId="5BFD391A" w14:textId="77777777" w:rsidR="00846344" w:rsidRPr="00FB171D" w:rsidRDefault="00846344" w:rsidP="00846344">
      <w:pPr>
        <w:pStyle w:val="ListParagraph"/>
        <w:numPr>
          <w:ilvl w:val="0"/>
          <w:numId w:val="93"/>
        </w:numPr>
        <w:rPr>
          <w:rFonts w:ascii="Georgia" w:hAnsi="Georgia" w:cs="Arial"/>
        </w:rPr>
      </w:pPr>
      <w:r w:rsidRPr="00FB171D">
        <w:rPr>
          <w:rFonts w:ascii="Georgia" w:hAnsi="Georgia" w:cs="Arial"/>
        </w:rPr>
        <w:t>Motor control and coordination</w:t>
      </w:r>
    </w:p>
    <w:p w14:paraId="4A98EC28" w14:textId="77777777" w:rsidR="00846344" w:rsidRPr="00FB171D" w:rsidRDefault="00846344" w:rsidP="00846344">
      <w:pPr>
        <w:pStyle w:val="ListParagraph"/>
        <w:numPr>
          <w:ilvl w:val="0"/>
          <w:numId w:val="93"/>
        </w:numPr>
        <w:rPr>
          <w:rFonts w:ascii="Georgia" w:hAnsi="Georgia" w:cs="Arial"/>
        </w:rPr>
      </w:pPr>
      <w:r w:rsidRPr="00FB171D">
        <w:rPr>
          <w:rFonts w:ascii="Georgia" w:hAnsi="Georgia" w:cs="Arial"/>
        </w:rPr>
        <w:t>Autonomic regulation (e.g., heart rate, blood pressure, respiration)</w:t>
      </w:r>
    </w:p>
    <w:p w14:paraId="32B9C42C" w14:textId="77777777" w:rsidR="00846344" w:rsidRPr="00FB171D" w:rsidRDefault="00846344" w:rsidP="00846344">
      <w:pPr>
        <w:pStyle w:val="ListParagraph"/>
        <w:numPr>
          <w:ilvl w:val="0"/>
          <w:numId w:val="93"/>
        </w:numPr>
        <w:rPr>
          <w:rFonts w:ascii="Georgia" w:hAnsi="Georgia" w:cs="Arial"/>
        </w:rPr>
      </w:pPr>
      <w:r w:rsidRPr="00FB171D">
        <w:rPr>
          <w:rFonts w:ascii="Georgia" w:hAnsi="Georgia" w:cs="Arial"/>
        </w:rPr>
        <w:t>Sensory processing (visual, auditory, olfactory, tactile)</w:t>
      </w:r>
    </w:p>
    <w:p w14:paraId="28166112" w14:textId="77777777" w:rsidR="00846344" w:rsidRPr="00FB171D" w:rsidRDefault="00846344" w:rsidP="00846344">
      <w:pPr>
        <w:pStyle w:val="ListParagraph"/>
        <w:numPr>
          <w:ilvl w:val="0"/>
          <w:numId w:val="93"/>
        </w:numPr>
        <w:rPr>
          <w:rFonts w:ascii="Georgia" w:hAnsi="Georgia" w:cs="Arial"/>
        </w:rPr>
      </w:pPr>
      <w:r w:rsidRPr="00FB171D">
        <w:rPr>
          <w:rFonts w:ascii="Georgia" w:hAnsi="Georgia" w:cs="Arial"/>
        </w:rPr>
        <w:t>Sleep-wake cycles</w:t>
      </w:r>
    </w:p>
    <w:p w14:paraId="3B670B62" w14:textId="77777777" w:rsidR="00846344" w:rsidRPr="00FB171D" w:rsidRDefault="00846344" w:rsidP="00846344">
      <w:pPr>
        <w:pStyle w:val="ListParagraph"/>
        <w:numPr>
          <w:ilvl w:val="0"/>
          <w:numId w:val="93"/>
        </w:numPr>
        <w:rPr>
          <w:rFonts w:ascii="Georgia" w:hAnsi="Georgia" w:cs="Arial"/>
        </w:rPr>
      </w:pPr>
      <w:r w:rsidRPr="00FB171D">
        <w:rPr>
          <w:rFonts w:ascii="Georgia" w:hAnsi="Georgia" w:cs="Arial"/>
        </w:rPr>
        <w:t>Neuroendocrine signaling (hormonal balance, metabolism)</w:t>
      </w:r>
    </w:p>
    <w:p w14:paraId="0944EF13" w14:textId="77777777" w:rsidR="00846344" w:rsidRPr="00FB171D" w:rsidRDefault="00846344" w:rsidP="00846344">
      <w:pPr>
        <w:pStyle w:val="Heading2"/>
        <w:rPr>
          <w:rFonts w:ascii="Georgia" w:hAnsi="Georgia" w:cs="Arial"/>
        </w:rPr>
      </w:pPr>
      <w:bookmarkStart w:id="131" w:name="_Toc209691165"/>
      <w:r w:rsidRPr="00FB171D">
        <w:rPr>
          <w:rFonts w:ascii="Georgia" w:hAnsi="Georgia" w:cs="Arial"/>
        </w:rPr>
        <w:t>Age-Associated Deterioration of Functions</w:t>
      </w:r>
      <w:bookmarkEnd w:id="131"/>
    </w:p>
    <w:p w14:paraId="392BACC8" w14:textId="77777777" w:rsidR="00846344" w:rsidRPr="00FB171D" w:rsidRDefault="00846344" w:rsidP="00846344">
      <w:pPr>
        <w:pStyle w:val="ListParagraph"/>
        <w:numPr>
          <w:ilvl w:val="0"/>
          <w:numId w:val="94"/>
        </w:numPr>
        <w:rPr>
          <w:rFonts w:ascii="Georgia" w:hAnsi="Georgia" w:cs="Arial"/>
        </w:rPr>
      </w:pPr>
      <w:r w:rsidRPr="00FB171D">
        <w:rPr>
          <w:rFonts w:ascii="Georgia" w:hAnsi="Georgia" w:cs="Arial"/>
        </w:rPr>
        <w:t>Motor function: Aging often leads to slower movement, decreased coordination, and impaired balance. This is due to loss of neurons in motor regions such as the basal ganglia and cerebellum, and reduced levels of neurotransmitters like dopamine. These changes are commonly measured using timed movement tasks (e.g., finger tapping), gait analysis, and balance tests.</w:t>
      </w:r>
    </w:p>
    <w:p w14:paraId="1AC460BB" w14:textId="77777777" w:rsidR="00846344" w:rsidRPr="00FB171D" w:rsidRDefault="00846344" w:rsidP="00846344">
      <w:pPr>
        <w:pStyle w:val="ListParagraph"/>
        <w:numPr>
          <w:ilvl w:val="0"/>
          <w:numId w:val="94"/>
        </w:numPr>
        <w:rPr>
          <w:rFonts w:ascii="Georgia" w:hAnsi="Georgia" w:cs="Arial"/>
        </w:rPr>
      </w:pPr>
      <w:r w:rsidRPr="00FB171D">
        <w:rPr>
          <w:rFonts w:ascii="Georgia" w:hAnsi="Georgia" w:cs="Arial"/>
        </w:rPr>
        <w:t>Emotional regulation: Older adults may experience mood instability or increased vulnerability to depression and anxiety, often linked to changes in the limbic system and prefrontal cortex. Measurement tools include standardized mood scales (e.g., Geriatric Depression Scale) and neuroimaging studies that monitor brain activation during emotional tasks.</w:t>
      </w:r>
    </w:p>
    <w:p w14:paraId="71E5E0C1" w14:textId="77777777" w:rsidR="00846344" w:rsidRPr="00FB171D" w:rsidRDefault="00846344" w:rsidP="00846344">
      <w:pPr>
        <w:pStyle w:val="ListParagraph"/>
        <w:numPr>
          <w:ilvl w:val="0"/>
          <w:numId w:val="94"/>
        </w:numPr>
        <w:rPr>
          <w:rFonts w:ascii="Georgia" w:hAnsi="Georgia" w:cs="Arial"/>
        </w:rPr>
      </w:pPr>
      <w:r w:rsidRPr="00FB171D">
        <w:rPr>
          <w:rFonts w:ascii="Georgia" w:hAnsi="Georgia" w:cs="Arial"/>
        </w:rPr>
        <w:t>Autonomic function: With age, the brain's regulation of heart rate, blood pressure, and thermoregulation becomes less precise, partly due to deterioration in the hypothalamus and brainstem. Autonomic function can be assessed by monitoring heart rate variability, blood pressure response to postural change, and sleep studies.</w:t>
      </w:r>
    </w:p>
    <w:p w14:paraId="68504369" w14:textId="77777777" w:rsidR="00846344" w:rsidRPr="00FB171D" w:rsidRDefault="00846344" w:rsidP="00846344">
      <w:pPr>
        <w:pStyle w:val="ListParagraph"/>
        <w:numPr>
          <w:ilvl w:val="0"/>
          <w:numId w:val="94"/>
        </w:numPr>
        <w:rPr>
          <w:rFonts w:ascii="Georgia" w:hAnsi="Georgia" w:cs="Arial"/>
        </w:rPr>
      </w:pPr>
      <w:r w:rsidRPr="00FB171D">
        <w:rPr>
          <w:rFonts w:ascii="Georgia" w:hAnsi="Georgia" w:cs="Arial"/>
        </w:rPr>
        <w:t>Sensory processing: Sensory decline is common, marked by reduced acuity in vision, hearing, smell, and touch, as neurons and synapses in sensory regions gradually deteriorate. Sensory changes are measured by audiometry, visual acuity tests, olfactory identification tests, and tactile discrimination tasks.</w:t>
      </w:r>
    </w:p>
    <w:p w14:paraId="011AADA6" w14:textId="77777777" w:rsidR="00846344" w:rsidRPr="00FB171D" w:rsidRDefault="00846344" w:rsidP="00846344">
      <w:pPr>
        <w:pStyle w:val="ListParagraph"/>
        <w:numPr>
          <w:ilvl w:val="0"/>
          <w:numId w:val="94"/>
        </w:numPr>
        <w:rPr>
          <w:rFonts w:ascii="Georgia" w:hAnsi="Georgia" w:cs="Arial"/>
        </w:rPr>
      </w:pPr>
      <w:r w:rsidRPr="00FB171D">
        <w:rPr>
          <w:rFonts w:ascii="Georgia" w:hAnsi="Georgia" w:cs="Arial"/>
        </w:rPr>
        <w:t>Sleep patterns: Aging alters sleep architecture, leading to more fragmented sleep and less time in deep sleep stages. These changes are measured using polysomnography (sleep studies), actigraphy, and sleep questionnaires.</w:t>
      </w:r>
    </w:p>
    <w:p w14:paraId="7DF72FA4" w14:textId="77777777" w:rsidR="00846344" w:rsidRPr="00FB171D" w:rsidRDefault="00846344" w:rsidP="00846344">
      <w:pPr>
        <w:pStyle w:val="ListParagraph"/>
        <w:numPr>
          <w:ilvl w:val="0"/>
          <w:numId w:val="94"/>
        </w:numPr>
        <w:rPr>
          <w:rFonts w:ascii="Georgia" w:hAnsi="Georgia" w:cs="Arial"/>
        </w:rPr>
      </w:pPr>
      <w:r w:rsidRPr="00FB171D">
        <w:rPr>
          <w:rFonts w:ascii="Georgia" w:hAnsi="Georgia" w:cs="Arial"/>
        </w:rPr>
        <w:t>Neuroendocrine control: Hormonal balance and metabolic regulation become less stable, as hypothalamic and pituitary signaling is affected by aging. Measurements include blood tests for hormone levels and metabolic panels.</w:t>
      </w:r>
    </w:p>
    <w:p w14:paraId="1A86308F" w14:textId="77777777" w:rsidR="00846344" w:rsidRPr="00FB171D" w:rsidRDefault="00846344" w:rsidP="00846344">
      <w:pPr>
        <w:pStyle w:val="Heading2"/>
        <w:rPr>
          <w:rFonts w:ascii="Georgia" w:hAnsi="Georgia" w:cs="Arial"/>
        </w:rPr>
      </w:pPr>
      <w:bookmarkStart w:id="132" w:name="_Toc209691166"/>
      <w:r w:rsidRPr="00FB171D">
        <w:rPr>
          <w:rFonts w:ascii="Georgia" w:hAnsi="Georgia" w:cs="Arial"/>
        </w:rPr>
        <w:t>Mechanisms Underlying Decline</w:t>
      </w:r>
      <w:bookmarkEnd w:id="132"/>
    </w:p>
    <w:p w14:paraId="67E18DF9" w14:textId="77777777" w:rsidR="00846344" w:rsidRPr="00FB171D" w:rsidRDefault="00846344" w:rsidP="00846344">
      <w:pPr>
        <w:rPr>
          <w:rFonts w:ascii="Georgia" w:hAnsi="Georgia" w:cs="Arial"/>
        </w:rPr>
      </w:pPr>
      <w:r w:rsidRPr="00FB171D">
        <w:rPr>
          <w:rFonts w:ascii="Georgia" w:hAnsi="Georgia" w:cs="Arial"/>
        </w:rPr>
        <w:t>Several mechanisms drive age-related deterioration in these domains:</w:t>
      </w:r>
    </w:p>
    <w:p w14:paraId="30D30B2E" w14:textId="77777777" w:rsidR="00846344" w:rsidRPr="00FB171D" w:rsidRDefault="00846344" w:rsidP="00846344">
      <w:pPr>
        <w:pStyle w:val="ListParagraph"/>
        <w:numPr>
          <w:ilvl w:val="0"/>
          <w:numId w:val="95"/>
        </w:numPr>
        <w:rPr>
          <w:rFonts w:ascii="Georgia" w:hAnsi="Georgia" w:cs="Arial"/>
        </w:rPr>
      </w:pPr>
      <w:r w:rsidRPr="00FB171D">
        <w:rPr>
          <w:rFonts w:ascii="Georgia" w:hAnsi="Georgia" w:cs="Arial"/>
        </w:rPr>
        <w:t>Oxidative stress and cellular damage</w:t>
      </w:r>
    </w:p>
    <w:p w14:paraId="0D3BC128" w14:textId="77777777" w:rsidR="00846344" w:rsidRPr="00FB171D" w:rsidRDefault="00846344" w:rsidP="00846344">
      <w:pPr>
        <w:pStyle w:val="ListParagraph"/>
        <w:numPr>
          <w:ilvl w:val="0"/>
          <w:numId w:val="95"/>
        </w:numPr>
        <w:rPr>
          <w:rFonts w:ascii="Georgia" w:hAnsi="Georgia" w:cs="Arial"/>
        </w:rPr>
      </w:pPr>
      <w:r w:rsidRPr="00FB171D">
        <w:rPr>
          <w:rFonts w:ascii="Georgia" w:hAnsi="Georgia" w:cs="Arial"/>
        </w:rPr>
        <w:t>Chronic low-grade inflammation</w:t>
      </w:r>
    </w:p>
    <w:p w14:paraId="505D45E8" w14:textId="77777777" w:rsidR="00846344" w:rsidRPr="00FB171D" w:rsidRDefault="00846344" w:rsidP="00846344">
      <w:pPr>
        <w:pStyle w:val="ListParagraph"/>
        <w:numPr>
          <w:ilvl w:val="0"/>
          <w:numId w:val="95"/>
        </w:numPr>
        <w:rPr>
          <w:rFonts w:ascii="Georgia" w:hAnsi="Georgia" w:cs="Arial"/>
        </w:rPr>
      </w:pPr>
      <w:r w:rsidRPr="00FB171D">
        <w:rPr>
          <w:rFonts w:ascii="Georgia" w:hAnsi="Georgia" w:cs="Arial"/>
        </w:rPr>
        <w:t>Reduced neuroplasticity (the brain's ability to reorganize and form new connections)</w:t>
      </w:r>
    </w:p>
    <w:p w14:paraId="0365588D" w14:textId="77777777" w:rsidR="00846344" w:rsidRPr="00FB171D" w:rsidRDefault="00846344" w:rsidP="00846344">
      <w:pPr>
        <w:pStyle w:val="ListParagraph"/>
        <w:numPr>
          <w:ilvl w:val="0"/>
          <w:numId w:val="95"/>
        </w:numPr>
        <w:rPr>
          <w:rFonts w:ascii="Georgia" w:hAnsi="Georgia" w:cs="Arial"/>
        </w:rPr>
      </w:pPr>
      <w:r w:rsidRPr="00FB171D">
        <w:rPr>
          <w:rFonts w:ascii="Georgia" w:hAnsi="Georgia" w:cs="Arial"/>
        </w:rPr>
        <w:t>Cerebrovascular changes (decreased blood flow, small vessel disease)</w:t>
      </w:r>
    </w:p>
    <w:p w14:paraId="0A889977" w14:textId="77777777" w:rsidR="00846344" w:rsidRPr="00FB171D" w:rsidRDefault="00846344" w:rsidP="00846344">
      <w:pPr>
        <w:pStyle w:val="ListParagraph"/>
        <w:numPr>
          <w:ilvl w:val="0"/>
          <w:numId w:val="95"/>
        </w:numPr>
        <w:rPr>
          <w:rFonts w:ascii="Georgia" w:hAnsi="Georgia" w:cs="Arial"/>
        </w:rPr>
      </w:pPr>
      <w:r w:rsidRPr="00FB171D">
        <w:rPr>
          <w:rFonts w:ascii="Georgia" w:hAnsi="Georgia" w:cs="Arial"/>
        </w:rPr>
        <w:t>Loss of neurons and synapses</w:t>
      </w:r>
    </w:p>
    <w:p w14:paraId="5C4A249F" w14:textId="77777777" w:rsidR="00846344" w:rsidRPr="00FB171D" w:rsidRDefault="00846344" w:rsidP="00846344">
      <w:pPr>
        <w:pStyle w:val="ListParagraph"/>
        <w:numPr>
          <w:ilvl w:val="0"/>
          <w:numId w:val="95"/>
        </w:numPr>
        <w:rPr>
          <w:rFonts w:ascii="Georgia" w:hAnsi="Georgia" w:cs="Arial"/>
        </w:rPr>
      </w:pPr>
      <w:r w:rsidRPr="00FB171D">
        <w:rPr>
          <w:rFonts w:ascii="Georgia" w:hAnsi="Georgia" w:cs="Arial"/>
        </w:rPr>
        <w:t>Genetic factors, notably the presence of the apoE4 allele, which is associated with more rapid decline in multiple domains</w:t>
      </w:r>
    </w:p>
    <w:p w14:paraId="58F972A3" w14:textId="77777777" w:rsidR="00846344" w:rsidRPr="00FB171D" w:rsidRDefault="00846344" w:rsidP="00846344">
      <w:pPr>
        <w:pStyle w:val="Heading2"/>
        <w:rPr>
          <w:rFonts w:ascii="Georgia" w:hAnsi="Georgia" w:cs="Arial"/>
        </w:rPr>
      </w:pPr>
      <w:bookmarkStart w:id="133" w:name="_Toc209691167"/>
      <w:r w:rsidRPr="00FB171D">
        <w:rPr>
          <w:rFonts w:ascii="Georgia" w:hAnsi="Georgia" w:cs="Arial"/>
        </w:rPr>
        <w:t>Measurement Approaches</w:t>
      </w:r>
      <w:bookmarkEnd w:id="133"/>
    </w:p>
    <w:p w14:paraId="4ED2B5EC" w14:textId="77777777" w:rsidR="00846344" w:rsidRPr="00FB171D" w:rsidRDefault="00846344" w:rsidP="00846344">
      <w:pPr>
        <w:rPr>
          <w:rFonts w:ascii="Georgia" w:hAnsi="Georgia" w:cs="Arial"/>
        </w:rPr>
      </w:pPr>
      <w:r w:rsidRPr="00FB171D">
        <w:rPr>
          <w:rFonts w:ascii="Georgia" w:hAnsi="Georgia" w:cs="Arial"/>
        </w:rPr>
        <w:t>Comprehensive brain health assessments, such as the Montreal Brain Age Assessment, use a battery of tests to capture subtle changes across these domains. These include:</w:t>
      </w:r>
    </w:p>
    <w:p w14:paraId="7F82BA7A" w14:textId="77777777" w:rsidR="00846344" w:rsidRPr="00FB171D" w:rsidRDefault="00846344" w:rsidP="00846344">
      <w:pPr>
        <w:pStyle w:val="ListParagraph"/>
        <w:numPr>
          <w:ilvl w:val="0"/>
          <w:numId w:val="96"/>
        </w:numPr>
        <w:rPr>
          <w:rFonts w:ascii="Georgia" w:hAnsi="Georgia" w:cs="Arial"/>
        </w:rPr>
      </w:pPr>
      <w:r w:rsidRPr="00FB171D">
        <w:rPr>
          <w:rFonts w:ascii="Georgia" w:hAnsi="Georgia" w:cs="Arial"/>
        </w:rPr>
        <w:t>Timed motor and coordination tasks</w:t>
      </w:r>
    </w:p>
    <w:p w14:paraId="1EF96AA5" w14:textId="77777777" w:rsidR="00846344" w:rsidRPr="00FB171D" w:rsidRDefault="00846344" w:rsidP="00846344">
      <w:pPr>
        <w:pStyle w:val="ListParagraph"/>
        <w:numPr>
          <w:ilvl w:val="0"/>
          <w:numId w:val="96"/>
        </w:numPr>
        <w:rPr>
          <w:rFonts w:ascii="Georgia" w:hAnsi="Georgia" w:cs="Arial"/>
        </w:rPr>
      </w:pPr>
      <w:r w:rsidRPr="00FB171D">
        <w:rPr>
          <w:rFonts w:ascii="Georgia" w:hAnsi="Georgia" w:cs="Arial"/>
        </w:rPr>
        <w:t>Mood and emotion questionnaires</w:t>
      </w:r>
    </w:p>
    <w:p w14:paraId="6225844D" w14:textId="77777777" w:rsidR="00846344" w:rsidRPr="00FB171D" w:rsidRDefault="00846344" w:rsidP="00846344">
      <w:pPr>
        <w:pStyle w:val="ListParagraph"/>
        <w:numPr>
          <w:ilvl w:val="0"/>
          <w:numId w:val="96"/>
        </w:numPr>
        <w:rPr>
          <w:rFonts w:ascii="Georgia" w:hAnsi="Georgia" w:cs="Arial"/>
        </w:rPr>
      </w:pPr>
      <w:r w:rsidRPr="00FB171D">
        <w:rPr>
          <w:rFonts w:ascii="Georgia" w:hAnsi="Georgia" w:cs="Arial"/>
        </w:rPr>
        <w:t>Autonomic function tests (heart rate variability, blood pressure monitoring)</w:t>
      </w:r>
    </w:p>
    <w:p w14:paraId="1565BBEB" w14:textId="77777777" w:rsidR="00846344" w:rsidRPr="00FB171D" w:rsidRDefault="00846344" w:rsidP="00846344">
      <w:pPr>
        <w:pStyle w:val="ListParagraph"/>
        <w:numPr>
          <w:ilvl w:val="0"/>
          <w:numId w:val="96"/>
        </w:numPr>
        <w:rPr>
          <w:rFonts w:ascii="Georgia" w:hAnsi="Georgia" w:cs="Arial"/>
        </w:rPr>
      </w:pPr>
      <w:r w:rsidRPr="00FB171D">
        <w:rPr>
          <w:rFonts w:ascii="Georgia" w:hAnsi="Georgia" w:cs="Arial"/>
        </w:rPr>
        <w:t>Sensory acuity exams</w:t>
      </w:r>
    </w:p>
    <w:p w14:paraId="6632230E" w14:textId="77777777" w:rsidR="00846344" w:rsidRPr="00FB171D" w:rsidRDefault="00846344" w:rsidP="00846344">
      <w:pPr>
        <w:pStyle w:val="ListParagraph"/>
        <w:numPr>
          <w:ilvl w:val="0"/>
          <w:numId w:val="96"/>
        </w:numPr>
        <w:rPr>
          <w:rFonts w:ascii="Georgia" w:hAnsi="Georgia" w:cs="Arial"/>
        </w:rPr>
      </w:pPr>
      <w:r w:rsidRPr="00FB171D">
        <w:rPr>
          <w:rFonts w:ascii="Georgia" w:hAnsi="Georgia" w:cs="Arial"/>
        </w:rPr>
        <w:t>Sleep studies and monitoring</w:t>
      </w:r>
    </w:p>
    <w:p w14:paraId="19D919A0" w14:textId="77777777" w:rsidR="00846344" w:rsidRPr="00FB171D" w:rsidRDefault="00846344" w:rsidP="00846344">
      <w:pPr>
        <w:pStyle w:val="ListParagraph"/>
        <w:numPr>
          <w:ilvl w:val="0"/>
          <w:numId w:val="96"/>
        </w:numPr>
        <w:rPr>
          <w:rFonts w:ascii="Georgia" w:hAnsi="Georgia" w:cs="Arial"/>
        </w:rPr>
      </w:pPr>
      <w:r w:rsidRPr="00FB171D">
        <w:rPr>
          <w:rFonts w:ascii="Georgia" w:hAnsi="Georgia" w:cs="Arial"/>
        </w:rPr>
        <w:t>Laboratory hormonal assays</w:t>
      </w:r>
    </w:p>
    <w:p w14:paraId="6CA5890F" w14:textId="77777777" w:rsidR="00846344" w:rsidRPr="00FB171D" w:rsidRDefault="00846344" w:rsidP="00846344">
      <w:pPr>
        <w:pStyle w:val="ListParagraph"/>
        <w:numPr>
          <w:ilvl w:val="0"/>
          <w:numId w:val="96"/>
        </w:numPr>
        <w:rPr>
          <w:rFonts w:ascii="Georgia" w:hAnsi="Georgia" w:cs="Arial"/>
        </w:rPr>
      </w:pPr>
      <w:r w:rsidRPr="00FB171D">
        <w:rPr>
          <w:rFonts w:ascii="Georgia" w:hAnsi="Georgia" w:cs="Arial"/>
        </w:rPr>
        <w:t>Imaging techniques (MRI, PET) to assess structural and functional changes in the brain</w:t>
      </w:r>
    </w:p>
    <w:p w14:paraId="19285778" w14:textId="4EB0B892" w:rsidR="00846344" w:rsidRPr="00FB171D" w:rsidRDefault="00846344" w:rsidP="00846344">
      <w:pPr>
        <w:rPr>
          <w:rFonts w:ascii="Georgia" w:hAnsi="Georgia" w:cs="Arial"/>
        </w:rPr>
      </w:pPr>
      <w:r w:rsidRPr="00FB171D">
        <w:rPr>
          <w:rFonts w:ascii="Georgia" w:hAnsi="Georgia" w:cs="Arial"/>
        </w:rPr>
        <w:t>By comparing individual test results with population norms, clinicians can estimate the “brain age” and identify areas of accelerated functional decline, supporting early intervention and management strategies.</w:t>
      </w:r>
    </w:p>
    <w:p w14:paraId="19A62025" w14:textId="77777777" w:rsidR="003D6D0F" w:rsidRPr="00FB171D" w:rsidRDefault="003D6D0F" w:rsidP="00846344">
      <w:pPr>
        <w:rPr>
          <w:rFonts w:ascii="Georgia" w:hAnsi="Georgia" w:cs="Arial"/>
        </w:rPr>
      </w:pPr>
    </w:p>
    <w:p w14:paraId="7052D866" w14:textId="77777777" w:rsidR="003D6D0F" w:rsidRPr="00FB171D" w:rsidRDefault="003D6D0F" w:rsidP="00846344">
      <w:pPr>
        <w:rPr>
          <w:rFonts w:ascii="Georgia" w:hAnsi="Georgia" w:cs="Arial"/>
        </w:rPr>
      </w:pPr>
    </w:p>
    <w:p w14:paraId="04D5B45D" w14:textId="77777777" w:rsidR="00F66FF7" w:rsidRPr="00FB171D" w:rsidRDefault="00F66FF7" w:rsidP="00F66FF7">
      <w:pPr>
        <w:rPr>
          <w:rFonts w:ascii="Georgia" w:hAnsi="Georgia" w:cs="Arial"/>
        </w:rPr>
      </w:pPr>
      <w:r w:rsidRPr="00FB171D">
        <w:rPr>
          <w:rFonts w:ascii="Georgia" w:hAnsi="Georgia" w:cs="Arial"/>
        </w:rPr>
        <w:t>Emerging research highlights the critical role of stress in brain health, particularly through its influence on both neural and systemic biomarkers. Chronic stress activates the hypothalamic-pituitary-adrenal (HPA) axis, leading to sustained elevations of cortisol—a hormone strongly implicated in cognitive aging and neurodegeneration. Persistently high cortisol levels are associated with hippocampal shrinkage, impaired memory formation, and reduced executive function, all of which contribute to an older "brain age" profile.</w:t>
      </w:r>
    </w:p>
    <w:p w14:paraId="661B9B15" w14:textId="77777777" w:rsidR="00F66FF7" w:rsidRPr="00FB171D" w:rsidRDefault="00F66FF7" w:rsidP="00F66FF7">
      <w:pPr>
        <w:rPr>
          <w:rFonts w:ascii="Georgia" w:hAnsi="Georgia" w:cs="Arial"/>
        </w:rPr>
      </w:pPr>
      <w:r w:rsidRPr="00FB171D">
        <w:rPr>
          <w:rFonts w:ascii="Georgia" w:hAnsi="Georgia" w:cs="Arial"/>
        </w:rPr>
        <w:t>In parallel, measures of systemic inflammation such as high-sensitivity C-reactive protein (hsCRP) provide complementary insights. Elevated hsCRP has been linked to both vascular and neurodegenerative changes, serving as a biological bridge between psychological distress and physical decline. When considered alongside cortisol, hsCRP helps clinicians disentangle the complex interplay of emotional, metabolic, and immune factors underpinning cognitive trajectories.</w:t>
      </w:r>
    </w:p>
    <w:p w14:paraId="27DF67EF" w14:textId="7213366B" w:rsidR="003D6D0F" w:rsidRPr="00FB171D" w:rsidRDefault="00F66FF7" w:rsidP="00F66FF7">
      <w:pPr>
        <w:rPr>
          <w:rFonts w:ascii="Georgia" w:hAnsi="Georgia" w:cs="Arial"/>
        </w:rPr>
      </w:pPr>
      <w:r w:rsidRPr="00FB171D">
        <w:rPr>
          <w:rFonts w:ascii="Georgia" w:hAnsi="Georgia" w:cs="Arial"/>
        </w:rPr>
        <w:t>By integrating stress biomarkers into comprehensive assessments, clinicians gain a clearer picture of how psychosocial pressures accelerate functional decline—sometimes even more so among individuals with genetic risk factors like apoE4, or those exposed to physiological stressors such as anesthesia.</w:t>
      </w:r>
    </w:p>
    <w:p w14:paraId="484A9A44" w14:textId="77777777" w:rsidR="004B5F36" w:rsidRPr="00FB171D" w:rsidRDefault="004B5F36" w:rsidP="004B5F36">
      <w:pPr>
        <w:rPr>
          <w:rFonts w:ascii="Georgia" w:hAnsi="Georgia" w:cs="Arial"/>
        </w:rPr>
      </w:pPr>
      <w:r w:rsidRPr="00FB171D">
        <w:rPr>
          <w:rFonts w:ascii="Georgia" w:hAnsi="Georgia" w:cs="Arial"/>
        </w:rPr>
        <w:t>In practice, measuring stress in the brain and its systemic effects requires a multi-layered approach. Neuroimaging modalities such as functional MRI (fMRI) and PET scans can pinpoint regions of altered activity or connectivity related to chronic stress, especially within the hippocampus and prefrontal cortex—areas most sensitive to cortisol’s impact. These findings often correlate with quantitative changes in autonomic and hormonal markers, creating a map of neural vulnerability.</w:t>
      </w:r>
    </w:p>
    <w:p w14:paraId="03B6B8EE" w14:textId="77777777" w:rsidR="004B5F36" w:rsidRPr="00FB171D" w:rsidRDefault="004B5F36" w:rsidP="004B5F36">
      <w:pPr>
        <w:rPr>
          <w:rFonts w:ascii="Georgia" w:hAnsi="Georgia" w:cs="Arial"/>
        </w:rPr>
      </w:pPr>
      <w:r w:rsidRPr="00FB171D">
        <w:rPr>
          <w:rFonts w:ascii="Georgia" w:hAnsi="Georgia" w:cs="Arial"/>
        </w:rPr>
        <w:t>Beyond the brain, systemic stress effects are captured through laboratory assays of circulating hormones (cortisol, ACTH) and inflammatory mediators (hsCRP, interleukins). Advanced heart rate variability analyses and continuous blood pressure monitoring reflect stress-induced dysregulation of the autonomic nervous system, providing real-time physiological evidence of chronic strain.</w:t>
      </w:r>
    </w:p>
    <w:p w14:paraId="1B8E7980" w14:textId="561F240C" w:rsidR="004B5F36" w:rsidRPr="00FB171D" w:rsidRDefault="004B5F36" w:rsidP="004B5F36">
      <w:pPr>
        <w:rPr>
          <w:rFonts w:ascii="Georgia" w:hAnsi="Georgia" w:cs="Arial"/>
        </w:rPr>
      </w:pPr>
      <w:r w:rsidRPr="00FB171D">
        <w:rPr>
          <w:rFonts w:ascii="Georgia" w:hAnsi="Georgia" w:cs="Arial"/>
        </w:rPr>
        <w:t>Such measurements become particularly relevant when considering genetic variability. For instance, individuals carrying the apoE4 allele, or those with family histories of neurodegenerative conditions, may experience amplified stress responses at both neural and systemic levels. Similarly, exposure to physiological stressors like anesthesia in aging populations can interact with pre-existing vulnerabilities, elevating the risk of cognitive decline and accelerating the brain’s aging trajectory.</w:t>
      </w:r>
    </w:p>
    <w:p w14:paraId="356128D0" w14:textId="77777777" w:rsidR="003E7EFA" w:rsidRPr="00FB171D" w:rsidRDefault="003E7EFA" w:rsidP="004B5F36">
      <w:pPr>
        <w:rPr>
          <w:rFonts w:ascii="Georgia" w:hAnsi="Georgia" w:cs="Arial"/>
        </w:rPr>
      </w:pPr>
    </w:p>
    <w:p w14:paraId="5F7272F2" w14:textId="77777777" w:rsidR="005511D3" w:rsidRPr="00FB171D" w:rsidRDefault="005511D3" w:rsidP="005511D3">
      <w:pPr>
        <w:rPr>
          <w:rFonts w:ascii="Georgia" w:hAnsi="Georgia" w:cs="Arial"/>
        </w:rPr>
      </w:pPr>
      <w:r w:rsidRPr="00FB171D">
        <w:rPr>
          <w:rFonts w:ascii="Georgia" w:hAnsi="Georgia" w:cs="Arial"/>
        </w:rPr>
        <w:t>The subjective sensation of stress—ranging from acute anxiety to chronic apprehension—often precedes measurable changes in systemic biomarkers. Individuals may report feelings of overwhelm, restlessness, or persistent worry, which are mirrored at the biological level by surges in cortisol and, notably, elevations in hsCRP. As psychological stress lingers, hsCRP rises, quietly signifying a state of heightened inflammation that the body maintains in response to both emotional and physical strain. This inflammatory signal acts not only as a reflection of internal turmoil but as a predictor of downstream effects, linking perceived stress to tangible risks for cognitive decline and neurodegeneration.</w:t>
      </w:r>
    </w:p>
    <w:p w14:paraId="5C6F578D" w14:textId="77777777" w:rsidR="005511D3" w:rsidRPr="00FB171D" w:rsidRDefault="005511D3" w:rsidP="005511D3">
      <w:pPr>
        <w:rPr>
          <w:rFonts w:ascii="Georgia" w:hAnsi="Georgia" w:cs="Arial"/>
        </w:rPr>
      </w:pPr>
      <w:r w:rsidRPr="00FB171D">
        <w:rPr>
          <w:rFonts w:ascii="Georgia" w:hAnsi="Georgia" w:cs="Arial"/>
        </w:rPr>
        <w:t>In clinical and research settings, tracking the sensation of stress alongside hsCRP allows for a nuanced understanding of vulnerability. Those who experience frequent or intense episodes of stress—regardless of whether they stem from environmental pressures, genetic predispositions, or medical interventions—tend to show a persistent upward trajectory in hsCRP, marking a prolonged inflammatory state. This correlation is particularly salient among populations at risk, including carriers of the apoE4 allele and individuals exposed to the physiological challenge of anesthesia, where the interplay between sensation and inflammation sets the stage for accelerated aging within the brain.</w:t>
      </w:r>
    </w:p>
    <w:p w14:paraId="2CFFFD77" w14:textId="77777777" w:rsidR="003E455A" w:rsidRPr="00FB171D" w:rsidRDefault="003E455A" w:rsidP="005511D3">
      <w:pPr>
        <w:rPr>
          <w:rFonts w:ascii="Georgia" w:hAnsi="Georgia" w:cs="Arial"/>
        </w:rPr>
      </w:pPr>
      <w:r w:rsidRPr="00FB171D">
        <w:rPr>
          <w:rFonts w:ascii="Georgia" w:hAnsi="Georgia" w:cs="Arial"/>
        </w:rPr>
        <w:t>How to reduce stress induced elevation of hscrp</w:t>
      </w:r>
    </w:p>
    <w:p w14:paraId="1272A2A8" w14:textId="77777777" w:rsidR="003E455A" w:rsidRPr="00FB171D" w:rsidRDefault="003E455A" w:rsidP="003E455A">
      <w:pPr>
        <w:pStyle w:val="Title"/>
        <w:rPr>
          <w:rFonts w:ascii="Georgia" w:hAnsi="Georgia" w:cs="Arial"/>
        </w:rPr>
      </w:pPr>
      <w:r w:rsidRPr="00FB171D">
        <w:rPr>
          <w:rFonts w:ascii="Georgia" w:hAnsi="Georgia" w:cs="Arial"/>
        </w:rPr>
        <w:t>Strategies to Reduce Stress-Induced Elevation of hsCRP</w:t>
      </w:r>
    </w:p>
    <w:p w14:paraId="6708359A" w14:textId="77777777" w:rsidR="003E455A" w:rsidRPr="00FB171D" w:rsidRDefault="003E455A" w:rsidP="003E455A">
      <w:pPr>
        <w:pStyle w:val="Subtitle"/>
        <w:rPr>
          <w:rFonts w:ascii="Georgia" w:hAnsi="Georgia" w:cs="Arial"/>
        </w:rPr>
      </w:pPr>
      <w:r w:rsidRPr="00FB171D">
        <w:rPr>
          <w:rFonts w:ascii="Georgia" w:hAnsi="Georgia" w:cs="Arial"/>
        </w:rPr>
        <w:t>Integrating Lifestyle, Mind-Body, and Clinical Approaches for Optimal Brain and Body Health</w:t>
      </w:r>
    </w:p>
    <w:p w14:paraId="56BC11BD" w14:textId="77777777" w:rsidR="003E455A" w:rsidRPr="00FB171D" w:rsidRDefault="003E455A" w:rsidP="003E455A">
      <w:pPr>
        <w:rPr>
          <w:rFonts w:ascii="Georgia" w:hAnsi="Georgia" w:cs="Arial"/>
        </w:rPr>
      </w:pPr>
      <w:r w:rsidRPr="00FB171D">
        <w:rPr>
          <w:rFonts w:ascii="Georgia" w:hAnsi="Georgia" w:cs="Arial"/>
        </w:rPr>
        <w:t>Chronic stress is increasingly recognized as a powerful driver of systemic inflammation, with high-sensitivity C-reactive protein (hsCRP) serving as a key biomarker bridging psychological duress to physical disease. Elevated hsCRP levels not only reflect acute inflammatory responses but also predict long-term risks for cardiovascular conditions, cognitive decline, and neurodegeneration. As such, understanding and mitigating stress-induced hsCRP elevations has become a health priority, especially among individuals with genetic vulnerabilities, those exposed to physiological challenges like anesthesia, and aging populations.</w:t>
      </w:r>
    </w:p>
    <w:p w14:paraId="37E7F6A5" w14:textId="77777777" w:rsidR="003E455A" w:rsidRPr="00FB171D" w:rsidRDefault="003E455A" w:rsidP="003E455A">
      <w:pPr>
        <w:rPr>
          <w:rFonts w:ascii="Georgia" w:hAnsi="Georgia" w:cs="Arial"/>
        </w:rPr>
      </w:pPr>
      <w:r w:rsidRPr="00FB171D">
        <w:rPr>
          <w:rFonts w:ascii="Georgia" w:hAnsi="Georgia" w:cs="Arial"/>
        </w:rPr>
        <w:t>Below, we explore evidence-based strategies to reduce stress-driven hsCRP elevations by integrating lifestyle interventions, mind-body practices, medical management, and targeted behavioral changes.</w:t>
      </w:r>
    </w:p>
    <w:p w14:paraId="1B7F947C" w14:textId="77777777" w:rsidR="003E455A" w:rsidRPr="00FB171D" w:rsidRDefault="003E455A" w:rsidP="003E455A">
      <w:pPr>
        <w:pStyle w:val="Heading1"/>
        <w:rPr>
          <w:rFonts w:ascii="Georgia" w:hAnsi="Georgia" w:cs="Arial"/>
        </w:rPr>
      </w:pPr>
      <w:bookmarkStart w:id="134" w:name="_Toc209691168"/>
      <w:r w:rsidRPr="00FB171D">
        <w:rPr>
          <w:rFonts w:ascii="Georgia" w:hAnsi="Georgia" w:cs="Arial"/>
        </w:rPr>
        <w:t>Understanding the Stress-Inflammation Connection</w:t>
      </w:r>
      <w:bookmarkEnd w:id="134"/>
    </w:p>
    <w:p w14:paraId="046E7B35" w14:textId="77777777" w:rsidR="003E455A" w:rsidRPr="00FB171D" w:rsidRDefault="003E455A" w:rsidP="003E455A">
      <w:pPr>
        <w:rPr>
          <w:rFonts w:ascii="Georgia" w:hAnsi="Georgia" w:cs="Arial"/>
        </w:rPr>
      </w:pPr>
      <w:r w:rsidRPr="00FB171D">
        <w:rPr>
          <w:rFonts w:ascii="Georgia" w:hAnsi="Georgia" w:cs="Arial"/>
        </w:rPr>
        <w:t>The pathway from stress to elevated hsCRP is complex. Chronic activation of the hypothalamic-pituitary-adrenal (HPA) axis elevates cortisol, and over time this hormonal cascade shifts the immune system into a state of persistent, low-grade inflammation. This is reflected in the bloodstream as a rise in hsCRP, a marker that not only signals inflammation but also participates in its perpetuation. Interrupting this cycle requires a multi-layered approach, targeting both psychological triggers and physiological consequences.</w:t>
      </w:r>
    </w:p>
    <w:p w14:paraId="40C6BF70" w14:textId="77777777" w:rsidR="003E455A" w:rsidRPr="00FB171D" w:rsidRDefault="003E455A" w:rsidP="003E455A">
      <w:pPr>
        <w:pStyle w:val="Heading1"/>
        <w:rPr>
          <w:rFonts w:ascii="Georgia" w:hAnsi="Georgia" w:cs="Arial"/>
        </w:rPr>
      </w:pPr>
      <w:bookmarkStart w:id="135" w:name="_Toc209691169"/>
      <w:r w:rsidRPr="00FB171D">
        <w:rPr>
          <w:rFonts w:ascii="Georgia" w:hAnsi="Georgia" w:cs="Arial"/>
        </w:rPr>
        <w:t>Lifestyle Interventions</w:t>
      </w:r>
      <w:bookmarkEnd w:id="135"/>
    </w:p>
    <w:p w14:paraId="612D3B22" w14:textId="77777777" w:rsidR="003E455A" w:rsidRPr="00FB171D" w:rsidRDefault="003E455A" w:rsidP="003E455A">
      <w:pPr>
        <w:pStyle w:val="Heading2"/>
        <w:rPr>
          <w:rFonts w:ascii="Georgia" w:hAnsi="Georgia" w:cs="Arial"/>
        </w:rPr>
      </w:pPr>
      <w:bookmarkStart w:id="136" w:name="_Toc209691170"/>
      <w:r w:rsidRPr="00FB171D">
        <w:rPr>
          <w:rFonts w:ascii="Georgia" w:hAnsi="Georgia" w:cs="Arial"/>
        </w:rPr>
        <w:t>Physical Activity</w:t>
      </w:r>
      <w:bookmarkEnd w:id="136"/>
    </w:p>
    <w:p w14:paraId="3DE137D4" w14:textId="77777777" w:rsidR="003E455A" w:rsidRPr="00FB171D" w:rsidRDefault="003E455A" w:rsidP="003E455A">
      <w:pPr>
        <w:rPr>
          <w:rFonts w:ascii="Georgia" w:hAnsi="Georgia" w:cs="Arial"/>
        </w:rPr>
      </w:pPr>
      <w:r w:rsidRPr="00FB171D">
        <w:rPr>
          <w:rFonts w:ascii="Georgia" w:hAnsi="Georgia" w:cs="Arial"/>
        </w:rPr>
        <w:t>Regular, moderate-intensity exercise is among the most effective ways to reduce both perceived stress and hsCRP levels. Aerobic activities such as brisk walking, swimming, cycling, or dancing lower systemic inflammation by improving metabolic health, promoting vascular function, and modulating immune responses. Resistance training also plays a role in reducing inflammatory markers.</w:t>
      </w:r>
    </w:p>
    <w:p w14:paraId="1EB21537" w14:textId="77777777" w:rsidR="003E455A" w:rsidRPr="00FB171D" w:rsidRDefault="003E455A" w:rsidP="003E455A">
      <w:pPr>
        <w:pStyle w:val="ListParagraph"/>
        <w:numPr>
          <w:ilvl w:val="0"/>
          <w:numId w:val="105"/>
        </w:numPr>
        <w:rPr>
          <w:rFonts w:ascii="Georgia" w:hAnsi="Georgia" w:cs="Arial"/>
        </w:rPr>
      </w:pPr>
      <w:r w:rsidRPr="00FB171D">
        <w:rPr>
          <w:rFonts w:ascii="Georgia" w:hAnsi="Georgia" w:cs="Arial"/>
        </w:rPr>
        <w:t>Engage in at least 150 minutes of moderate aerobic activity per week</w:t>
      </w:r>
    </w:p>
    <w:p w14:paraId="19035D8B" w14:textId="77777777" w:rsidR="003E455A" w:rsidRPr="00FB171D" w:rsidRDefault="003E455A" w:rsidP="003E455A">
      <w:pPr>
        <w:pStyle w:val="ListParagraph"/>
        <w:numPr>
          <w:ilvl w:val="0"/>
          <w:numId w:val="105"/>
        </w:numPr>
        <w:rPr>
          <w:rFonts w:ascii="Georgia" w:hAnsi="Georgia" w:cs="Arial"/>
        </w:rPr>
      </w:pPr>
      <w:r w:rsidRPr="00FB171D">
        <w:rPr>
          <w:rFonts w:ascii="Georgia" w:hAnsi="Georgia" w:cs="Arial"/>
        </w:rPr>
        <w:t>Include two sessions of strength training targeting major muscle groups</w:t>
      </w:r>
    </w:p>
    <w:p w14:paraId="4E8BA86B" w14:textId="77777777" w:rsidR="003E455A" w:rsidRPr="00FB171D" w:rsidRDefault="003E455A" w:rsidP="003E455A">
      <w:pPr>
        <w:pStyle w:val="ListParagraph"/>
        <w:numPr>
          <w:ilvl w:val="0"/>
          <w:numId w:val="105"/>
        </w:numPr>
        <w:rPr>
          <w:rFonts w:ascii="Georgia" w:hAnsi="Georgia" w:cs="Arial"/>
        </w:rPr>
      </w:pPr>
      <w:r w:rsidRPr="00FB171D">
        <w:rPr>
          <w:rFonts w:ascii="Georgia" w:hAnsi="Georgia" w:cs="Arial"/>
        </w:rPr>
        <w:t>Incorporate flexibility and balance exercises, such as yoga or tai chi, which have additional stress-reducing properties</w:t>
      </w:r>
    </w:p>
    <w:p w14:paraId="04E8FFD5" w14:textId="77777777" w:rsidR="003E455A" w:rsidRPr="00FB171D" w:rsidRDefault="003E455A" w:rsidP="003E455A">
      <w:pPr>
        <w:pStyle w:val="Heading2"/>
        <w:rPr>
          <w:rFonts w:ascii="Georgia" w:hAnsi="Georgia" w:cs="Arial"/>
        </w:rPr>
      </w:pPr>
      <w:bookmarkStart w:id="137" w:name="_Toc209691171"/>
      <w:r w:rsidRPr="00FB171D">
        <w:rPr>
          <w:rFonts w:ascii="Georgia" w:hAnsi="Georgia" w:cs="Arial"/>
        </w:rPr>
        <w:t>Optimal Nutrition</w:t>
      </w:r>
      <w:bookmarkEnd w:id="137"/>
    </w:p>
    <w:p w14:paraId="46AF7C35" w14:textId="77777777" w:rsidR="003E455A" w:rsidRPr="00FB171D" w:rsidRDefault="003E455A" w:rsidP="003E455A">
      <w:pPr>
        <w:rPr>
          <w:rFonts w:ascii="Georgia" w:hAnsi="Georgia" w:cs="Arial"/>
        </w:rPr>
      </w:pPr>
      <w:r w:rsidRPr="00FB171D">
        <w:rPr>
          <w:rFonts w:ascii="Georgia" w:hAnsi="Georgia" w:cs="Arial"/>
        </w:rPr>
        <w:t>Diet profoundly influences systemic inflammation. An anti-inflammatory diet—rich in fruits, vegetables, whole grains, nuts, seeds, and healthy fats—can lower hsCRP.</w:t>
      </w:r>
    </w:p>
    <w:p w14:paraId="4C26630E" w14:textId="77777777" w:rsidR="003E455A" w:rsidRPr="00FB171D" w:rsidRDefault="003E455A" w:rsidP="003E455A">
      <w:pPr>
        <w:pStyle w:val="ListParagraph"/>
        <w:numPr>
          <w:ilvl w:val="0"/>
          <w:numId w:val="106"/>
        </w:numPr>
        <w:rPr>
          <w:rFonts w:ascii="Georgia" w:hAnsi="Georgia" w:cs="Arial"/>
        </w:rPr>
      </w:pPr>
      <w:r w:rsidRPr="00FB171D">
        <w:rPr>
          <w:rFonts w:ascii="Georgia" w:hAnsi="Georgia" w:cs="Arial"/>
        </w:rPr>
        <w:t>Prioritize foods high in omega-3 fatty acids (salmon, walnuts, flaxseed), which suppress inflammatory pathways</w:t>
      </w:r>
    </w:p>
    <w:p w14:paraId="147B5B43" w14:textId="77777777" w:rsidR="003E455A" w:rsidRPr="00FB171D" w:rsidRDefault="003E455A" w:rsidP="003E455A">
      <w:pPr>
        <w:pStyle w:val="ListParagraph"/>
        <w:numPr>
          <w:ilvl w:val="0"/>
          <w:numId w:val="106"/>
        </w:numPr>
        <w:rPr>
          <w:rFonts w:ascii="Georgia" w:hAnsi="Georgia" w:cs="Arial"/>
        </w:rPr>
      </w:pPr>
      <w:r w:rsidRPr="00FB171D">
        <w:rPr>
          <w:rFonts w:ascii="Georgia" w:hAnsi="Georgia" w:cs="Arial"/>
        </w:rPr>
        <w:t>Limit processed foods, refined sugars, and trans fats, all of which are linked to higher hsCRP</w:t>
      </w:r>
    </w:p>
    <w:p w14:paraId="672F3B36" w14:textId="77777777" w:rsidR="003E455A" w:rsidRPr="00FB171D" w:rsidRDefault="003E455A" w:rsidP="003E455A">
      <w:pPr>
        <w:pStyle w:val="ListParagraph"/>
        <w:numPr>
          <w:ilvl w:val="0"/>
          <w:numId w:val="106"/>
        </w:numPr>
        <w:rPr>
          <w:rFonts w:ascii="Georgia" w:hAnsi="Georgia" w:cs="Arial"/>
        </w:rPr>
      </w:pPr>
      <w:r w:rsidRPr="00FB171D">
        <w:rPr>
          <w:rFonts w:ascii="Georgia" w:hAnsi="Georgia" w:cs="Arial"/>
        </w:rPr>
        <w:t>Consider Mediterranean or DASH diet patterns, both associated with reduced inflammation</w:t>
      </w:r>
    </w:p>
    <w:p w14:paraId="04D9A5DE" w14:textId="77777777" w:rsidR="003E455A" w:rsidRPr="00FB171D" w:rsidRDefault="003E455A" w:rsidP="003E455A">
      <w:pPr>
        <w:pStyle w:val="ListParagraph"/>
        <w:numPr>
          <w:ilvl w:val="0"/>
          <w:numId w:val="106"/>
        </w:numPr>
        <w:rPr>
          <w:rFonts w:ascii="Georgia" w:hAnsi="Georgia" w:cs="Arial"/>
        </w:rPr>
      </w:pPr>
      <w:r w:rsidRPr="00FB171D">
        <w:rPr>
          <w:rFonts w:ascii="Georgia" w:hAnsi="Georgia" w:cs="Arial"/>
        </w:rPr>
        <w:t>Stay hydrated and moderate alcohol intake</w:t>
      </w:r>
    </w:p>
    <w:p w14:paraId="4E0F99EB" w14:textId="77777777" w:rsidR="003E455A" w:rsidRPr="00FB171D" w:rsidRDefault="003E455A" w:rsidP="003E455A">
      <w:pPr>
        <w:pStyle w:val="Heading2"/>
        <w:rPr>
          <w:rFonts w:ascii="Georgia" w:hAnsi="Georgia" w:cs="Arial"/>
        </w:rPr>
      </w:pPr>
      <w:bookmarkStart w:id="138" w:name="_Toc209691172"/>
      <w:r w:rsidRPr="00FB171D">
        <w:rPr>
          <w:rFonts w:ascii="Georgia" w:hAnsi="Georgia" w:cs="Arial"/>
        </w:rPr>
        <w:t>Restorative Sleep</w:t>
      </w:r>
      <w:bookmarkEnd w:id="138"/>
    </w:p>
    <w:p w14:paraId="6650B1D8" w14:textId="77777777" w:rsidR="003E455A" w:rsidRPr="00FB171D" w:rsidRDefault="003E455A" w:rsidP="003E455A">
      <w:pPr>
        <w:rPr>
          <w:rFonts w:ascii="Georgia" w:hAnsi="Georgia" w:cs="Arial"/>
        </w:rPr>
      </w:pPr>
      <w:r w:rsidRPr="00FB171D">
        <w:rPr>
          <w:rFonts w:ascii="Georgia" w:hAnsi="Georgia" w:cs="Arial"/>
        </w:rPr>
        <w:t>Sleep deprivation and poor sleep quality heighten the body’s inflammatory state. Prioritizing sleep hygiene helps regulate cortisol rhythms, thereby reducing hsCRP.</w:t>
      </w:r>
    </w:p>
    <w:p w14:paraId="352A3089" w14:textId="77777777" w:rsidR="003E455A" w:rsidRPr="00FB171D" w:rsidRDefault="003E455A" w:rsidP="003E455A">
      <w:pPr>
        <w:pStyle w:val="ListParagraph"/>
        <w:numPr>
          <w:ilvl w:val="0"/>
          <w:numId w:val="107"/>
        </w:numPr>
        <w:rPr>
          <w:rFonts w:ascii="Georgia" w:hAnsi="Georgia" w:cs="Arial"/>
        </w:rPr>
      </w:pPr>
      <w:r w:rsidRPr="00FB171D">
        <w:rPr>
          <w:rFonts w:ascii="Georgia" w:hAnsi="Georgia" w:cs="Arial"/>
        </w:rPr>
        <w:t>Maintain a consistent sleep schedule, aiming for 7–9 hours per night</w:t>
      </w:r>
    </w:p>
    <w:p w14:paraId="65658056" w14:textId="77777777" w:rsidR="003E455A" w:rsidRPr="00FB171D" w:rsidRDefault="003E455A" w:rsidP="003E455A">
      <w:pPr>
        <w:pStyle w:val="ListParagraph"/>
        <w:numPr>
          <w:ilvl w:val="0"/>
          <w:numId w:val="107"/>
        </w:numPr>
        <w:rPr>
          <w:rFonts w:ascii="Georgia" w:hAnsi="Georgia" w:cs="Arial"/>
        </w:rPr>
      </w:pPr>
      <w:r w:rsidRPr="00FB171D">
        <w:rPr>
          <w:rFonts w:ascii="Georgia" w:hAnsi="Georgia" w:cs="Arial"/>
        </w:rPr>
        <w:t>Create a sleep-conducive environment: dark, cool, and quiet</w:t>
      </w:r>
    </w:p>
    <w:p w14:paraId="388E98AD" w14:textId="77777777" w:rsidR="003E455A" w:rsidRPr="00FB171D" w:rsidRDefault="003E455A" w:rsidP="003E455A">
      <w:pPr>
        <w:pStyle w:val="ListParagraph"/>
        <w:numPr>
          <w:ilvl w:val="0"/>
          <w:numId w:val="107"/>
        </w:numPr>
        <w:rPr>
          <w:rFonts w:ascii="Georgia" w:hAnsi="Georgia" w:cs="Arial"/>
        </w:rPr>
      </w:pPr>
      <w:r w:rsidRPr="00FB171D">
        <w:rPr>
          <w:rFonts w:ascii="Georgia" w:hAnsi="Georgia" w:cs="Arial"/>
        </w:rPr>
        <w:t>Limit screen exposure before bedtime, and develop a calming pre-sleep ritual</w:t>
      </w:r>
    </w:p>
    <w:p w14:paraId="38ED94A4" w14:textId="77777777" w:rsidR="003E455A" w:rsidRPr="00FB171D" w:rsidRDefault="003E455A" w:rsidP="003E455A">
      <w:pPr>
        <w:pStyle w:val="Heading1"/>
        <w:rPr>
          <w:rFonts w:ascii="Georgia" w:hAnsi="Georgia" w:cs="Arial"/>
        </w:rPr>
      </w:pPr>
      <w:bookmarkStart w:id="139" w:name="_Toc209691173"/>
      <w:r w:rsidRPr="00FB171D">
        <w:rPr>
          <w:rFonts w:ascii="Georgia" w:hAnsi="Georgia" w:cs="Arial"/>
        </w:rPr>
        <w:t>Mind-Body Approaches</w:t>
      </w:r>
      <w:bookmarkEnd w:id="139"/>
    </w:p>
    <w:p w14:paraId="32A25F8A" w14:textId="77777777" w:rsidR="003E455A" w:rsidRPr="00FB171D" w:rsidRDefault="003E455A" w:rsidP="003E455A">
      <w:pPr>
        <w:pStyle w:val="Heading2"/>
        <w:rPr>
          <w:rFonts w:ascii="Georgia" w:hAnsi="Georgia" w:cs="Arial"/>
        </w:rPr>
      </w:pPr>
      <w:bookmarkStart w:id="140" w:name="_Toc209691174"/>
      <w:r w:rsidRPr="00FB171D">
        <w:rPr>
          <w:rFonts w:ascii="Georgia" w:hAnsi="Georgia" w:cs="Arial"/>
        </w:rPr>
        <w:t>Mindfulness Meditation and Stress Reduction Programs</w:t>
      </w:r>
      <w:bookmarkEnd w:id="140"/>
    </w:p>
    <w:p w14:paraId="2A53F874" w14:textId="77777777" w:rsidR="003E455A" w:rsidRPr="00FB171D" w:rsidRDefault="003E455A" w:rsidP="003E455A">
      <w:pPr>
        <w:rPr>
          <w:rFonts w:ascii="Georgia" w:hAnsi="Georgia" w:cs="Arial"/>
        </w:rPr>
      </w:pPr>
      <w:r w:rsidRPr="00FB171D">
        <w:rPr>
          <w:rFonts w:ascii="Georgia" w:hAnsi="Georgia" w:cs="Arial"/>
        </w:rPr>
        <w:t>Mindfulness-based stress reduction (MBSR) and other meditative techniques have been shown to lower perceived stress, decrease cortisol, and reduce hsCRP. Such practices foster a state of calm awareness, buffering the physiological impact of chronic stress.</w:t>
      </w:r>
    </w:p>
    <w:p w14:paraId="28BF23A3" w14:textId="77777777" w:rsidR="003E455A" w:rsidRPr="00FB171D" w:rsidRDefault="003E455A" w:rsidP="003E455A">
      <w:pPr>
        <w:pStyle w:val="ListParagraph"/>
        <w:numPr>
          <w:ilvl w:val="0"/>
          <w:numId w:val="108"/>
        </w:numPr>
        <w:rPr>
          <w:rFonts w:ascii="Georgia" w:hAnsi="Georgia" w:cs="Arial"/>
        </w:rPr>
      </w:pPr>
      <w:r w:rsidRPr="00FB171D">
        <w:rPr>
          <w:rFonts w:ascii="Georgia" w:hAnsi="Georgia" w:cs="Arial"/>
        </w:rPr>
        <w:t>Engage in daily mindfulness practices (10–20 minutes)</w:t>
      </w:r>
    </w:p>
    <w:p w14:paraId="07D6C059" w14:textId="77777777" w:rsidR="003E455A" w:rsidRPr="00FB171D" w:rsidRDefault="003E455A" w:rsidP="003E455A">
      <w:pPr>
        <w:pStyle w:val="ListParagraph"/>
        <w:numPr>
          <w:ilvl w:val="0"/>
          <w:numId w:val="108"/>
        </w:numPr>
        <w:rPr>
          <w:rFonts w:ascii="Georgia" w:hAnsi="Georgia" w:cs="Arial"/>
        </w:rPr>
      </w:pPr>
      <w:r w:rsidRPr="00FB171D">
        <w:rPr>
          <w:rFonts w:ascii="Georgia" w:hAnsi="Georgia" w:cs="Arial"/>
        </w:rPr>
        <w:t>Consider guided meditation apps, group classes, or structured programs like MBSR</w:t>
      </w:r>
    </w:p>
    <w:p w14:paraId="0F98E126" w14:textId="77777777" w:rsidR="003E455A" w:rsidRPr="00FB171D" w:rsidRDefault="003E455A" w:rsidP="003E455A">
      <w:pPr>
        <w:pStyle w:val="ListParagraph"/>
        <w:numPr>
          <w:ilvl w:val="0"/>
          <w:numId w:val="108"/>
        </w:numPr>
        <w:rPr>
          <w:rFonts w:ascii="Georgia" w:hAnsi="Georgia" w:cs="Arial"/>
        </w:rPr>
      </w:pPr>
      <w:r w:rsidRPr="00FB171D">
        <w:rPr>
          <w:rFonts w:ascii="Georgia" w:hAnsi="Georgia" w:cs="Arial"/>
        </w:rPr>
        <w:t>Practice deep breathing and progressive muscle relaxation to acutely lower stress responses</w:t>
      </w:r>
    </w:p>
    <w:p w14:paraId="6CA40D0F" w14:textId="77777777" w:rsidR="003E455A" w:rsidRPr="00FB171D" w:rsidRDefault="003E455A" w:rsidP="003E455A">
      <w:pPr>
        <w:pStyle w:val="Heading2"/>
        <w:rPr>
          <w:rFonts w:ascii="Georgia" w:hAnsi="Georgia" w:cs="Arial"/>
        </w:rPr>
      </w:pPr>
      <w:bookmarkStart w:id="141" w:name="_Toc209691175"/>
      <w:r w:rsidRPr="00FB171D">
        <w:rPr>
          <w:rFonts w:ascii="Georgia" w:hAnsi="Georgia" w:cs="Arial"/>
        </w:rPr>
        <w:t>Yoga and Tai Chi</w:t>
      </w:r>
      <w:bookmarkEnd w:id="141"/>
    </w:p>
    <w:p w14:paraId="0FF81741" w14:textId="77777777" w:rsidR="003E455A" w:rsidRPr="00FB171D" w:rsidRDefault="003E455A" w:rsidP="003E455A">
      <w:pPr>
        <w:rPr>
          <w:rFonts w:ascii="Georgia" w:hAnsi="Georgia" w:cs="Arial"/>
        </w:rPr>
      </w:pPr>
      <w:r w:rsidRPr="00FB171D">
        <w:rPr>
          <w:rFonts w:ascii="Georgia" w:hAnsi="Georgia" w:cs="Arial"/>
        </w:rPr>
        <w:t>These ancient disciplines combine movement, breath control, and mental focus. Studies show that regular practice modulates immune activity and reduces markers of inflammation, including hsCRP.</w:t>
      </w:r>
    </w:p>
    <w:p w14:paraId="507C6D78" w14:textId="77777777" w:rsidR="003E455A" w:rsidRPr="00FB171D" w:rsidRDefault="003E455A" w:rsidP="003E455A">
      <w:pPr>
        <w:pStyle w:val="ListParagraph"/>
        <w:numPr>
          <w:ilvl w:val="0"/>
          <w:numId w:val="109"/>
        </w:numPr>
        <w:rPr>
          <w:rFonts w:ascii="Georgia" w:hAnsi="Georgia" w:cs="Arial"/>
        </w:rPr>
      </w:pPr>
      <w:r w:rsidRPr="00FB171D">
        <w:rPr>
          <w:rFonts w:ascii="Georgia" w:hAnsi="Georgia" w:cs="Arial"/>
        </w:rPr>
        <w:t>Participate in yoga or tai chi sessions 2–3 times per week</w:t>
      </w:r>
    </w:p>
    <w:p w14:paraId="23FCCD17" w14:textId="77777777" w:rsidR="003E455A" w:rsidRPr="00FB171D" w:rsidRDefault="003E455A" w:rsidP="003E455A">
      <w:pPr>
        <w:pStyle w:val="ListParagraph"/>
        <w:numPr>
          <w:ilvl w:val="0"/>
          <w:numId w:val="109"/>
        </w:numPr>
        <w:rPr>
          <w:rFonts w:ascii="Georgia" w:hAnsi="Georgia" w:cs="Arial"/>
        </w:rPr>
      </w:pPr>
      <w:r w:rsidRPr="00FB171D">
        <w:rPr>
          <w:rFonts w:ascii="Georgia" w:hAnsi="Georgia" w:cs="Arial"/>
        </w:rPr>
        <w:t>Focus on gentle, restorative styles to maximize stress relief</w:t>
      </w:r>
    </w:p>
    <w:p w14:paraId="1DABDC83" w14:textId="77777777" w:rsidR="003E455A" w:rsidRPr="00FB171D" w:rsidRDefault="003E455A" w:rsidP="003E455A">
      <w:pPr>
        <w:pStyle w:val="Heading1"/>
        <w:rPr>
          <w:rFonts w:ascii="Georgia" w:hAnsi="Georgia" w:cs="Arial"/>
        </w:rPr>
      </w:pPr>
      <w:bookmarkStart w:id="142" w:name="_Toc209691176"/>
      <w:r w:rsidRPr="00FB171D">
        <w:rPr>
          <w:rFonts w:ascii="Georgia" w:hAnsi="Georgia" w:cs="Arial"/>
        </w:rPr>
        <w:t>Social and Emotional Wellness</w:t>
      </w:r>
      <w:bookmarkEnd w:id="142"/>
    </w:p>
    <w:p w14:paraId="2461E911" w14:textId="77777777" w:rsidR="003E455A" w:rsidRPr="00FB171D" w:rsidRDefault="003E455A" w:rsidP="003E455A">
      <w:pPr>
        <w:pStyle w:val="Heading2"/>
        <w:rPr>
          <w:rFonts w:ascii="Georgia" w:hAnsi="Georgia" w:cs="Arial"/>
        </w:rPr>
      </w:pPr>
      <w:bookmarkStart w:id="143" w:name="_Toc209691177"/>
      <w:r w:rsidRPr="00FB171D">
        <w:rPr>
          <w:rFonts w:ascii="Georgia" w:hAnsi="Georgia" w:cs="Arial"/>
        </w:rPr>
        <w:t>Building Social Support</w:t>
      </w:r>
      <w:bookmarkEnd w:id="143"/>
    </w:p>
    <w:p w14:paraId="4C956290" w14:textId="77777777" w:rsidR="003E455A" w:rsidRPr="00FB171D" w:rsidRDefault="003E455A" w:rsidP="003E455A">
      <w:pPr>
        <w:rPr>
          <w:rFonts w:ascii="Georgia" w:hAnsi="Georgia" w:cs="Arial"/>
        </w:rPr>
      </w:pPr>
      <w:r w:rsidRPr="00FB171D">
        <w:rPr>
          <w:rFonts w:ascii="Georgia" w:hAnsi="Georgia" w:cs="Arial"/>
        </w:rPr>
        <w:t>Strong social connections buffer stress and are associated with lower inflammatory markers. Nurturing relationships and seeking emotional support can mitigate the physiological impacts of distress.</w:t>
      </w:r>
    </w:p>
    <w:p w14:paraId="13C63B1F" w14:textId="77777777" w:rsidR="003E455A" w:rsidRPr="00FB171D" w:rsidRDefault="003E455A" w:rsidP="003E455A">
      <w:pPr>
        <w:pStyle w:val="ListParagraph"/>
        <w:numPr>
          <w:ilvl w:val="0"/>
          <w:numId w:val="110"/>
        </w:numPr>
        <w:rPr>
          <w:rFonts w:ascii="Georgia" w:hAnsi="Georgia" w:cs="Arial"/>
        </w:rPr>
      </w:pPr>
      <w:r w:rsidRPr="00FB171D">
        <w:rPr>
          <w:rFonts w:ascii="Georgia" w:hAnsi="Georgia" w:cs="Arial"/>
        </w:rPr>
        <w:t>Invest time in meaningful relationships with family and friends</w:t>
      </w:r>
    </w:p>
    <w:p w14:paraId="387B4E70" w14:textId="77777777" w:rsidR="003E455A" w:rsidRPr="00FB171D" w:rsidRDefault="003E455A" w:rsidP="003E455A">
      <w:pPr>
        <w:pStyle w:val="ListParagraph"/>
        <w:numPr>
          <w:ilvl w:val="0"/>
          <w:numId w:val="110"/>
        </w:numPr>
        <w:rPr>
          <w:rFonts w:ascii="Georgia" w:hAnsi="Georgia" w:cs="Arial"/>
        </w:rPr>
      </w:pPr>
      <w:r w:rsidRPr="00FB171D">
        <w:rPr>
          <w:rFonts w:ascii="Georgia" w:hAnsi="Georgia" w:cs="Arial"/>
        </w:rPr>
        <w:t>Participate in community or volunteer activities</w:t>
      </w:r>
    </w:p>
    <w:p w14:paraId="36CC1E4E" w14:textId="77777777" w:rsidR="003E455A" w:rsidRPr="00FB171D" w:rsidRDefault="003E455A" w:rsidP="003E455A">
      <w:pPr>
        <w:pStyle w:val="ListParagraph"/>
        <w:numPr>
          <w:ilvl w:val="0"/>
          <w:numId w:val="110"/>
        </w:numPr>
        <w:rPr>
          <w:rFonts w:ascii="Georgia" w:hAnsi="Georgia" w:cs="Arial"/>
        </w:rPr>
      </w:pPr>
      <w:r w:rsidRPr="00FB171D">
        <w:rPr>
          <w:rFonts w:ascii="Georgia" w:hAnsi="Georgia" w:cs="Arial"/>
        </w:rPr>
        <w:t>Consider joining support groups if facing chronic stress, illness, or major life transitions</w:t>
      </w:r>
    </w:p>
    <w:p w14:paraId="6E90B617" w14:textId="77777777" w:rsidR="003E455A" w:rsidRPr="00FB171D" w:rsidRDefault="003E455A" w:rsidP="003E455A">
      <w:pPr>
        <w:pStyle w:val="Heading2"/>
        <w:rPr>
          <w:rFonts w:ascii="Georgia" w:hAnsi="Georgia" w:cs="Arial"/>
        </w:rPr>
      </w:pPr>
      <w:bookmarkStart w:id="144" w:name="_Toc209691178"/>
      <w:r w:rsidRPr="00FB171D">
        <w:rPr>
          <w:rFonts w:ascii="Georgia" w:hAnsi="Georgia" w:cs="Arial"/>
        </w:rPr>
        <w:t>Cognitive-Behavioral Strategies</w:t>
      </w:r>
      <w:bookmarkEnd w:id="144"/>
    </w:p>
    <w:p w14:paraId="3C50093F" w14:textId="77777777" w:rsidR="003E455A" w:rsidRPr="00FB171D" w:rsidRDefault="003E455A" w:rsidP="003E455A">
      <w:pPr>
        <w:rPr>
          <w:rFonts w:ascii="Georgia" w:hAnsi="Georgia" w:cs="Arial"/>
        </w:rPr>
      </w:pPr>
      <w:r w:rsidRPr="00FB171D">
        <w:rPr>
          <w:rFonts w:ascii="Georgia" w:hAnsi="Georgia" w:cs="Arial"/>
        </w:rPr>
        <w:t>Cognitive-behavioral therapy (CBT) and related therapeutic interventions help individuals reframe negative thought patterns, reducing both subjective stress and physiological inflammation.</w:t>
      </w:r>
    </w:p>
    <w:p w14:paraId="79DF0CDC" w14:textId="77777777" w:rsidR="003E455A" w:rsidRPr="00FB171D" w:rsidRDefault="003E455A" w:rsidP="003E455A">
      <w:pPr>
        <w:pStyle w:val="ListParagraph"/>
        <w:numPr>
          <w:ilvl w:val="0"/>
          <w:numId w:val="111"/>
        </w:numPr>
        <w:rPr>
          <w:rFonts w:ascii="Georgia" w:hAnsi="Georgia" w:cs="Arial"/>
        </w:rPr>
      </w:pPr>
      <w:r w:rsidRPr="00FB171D">
        <w:rPr>
          <w:rFonts w:ascii="Georgia" w:hAnsi="Georgia" w:cs="Arial"/>
        </w:rPr>
        <w:t>Engage with a mental health professional for tailored CBT or counseling</w:t>
      </w:r>
    </w:p>
    <w:p w14:paraId="37B50098" w14:textId="77777777" w:rsidR="003E455A" w:rsidRPr="00FB171D" w:rsidRDefault="003E455A" w:rsidP="003E455A">
      <w:pPr>
        <w:pStyle w:val="ListParagraph"/>
        <w:numPr>
          <w:ilvl w:val="0"/>
          <w:numId w:val="111"/>
        </w:numPr>
        <w:rPr>
          <w:rFonts w:ascii="Georgia" w:hAnsi="Georgia" w:cs="Arial"/>
        </w:rPr>
      </w:pPr>
      <w:r w:rsidRPr="00FB171D">
        <w:rPr>
          <w:rFonts w:ascii="Georgia" w:hAnsi="Georgia" w:cs="Arial"/>
        </w:rPr>
        <w:t>Practice journaling, gratitude exercises, and cognitive restructuring techniques</w:t>
      </w:r>
    </w:p>
    <w:p w14:paraId="6CFDB726" w14:textId="77777777" w:rsidR="003E455A" w:rsidRPr="00FB171D" w:rsidRDefault="003E455A" w:rsidP="003E455A">
      <w:pPr>
        <w:pStyle w:val="Heading1"/>
        <w:rPr>
          <w:rFonts w:ascii="Georgia" w:hAnsi="Georgia" w:cs="Arial"/>
        </w:rPr>
      </w:pPr>
      <w:bookmarkStart w:id="145" w:name="_Toc209691179"/>
      <w:r w:rsidRPr="00FB171D">
        <w:rPr>
          <w:rFonts w:ascii="Georgia" w:hAnsi="Georgia" w:cs="Arial"/>
        </w:rPr>
        <w:t>Medical Management and Monitoring</w:t>
      </w:r>
      <w:bookmarkEnd w:id="145"/>
    </w:p>
    <w:p w14:paraId="576025AA" w14:textId="77777777" w:rsidR="003E455A" w:rsidRPr="00FB171D" w:rsidRDefault="003E455A" w:rsidP="003E455A">
      <w:pPr>
        <w:pStyle w:val="Heading2"/>
        <w:rPr>
          <w:rFonts w:ascii="Georgia" w:hAnsi="Georgia" w:cs="Arial"/>
        </w:rPr>
      </w:pPr>
      <w:bookmarkStart w:id="146" w:name="_Toc209691180"/>
      <w:r w:rsidRPr="00FB171D">
        <w:rPr>
          <w:rFonts w:ascii="Georgia" w:hAnsi="Georgia" w:cs="Arial"/>
        </w:rPr>
        <w:t>Screening and Intervention for Underlying Conditions</w:t>
      </w:r>
      <w:bookmarkEnd w:id="146"/>
    </w:p>
    <w:p w14:paraId="3E9EBDA6" w14:textId="77777777" w:rsidR="003E455A" w:rsidRPr="00FB171D" w:rsidRDefault="003E455A" w:rsidP="003E455A">
      <w:pPr>
        <w:rPr>
          <w:rFonts w:ascii="Georgia" w:hAnsi="Georgia" w:cs="Arial"/>
        </w:rPr>
      </w:pPr>
      <w:r w:rsidRPr="00FB171D">
        <w:rPr>
          <w:rFonts w:ascii="Georgia" w:hAnsi="Georgia" w:cs="Arial"/>
        </w:rPr>
        <w:t>Identify and treat underlying contributors to inflammation—such as obesity, metabolic syndrome, and autoimmune disorders—to further reduce hsCRP. Regular health screenings are crucial, especially for those at increased risk (e.g., carriers of the apoE4 allele, people with family histories of neurodegeneration, or those undergoing anesthesia).</w:t>
      </w:r>
    </w:p>
    <w:p w14:paraId="6724F6F3" w14:textId="77777777" w:rsidR="003E455A" w:rsidRPr="00FB171D" w:rsidRDefault="003E455A" w:rsidP="003E455A">
      <w:pPr>
        <w:pStyle w:val="ListParagraph"/>
        <w:numPr>
          <w:ilvl w:val="0"/>
          <w:numId w:val="112"/>
        </w:numPr>
        <w:rPr>
          <w:rFonts w:ascii="Georgia" w:hAnsi="Georgia" w:cs="Arial"/>
        </w:rPr>
      </w:pPr>
      <w:r w:rsidRPr="00FB171D">
        <w:rPr>
          <w:rFonts w:ascii="Georgia" w:hAnsi="Georgia" w:cs="Arial"/>
        </w:rPr>
        <w:t>Monitor blood pressure, glucose, and lipid profiles</w:t>
      </w:r>
    </w:p>
    <w:p w14:paraId="3F441EAE" w14:textId="77777777" w:rsidR="003E455A" w:rsidRPr="00FB171D" w:rsidRDefault="003E455A" w:rsidP="003E455A">
      <w:pPr>
        <w:pStyle w:val="ListParagraph"/>
        <w:numPr>
          <w:ilvl w:val="0"/>
          <w:numId w:val="112"/>
        </w:numPr>
        <w:rPr>
          <w:rFonts w:ascii="Georgia" w:hAnsi="Georgia" w:cs="Arial"/>
        </w:rPr>
      </w:pPr>
      <w:r w:rsidRPr="00FB171D">
        <w:rPr>
          <w:rFonts w:ascii="Georgia" w:hAnsi="Georgia" w:cs="Arial"/>
        </w:rPr>
        <w:t>Work with healthcare providers to manage chronic diseases effectively</w:t>
      </w:r>
    </w:p>
    <w:p w14:paraId="47A30C1B" w14:textId="77777777" w:rsidR="003E455A" w:rsidRPr="00FB171D" w:rsidRDefault="003E455A" w:rsidP="003E455A">
      <w:pPr>
        <w:pStyle w:val="ListParagraph"/>
        <w:numPr>
          <w:ilvl w:val="0"/>
          <w:numId w:val="112"/>
        </w:numPr>
        <w:rPr>
          <w:rFonts w:ascii="Georgia" w:hAnsi="Georgia" w:cs="Arial"/>
        </w:rPr>
      </w:pPr>
      <w:r w:rsidRPr="00FB171D">
        <w:rPr>
          <w:rFonts w:ascii="Georgia" w:hAnsi="Georgia" w:cs="Arial"/>
        </w:rPr>
        <w:t>Consider pharmacological interventions (statins, anti-inflammatory agents) when indicated by your physician</w:t>
      </w:r>
    </w:p>
    <w:p w14:paraId="0EE2A046" w14:textId="77777777" w:rsidR="003E455A" w:rsidRPr="00FB171D" w:rsidRDefault="003E455A" w:rsidP="003E455A">
      <w:pPr>
        <w:pStyle w:val="Heading2"/>
        <w:rPr>
          <w:rFonts w:ascii="Georgia" w:hAnsi="Georgia" w:cs="Arial"/>
        </w:rPr>
      </w:pPr>
      <w:bookmarkStart w:id="147" w:name="_Toc209691181"/>
      <w:r w:rsidRPr="00FB171D">
        <w:rPr>
          <w:rFonts w:ascii="Georgia" w:hAnsi="Georgia" w:cs="Arial"/>
        </w:rPr>
        <w:t>Personalized Risk Assessment</w:t>
      </w:r>
      <w:bookmarkEnd w:id="147"/>
    </w:p>
    <w:p w14:paraId="03BF6884" w14:textId="77777777" w:rsidR="003E455A" w:rsidRPr="00FB171D" w:rsidRDefault="003E455A" w:rsidP="003E455A">
      <w:pPr>
        <w:rPr>
          <w:rFonts w:ascii="Georgia" w:hAnsi="Georgia" w:cs="Arial"/>
        </w:rPr>
      </w:pPr>
      <w:r w:rsidRPr="00FB171D">
        <w:rPr>
          <w:rFonts w:ascii="Georgia" w:hAnsi="Georgia" w:cs="Arial"/>
        </w:rPr>
        <w:t>For those with genetic or environmental risk factors (e.g., apoE4 carriers, aging individuals, exposure to anesthesia), regular assessment of hsCRP and cortisol can inform personalized prevention strategies.</w:t>
      </w:r>
    </w:p>
    <w:p w14:paraId="4587F4F7" w14:textId="77777777" w:rsidR="003E455A" w:rsidRPr="00FB171D" w:rsidRDefault="003E455A" w:rsidP="003E455A">
      <w:pPr>
        <w:pStyle w:val="ListParagraph"/>
        <w:numPr>
          <w:ilvl w:val="0"/>
          <w:numId w:val="113"/>
        </w:numPr>
        <w:rPr>
          <w:rFonts w:ascii="Georgia" w:hAnsi="Georgia" w:cs="Arial"/>
        </w:rPr>
      </w:pPr>
      <w:r w:rsidRPr="00FB171D">
        <w:rPr>
          <w:rFonts w:ascii="Georgia" w:hAnsi="Georgia" w:cs="Arial"/>
        </w:rPr>
        <w:t>Integrate biomarker tracking into routine health checkups</w:t>
      </w:r>
    </w:p>
    <w:p w14:paraId="084DF133" w14:textId="77777777" w:rsidR="003E455A" w:rsidRPr="00FB171D" w:rsidRDefault="003E455A" w:rsidP="003E455A">
      <w:pPr>
        <w:pStyle w:val="ListParagraph"/>
        <w:numPr>
          <w:ilvl w:val="0"/>
          <w:numId w:val="113"/>
        </w:numPr>
        <w:rPr>
          <w:rFonts w:ascii="Georgia" w:hAnsi="Georgia" w:cs="Arial"/>
        </w:rPr>
      </w:pPr>
      <w:r w:rsidRPr="00FB171D">
        <w:rPr>
          <w:rFonts w:ascii="Georgia" w:hAnsi="Georgia" w:cs="Arial"/>
        </w:rPr>
        <w:t>Discuss the implications of elevated hsCRP with your healthcare team and co-create a targeted action plan</w:t>
      </w:r>
    </w:p>
    <w:p w14:paraId="59040AA8" w14:textId="77777777" w:rsidR="003E455A" w:rsidRPr="00FB171D" w:rsidRDefault="003E455A" w:rsidP="003E455A">
      <w:pPr>
        <w:pStyle w:val="Heading1"/>
        <w:rPr>
          <w:rFonts w:ascii="Georgia" w:hAnsi="Georgia" w:cs="Arial"/>
        </w:rPr>
      </w:pPr>
      <w:bookmarkStart w:id="148" w:name="_Toc209691182"/>
      <w:r w:rsidRPr="00FB171D">
        <w:rPr>
          <w:rFonts w:ascii="Georgia" w:hAnsi="Georgia" w:cs="Arial"/>
        </w:rPr>
        <w:t>Environmental and Behavioral Modifications</w:t>
      </w:r>
      <w:bookmarkEnd w:id="148"/>
    </w:p>
    <w:p w14:paraId="40EB24A9" w14:textId="77777777" w:rsidR="003E455A" w:rsidRPr="00FB171D" w:rsidRDefault="003E455A" w:rsidP="003E455A">
      <w:pPr>
        <w:pStyle w:val="Heading2"/>
        <w:rPr>
          <w:rFonts w:ascii="Georgia" w:hAnsi="Georgia" w:cs="Arial"/>
        </w:rPr>
      </w:pPr>
      <w:bookmarkStart w:id="149" w:name="_Toc209691183"/>
      <w:r w:rsidRPr="00FB171D">
        <w:rPr>
          <w:rFonts w:ascii="Georgia" w:hAnsi="Georgia" w:cs="Arial"/>
        </w:rPr>
        <w:t>Managing Environmental Stressors</w:t>
      </w:r>
      <w:bookmarkEnd w:id="149"/>
    </w:p>
    <w:p w14:paraId="04156DEB" w14:textId="77777777" w:rsidR="003E455A" w:rsidRPr="00FB171D" w:rsidRDefault="003E455A" w:rsidP="003E455A">
      <w:pPr>
        <w:rPr>
          <w:rFonts w:ascii="Georgia" w:hAnsi="Georgia" w:cs="Arial"/>
        </w:rPr>
      </w:pPr>
      <w:r w:rsidRPr="00FB171D">
        <w:rPr>
          <w:rFonts w:ascii="Georgia" w:hAnsi="Georgia" w:cs="Arial"/>
        </w:rPr>
        <w:t>Prolonged exposure to noise, pollution, toxins, or workplace stress can drive inflammation. Reducing exposure where possible and improving daily routines makes a measurable difference.</w:t>
      </w:r>
    </w:p>
    <w:p w14:paraId="7257FBB3" w14:textId="77777777" w:rsidR="003E455A" w:rsidRPr="00FB171D" w:rsidRDefault="003E455A" w:rsidP="003E455A">
      <w:pPr>
        <w:pStyle w:val="ListParagraph"/>
        <w:numPr>
          <w:ilvl w:val="0"/>
          <w:numId w:val="114"/>
        </w:numPr>
        <w:rPr>
          <w:rFonts w:ascii="Georgia" w:hAnsi="Georgia" w:cs="Arial"/>
        </w:rPr>
      </w:pPr>
      <w:r w:rsidRPr="00FB171D">
        <w:rPr>
          <w:rFonts w:ascii="Georgia" w:hAnsi="Georgia" w:cs="Arial"/>
        </w:rPr>
        <w:t>Optimize your home and work environments for calm and order</w:t>
      </w:r>
    </w:p>
    <w:p w14:paraId="47D225A5" w14:textId="77777777" w:rsidR="003E455A" w:rsidRPr="00FB171D" w:rsidRDefault="003E455A" w:rsidP="003E455A">
      <w:pPr>
        <w:pStyle w:val="ListParagraph"/>
        <w:numPr>
          <w:ilvl w:val="0"/>
          <w:numId w:val="114"/>
        </w:numPr>
        <w:rPr>
          <w:rFonts w:ascii="Georgia" w:hAnsi="Georgia" w:cs="Arial"/>
        </w:rPr>
      </w:pPr>
      <w:r w:rsidRPr="00FB171D">
        <w:rPr>
          <w:rFonts w:ascii="Georgia" w:hAnsi="Georgia" w:cs="Arial"/>
        </w:rPr>
        <w:t>Establish boundaries around work hours and digital device use</w:t>
      </w:r>
    </w:p>
    <w:p w14:paraId="69F735B8" w14:textId="77777777" w:rsidR="003E455A" w:rsidRPr="00FB171D" w:rsidRDefault="003E455A" w:rsidP="003E455A">
      <w:pPr>
        <w:pStyle w:val="Heading2"/>
        <w:rPr>
          <w:rFonts w:ascii="Georgia" w:hAnsi="Georgia" w:cs="Arial"/>
        </w:rPr>
      </w:pPr>
      <w:bookmarkStart w:id="150" w:name="_Toc209691184"/>
      <w:r w:rsidRPr="00FB171D">
        <w:rPr>
          <w:rFonts w:ascii="Georgia" w:hAnsi="Georgia" w:cs="Arial"/>
        </w:rPr>
        <w:t>Integrating Relaxation into Daily Life</w:t>
      </w:r>
      <w:bookmarkEnd w:id="150"/>
    </w:p>
    <w:p w14:paraId="0229DDA1" w14:textId="77777777" w:rsidR="003E455A" w:rsidRPr="00FB171D" w:rsidRDefault="003E455A" w:rsidP="003E455A">
      <w:pPr>
        <w:rPr>
          <w:rFonts w:ascii="Georgia" w:hAnsi="Georgia" w:cs="Arial"/>
        </w:rPr>
      </w:pPr>
      <w:r w:rsidRPr="00FB171D">
        <w:rPr>
          <w:rFonts w:ascii="Georgia" w:hAnsi="Georgia" w:cs="Arial"/>
        </w:rPr>
        <w:t>Short, frequent breaks for relaxation and reflection throughout the day help reset stress responses and keep inflammation in check.</w:t>
      </w:r>
    </w:p>
    <w:p w14:paraId="18C49106" w14:textId="77777777" w:rsidR="003E455A" w:rsidRPr="00FB171D" w:rsidRDefault="003E455A" w:rsidP="003E455A">
      <w:pPr>
        <w:pStyle w:val="ListParagraph"/>
        <w:numPr>
          <w:ilvl w:val="0"/>
          <w:numId w:val="115"/>
        </w:numPr>
        <w:rPr>
          <w:rFonts w:ascii="Georgia" w:hAnsi="Georgia" w:cs="Arial"/>
        </w:rPr>
      </w:pPr>
      <w:r w:rsidRPr="00FB171D">
        <w:rPr>
          <w:rFonts w:ascii="Georgia" w:hAnsi="Georgia" w:cs="Arial"/>
        </w:rPr>
        <w:t>Incorporate brief walks, stretching, or nature exposure into your schedule</w:t>
      </w:r>
    </w:p>
    <w:p w14:paraId="44A10308" w14:textId="77777777" w:rsidR="003E455A" w:rsidRPr="00FB171D" w:rsidRDefault="003E455A" w:rsidP="003E455A">
      <w:pPr>
        <w:pStyle w:val="ListParagraph"/>
        <w:numPr>
          <w:ilvl w:val="0"/>
          <w:numId w:val="115"/>
        </w:numPr>
        <w:rPr>
          <w:rFonts w:ascii="Georgia" w:hAnsi="Georgia" w:cs="Arial"/>
        </w:rPr>
      </w:pPr>
      <w:r w:rsidRPr="00FB171D">
        <w:rPr>
          <w:rFonts w:ascii="Georgia" w:hAnsi="Georgia" w:cs="Arial"/>
        </w:rPr>
        <w:t>Practice mindful pauses before stressful events or decisions</w:t>
      </w:r>
    </w:p>
    <w:p w14:paraId="467AD34F" w14:textId="77777777" w:rsidR="003E455A" w:rsidRPr="00FB171D" w:rsidRDefault="003E455A" w:rsidP="003E455A">
      <w:pPr>
        <w:pStyle w:val="Heading1"/>
        <w:rPr>
          <w:rFonts w:ascii="Georgia" w:hAnsi="Georgia" w:cs="Arial"/>
        </w:rPr>
      </w:pPr>
      <w:bookmarkStart w:id="151" w:name="_Toc209691185"/>
      <w:r w:rsidRPr="00FB171D">
        <w:rPr>
          <w:rFonts w:ascii="Georgia" w:hAnsi="Georgia" w:cs="Arial"/>
        </w:rPr>
        <w:t>Conclusion</w:t>
      </w:r>
      <w:bookmarkEnd w:id="151"/>
    </w:p>
    <w:p w14:paraId="40C05B22" w14:textId="603AAFE5" w:rsidR="003E455A" w:rsidRPr="00FB171D" w:rsidRDefault="003E455A" w:rsidP="003E455A">
      <w:pPr>
        <w:rPr>
          <w:rFonts w:ascii="Georgia" w:hAnsi="Georgia" w:cs="Arial"/>
        </w:rPr>
      </w:pPr>
      <w:r w:rsidRPr="00FB171D">
        <w:rPr>
          <w:rFonts w:ascii="Georgia" w:hAnsi="Georgia" w:cs="Arial"/>
        </w:rPr>
        <w:t>Reducing stress-induced elevations in hsCRP requires a holistic, multi-dimensional approach that targets both mind and body. By weaving together physical activity, nutrition, restorative sleep, mind-body practices, social connection, medical management, and environmental modifications, individuals can meaningfully decrease systemic inflammation and protect long-term cognitive and cardiovascular health. These approaches become especially vital for those with heightened vulnerabilities—such as aging adults, those with genetic risk factors, and individuals facing major physiological stressors. Early intervention and consistent self-care are key to sustaining resilience against the silent yet potent tide of inflammation.</w:t>
      </w:r>
    </w:p>
    <w:p w14:paraId="33B95915" w14:textId="77777777" w:rsidR="003E455A" w:rsidRPr="00FB171D" w:rsidRDefault="003E455A" w:rsidP="005511D3">
      <w:pPr>
        <w:rPr>
          <w:rFonts w:ascii="Georgia" w:hAnsi="Georgia" w:cs="Arial"/>
        </w:rPr>
      </w:pPr>
    </w:p>
    <w:p w14:paraId="6F8536C1" w14:textId="77777777" w:rsidR="006901D7" w:rsidRPr="00FB171D" w:rsidRDefault="006901D7" w:rsidP="006901D7">
      <w:pPr>
        <w:pStyle w:val="Heading1"/>
        <w:rPr>
          <w:rFonts w:ascii="Georgia" w:hAnsi="Georgia" w:cs="Arial"/>
        </w:rPr>
      </w:pPr>
      <w:bookmarkStart w:id="152" w:name="_Toc209691186"/>
      <w:r w:rsidRPr="00FB171D">
        <w:rPr>
          <w:rFonts w:ascii="Georgia" w:hAnsi="Georgia" w:cs="Arial"/>
        </w:rPr>
        <w:t>Brain Food</w:t>
      </w:r>
      <w:bookmarkEnd w:id="152"/>
    </w:p>
    <w:p w14:paraId="17645A5A" w14:textId="77777777" w:rsidR="0044762F" w:rsidRPr="00FB171D" w:rsidRDefault="0044762F" w:rsidP="0044762F">
      <w:pPr>
        <w:rPr>
          <w:rFonts w:ascii="Georgia" w:hAnsi="Georgia" w:cs="Arial"/>
        </w:rPr>
      </w:pPr>
      <w:r w:rsidRPr="00FB171D">
        <w:rPr>
          <w:rFonts w:ascii="Georgia" w:hAnsi="Georgia" w:cs="Arial"/>
        </w:rPr>
        <w:t>When we speak of “brain food,” we’re referring to nutrients and dietary patterns that specifically nourish and support the structure and function of the brain. While no single food can magically make you smarter overnight, a growing body of research points to the profound impact that nutrition can have on cognition, memory, and neural plasticity.</w:t>
      </w:r>
    </w:p>
    <w:p w14:paraId="55ABB0CC" w14:textId="77777777" w:rsidR="0044762F" w:rsidRPr="00FB171D" w:rsidRDefault="0044762F" w:rsidP="0044762F">
      <w:pPr>
        <w:rPr>
          <w:rFonts w:ascii="Georgia" w:hAnsi="Georgia" w:cs="Arial"/>
        </w:rPr>
      </w:pPr>
      <w:r w:rsidRPr="00FB171D">
        <w:rPr>
          <w:rFonts w:ascii="Georgia" w:hAnsi="Georgia" w:cs="Arial"/>
        </w:rPr>
        <w:t>Certain foods are known to enhance synaptic density—the connections between neurons essential for learning and memory—by providing critical building blocks like omega-3 fatty acids (especially DHA, found in fatty fish such as salmon, sardines, and mackerel). These lipids are integral to neuronal membranes and modulate neuroinflammation, which can otherwise impair synaptic health. Other nutrients, such as choline (abundant in eggs), support the synthesis of acetylcholine, a neurotransmitter fundamental to memory and attention.</w:t>
      </w:r>
    </w:p>
    <w:p w14:paraId="3C7FF5A8" w14:textId="77777777" w:rsidR="0044762F" w:rsidRPr="00FB171D" w:rsidRDefault="0044762F" w:rsidP="0044762F">
      <w:pPr>
        <w:rPr>
          <w:rFonts w:ascii="Georgia" w:hAnsi="Georgia" w:cs="Arial"/>
        </w:rPr>
      </w:pPr>
      <w:r w:rsidRPr="00FB171D">
        <w:rPr>
          <w:rFonts w:ascii="Georgia" w:hAnsi="Georgia" w:cs="Arial"/>
        </w:rPr>
        <w:t>Antioxidant-rich berries (blueberries, blackberries, strawberries) are celebrated for their ability to counter oxidative stress and reduce neurodegeneration. Polyphenols in cocoa and green tea have been shown to enhance cerebral blood flow, promoting both macro- and microcirculation that brings oxygen and nutrients to brain tissue while facilitating the removal of metabolic waste.</w:t>
      </w:r>
    </w:p>
    <w:p w14:paraId="155D832A" w14:textId="77777777" w:rsidR="0044762F" w:rsidRPr="00FB171D" w:rsidRDefault="0044762F" w:rsidP="0044762F">
      <w:pPr>
        <w:rPr>
          <w:rFonts w:ascii="Georgia" w:hAnsi="Georgia" w:cs="Arial"/>
        </w:rPr>
      </w:pPr>
      <w:r w:rsidRPr="00FB171D">
        <w:rPr>
          <w:rFonts w:ascii="Georgia" w:hAnsi="Georgia" w:cs="Arial"/>
        </w:rPr>
        <w:t>Nuts and seeds, rich in vitamin E and healthy fats, have been associated with slower age-related cognitive decline. Leafy green vegetables (such as spinach and kale) provide folate and vitamin K, which are linked to better memory performance. Whole grains, meanwhile, offer steady glucose—the brain’s primary energy source—while supporting vascular health that ensures robust blood supply to even the most remote neural circuits.</w:t>
      </w:r>
    </w:p>
    <w:p w14:paraId="6771734E" w14:textId="77777777" w:rsidR="0044762F" w:rsidRPr="00FB171D" w:rsidRDefault="0044762F" w:rsidP="0044762F">
      <w:pPr>
        <w:rPr>
          <w:rFonts w:ascii="Georgia" w:hAnsi="Georgia" w:cs="Arial"/>
        </w:rPr>
      </w:pPr>
      <w:r w:rsidRPr="00FB171D">
        <w:rPr>
          <w:rFonts w:ascii="Georgia" w:hAnsi="Georgia" w:cs="Arial"/>
        </w:rPr>
        <w:t>Maintaining hydration is also critical, as even mild dehydration can impair cognitive performance. Spices like turmeric, through the active compound curcumin, exhibit anti-inflammatory properties that may protect the brain from degenerative processes.</w:t>
      </w:r>
    </w:p>
    <w:p w14:paraId="07E99B5E" w14:textId="62941EE0" w:rsidR="003E455A" w:rsidRPr="00FB171D" w:rsidRDefault="0044762F" w:rsidP="0044762F">
      <w:pPr>
        <w:rPr>
          <w:rFonts w:ascii="Georgia" w:hAnsi="Georgia" w:cs="Arial"/>
        </w:rPr>
      </w:pPr>
      <w:r w:rsidRPr="00FB171D">
        <w:rPr>
          <w:rFonts w:ascii="Georgia" w:hAnsi="Georgia" w:cs="Arial"/>
        </w:rPr>
        <w:t>In summary, a diet emphasizing diverse, minimally processed foods—particularly those rich in omega-3s, antioxidants, vitamins, and polyphenols—can provide metabolic support for the brain, encourage the growth and maintenance of synaptic connections, and foster optimal cerebral blood flow. Together, these choices create an internal environment where the brain can thrive, adapt, and resist neurodegenerative change.</w:t>
      </w:r>
    </w:p>
    <w:p w14:paraId="40E5BFEB" w14:textId="77777777" w:rsidR="003E455A" w:rsidRPr="00FB171D" w:rsidRDefault="003E455A" w:rsidP="005511D3">
      <w:pPr>
        <w:rPr>
          <w:rFonts w:ascii="Georgia" w:hAnsi="Georgia" w:cs="Arial"/>
        </w:rPr>
      </w:pPr>
    </w:p>
    <w:p w14:paraId="301E1CCF" w14:textId="77777777" w:rsidR="003E455A" w:rsidRPr="00FB171D" w:rsidRDefault="003E455A" w:rsidP="005511D3">
      <w:pPr>
        <w:rPr>
          <w:rFonts w:ascii="Georgia" w:hAnsi="Georgia" w:cs="Arial"/>
        </w:rPr>
      </w:pPr>
    </w:p>
    <w:p w14:paraId="62B61852" w14:textId="77777777" w:rsidR="003E455A" w:rsidRPr="00FB171D" w:rsidRDefault="003E455A" w:rsidP="005511D3">
      <w:pPr>
        <w:rPr>
          <w:rFonts w:ascii="Georgia" w:hAnsi="Georgia" w:cs="Arial"/>
        </w:rPr>
      </w:pPr>
    </w:p>
    <w:p w14:paraId="2B870713" w14:textId="77777777" w:rsidR="005511D3" w:rsidRPr="00FB171D" w:rsidRDefault="005511D3" w:rsidP="005511D3">
      <w:pPr>
        <w:rPr>
          <w:rFonts w:ascii="Georgia" w:hAnsi="Georgia" w:cs="Arial"/>
        </w:rPr>
      </w:pPr>
      <w:r w:rsidRPr="00FB171D">
        <w:rPr>
          <w:rFonts w:ascii="Georgia" w:hAnsi="Georgia" w:cs="Arial"/>
        </w:rPr>
        <w:t>Think of apoE4 (wilcox, thor), aging (mom, gmKoyama, Oscar), my cohort</w:t>
      </w:r>
    </w:p>
    <w:p w14:paraId="7B24C291" w14:textId="63436503" w:rsidR="003E7EFA" w:rsidRPr="00FB171D" w:rsidRDefault="005511D3" w:rsidP="005511D3">
      <w:pPr>
        <w:rPr>
          <w:rFonts w:ascii="Georgia" w:hAnsi="Georgia" w:cs="Arial"/>
        </w:rPr>
      </w:pPr>
      <w:r w:rsidRPr="00FB171D">
        <w:rPr>
          <w:rFonts w:ascii="Georgia" w:hAnsi="Georgia" w:cs="Arial"/>
        </w:rPr>
        <w:t>Anesthesia and risk of cognitive decline</w:t>
      </w:r>
    </w:p>
    <w:p w14:paraId="0491829E" w14:textId="77777777" w:rsidR="00E4258B" w:rsidRPr="00FB171D" w:rsidRDefault="00E4258B" w:rsidP="00E4258B">
      <w:pPr>
        <w:rPr>
          <w:rFonts w:ascii="Georgia" w:hAnsi="Georgia" w:cs="Arial"/>
        </w:rPr>
      </w:pPr>
    </w:p>
    <w:p w14:paraId="00E72647" w14:textId="66503AF8" w:rsidR="00E4258B" w:rsidRPr="00FB171D" w:rsidRDefault="00C40155" w:rsidP="002E0686">
      <w:pPr>
        <w:spacing w:before="100" w:beforeAutospacing="1" w:after="100" w:afterAutospacing="1" w:line="300" w:lineRule="atLeast"/>
        <w:rPr>
          <w:rFonts w:ascii="Georgia" w:eastAsia="Segoe UI" w:hAnsi="Georgia" w:cs="Arial"/>
          <w:sz w:val="28"/>
          <w:szCs w:val="28"/>
        </w:rPr>
      </w:pPr>
      <w:r w:rsidRPr="00FB171D">
        <w:rPr>
          <w:rFonts w:ascii="Georgia" w:eastAsia="Segoe UI" w:hAnsi="Georgia" w:cs="Arial"/>
          <w:sz w:val="28"/>
          <w:szCs w:val="28"/>
        </w:rPr>
        <w:t>Think of apoE4 (wilcox, thor), aging (mom, gmKoyama, Oscar), my cohort</w:t>
      </w:r>
    </w:p>
    <w:p w14:paraId="482F9141" w14:textId="18C7AF55" w:rsidR="00E64633" w:rsidRPr="00FB171D" w:rsidRDefault="00E64633" w:rsidP="002E0686">
      <w:pPr>
        <w:spacing w:before="100" w:beforeAutospacing="1" w:after="100" w:afterAutospacing="1" w:line="300" w:lineRule="atLeast"/>
        <w:rPr>
          <w:rFonts w:ascii="Georgia" w:eastAsia="Segoe UI" w:hAnsi="Georgia" w:cs="Arial"/>
          <w:sz w:val="28"/>
          <w:szCs w:val="28"/>
        </w:rPr>
      </w:pPr>
      <w:r w:rsidRPr="00FB171D">
        <w:rPr>
          <w:rFonts w:ascii="Georgia" w:eastAsia="Segoe UI" w:hAnsi="Georgia" w:cs="Arial"/>
          <w:sz w:val="28"/>
          <w:szCs w:val="28"/>
        </w:rPr>
        <w:t>Anesthesia and risk of cognitive decline</w:t>
      </w:r>
    </w:p>
    <w:p w14:paraId="304BF9AF" w14:textId="77777777" w:rsidR="00E64633" w:rsidRPr="00FB171D" w:rsidRDefault="00E64633" w:rsidP="002E0686">
      <w:pPr>
        <w:spacing w:before="100" w:beforeAutospacing="1" w:after="100" w:afterAutospacing="1" w:line="300" w:lineRule="atLeast"/>
        <w:rPr>
          <w:rFonts w:ascii="Georgia" w:eastAsia="Times New Roman" w:hAnsi="Georgia" w:cs="Arial"/>
          <w:sz w:val="21"/>
          <w:szCs w:val="21"/>
        </w:rPr>
      </w:pPr>
    </w:p>
    <w:sectPr w:rsidR="00E64633" w:rsidRPr="00FB171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7C4CD5"/>
    <w:multiLevelType w:val="hybridMultilevel"/>
    <w:tmpl w:val="95742F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4EE461C"/>
    <w:multiLevelType w:val="hybridMultilevel"/>
    <w:tmpl w:val="C43237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4F01F62"/>
    <w:multiLevelType w:val="hybridMultilevel"/>
    <w:tmpl w:val="34B448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5B81E91"/>
    <w:multiLevelType w:val="hybridMultilevel"/>
    <w:tmpl w:val="D368CC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869679C"/>
    <w:multiLevelType w:val="multilevel"/>
    <w:tmpl w:val="2D9C3A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BBE1817"/>
    <w:multiLevelType w:val="hybridMultilevel"/>
    <w:tmpl w:val="BCB883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BDB0CDE"/>
    <w:multiLevelType w:val="hybridMultilevel"/>
    <w:tmpl w:val="906AB9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D4F5448"/>
    <w:multiLevelType w:val="hybridMultilevel"/>
    <w:tmpl w:val="2312C7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0D563D53"/>
    <w:multiLevelType w:val="hybridMultilevel"/>
    <w:tmpl w:val="A9722A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0E86502D"/>
    <w:multiLevelType w:val="hybridMultilevel"/>
    <w:tmpl w:val="249CE1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34F68EC"/>
    <w:multiLevelType w:val="multilevel"/>
    <w:tmpl w:val="CCC085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3E145EA"/>
    <w:multiLevelType w:val="hybridMultilevel"/>
    <w:tmpl w:val="D22459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4DA1E0A"/>
    <w:multiLevelType w:val="hybridMultilevel"/>
    <w:tmpl w:val="1DDAAB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BB11506"/>
    <w:multiLevelType w:val="multilevel"/>
    <w:tmpl w:val="E0385D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1C762115"/>
    <w:multiLevelType w:val="hybridMultilevel"/>
    <w:tmpl w:val="B9C690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1D405D07"/>
    <w:multiLevelType w:val="hybridMultilevel"/>
    <w:tmpl w:val="4B685F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1EF6715E"/>
    <w:multiLevelType w:val="hybridMultilevel"/>
    <w:tmpl w:val="03E84B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1FAD7558"/>
    <w:multiLevelType w:val="hybridMultilevel"/>
    <w:tmpl w:val="F80454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1FCE58DB"/>
    <w:multiLevelType w:val="hybridMultilevel"/>
    <w:tmpl w:val="AFCEF434"/>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1FD42DAD"/>
    <w:multiLevelType w:val="hybridMultilevel"/>
    <w:tmpl w:val="16923D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0C90642"/>
    <w:multiLevelType w:val="hybridMultilevel"/>
    <w:tmpl w:val="6C56BE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0E93FC8"/>
    <w:multiLevelType w:val="multilevel"/>
    <w:tmpl w:val="5AFC07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218061C7"/>
    <w:multiLevelType w:val="hybridMultilevel"/>
    <w:tmpl w:val="B2889C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225311E0"/>
    <w:multiLevelType w:val="hybridMultilevel"/>
    <w:tmpl w:val="DED07B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228E580F"/>
    <w:multiLevelType w:val="hybridMultilevel"/>
    <w:tmpl w:val="117880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23301617"/>
    <w:multiLevelType w:val="hybridMultilevel"/>
    <w:tmpl w:val="68C4C3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259F716B"/>
    <w:multiLevelType w:val="hybridMultilevel"/>
    <w:tmpl w:val="B4ACE2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266949C5"/>
    <w:multiLevelType w:val="hybridMultilevel"/>
    <w:tmpl w:val="C1A8C9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26A12AD7"/>
    <w:multiLevelType w:val="multilevel"/>
    <w:tmpl w:val="533208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26B82BEE"/>
    <w:multiLevelType w:val="hybridMultilevel"/>
    <w:tmpl w:val="F2FE7B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26F7110A"/>
    <w:multiLevelType w:val="hybridMultilevel"/>
    <w:tmpl w:val="BB6CC2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28642BEB"/>
    <w:multiLevelType w:val="hybridMultilevel"/>
    <w:tmpl w:val="465C95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29B534B6"/>
    <w:multiLevelType w:val="hybridMultilevel"/>
    <w:tmpl w:val="E4D2D2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2BB44152"/>
    <w:multiLevelType w:val="hybridMultilevel"/>
    <w:tmpl w:val="679EB0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2BF8076A"/>
    <w:multiLevelType w:val="hybridMultilevel"/>
    <w:tmpl w:val="2C94A1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2C353385"/>
    <w:multiLevelType w:val="hybridMultilevel"/>
    <w:tmpl w:val="572A5B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2C4621ED"/>
    <w:multiLevelType w:val="hybridMultilevel"/>
    <w:tmpl w:val="7AD6DC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2E7045F1"/>
    <w:multiLevelType w:val="multilevel"/>
    <w:tmpl w:val="F1A616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2F477CC4"/>
    <w:multiLevelType w:val="hybridMultilevel"/>
    <w:tmpl w:val="307A244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2F917B41"/>
    <w:multiLevelType w:val="multilevel"/>
    <w:tmpl w:val="9C04DF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2FE05F20"/>
    <w:multiLevelType w:val="hybridMultilevel"/>
    <w:tmpl w:val="12DA99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2FF750D6"/>
    <w:multiLevelType w:val="hybridMultilevel"/>
    <w:tmpl w:val="BAB4F9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31682C3B"/>
    <w:multiLevelType w:val="hybridMultilevel"/>
    <w:tmpl w:val="419C6B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33295931"/>
    <w:multiLevelType w:val="hybridMultilevel"/>
    <w:tmpl w:val="E91A3B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34670474"/>
    <w:multiLevelType w:val="hybridMultilevel"/>
    <w:tmpl w:val="1458CD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34E322F0"/>
    <w:multiLevelType w:val="hybridMultilevel"/>
    <w:tmpl w:val="24A2C9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35A37708"/>
    <w:multiLevelType w:val="hybridMultilevel"/>
    <w:tmpl w:val="68A2A6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35E67DC7"/>
    <w:multiLevelType w:val="hybridMultilevel"/>
    <w:tmpl w:val="0914A5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37D40C15"/>
    <w:multiLevelType w:val="hybridMultilevel"/>
    <w:tmpl w:val="816EC4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15:restartNumberingAfterBreak="0">
    <w:nsid w:val="3814100C"/>
    <w:multiLevelType w:val="hybridMultilevel"/>
    <w:tmpl w:val="97727EA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15:restartNumberingAfterBreak="0">
    <w:nsid w:val="3A020B66"/>
    <w:multiLevelType w:val="hybridMultilevel"/>
    <w:tmpl w:val="EFDEC7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15:restartNumberingAfterBreak="0">
    <w:nsid w:val="3A1D2663"/>
    <w:multiLevelType w:val="hybridMultilevel"/>
    <w:tmpl w:val="AF7CB9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15:restartNumberingAfterBreak="0">
    <w:nsid w:val="3BFF786F"/>
    <w:multiLevelType w:val="hybridMultilevel"/>
    <w:tmpl w:val="304097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15:restartNumberingAfterBreak="0">
    <w:nsid w:val="3D4A0229"/>
    <w:multiLevelType w:val="multilevel"/>
    <w:tmpl w:val="1CA06F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 w15:restartNumberingAfterBreak="0">
    <w:nsid w:val="3DCE50A2"/>
    <w:multiLevelType w:val="hybridMultilevel"/>
    <w:tmpl w:val="42DC5F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15:restartNumberingAfterBreak="0">
    <w:nsid w:val="3E381FBA"/>
    <w:multiLevelType w:val="hybridMultilevel"/>
    <w:tmpl w:val="9C1459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15:restartNumberingAfterBreak="0">
    <w:nsid w:val="3EDB1134"/>
    <w:multiLevelType w:val="hybridMultilevel"/>
    <w:tmpl w:val="496C15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15:restartNumberingAfterBreak="0">
    <w:nsid w:val="3F3C14CC"/>
    <w:multiLevelType w:val="hybridMultilevel"/>
    <w:tmpl w:val="1854C5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15:restartNumberingAfterBreak="0">
    <w:nsid w:val="3F97429A"/>
    <w:multiLevelType w:val="hybridMultilevel"/>
    <w:tmpl w:val="91DE76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15:restartNumberingAfterBreak="0">
    <w:nsid w:val="41FF07AB"/>
    <w:multiLevelType w:val="hybridMultilevel"/>
    <w:tmpl w:val="D51AF8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15:restartNumberingAfterBreak="0">
    <w:nsid w:val="43875B0D"/>
    <w:multiLevelType w:val="hybridMultilevel"/>
    <w:tmpl w:val="76E237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15:restartNumberingAfterBreak="0">
    <w:nsid w:val="43D21200"/>
    <w:multiLevelType w:val="hybridMultilevel"/>
    <w:tmpl w:val="9DAA01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15:restartNumberingAfterBreak="0">
    <w:nsid w:val="45DF4337"/>
    <w:multiLevelType w:val="hybridMultilevel"/>
    <w:tmpl w:val="BA422B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15:restartNumberingAfterBreak="0">
    <w:nsid w:val="46630424"/>
    <w:multiLevelType w:val="hybridMultilevel"/>
    <w:tmpl w:val="076C24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15:restartNumberingAfterBreak="0">
    <w:nsid w:val="47BA7DD9"/>
    <w:multiLevelType w:val="hybridMultilevel"/>
    <w:tmpl w:val="65CCCF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15:restartNumberingAfterBreak="0">
    <w:nsid w:val="48EB140D"/>
    <w:multiLevelType w:val="hybridMultilevel"/>
    <w:tmpl w:val="C90ED1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 w15:restartNumberingAfterBreak="0">
    <w:nsid w:val="4CDC52FD"/>
    <w:multiLevelType w:val="hybridMultilevel"/>
    <w:tmpl w:val="0EE278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15:restartNumberingAfterBreak="0">
    <w:nsid w:val="4F872432"/>
    <w:multiLevelType w:val="hybridMultilevel"/>
    <w:tmpl w:val="BC2443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15:restartNumberingAfterBreak="0">
    <w:nsid w:val="4FB7602C"/>
    <w:multiLevelType w:val="hybridMultilevel"/>
    <w:tmpl w:val="8842E8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9" w15:restartNumberingAfterBreak="0">
    <w:nsid w:val="52C46BEE"/>
    <w:multiLevelType w:val="hybridMultilevel"/>
    <w:tmpl w:val="C4C091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0" w15:restartNumberingAfterBreak="0">
    <w:nsid w:val="52FD6EF7"/>
    <w:multiLevelType w:val="hybridMultilevel"/>
    <w:tmpl w:val="92123A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15:restartNumberingAfterBreak="0">
    <w:nsid w:val="53577F48"/>
    <w:multiLevelType w:val="hybridMultilevel"/>
    <w:tmpl w:val="885CB6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 w15:restartNumberingAfterBreak="0">
    <w:nsid w:val="557F309D"/>
    <w:multiLevelType w:val="multilevel"/>
    <w:tmpl w:val="4F5A84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3" w15:restartNumberingAfterBreak="0">
    <w:nsid w:val="55D522D9"/>
    <w:multiLevelType w:val="hybridMultilevel"/>
    <w:tmpl w:val="372CF7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4" w15:restartNumberingAfterBreak="0">
    <w:nsid w:val="56693B91"/>
    <w:multiLevelType w:val="hybridMultilevel"/>
    <w:tmpl w:val="D6F4DE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5" w15:restartNumberingAfterBreak="0">
    <w:nsid w:val="58D7044C"/>
    <w:multiLevelType w:val="hybridMultilevel"/>
    <w:tmpl w:val="F49457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6" w15:restartNumberingAfterBreak="0">
    <w:nsid w:val="596244B9"/>
    <w:multiLevelType w:val="hybridMultilevel"/>
    <w:tmpl w:val="556469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7" w15:restartNumberingAfterBreak="0">
    <w:nsid w:val="5A05324A"/>
    <w:multiLevelType w:val="hybridMultilevel"/>
    <w:tmpl w:val="173E23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8" w15:restartNumberingAfterBreak="0">
    <w:nsid w:val="5A216A11"/>
    <w:multiLevelType w:val="hybridMultilevel"/>
    <w:tmpl w:val="B8D8CA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9" w15:restartNumberingAfterBreak="0">
    <w:nsid w:val="5B6D2D07"/>
    <w:multiLevelType w:val="hybridMultilevel"/>
    <w:tmpl w:val="3C8C24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0" w15:restartNumberingAfterBreak="0">
    <w:nsid w:val="5F5749BF"/>
    <w:multiLevelType w:val="hybridMultilevel"/>
    <w:tmpl w:val="E95E44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1" w15:restartNumberingAfterBreak="0">
    <w:nsid w:val="5F7F5551"/>
    <w:multiLevelType w:val="hybridMultilevel"/>
    <w:tmpl w:val="B8D432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2" w15:restartNumberingAfterBreak="0">
    <w:nsid w:val="5FFF7778"/>
    <w:multiLevelType w:val="hybridMultilevel"/>
    <w:tmpl w:val="342859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3" w15:restartNumberingAfterBreak="0">
    <w:nsid w:val="61EA1E94"/>
    <w:multiLevelType w:val="hybridMultilevel"/>
    <w:tmpl w:val="8E4698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4" w15:restartNumberingAfterBreak="0">
    <w:nsid w:val="62023D6E"/>
    <w:multiLevelType w:val="hybridMultilevel"/>
    <w:tmpl w:val="A98280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5" w15:restartNumberingAfterBreak="0">
    <w:nsid w:val="623A1CA4"/>
    <w:multiLevelType w:val="hybridMultilevel"/>
    <w:tmpl w:val="056071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6" w15:restartNumberingAfterBreak="0">
    <w:nsid w:val="625F25E0"/>
    <w:multiLevelType w:val="hybridMultilevel"/>
    <w:tmpl w:val="879E56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7" w15:restartNumberingAfterBreak="0">
    <w:nsid w:val="629C46BA"/>
    <w:multiLevelType w:val="multilevel"/>
    <w:tmpl w:val="084CB7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8" w15:restartNumberingAfterBreak="0">
    <w:nsid w:val="62D4297E"/>
    <w:multiLevelType w:val="hybridMultilevel"/>
    <w:tmpl w:val="116840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9" w15:restartNumberingAfterBreak="0">
    <w:nsid w:val="6467059E"/>
    <w:multiLevelType w:val="hybridMultilevel"/>
    <w:tmpl w:val="725A7D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0" w15:restartNumberingAfterBreak="0">
    <w:nsid w:val="64E74EE3"/>
    <w:multiLevelType w:val="hybridMultilevel"/>
    <w:tmpl w:val="62A017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1" w15:restartNumberingAfterBreak="0">
    <w:nsid w:val="657E71FB"/>
    <w:multiLevelType w:val="hybridMultilevel"/>
    <w:tmpl w:val="D18205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2" w15:restartNumberingAfterBreak="0">
    <w:nsid w:val="65EB39B0"/>
    <w:multiLevelType w:val="hybridMultilevel"/>
    <w:tmpl w:val="B1F44C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3" w15:restartNumberingAfterBreak="0">
    <w:nsid w:val="65FE1724"/>
    <w:multiLevelType w:val="hybridMultilevel"/>
    <w:tmpl w:val="F02091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4" w15:restartNumberingAfterBreak="0">
    <w:nsid w:val="661D219A"/>
    <w:multiLevelType w:val="hybridMultilevel"/>
    <w:tmpl w:val="6E7872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5" w15:restartNumberingAfterBreak="0">
    <w:nsid w:val="66DE245F"/>
    <w:multiLevelType w:val="hybridMultilevel"/>
    <w:tmpl w:val="2B909D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6" w15:restartNumberingAfterBreak="0">
    <w:nsid w:val="67E03E08"/>
    <w:multiLevelType w:val="hybridMultilevel"/>
    <w:tmpl w:val="1982E6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7" w15:restartNumberingAfterBreak="0">
    <w:nsid w:val="683B7F43"/>
    <w:multiLevelType w:val="hybridMultilevel"/>
    <w:tmpl w:val="178214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8" w15:restartNumberingAfterBreak="0">
    <w:nsid w:val="68A671E1"/>
    <w:multiLevelType w:val="hybridMultilevel"/>
    <w:tmpl w:val="33F0C8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9" w15:restartNumberingAfterBreak="0">
    <w:nsid w:val="6AB73093"/>
    <w:multiLevelType w:val="hybridMultilevel"/>
    <w:tmpl w:val="70ACFF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0" w15:restartNumberingAfterBreak="0">
    <w:nsid w:val="6BCD6554"/>
    <w:multiLevelType w:val="hybridMultilevel"/>
    <w:tmpl w:val="1D8270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1" w15:restartNumberingAfterBreak="0">
    <w:nsid w:val="6BD93C2C"/>
    <w:multiLevelType w:val="hybridMultilevel"/>
    <w:tmpl w:val="343680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2" w15:restartNumberingAfterBreak="0">
    <w:nsid w:val="6D22739F"/>
    <w:multiLevelType w:val="hybridMultilevel"/>
    <w:tmpl w:val="DF7ACF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3" w15:restartNumberingAfterBreak="0">
    <w:nsid w:val="6D911043"/>
    <w:multiLevelType w:val="hybridMultilevel"/>
    <w:tmpl w:val="3C4461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4" w15:restartNumberingAfterBreak="0">
    <w:nsid w:val="6DCC0980"/>
    <w:multiLevelType w:val="hybridMultilevel"/>
    <w:tmpl w:val="6026F6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5" w15:restartNumberingAfterBreak="0">
    <w:nsid w:val="6E237380"/>
    <w:multiLevelType w:val="hybridMultilevel"/>
    <w:tmpl w:val="AFA4C6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6" w15:restartNumberingAfterBreak="0">
    <w:nsid w:val="6E7C5A41"/>
    <w:multiLevelType w:val="hybridMultilevel"/>
    <w:tmpl w:val="E22AEF4C"/>
    <w:lvl w:ilvl="0" w:tplc="28664350">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7" w15:restartNumberingAfterBreak="0">
    <w:nsid w:val="70815E02"/>
    <w:multiLevelType w:val="hybridMultilevel"/>
    <w:tmpl w:val="9D3458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8" w15:restartNumberingAfterBreak="0">
    <w:nsid w:val="72A43FCA"/>
    <w:multiLevelType w:val="hybridMultilevel"/>
    <w:tmpl w:val="F8CEAF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9" w15:restartNumberingAfterBreak="0">
    <w:nsid w:val="72B84B2B"/>
    <w:multiLevelType w:val="hybridMultilevel"/>
    <w:tmpl w:val="04F0EC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0" w15:restartNumberingAfterBreak="0">
    <w:nsid w:val="7449580D"/>
    <w:multiLevelType w:val="hybridMultilevel"/>
    <w:tmpl w:val="69428C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1" w15:restartNumberingAfterBreak="0">
    <w:nsid w:val="752B32F7"/>
    <w:multiLevelType w:val="hybridMultilevel"/>
    <w:tmpl w:val="C1FA08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2" w15:restartNumberingAfterBreak="0">
    <w:nsid w:val="773A31F2"/>
    <w:multiLevelType w:val="hybridMultilevel"/>
    <w:tmpl w:val="93A255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3" w15:restartNumberingAfterBreak="0">
    <w:nsid w:val="78580FBE"/>
    <w:multiLevelType w:val="hybridMultilevel"/>
    <w:tmpl w:val="1B280F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4" w15:restartNumberingAfterBreak="0">
    <w:nsid w:val="78621575"/>
    <w:multiLevelType w:val="hybridMultilevel"/>
    <w:tmpl w:val="D4A2FA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5" w15:restartNumberingAfterBreak="0">
    <w:nsid w:val="78E2523B"/>
    <w:multiLevelType w:val="hybridMultilevel"/>
    <w:tmpl w:val="ECF2A3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6" w15:restartNumberingAfterBreak="0">
    <w:nsid w:val="7A22366A"/>
    <w:multiLevelType w:val="hybridMultilevel"/>
    <w:tmpl w:val="8932A5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7" w15:restartNumberingAfterBreak="0">
    <w:nsid w:val="7B292D3A"/>
    <w:multiLevelType w:val="hybridMultilevel"/>
    <w:tmpl w:val="A38A6E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8" w15:restartNumberingAfterBreak="0">
    <w:nsid w:val="7B704148"/>
    <w:multiLevelType w:val="hybridMultilevel"/>
    <w:tmpl w:val="49B8A9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9" w15:restartNumberingAfterBreak="0">
    <w:nsid w:val="7BC459DB"/>
    <w:multiLevelType w:val="hybridMultilevel"/>
    <w:tmpl w:val="CB24C6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0" w15:restartNumberingAfterBreak="0">
    <w:nsid w:val="7D4772C6"/>
    <w:multiLevelType w:val="hybridMultilevel"/>
    <w:tmpl w:val="E70C66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1" w15:restartNumberingAfterBreak="0">
    <w:nsid w:val="7E624E7C"/>
    <w:multiLevelType w:val="hybridMultilevel"/>
    <w:tmpl w:val="4B44E2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2" w15:restartNumberingAfterBreak="0">
    <w:nsid w:val="7F8C774D"/>
    <w:multiLevelType w:val="hybridMultilevel"/>
    <w:tmpl w:val="232A74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3" w15:restartNumberingAfterBreak="0">
    <w:nsid w:val="7FB9218F"/>
    <w:multiLevelType w:val="hybridMultilevel"/>
    <w:tmpl w:val="67FCCD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641691517">
    <w:abstractNumId w:val="72"/>
  </w:num>
  <w:num w:numId="2" w16cid:durableId="1554270395">
    <w:abstractNumId w:val="21"/>
  </w:num>
  <w:num w:numId="3" w16cid:durableId="828063391">
    <w:abstractNumId w:val="4"/>
  </w:num>
  <w:num w:numId="4" w16cid:durableId="805506756">
    <w:abstractNumId w:val="37"/>
  </w:num>
  <w:num w:numId="5" w16cid:durableId="350424683">
    <w:abstractNumId w:val="10"/>
  </w:num>
  <w:num w:numId="6" w16cid:durableId="315577894">
    <w:abstractNumId w:val="28"/>
  </w:num>
  <w:num w:numId="7" w16cid:durableId="1622227127">
    <w:abstractNumId w:val="53"/>
  </w:num>
  <w:num w:numId="8" w16cid:durableId="1634870243">
    <w:abstractNumId w:val="39"/>
  </w:num>
  <w:num w:numId="9" w16cid:durableId="2109306829">
    <w:abstractNumId w:val="87"/>
  </w:num>
  <w:num w:numId="10" w16cid:durableId="790823027">
    <w:abstractNumId w:val="13"/>
  </w:num>
  <w:num w:numId="11" w16cid:durableId="1011688764">
    <w:abstractNumId w:val="43"/>
  </w:num>
  <w:num w:numId="12" w16cid:durableId="217398676">
    <w:abstractNumId w:val="29"/>
  </w:num>
  <w:num w:numId="13" w16cid:durableId="2028362185">
    <w:abstractNumId w:val="51"/>
  </w:num>
  <w:num w:numId="14" w16cid:durableId="882714457">
    <w:abstractNumId w:val="48"/>
  </w:num>
  <w:num w:numId="15" w16cid:durableId="206264725">
    <w:abstractNumId w:val="96"/>
  </w:num>
  <w:num w:numId="16" w16cid:durableId="1369333718">
    <w:abstractNumId w:val="76"/>
  </w:num>
  <w:num w:numId="17" w16cid:durableId="1498183507">
    <w:abstractNumId w:val="1"/>
  </w:num>
  <w:num w:numId="18" w16cid:durableId="1700357522">
    <w:abstractNumId w:val="66"/>
  </w:num>
  <w:num w:numId="19" w16cid:durableId="1746950719">
    <w:abstractNumId w:val="116"/>
  </w:num>
  <w:num w:numId="20" w16cid:durableId="1438132529">
    <w:abstractNumId w:val="117"/>
  </w:num>
  <w:num w:numId="21" w16cid:durableId="462817605">
    <w:abstractNumId w:val="67"/>
  </w:num>
  <w:num w:numId="22" w16cid:durableId="706412850">
    <w:abstractNumId w:val="112"/>
  </w:num>
  <w:num w:numId="23" w16cid:durableId="46414749">
    <w:abstractNumId w:val="46"/>
  </w:num>
  <w:num w:numId="24" w16cid:durableId="335808903">
    <w:abstractNumId w:val="50"/>
  </w:num>
  <w:num w:numId="25" w16cid:durableId="777719907">
    <w:abstractNumId w:val="88"/>
  </w:num>
  <w:num w:numId="26" w16cid:durableId="75443160">
    <w:abstractNumId w:val="52"/>
  </w:num>
  <w:num w:numId="27" w16cid:durableId="272129031">
    <w:abstractNumId w:val="56"/>
  </w:num>
  <w:num w:numId="28" w16cid:durableId="677853492">
    <w:abstractNumId w:val="40"/>
  </w:num>
  <w:num w:numId="29" w16cid:durableId="1214929091">
    <w:abstractNumId w:val="107"/>
  </w:num>
  <w:num w:numId="30" w16cid:durableId="1987932957">
    <w:abstractNumId w:val="115"/>
  </w:num>
  <w:num w:numId="31" w16cid:durableId="967272881">
    <w:abstractNumId w:val="111"/>
  </w:num>
  <w:num w:numId="32" w16cid:durableId="1738286617">
    <w:abstractNumId w:val="57"/>
  </w:num>
  <w:num w:numId="33" w16cid:durableId="655841600">
    <w:abstractNumId w:val="34"/>
  </w:num>
  <w:num w:numId="34" w16cid:durableId="2074156210">
    <w:abstractNumId w:val="14"/>
  </w:num>
  <w:num w:numId="35" w16cid:durableId="580481456">
    <w:abstractNumId w:val="60"/>
  </w:num>
  <w:num w:numId="36" w16cid:durableId="476799987">
    <w:abstractNumId w:val="24"/>
  </w:num>
  <w:num w:numId="37" w16cid:durableId="61685902">
    <w:abstractNumId w:val="59"/>
  </w:num>
  <w:num w:numId="38" w16cid:durableId="1791975445">
    <w:abstractNumId w:val="80"/>
  </w:num>
  <w:num w:numId="39" w16cid:durableId="1247425829">
    <w:abstractNumId w:val="6"/>
  </w:num>
  <w:num w:numId="40" w16cid:durableId="922181531">
    <w:abstractNumId w:val="120"/>
  </w:num>
  <w:num w:numId="41" w16cid:durableId="1082533735">
    <w:abstractNumId w:val="69"/>
  </w:num>
  <w:num w:numId="42" w16cid:durableId="566305338">
    <w:abstractNumId w:val="64"/>
  </w:num>
  <w:num w:numId="43" w16cid:durableId="472449995">
    <w:abstractNumId w:val="20"/>
  </w:num>
  <w:num w:numId="44" w16cid:durableId="481970401">
    <w:abstractNumId w:val="47"/>
  </w:num>
  <w:num w:numId="45" w16cid:durableId="19018884">
    <w:abstractNumId w:val="104"/>
  </w:num>
  <w:num w:numId="46" w16cid:durableId="1525363568">
    <w:abstractNumId w:val="119"/>
  </w:num>
  <w:num w:numId="47" w16cid:durableId="1822037151">
    <w:abstractNumId w:val="68"/>
  </w:num>
  <w:num w:numId="48" w16cid:durableId="102265092">
    <w:abstractNumId w:val="92"/>
  </w:num>
  <w:num w:numId="49" w16cid:durableId="436680175">
    <w:abstractNumId w:val="73"/>
  </w:num>
  <w:num w:numId="50" w16cid:durableId="1252811131">
    <w:abstractNumId w:val="0"/>
  </w:num>
  <w:num w:numId="51" w16cid:durableId="860052698">
    <w:abstractNumId w:val="83"/>
  </w:num>
  <w:num w:numId="52" w16cid:durableId="1446076745">
    <w:abstractNumId w:val="105"/>
  </w:num>
  <w:num w:numId="53" w16cid:durableId="1998417332">
    <w:abstractNumId w:val="81"/>
  </w:num>
  <w:num w:numId="54" w16cid:durableId="884679399">
    <w:abstractNumId w:val="25"/>
  </w:num>
  <w:num w:numId="55" w16cid:durableId="1537356326">
    <w:abstractNumId w:val="26"/>
  </w:num>
  <w:num w:numId="56" w16cid:durableId="2053530185">
    <w:abstractNumId w:val="79"/>
  </w:num>
  <w:num w:numId="57" w16cid:durableId="920598282">
    <w:abstractNumId w:val="33"/>
  </w:num>
  <w:num w:numId="58" w16cid:durableId="818300887">
    <w:abstractNumId w:val="65"/>
  </w:num>
  <w:num w:numId="59" w16cid:durableId="936717923">
    <w:abstractNumId w:val="74"/>
  </w:num>
  <w:num w:numId="60" w16cid:durableId="529419543">
    <w:abstractNumId w:val="54"/>
  </w:num>
  <w:num w:numId="61" w16cid:durableId="323437622">
    <w:abstractNumId w:val="11"/>
  </w:num>
  <w:num w:numId="62" w16cid:durableId="2086419345">
    <w:abstractNumId w:val="98"/>
  </w:num>
  <w:num w:numId="63" w16cid:durableId="702101064">
    <w:abstractNumId w:val="15"/>
  </w:num>
  <w:num w:numId="64" w16cid:durableId="1865485069">
    <w:abstractNumId w:val="44"/>
  </w:num>
  <w:num w:numId="65" w16cid:durableId="151216554">
    <w:abstractNumId w:val="5"/>
  </w:num>
  <w:num w:numId="66" w16cid:durableId="1889342249">
    <w:abstractNumId w:val="63"/>
  </w:num>
  <w:num w:numId="67" w16cid:durableId="497576858">
    <w:abstractNumId w:val="61"/>
  </w:num>
  <w:num w:numId="68" w16cid:durableId="1561474508">
    <w:abstractNumId w:val="19"/>
  </w:num>
  <w:num w:numId="69" w16cid:durableId="635381679">
    <w:abstractNumId w:val="8"/>
  </w:num>
  <w:num w:numId="70" w16cid:durableId="142311308">
    <w:abstractNumId w:val="103"/>
  </w:num>
  <w:num w:numId="71" w16cid:durableId="1305811044">
    <w:abstractNumId w:val="18"/>
  </w:num>
  <w:num w:numId="72" w16cid:durableId="751972343">
    <w:abstractNumId w:val="84"/>
  </w:num>
  <w:num w:numId="73" w16cid:durableId="187182527">
    <w:abstractNumId w:val="62"/>
  </w:num>
  <w:num w:numId="74" w16cid:durableId="1396732633">
    <w:abstractNumId w:val="49"/>
  </w:num>
  <w:num w:numId="75" w16cid:durableId="1331133437">
    <w:abstractNumId w:val="91"/>
  </w:num>
  <w:num w:numId="76" w16cid:durableId="718016616">
    <w:abstractNumId w:val="12"/>
  </w:num>
  <w:num w:numId="77" w16cid:durableId="1732997370">
    <w:abstractNumId w:val="110"/>
  </w:num>
  <w:num w:numId="78" w16cid:durableId="2015065730">
    <w:abstractNumId w:val="27"/>
  </w:num>
  <w:num w:numId="79" w16cid:durableId="1723139822">
    <w:abstractNumId w:val="113"/>
  </w:num>
  <w:num w:numId="80" w16cid:durableId="1833175466">
    <w:abstractNumId w:val="123"/>
  </w:num>
  <w:num w:numId="81" w16cid:durableId="1252079303">
    <w:abstractNumId w:val="36"/>
  </w:num>
  <w:num w:numId="82" w16cid:durableId="1207527767">
    <w:abstractNumId w:val="100"/>
  </w:num>
  <w:num w:numId="83" w16cid:durableId="2052412521">
    <w:abstractNumId w:val="118"/>
  </w:num>
  <w:num w:numId="84" w16cid:durableId="946161044">
    <w:abstractNumId w:val="122"/>
  </w:num>
  <w:num w:numId="85" w16cid:durableId="1538589419">
    <w:abstractNumId w:val="31"/>
  </w:num>
  <w:num w:numId="86" w16cid:durableId="1959527226">
    <w:abstractNumId w:val="114"/>
  </w:num>
  <w:num w:numId="87" w16cid:durableId="171729223">
    <w:abstractNumId w:val="23"/>
  </w:num>
  <w:num w:numId="88" w16cid:durableId="882519325">
    <w:abstractNumId w:val="94"/>
  </w:num>
  <w:num w:numId="89" w16cid:durableId="2067337452">
    <w:abstractNumId w:val="97"/>
  </w:num>
  <w:num w:numId="90" w16cid:durableId="946891128">
    <w:abstractNumId w:val="99"/>
  </w:num>
  <w:num w:numId="91" w16cid:durableId="1201674577">
    <w:abstractNumId w:val="108"/>
  </w:num>
  <w:num w:numId="92" w16cid:durableId="1085226272">
    <w:abstractNumId w:val="45"/>
  </w:num>
  <w:num w:numId="93" w16cid:durableId="1390611935">
    <w:abstractNumId w:val="75"/>
  </w:num>
  <w:num w:numId="94" w16cid:durableId="262302409">
    <w:abstractNumId w:val="86"/>
  </w:num>
  <w:num w:numId="95" w16cid:durableId="418986076">
    <w:abstractNumId w:val="71"/>
  </w:num>
  <w:num w:numId="96" w16cid:durableId="1234662148">
    <w:abstractNumId w:val="41"/>
  </w:num>
  <w:num w:numId="97" w16cid:durableId="387077102">
    <w:abstractNumId w:val="106"/>
  </w:num>
  <w:num w:numId="98" w16cid:durableId="123886283">
    <w:abstractNumId w:val="90"/>
  </w:num>
  <w:num w:numId="99" w16cid:durableId="1428887540">
    <w:abstractNumId w:val="35"/>
  </w:num>
  <w:num w:numId="100" w16cid:durableId="755832751">
    <w:abstractNumId w:val="70"/>
  </w:num>
  <w:num w:numId="101" w16cid:durableId="1159540511">
    <w:abstractNumId w:val="109"/>
  </w:num>
  <w:num w:numId="102" w16cid:durableId="2096785546">
    <w:abstractNumId w:val="55"/>
  </w:num>
  <w:num w:numId="103" w16cid:durableId="179127828">
    <w:abstractNumId w:val="17"/>
  </w:num>
  <w:num w:numId="104" w16cid:durableId="1042444826">
    <w:abstractNumId w:val="30"/>
  </w:num>
  <w:num w:numId="105" w16cid:durableId="637419139">
    <w:abstractNumId w:val="101"/>
  </w:num>
  <w:num w:numId="106" w16cid:durableId="359546844">
    <w:abstractNumId w:val="16"/>
  </w:num>
  <w:num w:numId="107" w16cid:durableId="466702150">
    <w:abstractNumId w:val="3"/>
  </w:num>
  <w:num w:numId="108" w16cid:durableId="273250097">
    <w:abstractNumId w:val="89"/>
  </w:num>
  <w:num w:numId="109" w16cid:durableId="1641956921">
    <w:abstractNumId w:val="32"/>
  </w:num>
  <w:num w:numId="110" w16cid:durableId="1701004211">
    <w:abstractNumId w:val="77"/>
  </w:num>
  <w:num w:numId="111" w16cid:durableId="1606115935">
    <w:abstractNumId w:val="22"/>
  </w:num>
  <w:num w:numId="112" w16cid:durableId="975912490">
    <w:abstractNumId w:val="2"/>
  </w:num>
  <w:num w:numId="113" w16cid:durableId="1827015189">
    <w:abstractNumId w:val="121"/>
  </w:num>
  <w:num w:numId="114" w16cid:durableId="1964342914">
    <w:abstractNumId w:val="7"/>
  </w:num>
  <w:num w:numId="115" w16cid:durableId="857309121">
    <w:abstractNumId w:val="102"/>
  </w:num>
  <w:num w:numId="116" w16cid:durableId="985015016">
    <w:abstractNumId w:val="95"/>
  </w:num>
  <w:num w:numId="117" w16cid:durableId="704910346">
    <w:abstractNumId w:val="93"/>
  </w:num>
  <w:num w:numId="118" w16cid:durableId="359091940">
    <w:abstractNumId w:val="58"/>
  </w:num>
  <w:num w:numId="119" w16cid:durableId="38016616">
    <w:abstractNumId w:val="78"/>
  </w:num>
  <w:num w:numId="120" w16cid:durableId="1001279912">
    <w:abstractNumId w:val="82"/>
  </w:num>
  <w:num w:numId="121" w16cid:durableId="627669025">
    <w:abstractNumId w:val="85"/>
  </w:num>
  <w:num w:numId="122" w16cid:durableId="1168063228">
    <w:abstractNumId w:val="38"/>
  </w:num>
  <w:num w:numId="123" w16cid:durableId="910654566">
    <w:abstractNumId w:val="42"/>
  </w:num>
  <w:num w:numId="124" w16cid:durableId="1220704991">
    <w:abstractNumId w:val="9"/>
  </w:num>
  <w:numIdMacAtCleanup w:val="1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54D6"/>
    <w:rsid w:val="000074C3"/>
    <w:rsid w:val="00007C4A"/>
    <w:rsid w:val="00020CFE"/>
    <w:rsid w:val="000219F8"/>
    <w:rsid w:val="00031103"/>
    <w:rsid w:val="00033C78"/>
    <w:rsid w:val="000343F0"/>
    <w:rsid w:val="000400C9"/>
    <w:rsid w:val="00053DE4"/>
    <w:rsid w:val="00055E47"/>
    <w:rsid w:val="00056C32"/>
    <w:rsid w:val="00060BB8"/>
    <w:rsid w:val="000679D0"/>
    <w:rsid w:val="0007533B"/>
    <w:rsid w:val="00082068"/>
    <w:rsid w:val="00094C1B"/>
    <w:rsid w:val="000A4970"/>
    <w:rsid w:val="000B5D29"/>
    <w:rsid w:val="000B6FF7"/>
    <w:rsid w:val="000D3069"/>
    <w:rsid w:val="000E0CEC"/>
    <w:rsid w:val="000E2D0B"/>
    <w:rsid w:val="000E59AC"/>
    <w:rsid w:val="000F3744"/>
    <w:rsid w:val="000F6CD9"/>
    <w:rsid w:val="00100902"/>
    <w:rsid w:val="00105416"/>
    <w:rsid w:val="00110555"/>
    <w:rsid w:val="001107B6"/>
    <w:rsid w:val="00110AC2"/>
    <w:rsid w:val="00110FF1"/>
    <w:rsid w:val="00111BCF"/>
    <w:rsid w:val="00120E72"/>
    <w:rsid w:val="001319D6"/>
    <w:rsid w:val="0013383D"/>
    <w:rsid w:val="0015022D"/>
    <w:rsid w:val="001520ED"/>
    <w:rsid w:val="001578C9"/>
    <w:rsid w:val="00160DD3"/>
    <w:rsid w:val="00172DE9"/>
    <w:rsid w:val="00173E28"/>
    <w:rsid w:val="00177B5F"/>
    <w:rsid w:val="00181330"/>
    <w:rsid w:val="00184DE5"/>
    <w:rsid w:val="00190CED"/>
    <w:rsid w:val="001932D7"/>
    <w:rsid w:val="0019743C"/>
    <w:rsid w:val="001A2364"/>
    <w:rsid w:val="001A64C5"/>
    <w:rsid w:val="001B2576"/>
    <w:rsid w:val="001C5C2A"/>
    <w:rsid w:val="001D28B0"/>
    <w:rsid w:val="001D6D75"/>
    <w:rsid w:val="001E2486"/>
    <w:rsid w:val="001F34B1"/>
    <w:rsid w:val="001F5C20"/>
    <w:rsid w:val="001F5FA7"/>
    <w:rsid w:val="001F6BD4"/>
    <w:rsid w:val="00200F13"/>
    <w:rsid w:val="00201915"/>
    <w:rsid w:val="00202216"/>
    <w:rsid w:val="00206F0D"/>
    <w:rsid w:val="00227BB3"/>
    <w:rsid w:val="002344A0"/>
    <w:rsid w:val="00234955"/>
    <w:rsid w:val="00235E38"/>
    <w:rsid w:val="00235F83"/>
    <w:rsid w:val="00254D11"/>
    <w:rsid w:val="00261084"/>
    <w:rsid w:val="002628CE"/>
    <w:rsid w:val="002665B4"/>
    <w:rsid w:val="00271682"/>
    <w:rsid w:val="00271BF7"/>
    <w:rsid w:val="00272534"/>
    <w:rsid w:val="0028167B"/>
    <w:rsid w:val="002837DA"/>
    <w:rsid w:val="00285039"/>
    <w:rsid w:val="002877F8"/>
    <w:rsid w:val="002B7466"/>
    <w:rsid w:val="002E0686"/>
    <w:rsid w:val="002F02DE"/>
    <w:rsid w:val="002F2FE5"/>
    <w:rsid w:val="003012D8"/>
    <w:rsid w:val="003022DA"/>
    <w:rsid w:val="00313E66"/>
    <w:rsid w:val="003144A0"/>
    <w:rsid w:val="00324905"/>
    <w:rsid w:val="0032494B"/>
    <w:rsid w:val="00325F10"/>
    <w:rsid w:val="00331EDC"/>
    <w:rsid w:val="00337CF6"/>
    <w:rsid w:val="00341D9E"/>
    <w:rsid w:val="00351D48"/>
    <w:rsid w:val="00355CC6"/>
    <w:rsid w:val="0036158F"/>
    <w:rsid w:val="003632BF"/>
    <w:rsid w:val="00363B2B"/>
    <w:rsid w:val="00370284"/>
    <w:rsid w:val="003717F5"/>
    <w:rsid w:val="003807D2"/>
    <w:rsid w:val="00387A16"/>
    <w:rsid w:val="003968EA"/>
    <w:rsid w:val="003A2452"/>
    <w:rsid w:val="003A547C"/>
    <w:rsid w:val="003B0B38"/>
    <w:rsid w:val="003B3F13"/>
    <w:rsid w:val="003B6BD3"/>
    <w:rsid w:val="003C525A"/>
    <w:rsid w:val="003D1E9B"/>
    <w:rsid w:val="003D35F3"/>
    <w:rsid w:val="003D5104"/>
    <w:rsid w:val="003D5331"/>
    <w:rsid w:val="003D65D9"/>
    <w:rsid w:val="003D6D0F"/>
    <w:rsid w:val="003E0B2D"/>
    <w:rsid w:val="003E2DC1"/>
    <w:rsid w:val="003E438B"/>
    <w:rsid w:val="003E455A"/>
    <w:rsid w:val="003E7EFA"/>
    <w:rsid w:val="00401AEC"/>
    <w:rsid w:val="00403B98"/>
    <w:rsid w:val="00404134"/>
    <w:rsid w:val="004132C3"/>
    <w:rsid w:val="004260F6"/>
    <w:rsid w:val="004323C1"/>
    <w:rsid w:val="00434065"/>
    <w:rsid w:val="0044762F"/>
    <w:rsid w:val="00450609"/>
    <w:rsid w:val="00452CC7"/>
    <w:rsid w:val="0045739F"/>
    <w:rsid w:val="00461FD6"/>
    <w:rsid w:val="00465545"/>
    <w:rsid w:val="00466821"/>
    <w:rsid w:val="00467D66"/>
    <w:rsid w:val="00477C1F"/>
    <w:rsid w:val="004806EE"/>
    <w:rsid w:val="00482249"/>
    <w:rsid w:val="00485687"/>
    <w:rsid w:val="004921F3"/>
    <w:rsid w:val="0049501C"/>
    <w:rsid w:val="004A35AE"/>
    <w:rsid w:val="004A3C57"/>
    <w:rsid w:val="004A739C"/>
    <w:rsid w:val="004B0C1F"/>
    <w:rsid w:val="004B5F36"/>
    <w:rsid w:val="004D1672"/>
    <w:rsid w:val="004D1C32"/>
    <w:rsid w:val="004D61FE"/>
    <w:rsid w:val="004F009C"/>
    <w:rsid w:val="004F0BE4"/>
    <w:rsid w:val="004F2370"/>
    <w:rsid w:val="0050259E"/>
    <w:rsid w:val="0050660D"/>
    <w:rsid w:val="00514025"/>
    <w:rsid w:val="0051489B"/>
    <w:rsid w:val="00522A4C"/>
    <w:rsid w:val="00530F4E"/>
    <w:rsid w:val="005368E7"/>
    <w:rsid w:val="005511D3"/>
    <w:rsid w:val="0055460E"/>
    <w:rsid w:val="00555F25"/>
    <w:rsid w:val="005600DA"/>
    <w:rsid w:val="00562EB5"/>
    <w:rsid w:val="00580C36"/>
    <w:rsid w:val="005830AB"/>
    <w:rsid w:val="005830E1"/>
    <w:rsid w:val="0059080A"/>
    <w:rsid w:val="00590EA6"/>
    <w:rsid w:val="0059516F"/>
    <w:rsid w:val="0059551D"/>
    <w:rsid w:val="005A450E"/>
    <w:rsid w:val="005B350E"/>
    <w:rsid w:val="005B41CF"/>
    <w:rsid w:val="005D3A24"/>
    <w:rsid w:val="005E1D34"/>
    <w:rsid w:val="005E3995"/>
    <w:rsid w:val="005E6EA1"/>
    <w:rsid w:val="005F07E7"/>
    <w:rsid w:val="005F3A7B"/>
    <w:rsid w:val="005F40B7"/>
    <w:rsid w:val="005F410E"/>
    <w:rsid w:val="005F42DF"/>
    <w:rsid w:val="005F5EB1"/>
    <w:rsid w:val="0060115D"/>
    <w:rsid w:val="00606D81"/>
    <w:rsid w:val="00610317"/>
    <w:rsid w:val="0061100D"/>
    <w:rsid w:val="00613B14"/>
    <w:rsid w:val="00620893"/>
    <w:rsid w:val="0062139A"/>
    <w:rsid w:val="006214FC"/>
    <w:rsid w:val="00624005"/>
    <w:rsid w:val="00634B5A"/>
    <w:rsid w:val="006359A1"/>
    <w:rsid w:val="0064414A"/>
    <w:rsid w:val="00644889"/>
    <w:rsid w:val="00656DFE"/>
    <w:rsid w:val="00661B7A"/>
    <w:rsid w:val="006638D9"/>
    <w:rsid w:val="006646A7"/>
    <w:rsid w:val="006651F3"/>
    <w:rsid w:val="006704AC"/>
    <w:rsid w:val="00673775"/>
    <w:rsid w:val="0067436B"/>
    <w:rsid w:val="006752AF"/>
    <w:rsid w:val="00680D4D"/>
    <w:rsid w:val="006833AD"/>
    <w:rsid w:val="00684DF8"/>
    <w:rsid w:val="00685BC2"/>
    <w:rsid w:val="006878C1"/>
    <w:rsid w:val="00687E45"/>
    <w:rsid w:val="006901D7"/>
    <w:rsid w:val="00696F64"/>
    <w:rsid w:val="006976FD"/>
    <w:rsid w:val="00697D2E"/>
    <w:rsid w:val="006A2385"/>
    <w:rsid w:val="006A5FFD"/>
    <w:rsid w:val="006B6822"/>
    <w:rsid w:val="006C028B"/>
    <w:rsid w:val="006C5B37"/>
    <w:rsid w:val="006D0733"/>
    <w:rsid w:val="006D5E3D"/>
    <w:rsid w:val="006E2EFA"/>
    <w:rsid w:val="006F366F"/>
    <w:rsid w:val="006F534F"/>
    <w:rsid w:val="00700E62"/>
    <w:rsid w:val="007112A9"/>
    <w:rsid w:val="007125B8"/>
    <w:rsid w:val="00716F2E"/>
    <w:rsid w:val="00720596"/>
    <w:rsid w:val="00723B31"/>
    <w:rsid w:val="00724597"/>
    <w:rsid w:val="0073403E"/>
    <w:rsid w:val="00734CAC"/>
    <w:rsid w:val="0073758C"/>
    <w:rsid w:val="00744D79"/>
    <w:rsid w:val="00746E08"/>
    <w:rsid w:val="0075102B"/>
    <w:rsid w:val="0075231D"/>
    <w:rsid w:val="007561C0"/>
    <w:rsid w:val="00756E3D"/>
    <w:rsid w:val="00757CED"/>
    <w:rsid w:val="007628CA"/>
    <w:rsid w:val="00771B7C"/>
    <w:rsid w:val="00771B93"/>
    <w:rsid w:val="00772830"/>
    <w:rsid w:val="0077760F"/>
    <w:rsid w:val="007A30DB"/>
    <w:rsid w:val="007A43F6"/>
    <w:rsid w:val="007A5402"/>
    <w:rsid w:val="007A7360"/>
    <w:rsid w:val="007B6FE7"/>
    <w:rsid w:val="007C12F7"/>
    <w:rsid w:val="007D6109"/>
    <w:rsid w:val="007F0249"/>
    <w:rsid w:val="007F16C7"/>
    <w:rsid w:val="00803924"/>
    <w:rsid w:val="00814BB4"/>
    <w:rsid w:val="00814FCC"/>
    <w:rsid w:val="00820454"/>
    <w:rsid w:val="008211DB"/>
    <w:rsid w:val="0082207F"/>
    <w:rsid w:val="00827183"/>
    <w:rsid w:val="008302DB"/>
    <w:rsid w:val="008365F1"/>
    <w:rsid w:val="00840408"/>
    <w:rsid w:val="00843AA8"/>
    <w:rsid w:val="00845C5E"/>
    <w:rsid w:val="00846344"/>
    <w:rsid w:val="00851DB6"/>
    <w:rsid w:val="00851ED6"/>
    <w:rsid w:val="00852631"/>
    <w:rsid w:val="00853E70"/>
    <w:rsid w:val="00854EED"/>
    <w:rsid w:val="008578ED"/>
    <w:rsid w:val="008759FD"/>
    <w:rsid w:val="008856C0"/>
    <w:rsid w:val="008870F5"/>
    <w:rsid w:val="00887EDA"/>
    <w:rsid w:val="0089148E"/>
    <w:rsid w:val="00893D01"/>
    <w:rsid w:val="0089641B"/>
    <w:rsid w:val="008A6958"/>
    <w:rsid w:val="008B0341"/>
    <w:rsid w:val="008B1135"/>
    <w:rsid w:val="008B39B1"/>
    <w:rsid w:val="008B3AA3"/>
    <w:rsid w:val="008B79CA"/>
    <w:rsid w:val="008C0954"/>
    <w:rsid w:val="008D306B"/>
    <w:rsid w:val="008D71AD"/>
    <w:rsid w:val="008E66B9"/>
    <w:rsid w:val="008F065E"/>
    <w:rsid w:val="008F1B66"/>
    <w:rsid w:val="008F6DB2"/>
    <w:rsid w:val="0090584A"/>
    <w:rsid w:val="00906DCE"/>
    <w:rsid w:val="00907466"/>
    <w:rsid w:val="00917069"/>
    <w:rsid w:val="00917785"/>
    <w:rsid w:val="009177E9"/>
    <w:rsid w:val="009232EC"/>
    <w:rsid w:val="0092533A"/>
    <w:rsid w:val="00926828"/>
    <w:rsid w:val="00927782"/>
    <w:rsid w:val="00930CE2"/>
    <w:rsid w:val="009324A0"/>
    <w:rsid w:val="00952E27"/>
    <w:rsid w:val="009547C0"/>
    <w:rsid w:val="00954CD9"/>
    <w:rsid w:val="00964D7A"/>
    <w:rsid w:val="00970659"/>
    <w:rsid w:val="00982CD3"/>
    <w:rsid w:val="009900DA"/>
    <w:rsid w:val="009907A0"/>
    <w:rsid w:val="00991BCF"/>
    <w:rsid w:val="00992692"/>
    <w:rsid w:val="00994F12"/>
    <w:rsid w:val="00997C77"/>
    <w:rsid w:val="009A22EF"/>
    <w:rsid w:val="009B13E1"/>
    <w:rsid w:val="009B1633"/>
    <w:rsid w:val="009B17F3"/>
    <w:rsid w:val="009B387E"/>
    <w:rsid w:val="009B6253"/>
    <w:rsid w:val="009C14C7"/>
    <w:rsid w:val="009C2D3F"/>
    <w:rsid w:val="009C448A"/>
    <w:rsid w:val="009C7AB7"/>
    <w:rsid w:val="009D17AA"/>
    <w:rsid w:val="009E184C"/>
    <w:rsid w:val="009E2217"/>
    <w:rsid w:val="009F0BB5"/>
    <w:rsid w:val="009F23FE"/>
    <w:rsid w:val="009F4B78"/>
    <w:rsid w:val="009F563A"/>
    <w:rsid w:val="00A04281"/>
    <w:rsid w:val="00A0480B"/>
    <w:rsid w:val="00A0600F"/>
    <w:rsid w:val="00A0624F"/>
    <w:rsid w:val="00A065A1"/>
    <w:rsid w:val="00A15BDB"/>
    <w:rsid w:val="00A16028"/>
    <w:rsid w:val="00A16DE2"/>
    <w:rsid w:val="00A27E84"/>
    <w:rsid w:val="00A357FB"/>
    <w:rsid w:val="00A35CB4"/>
    <w:rsid w:val="00A371A5"/>
    <w:rsid w:val="00A41163"/>
    <w:rsid w:val="00A43808"/>
    <w:rsid w:val="00A449A6"/>
    <w:rsid w:val="00A45B89"/>
    <w:rsid w:val="00A50C68"/>
    <w:rsid w:val="00A51675"/>
    <w:rsid w:val="00A574E6"/>
    <w:rsid w:val="00A613A9"/>
    <w:rsid w:val="00A6357E"/>
    <w:rsid w:val="00A64DCE"/>
    <w:rsid w:val="00A72DF0"/>
    <w:rsid w:val="00A74068"/>
    <w:rsid w:val="00A81149"/>
    <w:rsid w:val="00A83774"/>
    <w:rsid w:val="00A84BB3"/>
    <w:rsid w:val="00A90461"/>
    <w:rsid w:val="00A95122"/>
    <w:rsid w:val="00AA1FEF"/>
    <w:rsid w:val="00AB63C3"/>
    <w:rsid w:val="00AD1F05"/>
    <w:rsid w:val="00AD34D9"/>
    <w:rsid w:val="00AD60AD"/>
    <w:rsid w:val="00AE251E"/>
    <w:rsid w:val="00AE38B0"/>
    <w:rsid w:val="00AE5CA4"/>
    <w:rsid w:val="00AF0C7D"/>
    <w:rsid w:val="00AF7FF5"/>
    <w:rsid w:val="00B11286"/>
    <w:rsid w:val="00B148F8"/>
    <w:rsid w:val="00B205F9"/>
    <w:rsid w:val="00B21B3C"/>
    <w:rsid w:val="00B22893"/>
    <w:rsid w:val="00B252B9"/>
    <w:rsid w:val="00B25931"/>
    <w:rsid w:val="00B30C0D"/>
    <w:rsid w:val="00B34990"/>
    <w:rsid w:val="00B34A8D"/>
    <w:rsid w:val="00B41B4A"/>
    <w:rsid w:val="00B466AB"/>
    <w:rsid w:val="00B51C07"/>
    <w:rsid w:val="00B629F7"/>
    <w:rsid w:val="00B706C6"/>
    <w:rsid w:val="00B71C49"/>
    <w:rsid w:val="00B72A55"/>
    <w:rsid w:val="00B72D40"/>
    <w:rsid w:val="00B83BD0"/>
    <w:rsid w:val="00B83F1F"/>
    <w:rsid w:val="00B8423C"/>
    <w:rsid w:val="00BA5D1F"/>
    <w:rsid w:val="00BC1E66"/>
    <w:rsid w:val="00BC3BCF"/>
    <w:rsid w:val="00BC4A69"/>
    <w:rsid w:val="00BC59A9"/>
    <w:rsid w:val="00BC7B87"/>
    <w:rsid w:val="00BE0B68"/>
    <w:rsid w:val="00BE1587"/>
    <w:rsid w:val="00BF0098"/>
    <w:rsid w:val="00BF1B11"/>
    <w:rsid w:val="00BF5CE9"/>
    <w:rsid w:val="00BF7FAA"/>
    <w:rsid w:val="00C00418"/>
    <w:rsid w:val="00C014AE"/>
    <w:rsid w:val="00C03830"/>
    <w:rsid w:val="00C04375"/>
    <w:rsid w:val="00C0651C"/>
    <w:rsid w:val="00C1052A"/>
    <w:rsid w:val="00C17045"/>
    <w:rsid w:val="00C30C03"/>
    <w:rsid w:val="00C30C2F"/>
    <w:rsid w:val="00C32E9E"/>
    <w:rsid w:val="00C3468A"/>
    <w:rsid w:val="00C370EB"/>
    <w:rsid w:val="00C40155"/>
    <w:rsid w:val="00C42161"/>
    <w:rsid w:val="00C55A36"/>
    <w:rsid w:val="00C62E07"/>
    <w:rsid w:val="00C634D1"/>
    <w:rsid w:val="00C64420"/>
    <w:rsid w:val="00C735A7"/>
    <w:rsid w:val="00C74996"/>
    <w:rsid w:val="00C75DF2"/>
    <w:rsid w:val="00C82479"/>
    <w:rsid w:val="00C83252"/>
    <w:rsid w:val="00C900C5"/>
    <w:rsid w:val="00C9280C"/>
    <w:rsid w:val="00C97974"/>
    <w:rsid w:val="00CA12D2"/>
    <w:rsid w:val="00CA1907"/>
    <w:rsid w:val="00CA2D6C"/>
    <w:rsid w:val="00CA3F5F"/>
    <w:rsid w:val="00CA6137"/>
    <w:rsid w:val="00CC130C"/>
    <w:rsid w:val="00CC57A0"/>
    <w:rsid w:val="00CC6B49"/>
    <w:rsid w:val="00CC7C6E"/>
    <w:rsid w:val="00CE36C5"/>
    <w:rsid w:val="00CE4079"/>
    <w:rsid w:val="00CE4FF5"/>
    <w:rsid w:val="00CE5699"/>
    <w:rsid w:val="00CF106F"/>
    <w:rsid w:val="00CF3FBA"/>
    <w:rsid w:val="00CF4E00"/>
    <w:rsid w:val="00CF5D84"/>
    <w:rsid w:val="00D0117E"/>
    <w:rsid w:val="00D01412"/>
    <w:rsid w:val="00D02B7A"/>
    <w:rsid w:val="00D05A1B"/>
    <w:rsid w:val="00D100EE"/>
    <w:rsid w:val="00D129C4"/>
    <w:rsid w:val="00D15A4F"/>
    <w:rsid w:val="00D15C2B"/>
    <w:rsid w:val="00D163F8"/>
    <w:rsid w:val="00D265AB"/>
    <w:rsid w:val="00D26DFF"/>
    <w:rsid w:val="00D30ED7"/>
    <w:rsid w:val="00D326DB"/>
    <w:rsid w:val="00D643E3"/>
    <w:rsid w:val="00D666BC"/>
    <w:rsid w:val="00D71A2B"/>
    <w:rsid w:val="00D813F4"/>
    <w:rsid w:val="00D8240D"/>
    <w:rsid w:val="00D863D9"/>
    <w:rsid w:val="00D9460D"/>
    <w:rsid w:val="00D9654A"/>
    <w:rsid w:val="00D97243"/>
    <w:rsid w:val="00DA22A5"/>
    <w:rsid w:val="00DA6E16"/>
    <w:rsid w:val="00DB7A21"/>
    <w:rsid w:val="00DC0A8E"/>
    <w:rsid w:val="00DC443B"/>
    <w:rsid w:val="00DC4D7E"/>
    <w:rsid w:val="00DC4F0F"/>
    <w:rsid w:val="00DD79CD"/>
    <w:rsid w:val="00DE2F9A"/>
    <w:rsid w:val="00DE3648"/>
    <w:rsid w:val="00DE5CD2"/>
    <w:rsid w:val="00DF22A0"/>
    <w:rsid w:val="00DF2C5C"/>
    <w:rsid w:val="00DF4670"/>
    <w:rsid w:val="00E00B2B"/>
    <w:rsid w:val="00E01984"/>
    <w:rsid w:val="00E06BF1"/>
    <w:rsid w:val="00E07530"/>
    <w:rsid w:val="00E20493"/>
    <w:rsid w:val="00E226B6"/>
    <w:rsid w:val="00E27923"/>
    <w:rsid w:val="00E30DCE"/>
    <w:rsid w:val="00E36A7D"/>
    <w:rsid w:val="00E40C88"/>
    <w:rsid w:val="00E4258B"/>
    <w:rsid w:val="00E5134D"/>
    <w:rsid w:val="00E53ACE"/>
    <w:rsid w:val="00E64633"/>
    <w:rsid w:val="00E66809"/>
    <w:rsid w:val="00E80F32"/>
    <w:rsid w:val="00E82955"/>
    <w:rsid w:val="00E85444"/>
    <w:rsid w:val="00EA7A1F"/>
    <w:rsid w:val="00EB1672"/>
    <w:rsid w:val="00EB5541"/>
    <w:rsid w:val="00EC08A2"/>
    <w:rsid w:val="00EC1BF5"/>
    <w:rsid w:val="00EC2834"/>
    <w:rsid w:val="00EC2F32"/>
    <w:rsid w:val="00EC70B0"/>
    <w:rsid w:val="00ED00D9"/>
    <w:rsid w:val="00ED3A3F"/>
    <w:rsid w:val="00ED5913"/>
    <w:rsid w:val="00EE0906"/>
    <w:rsid w:val="00EE1B89"/>
    <w:rsid w:val="00EE40BF"/>
    <w:rsid w:val="00EE6A30"/>
    <w:rsid w:val="00EF33C6"/>
    <w:rsid w:val="00EF4ED1"/>
    <w:rsid w:val="00EF57B5"/>
    <w:rsid w:val="00F00E83"/>
    <w:rsid w:val="00F07E66"/>
    <w:rsid w:val="00F17593"/>
    <w:rsid w:val="00F241D6"/>
    <w:rsid w:val="00F31353"/>
    <w:rsid w:val="00F4167A"/>
    <w:rsid w:val="00F42056"/>
    <w:rsid w:val="00F42496"/>
    <w:rsid w:val="00F43235"/>
    <w:rsid w:val="00F463E0"/>
    <w:rsid w:val="00F51CCD"/>
    <w:rsid w:val="00F53799"/>
    <w:rsid w:val="00F554D6"/>
    <w:rsid w:val="00F555CF"/>
    <w:rsid w:val="00F62E04"/>
    <w:rsid w:val="00F64A22"/>
    <w:rsid w:val="00F66FF7"/>
    <w:rsid w:val="00F7451B"/>
    <w:rsid w:val="00F7648E"/>
    <w:rsid w:val="00F77F07"/>
    <w:rsid w:val="00F92F8D"/>
    <w:rsid w:val="00F958FF"/>
    <w:rsid w:val="00FA53E4"/>
    <w:rsid w:val="00FA6141"/>
    <w:rsid w:val="00FA7D0C"/>
    <w:rsid w:val="00FB171D"/>
    <w:rsid w:val="00FB1CF6"/>
    <w:rsid w:val="00FB3731"/>
    <w:rsid w:val="00FC41DE"/>
    <w:rsid w:val="00FC53BA"/>
    <w:rsid w:val="00FD4BC8"/>
    <w:rsid w:val="00FD7B98"/>
    <w:rsid w:val="00FD7EC0"/>
    <w:rsid w:val="00FE2D1D"/>
    <w:rsid w:val="00FE42F1"/>
    <w:rsid w:val="00FF307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F19FD5"/>
  <w15:chartTrackingRefBased/>
  <w15:docId w15:val="{280B5062-C3FF-46B4-B514-55337D7F82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99"/>
    <w:pPr>
      <w:spacing w:line="259" w:lineRule="auto"/>
    </w:pPr>
    <w:rPr>
      <w:rFonts w:eastAsiaTheme="minorEastAsia"/>
      <w:kern w:val="0"/>
      <w:sz w:val="22"/>
      <w:szCs w:val="22"/>
      <w14:ligatures w14:val="none"/>
    </w:rPr>
  </w:style>
  <w:style w:type="paragraph" w:styleId="Heading1">
    <w:name w:val="heading 1"/>
    <w:basedOn w:val="Normal"/>
    <w:next w:val="Normal"/>
    <w:link w:val="Heading1Char"/>
    <w:uiPriority w:val="9"/>
    <w:qFormat/>
    <w:rsid w:val="00F554D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F554D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F554D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F554D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554D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554D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554D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554D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554D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554D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F554D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F554D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F554D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554D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554D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554D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554D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554D6"/>
    <w:rPr>
      <w:rFonts w:eastAsiaTheme="majorEastAsia" w:cstheme="majorBidi"/>
      <w:color w:val="272727" w:themeColor="text1" w:themeTint="D8"/>
    </w:rPr>
  </w:style>
  <w:style w:type="paragraph" w:styleId="Title">
    <w:name w:val="Title"/>
    <w:basedOn w:val="Normal"/>
    <w:next w:val="Normal"/>
    <w:link w:val="TitleChar"/>
    <w:uiPriority w:val="10"/>
    <w:qFormat/>
    <w:rsid w:val="00F554D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554D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554D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554D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554D6"/>
    <w:pPr>
      <w:spacing w:before="160"/>
      <w:jc w:val="center"/>
    </w:pPr>
    <w:rPr>
      <w:i/>
      <w:iCs/>
      <w:color w:val="404040" w:themeColor="text1" w:themeTint="BF"/>
    </w:rPr>
  </w:style>
  <w:style w:type="character" w:customStyle="1" w:styleId="QuoteChar">
    <w:name w:val="Quote Char"/>
    <w:basedOn w:val="DefaultParagraphFont"/>
    <w:link w:val="Quote"/>
    <w:uiPriority w:val="29"/>
    <w:rsid w:val="00F554D6"/>
    <w:rPr>
      <w:i/>
      <w:iCs/>
      <w:color w:val="404040" w:themeColor="text1" w:themeTint="BF"/>
    </w:rPr>
  </w:style>
  <w:style w:type="paragraph" w:styleId="ListParagraph">
    <w:name w:val="List Paragraph"/>
    <w:basedOn w:val="Normal"/>
    <w:uiPriority w:val="34"/>
    <w:qFormat/>
    <w:rsid w:val="00F554D6"/>
    <w:pPr>
      <w:ind w:left="720"/>
      <w:contextualSpacing/>
    </w:pPr>
  </w:style>
  <w:style w:type="character" w:styleId="IntenseEmphasis">
    <w:name w:val="Intense Emphasis"/>
    <w:basedOn w:val="DefaultParagraphFont"/>
    <w:uiPriority w:val="21"/>
    <w:qFormat/>
    <w:rsid w:val="00F554D6"/>
    <w:rPr>
      <w:i/>
      <w:iCs/>
      <w:color w:val="0F4761" w:themeColor="accent1" w:themeShade="BF"/>
    </w:rPr>
  </w:style>
  <w:style w:type="paragraph" w:styleId="IntenseQuote">
    <w:name w:val="Intense Quote"/>
    <w:basedOn w:val="Normal"/>
    <w:next w:val="Normal"/>
    <w:link w:val="IntenseQuoteChar"/>
    <w:uiPriority w:val="30"/>
    <w:qFormat/>
    <w:rsid w:val="00F554D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554D6"/>
    <w:rPr>
      <w:i/>
      <w:iCs/>
      <w:color w:val="0F4761" w:themeColor="accent1" w:themeShade="BF"/>
    </w:rPr>
  </w:style>
  <w:style w:type="character" w:styleId="IntenseReference">
    <w:name w:val="Intense Reference"/>
    <w:basedOn w:val="DefaultParagraphFont"/>
    <w:uiPriority w:val="32"/>
    <w:qFormat/>
    <w:rsid w:val="00F554D6"/>
    <w:rPr>
      <w:b/>
      <w:bCs/>
      <w:smallCaps/>
      <w:color w:val="0F4761" w:themeColor="accent1" w:themeShade="BF"/>
      <w:spacing w:val="5"/>
    </w:rPr>
  </w:style>
  <w:style w:type="character" w:styleId="Hyperlink">
    <w:name w:val="Hyperlink"/>
    <w:basedOn w:val="DefaultParagraphFont"/>
    <w:uiPriority w:val="99"/>
    <w:unhideWhenUsed/>
    <w:rsid w:val="00F53799"/>
    <w:rPr>
      <w:color w:val="467886" w:themeColor="hyperlink"/>
      <w:u w:val="single"/>
    </w:rPr>
  </w:style>
  <w:style w:type="paragraph" w:styleId="NormalWeb">
    <w:name w:val="Normal (Web)"/>
    <w:basedOn w:val="Normal"/>
    <w:uiPriority w:val="99"/>
    <w:unhideWhenUsed/>
    <w:rsid w:val="00F53799"/>
    <w:rPr>
      <w:rFonts w:ascii="Times New Roman" w:hAnsi="Times New Roman" w:cs="Times New Roman"/>
      <w:sz w:val="24"/>
      <w:szCs w:val="24"/>
    </w:rPr>
  </w:style>
  <w:style w:type="character" w:styleId="Strong">
    <w:name w:val="Strong"/>
    <w:basedOn w:val="DefaultParagraphFont"/>
    <w:uiPriority w:val="22"/>
    <w:qFormat/>
    <w:rsid w:val="00F53799"/>
    <w:rPr>
      <w:b/>
      <w:bCs/>
    </w:rPr>
  </w:style>
  <w:style w:type="paragraph" w:customStyle="1" w:styleId="learn-more">
    <w:name w:val="learn-more"/>
    <w:basedOn w:val="Normal"/>
    <w:rsid w:val="00F5379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text-container">
    <w:name w:val="text-container"/>
    <w:basedOn w:val="DefaultParagraphFont"/>
    <w:rsid w:val="00F53799"/>
  </w:style>
  <w:style w:type="character" w:customStyle="1" w:styleId="badge">
    <w:name w:val="badge"/>
    <w:basedOn w:val="DefaultParagraphFont"/>
    <w:rsid w:val="00F53799"/>
  </w:style>
  <w:style w:type="table" w:styleId="TableGrid">
    <w:name w:val="Table Grid"/>
    <w:basedOn w:val="TableNormal"/>
    <w:uiPriority w:val="59"/>
    <w:rsid w:val="00F53799"/>
    <w:pPr>
      <w:spacing w:after="0" w:line="240" w:lineRule="auto"/>
    </w:pPr>
    <w:rPr>
      <w:rFonts w:eastAsiaTheme="minorEastAsia"/>
      <w:kern w:val="0"/>
      <w:sz w:val="22"/>
      <w:szCs w:val="22"/>
      <w14:ligatures w14:val="none"/>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jpfdse">
    <w:name w:val="jpfdse"/>
    <w:basedOn w:val="DefaultParagraphFont"/>
    <w:rsid w:val="00F53799"/>
  </w:style>
  <w:style w:type="paragraph" w:styleId="Caption">
    <w:name w:val="caption"/>
    <w:basedOn w:val="Normal"/>
    <w:next w:val="Normal"/>
    <w:uiPriority w:val="35"/>
    <w:semiHidden/>
    <w:unhideWhenUsed/>
    <w:qFormat/>
    <w:rsid w:val="00F53799"/>
    <w:pPr>
      <w:spacing w:line="240" w:lineRule="auto"/>
    </w:pPr>
    <w:rPr>
      <w:b/>
      <w:bCs/>
      <w:smallCaps/>
      <w:color w:val="0E2841" w:themeColor="text2"/>
    </w:rPr>
  </w:style>
  <w:style w:type="character" w:styleId="Emphasis">
    <w:name w:val="Emphasis"/>
    <w:basedOn w:val="DefaultParagraphFont"/>
    <w:uiPriority w:val="20"/>
    <w:qFormat/>
    <w:rsid w:val="00F53799"/>
    <w:rPr>
      <w:i/>
      <w:iCs/>
    </w:rPr>
  </w:style>
  <w:style w:type="paragraph" w:styleId="NoSpacing">
    <w:name w:val="No Spacing"/>
    <w:uiPriority w:val="1"/>
    <w:qFormat/>
    <w:rsid w:val="00F53799"/>
    <w:pPr>
      <w:spacing w:after="0" w:line="240" w:lineRule="auto"/>
    </w:pPr>
    <w:rPr>
      <w:rFonts w:eastAsiaTheme="minorEastAsia"/>
      <w:kern w:val="0"/>
      <w:sz w:val="22"/>
      <w:szCs w:val="22"/>
      <w14:ligatures w14:val="none"/>
    </w:rPr>
  </w:style>
  <w:style w:type="character" w:styleId="SubtleEmphasis">
    <w:name w:val="Subtle Emphasis"/>
    <w:basedOn w:val="DefaultParagraphFont"/>
    <w:uiPriority w:val="19"/>
    <w:qFormat/>
    <w:rsid w:val="00F53799"/>
    <w:rPr>
      <w:i/>
      <w:iCs/>
      <w:color w:val="595959" w:themeColor="text1" w:themeTint="A6"/>
    </w:rPr>
  </w:style>
  <w:style w:type="character" w:styleId="SubtleReference">
    <w:name w:val="Subtle Reference"/>
    <w:basedOn w:val="DefaultParagraphFont"/>
    <w:uiPriority w:val="31"/>
    <w:qFormat/>
    <w:rsid w:val="00F53799"/>
    <w:rPr>
      <w:smallCaps/>
      <w:color w:val="595959" w:themeColor="text1" w:themeTint="A6"/>
      <w:u w:val="none" w:color="7F7F7F" w:themeColor="text1" w:themeTint="80"/>
      <w:bdr w:val="none" w:sz="0" w:space="0" w:color="auto"/>
    </w:rPr>
  </w:style>
  <w:style w:type="character" w:styleId="BookTitle">
    <w:name w:val="Book Title"/>
    <w:basedOn w:val="DefaultParagraphFont"/>
    <w:uiPriority w:val="33"/>
    <w:qFormat/>
    <w:rsid w:val="00F53799"/>
    <w:rPr>
      <w:b/>
      <w:bCs/>
      <w:smallCaps/>
      <w:spacing w:val="10"/>
    </w:rPr>
  </w:style>
  <w:style w:type="paragraph" w:styleId="TOCHeading">
    <w:name w:val="TOC Heading"/>
    <w:basedOn w:val="Heading1"/>
    <w:next w:val="Normal"/>
    <w:uiPriority w:val="39"/>
    <w:unhideWhenUsed/>
    <w:qFormat/>
    <w:rsid w:val="00F53799"/>
    <w:pPr>
      <w:spacing w:before="400" w:after="40" w:line="240" w:lineRule="auto"/>
      <w:outlineLvl w:val="9"/>
    </w:pPr>
    <w:rPr>
      <w:color w:val="0A2F41" w:themeColor="accent1" w:themeShade="80"/>
      <w:sz w:val="36"/>
      <w:szCs w:val="36"/>
    </w:rPr>
  </w:style>
  <w:style w:type="paragraph" w:styleId="Revision">
    <w:name w:val="Revision"/>
    <w:hidden/>
    <w:uiPriority w:val="99"/>
    <w:semiHidden/>
    <w:rsid w:val="00F53799"/>
    <w:pPr>
      <w:spacing w:after="0" w:line="240" w:lineRule="auto"/>
    </w:pPr>
    <w:rPr>
      <w:rFonts w:eastAsiaTheme="minorEastAsia"/>
      <w:kern w:val="0"/>
      <w:sz w:val="22"/>
      <w:szCs w:val="22"/>
      <w14:ligatures w14:val="none"/>
    </w:rPr>
  </w:style>
  <w:style w:type="paragraph" w:customStyle="1" w:styleId="first-token">
    <w:name w:val="first-token"/>
    <w:basedOn w:val="Normal"/>
    <w:rsid w:val="00F5379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itation-0">
    <w:name w:val="citation-0"/>
    <w:basedOn w:val="DefaultParagraphFont"/>
    <w:rsid w:val="00F53799"/>
  </w:style>
  <w:style w:type="character" w:customStyle="1" w:styleId="citation-1">
    <w:name w:val="citation-1"/>
    <w:basedOn w:val="DefaultParagraphFont"/>
    <w:rsid w:val="00F53799"/>
  </w:style>
  <w:style w:type="paragraph" w:customStyle="1" w:styleId="recitation-list-content">
    <w:name w:val="recitation-list-content"/>
    <w:basedOn w:val="Normal"/>
    <w:rsid w:val="00F53799"/>
    <w:pPr>
      <w:spacing w:before="100" w:beforeAutospacing="1" w:after="100" w:afterAutospacing="1" w:line="240" w:lineRule="auto"/>
    </w:pPr>
    <w:rPr>
      <w:rFonts w:ascii="Times New Roman" w:eastAsia="Times New Roman" w:hAnsi="Times New Roman" w:cs="Times New Roman"/>
      <w:sz w:val="24"/>
      <w:szCs w:val="24"/>
    </w:rPr>
  </w:style>
  <w:style w:type="table" w:styleId="PlainTable1">
    <w:name w:val="Plain Table 1"/>
    <w:basedOn w:val="TableNormal"/>
    <w:uiPriority w:val="41"/>
    <w:rsid w:val="00A81149"/>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TOC2">
    <w:name w:val="toc 2"/>
    <w:basedOn w:val="Normal"/>
    <w:next w:val="Normal"/>
    <w:autoRedefine/>
    <w:uiPriority w:val="39"/>
    <w:unhideWhenUsed/>
    <w:rsid w:val="006359A1"/>
    <w:pPr>
      <w:spacing w:after="100"/>
      <w:ind w:left="220"/>
    </w:pPr>
  </w:style>
  <w:style w:type="paragraph" w:styleId="TOC3">
    <w:name w:val="toc 3"/>
    <w:basedOn w:val="Normal"/>
    <w:next w:val="Normal"/>
    <w:autoRedefine/>
    <w:uiPriority w:val="39"/>
    <w:unhideWhenUsed/>
    <w:rsid w:val="006359A1"/>
    <w:pPr>
      <w:spacing w:after="100"/>
      <w:ind w:left="440"/>
    </w:pPr>
  </w:style>
  <w:style w:type="paragraph" w:styleId="TOC1">
    <w:name w:val="toc 1"/>
    <w:basedOn w:val="Normal"/>
    <w:next w:val="Normal"/>
    <w:autoRedefine/>
    <w:uiPriority w:val="39"/>
    <w:unhideWhenUsed/>
    <w:rsid w:val="006359A1"/>
    <w:pPr>
      <w:spacing w:after="100"/>
    </w:pPr>
  </w:style>
  <w:style w:type="character" w:customStyle="1" w:styleId="cf01">
    <w:name w:val="cf01"/>
    <w:basedOn w:val="DefaultParagraphFont"/>
    <w:rsid w:val="0059516F"/>
    <w:rPr>
      <w:rFonts w:ascii="Segoe UI" w:hAnsi="Segoe UI" w:cs="Segoe UI" w:hint="default"/>
      <w:sz w:val="21"/>
      <w:szCs w:val="21"/>
    </w:rPr>
  </w:style>
  <w:style w:type="paragraph" w:styleId="TOC4">
    <w:name w:val="toc 4"/>
    <w:basedOn w:val="Normal"/>
    <w:next w:val="Normal"/>
    <w:autoRedefine/>
    <w:uiPriority w:val="39"/>
    <w:unhideWhenUsed/>
    <w:rsid w:val="00EC1BF5"/>
    <w:pPr>
      <w:spacing w:after="100" w:line="278" w:lineRule="auto"/>
      <w:ind w:left="720"/>
    </w:pPr>
    <w:rPr>
      <w:kern w:val="2"/>
      <w:sz w:val="24"/>
      <w:szCs w:val="24"/>
      <w14:ligatures w14:val="standardContextual"/>
    </w:rPr>
  </w:style>
  <w:style w:type="paragraph" w:styleId="TOC5">
    <w:name w:val="toc 5"/>
    <w:basedOn w:val="Normal"/>
    <w:next w:val="Normal"/>
    <w:autoRedefine/>
    <w:uiPriority w:val="39"/>
    <w:unhideWhenUsed/>
    <w:rsid w:val="00EC1BF5"/>
    <w:pPr>
      <w:spacing w:after="100" w:line="278" w:lineRule="auto"/>
      <w:ind w:left="960"/>
    </w:pPr>
    <w:rPr>
      <w:kern w:val="2"/>
      <w:sz w:val="24"/>
      <w:szCs w:val="24"/>
      <w14:ligatures w14:val="standardContextual"/>
    </w:rPr>
  </w:style>
  <w:style w:type="paragraph" w:styleId="TOC6">
    <w:name w:val="toc 6"/>
    <w:basedOn w:val="Normal"/>
    <w:next w:val="Normal"/>
    <w:autoRedefine/>
    <w:uiPriority w:val="39"/>
    <w:unhideWhenUsed/>
    <w:rsid w:val="00EC1BF5"/>
    <w:pPr>
      <w:spacing w:after="100" w:line="278" w:lineRule="auto"/>
      <w:ind w:left="1200"/>
    </w:pPr>
    <w:rPr>
      <w:kern w:val="2"/>
      <w:sz w:val="24"/>
      <w:szCs w:val="24"/>
      <w14:ligatures w14:val="standardContextual"/>
    </w:rPr>
  </w:style>
  <w:style w:type="paragraph" w:styleId="TOC7">
    <w:name w:val="toc 7"/>
    <w:basedOn w:val="Normal"/>
    <w:next w:val="Normal"/>
    <w:autoRedefine/>
    <w:uiPriority w:val="39"/>
    <w:unhideWhenUsed/>
    <w:rsid w:val="00EC1BF5"/>
    <w:pPr>
      <w:spacing w:after="100" w:line="278" w:lineRule="auto"/>
      <w:ind w:left="1440"/>
    </w:pPr>
    <w:rPr>
      <w:kern w:val="2"/>
      <w:sz w:val="24"/>
      <w:szCs w:val="24"/>
      <w14:ligatures w14:val="standardContextual"/>
    </w:rPr>
  </w:style>
  <w:style w:type="paragraph" w:styleId="TOC8">
    <w:name w:val="toc 8"/>
    <w:basedOn w:val="Normal"/>
    <w:next w:val="Normal"/>
    <w:autoRedefine/>
    <w:uiPriority w:val="39"/>
    <w:unhideWhenUsed/>
    <w:rsid w:val="00EC1BF5"/>
    <w:pPr>
      <w:spacing w:after="100" w:line="278" w:lineRule="auto"/>
      <w:ind w:left="1680"/>
    </w:pPr>
    <w:rPr>
      <w:kern w:val="2"/>
      <w:sz w:val="24"/>
      <w:szCs w:val="24"/>
      <w14:ligatures w14:val="standardContextual"/>
    </w:rPr>
  </w:style>
  <w:style w:type="paragraph" w:styleId="TOC9">
    <w:name w:val="toc 9"/>
    <w:basedOn w:val="Normal"/>
    <w:next w:val="Normal"/>
    <w:autoRedefine/>
    <w:uiPriority w:val="39"/>
    <w:unhideWhenUsed/>
    <w:rsid w:val="00EC1BF5"/>
    <w:pPr>
      <w:spacing w:after="100" w:line="278" w:lineRule="auto"/>
      <w:ind w:left="1920"/>
    </w:pPr>
    <w:rPr>
      <w:kern w:val="2"/>
      <w:sz w:val="24"/>
      <w:szCs w:val="24"/>
      <w14:ligatures w14:val="standardContextual"/>
    </w:rPr>
  </w:style>
  <w:style w:type="character" w:styleId="UnresolvedMention">
    <w:name w:val="Unresolved Mention"/>
    <w:basedOn w:val="DefaultParagraphFont"/>
    <w:uiPriority w:val="99"/>
    <w:semiHidden/>
    <w:unhideWhenUsed/>
    <w:rsid w:val="00EC1BF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9396034">
      <w:bodyDiv w:val="1"/>
      <w:marLeft w:val="0"/>
      <w:marRight w:val="0"/>
      <w:marTop w:val="0"/>
      <w:marBottom w:val="0"/>
      <w:divBdr>
        <w:top w:val="none" w:sz="0" w:space="0" w:color="auto"/>
        <w:left w:val="none" w:sz="0" w:space="0" w:color="auto"/>
        <w:bottom w:val="none" w:sz="0" w:space="0" w:color="auto"/>
        <w:right w:val="none" w:sz="0" w:space="0" w:color="auto"/>
      </w:divBdr>
    </w:div>
    <w:div w:id="586115191">
      <w:bodyDiv w:val="1"/>
      <w:marLeft w:val="0"/>
      <w:marRight w:val="0"/>
      <w:marTop w:val="0"/>
      <w:marBottom w:val="0"/>
      <w:divBdr>
        <w:top w:val="none" w:sz="0" w:space="0" w:color="auto"/>
        <w:left w:val="none" w:sz="0" w:space="0" w:color="auto"/>
        <w:bottom w:val="none" w:sz="0" w:space="0" w:color="auto"/>
        <w:right w:val="none" w:sz="0" w:space="0" w:color="auto"/>
      </w:divBdr>
    </w:div>
    <w:div w:id="715619025">
      <w:bodyDiv w:val="1"/>
      <w:marLeft w:val="0"/>
      <w:marRight w:val="0"/>
      <w:marTop w:val="0"/>
      <w:marBottom w:val="0"/>
      <w:divBdr>
        <w:top w:val="none" w:sz="0" w:space="0" w:color="auto"/>
        <w:left w:val="none" w:sz="0" w:space="0" w:color="auto"/>
        <w:bottom w:val="none" w:sz="0" w:space="0" w:color="auto"/>
        <w:right w:val="none" w:sz="0" w:space="0" w:color="auto"/>
      </w:divBdr>
    </w:div>
    <w:div w:id="1123960258">
      <w:bodyDiv w:val="1"/>
      <w:marLeft w:val="0"/>
      <w:marRight w:val="0"/>
      <w:marTop w:val="0"/>
      <w:marBottom w:val="0"/>
      <w:divBdr>
        <w:top w:val="none" w:sz="0" w:space="0" w:color="auto"/>
        <w:left w:val="none" w:sz="0" w:space="0" w:color="auto"/>
        <w:bottom w:val="none" w:sz="0" w:space="0" w:color="auto"/>
        <w:right w:val="none" w:sz="0" w:space="0" w:color="auto"/>
      </w:divBdr>
    </w:div>
    <w:div w:id="1467501596">
      <w:bodyDiv w:val="1"/>
      <w:marLeft w:val="0"/>
      <w:marRight w:val="0"/>
      <w:marTop w:val="0"/>
      <w:marBottom w:val="0"/>
      <w:divBdr>
        <w:top w:val="none" w:sz="0" w:space="0" w:color="auto"/>
        <w:left w:val="none" w:sz="0" w:space="0" w:color="auto"/>
        <w:bottom w:val="none" w:sz="0" w:space="0" w:color="auto"/>
        <w:right w:val="none" w:sz="0" w:space="0" w:color="auto"/>
      </w:divBdr>
    </w:div>
    <w:div w:id="1564215331">
      <w:bodyDiv w:val="1"/>
      <w:marLeft w:val="0"/>
      <w:marRight w:val="0"/>
      <w:marTop w:val="0"/>
      <w:marBottom w:val="0"/>
      <w:divBdr>
        <w:top w:val="none" w:sz="0" w:space="0" w:color="auto"/>
        <w:left w:val="none" w:sz="0" w:space="0" w:color="auto"/>
        <w:bottom w:val="none" w:sz="0" w:space="0" w:color="auto"/>
        <w:right w:val="none" w:sz="0" w:space="0" w:color="auto"/>
      </w:divBdr>
    </w:div>
    <w:div w:id="1821576713">
      <w:bodyDiv w:val="1"/>
      <w:marLeft w:val="0"/>
      <w:marRight w:val="0"/>
      <w:marTop w:val="0"/>
      <w:marBottom w:val="0"/>
      <w:divBdr>
        <w:top w:val="none" w:sz="0" w:space="0" w:color="auto"/>
        <w:left w:val="none" w:sz="0" w:space="0" w:color="auto"/>
        <w:bottom w:val="none" w:sz="0" w:space="0" w:color="auto"/>
        <w:right w:val="none" w:sz="0" w:space="0" w:color="auto"/>
      </w:divBdr>
    </w:div>
    <w:div w:id="21464638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https://www.alzheimers.org.uk/about-dementia/treatments" TargetMode="External"/><Relationship Id="rId21" Type="http://schemas.openxmlformats.org/officeDocument/2006/relationships/hyperlink" Target="https://www.verywellhealth.com/cognitive-decline-8382821" TargetMode="External"/><Relationship Id="rId42" Type="http://schemas.openxmlformats.org/officeDocument/2006/relationships/hyperlink" Target="https://behavioralandbrainfunctions.biomedcentral.com/articles/10.1186/s12993-021-00179-9" TargetMode="External"/><Relationship Id="rId63" Type="http://schemas.openxmlformats.org/officeDocument/2006/relationships/hyperlink" Target="https://www.nature.com/articles/s41598-023-41078-5.pdf" TargetMode="External"/><Relationship Id="rId84" Type="http://schemas.openxmlformats.org/officeDocument/2006/relationships/hyperlink" Target="https://www.nia.nih.gov/news/epigenetics-aging-what-bodys-hands-time-tell-us" TargetMode="External"/><Relationship Id="rId138" Type="http://schemas.openxmlformats.org/officeDocument/2006/relationships/hyperlink" Target="https://news.mit.edu/2023/new-peptide-may-hold-potential-alzheimers-treatment-0413" TargetMode="External"/><Relationship Id="rId159" Type="http://schemas.openxmlformats.org/officeDocument/2006/relationships/hyperlink" Target="https://www.bing.com/ck/a?!&amp;&amp;p=203c3210cf9180faJmltdHM9MTcwNDc1ODQwMCZpZ3VpZD0zODVlNTE3Ni04Y2M5LTZkODAtMmI1NS00MmFlOGRlNDZjNTcmaW5zaWQ9NTgzMw&amp;ptn=3&amp;ver=2&amp;hsh=3&amp;fclid=385e5176-8cc9-6d80-2b55-42ae8de46c57&amp;psq=stem+cells+for+parkinson%27s+disease&amp;u=a1aHR0cHM6Ly93d3cuaGVhbHRobGluZS5jb20vaGVhbHRoL3BhcmtpbnNvbnMvc3RlbS1jZWxsLXRoZXJhcHktZm9yLXBhcmtpbnNvbnM&amp;ntb=1" TargetMode="External"/><Relationship Id="rId170" Type="http://schemas.openxmlformats.org/officeDocument/2006/relationships/hyperlink" Target="https://www.bmj.com/content/374/bmj.n2182" TargetMode="External"/><Relationship Id="rId191" Type="http://schemas.openxmlformats.org/officeDocument/2006/relationships/hyperlink" Target="https://www.msn.com/en-us/health/condition/Dementia/hp-Dementia?source=conditioncdx" TargetMode="External"/><Relationship Id="rId107" Type="http://schemas.openxmlformats.org/officeDocument/2006/relationships/hyperlink" Target="https://www.nhs.uk/conditions/dementia/about-dementia/treatment/" TargetMode="External"/><Relationship Id="rId11" Type="http://schemas.openxmlformats.org/officeDocument/2006/relationships/hyperlink" Target="https://www.ageuk.org.uk/information-advice/health-wellbeing/mind-body/staying-sharp/thinking-skills-change-with-age/" TargetMode="External"/><Relationship Id="rId32" Type="http://schemas.openxmlformats.org/officeDocument/2006/relationships/hyperlink" Target="https://behavioralandbrainfunctions.biomedcentral.com/articles/10.1186/s12993-021-00179-9" TargetMode="External"/><Relationship Id="rId53" Type="http://schemas.openxmlformats.org/officeDocument/2006/relationships/hyperlink" Target="https://medicalxpress.com/news/2023-08-gene-fingerprint-brain-aging.html" TargetMode="External"/><Relationship Id="rId74" Type="http://schemas.openxmlformats.org/officeDocument/2006/relationships/hyperlink" Target="https://molecularneurodegeneration.biomedcentral.com/articles/10.1186/s13024-019-0324-6" TargetMode="External"/><Relationship Id="rId128" Type="http://schemas.openxmlformats.org/officeDocument/2006/relationships/hyperlink" Target="https://news.mit.edu/2023/new-peptide-may-hold-potential-alzheimers-treatment-0413" TargetMode="External"/><Relationship Id="rId149" Type="http://schemas.openxmlformats.org/officeDocument/2006/relationships/hyperlink" Target="https://www.pacificneuroscienceinstitute.org/blog/clinical-trials/stem-cell-therapy-and-brain-health-the-future-is-now/" TargetMode="External"/><Relationship Id="rId5" Type="http://schemas.openxmlformats.org/officeDocument/2006/relationships/webSettings" Target="webSettings.xml"/><Relationship Id="rId95" Type="http://schemas.openxmlformats.org/officeDocument/2006/relationships/hyperlink" Target="https://www.nia.nih.gov/news/epigenetics-aging-what-bodys-hands-time-tell-us" TargetMode="External"/><Relationship Id="rId160" Type="http://schemas.openxmlformats.org/officeDocument/2006/relationships/hyperlink" Target="https://www.bing.com/ck/a?!&amp;&amp;p=754c524f38c0fb71JmltdHM9MTcwNDc1ODQwMCZpZ3VpZD0zODVlNTE3Ni04Y2M5LTZkODAtMmI1NS00MmFlOGRlNDZjNTcmaW5zaWQ9NTgzNA&amp;ptn=3&amp;ver=2&amp;hsh=3&amp;fclid=385e5176-8cc9-6d80-2b55-42ae8de46c57&amp;psq=stem+cells+for+parkinson%27s+disease&amp;u=a1aHR0cHM6Ly93d3cucGFya2luc29ucy5vcmcuYXUvcmVzZWFyY2gtaW50by1iZXR0ZXItY2FyZQ&amp;ntb=1" TargetMode="External"/><Relationship Id="rId181" Type="http://schemas.openxmlformats.org/officeDocument/2006/relationships/hyperlink" Target="https://www.theguardian.com/society/2021/oct/10/menopause-brain-the-inability-to-think-clearly-is-not-all-in-your-mind" TargetMode="External"/><Relationship Id="rId22" Type="http://schemas.openxmlformats.org/officeDocument/2006/relationships/hyperlink" Target="https://www.healthline.com/health/cognitive-decline" TargetMode="External"/><Relationship Id="rId43" Type="http://schemas.openxmlformats.org/officeDocument/2006/relationships/hyperlink" Target="https://behavioralandbrainfunctions.biomedcentral.com/articles/10.1186/s12993-021-00179-9" TargetMode="External"/><Relationship Id="rId64" Type="http://schemas.openxmlformats.org/officeDocument/2006/relationships/hyperlink" Target="https://molecularneurodegeneration.biomedcentral.com/articles/10.1186/s13024-019-0324-6" TargetMode="External"/><Relationship Id="rId118" Type="http://schemas.openxmlformats.org/officeDocument/2006/relationships/hyperlink" Target="https://news.mit.edu/2023/new-peptide-may-hold-potential-alzheimers-treatment-0413" TargetMode="External"/><Relationship Id="rId139" Type="http://schemas.openxmlformats.org/officeDocument/2006/relationships/hyperlink" Target="https://economictimes.indiatimes.com/magazines/panache/synthetic-peptide-can-repair-cognitive-decline-help-treat-alzheimers-early/articleshow/69002813.cms" TargetMode="External"/><Relationship Id="rId85" Type="http://schemas.openxmlformats.org/officeDocument/2006/relationships/hyperlink" Target="https://www.frontiersin.org/research-topics/48405/epigenetics-and-lifestyle-in-brain-aging" TargetMode="External"/><Relationship Id="rId150" Type="http://schemas.openxmlformats.org/officeDocument/2006/relationships/hyperlink" Target="https://www.flintrehab.com/stem-cell-therapy-for-brain-injury/" TargetMode="External"/><Relationship Id="rId171" Type="http://schemas.openxmlformats.org/officeDocument/2006/relationships/hyperlink" Target="https://www.theguardian.com/society/2023/jan/14/hrt-potentially-important-in-reducing-womens-dementia-risk" TargetMode="External"/><Relationship Id="rId192" Type="http://schemas.openxmlformats.org/officeDocument/2006/relationships/hyperlink" Target="https://www.nhs.uk/conditions/dementia/about-dementia/causes/" TargetMode="External"/><Relationship Id="rId12" Type="http://schemas.openxmlformats.org/officeDocument/2006/relationships/hyperlink" Target="https://www.medicalnewstoday.com/articles/cognitive-decline-predictors-besides-dementia" TargetMode="External"/><Relationship Id="rId33" Type="http://schemas.openxmlformats.org/officeDocument/2006/relationships/hyperlink" Target="https://www.brainfacts.org/Thinking-Sensing-and-Behaving/Aging/2019/How-the-Brain-Changes-With-Age-083019" TargetMode="External"/><Relationship Id="rId108" Type="http://schemas.openxmlformats.org/officeDocument/2006/relationships/hyperlink" Target="https://www.nhs.uk/conditions/dementia/about-dementia/treatment/" TargetMode="External"/><Relationship Id="rId129" Type="http://schemas.openxmlformats.org/officeDocument/2006/relationships/hyperlink" Target="https://news.mit.edu/2023/new-peptide-may-hold-potential-alzheimers-treatment-0413" TargetMode="External"/><Relationship Id="rId54" Type="http://schemas.openxmlformats.org/officeDocument/2006/relationships/hyperlink" Target="https://behavioralandbrainfunctions.biomedcentral.com/articles/10.1186/s12993-021-00179-9" TargetMode="External"/><Relationship Id="rId75" Type="http://schemas.openxmlformats.org/officeDocument/2006/relationships/hyperlink" Target="https://www.alzdiscovery.org/cognitive-vitality/blog/what-apoe-means-for-your-health" TargetMode="External"/><Relationship Id="rId96" Type="http://schemas.openxmlformats.org/officeDocument/2006/relationships/hyperlink" Target="https://www.nia.nih.gov/news/epigenetics-aging-what-bodys-hands-time-tell-us" TargetMode="External"/><Relationship Id="rId140" Type="http://schemas.openxmlformats.org/officeDocument/2006/relationships/hyperlink" Target="https://www.pacificneuroscienceinstitute.org/blog/clinical-trials/stem-cell-therapy-and-brain-health-the-future-is-now/" TargetMode="External"/><Relationship Id="rId161" Type="http://schemas.openxmlformats.org/officeDocument/2006/relationships/hyperlink" Target="https://www.bing.com/ck/a?!&amp;&amp;p=4ce65b9cc3bae260JmltdHM9MTcwNDc1ODQwMCZpZ3VpZD0zODVlNTE3Ni04Y2M5LTZkODAtMmI1NS00MmFlOGRlNDZjNTcmaW5zaWQ9NTgzNQ&amp;ptn=3&amp;ver=2&amp;hsh=3&amp;fclid=385e5176-8cc9-6d80-2b55-42ae8de46c57&amp;psq=stem+cells+for+parkinson%27s+disease&amp;u=a1aHR0cHM6Ly9zdGVtY2VsbHNhdXN0cmFsaWEuZWR1LmF1L2NvbmRpdGlvbnMvZXhwbG9yZS9wYXJraW5zb25zLWRpc2Vhc2Uv&amp;ntb=1" TargetMode="External"/><Relationship Id="rId182" Type="http://schemas.openxmlformats.org/officeDocument/2006/relationships/hyperlink" Target="https://www.theguardian.com/society/2021/oct/10/menopause-brain-the-inability-to-think-clearly-is-not-all-in-your-mind" TargetMode="External"/><Relationship Id="rId6" Type="http://schemas.openxmlformats.org/officeDocument/2006/relationships/hyperlink" Target="https://www.medicalnewstoday.com/articles/cognitive-decline-predictors-besides-dementia" TargetMode="External"/><Relationship Id="rId23" Type="http://schemas.openxmlformats.org/officeDocument/2006/relationships/hyperlink" Target="https://behavioralandbrainfunctions.biomedcentral.com/articles/10.1186/s12993-021-00179-9" TargetMode="External"/><Relationship Id="rId119" Type="http://schemas.openxmlformats.org/officeDocument/2006/relationships/hyperlink" Target="https://news.mit.edu/2023/new-peptide-may-hold-potential-alzheimers-treatment-0413" TargetMode="External"/><Relationship Id="rId44" Type="http://schemas.openxmlformats.org/officeDocument/2006/relationships/hyperlink" Target="https://behavioralandbrainfunctions.biomedcentral.com/articles/10.1186/s12993-021-00179-9" TargetMode="External"/><Relationship Id="rId65" Type="http://schemas.openxmlformats.org/officeDocument/2006/relationships/hyperlink" Target="https://molecularneurodegeneration.biomedcentral.com/articles/10.1186/s13024-019-0324-6" TargetMode="External"/><Relationship Id="rId86" Type="http://schemas.openxmlformats.org/officeDocument/2006/relationships/hyperlink" Target="https://www.nia.nih.gov/news/epigenetics-aging-what-bodys-hands-time-tell-us" TargetMode="External"/><Relationship Id="rId130" Type="http://schemas.openxmlformats.org/officeDocument/2006/relationships/hyperlink" Target="https://news.mit.edu/2023/new-peptide-may-hold-potential-alzheimers-treatment-0413" TargetMode="External"/><Relationship Id="rId151" Type="http://schemas.openxmlformats.org/officeDocument/2006/relationships/hyperlink" Target="https://www.pacificneuroscienceinstitute.org/blog/clinical-trials/stem-cell-therapy-and-brain-health-the-future-is-now/" TargetMode="External"/><Relationship Id="rId172" Type="http://schemas.openxmlformats.org/officeDocument/2006/relationships/hyperlink" Target="https://www.theguardian.com/society/2021/oct/10/menopause-brain-the-inability-to-think-clearly-is-not-all-in-your-mind" TargetMode="External"/><Relationship Id="rId193" Type="http://schemas.openxmlformats.org/officeDocument/2006/relationships/hyperlink" Target="https://www.msn.com/en-us/health/condition/Dementia/hp-Dementia?source=conditioncdx" TargetMode="External"/><Relationship Id="rId13" Type="http://schemas.openxmlformats.org/officeDocument/2006/relationships/hyperlink" Target="https://www.ageuk.org.uk/information-advice/health-wellbeing/mind-body/staying-sharp/thinking-skills-change-with-age/" TargetMode="External"/><Relationship Id="rId109" Type="http://schemas.openxmlformats.org/officeDocument/2006/relationships/hyperlink" Target="https://www.nhs.uk/conditions/dementia/about-dementia/treatment/" TargetMode="External"/><Relationship Id="rId34" Type="http://schemas.openxmlformats.org/officeDocument/2006/relationships/hyperlink" Target="https://behavioralandbrainfunctions.biomedcentral.com/articles/10.1186/s12993-021-00179-9" TargetMode="External"/><Relationship Id="rId55" Type="http://schemas.openxmlformats.org/officeDocument/2006/relationships/hyperlink" Target="https://med.stanford.edu/news/all-news/2023/08/brain-aging-genes.html" TargetMode="External"/><Relationship Id="rId76" Type="http://schemas.openxmlformats.org/officeDocument/2006/relationships/hyperlink" Target="https://www.alzdiscovery.org/cognitive-vitality/blog/what-apoe-means-for-your-health" TargetMode="External"/><Relationship Id="rId97" Type="http://schemas.openxmlformats.org/officeDocument/2006/relationships/hyperlink" Target="https://www.nia.nih.gov/news/epigenetics-aging-what-bodys-hands-time-tell-us" TargetMode="External"/><Relationship Id="rId120" Type="http://schemas.openxmlformats.org/officeDocument/2006/relationships/hyperlink" Target="https://jaycampbell.com/brain/nootropic-peptides/" TargetMode="External"/><Relationship Id="rId141" Type="http://schemas.openxmlformats.org/officeDocument/2006/relationships/hyperlink" Target="https://www.pacificneuroscienceinstitute.org/blog/clinical-trials/stem-cell-therapy-and-brain-health-the-future-is-now/" TargetMode="External"/><Relationship Id="rId7" Type="http://schemas.openxmlformats.org/officeDocument/2006/relationships/hyperlink" Target="https://www.ageuk.org.uk/information-advice/health-wellbeing/mind-body/staying-sharp/thinking-skills-change-with-age/" TargetMode="External"/><Relationship Id="rId162" Type="http://schemas.openxmlformats.org/officeDocument/2006/relationships/hyperlink" Target="https://www.bing.com/ck/a?!&amp;&amp;p=9d972363795f72ebJmltdHM9MTcwNDc1ODQwMCZpZ3VpZD0zODVlNTE3Ni04Y2M5LTZkODAtMmI1NS00MmFlOGRlNDZjNTcmaW5zaWQ9NTgzNg&amp;ptn=3&amp;ver=2&amp;hsh=3&amp;fclid=385e5176-8cc9-6d80-2b55-42ae8de46c57&amp;psq=stem+cells+for+parkinson%27s+disease&amp;u=a1aHR0cHM6Ly93d3cuZHZjc3RlbS5jb20vcG9zdC9zdGVtLWNlbGwtdGhlcmFweS1mb3ItcGFya2luc29ucw&amp;ntb=1" TargetMode="External"/><Relationship Id="rId183" Type="http://schemas.openxmlformats.org/officeDocument/2006/relationships/hyperlink" Target="https://www.theguardian.com/society/2021/oct/10/menopause-brain-the-inability-to-think-clearly-is-not-all-in-your-mind" TargetMode="External"/><Relationship Id="rId2" Type="http://schemas.openxmlformats.org/officeDocument/2006/relationships/numbering" Target="numbering.xml"/><Relationship Id="rId29" Type="http://schemas.openxmlformats.org/officeDocument/2006/relationships/hyperlink" Target="https://behavioralandbrainfunctions.biomedcentral.com/articles/10.1186/s12993-021-00179-9" TargetMode="External"/><Relationship Id="rId24" Type="http://schemas.openxmlformats.org/officeDocument/2006/relationships/hyperlink" Target="https://behavioralandbrainfunctions.biomedcentral.com/articles/10.1186/s12993-021-00179-9" TargetMode="External"/><Relationship Id="rId40" Type="http://schemas.openxmlformats.org/officeDocument/2006/relationships/hyperlink" Target="https://behavioralandbrainfunctions.biomedcentral.com/articles/10.1186/s12993-021-00179-9" TargetMode="External"/><Relationship Id="rId45" Type="http://schemas.openxmlformats.org/officeDocument/2006/relationships/hyperlink" Target="https://behavioralandbrainfunctions.biomedcentral.com/articles/10.1186/s12993-021-00179-9" TargetMode="External"/><Relationship Id="rId66" Type="http://schemas.openxmlformats.org/officeDocument/2006/relationships/hyperlink" Target="https://www.nature.com/articles/s41598-023-41078-5.pdf" TargetMode="External"/><Relationship Id="rId87" Type="http://schemas.openxmlformats.org/officeDocument/2006/relationships/hyperlink" Target="https://www.frontiersin.org/articles/10.3389/fnmol.2020.00041/full" TargetMode="External"/><Relationship Id="rId110" Type="http://schemas.openxmlformats.org/officeDocument/2006/relationships/hyperlink" Target="https://www.nhs.uk/conditions/dementia/about-dementia/treatment/" TargetMode="External"/><Relationship Id="rId115" Type="http://schemas.openxmlformats.org/officeDocument/2006/relationships/hyperlink" Target="https://www.nhs.uk/conditions/dementia/about-dementia/treatment/" TargetMode="External"/><Relationship Id="rId131" Type="http://schemas.openxmlformats.org/officeDocument/2006/relationships/hyperlink" Target="https://jaycampbell.com/brain/nootropic-peptides/" TargetMode="External"/><Relationship Id="rId136" Type="http://schemas.openxmlformats.org/officeDocument/2006/relationships/hyperlink" Target="https://news.mit.edu/2023/new-peptide-may-hold-potential-alzheimers-treatment-0413" TargetMode="External"/><Relationship Id="rId157" Type="http://schemas.openxmlformats.org/officeDocument/2006/relationships/hyperlink" Target="https://www.bing.com/ck/a?!&amp;&amp;p=ecce5809f3c9c0c0JmltdHM9MTcwNDc1ODQwMCZpZ3VpZD0zODVlNTE3Ni04Y2M5LTZkODAtMmI1NS00MmFlOGRlNDZjNTcmaW5zaWQ9NTgzMQ&amp;ptn=3&amp;ver=2&amp;hsh=3&amp;fclid=385e5176-8cc9-6d80-2b55-42ae8de46c57&amp;psq=stem+cells+for+parkinson%27s+disease&amp;u=a1aHR0cHM6Ly93d3cuZHZjc3RlbS5jb20vcG9zdC9zdGVtLWNlbGwtdGhlcmFweS1mb3ItcGFya2luc29ucw&amp;ntb=1" TargetMode="External"/><Relationship Id="rId178" Type="http://schemas.openxmlformats.org/officeDocument/2006/relationships/hyperlink" Target="https://www.theguardian.com/society/2021/oct/10/menopause-brain-the-inability-to-think-clearly-is-not-all-in-your-mind" TargetMode="External"/><Relationship Id="rId61" Type="http://schemas.openxmlformats.org/officeDocument/2006/relationships/hyperlink" Target="https://molecularneurodegeneration.biomedcentral.com/articles/10.1186/s13024-019-0324-6" TargetMode="External"/><Relationship Id="rId82" Type="http://schemas.openxmlformats.org/officeDocument/2006/relationships/hyperlink" Target="https://www.nia.nih.gov/news/epigenetics-aging-what-bodys-hands-time-tell-us" TargetMode="External"/><Relationship Id="rId152" Type="http://schemas.openxmlformats.org/officeDocument/2006/relationships/hyperlink" Target="https://www.pacificneuroscienceinstitute.org/blog/clinical-trials/stem-cell-therapy-and-brain-health-the-future-is-now/" TargetMode="External"/><Relationship Id="rId173" Type="http://schemas.openxmlformats.org/officeDocument/2006/relationships/hyperlink" Target="https://www.theguardian.com/society/2023/jan/14/hrt-potentially-important-in-reducing-womens-dementia-risk" TargetMode="External"/><Relationship Id="rId194" Type="http://schemas.openxmlformats.org/officeDocument/2006/relationships/hyperlink" Target="https://www.nhs.uk/conditions/dementia/about-dementia/causes/" TargetMode="External"/><Relationship Id="rId199" Type="http://schemas.openxmlformats.org/officeDocument/2006/relationships/hyperlink" Target="https://www.msn.com/en-us/health/condition/Dementia/hp-Dementia?source=conditioncdx" TargetMode="External"/><Relationship Id="rId203" Type="http://schemas.openxmlformats.org/officeDocument/2006/relationships/fontTable" Target="fontTable.xml"/><Relationship Id="rId19" Type="http://schemas.openxmlformats.org/officeDocument/2006/relationships/hyperlink" Target="https://www.ageuk.org.uk/information-advice/health-wellbeing/mind-body/staying-sharp/thinking-skills-change-with-age/" TargetMode="External"/><Relationship Id="rId14" Type="http://schemas.openxmlformats.org/officeDocument/2006/relationships/hyperlink" Target="https://www.medicalnewstoday.com/articles/cognitive-decline-predictors-besides-dementia" TargetMode="External"/><Relationship Id="rId30" Type="http://schemas.openxmlformats.org/officeDocument/2006/relationships/hyperlink" Target="https://behavioralandbrainfunctions.biomedcentral.com/articles/10.1186/s12993-021-00179-9" TargetMode="External"/><Relationship Id="rId35" Type="http://schemas.openxmlformats.org/officeDocument/2006/relationships/hyperlink" Target="https://www.brainfacts.org/Thinking-Sensing-and-Behaving/Aging/2019/How-the-Brain-Changes-With-Age-083019" TargetMode="External"/><Relationship Id="rId56" Type="http://schemas.openxmlformats.org/officeDocument/2006/relationships/hyperlink" Target="https://medicalxpress.com/news/2023-08-gene-fingerprint-brain-aging.html" TargetMode="External"/><Relationship Id="rId77" Type="http://schemas.openxmlformats.org/officeDocument/2006/relationships/hyperlink" Target="https://www.nia.nih.gov/news/epigenetics-aging-what-bodys-hands-time-tell-us" TargetMode="External"/><Relationship Id="rId100" Type="http://schemas.openxmlformats.org/officeDocument/2006/relationships/hyperlink" Target="https://www.alzheimers.org.uk/about-dementia/treatments/dementia-medication/medication-dementia-symptoms" TargetMode="External"/><Relationship Id="rId105" Type="http://schemas.openxmlformats.org/officeDocument/2006/relationships/hyperlink" Target="https://www.nhs.uk/conditions/dementia/about-dementia/treatment/" TargetMode="External"/><Relationship Id="rId126" Type="http://schemas.openxmlformats.org/officeDocument/2006/relationships/hyperlink" Target="https://news.mit.edu/2023/new-peptide-may-hold-potential-alzheimers-treatment-0413" TargetMode="External"/><Relationship Id="rId147" Type="http://schemas.openxmlformats.org/officeDocument/2006/relationships/hyperlink" Target="https://www.pacificneuroscienceinstitute.org/blog/clinical-trials/stem-cell-therapy-and-brain-health-the-future-is-now/" TargetMode="External"/><Relationship Id="rId168" Type="http://schemas.openxmlformats.org/officeDocument/2006/relationships/hyperlink" Target="https://www.theguardian.com/society/2021/oct/10/menopause-brain-the-inability-to-think-clearly-is-not-all-in-your-mind" TargetMode="External"/><Relationship Id="rId8" Type="http://schemas.openxmlformats.org/officeDocument/2006/relationships/hyperlink" Target="https://www.medicalnewstoday.com/articles/cognitive-decline-predictors-besides-dementia" TargetMode="External"/><Relationship Id="rId51" Type="http://schemas.openxmlformats.org/officeDocument/2006/relationships/hyperlink" Target="https://behavioralandbrainfunctions.biomedcentral.com/articles/10.1186/s12993-021-00179-9" TargetMode="External"/><Relationship Id="rId72" Type="http://schemas.openxmlformats.org/officeDocument/2006/relationships/hyperlink" Target="https://alzres.biomedcentral.com/articles/10.1186/s13195-020-00740-0" TargetMode="External"/><Relationship Id="rId93" Type="http://schemas.openxmlformats.org/officeDocument/2006/relationships/hyperlink" Target="https://hms.harvard.edu/news/loss-epigenetic-information-can-drive-aging-restoration-can-reverse" TargetMode="External"/><Relationship Id="rId98" Type="http://schemas.openxmlformats.org/officeDocument/2006/relationships/hyperlink" Target="https://www.nhs.uk/conditions/dementia/about-dementia/treatment/" TargetMode="External"/><Relationship Id="rId121" Type="http://schemas.openxmlformats.org/officeDocument/2006/relationships/hyperlink" Target="https://economictimes.indiatimes.com/magazines/panache/synthetic-peptide-can-repair-cognitive-decline-help-treat-alzheimers-early/articleshow/69002813.cms" TargetMode="External"/><Relationship Id="rId142" Type="http://schemas.openxmlformats.org/officeDocument/2006/relationships/hyperlink" Target="https://www.mayoclinic.org/tests-procedures/bone-marrow-transplant/in-depth/stem-cells/art-20048117" TargetMode="External"/><Relationship Id="rId163" Type="http://schemas.openxmlformats.org/officeDocument/2006/relationships/hyperlink" Target="https://www.bing.com/ck/a?!&amp;&amp;p=9bc616206784c64cJmltdHM9MTcwNDc1ODQwMCZpZ3VpZD0zODVlNTE3Ni04Y2M5LTZkODAtMmI1NS00MmFlOGRlNDZjNTcmaW5zaWQ9NTgzNw&amp;ptn=3&amp;ver=2&amp;hsh=3&amp;fclid=385e5176-8cc9-6d80-2b55-42ae8de46c57&amp;psq=stem+cells+for+parkinson%27s+disease&amp;u=a1aHR0cHM6Ly93d3cuZHZjc3RlbS5jb20vcG9zdC9zdGVtLWNlbGwtdGhlcmFweS1mb3ItcGFya2luc29ucw&amp;ntb=1" TargetMode="External"/><Relationship Id="rId184" Type="http://schemas.openxmlformats.org/officeDocument/2006/relationships/hyperlink" Target="https://www.theguardian.com/society/2021/oct/10/menopause-brain-the-inability-to-think-clearly-is-not-all-in-your-mind" TargetMode="External"/><Relationship Id="rId189" Type="http://schemas.openxmlformats.org/officeDocument/2006/relationships/hyperlink" Target="https://www.msn.com/en-us/health/condition/Dementia/hp-Dementia?source=conditioncdx" TargetMode="External"/><Relationship Id="rId3" Type="http://schemas.openxmlformats.org/officeDocument/2006/relationships/styles" Target="styles.xml"/><Relationship Id="rId25" Type="http://schemas.openxmlformats.org/officeDocument/2006/relationships/hyperlink" Target="https://www.brainfacts.org/Thinking-Sensing-and-Behaving/Aging/2019/How-the-Brain-Changes-With-Age-083019" TargetMode="External"/><Relationship Id="rId46" Type="http://schemas.openxmlformats.org/officeDocument/2006/relationships/hyperlink" Target="https://med.stanford.edu/news/all-news/2023/08/brain-aging-genes.html" TargetMode="External"/><Relationship Id="rId67" Type="http://schemas.openxmlformats.org/officeDocument/2006/relationships/hyperlink" Target="https://molecularneurodegeneration.biomedcentral.com/articles/10.1186/s13024-019-0324-6" TargetMode="External"/><Relationship Id="rId116" Type="http://schemas.openxmlformats.org/officeDocument/2006/relationships/hyperlink" Target="https://www.alzheimers.org.uk/about-dementia/treatments/dementia-medication/medication-dementia-symptoms" TargetMode="External"/><Relationship Id="rId137" Type="http://schemas.openxmlformats.org/officeDocument/2006/relationships/hyperlink" Target="https://economictimes.indiatimes.com/magazines/panache/synthetic-peptide-can-repair-cognitive-decline-help-treat-alzheimers-early/articleshow/69002813.cms" TargetMode="External"/><Relationship Id="rId158" Type="http://schemas.openxmlformats.org/officeDocument/2006/relationships/hyperlink" Target="https://www.bing.com/ck/a?!&amp;&amp;p=83927db09d827e29JmltdHM9MTcwNDc1ODQwMCZpZ3VpZD0zODVlNTE3Ni04Y2M5LTZkODAtMmI1NS00MmFlOGRlNDZjNTcmaW5zaWQ9NTgzMg&amp;ptn=3&amp;ver=2&amp;hsh=3&amp;fclid=385e5176-8cc9-6d80-2b55-42ae8de46c57&amp;psq=stem+cells+for+parkinson%27s+disease&amp;u=a1aHR0cHM6Ly93d3cuZHZjc3RlbS5jb20vcG9zdC9zdGVtLWNlbGwtdGhlcmFweS1mb3ItcGFya2luc29ucw&amp;ntb=1" TargetMode="External"/><Relationship Id="rId20" Type="http://schemas.openxmlformats.org/officeDocument/2006/relationships/hyperlink" Target="https://www.medicalnewstoday.com/articles/cognitive-decline-predictors-besides-dementia" TargetMode="External"/><Relationship Id="rId41" Type="http://schemas.openxmlformats.org/officeDocument/2006/relationships/hyperlink" Target="https://behavioralandbrainfunctions.biomedcentral.com/articles/10.1186/s12993-021-00179-9" TargetMode="External"/><Relationship Id="rId62" Type="http://schemas.openxmlformats.org/officeDocument/2006/relationships/hyperlink" Target="https://molecularneurodegeneration.biomedcentral.com/articles/10.1186/s13024-019-0324-6" TargetMode="External"/><Relationship Id="rId83" Type="http://schemas.openxmlformats.org/officeDocument/2006/relationships/hyperlink" Target="https://www.frontiersin.org/research-topics/48405/epigenetics-and-lifestyle-in-brain-aging" TargetMode="External"/><Relationship Id="rId88" Type="http://schemas.openxmlformats.org/officeDocument/2006/relationships/hyperlink" Target="https://www.nia.nih.gov/news/epigenetics-aging-what-bodys-hands-time-tell-us" TargetMode="External"/><Relationship Id="rId111" Type="http://schemas.openxmlformats.org/officeDocument/2006/relationships/hyperlink" Target="https://www.nhs.uk/conditions/dementia/about-dementia/treatment/" TargetMode="External"/><Relationship Id="rId132" Type="http://schemas.openxmlformats.org/officeDocument/2006/relationships/hyperlink" Target="https://news.mit.edu/2023/new-peptide-may-hold-potential-alzheimers-treatment-0413" TargetMode="External"/><Relationship Id="rId153" Type="http://schemas.openxmlformats.org/officeDocument/2006/relationships/hyperlink" Target="https://www.pacificneuroscienceinstitute.org/blog/clinical-trials/stem-cell-therapy-and-brain-health-the-future-is-now/" TargetMode="External"/><Relationship Id="rId174" Type="http://schemas.openxmlformats.org/officeDocument/2006/relationships/hyperlink" Target="https://www.theguardian.com/society/2021/oct/10/menopause-brain-the-inability-to-think-clearly-is-not-all-in-your-mind" TargetMode="External"/><Relationship Id="rId179" Type="http://schemas.openxmlformats.org/officeDocument/2006/relationships/hyperlink" Target="https://www.theguardian.com/society/2021/oct/10/menopause-brain-the-inability-to-think-clearly-is-not-all-in-your-mind" TargetMode="External"/><Relationship Id="rId195" Type="http://schemas.openxmlformats.org/officeDocument/2006/relationships/hyperlink" Target="https://www.msn.com/en-us/health/condition/Dementia/hp-Dementia?source=conditioncdx" TargetMode="External"/><Relationship Id="rId190" Type="http://schemas.openxmlformats.org/officeDocument/2006/relationships/hyperlink" Target="https://my.clevelandclinic.org/health/diseases/9170-dementia" TargetMode="External"/><Relationship Id="rId204" Type="http://schemas.openxmlformats.org/officeDocument/2006/relationships/theme" Target="theme/theme1.xml"/><Relationship Id="rId15" Type="http://schemas.openxmlformats.org/officeDocument/2006/relationships/hyperlink" Target="https://www.healthline.com/health/cognitive-decline" TargetMode="External"/><Relationship Id="rId36" Type="http://schemas.openxmlformats.org/officeDocument/2006/relationships/hyperlink" Target="https://behavioralandbrainfunctions.biomedcentral.com/articles/10.1186/s12993-021-00179-9" TargetMode="External"/><Relationship Id="rId57" Type="http://schemas.openxmlformats.org/officeDocument/2006/relationships/hyperlink" Target="https://behavioralandbrainfunctions.biomedcentral.com/articles/10.1186/s12993-021-00179-9" TargetMode="External"/><Relationship Id="rId106" Type="http://schemas.openxmlformats.org/officeDocument/2006/relationships/hyperlink" Target="https://www.nhs.uk/conditions/dementia/about-dementia/treatment/" TargetMode="External"/><Relationship Id="rId127" Type="http://schemas.openxmlformats.org/officeDocument/2006/relationships/hyperlink" Target="https://news.mit.edu/2023/new-peptide-may-hold-potential-alzheimers-treatment-0413" TargetMode="External"/><Relationship Id="rId10" Type="http://schemas.openxmlformats.org/officeDocument/2006/relationships/hyperlink" Target="https://www.medicalnewstoday.com/articles/cognitive-decline-predictors-besides-dementia" TargetMode="External"/><Relationship Id="rId31" Type="http://schemas.openxmlformats.org/officeDocument/2006/relationships/hyperlink" Target="https://www.brainfacts.org/Thinking-Sensing-and-Behaving/Aging/2019/How-the-Brain-Changes-With-Age-083019" TargetMode="External"/><Relationship Id="rId52" Type="http://schemas.openxmlformats.org/officeDocument/2006/relationships/hyperlink" Target="https://med.stanford.edu/news/all-news/2023/08/brain-aging-genes.html" TargetMode="External"/><Relationship Id="rId73" Type="http://schemas.openxmlformats.org/officeDocument/2006/relationships/hyperlink" Target="https://molecularneurodegeneration.biomedcentral.com/articles/10.1186/s13024-019-0324-6" TargetMode="External"/><Relationship Id="rId78" Type="http://schemas.openxmlformats.org/officeDocument/2006/relationships/hyperlink" Target="https://www.nia.nih.gov/news/epigenetics-aging-what-bodys-hands-time-tell-us" TargetMode="External"/><Relationship Id="rId94" Type="http://schemas.openxmlformats.org/officeDocument/2006/relationships/hyperlink" Target="https://www.nia.nih.gov/news/epigenetics-aging-what-bodys-hands-time-tell-us" TargetMode="External"/><Relationship Id="rId99" Type="http://schemas.openxmlformats.org/officeDocument/2006/relationships/hyperlink" Target="https://www.nhs.uk/conditions/dementia/about-dementia/treatment/" TargetMode="External"/><Relationship Id="rId101" Type="http://schemas.openxmlformats.org/officeDocument/2006/relationships/hyperlink" Target="https://www.alzheimers.org.uk/about-dementia/treatments" TargetMode="External"/><Relationship Id="rId122" Type="http://schemas.openxmlformats.org/officeDocument/2006/relationships/hyperlink" Target="https://news.mit.edu/2023/new-peptide-may-hold-potential-alzheimers-treatment-0413" TargetMode="External"/><Relationship Id="rId143" Type="http://schemas.openxmlformats.org/officeDocument/2006/relationships/hyperlink" Target="https://www.dvcstem.com/post/stem-cell-therapy-for-alzheimers" TargetMode="External"/><Relationship Id="rId148" Type="http://schemas.openxmlformats.org/officeDocument/2006/relationships/hyperlink" Target="https://www.pacificneuroscienceinstitute.org/blog/clinical-trials/stem-cell-therapy-and-brain-health-the-future-is-now/" TargetMode="External"/><Relationship Id="rId164" Type="http://schemas.openxmlformats.org/officeDocument/2006/relationships/hyperlink" Target="https://www.bing.com/ck/a?!&amp;&amp;p=c205c1650be0f67aJmltdHM9MTcwNDc1ODQwMCZpZ3VpZD0zODVlNTE3Ni04Y2M5LTZkODAtMmI1NS00MmFlOGRlNDZjNTcmaW5zaWQ9NTgzOA&amp;ptn=3&amp;ver=2&amp;hsh=3&amp;fclid=385e5176-8cc9-6d80-2b55-42ae8de46c57&amp;psq=stem+cells+for+parkinson%27s+disease&amp;u=a1aHR0cHM6Ly93d3cuaGVhbHRobGluZS5jb20vaGVhbHRoL3BhcmtpbnNvbnMvc3RlbS1jZWxsLXRoZXJhcHktZm9yLXBhcmtpbnNvbnM&amp;ntb=1" TargetMode="External"/><Relationship Id="rId169" Type="http://schemas.openxmlformats.org/officeDocument/2006/relationships/hyperlink" Target="https://www.bmj.com/content/381/bmj.p1404" TargetMode="External"/><Relationship Id="rId185" Type="http://schemas.openxmlformats.org/officeDocument/2006/relationships/hyperlink" Target="https://www.bmj.com/content/374/bmj.n2182" TargetMode="External"/><Relationship Id="rId4" Type="http://schemas.openxmlformats.org/officeDocument/2006/relationships/settings" Target="settings.xml"/><Relationship Id="rId9" Type="http://schemas.openxmlformats.org/officeDocument/2006/relationships/hyperlink" Target="https://www.ageuk.org.uk/information-advice/health-wellbeing/mind-body/staying-sharp/thinking-skills-change-with-age/" TargetMode="External"/><Relationship Id="rId180" Type="http://schemas.openxmlformats.org/officeDocument/2006/relationships/hyperlink" Target="https://www.theguardian.com/society/2021/oct/10/menopause-brain-the-inability-to-think-clearly-is-not-all-in-your-mind" TargetMode="External"/><Relationship Id="rId26" Type="http://schemas.openxmlformats.org/officeDocument/2006/relationships/hyperlink" Target="https://behavioralandbrainfunctions.biomedcentral.com/articles/10.1186/s12993-021-00179-9" TargetMode="External"/><Relationship Id="rId47" Type="http://schemas.openxmlformats.org/officeDocument/2006/relationships/hyperlink" Target="https://neurosciencenews.com/genetics-brain-aging-6250/" TargetMode="External"/><Relationship Id="rId68" Type="http://schemas.openxmlformats.org/officeDocument/2006/relationships/hyperlink" Target="https://alzres.biomedcentral.com/articles/10.1186/s13195-020-00740-0" TargetMode="External"/><Relationship Id="rId89" Type="http://schemas.openxmlformats.org/officeDocument/2006/relationships/hyperlink" Target="https://www.frontiersin.org/articles/10.3389/fnmol.2020.00041/full" TargetMode="External"/><Relationship Id="rId112" Type="http://schemas.openxmlformats.org/officeDocument/2006/relationships/hyperlink" Target="https://www.nhs.uk/conditions/dementia/about-dementia/treatment/" TargetMode="External"/><Relationship Id="rId133" Type="http://schemas.openxmlformats.org/officeDocument/2006/relationships/hyperlink" Target="https://jaycampbell.com/brain/nootropic-peptides/" TargetMode="External"/><Relationship Id="rId154" Type="http://schemas.openxmlformats.org/officeDocument/2006/relationships/hyperlink" Target="https://www.dvcstem.com/post/stem-cell-therapy-for-alzheimers" TargetMode="External"/><Relationship Id="rId175" Type="http://schemas.openxmlformats.org/officeDocument/2006/relationships/hyperlink" Target="https://www.bmj.com/content/374/bmj.n2182" TargetMode="External"/><Relationship Id="rId196" Type="http://schemas.openxmlformats.org/officeDocument/2006/relationships/hyperlink" Target="https://www.nhs.uk/conditions/dementia/about-dementia/causes/" TargetMode="External"/><Relationship Id="rId200" Type="http://schemas.openxmlformats.org/officeDocument/2006/relationships/hyperlink" Target="https://www.nhs.uk/conditions/dementia/about-dementia/causes/" TargetMode="External"/><Relationship Id="rId16" Type="http://schemas.openxmlformats.org/officeDocument/2006/relationships/hyperlink" Target="https://www.medicalnewstoday.com/articles/cognitive-decline-predictors-besides-dementia" TargetMode="External"/><Relationship Id="rId37" Type="http://schemas.openxmlformats.org/officeDocument/2006/relationships/hyperlink" Target="https://www.brainfacts.org/Thinking-Sensing-and-Behaving/Aging/2019/How-the-Brain-Changes-With-Age-083019" TargetMode="External"/><Relationship Id="rId58" Type="http://schemas.openxmlformats.org/officeDocument/2006/relationships/hyperlink" Target="https://neurosciencenews.com/genetics-brain-aging-6250/" TargetMode="External"/><Relationship Id="rId79" Type="http://schemas.openxmlformats.org/officeDocument/2006/relationships/hyperlink" Target="https://hms.harvard.edu/news/loss-epigenetic-information-can-drive-aging-restoration-can-reverse" TargetMode="External"/><Relationship Id="rId102" Type="http://schemas.openxmlformats.org/officeDocument/2006/relationships/hyperlink" Target="https://www.nhs.uk/conditions/dementia/about-dementia/treatment/" TargetMode="External"/><Relationship Id="rId123" Type="http://schemas.openxmlformats.org/officeDocument/2006/relationships/hyperlink" Target="https://news.mit.edu/2023/new-peptide-may-hold-potential-alzheimers-treatment-0413" TargetMode="External"/><Relationship Id="rId144" Type="http://schemas.openxmlformats.org/officeDocument/2006/relationships/hyperlink" Target="https://www.flintrehab.com/stem-cell-therapy-for-brain-injury/" TargetMode="External"/><Relationship Id="rId90" Type="http://schemas.openxmlformats.org/officeDocument/2006/relationships/hyperlink" Target="https://www.nia.nih.gov/news/epigenetics-aging-what-bodys-hands-time-tell-us" TargetMode="External"/><Relationship Id="rId165" Type="http://schemas.openxmlformats.org/officeDocument/2006/relationships/hyperlink" Target="https://www.bing.com/ck/a?!&amp;&amp;p=4f0f1b5b3eec8296JmltdHM9MTcwNDc1ODQwMCZpZ3VpZD0zODVlNTE3Ni04Y2M5LTZkODAtMmI1NS00MmFlOGRlNDZjNTcmaW5zaWQ9NTgzOQ&amp;ptn=3&amp;ver=2&amp;hsh=3&amp;fclid=385e5176-8cc9-6d80-2b55-42ae8de46c57&amp;psq=stem+cells+for+parkinson%27s+disease&amp;u=a1aHR0cHM6Ly93d3cucGFya2luc29ucy5vcmcuYXUvcmVzZWFyY2gtaW50by1iZXR0ZXItY2FyZQ&amp;ntb=1" TargetMode="External"/><Relationship Id="rId186" Type="http://schemas.openxmlformats.org/officeDocument/2006/relationships/hyperlink" Target="https://www.bmj.com/content/374/bmj.n2182" TargetMode="External"/><Relationship Id="rId27" Type="http://schemas.openxmlformats.org/officeDocument/2006/relationships/hyperlink" Target="https://behavioralandbrainfunctions.biomedcentral.com/articles/10.1186/s12993-021-00179-9" TargetMode="External"/><Relationship Id="rId48" Type="http://schemas.openxmlformats.org/officeDocument/2006/relationships/hyperlink" Target="https://medicalxpress.com/news/2023-08-gene-fingerprint-brain-aging.html" TargetMode="External"/><Relationship Id="rId69" Type="http://schemas.openxmlformats.org/officeDocument/2006/relationships/hyperlink" Target="https://alzres.biomedcentral.com/articles/10.1186/s13195-020-00740-0" TargetMode="External"/><Relationship Id="rId113" Type="http://schemas.openxmlformats.org/officeDocument/2006/relationships/hyperlink" Target="https://www.nhs.uk/conditions/dementia/about-dementia/treatment/" TargetMode="External"/><Relationship Id="rId134" Type="http://schemas.openxmlformats.org/officeDocument/2006/relationships/hyperlink" Target="https://news.mit.edu/2023/new-peptide-may-hold-potential-alzheimers-treatment-0413" TargetMode="External"/><Relationship Id="rId80" Type="http://schemas.openxmlformats.org/officeDocument/2006/relationships/hyperlink" Target="https://www.frontiersin.org/articles/10.3389/fnmol.2020.00041/full" TargetMode="External"/><Relationship Id="rId155" Type="http://schemas.openxmlformats.org/officeDocument/2006/relationships/hyperlink" Target="https://www.pacificneuroscienceinstitute.org/blog/clinical-trials/stem-cell-therapy-and-brain-health-the-future-is-now/" TargetMode="External"/><Relationship Id="rId176" Type="http://schemas.openxmlformats.org/officeDocument/2006/relationships/hyperlink" Target="https://www.theguardian.com/society/2021/oct/10/menopause-brain-the-inability-to-think-clearly-is-not-all-in-your-mind" TargetMode="External"/><Relationship Id="rId197" Type="http://schemas.openxmlformats.org/officeDocument/2006/relationships/hyperlink" Target="https://www.msn.com/en-us/health/condition/Dementia/hp-Dementia?source=conditioncdx" TargetMode="External"/><Relationship Id="rId201" Type="http://schemas.openxmlformats.org/officeDocument/2006/relationships/hyperlink" Target="https://www.msn.com/en-us/health/condition/Dementia/hp-Dementia?source=conditioncdx" TargetMode="External"/><Relationship Id="rId17" Type="http://schemas.openxmlformats.org/officeDocument/2006/relationships/hyperlink" Target="https://www.ageuk.org.uk/information-advice/health-wellbeing/mind-body/staying-sharp/thinking-skills-change-with-age/" TargetMode="External"/><Relationship Id="rId38" Type="http://schemas.openxmlformats.org/officeDocument/2006/relationships/hyperlink" Target="https://behavioralandbrainfunctions.biomedcentral.com/articles/10.1186/s12993-021-00179-9" TargetMode="External"/><Relationship Id="rId59" Type="http://schemas.openxmlformats.org/officeDocument/2006/relationships/hyperlink" Target="https://behavioralandbrainfunctions.biomedcentral.com/articles/10.1186/s12993-021-00179-9" TargetMode="External"/><Relationship Id="rId103" Type="http://schemas.openxmlformats.org/officeDocument/2006/relationships/hyperlink" Target="https://www.nhs.uk/conditions/dementia/about-dementia/treatment/" TargetMode="External"/><Relationship Id="rId124" Type="http://schemas.openxmlformats.org/officeDocument/2006/relationships/hyperlink" Target="https://news.mit.edu/2023/new-peptide-may-hold-potential-alzheimers-treatment-0413" TargetMode="External"/><Relationship Id="rId70" Type="http://schemas.openxmlformats.org/officeDocument/2006/relationships/hyperlink" Target="https://alzres.biomedcentral.com/articles/10.1186/s13195-020-00740-0" TargetMode="External"/><Relationship Id="rId91" Type="http://schemas.openxmlformats.org/officeDocument/2006/relationships/hyperlink" Target="https://hms.harvard.edu/news/loss-epigenetic-information-can-drive-aging-restoration-can-reverse" TargetMode="External"/><Relationship Id="rId145" Type="http://schemas.openxmlformats.org/officeDocument/2006/relationships/hyperlink" Target="https://www.pacificneuroscienceinstitute.org/blog/clinical-trials/stem-cell-therapy-and-brain-health-the-future-is-now/" TargetMode="External"/><Relationship Id="rId166" Type="http://schemas.openxmlformats.org/officeDocument/2006/relationships/hyperlink" Target="https://www.bing.com/ck/a?!&amp;&amp;p=0b26766a054f8af0JmltdHM9MTcwNDc1ODQwMCZpZ3VpZD0zODVlNTE3Ni04Y2M5LTZkODAtMmI1NS00MmFlOGRlNDZjNTcmaW5zaWQ9NTg0MA&amp;ptn=3&amp;ver=2&amp;hsh=3&amp;fclid=385e5176-8cc9-6d80-2b55-42ae8de46c57&amp;psq=stem+cells+for+parkinson%27s+disease&amp;u=a1aHR0cHM6Ly93d3cucGFya2luc29ucy5vcmcuYXUvcmVzZWFyY2gtaW50by1iZXR0ZXItY2FyZQ&amp;ntb=1" TargetMode="External"/><Relationship Id="rId187" Type="http://schemas.openxmlformats.org/officeDocument/2006/relationships/hyperlink" Target="https://www.bmj.com/content/374/bmj.n2182" TargetMode="External"/><Relationship Id="rId1" Type="http://schemas.openxmlformats.org/officeDocument/2006/relationships/customXml" Target="../customXml/item1.xml"/><Relationship Id="rId28" Type="http://schemas.openxmlformats.org/officeDocument/2006/relationships/hyperlink" Target="https://behavioralandbrainfunctions.biomedcentral.com/articles/10.1186/s12993-021-00179-9" TargetMode="External"/><Relationship Id="rId49" Type="http://schemas.openxmlformats.org/officeDocument/2006/relationships/hyperlink" Target="https://behavioralandbrainfunctions.biomedcentral.com/articles/10.1186/s12993-021-00179-9" TargetMode="External"/><Relationship Id="rId114" Type="http://schemas.openxmlformats.org/officeDocument/2006/relationships/hyperlink" Target="https://www.nhs.uk/conditions/dementia/about-dementia/treatment/" TargetMode="External"/><Relationship Id="rId60" Type="http://schemas.openxmlformats.org/officeDocument/2006/relationships/hyperlink" Target="https://med.stanford.edu/news/all-news/2023/08/brain-aging-genes.html" TargetMode="External"/><Relationship Id="rId81" Type="http://schemas.openxmlformats.org/officeDocument/2006/relationships/hyperlink" Target="https://www.frontiersin.org/research-topics/48405/epigenetics-and-lifestyle-in-brain-aging" TargetMode="External"/><Relationship Id="rId135" Type="http://schemas.openxmlformats.org/officeDocument/2006/relationships/hyperlink" Target="https://jaycampbell.com/brain/nootropic-peptides/" TargetMode="External"/><Relationship Id="rId156" Type="http://schemas.openxmlformats.org/officeDocument/2006/relationships/hyperlink" Target="https://www.pacificneuroscienceinstitute.org/blog/clinical-trials/stem-cell-therapy-and-brain-health-the-future-is-now/" TargetMode="External"/><Relationship Id="rId177" Type="http://schemas.openxmlformats.org/officeDocument/2006/relationships/hyperlink" Target="https://www.bmj.com/content/374/bmj.n2182" TargetMode="External"/><Relationship Id="rId198" Type="http://schemas.openxmlformats.org/officeDocument/2006/relationships/hyperlink" Target="https://my.clevelandclinic.org/health/diseases/9170-dementia" TargetMode="External"/><Relationship Id="rId202" Type="http://schemas.openxmlformats.org/officeDocument/2006/relationships/hyperlink" Target="https://www.msn.com/en-us/health/condition/Dementia/hp-Dementia?source=conditioncdx" TargetMode="External"/><Relationship Id="rId18" Type="http://schemas.openxmlformats.org/officeDocument/2006/relationships/hyperlink" Target="https://www.medicalnewstoday.com/articles/cognitive-decline-predictors-besides-dementia" TargetMode="External"/><Relationship Id="rId39" Type="http://schemas.openxmlformats.org/officeDocument/2006/relationships/hyperlink" Target="https://www.brainfacts.org/Thinking-Sensing-and-Behaving/Aging/2019/How-the-Brain-Changes-With-Age-083019" TargetMode="External"/><Relationship Id="rId50" Type="http://schemas.openxmlformats.org/officeDocument/2006/relationships/hyperlink" Target="https://med.stanford.edu/news/all-news/2023/08/brain-aging-genes.html" TargetMode="External"/><Relationship Id="rId104" Type="http://schemas.openxmlformats.org/officeDocument/2006/relationships/hyperlink" Target="https://www.nhs.uk/conditions/dementia/about-dementia/treatment/" TargetMode="External"/><Relationship Id="rId125" Type="http://schemas.openxmlformats.org/officeDocument/2006/relationships/hyperlink" Target="https://news.mit.edu/2023/new-peptide-may-hold-potential-alzheimers-treatment-0413" TargetMode="External"/><Relationship Id="rId146" Type="http://schemas.openxmlformats.org/officeDocument/2006/relationships/hyperlink" Target="https://www.pacificneuroscienceinstitute.org/blog/clinical-trials/stem-cell-therapy-and-brain-health-the-future-is-now/" TargetMode="External"/><Relationship Id="rId167" Type="http://schemas.openxmlformats.org/officeDocument/2006/relationships/hyperlink" Target="https://www.theguardian.com/society/2021/oct/10/menopause-brain-the-inability-to-think-clearly-is-not-all-in-your-mind" TargetMode="External"/><Relationship Id="rId188" Type="http://schemas.openxmlformats.org/officeDocument/2006/relationships/hyperlink" Target="https://www.msn.com/en-us/health/condition/Dementia/hp-Dementia?source=conditioncdx" TargetMode="External"/><Relationship Id="rId71" Type="http://schemas.openxmlformats.org/officeDocument/2006/relationships/hyperlink" Target="https://alzres.biomedcentral.com/articles/10.1186/s13195-020-00740-0" TargetMode="External"/><Relationship Id="rId92" Type="http://schemas.openxmlformats.org/officeDocument/2006/relationships/hyperlink" Target="https://www.nia.nih.gov/news/epigenetics-aging-what-bodys-hands-time-tell-u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3E6A11F-C97D-468C-922B-2AD2950986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31795</TotalTime>
  <Pages>35</Pages>
  <Words>37136</Words>
  <Characters>211680</Characters>
  <Application>Microsoft Office Word</Application>
  <DocSecurity>0</DocSecurity>
  <Lines>1764</Lines>
  <Paragraphs>496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248320</CharactersWithSpaces>
  <SharedDoc>false</SharedDoc>
  <HLinks>
    <vt:vector size="1704" baseType="variant">
      <vt:variant>
        <vt:i4>8126581</vt:i4>
      </vt:variant>
      <vt:variant>
        <vt:i4>1113</vt:i4>
      </vt:variant>
      <vt:variant>
        <vt:i4>0</vt:i4>
      </vt:variant>
      <vt:variant>
        <vt:i4>5</vt:i4>
      </vt:variant>
      <vt:variant>
        <vt:lpwstr>https://www.msn.com/en-us/health/condition/Dementia/hp-Dementia?source=conditioncdx</vt:lpwstr>
      </vt:variant>
      <vt:variant>
        <vt:lpwstr/>
      </vt:variant>
      <vt:variant>
        <vt:i4>8126581</vt:i4>
      </vt:variant>
      <vt:variant>
        <vt:i4>1110</vt:i4>
      </vt:variant>
      <vt:variant>
        <vt:i4>0</vt:i4>
      </vt:variant>
      <vt:variant>
        <vt:i4>5</vt:i4>
      </vt:variant>
      <vt:variant>
        <vt:lpwstr>https://www.msn.com/en-us/health/condition/Dementia/hp-Dementia?source=conditioncdx</vt:lpwstr>
      </vt:variant>
      <vt:variant>
        <vt:lpwstr/>
      </vt:variant>
      <vt:variant>
        <vt:i4>393241</vt:i4>
      </vt:variant>
      <vt:variant>
        <vt:i4>1107</vt:i4>
      </vt:variant>
      <vt:variant>
        <vt:i4>0</vt:i4>
      </vt:variant>
      <vt:variant>
        <vt:i4>5</vt:i4>
      </vt:variant>
      <vt:variant>
        <vt:lpwstr>https://www.nhs.uk/conditions/dementia/about-dementia/causes/</vt:lpwstr>
      </vt:variant>
      <vt:variant>
        <vt:lpwstr/>
      </vt:variant>
      <vt:variant>
        <vt:i4>8126581</vt:i4>
      </vt:variant>
      <vt:variant>
        <vt:i4>1104</vt:i4>
      </vt:variant>
      <vt:variant>
        <vt:i4>0</vt:i4>
      </vt:variant>
      <vt:variant>
        <vt:i4>5</vt:i4>
      </vt:variant>
      <vt:variant>
        <vt:lpwstr>https://www.msn.com/en-us/health/condition/Dementia/hp-Dementia?source=conditioncdx</vt:lpwstr>
      </vt:variant>
      <vt:variant>
        <vt:lpwstr/>
      </vt:variant>
      <vt:variant>
        <vt:i4>983129</vt:i4>
      </vt:variant>
      <vt:variant>
        <vt:i4>1101</vt:i4>
      </vt:variant>
      <vt:variant>
        <vt:i4>0</vt:i4>
      </vt:variant>
      <vt:variant>
        <vt:i4>5</vt:i4>
      </vt:variant>
      <vt:variant>
        <vt:lpwstr>https://my.clevelandclinic.org/health/diseases/9170-dementia</vt:lpwstr>
      </vt:variant>
      <vt:variant>
        <vt:lpwstr/>
      </vt:variant>
      <vt:variant>
        <vt:i4>8126581</vt:i4>
      </vt:variant>
      <vt:variant>
        <vt:i4>1098</vt:i4>
      </vt:variant>
      <vt:variant>
        <vt:i4>0</vt:i4>
      </vt:variant>
      <vt:variant>
        <vt:i4>5</vt:i4>
      </vt:variant>
      <vt:variant>
        <vt:lpwstr>https://www.msn.com/en-us/health/condition/Dementia/hp-Dementia?source=conditioncdx</vt:lpwstr>
      </vt:variant>
      <vt:variant>
        <vt:lpwstr/>
      </vt:variant>
      <vt:variant>
        <vt:i4>393241</vt:i4>
      </vt:variant>
      <vt:variant>
        <vt:i4>1095</vt:i4>
      </vt:variant>
      <vt:variant>
        <vt:i4>0</vt:i4>
      </vt:variant>
      <vt:variant>
        <vt:i4>5</vt:i4>
      </vt:variant>
      <vt:variant>
        <vt:lpwstr>https://www.nhs.uk/conditions/dementia/about-dementia/causes/</vt:lpwstr>
      </vt:variant>
      <vt:variant>
        <vt:lpwstr/>
      </vt:variant>
      <vt:variant>
        <vt:i4>8126581</vt:i4>
      </vt:variant>
      <vt:variant>
        <vt:i4>1092</vt:i4>
      </vt:variant>
      <vt:variant>
        <vt:i4>0</vt:i4>
      </vt:variant>
      <vt:variant>
        <vt:i4>5</vt:i4>
      </vt:variant>
      <vt:variant>
        <vt:lpwstr>https://www.msn.com/en-us/health/condition/Dementia/hp-Dementia?source=conditioncdx</vt:lpwstr>
      </vt:variant>
      <vt:variant>
        <vt:lpwstr/>
      </vt:variant>
      <vt:variant>
        <vt:i4>393241</vt:i4>
      </vt:variant>
      <vt:variant>
        <vt:i4>1089</vt:i4>
      </vt:variant>
      <vt:variant>
        <vt:i4>0</vt:i4>
      </vt:variant>
      <vt:variant>
        <vt:i4>5</vt:i4>
      </vt:variant>
      <vt:variant>
        <vt:lpwstr>https://www.nhs.uk/conditions/dementia/about-dementia/causes/</vt:lpwstr>
      </vt:variant>
      <vt:variant>
        <vt:lpwstr/>
      </vt:variant>
      <vt:variant>
        <vt:i4>8126581</vt:i4>
      </vt:variant>
      <vt:variant>
        <vt:i4>1086</vt:i4>
      </vt:variant>
      <vt:variant>
        <vt:i4>0</vt:i4>
      </vt:variant>
      <vt:variant>
        <vt:i4>5</vt:i4>
      </vt:variant>
      <vt:variant>
        <vt:lpwstr>https://www.msn.com/en-us/health/condition/Dementia/hp-Dementia?source=conditioncdx</vt:lpwstr>
      </vt:variant>
      <vt:variant>
        <vt:lpwstr/>
      </vt:variant>
      <vt:variant>
        <vt:i4>393241</vt:i4>
      </vt:variant>
      <vt:variant>
        <vt:i4>1083</vt:i4>
      </vt:variant>
      <vt:variant>
        <vt:i4>0</vt:i4>
      </vt:variant>
      <vt:variant>
        <vt:i4>5</vt:i4>
      </vt:variant>
      <vt:variant>
        <vt:lpwstr>https://www.nhs.uk/conditions/dementia/about-dementia/causes/</vt:lpwstr>
      </vt:variant>
      <vt:variant>
        <vt:lpwstr/>
      </vt:variant>
      <vt:variant>
        <vt:i4>8126581</vt:i4>
      </vt:variant>
      <vt:variant>
        <vt:i4>1080</vt:i4>
      </vt:variant>
      <vt:variant>
        <vt:i4>0</vt:i4>
      </vt:variant>
      <vt:variant>
        <vt:i4>5</vt:i4>
      </vt:variant>
      <vt:variant>
        <vt:lpwstr>https://www.msn.com/en-us/health/condition/Dementia/hp-Dementia?source=conditioncdx</vt:lpwstr>
      </vt:variant>
      <vt:variant>
        <vt:lpwstr/>
      </vt:variant>
      <vt:variant>
        <vt:i4>983129</vt:i4>
      </vt:variant>
      <vt:variant>
        <vt:i4>1077</vt:i4>
      </vt:variant>
      <vt:variant>
        <vt:i4>0</vt:i4>
      </vt:variant>
      <vt:variant>
        <vt:i4>5</vt:i4>
      </vt:variant>
      <vt:variant>
        <vt:lpwstr>https://my.clevelandclinic.org/health/diseases/9170-dementia</vt:lpwstr>
      </vt:variant>
      <vt:variant>
        <vt:lpwstr/>
      </vt:variant>
      <vt:variant>
        <vt:i4>8126581</vt:i4>
      </vt:variant>
      <vt:variant>
        <vt:i4>1074</vt:i4>
      </vt:variant>
      <vt:variant>
        <vt:i4>0</vt:i4>
      </vt:variant>
      <vt:variant>
        <vt:i4>5</vt:i4>
      </vt:variant>
      <vt:variant>
        <vt:lpwstr>https://www.msn.com/en-us/health/condition/Dementia/hp-Dementia?source=conditioncdx</vt:lpwstr>
      </vt:variant>
      <vt:variant>
        <vt:lpwstr/>
      </vt:variant>
      <vt:variant>
        <vt:i4>8126581</vt:i4>
      </vt:variant>
      <vt:variant>
        <vt:i4>1071</vt:i4>
      </vt:variant>
      <vt:variant>
        <vt:i4>0</vt:i4>
      </vt:variant>
      <vt:variant>
        <vt:i4>5</vt:i4>
      </vt:variant>
      <vt:variant>
        <vt:lpwstr>https://www.msn.com/en-us/health/condition/Dementia/hp-Dementia?source=conditioncdx</vt:lpwstr>
      </vt:variant>
      <vt:variant>
        <vt:lpwstr/>
      </vt:variant>
      <vt:variant>
        <vt:i4>4194314</vt:i4>
      </vt:variant>
      <vt:variant>
        <vt:i4>1068</vt:i4>
      </vt:variant>
      <vt:variant>
        <vt:i4>0</vt:i4>
      </vt:variant>
      <vt:variant>
        <vt:i4>5</vt:i4>
      </vt:variant>
      <vt:variant>
        <vt:lpwstr>https://www.bmj.com/content/374/bmj.n2182</vt:lpwstr>
      </vt:variant>
      <vt:variant>
        <vt:lpwstr/>
      </vt:variant>
      <vt:variant>
        <vt:i4>4194314</vt:i4>
      </vt:variant>
      <vt:variant>
        <vt:i4>1065</vt:i4>
      </vt:variant>
      <vt:variant>
        <vt:i4>0</vt:i4>
      </vt:variant>
      <vt:variant>
        <vt:i4>5</vt:i4>
      </vt:variant>
      <vt:variant>
        <vt:lpwstr>https://www.bmj.com/content/374/bmj.n2182</vt:lpwstr>
      </vt:variant>
      <vt:variant>
        <vt:lpwstr/>
      </vt:variant>
      <vt:variant>
        <vt:i4>4194314</vt:i4>
      </vt:variant>
      <vt:variant>
        <vt:i4>1062</vt:i4>
      </vt:variant>
      <vt:variant>
        <vt:i4>0</vt:i4>
      </vt:variant>
      <vt:variant>
        <vt:i4>5</vt:i4>
      </vt:variant>
      <vt:variant>
        <vt:lpwstr>https://www.bmj.com/content/374/bmj.n2182</vt:lpwstr>
      </vt:variant>
      <vt:variant>
        <vt:lpwstr/>
      </vt:variant>
      <vt:variant>
        <vt:i4>7995502</vt:i4>
      </vt:variant>
      <vt:variant>
        <vt:i4>1059</vt:i4>
      </vt:variant>
      <vt:variant>
        <vt:i4>0</vt:i4>
      </vt:variant>
      <vt:variant>
        <vt:i4>5</vt:i4>
      </vt:variant>
      <vt:variant>
        <vt:lpwstr>https://www.theguardian.com/society/2021/oct/10/menopause-brain-the-inability-to-think-clearly-is-not-all-in-your-mind</vt:lpwstr>
      </vt:variant>
      <vt:variant>
        <vt:lpwstr/>
      </vt:variant>
      <vt:variant>
        <vt:i4>7995502</vt:i4>
      </vt:variant>
      <vt:variant>
        <vt:i4>1056</vt:i4>
      </vt:variant>
      <vt:variant>
        <vt:i4>0</vt:i4>
      </vt:variant>
      <vt:variant>
        <vt:i4>5</vt:i4>
      </vt:variant>
      <vt:variant>
        <vt:lpwstr>https://www.theguardian.com/society/2021/oct/10/menopause-brain-the-inability-to-think-clearly-is-not-all-in-your-mind</vt:lpwstr>
      </vt:variant>
      <vt:variant>
        <vt:lpwstr/>
      </vt:variant>
      <vt:variant>
        <vt:i4>7995502</vt:i4>
      </vt:variant>
      <vt:variant>
        <vt:i4>1053</vt:i4>
      </vt:variant>
      <vt:variant>
        <vt:i4>0</vt:i4>
      </vt:variant>
      <vt:variant>
        <vt:i4>5</vt:i4>
      </vt:variant>
      <vt:variant>
        <vt:lpwstr>https://www.theguardian.com/society/2021/oct/10/menopause-brain-the-inability-to-think-clearly-is-not-all-in-your-mind</vt:lpwstr>
      </vt:variant>
      <vt:variant>
        <vt:lpwstr/>
      </vt:variant>
      <vt:variant>
        <vt:i4>7995502</vt:i4>
      </vt:variant>
      <vt:variant>
        <vt:i4>1050</vt:i4>
      </vt:variant>
      <vt:variant>
        <vt:i4>0</vt:i4>
      </vt:variant>
      <vt:variant>
        <vt:i4>5</vt:i4>
      </vt:variant>
      <vt:variant>
        <vt:lpwstr>https://www.theguardian.com/society/2021/oct/10/menopause-brain-the-inability-to-think-clearly-is-not-all-in-your-mind</vt:lpwstr>
      </vt:variant>
      <vt:variant>
        <vt:lpwstr/>
      </vt:variant>
      <vt:variant>
        <vt:i4>7995502</vt:i4>
      </vt:variant>
      <vt:variant>
        <vt:i4>1047</vt:i4>
      </vt:variant>
      <vt:variant>
        <vt:i4>0</vt:i4>
      </vt:variant>
      <vt:variant>
        <vt:i4>5</vt:i4>
      </vt:variant>
      <vt:variant>
        <vt:lpwstr>https://www.theguardian.com/society/2021/oct/10/menopause-brain-the-inability-to-think-clearly-is-not-all-in-your-mind</vt:lpwstr>
      </vt:variant>
      <vt:variant>
        <vt:lpwstr/>
      </vt:variant>
      <vt:variant>
        <vt:i4>7995502</vt:i4>
      </vt:variant>
      <vt:variant>
        <vt:i4>1044</vt:i4>
      </vt:variant>
      <vt:variant>
        <vt:i4>0</vt:i4>
      </vt:variant>
      <vt:variant>
        <vt:i4>5</vt:i4>
      </vt:variant>
      <vt:variant>
        <vt:lpwstr>https://www.theguardian.com/society/2021/oct/10/menopause-brain-the-inability-to-think-clearly-is-not-all-in-your-mind</vt:lpwstr>
      </vt:variant>
      <vt:variant>
        <vt:lpwstr/>
      </vt:variant>
      <vt:variant>
        <vt:i4>7995502</vt:i4>
      </vt:variant>
      <vt:variant>
        <vt:i4>1041</vt:i4>
      </vt:variant>
      <vt:variant>
        <vt:i4>0</vt:i4>
      </vt:variant>
      <vt:variant>
        <vt:i4>5</vt:i4>
      </vt:variant>
      <vt:variant>
        <vt:lpwstr>https://www.theguardian.com/society/2021/oct/10/menopause-brain-the-inability-to-think-clearly-is-not-all-in-your-mind</vt:lpwstr>
      </vt:variant>
      <vt:variant>
        <vt:lpwstr/>
      </vt:variant>
      <vt:variant>
        <vt:i4>4194314</vt:i4>
      </vt:variant>
      <vt:variant>
        <vt:i4>1038</vt:i4>
      </vt:variant>
      <vt:variant>
        <vt:i4>0</vt:i4>
      </vt:variant>
      <vt:variant>
        <vt:i4>5</vt:i4>
      </vt:variant>
      <vt:variant>
        <vt:lpwstr>https://www.bmj.com/content/374/bmj.n2182</vt:lpwstr>
      </vt:variant>
      <vt:variant>
        <vt:lpwstr/>
      </vt:variant>
      <vt:variant>
        <vt:i4>7995502</vt:i4>
      </vt:variant>
      <vt:variant>
        <vt:i4>1035</vt:i4>
      </vt:variant>
      <vt:variant>
        <vt:i4>0</vt:i4>
      </vt:variant>
      <vt:variant>
        <vt:i4>5</vt:i4>
      </vt:variant>
      <vt:variant>
        <vt:lpwstr>https://www.theguardian.com/society/2021/oct/10/menopause-brain-the-inability-to-think-clearly-is-not-all-in-your-mind</vt:lpwstr>
      </vt:variant>
      <vt:variant>
        <vt:lpwstr/>
      </vt:variant>
      <vt:variant>
        <vt:i4>4194314</vt:i4>
      </vt:variant>
      <vt:variant>
        <vt:i4>1032</vt:i4>
      </vt:variant>
      <vt:variant>
        <vt:i4>0</vt:i4>
      </vt:variant>
      <vt:variant>
        <vt:i4>5</vt:i4>
      </vt:variant>
      <vt:variant>
        <vt:lpwstr>https://www.bmj.com/content/374/bmj.n2182</vt:lpwstr>
      </vt:variant>
      <vt:variant>
        <vt:lpwstr/>
      </vt:variant>
      <vt:variant>
        <vt:i4>7995502</vt:i4>
      </vt:variant>
      <vt:variant>
        <vt:i4>1029</vt:i4>
      </vt:variant>
      <vt:variant>
        <vt:i4>0</vt:i4>
      </vt:variant>
      <vt:variant>
        <vt:i4>5</vt:i4>
      </vt:variant>
      <vt:variant>
        <vt:lpwstr>https://www.theguardian.com/society/2021/oct/10/menopause-brain-the-inability-to-think-clearly-is-not-all-in-your-mind</vt:lpwstr>
      </vt:variant>
      <vt:variant>
        <vt:lpwstr/>
      </vt:variant>
      <vt:variant>
        <vt:i4>3997797</vt:i4>
      </vt:variant>
      <vt:variant>
        <vt:i4>1026</vt:i4>
      </vt:variant>
      <vt:variant>
        <vt:i4>0</vt:i4>
      </vt:variant>
      <vt:variant>
        <vt:i4>5</vt:i4>
      </vt:variant>
      <vt:variant>
        <vt:lpwstr>https://www.theguardian.com/society/2023/jan/14/hrt-potentially-important-in-reducing-womens-dementia-risk</vt:lpwstr>
      </vt:variant>
      <vt:variant>
        <vt:lpwstr/>
      </vt:variant>
      <vt:variant>
        <vt:i4>7995502</vt:i4>
      </vt:variant>
      <vt:variant>
        <vt:i4>1023</vt:i4>
      </vt:variant>
      <vt:variant>
        <vt:i4>0</vt:i4>
      </vt:variant>
      <vt:variant>
        <vt:i4>5</vt:i4>
      </vt:variant>
      <vt:variant>
        <vt:lpwstr>https://www.theguardian.com/society/2021/oct/10/menopause-brain-the-inability-to-think-clearly-is-not-all-in-your-mind</vt:lpwstr>
      </vt:variant>
      <vt:variant>
        <vt:lpwstr/>
      </vt:variant>
      <vt:variant>
        <vt:i4>3997797</vt:i4>
      </vt:variant>
      <vt:variant>
        <vt:i4>1020</vt:i4>
      </vt:variant>
      <vt:variant>
        <vt:i4>0</vt:i4>
      </vt:variant>
      <vt:variant>
        <vt:i4>5</vt:i4>
      </vt:variant>
      <vt:variant>
        <vt:lpwstr>https://www.theguardian.com/society/2023/jan/14/hrt-potentially-important-in-reducing-womens-dementia-risk</vt:lpwstr>
      </vt:variant>
      <vt:variant>
        <vt:lpwstr/>
      </vt:variant>
      <vt:variant>
        <vt:i4>4194314</vt:i4>
      </vt:variant>
      <vt:variant>
        <vt:i4>1017</vt:i4>
      </vt:variant>
      <vt:variant>
        <vt:i4>0</vt:i4>
      </vt:variant>
      <vt:variant>
        <vt:i4>5</vt:i4>
      </vt:variant>
      <vt:variant>
        <vt:lpwstr>https://www.bmj.com/content/374/bmj.n2182</vt:lpwstr>
      </vt:variant>
      <vt:variant>
        <vt:lpwstr/>
      </vt:variant>
      <vt:variant>
        <vt:i4>4456468</vt:i4>
      </vt:variant>
      <vt:variant>
        <vt:i4>1014</vt:i4>
      </vt:variant>
      <vt:variant>
        <vt:i4>0</vt:i4>
      </vt:variant>
      <vt:variant>
        <vt:i4>5</vt:i4>
      </vt:variant>
      <vt:variant>
        <vt:lpwstr>https://www.bmj.com/content/381/bmj.p1404</vt:lpwstr>
      </vt:variant>
      <vt:variant>
        <vt:lpwstr/>
      </vt:variant>
      <vt:variant>
        <vt:i4>7995502</vt:i4>
      </vt:variant>
      <vt:variant>
        <vt:i4>1011</vt:i4>
      </vt:variant>
      <vt:variant>
        <vt:i4>0</vt:i4>
      </vt:variant>
      <vt:variant>
        <vt:i4>5</vt:i4>
      </vt:variant>
      <vt:variant>
        <vt:lpwstr>https://www.theguardian.com/society/2021/oct/10/menopause-brain-the-inability-to-think-clearly-is-not-all-in-your-mind</vt:lpwstr>
      </vt:variant>
      <vt:variant>
        <vt:lpwstr/>
      </vt:variant>
      <vt:variant>
        <vt:i4>7995502</vt:i4>
      </vt:variant>
      <vt:variant>
        <vt:i4>1008</vt:i4>
      </vt:variant>
      <vt:variant>
        <vt:i4>0</vt:i4>
      </vt:variant>
      <vt:variant>
        <vt:i4>5</vt:i4>
      </vt:variant>
      <vt:variant>
        <vt:lpwstr>https://www.theguardian.com/society/2021/oct/10/menopause-brain-the-inability-to-think-clearly-is-not-all-in-your-mind</vt:lpwstr>
      </vt:variant>
      <vt:variant>
        <vt:lpwstr/>
      </vt:variant>
      <vt:variant>
        <vt:i4>2490429</vt:i4>
      </vt:variant>
      <vt:variant>
        <vt:i4>1005</vt:i4>
      </vt:variant>
      <vt:variant>
        <vt:i4>0</vt:i4>
      </vt:variant>
      <vt:variant>
        <vt:i4>5</vt:i4>
      </vt:variant>
      <vt:variant>
        <vt:lpwstr>https://www.bing.com/ck/a?!&amp;&amp;p=0b26766a054f8af0JmltdHM9MTcwNDc1ODQwMCZpZ3VpZD0zODVlNTE3Ni04Y2M5LTZkODAtMmI1NS00MmFlOGRlNDZjNTcmaW5zaWQ9NTg0MA&amp;ptn=3&amp;ver=2&amp;hsh=3&amp;fclid=385e5176-8cc9-6d80-2b55-42ae8de46c57&amp;psq=stem+cells+for+parkinson%27s+disease&amp;u=a1aHR0cHM6Ly93d3cucGFya2luc29ucy5vcmcuYXUvcmVzZWFyY2gtaW50by1iZXR0ZXItY2FyZQ&amp;ntb=1</vt:lpwstr>
      </vt:variant>
      <vt:variant>
        <vt:lpwstr/>
      </vt:variant>
      <vt:variant>
        <vt:i4>2752612</vt:i4>
      </vt:variant>
      <vt:variant>
        <vt:i4>1002</vt:i4>
      </vt:variant>
      <vt:variant>
        <vt:i4>0</vt:i4>
      </vt:variant>
      <vt:variant>
        <vt:i4>5</vt:i4>
      </vt:variant>
      <vt:variant>
        <vt:lpwstr>https://www.bing.com/ck/a?!&amp;&amp;p=4f0f1b5b3eec8296JmltdHM9MTcwNDc1ODQwMCZpZ3VpZD0zODVlNTE3Ni04Y2M5LTZkODAtMmI1NS00MmFlOGRlNDZjNTcmaW5zaWQ9NTgzOQ&amp;ptn=3&amp;ver=2&amp;hsh=3&amp;fclid=385e5176-8cc9-6d80-2b55-42ae8de46c57&amp;psq=stem+cells+for+parkinson%27s+disease&amp;u=a1aHR0cHM6Ly93d3cucGFya2luc29ucy5vcmcuYXUvcmVzZWFyY2gtaW50by1iZXR0ZXItY2FyZQ&amp;ntb=1</vt:lpwstr>
      </vt:variant>
      <vt:variant>
        <vt:lpwstr/>
      </vt:variant>
      <vt:variant>
        <vt:i4>8323184</vt:i4>
      </vt:variant>
      <vt:variant>
        <vt:i4>999</vt:i4>
      </vt:variant>
      <vt:variant>
        <vt:i4>0</vt:i4>
      </vt:variant>
      <vt:variant>
        <vt:i4>5</vt:i4>
      </vt:variant>
      <vt:variant>
        <vt:lpwstr>https://www.bing.com/ck/a?!&amp;&amp;p=c205c1650be0f67aJmltdHM9MTcwNDc1ODQwMCZpZ3VpZD0zODVlNTE3Ni04Y2M5LTZkODAtMmI1NS00MmFlOGRlNDZjNTcmaW5zaWQ9NTgzOA&amp;ptn=3&amp;ver=2&amp;hsh=3&amp;fclid=385e5176-8cc9-6d80-2b55-42ae8de46c57&amp;psq=stem+cells+for+parkinson%27s+disease&amp;u=a1aHR0cHM6Ly93d3cuaGVhbHRobGluZS5jb20vaGVhbHRoL3BhcmtpbnNvbnMvc3RlbS1jZWxsLXRoZXJhcHktZm9yLXBhcmtpbnNvbnM&amp;ntb=1</vt:lpwstr>
      </vt:variant>
      <vt:variant>
        <vt:lpwstr/>
      </vt:variant>
      <vt:variant>
        <vt:i4>8126564</vt:i4>
      </vt:variant>
      <vt:variant>
        <vt:i4>996</vt:i4>
      </vt:variant>
      <vt:variant>
        <vt:i4>0</vt:i4>
      </vt:variant>
      <vt:variant>
        <vt:i4>5</vt:i4>
      </vt:variant>
      <vt:variant>
        <vt:lpwstr>https://www.bing.com/ck/a?!&amp;&amp;p=9bc616206784c64cJmltdHM9MTcwNDc1ODQwMCZpZ3VpZD0zODVlNTE3Ni04Y2M5LTZkODAtMmI1NS00MmFlOGRlNDZjNTcmaW5zaWQ9NTgzNw&amp;ptn=3&amp;ver=2&amp;hsh=3&amp;fclid=385e5176-8cc9-6d80-2b55-42ae8de46c57&amp;psq=stem+cells+for+parkinson%27s+disease&amp;u=a1aHR0cHM6Ly93d3cuZHZjc3RlbS5jb20vcG9zdC9zdGVtLWNlbGwtdGhlcmFweS1mb3ItcGFya2luc29ucw&amp;ntb=1</vt:lpwstr>
      </vt:variant>
      <vt:variant>
        <vt:lpwstr/>
      </vt:variant>
      <vt:variant>
        <vt:i4>2621484</vt:i4>
      </vt:variant>
      <vt:variant>
        <vt:i4>993</vt:i4>
      </vt:variant>
      <vt:variant>
        <vt:i4>0</vt:i4>
      </vt:variant>
      <vt:variant>
        <vt:i4>5</vt:i4>
      </vt:variant>
      <vt:variant>
        <vt:lpwstr>https://www.bing.com/ck/a?!&amp;&amp;p=9d972363795f72ebJmltdHM9MTcwNDc1ODQwMCZpZ3VpZD0zODVlNTE3Ni04Y2M5LTZkODAtMmI1NS00MmFlOGRlNDZjNTcmaW5zaWQ9NTgzNg&amp;ptn=3&amp;ver=2&amp;hsh=3&amp;fclid=385e5176-8cc9-6d80-2b55-42ae8de46c57&amp;psq=stem+cells+for+parkinson%27s+disease&amp;u=a1aHR0cHM6Ly93d3cuZHZjc3RlbS5jb20vcG9zdC9zdGVtLWNlbGwtdGhlcmFweS1mb3ItcGFya2luc29ucw&amp;ntb=1</vt:lpwstr>
      </vt:variant>
      <vt:variant>
        <vt:lpwstr/>
      </vt:variant>
      <vt:variant>
        <vt:i4>7536738</vt:i4>
      </vt:variant>
      <vt:variant>
        <vt:i4>990</vt:i4>
      </vt:variant>
      <vt:variant>
        <vt:i4>0</vt:i4>
      </vt:variant>
      <vt:variant>
        <vt:i4>5</vt:i4>
      </vt:variant>
      <vt:variant>
        <vt:lpwstr>https://www.bing.com/ck/a?!&amp;&amp;p=4ce65b9cc3bae260JmltdHM9MTcwNDc1ODQwMCZpZ3VpZD0zODVlNTE3Ni04Y2M5LTZkODAtMmI1NS00MmFlOGRlNDZjNTcmaW5zaWQ9NTgzNQ&amp;ptn=3&amp;ver=2&amp;hsh=3&amp;fclid=385e5176-8cc9-6d80-2b55-42ae8de46c57&amp;psq=stem+cells+for+parkinson%27s+disease&amp;u=a1aHR0cHM6Ly9zdGVtY2VsbHNhdXN0cmFsaWEuZWR1LmF1L2NvbmRpdGlvbnMvZXhwbG9yZS9wYXJraW5zb25zLWRpc2Vhc2Uv&amp;ntb=1</vt:lpwstr>
      </vt:variant>
      <vt:variant>
        <vt:lpwstr/>
      </vt:variant>
      <vt:variant>
        <vt:i4>8323119</vt:i4>
      </vt:variant>
      <vt:variant>
        <vt:i4>987</vt:i4>
      </vt:variant>
      <vt:variant>
        <vt:i4>0</vt:i4>
      </vt:variant>
      <vt:variant>
        <vt:i4>5</vt:i4>
      </vt:variant>
      <vt:variant>
        <vt:lpwstr>https://www.bing.com/ck/a?!&amp;&amp;p=754c524f38c0fb71JmltdHM9MTcwNDc1ODQwMCZpZ3VpZD0zODVlNTE3Ni04Y2M5LTZkODAtMmI1NS00MmFlOGRlNDZjNTcmaW5zaWQ9NTgzNA&amp;ptn=3&amp;ver=2&amp;hsh=3&amp;fclid=385e5176-8cc9-6d80-2b55-42ae8de46c57&amp;psq=stem+cells+for+parkinson%27s+disease&amp;u=a1aHR0cHM6Ly93d3cucGFya2luc29ucy5vcmcuYXUvcmVzZWFyY2gtaW50by1iZXR0ZXItY2FyZQ&amp;ntb=1</vt:lpwstr>
      </vt:variant>
      <vt:variant>
        <vt:lpwstr/>
      </vt:variant>
      <vt:variant>
        <vt:i4>7864375</vt:i4>
      </vt:variant>
      <vt:variant>
        <vt:i4>984</vt:i4>
      </vt:variant>
      <vt:variant>
        <vt:i4>0</vt:i4>
      </vt:variant>
      <vt:variant>
        <vt:i4>5</vt:i4>
      </vt:variant>
      <vt:variant>
        <vt:lpwstr>https://www.bing.com/ck/a?!&amp;&amp;p=203c3210cf9180faJmltdHM9MTcwNDc1ODQwMCZpZ3VpZD0zODVlNTE3Ni04Y2M5LTZkODAtMmI1NS00MmFlOGRlNDZjNTcmaW5zaWQ9NTgzMw&amp;ptn=3&amp;ver=2&amp;hsh=3&amp;fclid=385e5176-8cc9-6d80-2b55-42ae8de46c57&amp;psq=stem+cells+for+parkinson%27s+disease&amp;u=a1aHR0cHM6Ly93d3cuaGVhbHRobGluZS5jb20vaGVhbHRoL3BhcmtpbnNvbnMvc3RlbS1jZWxsLXRoZXJhcHktZm9yLXBhcmtpbnNvbnM&amp;ntb=1</vt:lpwstr>
      </vt:variant>
      <vt:variant>
        <vt:lpwstr/>
      </vt:variant>
      <vt:variant>
        <vt:i4>3080239</vt:i4>
      </vt:variant>
      <vt:variant>
        <vt:i4>981</vt:i4>
      </vt:variant>
      <vt:variant>
        <vt:i4>0</vt:i4>
      </vt:variant>
      <vt:variant>
        <vt:i4>5</vt:i4>
      </vt:variant>
      <vt:variant>
        <vt:lpwstr>https://www.bing.com/ck/a?!&amp;&amp;p=83927db09d827e29JmltdHM9MTcwNDc1ODQwMCZpZ3VpZD0zODVlNTE3Ni04Y2M5LTZkODAtMmI1NS00MmFlOGRlNDZjNTcmaW5zaWQ9NTgzMg&amp;ptn=3&amp;ver=2&amp;hsh=3&amp;fclid=385e5176-8cc9-6d80-2b55-42ae8de46c57&amp;psq=stem+cells+for+parkinson%27s+disease&amp;u=a1aHR0cHM6Ly93d3cuZHZjc3RlbS5jb20vcG9zdC9zdGVtLWNlbGwtdGhlcmFweS1mb3ItcGFya2luc29ucw&amp;ntb=1</vt:lpwstr>
      </vt:variant>
      <vt:variant>
        <vt:lpwstr/>
      </vt:variant>
      <vt:variant>
        <vt:i4>7929963</vt:i4>
      </vt:variant>
      <vt:variant>
        <vt:i4>978</vt:i4>
      </vt:variant>
      <vt:variant>
        <vt:i4>0</vt:i4>
      </vt:variant>
      <vt:variant>
        <vt:i4>5</vt:i4>
      </vt:variant>
      <vt:variant>
        <vt:lpwstr>https://www.bing.com/ck/a?!&amp;&amp;p=ecce5809f3c9c0c0JmltdHM9MTcwNDc1ODQwMCZpZ3VpZD0zODVlNTE3Ni04Y2M5LTZkODAtMmI1NS00MmFlOGRlNDZjNTcmaW5zaWQ9NTgzMQ&amp;ptn=3&amp;ver=2&amp;hsh=3&amp;fclid=385e5176-8cc9-6d80-2b55-42ae8de46c57&amp;psq=stem+cells+for+parkinson%27s+disease&amp;u=a1aHR0cHM6Ly93d3cuZHZjc3RlbS5jb20vcG9zdC9zdGVtLWNlbGwtdGhlcmFweS1mb3ItcGFya2luc29ucw&amp;ntb=1</vt:lpwstr>
      </vt:variant>
      <vt:variant>
        <vt:lpwstr/>
      </vt:variant>
      <vt:variant>
        <vt:i4>8126581</vt:i4>
      </vt:variant>
      <vt:variant>
        <vt:i4>975</vt:i4>
      </vt:variant>
      <vt:variant>
        <vt:i4>0</vt:i4>
      </vt:variant>
      <vt:variant>
        <vt:i4>5</vt:i4>
      </vt:variant>
      <vt:variant>
        <vt:lpwstr>https://www.pacificneuroscienceinstitute.org/blog/clinical-trials/stem-cell-therapy-and-brain-health-the-future-is-now/</vt:lpwstr>
      </vt:variant>
      <vt:variant>
        <vt:lpwstr/>
      </vt:variant>
      <vt:variant>
        <vt:i4>8126581</vt:i4>
      </vt:variant>
      <vt:variant>
        <vt:i4>972</vt:i4>
      </vt:variant>
      <vt:variant>
        <vt:i4>0</vt:i4>
      </vt:variant>
      <vt:variant>
        <vt:i4>5</vt:i4>
      </vt:variant>
      <vt:variant>
        <vt:lpwstr>https://www.pacificneuroscienceinstitute.org/blog/clinical-trials/stem-cell-therapy-and-brain-health-the-future-is-now/</vt:lpwstr>
      </vt:variant>
      <vt:variant>
        <vt:lpwstr/>
      </vt:variant>
      <vt:variant>
        <vt:i4>1245258</vt:i4>
      </vt:variant>
      <vt:variant>
        <vt:i4>969</vt:i4>
      </vt:variant>
      <vt:variant>
        <vt:i4>0</vt:i4>
      </vt:variant>
      <vt:variant>
        <vt:i4>5</vt:i4>
      </vt:variant>
      <vt:variant>
        <vt:lpwstr>https://www.dvcstem.com/post/stem-cell-therapy-for-alzheimers</vt:lpwstr>
      </vt:variant>
      <vt:variant>
        <vt:lpwstr/>
      </vt:variant>
      <vt:variant>
        <vt:i4>8126581</vt:i4>
      </vt:variant>
      <vt:variant>
        <vt:i4>966</vt:i4>
      </vt:variant>
      <vt:variant>
        <vt:i4>0</vt:i4>
      </vt:variant>
      <vt:variant>
        <vt:i4>5</vt:i4>
      </vt:variant>
      <vt:variant>
        <vt:lpwstr>https://www.pacificneuroscienceinstitute.org/blog/clinical-trials/stem-cell-therapy-and-brain-health-the-future-is-now/</vt:lpwstr>
      </vt:variant>
      <vt:variant>
        <vt:lpwstr/>
      </vt:variant>
      <vt:variant>
        <vt:i4>8126581</vt:i4>
      </vt:variant>
      <vt:variant>
        <vt:i4>963</vt:i4>
      </vt:variant>
      <vt:variant>
        <vt:i4>0</vt:i4>
      </vt:variant>
      <vt:variant>
        <vt:i4>5</vt:i4>
      </vt:variant>
      <vt:variant>
        <vt:lpwstr>https://www.pacificneuroscienceinstitute.org/blog/clinical-trials/stem-cell-therapy-and-brain-health-the-future-is-now/</vt:lpwstr>
      </vt:variant>
      <vt:variant>
        <vt:lpwstr/>
      </vt:variant>
      <vt:variant>
        <vt:i4>8126581</vt:i4>
      </vt:variant>
      <vt:variant>
        <vt:i4>960</vt:i4>
      </vt:variant>
      <vt:variant>
        <vt:i4>0</vt:i4>
      </vt:variant>
      <vt:variant>
        <vt:i4>5</vt:i4>
      </vt:variant>
      <vt:variant>
        <vt:lpwstr>https://www.pacificneuroscienceinstitute.org/blog/clinical-trials/stem-cell-therapy-and-brain-health-the-future-is-now/</vt:lpwstr>
      </vt:variant>
      <vt:variant>
        <vt:lpwstr/>
      </vt:variant>
      <vt:variant>
        <vt:i4>2097211</vt:i4>
      </vt:variant>
      <vt:variant>
        <vt:i4>957</vt:i4>
      </vt:variant>
      <vt:variant>
        <vt:i4>0</vt:i4>
      </vt:variant>
      <vt:variant>
        <vt:i4>5</vt:i4>
      </vt:variant>
      <vt:variant>
        <vt:lpwstr>https://www.flintrehab.com/stem-cell-therapy-for-brain-injury/</vt:lpwstr>
      </vt:variant>
      <vt:variant>
        <vt:lpwstr/>
      </vt:variant>
      <vt:variant>
        <vt:i4>8126581</vt:i4>
      </vt:variant>
      <vt:variant>
        <vt:i4>954</vt:i4>
      </vt:variant>
      <vt:variant>
        <vt:i4>0</vt:i4>
      </vt:variant>
      <vt:variant>
        <vt:i4>5</vt:i4>
      </vt:variant>
      <vt:variant>
        <vt:lpwstr>https://www.pacificneuroscienceinstitute.org/blog/clinical-trials/stem-cell-therapy-and-brain-health-the-future-is-now/</vt:lpwstr>
      </vt:variant>
      <vt:variant>
        <vt:lpwstr/>
      </vt:variant>
      <vt:variant>
        <vt:i4>8126581</vt:i4>
      </vt:variant>
      <vt:variant>
        <vt:i4>951</vt:i4>
      </vt:variant>
      <vt:variant>
        <vt:i4>0</vt:i4>
      </vt:variant>
      <vt:variant>
        <vt:i4>5</vt:i4>
      </vt:variant>
      <vt:variant>
        <vt:lpwstr>https://www.pacificneuroscienceinstitute.org/blog/clinical-trials/stem-cell-therapy-and-brain-health-the-future-is-now/</vt:lpwstr>
      </vt:variant>
      <vt:variant>
        <vt:lpwstr/>
      </vt:variant>
      <vt:variant>
        <vt:i4>8126581</vt:i4>
      </vt:variant>
      <vt:variant>
        <vt:i4>948</vt:i4>
      </vt:variant>
      <vt:variant>
        <vt:i4>0</vt:i4>
      </vt:variant>
      <vt:variant>
        <vt:i4>5</vt:i4>
      </vt:variant>
      <vt:variant>
        <vt:lpwstr>https://www.pacificneuroscienceinstitute.org/blog/clinical-trials/stem-cell-therapy-and-brain-health-the-future-is-now/</vt:lpwstr>
      </vt:variant>
      <vt:variant>
        <vt:lpwstr/>
      </vt:variant>
      <vt:variant>
        <vt:i4>8126581</vt:i4>
      </vt:variant>
      <vt:variant>
        <vt:i4>945</vt:i4>
      </vt:variant>
      <vt:variant>
        <vt:i4>0</vt:i4>
      </vt:variant>
      <vt:variant>
        <vt:i4>5</vt:i4>
      </vt:variant>
      <vt:variant>
        <vt:lpwstr>https://www.pacificneuroscienceinstitute.org/blog/clinical-trials/stem-cell-therapy-and-brain-health-the-future-is-now/</vt:lpwstr>
      </vt:variant>
      <vt:variant>
        <vt:lpwstr/>
      </vt:variant>
      <vt:variant>
        <vt:i4>8126581</vt:i4>
      </vt:variant>
      <vt:variant>
        <vt:i4>942</vt:i4>
      </vt:variant>
      <vt:variant>
        <vt:i4>0</vt:i4>
      </vt:variant>
      <vt:variant>
        <vt:i4>5</vt:i4>
      </vt:variant>
      <vt:variant>
        <vt:lpwstr>https://www.pacificneuroscienceinstitute.org/blog/clinical-trials/stem-cell-therapy-and-brain-health-the-future-is-now/</vt:lpwstr>
      </vt:variant>
      <vt:variant>
        <vt:lpwstr/>
      </vt:variant>
      <vt:variant>
        <vt:i4>2097211</vt:i4>
      </vt:variant>
      <vt:variant>
        <vt:i4>939</vt:i4>
      </vt:variant>
      <vt:variant>
        <vt:i4>0</vt:i4>
      </vt:variant>
      <vt:variant>
        <vt:i4>5</vt:i4>
      </vt:variant>
      <vt:variant>
        <vt:lpwstr>https://www.flintrehab.com/stem-cell-therapy-for-brain-injury/</vt:lpwstr>
      </vt:variant>
      <vt:variant>
        <vt:lpwstr/>
      </vt:variant>
      <vt:variant>
        <vt:i4>1245258</vt:i4>
      </vt:variant>
      <vt:variant>
        <vt:i4>936</vt:i4>
      </vt:variant>
      <vt:variant>
        <vt:i4>0</vt:i4>
      </vt:variant>
      <vt:variant>
        <vt:i4>5</vt:i4>
      </vt:variant>
      <vt:variant>
        <vt:lpwstr>https://www.dvcstem.com/post/stem-cell-therapy-for-alzheimers</vt:lpwstr>
      </vt:variant>
      <vt:variant>
        <vt:lpwstr/>
      </vt:variant>
      <vt:variant>
        <vt:i4>3211367</vt:i4>
      </vt:variant>
      <vt:variant>
        <vt:i4>933</vt:i4>
      </vt:variant>
      <vt:variant>
        <vt:i4>0</vt:i4>
      </vt:variant>
      <vt:variant>
        <vt:i4>5</vt:i4>
      </vt:variant>
      <vt:variant>
        <vt:lpwstr>https://www.mayoclinic.org/tests-procedures/bone-marrow-transplant/in-depth/stem-cells/art-20048117</vt:lpwstr>
      </vt:variant>
      <vt:variant>
        <vt:lpwstr/>
      </vt:variant>
      <vt:variant>
        <vt:i4>8126581</vt:i4>
      </vt:variant>
      <vt:variant>
        <vt:i4>930</vt:i4>
      </vt:variant>
      <vt:variant>
        <vt:i4>0</vt:i4>
      </vt:variant>
      <vt:variant>
        <vt:i4>5</vt:i4>
      </vt:variant>
      <vt:variant>
        <vt:lpwstr>https://www.pacificneuroscienceinstitute.org/blog/clinical-trials/stem-cell-therapy-and-brain-health-the-future-is-now/</vt:lpwstr>
      </vt:variant>
      <vt:variant>
        <vt:lpwstr/>
      </vt:variant>
      <vt:variant>
        <vt:i4>8126581</vt:i4>
      </vt:variant>
      <vt:variant>
        <vt:i4>927</vt:i4>
      </vt:variant>
      <vt:variant>
        <vt:i4>0</vt:i4>
      </vt:variant>
      <vt:variant>
        <vt:i4>5</vt:i4>
      </vt:variant>
      <vt:variant>
        <vt:lpwstr>https://www.pacificneuroscienceinstitute.org/blog/clinical-trials/stem-cell-therapy-and-brain-health-the-future-is-now/</vt:lpwstr>
      </vt:variant>
      <vt:variant>
        <vt:lpwstr/>
      </vt:variant>
      <vt:variant>
        <vt:i4>3080224</vt:i4>
      </vt:variant>
      <vt:variant>
        <vt:i4>924</vt:i4>
      </vt:variant>
      <vt:variant>
        <vt:i4>0</vt:i4>
      </vt:variant>
      <vt:variant>
        <vt:i4>5</vt:i4>
      </vt:variant>
      <vt:variant>
        <vt:lpwstr>https://economictimes.indiatimes.com/magazines/panache/synthetic-peptide-can-repair-cognitive-decline-help-treat-alzheimers-early/articleshow/69002813.cms</vt:lpwstr>
      </vt:variant>
      <vt:variant>
        <vt:lpwstr/>
      </vt:variant>
      <vt:variant>
        <vt:i4>7274604</vt:i4>
      </vt:variant>
      <vt:variant>
        <vt:i4>921</vt:i4>
      </vt:variant>
      <vt:variant>
        <vt:i4>0</vt:i4>
      </vt:variant>
      <vt:variant>
        <vt:i4>5</vt:i4>
      </vt:variant>
      <vt:variant>
        <vt:lpwstr>https://news.mit.edu/2023/new-peptide-may-hold-potential-alzheimers-treatment-0413</vt:lpwstr>
      </vt:variant>
      <vt:variant>
        <vt:lpwstr/>
      </vt:variant>
      <vt:variant>
        <vt:i4>3080224</vt:i4>
      </vt:variant>
      <vt:variant>
        <vt:i4>918</vt:i4>
      </vt:variant>
      <vt:variant>
        <vt:i4>0</vt:i4>
      </vt:variant>
      <vt:variant>
        <vt:i4>5</vt:i4>
      </vt:variant>
      <vt:variant>
        <vt:lpwstr>https://economictimes.indiatimes.com/magazines/panache/synthetic-peptide-can-repair-cognitive-decline-help-treat-alzheimers-early/articleshow/69002813.cms</vt:lpwstr>
      </vt:variant>
      <vt:variant>
        <vt:lpwstr/>
      </vt:variant>
      <vt:variant>
        <vt:i4>7274604</vt:i4>
      </vt:variant>
      <vt:variant>
        <vt:i4>915</vt:i4>
      </vt:variant>
      <vt:variant>
        <vt:i4>0</vt:i4>
      </vt:variant>
      <vt:variant>
        <vt:i4>5</vt:i4>
      </vt:variant>
      <vt:variant>
        <vt:lpwstr>https://news.mit.edu/2023/new-peptide-may-hold-potential-alzheimers-treatment-0413</vt:lpwstr>
      </vt:variant>
      <vt:variant>
        <vt:lpwstr/>
      </vt:variant>
      <vt:variant>
        <vt:i4>1835076</vt:i4>
      </vt:variant>
      <vt:variant>
        <vt:i4>912</vt:i4>
      </vt:variant>
      <vt:variant>
        <vt:i4>0</vt:i4>
      </vt:variant>
      <vt:variant>
        <vt:i4>5</vt:i4>
      </vt:variant>
      <vt:variant>
        <vt:lpwstr>https://jaycampbell.com/brain/nootropic-peptides/</vt:lpwstr>
      </vt:variant>
      <vt:variant>
        <vt:lpwstr/>
      </vt:variant>
      <vt:variant>
        <vt:i4>7274604</vt:i4>
      </vt:variant>
      <vt:variant>
        <vt:i4>909</vt:i4>
      </vt:variant>
      <vt:variant>
        <vt:i4>0</vt:i4>
      </vt:variant>
      <vt:variant>
        <vt:i4>5</vt:i4>
      </vt:variant>
      <vt:variant>
        <vt:lpwstr>https://news.mit.edu/2023/new-peptide-may-hold-potential-alzheimers-treatment-0413</vt:lpwstr>
      </vt:variant>
      <vt:variant>
        <vt:lpwstr/>
      </vt:variant>
      <vt:variant>
        <vt:i4>1835076</vt:i4>
      </vt:variant>
      <vt:variant>
        <vt:i4>906</vt:i4>
      </vt:variant>
      <vt:variant>
        <vt:i4>0</vt:i4>
      </vt:variant>
      <vt:variant>
        <vt:i4>5</vt:i4>
      </vt:variant>
      <vt:variant>
        <vt:lpwstr>https://jaycampbell.com/brain/nootropic-peptides/</vt:lpwstr>
      </vt:variant>
      <vt:variant>
        <vt:lpwstr/>
      </vt:variant>
      <vt:variant>
        <vt:i4>7274604</vt:i4>
      </vt:variant>
      <vt:variant>
        <vt:i4>903</vt:i4>
      </vt:variant>
      <vt:variant>
        <vt:i4>0</vt:i4>
      </vt:variant>
      <vt:variant>
        <vt:i4>5</vt:i4>
      </vt:variant>
      <vt:variant>
        <vt:lpwstr>https://news.mit.edu/2023/new-peptide-may-hold-potential-alzheimers-treatment-0413</vt:lpwstr>
      </vt:variant>
      <vt:variant>
        <vt:lpwstr/>
      </vt:variant>
      <vt:variant>
        <vt:i4>1835076</vt:i4>
      </vt:variant>
      <vt:variant>
        <vt:i4>900</vt:i4>
      </vt:variant>
      <vt:variant>
        <vt:i4>0</vt:i4>
      </vt:variant>
      <vt:variant>
        <vt:i4>5</vt:i4>
      </vt:variant>
      <vt:variant>
        <vt:lpwstr>https://jaycampbell.com/brain/nootropic-peptides/</vt:lpwstr>
      </vt:variant>
      <vt:variant>
        <vt:lpwstr/>
      </vt:variant>
      <vt:variant>
        <vt:i4>7274604</vt:i4>
      </vt:variant>
      <vt:variant>
        <vt:i4>897</vt:i4>
      </vt:variant>
      <vt:variant>
        <vt:i4>0</vt:i4>
      </vt:variant>
      <vt:variant>
        <vt:i4>5</vt:i4>
      </vt:variant>
      <vt:variant>
        <vt:lpwstr>https://news.mit.edu/2023/new-peptide-may-hold-potential-alzheimers-treatment-0413</vt:lpwstr>
      </vt:variant>
      <vt:variant>
        <vt:lpwstr/>
      </vt:variant>
      <vt:variant>
        <vt:i4>7274604</vt:i4>
      </vt:variant>
      <vt:variant>
        <vt:i4>894</vt:i4>
      </vt:variant>
      <vt:variant>
        <vt:i4>0</vt:i4>
      </vt:variant>
      <vt:variant>
        <vt:i4>5</vt:i4>
      </vt:variant>
      <vt:variant>
        <vt:lpwstr>https://news.mit.edu/2023/new-peptide-may-hold-potential-alzheimers-treatment-0413</vt:lpwstr>
      </vt:variant>
      <vt:variant>
        <vt:lpwstr/>
      </vt:variant>
      <vt:variant>
        <vt:i4>7274604</vt:i4>
      </vt:variant>
      <vt:variant>
        <vt:i4>891</vt:i4>
      </vt:variant>
      <vt:variant>
        <vt:i4>0</vt:i4>
      </vt:variant>
      <vt:variant>
        <vt:i4>5</vt:i4>
      </vt:variant>
      <vt:variant>
        <vt:lpwstr>https://news.mit.edu/2023/new-peptide-may-hold-potential-alzheimers-treatment-0413</vt:lpwstr>
      </vt:variant>
      <vt:variant>
        <vt:lpwstr/>
      </vt:variant>
      <vt:variant>
        <vt:i4>7274604</vt:i4>
      </vt:variant>
      <vt:variant>
        <vt:i4>888</vt:i4>
      </vt:variant>
      <vt:variant>
        <vt:i4>0</vt:i4>
      </vt:variant>
      <vt:variant>
        <vt:i4>5</vt:i4>
      </vt:variant>
      <vt:variant>
        <vt:lpwstr>https://news.mit.edu/2023/new-peptide-may-hold-potential-alzheimers-treatment-0413</vt:lpwstr>
      </vt:variant>
      <vt:variant>
        <vt:lpwstr/>
      </vt:variant>
      <vt:variant>
        <vt:i4>7274604</vt:i4>
      </vt:variant>
      <vt:variant>
        <vt:i4>885</vt:i4>
      </vt:variant>
      <vt:variant>
        <vt:i4>0</vt:i4>
      </vt:variant>
      <vt:variant>
        <vt:i4>5</vt:i4>
      </vt:variant>
      <vt:variant>
        <vt:lpwstr>https://news.mit.edu/2023/new-peptide-may-hold-potential-alzheimers-treatment-0413</vt:lpwstr>
      </vt:variant>
      <vt:variant>
        <vt:lpwstr/>
      </vt:variant>
      <vt:variant>
        <vt:i4>7274604</vt:i4>
      </vt:variant>
      <vt:variant>
        <vt:i4>882</vt:i4>
      </vt:variant>
      <vt:variant>
        <vt:i4>0</vt:i4>
      </vt:variant>
      <vt:variant>
        <vt:i4>5</vt:i4>
      </vt:variant>
      <vt:variant>
        <vt:lpwstr>https://news.mit.edu/2023/new-peptide-may-hold-potential-alzheimers-treatment-0413</vt:lpwstr>
      </vt:variant>
      <vt:variant>
        <vt:lpwstr/>
      </vt:variant>
      <vt:variant>
        <vt:i4>7274604</vt:i4>
      </vt:variant>
      <vt:variant>
        <vt:i4>879</vt:i4>
      </vt:variant>
      <vt:variant>
        <vt:i4>0</vt:i4>
      </vt:variant>
      <vt:variant>
        <vt:i4>5</vt:i4>
      </vt:variant>
      <vt:variant>
        <vt:lpwstr>https://news.mit.edu/2023/new-peptide-may-hold-potential-alzheimers-treatment-0413</vt:lpwstr>
      </vt:variant>
      <vt:variant>
        <vt:lpwstr/>
      </vt:variant>
      <vt:variant>
        <vt:i4>7274604</vt:i4>
      </vt:variant>
      <vt:variant>
        <vt:i4>876</vt:i4>
      </vt:variant>
      <vt:variant>
        <vt:i4>0</vt:i4>
      </vt:variant>
      <vt:variant>
        <vt:i4>5</vt:i4>
      </vt:variant>
      <vt:variant>
        <vt:lpwstr>https://news.mit.edu/2023/new-peptide-may-hold-potential-alzheimers-treatment-0413</vt:lpwstr>
      </vt:variant>
      <vt:variant>
        <vt:lpwstr/>
      </vt:variant>
      <vt:variant>
        <vt:i4>7274604</vt:i4>
      </vt:variant>
      <vt:variant>
        <vt:i4>873</vt:i4>
      </vt:variant>
      <vt:variant>
        <vt:i4>0</vt:i4>
      </vt:variant>
      <vt:variant>
        <vt:i4>5</vt:i4>
      </vt:variant>
      <vt:variant>
        <vt:lpwstr>https://news.mit.edu/2023/new-peptide-may-hold-potential-alzheimers-treatment-0413</vt:lpwstr>
      </vt:variant>
      <vt:variant>
        <vt:lpwstr/>
      </vt:variant>
      <vt:variant>
        <vt:i4>3080224</vt:i4>
      </vt:variant>
      <vt:variant>
        <vt:i4>870</vt:i4>
      </vt:variant>
      <vt:variant>
        <vt:i4>0</vt:i4>
      </vt:variant>
      <vt:variant>
        <vt:i4>5</vt:i4>
      </vt:variant>
      <vt:variant>
        <vt:lpwstr>https://economictimes.indiatimes.com/magazines/panache/synthetic-peptide-can-repair-cognitive-decline-help-treat-alzheimers-early/articleshow/69002813.cms</vt:lpwstr>
      </vt:variant>
      <vt:variant>
        <vt:lpwstr/>
      </vt:variant>
      <vt:variant>
        <vt:i4>1835076</vt:i4>
      </vt:variant>
      <vt:variant>
        <vt:i4>867</vt:i4>
      </vt:variant>
      <vt:variant>
        <vt:i4>0</vt:i4>
      </vt:variant>
      <vt:variant>
        <vt:i4>5</vt:i4>
      </vt:variant>
      <vt:variant>
        <vt:lpwstr>https://jaycampbell.com/brain/nootropic-peptides/</vt:lpwstr>
      </vt:variant>
      <vt:variant>
        <vt:lpwstr/>
      </vt:variant>
      <vt:variant>
        <vt:i4>7274604</vt:i4>
      </vt:variant>
      <vt:variant>
        <vt:i4>864</vt:i4>
      </vt:variant>
      <vt:variant>
        <vt:i4>0</vt:i4>
      </vt:variant>
      <vt:variant>
        <vt:i4>5</vt:i4>
      </vt:variant>
      <vt:variant>
        <vt:lpwstr>https://news.mit.edu/2023/new-peptide-may-hold-potential-alzheimers-treatment-0413</vt:lpwstr>
      </vt:variant>
      <vt:variant>
        <vt:lpwstr/>
      </vt:variant>
      <vt:variant>
        <vt:i4>7274604</vt:i4>
      </vt:variant>
      <vt:variant>
        <vt:i4>861</vt:i4>
      </vt:variant>
      <vt:variant>
        <vt:i4>0</vt:i4>
      </vt:variant>
      <vt:variant>
        <vt:i4>5</vt:i4>
      </vt:variant>
      <vt:variant>
        <vt:lpwstr>https://news.mit.edu/2023/new-peptide-may-hold-potential-alzheimers-treatment-0413</vt:lpwstr>
      </vt:variant>
      <vt:variant>
        <vt:lpwstr/>
      </vt:variant>
      <vt:variant>
        <vt:i4>3801203</vt:i4>
      </vt:variant>
      <vt:variant>
        <vt:i4>858</vt:i4>
      </vt:variant>
      <vt:variant>
        <vt:i4>0</vt:i4>
      </vt:variant>
      <vt:variant>
        <vt:i4>5</vt:i4>
      </vt:variant>
      <vt:variant>
        <vt:lpwstr>https://www.alzheimers.org.uk/about-dementia/treatments</vt:lpwstr>
      </vt:variant>
      <vt:variant>
        <vt:lpwstr/>
      </vt:variant>
      <vt:variant>
        <vt:i4>131079</vt:i4>
      </vt:variant>
      <vt:variant>
        <vt:i4>855</vt:i4>
      </vt:variant>
      <vt:variant>
        <vt:i4>0</vt:i4>
      </vt:variant>
      <vt:variant>
        <vt:i4>5</vt:i4>
      </vt:variant>
      <vt:variant>
        <vt:lpwstr>https://www.alzheimers.org.uk/about-dementia/treatments/dementia-medication/medication-dementia-symptoms</vt:lpwstr>
      </vt:variant>
      <vt:variant>
        <vt:lpwstr/>
      </vt:variant>
      <vt:variant>
        <vt:i4>5767198</vt:i4>
      </vt:variant>
      <vt:variant>
        <vt:i4>852</vt:i4>
      </vt:variant>
      <vt:variant>
        <vt:i4>0</vt:i4>
      </vt:variant>
      <vt:variant>
        <vt:i4>5</vt:i4>
      </vt:variant>
      <vt:variant>
        <vt:lpwstr>https://www.nhs.uk/conditions/dementia/about-dementia/treatment/</vt:lpwstr>
      </vt:variant>
      <vt:variant>
        <vt:lpwstr/>
      </vt:variant>
      <vt:variant>
        <vt:i4>5767198</vt:i4>
      </vt:variant>
      <vt:variant>
        <vt:i4>849</vt:i4>
      </vt:variant>
      <vt:variant>
        <vt:i4>0</vt:i4>
      </vt:variant>
      <vt:variant>
        <vt:i4>5</vt:i4>
      </vt:variant>
      <vt:variant>
        <vt:lpwstr>https://www.nhs.uk/conditions/dementia/about-dementia/treatment/</vt:lpwstr>
      </vt:variant>
      <vt:variant>
        <vt:lpwstr/>
      </vt:variant>
      <vt:variant>
        <vt:i4>5767198</vt:i4>
      </vt:variant>
      <vt:variant>
        <vt:i4>846</vt:i4>
      </vt:variant>
      <vt:variant>
        <vt:i4>0</vt:i4>
      </vt:variant>
      <vt:variant>
        <vt:i4>5</vt:i4>
      </vt:variant>
      <vt:variant>
        <vt:lpwstr>https://www.nhs.uk/conditions/dementia/about-dementia/treatment/</vt:lpwstr>
      </vt:variant>
      <vt:variant>
        <vt:lpwstr/>
      </vt:variant>
      <vt:variant>
        <vt:i4>5767198</vt:i4>
      </vt:variant>
      <vt:variant>
        <vt:i4>843</vt:i4>
      </vt:variant>
      <vt:variant>
        <vt:i4>0</vt:i4>
      </vt:variant>
      <vt:variant>
        <vt:i4>5</vt:i4>
      </vt:variant>
      <vt:variant>
        <vt:lpwstr>https://www.nhs.uk/conditions/dementia/about-dementia/treatment/</vt:lpwstr>
      </vt:variant>
      <vt:variant>
        <vt:lpwstr/>
      </vt:variant>
      <vt:variant>
        <vt:i4>5767198</vt:i4>
      </vt:variant>
      <vt:variant>
        <vt:i4>840</vt:i4>
      </vt:variant>
      <vt:variant>
        <vt:i4>0</vt:i4>
      </vt:variant>
      <vt:variant>
        <vt:i4>5</vt:i4>
      </vt:variant>
      <vt:variant>
        <vt:lpwstr>https://www.nhs.uk/conditions/dementia/about-dementia/treatment/</vt:lpwstr>
      </vt:variant>
      <vt:variant>
        <vt:lpwstr/>
      </vt:variant>
      <vt:variant>
        <vt:i4>5767198</vt:i4>
      </vt:variant>
      <vt:variant>
        <vt:i4>837</vt:i4>
      </vt:variant>
      <vt:variant>
        <vt:i4>0</vt:i4>
      </vt:variant>
      <vt:variant>
        <vt:i4>5</vt:i4>
      </vt:variant>
      <vt:variant>
        <vt:lpwstr>https://www.nhs.uk/conditions/dementia/about-dementia/treatment/</vt:lpwstr>
      </vt:variant>
      <vt:variant>
        <vt:lpwstr/>
      </vt:variant>
      <vt:variant>
        <vt:i4>5767198</vt:i4>
      </vt:variant>
      <vt:variant>
        <vt:i4>834</vt:i4>
      </vt:variant>
      <vt:variant>
        <vt:i4>0</vt:i4>
      </vt:variant>
      <vt:variant>
        <vt:i4>5</vt:i4>
      </vt:variant>
      <vt:variant>
        <vt:lpwstr>https://www.nhs.uk/conditions/dementia/about-dementia/treatment/</vt:lpwstr>
      </vt:variant>
      <vt:variant>
        <vt:lpwstr/>
      </vt:variant>
      <vt:variant>
        <vt:i4>5767198</vt:i4>
      </vt:variant>
      <vt:variant>
        <vt:i4>831</vt:i4>
      </vt:variant>
      <vt:variant>
        <vt:i4>0</vt:i4>
      </vt:variant>
      <vt:variant>
        <vt:i4>5</vt:i4>
      </vt:variant>
      <vt:variant>
        <vt:lpwstr>https://www.nhs.uk/conditions/dementia/about-dementia/treatment/</vt:lpwstr>
      </vt:variant>
      <vt:variant>
        <vt:lpwstr/>
      </vt:variant>
      <vt:variant>
        <vt:i4>5767198</vt:i4>
      </vt:variant>
      <vt:variant>
        <vt:i4>828</vt:i4>
      </vt:variant>
      <vt:variant>
        <vt:i4>0</vt:i4>
      </vt:variant>
      <vt:variant>
        <vt:i4>5</vt:i4>
      </vt:variant>
      <vt:variant>
        <vt:lpwstr>https://www.nhs.uk/conditions/dementia/about-dementia/treatment/</vt:lpwstr>
      </vt:variant>
      <vt:variant>
        <vt:lpwstr/>
      </vt:variant>
      <vt:variant>
        <vt:i4>5767198</vt:i4>
      </vt:variant>
      <vt:variant>
        <vt:i4>825</vt:i4>
      </vt:variant>
      <vt:variant>
        <vt:i4>0</vt:i4>
      </vt:variant>
      <vt:variant>
        <vt:i4>5</vt:i4>
      </vt:variant>
      <vt:variant>
        <vt:lpwstr>https://www.nhs.uk/conditions/dementia/about-dementia/treatment/</vt:lpwstr>
      </vt:variant>
      <vt:variant>
        <vt:lpwstr/>
      </vt:variant>
      <vt:variant>
        <vt:i4>5767198</vt:i4>
      </vt:variant>
      <vt:variant>
        <vt:i4>822</vt:i4>
      </vt:variant>
      <vt:variant>
        <vt:i4>0</vt:i4>
      </vt:variant>
      <vt:variant>
        <vt:i4>5</vt:i4>
      </vt:variant>
      <vt:variant>
        <vt:lpwstr>https://www.nhs.uk/conditions/dementia/about-dementia/treatment/</vt:lpwstr>
      </vt:variant>
      <vt:variant>
        <vt:lpwstr/>
      </vt:variant>
      <vt:variant>
        <vt:i4>5767198</vt:i4>
      </vt:variant>
      <vt:variant>
        <vt:i4>819</vt:i4>
      </vt:variant>
      <vt:variant>
        <vt:i4>0</vt:i4>
      </vt:variant>
      <vt:variant>
        <vt:i4>5</vt:i4>
      </vt:variant>
      <vt:variant>
        <vt:lpwstr>https://www.nhs.uk/conditions/dementia/about-dementia/treatment/</vt:lpwstr>
      </vt:variant>
      <vt:variant>
        <vt:lpwstr/>
      </vt:variant>
      <vt:variant>
        <vt:i4>5767198</vt:i4>
      </vt:variant>
      <vt:variant>
        <vt:i4>816</vt:i4>
      </vt:variant>
      <vt:variant>
        <vt:i4>0</vt:i4>
      </vt:variant>
      <vt:variant>
        <vt:i4>5</vt:i4>
      </vt:variant>
      <vt:variant>
        <vt:lpwstr>https://www.nhs.uk/conditions/dementia/about-dementia/treatment/</vt:lpwstr>
      </vt:variant>
      <vt:variant>
        <vt:lpwstr/>
      </vt:variant>
      <vt:variant>
        <vt:i4>5767198</vt:i4>
      </vt:variant>
      <vt:variant>
        <vt:i4>813</vt:i4>
      </vt:variant>
      <vt:variant>
        <vt:i4>0</vt:i4>
      </vt:variant>
      <vt:variant>
        <vt:i4>5</vt:i4>
      </vt:variant>
      <vt:variant>
        <vt:lpwstr>https://www.nhs.uk/conditions/dementia/about-dementia/treatment/</vt:lpwstr>
      </vt:variant>
      <vt:variant>
        <vt:lpwstr/>
      </vt:variant>
      <vt:variant>
        <vt:i4>3801203</vt:i4>
      </vt:variant>
      <vt:variant>
        <vt:i4>810</vt:i4>
      </vt:variant>
      <vt:variant>
        <vt:i4>0</vt:i4>
      </vt:variant>
      <vt:variant>
        <vt:i4>5</vt:i4>
      </vt:variant>
      <vt:variant>
        <vt:lpwstr>https://www.alzheimers.org.uk/about-dementia/treatments</vt:lpwstr>
      </vt:variant>
      <vt:variant>
        <vt:lpwstr/>
      </vt:variant>
      <vt:variant>
        <vt:i4>131079</vt:i4>
      </vt:variant>
      <vt:variant>
        <vt:i4>807</vt:i4>
      </vt:variant>
      <vt:variant>
        <vt:i4>0</vt:i4>
      </vt:variant>
      <vt:variant>
        <vt:i4>5</vt:i4>
      </vt:variant>
      <vt:variant>
        <vt:lpwstr>https://www.alzheimers.org.uk/about-dementia/treatments/dementia-medication/medication-dementia-symptoms</vt:lpwstr>
      </vt:variant>
      <vt:variant>
        <vt:lpwstr/>
      </vt:variant>
      <vt:variant>
        <vt:i4>5767198</vt:i4>
      </vt:variant>
      <vt:variant>
        <vt:i4>804</vt:i4>
      </vt:variant>
      <vt:variant>
        <vt:i4>0</vt:i4>
      </vt:variant>
      <vt:variant>
        <vt:i4>5</vt:i4>
      </vt:variant>
      <vt:variant>
        <vt:lpwstr>https://www.nhs.uk/conditions/dementia/about-dementia/treatment/</vt:lpwstr>
      </vt:variant>
      <vt:variant>
        <vt:lpwstr/>
      </vt:variant>
      <vt:variant>
        <vt:i4>5767198</vt:i4>
      </vt:variant>
      <vt:variant>
        <vt:i4>801</vt:i4>
      </vt:variant>
      <vt:variant>
        <vt:i4>0</vt:i4>
      </vt:variant>
      <vt:variant>
        <vt:i4>5</vt:i4>
      </vt:variant>
      <vt:variant>
        <vt:lpwstr>https://www.nhs.uk/conditions/dementia/about-dementia/treatment/</vt:lpwstr>
      </vt:variant>
      <vt:variant>
        <vt:lpwstr/>
      </vt:variant>
      <vt:variant>
        <vt:i4>327773</vt:i4>
      </vt:variant>
      <vt:variant>
        <vt:i4>798</vt:i4>
      </vt:variant>
      <vt:variant>
        <vt:i4>0</vt:i4>
      </vt:variant>
      <vt:variant>
        <vt:i4>5</vt:i4>
      </vt:variant>
      <vt:variant>
        <vt:lpwstr>https://www.nia.nih.gov/news/epigenetics-aging-what-bodys-hands-time-tell-us</vt:lpwstr>
      </vt:variant>
      <vt:variant>
        <vt:lpwstr/>
      </vt:variant>
      <vt:variant>
        <vt:i4>327773</vt:i4>
      </vt:variant>
      <vt:variant>
        <vt:i4>795</vt:i4>
      </vt:variant>
      <vt:variant>
        <vt:i4>0</vt:i4>
      </vt:variant>
      <vt:variant>
        <vt:i4>5</vt:i4>
      </vt:variant>
      <vt:variant>
        <vt:lpwstr>https://www.nia.nih.gov/news/epigenetics-aging-what-bodys-hands-time-tell-us</vt:lpwstr>
      </vt:variant>
      <vt:variant>
        <vt:lpwstr/>
      </vt:variant>
      <vt:variant>
        <vt:i4>327773</vt:i4>
      </vt:variant>
      <vt:variant>
        <vt:i4>792</vt:i4>
      </vt:variant>
      <vt:variant>
        <vt:i4>0</vt:i4>
      </vt:variant>
      <vt:variant>
        <vt:i4>5</vt:i4>
      </vt:variant>
      <vt:variant>
        <vt:lpwstr>https://www.nia.nih.gov/news/epigenetics-aging-what-bodys-hands-time-tell-us</vt:lpwstr>
      </vt:variant>
      <vt:variant>
        <vt:lpwstr/>
      </vt:variant>
      <vt:variant>
        <vt:i4>327773</vt:i4>
      </vt:variant>
      <vt:variant>
        <vt:i4>789</vt:i4>
      </vt:variant>
      <vt:variant>
        <vt:i4>0</vt:i4>
      </vt:variant>
      <vt:variant>
        <vt:i4>5</vt:i4>
      </vt:variant>
      <vt:variant>
        <vt:lpwstr>https://www.nia.nih.gov/news/epigenetics-aging-what-bodys-hands-time-tell-us</vt:lpwstr>
      </vt:variant>
      <vt:variant>
        <vt:lpwstr/>
      </vt:variant>
      <vt:variant>
        <vt:i4>2031687</vt:i4>
      </vt:variant>
      <vt:variant>
        <vt:i4>786</vt:i4>
      </vt:variant>
      <vt:variant>
        <vt:i4>0</vt:i4>
      </vt:variant>
      <vt:variant>
        <vt:i4>5</vt:i4>
      </vt:variant>
      <vt:variant>
        <vt:lpwstr>https://hms.harvard.edu/news/loss-epigenetic-information-can-drive-aging-restoration-can-reverse</vt:lpwstr>
      </vt:variant>
      <vt:variant>
        <vt:lpwstr/>
      </vt:variant>
      <vt:variant>
        <vt:i4>327773</vt:i4>
      </vt:variant>
      <vt:variant>
        <vt:i4>783</vt:i4>
      </vt:variant>
      <vt:variant>
        <vt:i4>0</vt:i4>
      </vt:variant>
      <vt:variant>
        <vt:i4>5</vt:i4>
      </vt:variant>
      <vt:variant>
        <vt:lpwstr>https://www.nia.nih.gov/news/epigenetics-aging-what-bodys-hands-time-tell-us</vt:lpwstr>
      </vt:variant>
      <vt:variant>
        <vt:lpwstr/>
      </vt:variant>
      <vt:variant>
        <vt:i4>2031687</vt:i4>
      </vt:variant>
      <vt:variant>
        <vt:i4>780</vt:i4>
      </vt:variant>
      <vt:variant>
        <vt:i4>0</vt:i4>
      </vt:variant>
      <vt:variant>
        <vt:i4>5</vt:i4>
      </vt:variant>
      <vt:variant>
        <vt:lpwstr>https://hms.harvard.edu/news/loss-epigenetic-information-can-drive-aging-restoration-can-reverse</vt:lpwstr>
      </vt:variant>
      <vt:variant>
        <vt:lpwstr/>
      </vt:variant>
      <vt:variant>
        <vt:i4>327773</vt:i4>
      </vt:variant>
      <vt:variant>
        <vt:i4>777</vt:i4>
      </vt:variant>
      <vt:variant>
        <vt:i4>0</vt:i4>
      </vt:variant>
      <vt:variant>
        <vt:i4>5</vt:i4>
      </vt:variant>
      <vt:variant>
        <vt:lpwstr>https://www.nia.nih.gov/news/epigenetics-aging-what-bodys-hands-time-tell-us</vt:lpwstr>
      </vt:variant>
      <vt:variant>
        <vt:lpwstr/>
      </vt:variant>
      <vt:variant>
        <vt:i4>4128881</vt:i4>
      </vt:variant>
      <vt:variant>
        <vt:i4>774</vt:i4>
      </vt:variant>
      <vt:variant>
        <vt:i4>0</vt:i4>
      </vt:variant>
      <vt:variant>
        <vt:i4>5</vt:i4>
      </vt:variant>
      <vt:variant>
        <vt:lpwstr>https://www.frontiersin.org/articles/10.3389/fnmol.2020.00041/full</vt:lpwstr>
      </vt:variant>
      <vt:variant>
        <vt:lpwstr/>
      </vt:variant>
      <vt:variant>
        <vt:i4>327773</vt:i4>
      </vt:variant>
      <vt:variant>
        <vt:i4>771</vt:i4>
      </vt:variant>
      <vt:variant>
        <vt:i4>0</vt:i4>
      </vt:variant>
      <vt:variant>
        <vt:i4>5</vt:i4>
      </vt:variant>
      <vt:variant>
        <vt:lpwstr>https://www.nia.nih.gov/news/epigenetics-aging-what-bodys-hands-time-tell-us</vt:lpwstr>
      </vt:variant>
      <vt:variant>
        <vt:lpwstr/>
      </vt:variant>
      <vt:variant>
        <vt:i4>4128881</vt:i4>
      </vt:variant>
      <vt:variant>
        <vt:i4>768</vt:i4>
      </vt:variant>
      <vt:variant>
        <vt:i4>0</vt:i4>
      </vt:variant>
      <vt:variant>
        <vt:i4>5</vt:i4>
      </vt:variant>
      <vt:variant>
        <vt:lpwstr>https://www.frontiersin.org/articles/10.3389/fnmol.2020.00041/full</vt:lpwstr>
      </vt:variant>
      <vt:variant>
        <vt:lpwstr/>
      </vt:variant>
      <vt:variant>
        <vt:i4>327773</vt:i4>
      </vt:variant>
      <vt:variant>
        <vt:i4>765</vt:i4>
      </vt:variant>
      <vt:variant>
        <vt:i4>0</vt:i4>
      </vt:variant>
      <vt:variant>
        <vt:i4>5</vt:i4>
      </vt:variant>
      <vt:variant>
        <vt:lpwstr>https://www.nia.nih.gov/news/epigenetics-aging-what-bodys-hands-time-tell-us</vt:lpwstr>
      </vt:variant>
      <vt:variant>
        <vt:lpwstr/>
      </vt:variant>
      <vt:variant>
        <vt:i4>7667758</vt:i4>
      </vt:variant>
      <vt:variant>
        <vt:i4>762</vt:i4>
      </vt:variant>
      <vt:variant>
        <vt:i4>0</vt:i4>
      </vt:variant>
      <vt:variant>
        <vt:i4>5</vt:i4>
      </vt:variant>
      <vt:variant>
        <vt:lpwstr>https://www.frontiersin.org/research-topics/48405/epigenetics-and-lifestyle-in-brain-aging</vt:lpwstr>
      </vt:variant>
      <vt:variant>
        <vt:lpwstr/>
      </vt:variant>
      <vt:variant>
        <vt:i4>327773</vt:i4>
      </vt:variant>
      <vt:variant>
        <vt:i4>759</vt:i4>
      </vt:variant>
      <vt:variant>
        <vt:i4>0</vt:i4>
      </vt:variant>
      <vt:variant>
        <vt:i4>5</vt:i4>
      </vt:variant>
      <vt:variant>
        <vt:lpwstr>https://www.nia.nih.gov/news/epigenetics-aging-what-bodys-hands-time-tell-us</vt:lpwstr>
      </vt:variant>
      <vt:variant>
        <vt:lpwstr/>
      </vt:variant>
      <vt:variant>
        <vt:i4>7667758</vt:i4>
      </vt:variant>
      <vt:variant>
        <vt:i4>756</vt:i4>
      </vt:variant>
      <vt:variant>
        <vt:i4>0</vt:i4>
      </vt:variant>
      <vt:variant>
        <vt:i4>5</vt:i4>
      </vt:variant>
      <vt:variant>
        <vt:lpwstr>https://www.frontiersin.org/research-topics/48405/epigenetics-and-lifestyle-in-brain-aging</vt:lpwstr>
      </vt:variant>
      <vt:variant>
        <vt:lpwstr/>
      </vt:variant>
      <vt:variant>
        <vt:i4>327773</vt:i4>
      </vt:variant>
      <vt:variant>
        <vt:i4>753</vt:i4>
      </vt:variant>
      <vt:variant>
        <vt:i4>0</vt:i4>
      </vt:variant>
      <vt:variant>
        <vt:i4>5</vt:i4>
      </vt:variant>
      <vt:variant>
        <vt:lpwstr>https://www.nia.nih.gov/news/epigenetics-aging-what-bodys-hands-time-tell-us</vt:lpwstr>
      </vt:variant>
      <vt:variant>
        <vt:lpwstr/>
      </vt:variant>
      <vt:variant>
        <vt:i4>7667758</vt:i4>
      </vt:variant>
      <vt:variant>
        <vt:i4>750</vt:i4>
      </vt:variant>
      <vt:variant>
        <vt:i4>0</vt:i4>
      </vt:variant>
      <vt:variant>
        <vt:i4>5</vt:i4>
      </vt:variant>
      <vt:variant>
        <vt:lpwstr>https://www.frontiersin.org/research-topics/48405/epigenetics-and-lifestyle-in-brain-aging</vt:lpwstr>
      </vt:variant>
      <vt:variant>
        <vt:lpwstr/>
      </vt:variant>
      <vt:variant>
        <vt:i4>4128881</vt:i4>
      </vt:variant>
      <vt:variant>
        <vt:i4>747</vt:i4>
      </vt:variant>
      <vt:variant>
        <vt:i4>0</vt:i4>
      </vt:variant>
      <vt:variant>
        <vt:i4>5</vt:i4>
      </vt:variant>
      <vt:variant>
        <vt:lpwstr>https://www.frontiersin.org/articles/10.3389/fnmol.2020.00041/full</vt:lpwstr>
      </vt:variant>
      <vt:variant>
        <vt:lpwstr/>
      </vt:variant>
      <vt:variant>
        <vt:i4>2031687</vt:i4>
      </vt:variant>
      <vt:variant>
        <vt:i4>744</vt:i4>
      </vt:variant>
      <vt:variant>
        <vt:i4>0</vt:i4>
      </vt:variant>
      <vt:variant>
        <vt:i4>5</vt:i4>
      </vt:variant>
      <vt:variant>
        <vt:lpwstr>https://hms.harvard.edu/news/loss-epigenetic-information-can-drive-aging-restoration-can-reverse</vt:lpwstr>
      </vt:variant>
      <vt:variant>
        <vt:lpwstr/>
      </vt:variant>
      <vt:variant>
        <vt:i4>327773</vt:i4>
      </vt:variant>
      <vt:variant>
        <vt:i4>741</vt:i4>
      </vt:variant>
      <vt:variant>
        <vt:i4>0</vt:i4>
      </vt:variant>
      <vt:variant>
        <vt:i4>5</vt:i4>
      </vt:variant>
      <vt:variant>
        <vt:lpwstr>https://www.nia.nih.gov/news/epigenetics-aging-what-bodys-hands-time-tell-us</vt:lpwstr>
      </vt:variant>
      <vt:variant>
        <vt:lpwstr/>
      </vt:variant>
      <vt:variant>
        <vt:i4>327773</vt:i4>
      </vt:variant>
      <vt:variant>
        <vt:i4>738</vt:i4>
      </vt:variant>
      <vt:variant>
        <vt:i4>0</vt:i4>
      </vt:variant>
      <vt:variant>
        <vt:i4>5</vt:i4>
      </vt:variant>
      <vt:variant>
        <vt:lpwstr>https://www.nia.nih.gov/news/epigenetics-aging-what-bodys-hands-time-tell-us</vt:lpwstr>
      </vt:variant>
      <vt:variant>
        <vt:lpwstr/>
      </vt:variant>
      <vt:variant>
        <vt:i4>1179657</vt:i4>
      </vt:variant>
      <vt:variant>
        <vt:i4>735</vt:i4>
      </vt:variant>
      <vt:variant>
        <vt:i4>0</vt:i4>
      </vt:variant>
      <vt:variant>
        <vt:i4>5</vt:i4>
      </vt:variant>
      <vt:variant>
        <vt:lpwstr>https://www.alzdiscovery.org/cognitive-vitality/blog/what-apoe-means-for-your-health</vt:lpwstr>
      </vt:variant>
      <vt:variant>
        <vt:lpwstr/>
      </vt:variant>
      <vt:variant>
        <vt:i4>1179657</vt:i4>
      </vt:variant>
      <vt:variant>
        <vt:i4>732</vt:i4>
      </vt:variant>
      <vt:variant>
        <vt:i4>0</vt:i4>
      </vt:variant>
      <vt:variant>
        <vt:i4>5</vt:i4>
      </vt:variant>
      <vt:variant>
        <vt:lpwstr>https://www.alzdiscovery.org/cognitive-vitality/blog/what-apoe-means-for-your-health</vt:lpwstr>
      </vt:variant>
      <vt:variant>
        <vt:lpwstr/>
      </vt:variant>
      <vt:variant>
        <vt:i4>3407911</vt:i4>
      </vt:variant>
      <vt:variant>
        <vt:i4>729</vt:i4>
      </vt:variant>
      <vt:variant>
        <vt:i4>0</vt:i4>
      </vt:variant>
      <vt:variant>
        <vt:i4>5</vt:i4>
      </vt:variant>
      <vt:variant>
        <vt:lpwstr>https://molecularneurodegeneration.biomedcentral.com/articles/10.1186/s13024-019-0324-6</vt:lpwstr>
      </vt:variant>
      <vt:variant>
        <vt:lpwstr/>
      </vt:variant>
      <vt:variant>
        <vt:i4>3407911</vt:i4>
      </vt:variant>
      <vt:variant>
        <vt:i4>726</vt:i4>
      </vt:variant>
      <vt:variant>
        <vt:i4>0</vt:i4>
      </vt:variant>
      <vt:variant>
        <vt:i4>5</vt:i4>
      </vt:variant>
      <vt:variant>
        <vt:lpwstr>https://molecularneurodegeneration.biomedcentral.com/articles/10.1186/s13024-019-0324-6</vt:lpwstr>
      </vt:variant>
      <vt:variant>
        <vt:lpwstr/>
      </vt:variant>
      <vt:variant>
        <vt:i4>1114128</vt:i4>
      </vt:variant>
      <vt:variant>
        <vt:i4>723</vt:i4>
      </vt:variant>
      <vt:variant>
        <vt:i4>0</vt:i4>
      </vt:variant>
      <vt:variant>
        <vt:i4>5</vt:i4>
      </vt:variant>
      <vt:variant>
        <vt:lpwstr>https://alzres.biomedcentral.com/articles/10.1186/s13195-020-00740-0</vt:lpwstr>
      </vt:variant>
      <vt:variant>
        <vt:lpwstr/>
      </vt:variant>
      <vt:variant>
        <vt:i4>1114128</vt:i4>
      </vt:variant>
      <vt:variant>
        <vt:i4>720</vt:i4>
      </vt:variant>
      <vt:variant>
        <vt:i4>0</vt:i4>
      </vt:variant>
      <vt:variant>
        <vt:i4>5</vt:i4>
      </vt:variant>
      <vt:variant>
        <vt:lpwstr>https://alzres.biomedcentral.com/articles/10.1186/s13195-020-00740-0</vt:lpwstr>
      </vt:variant>
      <vt:variant>
        <vt:lpwstr/>
      </vt:variant>
      <vt:variant>
        <vt:i4>1114128</vt:i4>
      </vt:variant>
      <vt:variant>
        <vt:i4>717</vt:i4>
      </vt:variant>
      <vt:variant>
        <vt:i4>0</vt:i4>
      </vt:variant>
      <vt:variant>
        <vt:i4>5</vt:i4>
      </vt:variant>
      <vt:variant>
        <vt:lpwstr>https://alzres.biomedcentral.com/articles/10.1186/s13195-020-00740-0</vt:lpwstr>
      </vt:variant>
      <vt:variant>
        <vt:lpwstr/>
      </vt:variant>
      <vt:variant>
        <vt:i4>1114128</vt:i4>
      </vt:variant>
      <vt:variant>
        <vt:i4>714</vt:i4>
      </vt:variant>
      <vt:variant>
        <vt:i4>0</vt:i4>
      </vt:variant>
      <vt:variant>
        <vt:i4>5</vt:i4>
      </vt:variant>
      <vt:variant>
        <vt:lpwstr>https://alzres.biomedcentral.com/articles/10.1186/s13195-020-00740-0</vt:lpwstr>
      </vt:variant>
      <vt:variant>
        <vt:lpwstr/>
      </vt:variant>
      <vt:variant>
        <vt:i4>1114128</vt:i4>
      </vt:variant>
      <vt:variant>
        <vt:i4>711</vt:i4>
      </vt:variant>
      <vt:variant>
        <vt:i4>0</vt:i4>
      </vt:variant>
      <vt:variant>
        <vt:i4>5</vt:i4>
      </vt:variant>
      <vt:variant>
        <vt:lpwstr>https://alzres.biomedcentral.com/articles/10.1186/s13195-020-00740-0</vt:lpwstr>
      </vt:variant>
      <vt:variant>
        <vt:lpwstr/>
      </vt:variant>
      <vt:variant>
        <vt:i4>3407911</vt:i4>
      </vt:variant>
      <vt:variant>
        <vt:i4>708</vt:i4>
      </vt:variant>
      <vt:variant>
        <vt:i4>0</vt:i4>
      </vt:variant>
      <vt:variant>
        <vt:i4>5</vt:i4>
      </vt:variant>
      <vt:variant>
        <vt:lpwstr>https://molecularneurodegeneration.biomedcentral.com/articles/10.1186/s13024-019-0324-6</vt:lpwstr>
      </vt:variant>
      <vt:variant>
        <vt:lpwstr/>
      </vt:variant>
      <vt:variant>
        <vt:i4>3014762</vt:i4>
      </vt:variant>
      <vt:variant>
        <vt:i4>705</vt:i4>
      </vt:variant>
      <vt:variant>
        <vt:i4>0</vt:i4>
      </vt:variant>
      <vt:variant>
        <vt:i4>5</vt:i4>
      </vt:variant>
      <vt:variant>
        <vt:lpwstr>https://www.nature.com/articles/s41598-023-41078-5.pdf</vt:lpwstr>
      </vt:variant>
      <vt:variant>
        <vt:lpwstr/>
      </vt:variant>
      <vt:variant>
        <vt:i4>3407911</vt:i4>
      </vt:variant>
      <vt:variant>
        <vt:i4>702</vt:i4>
      </vt:variant>
      <vt:variant>
        <vt:i4>0</vt:i4>
      </vt:variant>
      <vt:variant>
        <vt:i4>5</vt:i4>
      </vt:variant>
      <vt:variant>
        <vt:lpwstr>https://molecularneurodegeneration.biomedcentral.com/articles/10.1186/s13024-019-0324-6</vt:lpwstr>
      </vt:variant>
      <vt:variant>
        <vt:lpwstr/>
      </vt:variant>
      <vt:variant>
        <vt:i4>3407911</vt:i4>
      </vt:variant>
      <vt:variant>
        <vt:i4>699</vt:i4>
      </vt:variant>
      <vt:variant>
        <vt:i4>0</vt:i4>
      </vt:variant>
      <vt:variant>
        <vt:i4>5</vt:i4>
      </vt:variant>
      <vt:variant>
        <vt:lpwstr>https://molecularneurodegeneration.biomedcentral.com/articles/10.1186/s13024-019-0324-6</vt:lpwstr>
      </vt:variant>
      <vt:variant>
        <vt:lpwstr/>
      </vt:variant>
      <vt:variant>
        <vt:i4>3014762</vt:i4>
      </vt:variant>
      <vt:variant>
        <vt:i4>696</vt:i4>
      </vt:variant>
      <vt:variant>
        <vt:i4>0</vt:i4>
      </vt:variant>
      <vt:variant>
        <vt:i4>5</vt:i4>
      </vt:variant>
      <vt:variant>
        <vt:lpwstr>https://www.nature.com/articles/s41598-023-41078-5.pdf</vt:lpwstr>
      </vt:variant>
      <vt:variant>
        <vt:lpwstr/>
      </vt:variant>
      <vt:variant>
        <vt:i4>3407911</vt:i4>
      </vt:variant>
      <vt:variant>
        <vt:i4>693</vt:i4>
      </vt:variant>
      <vt:variant>
        <vt:i4>0</vt:i4>
      </vt:variant>
      <vt:variant>
        <vt:i4>5</vt:i4>
      </vt:variant>
      <vt:variant>
        <vt:lpwstr>https://molecularneurodegeneration.biomedcentral.com/articles/10.1186/s13024-019-0324-6</vt:lpwstr>
      </vt:variant>
      <vt:variant>
        <vt:lpwstr/>
      </vt:variant>
      <vt:variant>
        <vt:i4>3407911</vt:i4>
      </vt:variant>
      <vt:variant>
        <vt:i4>690</vt:i4>
      </vt:variant>
      <vt:variant>
        <vt:i4>0</vt:i4>
      </vt:variant>
      <vt:variant>
        <vt:i4>5</vt:i4>
      </vt:variant>
      <vt:variant>
        <vt:lpwstr>https://molecularneurodegeneration.biomedcentral.com/articles/10.1186/s13024-019-0324-6</vt:lpwstr>
      </vt:variant>
      <vt:variant>
        <vt:lpwstr/>
      </vt:variant>
      <vt:variant>
        <vt:i4>5242963</vt:i4>
      </vt:variant>
      <vt:variant>
        <vt:i4>687</vt:i4>
      </vt:variant>
      <vt:variant>
        <vt:i4>0</vt:i4>
      </vt:variant>
      <vt:variant>
        <vt:i4>5</vt:i4>
      </vt:variant>
      <vt:variant>
        <vt:lpwstr>https://med.stanford.edu/news/all-news/2023/08/brain-aging-genes.html</vt:lpwstr>
      </vt:variant>
      <vt:variant>
        <vt:lpwstr/>
      </vt:variant>
      <vt:variant>
        <vt:i4>6029329</vt:i4>
      </vt:variant>
      <vt:variant>
        <vt:i4>684</vt:i4>
      </vt:variant>
      <vt:variant>
        <vt:i4>0</vt:i4>
      </vt:variant>
      <vt:variant>
        <vt:i4>5</vt:i4>
      </vt:variant>
      <vt:variant>
        <vt:lpwstr>https://behavioralandbrainfunctions.biomedcentral.com/articles/10.1186/s12993-021-00179-9</vt:lpwstr>
      </vt:variant>
      <vt:variant>
        <vt:lpwstr/>
      </vt:variant>
      <vt:variant>
        <vt:i4>2883645</vt:i4>
      </vt:variant>
      <vt:variant>
        <vt:i4>681</vt:i4>
      </vt:variant>
      <vt:variant>
        <vt:i4>0</vt:i4>
      </vt:variant>
      <vt:variant>
        <vt:i4>5</vt:i4>
      </vt:variant>
      <vt:variant>
        <vt:lpwstr>https://neurosciencenews.com/genetics-brain-aging-6250/</vt:lpwstr>
      </vt:variant>
      <vt:variant>
        <vt:lpwstr/>
      </vt:variant>
      <vt:variant>
        <vt:i4>6029329</vt:i4>
      </vt:variant>
      <vt:variant>
        <vt:i4>678</vt:i4>
      </vt:variant>
      <vt:variant>
        <vt:i4>0</vt:i4>
      </vt:variant>
      <vt:variant>
        <vt:i4>5</vt:i4>
      </vt:variant>
      <vt:variant>
        <vt:lpwstr>https://behavioralandbrainfunctions.biomedcentral.com/articles/10.1186/s12993-021-00179-9</vt:lpwstr>
      </vt:variant>
      <vt:variant>
        <vt:lpwstr/>
      </vt:variant>
      <vt:variant>
        <vt:i4>524289</vt:i4>
      </vt:variant>
      <vt:variant>
        <vt:i4>675</vt:i4>
      </vt:variant>
      <vt:variant>
        <vt:i4>0</vt:i4>
      </vt:variant>
      <vt:variant>
        <vt:i4>5</vt:i4>
      </vt:variant>
      <vt:variant>
        <vt:lpwstr>https://medicalxpress.com/news/2023-08-gene-fingerprint-brain-aging.html</vt:lpwstr>
      </vt:variant>
      <vt:variant>
        <vt:lpwstr/>
      </vt:variant>
      <vt:variant>
        <vt:i4>5242963</vt:i4>
      </vt:variant>
      <vt:variant>
        <vt:i4>672</vt:i4>
      </vt:variant>
      <vt:variant>
        <vt:i4>0</vt:i4>
      </vt:variant>
      <vt:variant>
        <vt:i4>5</vt:i4>
      </vt:variant>
      <vt:variant>
        <vt:lpwstr>https://med.stanford.edu/news/all-news/2023/08/brain-aging-genes.html</vt:lpwstr>
      </vt:variant>
      <vt:variant>
        <vt:lpwstr/>
      </vt:variant>
      <vt:variant>
        <vt:i4>6029329</vt:i4>
      </vt:variant>
      <vt:variant>
        <vt:i4>669</vt:i4>
      </vt:variant>
      <vt:variant>
        <vt:i4>0</vt:i4>
      </vt:variant>
      <vt:variant>
        <vt:i4>5</vt:i4>
      </vt:variant>
      <vt:variant>
        <vt:lpwstr>https://behavioralandbrainfunctions.biomedcentral.com/articles/10.1186/s12993-021-00179-9</vt:lpwstr>
      </vt:variant>
      <vt:variant>
        <vt:lpwstr/>
      </vt:variant>
      <vt:variant>
        <vt:i4>524289</vt:i4>
      </vt:variant>
      <vt:variant>
        <vt:i4>666</vt:i4>
      </vt:variant>
      <vt:variant>
        <vt:i4>0</vt:i4>
      </vt:variant>
      <vt:variant>
        <vt:i4>5</vt:i4>
      </vt:variant>
      <vt:variant>
        <vt:lpwstr>https://medicalxpress.com/news/2023-08-gene-fingerprint-brain-aging.html</vt:lpwstr>
      </vt:variant>
      <vt:variant>
        <vt:lpwstr/>
      </vt:variant>
      <vt:variant>
        <vt:i4>5242963</vt:i4>
      </vt:variant>
      <vt:variant>
        <vt:i4>663</vt:i4>
      </vt:variant>
      <vt:variant>
        <vt:i4>0</vt:i4>
      </vt:variant>
      <vt:variant>
        <vt:i4>5</vt:i4>
      </vt:variant>
      <vt:variant>
        <vt:lpwstr>https://med.stanford.edu/news/all-news/2023/08/brain-aging-genes.html</vt:lpwstr>
      </vt:variant>
      <vt:variant>
        <vt:lpwstr/>
      </vt:variant>
      <vt:variant>
        <vt:i4>6029329</vt:i4>
      </vt:variant>
      <vt:variant>
        <vt:i4>660</vt:i4>
      </vt:variant>
      <vt:variant>
        <vt:i4>0</vt:i4>
      </vt:variant>
      <vt:variant>
        <vt:i4>5</vt:i4>
      </vt:variant>
      <vt:variant>
        <vt:lpwstr>https://behavioralandbrainfunctions.biomedcentral.com/articles/10.1186/s12993-021-00179-9</vt:lpwstr>
      </vt:variant>
      <vt:variant>
        <vt:lpwstr/>
      </vt:variant>
      <vt:variant>
        <vt:i4>5242963</vt:i4>
      </vt:variant>
      <vt:variant>
        <vt:i4>657</vt:i4>
      </vt:variant>
      <vt:variant>
        <vt:i4>0</vt:i4>
      </vt:variant>
      <vt:variant>
        <vt:i4>5</vt:i4>
      </vt:variant>
      <vt:variant>
        <vt:lpwstr>https://med.stanford.edu/news/all-news/2023/08/brain-aging-genes.html</vt:lpwstr>
      </vt:variant>
      <vt:variant>
        <vt:lpwstr/>
      </vt:variant>
      <vt:variant>
        <vt:i4>6029329</vt:i4>
      </vt:variant>
      <vt:variant>
        <vt:i4>654</vt:i4>
      </vt:variant>
      <vt:variant>
        <vt:i4>0</vt:i4>
      </vt:variant>
      <vt:variant>
        <vt:i4>5</vt:i4>
      </vt:variant>
      <vt:variant>
        <vt:lpwstr>https://behavioralandbrainfunctions.biomedcentral.com/articles/10.1186/s12993-021-00179-9</vt:lpwstr>
      </vt:variant>
      <vt:variant>
        <vt:lpwstr/>
      </vt:variant>
      <vt:variant>
        <vt:i4>524289</vt:i4>
      </vt:variant>
      <vt:variant>
        <vt:i4>651</vt:i4>
      </vt:variant>
      <vt:variant>
        <vt:i4>0</vt:i4>
      </vt:variant>
      <vt:variant>
        <vt:i4>5</vt:i4>
      </vt:variant>
      <vt:variant>
        <vt:lpwstr>https://medicalxpress.com/news/2023-08-gene-fingerprint-brain-aging.html</vt:lpwstr>
      </vt:variant>
      <vt:variant>
        <vt:lpwstr/>
      </vt:variant>
      <vt:variant>
        <vt:i4>2883645</vt:i4>
      </vt:variant>
      <vt:variant>
        <vt:i4>648</vt:i4>
      </vt:variant>
      <vt:variant>
        <vt:i4>0</vt:i4>
      </vt:variant>
      <vt:variant>
        <vt:i4>5</vt:i4>
      </vt:variant>
      <vt:variant>
        <vt:lpwstr>https://neurosciencenews.com/genetics-brain-aging-6250/</vt:lpwstr>
      </vt:variant>
      <vt:variant>
        <vt:lpwstr/>
      </vt:variant>
      <vt:variant>
        <vt:i4>5242963</vt:i4>
      </vt:variant>
      <vt:variant>
        <vt:i4>645</vt:i4>
      </vt:variant>
      <vt:variant>
        <vt:i4>0</vt:i4>
      </vt:variant>
      <vt:variant>
        <vt:i4>5</vt:i4>
      </vt:variant>
      <vt:variant>
        <vt:lpwstr>https://med.stanford.edu/news/all-news/2023/08/brain-aging-genes.html</vt:lpwstr>
      </vt:variant>
      <vt:variant>
        <vt:lpwstr/>
      </vt:variant>
      <vt:variant>
        <vt:i4>6029329</vt:i4>
      </vt:variant>
      <vt:variant>
        <vt:i4>642</vt:i4>
      </vt:variant>
      <vt:variant>
        <vt:i4>0</vt:i4>
      </vt:variant>
      <vt:variant>
        <vt:i4>5</vt:i4>
      </vt:variant>
      <vt:variant>
        <vt:lpwstr>https://behavioralandbrainfunctions.biomedcentral.com/articles/10.1186/s12993-021-00179-9</vt:lpwstr>
      </vt:variant>
      <vt:variant>
        <vt:lpwstr/>
      </vt:variant>
      <vt:variant>
        <vt:i4>6029329</vt:i4>
      </vt:variant>
      <vt:variant>
        <vt:i4>639</vt:i4>
      </vt:variant>
      <vt:variant>
        <vt:i4>0</vt:i4>
      </vt:variant>
      <vt:variant>
        <vt:i4>5</vt:i4>
      </vt:variant>
      <vt:variant>
        <vt:lpwstr>https://behavioralandbrainfunctions.biomedcentral.com/articles/10.1186/s12993-021-00179-9</vt:lpwstr>
      </vt:variant>
      <vt:variant>
        <vt:lpwstr/>
      </vt:variant>
      <vt:variant>
        <vt:i4>6029329</vt:i4>
      </vt:variant>
      <vt:variant>
        <vt:i4>636</vt:i4>
      </vt:variant>
      <vt:variant>
        <vt:i4>0</vt:i4>
      </vt:variant>
      <vt:variant>
        <vt:i4>5</vt:i4>
      </vt:variant>
      <vt:variant>
        <vt:lpwstr>https://behavioralandbrainfunctions.biomedcentral.com/articles/10.1186/s12993-021-00179-9</vt:lpwstr>
      </vt:variant>
      <vt:variant>
        <vt:lpwstr/>
      </vt:variant>
      <vt:variant>
        <vt:i4>6029329</vt:i4>
      </vt:variant>
      <vt:variant>
        <vt:i4>633</vt:i4>
      </vt:variant>
      <vt:variant>
        <vt:i4>0</vt:i4>
      </vt:variant>
      <vt:variant>
        <vt:i4>5</vt:i4>
      </vt:variant>
      <vt:variant>
        <vt:lpwstr>https://behavioralandbrainfunctions.biomedcentral.com/articles/10.1186/s12993-021-00179-9</vt:lpwstr>
      </vt:variant>
      <vt:variant>
        <vt:lpwstr/>
      </vt:variant>
      <vt:variant>
        <vt:i4>6029329</vt:i4>
      </vt:variant>
      <vt:variant>
        <vt:i4>630</vt:i4>
      </vt:variant>
      <vt:variant>
        <vt:i4>0</vt:i4>
      </vt:variant>
      <vt:variant>
        <vt:i4>5</vt:i4>
      </vt:variant>
      <vt:variant>
        <vt:lpwstr>https://behavioralandbrainfunctions.biomedcentral.com/articles/10.1186/s12993-021-00179-9</vt:lpwstr>
      </vt:variant>
      <vt:variant>
        <vt:lpwstr/>
      </vt:variant>
      <vt:variant>
        <vt:i4>6029329</vt:i4>
      </vt:variant>
      <vt:variant>
        <vt:i4>627</vt:i4>
      </vt:variant>
      <vt:variant>
        <vt:i4>0</vt:i4>
      </vt:variant>
      <vt:variant>
        <vt:i4>5</vt:i4>
      </vt:variant>
      <vt:variant>
        <vt:lpwstr>https://behavioralandbrainfunctions.biomedcentral.com/articles/10.1186/s12993-021-00179-9</vt:lpwstr>
      </vt:variant>
      <vt:variant>
        <vt:lpwstr/>
      </vt:variant>
      <vt:variant>
        <vt:i4>983134</vt:i4>
      </vt:variant>
      <vt:variant>
        <vt:i4>624</vt:i4>
      </vt:variant>
      <vt:variant>
        <vt:i4>0</vt:i4>
      </vt:variant>
      <vt:variant>
        <vt:i4>5</vt:i4>
      </vt:variant>
      <vt:variant>
        <vt:lpwstr>https://www.brainfacts.org/Thinking-Sensing-and-Behaving/Aging/2019/How-the-Brain-Changes-With-Age-083019</vt:lpwstr>
      </vt:variant>
      <vt:variant>
        <vt:lpwstr/>
      </vt:variant>
      <vt:variant>
        <vt:i4>6029329</vt:i4>
      </vt:variant>
      <vt:variant>
        <vt:i4>621</vt:i4>
      </vt:variant>
      <vt:variant>
        <vt:i4>0</vt:i4>
      </vt:variant>
      <vt:variant>
        <vt:i4>5</vt:i4>
      </vt:variant>
      <vt:variant>
        <vt:lpwstr>https://behavioralandbrainfunctions.biomedcentral.com/articles/10.1186/s12993-021-00179-9</vt:lpwstr>
      </vt:variant>
      <vt:variant>
        <vt:lpwstr/>
      </vt:variant>
      <vt:variant>
        <vt:i4>983134</vt:i4>
      </vt:variant>
      <vt:variant>
        <vt:i4>618</vt:i4>
      </vt:variant>
      <vt:variant>
        <vt:i4>0</vt:i4>
      </vt:variant>
      <vt:variant>
        <vt:i4>5</vt:i4>
      </vt:variant>
      <vt:variant>
        <vt:lpwstr>https://www.brainfacts.org/Thinking-Sensing-and-Behaving/Aging/2019/How-the-Brain-Changes-With-Age-083019</vt:lpwstr>
      </vt:variant>
      <vt:variant>
        <vt:lpwstr/>
      </vt:variant>
      <vt:variant>
        <vt:i4>6029329</vt:i4>
      </vt:variant>
      <vt:variant>
        <vt:i4>615</vt:i4>
      </vt:variant>
      <vt:variant>
        <vt:i4>0</vt:i4>
      </vt:variant>
      <vt:variant>
        <vt:i4>5</vt:i4>
      </vt:variant>
      <vt:variant>
        <vt:lpwstr>https://behavioralandbrainfunctions.biomedcentral.com/articles/10.1186/s12993-021-00179-9</vt:lpwstr>
      </vt:variant>
      <vt:variant>
        <vt:lpwstr/>
      </vt:variant>
      <vt:variant>
        <vt:i4>983134</vt:i4>
      </vt:variant>
      <vt:variant>
        <vt:i4>612</vt:i4>
      </vt:variant>
      <vt:variant>
        <vt:i4>0</vt:i4>
      </vt:variant>
      <vt:variant>
        <vt:i4>5</vt:i4>
      </vt:variant>
      <vt:variant>
        <vt:lpwstr>https://www.brainfacts.org/Thinking-Sensing-and-Behaving/Aging/2019/How-the-Brain-Changes-With-Age-083019</vt:lpwstr>
      </vt:variant>
      <vt:variant>
        <vt:lpwstr/>
      </vt:variant>
      <vt:variant>
        <vt:i4>6029329</vt:i4>
      </vt:variant>
      <vt:variant>
        <vt:i4>609</vt:i4>
      </vt:variant>
      <vt:variant>
        <vt:i4>0</vt:i4>
      </vt:variant>
      <vt:variant>
        <vt:i4>5</vt:i4>
      </vt:variant>
      <vt:variant>
        <vt:lpwstr>https://behavioralandbrainfunctions.biomedcentral.com/articles/10.1186/s12993-021-00179-9</vt:lpwstr>
      </vt:variant>
      <vt:variant>
        <vt:lpwstr/>
      </vt:variant>
      <vt:variant>
        <vt:i4>983134</vt:i4>
      </vt:variant>
      <vt:variant>
        <vt:i4>606</vt:i4>
      </vt:variant>
      <vt:variant>
        <vt:i4>0</vt:i4>
      </vt:variant>
      <vt:variant>
        <vt:i4>5</vt:i4>
      </vt:variant>
      <vt:variant>
        <vt:lpwstr>https://www.brainfacts.org/Thinking-Sensing-and-Behaving/Aging/2019/How-the-Brain-Changes-With-Age-083019</vt:lpwstr>
      </vt:variant>
      <vt:variant>
        <vt:lpwstr/>
      </vt:variant>
      <vt:variant>
        <vt:i4>6029329</vt:i4>
      </vt:variant>
      <vt:variant>
        <vt:i4>603</vt:i4>
      </vt:variant>
      <vt:variant>
        <vt:i4>0</vt:i4>
      </vt:variant>
      <vt:variant>
        <vt:i4>5</vt:i4>
      </vt:variant>
      <vt:variant>
        <vt:lpwstr>https://behavioralandbrainfunctions.biomedcentral.com/articles/10.1186/s12993-021-00179-9</vt:lpwstr>
      </vt:variant>
      <vt:variant>
        <vt:lpwstr/>
      </vt:variant>
      <vt:variant>
        <vt:i4>983134</vt:i4>
      </vt:variant>
      <vt:variant>
        <vt:i4>600</vt:i4>
      </vt:variant>
      <vt:variant>
        <vt:i4>0</vt:i4>
      </vt:variant>
      <vt:variant>
        <vt:i4>5</vt:i4>
      </vt:variant>
      <vt:variant>
        <vt:lpwstr>https://www.brainfacts.org/Thinking-Sensing-and-Behaving/Aging/2019/How-the-Brain-Changes-With-Age-083019</vt:lpwstr>
      </vt:variant>
      <vt:variant>
        <vt:lpwstr/>
      </vt:variant>
      <vt:variant>
        <vt:i4>6029329</vt:i4>
      </vt:variant>
      <vt:variant>
        <vt:i4>597</vt:i4>
      </vt:variant>
      <vt:variant>
        <vt:i4>0</vt:i4>
      </vt:variant>
      <vt:variant>
        <vt:i4>5</vt:i4>
      </vt:variant>
      <vt:variant>
        <vt:lpwstr>https://behavioralandbrainfunctions.biomedcentral.com/articles/10.1186/s12993-021-00179-9</vt:lpwstr>
      </vt:variant>
      <vt:variant>
        <vt:lpwstr/>
      </vt:variant>
      <vt:variant>
        <vt:i4>6029329</vt:i4>
      </vt:variant>
      <vt:variant>
        <vt:i4>594</vt:i4>
      </vt:variant>
      <vt:variant>
        <vt:i4>0</vt:i4>
      </vt:variant>
      <vt:variant>
        <vt:i4>5</vt:i4>
      </vt:variant>
      <vt:variant>
        <vt:lpwstr>https://behavioralandbrainfunctions.biomedcentral.com/articles/10.1186/s12993-021-00179-9</vt:lpwstr>
      </vt:variant>
      <vt:variant>
        <vt:lpwstr/>
      </vt:variant>
      <vt:variant>
        <vt:i4>6029329</vt:i4>
      </vt:variant>
      <vt:variant>
        <vt:i4>591</vt:i4>
      </vt:variant>
      <vt:variant>
        <vt:i4>0</vt:i4>
      </vt:variant>
      <vt:variant>
        <vt:i4>5</vt:i4>
      </vt:variant>
      <vt:variant>
        <vt:lpwstr>https://behavioralandbrainfunctions.biomedcentral.com/articles/10.1186/s12993-021-00179-9</vt:lpwstr>
      </vt:variant>
      <vt:variant>
        <vt:lpwstr/>
      </vt:variant>
      <vt:variant>
        <vt:i4>6029329</vt:i4>
      </vt:variant>
      <vt:variant>
        <vt:i4>588</vt:i4>
      </vt:variant>
      <vt:variant>
        <vt:i4>0</vt:i4>
      </vt:variant>
      <vt:variant>
        <vt:i4>5</vt:i4>
      </vt:variant>
      <vt:variant>
        <vt:lpwstr>https://behavioralandbrainfunctions.biomedcentral.com/articles/10.1186/s12993-021-00179-9</vt:lpwstr>
      </vt:variant>
      <vt:variant>
        <vt:lpwstr/>
      </vt:variant>
      <vt:variant>
        <vt:i4>6029329</vt:i4>
      </vt:variant>
      <vt:variant>
        <vt:i4>585</vt:i4>
      </vt:variant>
      <vt:variant>
        <vt:i4>0</vt:i4>
      </vt:variant>
      <vt:variant>
        <vt:i4>5</vt:i4>
      </vt:variant>
      <vt:variant>
        <vt:lpwstr>https://behavioralandbrainfunctions.biomedcentral.com/articles/10.1186/s12993-021-00179-9</vt:lpwstr>
      </vt:variant>
      <vt:variant>
        <vt:lpwstr/>
      </vt:variant>
      <vt:variant>
        <vt:i4>983134</vt:i4>
      </vt:variant>
      <vt:variant>
        <vt:i4>582</vt:i4>
      </vt:variant>
      <vt:variant>
        <vt:i4>0</vt:i4>
      </vt:variant>
      <vt:variant>
        <vt:i4>5</vt:i4>
      </vt:variant>
      <vt:variant>
        <vt:lpwstr>https://www.brainfacts.org/Thinking-Sensing-and-Behaving/Aging/2019/How-the-Brain-Changes-With-Age-083019</vt:lpwstr>
      </vt:variant>
      <vt:variant>
        <vt:lpwstr/>
      </vt:variant>
      <vt:variant>
        <vt:i4>6029329</vt:i4>
      </vt:variant>
      <vt:variant>
        <vt:i4>579</vt:i4>
      </vt:variant>
      <vt:variant>
        <vt:i4>0</vt:i4>
      </vt:variant>
      <vt:variant>
        <vt:i4>5</vt:i4>
      </vt:variant>
      <vt:variant>
        <vt:lpwstr>https://behavioralandbrainfunctions.biomedcentral.com/articles/10.1186/s12993-021-00179-9</vt:lpwstr>
      </vt:variant>
      <vt:variant>
        <vt:lpwstr/>
      </vt:variant>
      <vt:variant>
        <vt:i4>6029329</vt:i4>
      </vt:variant>
      <vt:variant>
        <vt:i4>576</vt:i4>
      </vt:variant>
      <vt:variant>
        <vt:i4>0</vt:i4>
      </vt:variant>
      <vt:variant>
        <vt:i4>5</vt:i4>
      </vt:variant>
      <vt:variant>
        <vt:lpwstr>https://behavioralandbrainfunctions.biomedcentral.com/articles/10.1186/s12993-021-00179-9</vt:lpwstr>
      </vt:variant>
      <vt:variant>
        <vt:lpwstr/>
      </vt:variant>
      <vt:variant>
        <vt:i4>3145791</vt:i4>
      </vt:variant>
      <vt:variant>
        <vt:i4>573</vt:i4>
      </vt:variant>
      <vt:variant>
        <vt:i4>0</vt:i4>
      </vt:variant>
      <vt:variant>
        <vt:i4>5</vt:i4>
      </vt:variant>
      <vt:variant>
        <vt:lpwstr>https://www.healthline.com/health/cognitive-decline</vt:lpwstr>
      </vt:variant>
      <vt:variant>
        <vt:lpwstr/>
      </vt:variant>
      <vt:variant>
        <vt:i4>5308443</vt:i4>
      </vt:variant>
      <vt:variant>
        <vt:i4>570</vt:i4>
      </vt:variant>
      <vt:variant>
        <vt:i4>0</vt:i4>
      </vt:variant>
      <vt:variant>
        <vt:i4>5</vt:i4>
      </vt:variant>
      <vt:variant>
        <vt:lpwstr>https://www.verywellhealth.com/cognitive-decline-8382821</vt:lpwstr>
      </vt:variant>
      <vt:variant>
        <vt:lpwstr/>
      </vt:variant>
      <vt:variant>
        <vt:i4>6422585</vt:i4>
      </vt:variant>
      <vt:variant>
        <vt:i4>567</vt:i4>
      </vt:variant>
      <vt:variant>
        <vt:i4>0</vt:i4>
      </vt:variant>
      <vt:variant>
        <vt:i4>5</vt:i4>
      </vt:variant>
      <vt:variant>
        <vt:lpwstr>https://www.medicalnewstoday.com/articles/cognitive-decline-predictors-besides-dementia</vt:lpwstr>
      </vt:variant>
      <vt:variant>
        <vt:lpwstr/>
      </vt:variant>
      <vt:variant>
        <vt:i4>6225940</vt:i4>
      </vt:variant>
      <vt:variant>
        <vt:i4>564</vt:i4>
      </vt:variant>
      <vt:variant>
        <vt:i4>0</vt:i4>
      </vt:variant>
      <vt:variant>
        <vt:i4>5</vt:i4>
      </vt:variant>
      <vt:variant>
        <vt:lpwstr>https://www.ageuk.org.uk/information-advice/health-wellbeing/mind-body/staying-sharp/thinking-skills-change-with-age/</vt:lpwstr>
      </vt:variant>
      <vt:variant>
        <vt:lpwstr/>
      </vt:variant>
      <vt:variant>
        <vt:i4>6422585</vt:i4>
      </vt:variant>
      <vt:variant>
        <vt:i4>561</vt:i4>
      </vt:variant>
      <vt:variant>
        <vt:i4>0</vt:i4>
      </vt:variant>
      <vt:variant>
        <vt:i4>5</vt:i4>
      </vt:variant>
      <vt:variant>
        <vt:lpwstr>https://www.medicalnewstoday.com/articles/cognitive-decline-predictors-besides-dementia</vt:lpwstr>
      </vt:variant>
      <vt:variant>
        <vt:lpwstr/>
      </vt:variant>
      <vt:variant>
        <vt:i4>6225940</vt:i4>
      </vt:variant>
      <vt:variant>
        <vt:i4>558</vt:i4>
      </vt:variant>
      <vt:variant>
        <vt:i4>0</vt:i4>
      </vt:variant>
      <vt:variant>
        <vt:i4>5</vt:i4>
      </vt:variant>
      <vt:variant>
        <vt:lpwstr>https://www.ageuk.org.uk/information-advice/health-wellbeing/mind-body/staying-sharp/thinking-skills-change-with-age/</vt:lpwstr>
      </vt:variant>
      <vt:variant>
        <vt:lpwstr/>
      </vt:variant>
      <vt:variant>
        <vt:i4>6422585</vt:i4>
      </vt:variant>
      <vt:variant>
        <vt:i4>555</vt:i4>
      </vt:variant>
      <vt:variant>
        <vt:i4>0</vt:i4>
      </vt:variant>
      <vt:variant>
        <vt:i4>5</vt:i4>
      </vt:variant>
      <vt:variant>
        <vt:lpwstr>https://www.medicalnewstoday.com/articles/cognitive-decline-predictors-besides-dementia</vt:lpwstr>
      </vt:variant>
      <vt:variant>
        <vt:lpwstr/>
      </vt:variant>
      <vt:variant>
        <vt:i4>3145791</vt:i4>
      </vt:variant>
      <vt:variant>
        <vt:i4>552</vt:i4>
      </vt:variant>
      <vt:variant>
        <vt:i4>0</vt:i4>
      </vt:variant>
      <vt:variant>
        <vt:i4>5</vt:i4>
      </vt:variant>
      <vt:variant>
        <vt:lpwstr>https://www.healthline.com/health/cognitive-decline</vt:lpwstr>
      </vt:variant>
      <vt:variant>
        <vt:lpwstr/>
      </vt:variant>
      <vt:variant>
        <vt:i4>6422585</vt:i4>
      </vt:variant>
      <vt:variant>
        <vt:i4>549</vt:i4>
      </vt:variant>
      <vt:variant>
        <vt:i4>0</vt:i4>
      </vt:variant>
      <vt:variant>
        <vt:i4>5</vt:i4>
      </vt:variant>
      <vt:variant>
        <vt:lpwstr>https://www.medicalnewstoday.com/articles/cognitive-decline-predictors-besides-dementia</vt:lpwstr>
      </vt:variant>
      <vt:variant>
        <vt:lpwstr/>
      </vt:variant>
      <vt:variant>
        <vt:i4>6225940</vt:i4>
      </vt:variant>
      <vt:variant>
        <vt:i4>546</vt:i4>
      </vt:variant>
      <vt:variant>
        <vt:i4>0</vt:i4>
      </vt:variant>
      <vt:variant>
        <vt:i4>5</vt:i4>
      </vt:variant>
      <vt:variant>
        <vt:lpwstr>https://www.ageuk.org.uk/information-advice/health-wellbeing/mind-body/staying-sharp/thinking-skills-change-with-age/</vt:lpwstr>
      </vt:variant>
      <vt:variant>
        <vt:lpwstr/>
      </vt:variant>
      <vt:variant>
        <vt:i4>6422585</vt:i4>
      </vt:variant>
      <vt:variant>
        <vt:i4>543</vt:i4>
      </vt:variant>
      <vt:variant>
        <vt:i4>0</vt:i4>
      </vt:variant>
      <vt:variant>
        <vt:i4>5</vt:i4>
      </vt:variant>
      <vt:variant>
        <vt:lpwstr>https://www.medicalnewstoday.com/articles/cognitive-decline-predictors-besides-dementia</vt:lpwstr>
      </vt:variant>
      <vt:variant>
        <vt:lpwstr/>
      </vt:variant>
      <vt:variant>
        <vt:i4>6225940</vt:i4>
      </vt:variant>
      <vt:variant>
        <vt:i4>540</vt:i4>
      </vt:variant>
      <vt:variant>
        <vt:i4>0</vt:i4>
      </vt:variant>
      <vt:variant>
        <vt:i4>5</vt:i4>
      </vt:variant>
      <vt:variant>
        <vt:lpwstr>https://www.ageuk.org.uk/information-advice/health-wellbeing/mind-body/staying-sharp/thinking-skills-change-with-age/</vt:lpwstr>
      </vt:variant>
      <vt:variant>
        <vt:lpwstr/>
      </vt:variant>
      <vt:variant>
        <vt:i4>6422585</vt:i4>
      </vt:variant>
      <vt:variant>
        <vt:i4>537</vt:i4>
      </vt:variant>
      <vt:variant>
        <vt:i4>0</vt:i4>
      </vt:variant>
      <vt:variant>
        <vt:i4>5</vt:i4>
      </vt:variant>
      <vt:variant>
        <vt:lpwstr>https://www.medicalnewstoday.com/articles/cognitive-decline-predictors-besides-dementia</vt:lpwstr>
      </vt:variant>
      <vt:variant>
        <vt:lpwstr/>
      </vt:variant>
      <vt:variant>
        <vt:i4>6225940</vt:i4>
      </vt:variant>
      <vt:variant>
        <vt:i4>534</vt:i4>
      </vt:variant>
      <vt:variant>
        <vt:i4>0</vt:i4>
      </vt:variant>
      <vt:variant>
        <vt:i4>5</vt:i4>
      </vt:variant>
      <vt:variant>
        <vt:lpwstr>https://www.ageuk.org.uk/information-advice/health-wellbeing/mind-body/staying-sharp/thinking-skills-change-with-age/</vt:lpwstr>
      </vt:variant>
      <vt:variant>
        <vt:lpwstr/>
      </vt:variant>
      <vt:variant>
        <vt:i4>6422585</vt:i4>
      </vt:variant>
      <vt:variant>
        <vt:i4>531</vt:i4>
      </vt:variant>
      <vt:variant>
        <vt:i4>0</vt:i4>
      </vt:variant>
      <vt:variant>
        <vt:i4>5</vt:i4>
      </vt:variant>
      <vt:variant>
        <vt:lpwstr>https://www.medicalnewstoday.com/articles/cognitive-decline-predictors-besides-dementia</vt:lpwstr>
      </vt:variant>
      <vt:variant>
        <vt:lpwstr/>
      </vt:variant>
      <vt:variant>
        <vt:i4>6225940</vt:i4>
      </vt:variant>
      <vt:variant>
        <vt:i4>528</vt:i4>
      </vt:variant>
      <vt:variant>
        <vt:i4>0</vt:i4>
      </vt:variant>
      <vt:variant>
        <vt:i4>5</vt:i4>
      </vt:variant>
      <vt:variant>
        <vt:lpwstr>https://www.ageuk.org.uk/information-advice/health-wellbeing/mind-body/staying-sharp/thinking-skills-change-with-age/</vt:lpwstr>
      </vt:variant>
      <vt:variant>
        <vt:lpwstr/>
      </vt:variant>
      <vt:variant>
        <vt:i4>6422585</vt:i4>
      </vt:variant>
      <vt:variant>
        <vt:i4>525</vt:i4>
      </vt:variant>
      <vt:variant>
        <vt:i4>0</vt:i4>
      </vt:variant>
      <vt:variant>
        <vt:i4>5</vt:i4>
      </vt:variant>
      <vt:variant>
        <vt:lpwstr>https://www.medicalnewstoday.com/articles/cognitive-decline-predictors-besides-dementia</vt:lpwstr>
      </vt:variant>
      <vt:variant>
        <vt:lpwstr/>
      </vt:variant>
      <vt:variant>
        <vt:i4>1310773</vt:i4>
      </vt:variant>
      <vt:variant>
        <vt:i4>518</vt:i4>
      </vt:variant>
      <vt:variant>
        <vt:i4>0</vt:i4>
      </vt:variant>
      <vt:variant>
        <vt:i4>5</vt:i4>
      </vt:variant>
      <vt:variant>
        <vt:lpwstr/>
      </vt:variant>
      <vt:variant>
        <vt:lpwstr>_Toc204465525</vt:lpwstr>
      </vt:variant>
      <vt:variant>
        <vt:i4>1310773</vt:i4>
      </vt:variant>
      <vt:variant>
        <vt:i4>512</vt:i4>
      </vt:variant>
      <vt:variant>
        <vt:i4>0</vt:i4>
      </vt:variant>
      <vt:variant>
        <vt:i4>5</vt:i4>
      </vt:variant>
      <vt:variant>
        <vt:lpwstr/>
      </vt:variant>
      <vt:variant>
        <vt:lpwstr>_Toc204465524</vt:lpwstr>
      </vt:variant>
      <vt:variant>
        <vt:i4>1310773</vt:i4>
      </vt:variant>
      <vt:variant>
        <vt:i4>506</vt:i4>
      </vt:variant>
      <vt:variant>
        <vt:i4>0</vt:i4>
      </vt:variant>
      <vt:variant>
        <vt:i4>5</vt:i4>
      </vt:variant>
      <vt:variant>
        <vt:lpwstr/>
      </vt:variant>
      <vt:variant>
        <vt:lpwstr>_Toc204465523</vt:lpwstr>
      </vt:variant>
      <vt:variant>
        <vt:i4>1310773</vt:i4>
      </vt:variant>
      <vt:variant>
        <vt:i4>500</vt:i4>
      </vt:variant>
      <vt:variant>
        <vt:i4>0</vt:i4>
      </vt:variant>
      <vt:variant>
        <vt:i4>5</vt:i4>
      </vt:variant>
      <vt:variant>
        <vt:lpwstr/>
      </vt:variant>
      <vt:variant>
        <vt:lpwstr>_Toc204465522</vt:lpwstr>
      </vt:variant>
      <vt:variant>
        <vt:i4>1310773</vt:i4>
      </vt:variant>
      <vt:variant>
        <vt:i4>494</vt:i4>
      </vt:variant>
      <vt:variant>
        <vt:i4>0</vt:i4>
      </vt:variant>
      <vt:variant>
        <vt:i4>5</vt:i4>
      </vt:variant>
      <vt:variant>
        <vt:lpwstr/>
      </vt:variant>
      <vt:variant>
        <vt:lpwstr>_Toc204465521</vt:lpwstr>
      </vt:variant>
      <vt:variant>
        <vt:i4>1310773</vt:i4>
      </vt:variant>
      <vt:variant>
        <vt:i4>488</vt:i4>
      </vt:variant>
      <vt:variant>
        <vt:i4>0</vt:i4>
      </vt:variant>
      <vt:variant>
        <vt:i4>5</vt:i4>
      </vt:variant>
      <vt:variant>
        <vt:lpwstr/>
      </vt:variant>
      <vt:variant>
        <vt:lpwstr>_Toc204465520</vt:lpwstr>
      </vt:variant>
      <vt:variant>
        <vt:i4>1507381</vt:i4>
      </vt:variant>
      <vt:variant>
        <vt:i4>482</vt:i4>
      </vt:variant>
      <vt:variant>
        <vt:i4>0</vt:i4>
      </vt:variant>
      <vt:variant>
        <vt:i4>5</vt:i4>
      </vt:variant>
      <vt:variant>
        <vt:lpwstr/>
      </vt:variant>
      <vt:variant>
        <vt:lpwstr>_Toc204465519</vt:lpwstr>
      </vt:variant>
      <vt:variant>
        <vt:i4>1507381</vt:i4>
      </vt:variant>
      <vt:variant>
        <vt:i4>476</vt:i4>
      </vt:variant>
      <vt:variant>
        <vt:i4>0</vt:i4>
      </vt:variant>
      <vt:variant>
        <vt:i4>5</vt:i4>
      </vt:variant>
      <vt:variant>
        <vt:lpwstr/>
      </vt:variant>
      <vt:variant>
        <vt:lpwstr>_Toc204465518</vt:lpwstr>
      </vt:variant>
      <vt:variant>
        <vt:i4>1507381</vt:i4>
      </vt:variant>
      <vt:variant>
        <vt:i4>470</vt:i4>
      </vt:variant>
      <vt:variant>
        <vt:i4>0</vt:i4>
      </vt:variant>
      <vt:variant>
        <vt:i4>5</vt:i4>
      </vt:variant>
      <vt:variant>
        <vt:lpwstr/>
      </vt:variant>
      <vt:variant>
        <vt:lpwstr>_Toc204465517</vt:lpwstr>
      </vt:variant>
      <vt:variant>
        <vt:i4>1507381</vt:i4>
      </vt:variant>
      <vt:variant>
        <vt:i4>464</vt:i4>
      </vt:variant>
      <vt:variant>
        <vt:i4>0</vt:i4>
      </vt:variant>
      <vt:variant>
        <vt:i4>5</vt:i4>
      </vt:variant>
      <vt:variant>
        <vt:lpwstr/>
      </vt:variant>
      <vt:variant>
        <vt:lpwstr>_Toc204465516</vt:lpwstr>
      </vt:variant>
      <vt:variant>
        <vt:i4>1507381</vt:i4>
      </vt:variant>
      <vt:variant>
        <vt:i4>458</vt:i4>
      </vt:variant>
      <vt:variant>
        <vt:i4>0</vt:i4>
      </vt:variant>
      <vt:variant>
        <vt:i4>5</vt:i4>
      </vt:variant>
      <vt:variant>
        <vt:lpwstr/>
      </vt:variant>
      <vt:variant>
        <vt:lpwstr>_Toc204465515</vt:lpwstr>
      </vt:variant>
      <vt:variant>
        <vt:i4>1507381</vt:i4>
      </vt:variant>
      <vt:variant>
        <vt:i4>452</vt:i4>
      </vt:variant>
      <vt:variant>
        <vt:i4>0</vt:i4>
      </vt:variant>
      <vt:variant>
        <vt:i4>5</vt:i4>
      </vt:variant>
      <vt:variant>
        <vt:lpwstr/>
      </vt:variant>
      <vt:variant>
        <vt:lpwstr>_Toc204465514</vt:lpwstr>
      </vt:variant>
      <vt:variant>
        <vt:i4>1507381</vt:i4>
      </vt:variant>
      <vt:variant>
        <vt:i4>446</vt:i4>
      </vt:variant>
      <vt:variant>
        <vt:i4>0</vt:i4>
      </vt:variant>
      <vt:variant>
        <vt:i4>5</vt:i4>
      </vt:variant>
      <vt:variant>
        <vt:lpwstr/>
      </vt:variant>
      <vt:variant>
        <vt:lpwstr>_Toc204465513</vt:lpwstr>
      </vt:variant>
      <vt:variant>
        <vt:i4>1507381</vt:i4>
      </vt:variant>
      <vt:variant>
        <vt:i4>440</vt:i4>
      </vt:variant>
      <vt:variant>
        <vt:i4>0</vt:i4>
      </vt:variant>
      <vt:variant>
        <vt:i4>5</vt:i4>
      </vt:variant>
      <vt:variant>
        <vt:lpwstr/>
      </vt:variant>
      <vt:variant>
        <vt:lpwstr>_Toc204465512</vt:lpwstr>
      </vt:variant>
      <vt:variant>
        <vt:i4>1507381</vt:i4>
      </vt:variant>
      <vt:variant>
        <vt:i4>434</vt:i4>
      </vt:variant>
      <vt:variant>
        <vt:i4>0</vt:i4>
      </vt:variant>
      <vt:variant>
        <vt:i4>5</vt:i4>
      </vt:variant>
      <vt:variant>
        <vt:lpwstr/>
      </vt:variant>
      <vt:variant>
        <vt:lpwstr>_Toc204465511</vt:lpwstr>
      </vt:variant>
      <vt:variant>
        <vt:i4>1507381</vt:i4>
      </vt:variant>
      <vt:variant>
        <vt:i4>428</vt:i4>
      </vt:variant>
      <vt:variant>
        <vt:i4>0</vt:i4>
      </vt:variant>
      <vt:variant>
        <vt:i4>5</vt:i4>
      </vt:variant>
      <vt:variant>
        <vt:lpwstr/>
      </vt:variant>
      <vt:variant>
        <vt:lpwstr>_Toc204465510</vt:lpwstr>
      </vt:variant>
      <vt:variant>
        <vt:i4>1441845</vt:i4>
      </vt:variant>
      <vt:variant>
        <vt:i4>422</vt:i4>
      </vt:variant>
      <vt:variant>
        <vt:i4>0</vt:i4>
      </vt:variant>
      <vt:variant>
        <vt:i4>5</vt:i4>
      </vt:variant>
      <vt:variant>
        <vt:lpwstr/>
      </vt:variant>
      <vt:variant>
        <vt:lpwstr>_Toc204465509</vt:lpwstr>
      </vt:variant>
      <vt:variant>
        <vt:i4>1441845</vt:i4>
      </vt:variant>
      <vt:variant>
        <vt:i4>416</vt:i4>
      </vt:variant>
      <vt:variant>
        <vt:i4>0</vt:i4>
      </vt:variant>
      <vt:variant>
        <vt:i4>5</vt:i4>
      </vt:variant>
      <vt:variant>
        <vt:lpwstr/>
      </vt:variant>
      <vt:variant>
        <vt:lpwstr>_Toc204465508</vt:lpwstr>
      </vt:variant>
      <vt:variant>
        <vt:i4>1441845</vt:i4>
      </vt:variant>
      <vt:variant>
        <vt:i4>410</vt:i4>
      </vt:variant>
      <vt:variant>
        <vt:i4>0</vt:i4>
      </vt:variant>
      <vt:variant>
        <vt:i4>5</vt:i4>
      </vt:variant>
      <vt:variant>
        <vt:lpwstr/>
      </vt:variant>
      <vt:variant>
        <vt:lpwstr>_Toc204465507</vt:lpwstr>
      </vt:variant>
      <vt:variant>
        <vt:i4>1441845</vt:i4>
      </vt:variant>
      <vt:variant>
        <vt:i4>404</vt:i4>
      </vt:variant>
      <vt:variant>
        <vt:i4>0</vt:i4>
      </vt:variant>
      <vt:variant>
        <vt:i4>5</vt:i4>
      </vt:variant>
      <vt:variant>
        <vt:lpwstr/>
      </vt:variant>
      <vt:variant>
        <vt:lpwstr>_Toc204465506</vt:lpwstr>
      </vt:variant>
      <vt:variant>
        <vt:i4>1441845</vt:i4>
      </vt:variant>
      <vt:variant>
        <vt:i4>398</vt:i4>
      </vt:variant>
      <vt:variant>
        <vt:i4>0</vt:i4>
      </vt:variant>
      <vt:variant>
        <vt:i4>5</vt:i4>
      </vt:variant>
      <vt:variant>
        <vt:lpwstr/>
      </vt:variant>
      <vt:variant>
        <vt:lpwstr>_Toc204465505</vt:lpwstr>
      </vt:variant>
      <vt:variant>
        <vt:i4>1441845</vt:i4>
      </vt:variant>
      <vt:variant>
        <vt:i4>392</vt:i4>
      </vt:variant>
      <vt:variant>
        <vt:i4>0</vt:i4>
      </vt:variant>
      <vt:variant>
        <vt:i4>5</vt:i4>
      </vt:variant>
      <vt:variant>
        <vt:lpwstr/>
      </vt:variant>
      <vt:variant>
        <vt:lpwstr>_Toc204465504</vt:lpwstr>
      </vt:variant>
      <vt:variant>
        <vt:i4>1441845</vt:i4>
      </vt:variant>
      <vt:variant>
        <vt:i4>386</vt:i4>
      </vt:variant>
      <vt:variant>
        <vt:i4>0</vt:i4>
      </vt:variant>
      <vt:variant>
        <vt:i4>5</vt:i4>
      </vt:variant>
      <vt:variant>
        <vt:lpwstr/>
      </vt:variant>
      <vt:variant>
        <vt:lpwstr>_Toc204465503</vt:lpwstr>
      </vt:variant>
      <vt:variant>
        <vt:i4>1441845</vt:i4>
      </vt:variant>
      <vt:variant>
        <vt:i4>380</vt:i4>
      </vt:variant>
      <vt:variant>
        <vt:i4>0</vt:i4>
      </vt:variant>
      <vt:variant>
        <vt:i4>5</vt:i4>
      </vt:variant>
      <vt:variant>
        <vt:lpwstr/>
      </vt:variant>
      <vt:variant>
        <vt:lpwstr>_Toc204465502</vt:lpwstr>
      </vt:variant>
      <vt:variant>
        <vt:i4>1441845</vt:i4>
      </vt:variant>
      <vt:variant>
        <vt:i4>374</vt:i4>
      </vt:variant>
      <vt:variant>
        <vt:i4>0</vt:i4>
      </vt:variant>
      <vt:variant>
        <vt:i4>5</vt:i4>
      </vt:variant>
      <vt:variant>
        <vt:lpwstr/>
      </vt:variant>
      <vt:variant>
        <vt:lpwstr>_Toc204465501</vt:lpwstr>
      </vt:variant>
      <vt:variant>
        <vt:i4>1441845</vt:i4>
      </vt:variant>
      <vt:variant>
        <vt:i4>368</vt:i4>
      </vt:variant>
      <vt:variant>
        <vt:i4>0</vt:i4>
      </vt:variant>
      <vt:variant>
        <vt:i4>5</vt:i4>
      </vt:variant>
      <vt:variant>
        <vt:lpwstr/>
      </vt:variant>
      <vt:variant>
        <vt:lpwstr>_Toc204465500</vt:lpwstr>
      </vt:variant>
      <vt:variant>
        <vt:i4>2031668</vt:i4>
      </vt:variant>
      <vt:variant>
        <vt:i4>362</vt:i4>
      </vt:variant>
      <vt:variant>
        <vt:i4>0</vt:i4>
      </vt:variant>
      <vt:variant>
        <vt:i4>5</vt:i4>
      </vt:variant>
      <vt:variant>
        <vt:lpwstr/>
      </vt:variant>
      <vt:variant>
        <vt:lpwstr>_Toc204465499</vt:lpwstr>
      </vt:variant>
      <vt:variant>
        <vt:i4>2031668</vt:i4>
      </vt:variant>
      <vt:variant>
        <vt:i4>356</vt:i4>
      </vt:variant>
      <vt:variant>
        <vt:i4>0</vt:i4>
      </vt:variant>
      <vt:variant>
        <vt:i4>5</vt:i4>
      </vt:variant>
      <vt:variant>
        <vt:lpwstr/>
      </vt:variant>
      <vt:variant>
        <vt:lpwstr>_Toc204465498</vt:lpwstr>
      </vt:variant>
      <vt:variant>
        <vt:i4>2031668</vt:i4>
      </vt:variant>
      <vt:variant>
        <vt:i4>350</vt:i4>
      </vt:variant>
      <vt:variant>
        <vt:i4>0</vt:i4>
      </vt:variant>
      <vt:variant>
        <vt:i4>5</vt:i4>
      </vt:variant>
      <vt:variant>
        <vt:lpwstr/>
      </vt:variant>
      <vt:variant>
        <vt:lpwstr>_Toc204465497</vt:lpwstr>
      </vt:variant>
      <vt:variant>
        <vt:i4>2031668</vt:i4>
      </vt:variant>
      <vt:variant>
        <vt:i4>344</vt:i4>
      </vt:variant>
      <vt:variant>
        <vt:i4>0</vt:i4>
      </vt:variant>
      <vt:variant>
        <vt:i4>5</vt:i4>
      </vt:variant>
      <vt:variant>
        <vt:lpwstr/>
      </vt:variant>
      <vt:variant>
        <vt:lpwstr>_Toc204465496</vt:lpwstr>
      </vt:variant>
      <vt:variant>
        <vt:i4>2031668</vt:i4>
      </vt:variant>
      <vt:variant>
        <vt:i4>338</vt:i4>
      </vt:variant>
      <vt:variant>
        <vt:i4>0</vt:i4>
      </vt:variant>
      <vt:variant>
        <vt:i4>5</vt:i4>
      </vt:variant>
      <vt:variant>
        <vt:lpwstr/>
      </vt:variant>
      <vt:variant>
        <vt:lpwstr>_Toc204465495</vt:lpwstr>
      </vt:variant>
      <vt:variant>
        <vt:i4>2031668</vt:i4>
      </vt:variant>
      <vt:variant>
        <vt:i4>332</vt:i4>
      </vt:variant>
      <vt:variant>
        <vt:i4>0</vt:i4>
      </vt:variant>
      <vt:variant>
        <vt:i4>5</vt:i4>
      </vt:variant>
      <vt:variant>
        <vt:lpwstr/>
      </vt:variant>
      <vt:variant>
        <vt:lpwstr>_Toc204465494</vt:lpwstr>
      </vt:variant>
      <vt:variant>
        <vt:i4>2031668</vt:i4>
      </vt:variant>
      <vt:variant>
        <vt:i4>326</vt:i4>
      </vt:variant>
      <vt:variant>
        <vt:i4>0</vt:i4>
      </vt:variant>
      <vt:variant>
        <vt:i4>5</vt:i4>
      </vt:variant>
      <vt:variant>
        <vt:lpwstr/>
      </vt:variant>
      <vt:variant>
        <vt:lpwstr>_Toc204465493</vt:lpwstr>
      </vt:variant>
      <vt:variant>
        <vt:i4>2031668</vt:i4>
      </vt:variant>
      <vt:variant>
        <vt:i4>320</vt:i4>
      </vt:variant>
      <vt:variant>
        <vt:i4>0</vt:i4>
      </vt:variant>
      <vt:variant>
        <vt:i4>5</vt:i4>
      </vt:variant>
      <vt:variant>
        <vt:lpwstr/>
      </vt:variant>
      <vt:variant>
        <vt:lpwstr>_Toc204465492</vt:lpwstr>
      </vt:variant>
      <vt:variant>
        <vt:i4>2031668</vt:i4>
      </vt:variant>
      <vt:variant>
        <vt:i4>314</vt:i4>
      </vt:variant>
      <vt:variant>
        <vt:i4>0</vt:i4>
      </vt:variant>
      <vt:variant>
        <vt:i4>5</vt:i4>
      </vt:variant>
      <vt:variant>
        <vt:lpwstr/>
      </vt:variant>
      <vt:variant>
        <vt:lpwstr>_Toc204465491</vt:lpwstr>
      </vt:variant>
      <vt:variant>
        <vt:i4>2031668</vt:i4>
      </vt:variant>
      <vt:variant>
        <vt:i4>308</vt:i4>
      </vt:variant>
      <vt:variant>
        <vt:i4>0</vt:i4>
      </vt:variant>
      <vt:variant>
        <vt:i4>5</vt:i4>
      </vt:variant>
      <vt:variant>
        <vt:lpwstr/>
      </vt:variant>
      <vt:variant>
        <vt:lpwstr>_Toc204465490</vt:lpwstr>
      </vt:variant>
      <vt:variant>
        <vt:i4>1966132</vt:i4>
      </vt:variant>
      <vt:variant>
        <vt:i4>302</vt:i4>
      </vt:variant>
      <vt:variant>
        <vt:i4>0</vt:i4>
      </vt:variant>
      <vt:variant>
        <vt:i4>5</vt:i4>
      </vt:variant>
      <vt:variant>
        <vt:lpwstr/>
      </vt:variant>
      <vt:variant>
        <vt:lpwstr>_Toc204465489</vt:lpwstr>
      </vt:variant>
      <vt:variant>
        <vt:i4>1966132</vt:i4>
      </vt:variant>
      <vt:variant>
        <vt:i4>296</vt:i4>
      </vt:variant>
      <vt:variant>
        <vt:i4>0</vt:i4>
      </vt:variant>
      <vt:variant>
        <vt:i4>5</vt:i4>
      </vt:variant>
      <vt:variant>
        <vt:lpwstr/>
      </vt:variant>
      <vt:variant>
        <vt:lpwstr>_Toc204465488</vt:lpwstr>
      </vt:variant>
      <vt:variant>
        <vt:i4>1966132</vt:i4>
      </vt:variant>
      <vt:variant>
        <vt:i4>290</vt:i4>
      </vt:variant>
      <vt:variant>
        <vt:i4>0</vt:i4>
      </vt:variant>
      <vt:variant>
        <vt:i4>5</vt:i4>
      </vt:variant>
      <vt:variant>
        <vt:lpwstr/>
      </vt:variant>
      <vt:variant>
        <vt:lpwstr>_Toc204465487</vt:lpwstr>
      </vt:variant>
      <vt:variant>
        <vt:i4>1966132</vt:i4>
      </vt:variant>
      <vt:variant>
        <vt:i4>284</vt:i4>
      </vt:variant>
      <vt:variant>
        <vt:i4>0</vt:i4>
      </vt:variant>
      <vt:variant>
        <vt:i4>5</vt:i4>
      </vt:variant>
      <vt:variant>
        <vt:lpwstr/>
      </vt:variant>
      <vt:variant>
        <vt:lpwstr>_Toc204465486</vt:lpwstr>
      </vt:variant>
      <vt:variant>
        <vt:i4>1966132</vt:i4>
      </vt:variant>
      <vt:variant>
        <vt:i4>278</vt:i4>
      </vt:variant>
      <vt:variant>
        <vt:i4>0</vt:i4>
      </vt:variant>
      <vt:variant>
        <vt:i4>5</vt:i4>
      </vt:variant>
      <vt:variant>
        <vt:lpwstr/>
      </vt:variant>
      <vt:variant>
        <vt:lpwstr>_Toc204465485</vt:lpwstr>
      </vt:variant>
      <vt:variant>
        <vt:i4>1966132</vt:i4>
      </vt:variant>
      <vt:variant>
        <vt:i4>272</vt:i4>
      </vt:variant>
      <vt:variant>
        <vt:i4>0</vt:i4>
      </vt:variant>
      <vt:variant>
        <vt:i4>5</vt:i4>
      </vt:variant>
      <vt:variant>
        <vt:lpwstr/>
      </vt:variant>
      <vt:variant>
        <vt:lpwstr>_Toc204465484</vt:lpwstr>
      </vt:variant>
      <vt:variant>
        <vt:i4>1966132</vt:i4>
      </vt:variant>
      <vt:variant>
        <vt:i4>266</vt:i4>
      </vt:variant>
      <vt:variant>
        <vt:i4>0</vt:i4>
      </vt:variant>
      <vt:variant>
        <vt:i4>5</vt:i4>
      </vt:variant>
      <vt:variant>
        <vt:lpwstr/>
      </vt:variant>
      <vt:variant>
        <vt:lpwstr>_Toc204465483</vt:lpwstr>
      </vt:variant>
      <vt:variant>
        <vt:i4>1966132</vt:i4>
      </vt:variant>
      <vt:variant>
        <vt:i4>260</vt:i4>
      </vt:variant>
      <vt:variant>
        <vt:i4>0</vt:i4>
      </vt:variant>
      <vt:variant>
        <vt:i4>5</vt:i4>
      </vt:variant>
      <vt:variant>
        <vt:lpwstr/>
      </vt:variant>
      <vt:variant>
        <vt:lpwstr>_Toc204465482</vt:lpwstr>
      </vt:variant>
      <vt:variant>
        <vt:i4>1966132</vt:i4>
      </vt:variant>
      <vt:variant>
        <vt:i4>254</vt:i4>
      </vt:variant>
      <vt:variant>
        <vt:i4>0</vt:i4>
      </vt:variant>
      <vt:variant>
        <vt:i4>5</vt:i4>
      </vt:variant>
      <vt:variant>
        <vt:lpwstr/>
      </vt:variant>
      <vt:variant>
        <vt:lpwstr>_Toc204465481</vt:lpwstr>
      </vt:variant>
      <vt:variant>
        <vt:i4>1966132</vt:i4>
      </vt:variant>
      <vt:variant>
        <vt:i4>248</vt:i4>
      </vt:variant>
      <vt:variant>
        <vt:i4>0</vt:i4>
      </vt:variant>
      <vt:variant>
        <vt:i4>5</vt:i4>
      </vt:variant>
      <vt:variant>
        <vt:lpwstr/>
      </vt:variant>
      <vt:variant>
        <vt:lpwstr>_Toc204465480</vt:lpwstr>
      </vt:variant>
      <vt:variant>
        <vt:i4>1114164</vt:i4>
      </vt:variant>
      <vt:variant>
        <vt:i4>242</vt:i4>
      </vt:variant>
      <vt:variant>
        <vt:i4>0</vt:i4>
      </vt:variant>
      <vt:variant>
        <vt:i4>5</vt:i4>
      </vt:variant>
      <vt:variant>
        <vt:lpwstr/>
      </vt:variant>
      <vt:variant>
        <vt:lpwstr>_Toc204465479</vt:lpwstr>
      </vt:variant>
      <vt:variant>
        <vt:i4>1114164</vt:i4>
      </vt:variant>
      <vt:variant>
        <vt:i4>236</vt:i4>
      </vt:variant>
      <vt:variant>
        <vt:i4>0</vt:i4>
      </vt:variant>
      <vt:variant>
        <vt:i4>5</vt:i4>
      </vt:variant>
      <vt:variant>
        <vt:lpwstr/>
      </vt:variant>
      <vt:variant>
        <vt:lpwstr>_Toc204465478</vt:lpwstr>
      </vt:variant>
      <vt:variant>
        <vt:i4>1114164</vt:i4>
      </vt:variant>
      <vt:variant>
        <vt:i4>230</vt:i4>
      </vt:variant>
      <vt:variant>
        <vt:i4>0</vt:i4>
      </vt:variant>
      <vt:variant>
        <vt:i4>5</vt:i4>
      </vt:variant>
      <vt:variant>
        <vt:lpwstr/>
      </vt:variant>
      <vt:variant>
        <vt:lpwstr>_Toc204465477</vt:lpwstr>
      </vt:variant>
      <vt:variant>
        <vt:i4>1114164</vt:i4>
      </vt:variant>
      <vt:variant>
        <vt:i4>224</vt:i4>
      </vt:variant>
      <vt:variant>
        <vt:i4>0</vt:i4>
      </vt:variant>
      <vt:variant>
        <vt:i4>5</vt:i4>
      </vt:variant>
      <vt:variant>
        <vt:lpwstr/>
      </vt:variant>
      <vt:variant>
        <vt:lpwstr>_Toc204465476</vt:lpwstr>
      </vt:variant>
      <vt:variant>
        <vt:i4>1114164</vt:i4>
      </vt:variant>
      <vt:variant>
        <vt:i4>218</vt:i4>
      </vt:variant>
      <vt:variant>
        <vt:i4>0</vt:i4>
      </vt:variant>
      <vt:variant>
        <vt:i4>5</vt:i4>
      </vt:variant>
      <vt:variant>
        <vt:lpwstr/>
      </vt:variant>
      <vt:variant>
        <vt:lpwstr>_Toc204465475</vt:lpwstr>
      </vt:variant>
      <vt:variant>
        <vt:i4>1114164</vt:i4>
      </vt:variant>
      <vt:variant>
        <vt:i4>212</vt:i4>
      </vt:variant>
      <vt:variant>
        <vt:i4>0</vt:i4>
      </vt:variant>
      <vt:variant>
        <vt:i4>5</vt:i4>
      </vt:variant>
      <vt:variant>
        <vt:lpwstr/>
      </vt:variant>
      <vt:variant>
        <vt:lpwstr>_Toc204465474</vt:lpwstr>
      </vt:variant>
      <vt:variant>
        <vt:i4>1114164</vt:i4>
      </vt:variant>
      <vt:variant>
        <vt:i4>206</vt:i4>
      </vt:variant>
      <vt:variant>
        <vt:i4>0</vt:i4>
      </vt:variant>
      <vt:variant>
        <vt:i4>5</vt:i4>
      </vt:variant>
      <vt:variant>
        <vt:lpwstr/>
      </vt:variant>
      <vt:variant>
        <vt:lpwstr>_Toc204465473</vt:lpwstr>
      </vt:variant>
      <vt:variant>
        <vt:i4>1114164</vt:i4>
      </vt:variant>
      <vt:variant>
        <vt:i4>200</vt:i4>
      </vt:variant>
      <vt:variant>
        <vt:i4>0</vt:i4>
      </vt:variant>
      <vt:variant>
        <vt:i4>5</vt:i4>
      </vt:variant>
      <vt:variant>
        <vt:lpwstr/>
      </vt:variant>
      <vt:variant>
        <vt:lpwstr>_Toc204465472</vt:lpwstr>
      </vt:variant>
      <vt:variant>
        <vt:i4>1114164</vt:i4>
      </vt:variant>
      <vt:variant>
        <vt:i4>194</vt:i4>
      </vt:variant>
      <vt:variant>
        <vt:i4>0</vt:i4>
      </vt:variant>
      <vt:variant>
        <vt:i4>5</vt:i4>
      </vt:variant>
      <vt:variant>
        <vt:lpwstr/>
      </vt:variant>
      <vt:variant>
        <vt:lpwstr>_Toc204465471</vt:lpwstr>
      </vt:variant>
      <vt:variant>
        <vt:i4>1114164</vt:i4>
      </vt:variant>
      <vt:variant>
        <vt:i4>188</vt:i4>
      </vt:variant>
      <vt:variant>
        <vt:i4>0</vt:i4>
      </vt:variant>
      <vt:variant>
        <vt:i4>5</vt:i4>
      </vt:variant>
      <vt:variant>
        <vt:lpwstr/>
      </vt:variant>
      <vt:variant>
        <vt:lpwstr>_Toc204465470</vt:lpwstr>
      </vt:variant>
      <vt:variant>
        <vt:i4>1048628</vt:i4>
      </vt:variant>
      <vt:variant>
        <vt:i4>182</vt:i4>
      </vt:variant>
      <vt:variant>
        <vt:i4>0</vt:i4>
      </vt:variant>
      <vt:variant>
        <vt:i4>5</vt:i4>
      </vt:variant>
      <vt:variant>
        <vt:lpwstr/>
      </vt:variant>
      <vt:variant>
        <vt:lpwstr>_Toc204465469</vt:lpwstr>
      </vt:variant>
      <vt:variant>
        <vt:i4>1048628</vt:i4>
      </vt:variant>
      <vt:variant>
        <vt:i4>176</vt:i4>
      </vt:variant>
      <vt:variant>
        <vt:i4>0</vt:i4>
      </vt:variant>
      <vt:variant>
        <vt:i4>5</vt:i4>
      </vt:variant>
      <vt:variant>
        <vt:lpwstr/>
      </vt:variant>
      <vt:variant>
        <vt:lpwstr>_Toc204465468</vt:lpwstr>
      </vt:variant>
      <vt:variant>
        <vt:i4>1048628</vt:i4>
      </vt:variant>
      <vt:variant>
        <vt:i4>170</vt:i4>
      </vt:variant>
      <vt:variant>
        <vt:i4>0</vt:i4>
      </vt:variant>
      <vt:variant>
        <vt:i4>5</vt:i4>
      </vt:variant>
      <vt:variant>
        <vt:lpwstr/>
      </vt:variant>
      <vt:variant>
        <vt:lpwstr>_Toc204465467</vt:lpwstr>
      </vt:variant>
      <vt:variant>
        <vt:i4>1048628</vt:i4>
      </vt:variant>
      <vt:variant>
        <vt:i4>164</vt:i4>
      </vt:variant>
      <vt:variant>
        <vt:i4>0</vt:i4>
      </vt:variant>
      <vt:variant>
        <vt:i4>5</vt:i4>
      </vt:variant>
      <vt:variant>
        <vt:lpwstr/>
      </vt:variant>
      <vt:variant>
        <vt:lpwstr>_Toc204465466</vt:lpwstr>
      </vt:variant>
      <vt:variant>
        <vt:i4>1048628</vt:i4>
      </vt:variant>
      <vt:variant>
        <vt:i4>158</vt:i4>
      </vt:variant>
      <vt:variant>
        <vt:i4>0</vt:i4>
      </vt:variant>
      <vt:variant>
        <vt:i4>5</vt:i4>
      </vt:variant>
      <vt:variant>
        <vt:lpwstr/>
      </vt:variant>
      <vt:variant>
        <vt:lpwstr>_Toc204465465</vt:lpwstr>
      </vt:variant>
      <vt:variant>
        <vt:i4>1048628</vt:i4>
      </vt:variant>
      <vt:variant>
        <vt:i4>152</vt:i4>
      </vt:variant>
      <vt:variant>
        <vt:i4>0</vt:i4>
      </vt:variant>
      <vt:variant>
        <vt:i4>5</vt:i4>
      </vt:variant>
      <vt:variant>
        <vt:lpwstr/>
      </vt:variant>
      <vt:variant>
        <vt:lpwstr>_Toc204465464</vt:lpwstr>
      </vt:variant>
      <vt:variant>
        <vt:i4>1048628</vt:i4>
      </vt:variant>
      <vt:variant>
        <vt:i4>146</vt:i4>
      </vt:variant>
      <vt:variant>
        <vt:i4>0</vt:i4>
      </vt:variant>
      <vt:variant>
        <vt:i4>5</vt:i4>
      </vt:variant>
      <vt:variant>
        <vt:lpwstr/>
      </vt:variant>
      <vt:variant>
        <vt:lpwstr>_Toc204465463</vt:lpwstr>
      </vt:variant>
      <vt:variant>
        <vt:i4>1048628</vt:i4>
      </vt:variant>
      <vt:variant>
        <vt:i4>140</vt:i4>
      </vt:variant>
      <vt:variant>
        <vt:i4>0</vt:i4>
      </vt:variant>
      <vt:variant>
        <vt:i4>5</vt:i4>
      </vt:variant>
      <vt:variant>
        <vt:lpwstr/>
      </vt:variant>
      <vt:variant>
        <vt:lpwstr>_Toc204465462</vt:lpwstr>
      </vt:variant>
      <vt:variant>
        <vt:i4>1048628</vt:i4>
      </vt:variant>
      <vt:variant>
        <vt:i4>134</vt:i4>
      </vt:variant>
      <vt:variant>
        <vt:i4>0</vt:i4>
      </vt:variant>
      <vt:variant>
        <vt:i4>5</vt:i4>
      </vt:variant>
      <vt:variant>
        <vt:lpwstr/>
      </vt:variant>
      <vt:variant>
        <vt:lpwstr>_Toc204465461</vt:lpwstr>
      </vt:variant>
      <vt:variant>
        <vt:i4>1048628</vt:i4>
      </vt:variant>
      <vt:variant>
        <vt:i4>128</vt:i4>
      </vt:variant>
      <vt:variant>
        <vt:i4>0</vt:i4>
      </vt:variant>
      <vt:variant>
        <vt:i4>5</vt:i4>
      </vt:variant>
      <vt:variant>
        <vt:lpwstr/>
      </vt:variant>
      <vt:variant>
        <vt:lpwstr>_Toc204465460</vt:lpwstr>
      </vt:variant>
      <vt:variant>
        <vt:i4>1245236</vt:i4>
      </vt:variant>
      <vt:variant>
        <vt:i4>122</vt:i4>
      </vt:variant>
      <vt:variant>
        <vt:i4>0</vt:i4>
      </vt:variant>
      <vt:variant>
        <vt:i4>5</vt:i4>
      </vt:variant>
      <vt:variant>
        <vt:lpwstr/>
      </vt:variant>
      <vt:variant>
        <vt:lpwstr>_Toc204465459</vt:lpwstr>
      </vt:variant>
      <vt:variant>
        <vt:i4>1245236</vt:i4>
      </vt:variant>
      <vt:variant>
        <vt:i4>116</vt:i4>
      </vt:variant>
      <vt:variant>
        <vt:i4>0</vt:i4>
      </vt:variant>
      <vt:variant>
        <vt:i4>5</vt:i4>
      </vt:variant>
      <vt:variant>
        <vt:lpwstr/>
      </vt:variant>
      <vt:variant>
        <vt:lpwstr>_Toc204465458</vt:lpwstr>
      </vt:variant>
      <vt:variant>
        <vt:i4>1245236</vt:i4>
      </vt:variant>
      <vt:variant>
        <vt:i4>110</vt:i4>
      </vt:variant>
      <vt:variant>
        <vt:i4>0</vt:i4>
      </vt:variant>
      <vt:variant>
        <vt:i4>5</vt:i4>
      </vt:variant>
      <vt:variant>
        <vt:lpwstr/>
      </vt:variant>
      <vt:variant>
        <vt:lpwstr>_Toc204465457</vt:lpwstr>
      </vt:variant>
      <vt:variant>
        <vt:i4>1245236</vt:i4>
      </vt:variant>
      <vt:variant>
        <vt:i4>104</vt:i4>
      </vt:variant>
      <vt:variant>
        <vt:i4>0</vt:i4>
      </vt:variant>
      <vt:variant>
        <vt:i4>5</vt:i4>
      </vt:variant>
      <vt:variant>
        <vt:lpwstr/>
      </vt:variant>
      <vt:variant>
        <vt:lpwstr>_Toc204465456</vt:lpwstr>
      </vt:variant>
      <vt:variant>
        <vt:i4>1245236</vt:i4>
      </vt:variant>
      <vt:variant>
        <vt:i4>98</vt:i4>
      </vt:variant>
      <vt:variant>
        <vt:i4>0</vt:i4>
      </vt:variant>
      <vt:variant>
        <vt:i4>5</vt:i4>
      </vt:variant>
      <vt:variant>
        <vt:lpwstr/>
      </vt:variant>
      <vt:variant>
        <vt:lpwstr>_Toc204465455</vt:lpwstr>
      </vt:variant>
      <vt:variant>
        <vt:i4>1245236</vt:i4>
      </vt:variant>
      <vt:variant>
        <vt:i4>92</vt:i4>
      </vt:variant>
      <vt:variant>
        <vt:i4>0</vt:i4>
      </vt:variant>
      <vt:variant>
        <vt:i4>5</vt:i4>
      </vt:variant>
      <vt:variant>
        <vt:lpwstr/>
      </vt:variant>
      <vt:variant>
        <vt:lpwstr>_Toc204465454</vt:lpwstr>
      </vt:variant>
      <vt:variant>
        <vt:i4>1245236</vt:i4>
      </vt:variant>
      <vt:variant>
        <vt:i4>86</vt:i4>
      </vt:variant>
      <vt:variant>
        <vt:i4>0</vt:i4>
      </vt:variant>
      <vt:variant>
        <vt:i4>5</vt:i4>
      </vt:variant>
      <vt:variant>
        <vt:lpwstr/>
      </vt:variant>
      <vt:variant>
        <vt:lpwstr>_Toc204465453</vt:lpwstr>
      </vt:variant>
      <vt:variant>
        <vt:i4>1245236</vt:i4>
      </vt:variant>
      <vt:variant>
        <vt:i4>80</vt:i4>
      </vt:variant>
      <vt:variant>
        <vt:i4>0</vt:i4>
      </vt:variant>
      <vt:variant>
        <vt:i4>5</vt:i4>
      </vt:variant>
      <vt:variant>
        <vt:lpwstr/>
      </vt:variant>
      <vt:variant>
        <vt:lpwstr>_Toc204465452</vt:lpwstr>
      </vt:variant>
      <vt:variant>
        <vt:i4>1245236</vt:i4>
      </vt:variant>
      <vt:variant>
        <vt:i4>74</vt:i4>
      </vt:variant>
      <vt:variant>
        <vt:i4>0</vt:i4>
      </vt:variant>
      <vt:variant>
        <vt:i4>5</vt:i4>
      </vt:variant>
      <vt:variant>
        <vt:lpwstr/>
      </vt:variant>
      <vt:variant>
        <vt:lpwstr>_Toc204465451</vt:lpwstr>
      </vt:variant>
      <vt:variant>
        <vt:i4>1245236</vt:i4>
      </vt:variant>
      <vt:variant>
        <vt:i4>68</vt:i4>
      </vt:variant>
      <vt:variant>
        <vt:i4>0</vt:i4>
      </vt:variant>
      <vt:variant>
        <vt:i4>5</vt:i4>
      </vt:variant>
      <vt:variant>
        <vt:lpwstr/>
      </vt:variant>
      <vt:variant>
        <vt:lpwstr>_Toc204465450</vt:lpwstr>
      </vt:variant>
      <vt:variant>
        <vt:i4>1179700</vt:i4>
      </vt:variant>
      <vt:variant>
        <vt:i4>62</vt:i4>
      </vt:variant>
      <vt:variant>
        <vt:i4>0</vt:i4>
      </vt:variant>
      <vt:variant>
        <vt:i4>5</vt:i4>
      </vt:variant>
      <vt:variant>
        <vt:lpwstr/>
      </vt:variant>
      <vt:variant>
        <vt:lpwstr>_Toc204465449</vt:lpwstr>
      </vt:variant>
      <vt:variant>
        <vt:i4>1179700</vt:i4>
      </vt:variant>
      <vt:variant>
        <vt:i4>56</vt:i4>
      </vt:variant>
      <vt:variant>
        <vt:i4>0</vt:i4>
      </vt:variant>
      <vt:variant>
        <vt:i4>5</vt:i4>
      </vt:variant>
      <vt:variant>
        <vt:lpwstr/>
      </vt:variant>
      <vt:variant>
        <vt:lpwstr>_Toc204465448</vt:lpwstr>
      </vt:variant>
      <vt:variant>
        <vt:i4>1179700</vt:i4>
      </vt:variant>
      <vt:variant>
        <vt:i4>50</vt:i4>
      </vt:variant>
      <vt:variant>
        <vt:i4>0</vt:i4>
      </vt:variant>
      <vt:variant>
        <vt:i4>5</vt:i4>
      </vt:variant>
      <vt:variant>
        <vt:lpwstr/>
      </vt:variant>
      <vt:variant>
        <vt:lpwstr>_Toc204465447</vt:lpwstr>
      </vt:variant>
      <vt:variant>
        <vt:i4>1179700</vt:i4>
      </vt:variant>
      <vt:variant>
        <vt:i4>44</vt:i4>
      </vt:variant>
      <vt:variant>
        <vt:i4>0</vt:i4>
      </vt:variant>
      <vt:variant>
        <vt:i4>5</vt:i4>
      </vt:variant>
      <vt:variant>
        <vt:lpwstr/>
      </vt:variant>
      <vt:variant>
        <vt:lpwstr>_Toc204465446</vt:lpwstr>
      </vt:variant>
      <vt:variant>
        <vt:i4>1179700</vt:i4>
      </vt:variant>
      <vt:variant>
        <vt:i4>38</vt:i4>
      </vt:variant>
      <vt:variant>
        <vt:i4>0</vt:i4>
      </vt:variant>
      <vt:variant>
        <vt:i4>5</vt:i4>
      </vt:variant>
      <vt:variant>
        <vt:lpwstr/>
      </vt:variant>
      <vt:variant>
        <vt:lpwstr>_Toc204465445</vt:lpwstr>
      </vt:variant>
      <vt:variant>
        <vt:i4>1179700</vt:i4>
      </vt:variant>
      <vt:variant>
        <vt:i4>32</vt:i4>
      </vt:variant>
      <vt:variant>
        <vt:i4>0</vt:i4>
      </vt:variant>
      <vt:variant>
        <vt:i4>5</vt:i4>
      </vt:variant>
      <vt:variant>
        <vt:lpwstr/>
      </vt:variant>
      <vt:variant>
        <vt:lpwstr>_Toc204465444</vt:lpwstr>
      </vt:variant>
      <vt:variant>
        <vt:i4>1179700</vt:i4>
      </vt:variant>
      <vt:variant>
        <vt:i4>26</vt:i4>
      </vt:variant>
      <vt:variant>
        <vt:i4>0</vt:i4>
      </vt:variant>
      <vt:variant>
        <vt:i4>5</vt:i4>
      </vt:variant>
      <vt:variant>
        <vt:lpwstr/>
      </vt:variant>
      <vt:variant>
        <vt:lpwstr>_Toc204465443</vt:lpwstr>
      </vt:variant>
      <vt:variant>
        <vt:i4>1179700</vt:i4>
      </vt:variant>
      <vt:variant>
        <vt:i4>20</vt:i4>
      </vt:variant>
      <vt:variant>
        <vt:i4>0</vt:i4>
      </vt:variant>
      <vt:variant>
        <vt:i4>5</vt:i4>
      </vt:variant>
      <vt:variant>
        <vt:lpwstr/>
      </vt:variant>
      <vt:variant>
        <vt:lpwstr>_Toc204465442</vt:lpwstr>
      </vt:variant>
      <vt:variant>
        <vt:i4>1179700</vt:i4>
      </vt:variant>
      <vt:variant>
        <vt:i4>14</vt:i4>
      </vt:variant>
      <vt:variant>
        <vt:i4>0</vt:i4>
      </vt:variant>
      <vt:variant>
        <vt:i4>5</vt:i4>
      </vt:variant>
      <vt:variant>
        <vt:lpwstr/>
      </vt:variant>
      <vt:variant>
        <vt:lpwstr>_Toc204465441</vt:lpwstr>
      </vt:variant>
      <vt:variant>
        <vt:i4>1179700</vt:i4>
      </vt:variant>
      <vt:variant>
        <vt:i4>8</vt:i4>
      </vt:variant>
      <vt:variant>
        <vt:i4>0</vt:i4>
      </vt:variant>
      <vt:variant>
        <vt:i4>5</vt:i4>
      </vt:variant>
      <vt:variant>
        <vt:lpwstr/>
      </vt:variant>
      <vt:variant>
        <vt:lpwstr>_Toc204465440</vt:lpwstr>
      </vt:variant>
      <vt:variant>
        <vt:i4>1376308</vt:i4>
      </vt:variant>
      <vt:variant>
        <vt:i4>2</vt:i4>
      </vt:variant>
      <vt:variant>
        <vt:i4>0</vt:i4>
      </vt:variant>
      <vt:variant>
        <vt:i4>5</vt:i4>
      </vt:variant>
      <vt:variant>
        <vt:lpwstr/>
      </vt:variant>
      <vt:variant>
        <vt:lpwstr>_Toc204465439</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Bob Peterson</dc:creator>
  <cp:keywords/>
  <dc:description/>
  <cp:lastModifiedBy>Jacques Smit</cp:lastModifiedBy>
  <cp:revision>531</cp:revision>
  <dcterms:created xsi:type="dcterms:W3CDTF">2024-07-11T03:00:00Z</dcterms:created>
  <dcterms:modified xsi:type="dcterms:W3CDTF">2025-10-19T01:27:00Z</dcterms:modified>
</cp:coreProperties>
</file>