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296566">
      <w:pPr>
        <w:jc w:val="center"/>
        <w:rPr>
          <w:rFonts w:ascii="Times New Roman" w:hAnsi="Times New Roman" w:cs="Times New Roman"/>
          <w:b/>
          <w:bCs/>
          <w:lang w:val="en-US"/>
        </w:rPr>
      </w:pPr>
      <w:r>
        <w:rPr>
          <w:rFonts w:ascii="Times New Roman" w:hAnsi="Times New Roman" w:cs="Times New Roman"/>
          <w:b/>
          <w:bCs/>
          <w:lang w:val="en-US"/>
        </w:rPr>
        <w:t>OPTIMIZATION</w:t>
      </w:r>
    </w:p>
    <w:p w14:paraId="499B8ED2">
      <w:pPr>
        <w:pStyle w:val="35"/>
        <w:numPr>
          <w:ilvl w:val="0"/>
          <w:numId w:val="1"/>
        </w:numPr>
        <w:jc w:val="both"/>
        <w:rPr>
          <w:rFonts w:ascii="Times New Roman" w:hAnsi="Times New Roman" w:cs="Times New Roman"/>
          <w:b/>
          <w:bCs/>
          <w:lang w:val="en-US"/>
        </w:rPr>
      </w:pPr>
      <w:r>
        <w:rPr>
          <w:rFonts w:ascii="Times New Roman" w:hAnsi="Times New Roman" w:cs="Times New Roman"/>
          <w:b/>
          <w:bCs/>
          <w:lang w:val="en-US"/>
        </w:rPr>
        <w:t>Introduction:</w:t>
      </w:r>
    </w:p>
    <w:p w14:paraId="794781C1">
      <w:pPr>
        <w:spacing w:line="360" w:lineRule="auto"/>
        <w:jc w:val="both"/>
        <w:rPr>
          <w:rFonts w:ascii="Times New Roman" w:hAnsi="Times New Roman" w:cs="Times New Roman"/>
        </w:rPr>
      </w:pPr>
      <w:r>
        <w:rPr>
          <w:rFonts w:ascii="Times New Roman" w:hAnsi="Times New Roman" w:cs="Times New Roman"/>
        </w:rPr>
        <w:t xml:space="preserve">The constitutional definition of a tribe appears to portray tribal communities almost as a ‘species’ to be preserved in a ‘national park,’ seemingly isolated (Chakravarthi &amp; Lakshminarayana, 2017). Such a perspective has shaped and, at times, limited efforts aimed at improving the lives of tribal populations. The constitution has not only adopted this somewhat ‘alien’ notion of defining tribes, but many scholars have also reproduced it uncritically. For example, Prof. D.N. Majumdar reiterated the definition provided by the </w:t>
      </w:r>
      <w:r>
        <w:rPr>
          <w:rFonts w:ascii="Times New Roman" w:hAnsi="Times New Roman" w:cs="Times New Roman"/>
          <w:i/>
          <w:iCs/>
        </w:rPr>
        <w:t>Imperial Gazetteer</w:t>
      </w:r>
      <w:r>
        <w:rPr>
          <w:rFonts w:ascii="Times New Roman" w:hAnsi="Times New Roman" w:cs="Times New Roman"/>
        </w:rPr>
        <w:t xml:space="preserve">, which describes a tribe as “a collection of families bearing a common name, speaking a common dialect, occupying or professing to occupy a common territory, and not usually endogamous though originally it might have been so” (Chakravarthi &amp; Lakshminarayana, 2017). </w:t>
      </w:r>
    </w:p>
    <w:p w14:paraId="3A34C5C4">
      <w:pPr>
        <w:spacing w:line="360" w:lineRule="auto"/>
        <w:jc w:val="both"/>
        <w:rPr>
          <w:rFonts w:ascii="Times New Roman" w:hAnsi="Times New Roman" w:cs="Times New Roman"/>
        </w:rPr>
      </w:pPr>
      <w:r>
        <w:rPr>
          <w:rFonts w:ascii="Times New Roman" w:hAnsi="Times New Roman" w:cs="Times New Roman"/>
        </w:rPr>
        <w:t xml:space="preserve">It has been evident that India ranks second after Africa in terms of tribal population, with more than 700 Scheduled Tribes (ST) recognized under Article 342 of the Indian Constitution, spread across various states and Union Territories </w:t>
      </w:r>
      <w:bookmarkStart w:id="0" w:name="_Hlk208170284"/>
      <w:r>
        <w:rPr>
          <w:rFonts w:ascii="Times New Roman" w:hAnsi="Times New Roman" w:cs="Times New Roman"/>
        </w:rPr>
        <w:t>(Chakravarthi &amp; Lakshminarayana, 2017)</w:t>
      </w:r>
      <w:bookmarkEnd w:id="0"/>
      <w:r>
        <w:rPr>
          <w:rFonts w:ascii="Times New Roman" w:hAnsi="Times New Roman" w:cs="Times New Roman"/>
        </w:rPr>
        <w:t xml:space="preserve">. In general, tribal communities in India are regarded as among the most vulnerable sections of the population, facing persistent challenges such as poverty, illiteracy, lack of developmental opportunities, and inadequate access to basic health care facilities (Thakur et al., 1991).Chakravarthi &amp; Lakshminarayana (2017) also mentioned in their study that the tribal economic activities in India are primarily focused on producing essential goods for their daily needs. The geographical environment of the tribe very much determines these activities. Usually, the tribehas to struggle very hard to meet its economic needs ” (Chakravarthi &amp; Lakshminarayana, 2017). </w:t>
      </w:r>
    </w:p>
    <w:p w14:paraId="6799CA53">
      <w:pPr>
        <w:spacing w:line="360" w:lineRule="auto"/>
        <w:jc w:val="both"/>
        <w:rPr>
          <w:rFonts w:ascii="Times New Roman" w:hAnsi="Times New Roman" w:cs="Times New Roman"/>
        </w:rPr>
      </w:pPr>
      <w:r>
        <w:rPr>
          <w:rFonts w:ascii="Times New Roman" w:hAnsi="Times New Roman" w:cs="Times New Roman"/>
        </w:rPr>
        <w:t>As per the Census of 2011(</w:t>
      </w:r>
      <w:r>
        <w:fldChar w:fldCharType="begin"/>
      </w:r>
      <w:r>
        <w:instrText xml:space="preserve"> HYPERLINK "https://censusindia.gov.in/" </w:instrText>
      </w:r>
      <w:r>
        <w:fldChar w:fldCharType="separate"/>
      </w:r>
      <w:r>
        <w:rPr>
          <w:rStyle w:val="16"/>
          <w:rFonts w:ascii="Times New Roman" w:hAnsi="Times New Roman" w:cs="Times New Roman"/>
        </w:rPr>
        <w:t>censusindia.gov.in</w:t>
      </w:r>
      <w:r>
        <w:rPr>
          <w:rStyle w:val="16"/>
          <w:rFonts w:ascii="Times New Roman" w:hAnsi="Times New Roman" w:cs="Times New Roman"/>
        </w:rPr>
        <w:fldChar w:fldCharType="end"/>
      </w:r>
      <w:r>
        <w:rPr>
          <w:rFonts w:ascii="Times New Roman" w:hAnsi="Times New Roman" w:cs="Times New Roman"/>
        </w:rPr>
        <w:t>), the total population of tribal peoples of India constitutes 8.6 % of the total population of the country, of which 0.83%live in Jharkhand. As per the Census of India 2011, Jharkhand recorded 32 different tribal communities (Report of the High Level Committee on Socio-Economic, Health and Educational Status of Tribal Communities of India, 2014)(Kumar &amp; Chaudhury, 2014). The tribals of Jharkhand are Santhal, Oraon, Munda, Kharia, Korba, Ho, Bhumij, Chero, Kharwar, Bijhiya, Nagesiya, Prhiya, Beiya, Cheek-Badayka, Gonda, Baiga, Khond, Lohara, Mahali, Sabar, Birjiya, Godayat, Bathudi, Kora, Karmali, Soariya-Pahadiya, Mal-Pahadiya, Asur, Birhor, Banjara, Kanvar, Kol.Jharkhand, despite being richly endowed with natural resources like coal, iron ore, copper, bauxite, and uranium, continues to face serious economic challenges.Manikandan (2016) in his study mentioned that a large section of the tribal population depends on agriculture, forest produce, and wage labor for survival. He addedthat agriculture is largely rain-fed and suffers from low productivity, leading to seasonal unemployment and distress migration. Industrial and mining activities have created enclaves of economic growth but have also led to the displacement of tribal communities without adequate rehabilitation. The state(Jharkhand) has one of the highest poverty ratios in India, with significant rural poverty concentrated among the Scheduled Tribes. Inequitable distribution of resources, lack of infrastructure, poor access to markets, and limited skill development opportunities further widen the economic gap(Singh et al., 2016). As a result, despite its mineral wealth, Jharkhand remains economically backward, with persistent poverty, underemployment, and low standards of living among its tribal communities(Kachhap &amp; Saw, 2016). Although research on the nutritional status of the Mundas is limited, existing studies highlight a high prevalence of economic deprivation in the region(Ghosh &amp; Bharati, 2006).</w:t>
      </w:r>
    </w:p>
    <w:p w14:paraId="79744FF3">
      <w:pPr>
        <w:spacing w:line="360" w:lineRule="auto"/>
        <w:jc w:val="both"/>
        <w:rPr>
          <w:rFonts w:ascii="Times New Roman" w:hAnsi="Times New Roman" w:cs="Times New Roman"/>
        </w:rPr>
      </w:pPr>
      <w:r>
        <w:rPr>
          <w:rFonts w:ascii="Times New Roman" w:hAnsi="Times New Roman" w:cs="Times New Roman"/>
        </w:rPr>
        <w:br w:type="textWrapping"/>
      </w:r>
      <w:r>
        <w:rPr>
          <w:rFonts w:ascii="Times New Roman" w:hAnsi="Times New Roman" w:cs="Times New Roman"/>
        </w:rPr>
        <w:t xml:space="preserve">Hence, we aim to address the central research question: </w:t>
      </w:r>
      <w:r>
        <w:rPr>
          <w:rFonts w:ascii="Times New Roman" w:hAnsi="Times New Roman" w:cs="Times New Roman"/>
          <w:i/>
          <w:iCs/>
        </w:rPr>
        <w:t>What strategies can be adopted to improve the overall well-being of tribal people in Jharkhand across key sectors such as health status, security, social connection, civic engagement, income, wealth, risk management, housing, environmental quality, education, occupation, skills, work-life balance, and subjective well-being?</w:t>
      </w:r>
    </w:p>
    <w:p w14:paraId="671A1DF2">
      <w:pPr>
        <w:spacing w:line="360" w:lineRule="auto"/>
        <w:jc w:val="both"/>
        <w:rPr>
          <w:rFonts w:ascii="Times New Roman" w:hAnsi="Times New Roman" w:cs="Times New Roman"/>
        </w:rPr>
      </w:pPr>
      <w:r>
        <w:rPr>
          <w:rFonts w:ascii="Times New Roman" w:hAnsi="Times New Roman" w:cs="Times New Roman"/>
        </w:rPr>
        <w:t>This will be explored through the following specific objectives:</w:t>
      </w:r>
    </w:p>
    <w:p w14:paraId="5A54AFF1">
      <w:pPr>
        <w:numPr>
          <w:ilvl w:val="0"/>
          <w:numId w:val="2"/>
        </w:numPr>
        <w:spacing w:line="360" w:lineRule="auto"/>
        <w:jc w:val="both"/>
        <w:rPr>
          <w:rFonts w:ascii="Times New Roman" w:hAnsi="Times New Roman" w:cs="Times New Roman"/>
        </w:rPr>
      </w:pPr>
      <w:r>
        <w:rPr>
          <w:rFonts w:ascii="Times New Roman" w:hAnsi="Times New Roman" w:cs="Times New Roman"/>
        </w:rPr>
        <w:t>To examine how the implementation of rainwater harvesting systems can enhance tribal income, environmental quality, work-life balance, and overall subjective well-being.</w:t>
      </w:r>
    </w:p>
    <w:p w14:paraId="2B8F556D">
      <w:pPr>
        <w:numPr>
          <w:ilvl w:val="0"/>
          <w:numId w:val="2"/>
        </w:numPr>
        <w:spacing w:line="360" w:lineRule="auto"/>
        <w:jc w:val="both"/>
        <w:rPr>
          <w:rFonts w:ascii="Times New Roman" w:hAnsi="Times New Roman" w:cs="Times New Roman"/>
        </w:rPr>
      </w:pPr>
      <w:r>
        <w:rPr>
          <w:rFonts w:ascii="Times New Roman" w:hAnsi="Times New Roman" w:cs="Times New Roman"/>
        </w:rPr>
        <w:t>To analyze how the adoption of a multi-cropping system can contribute to improvements in income, wealth, work-life balance, subjective well-being, housing, and occupational opportunities.</w:t>
      </w:r>
    </w:p>
    <w:p w14:paraId="15DF3309">
      <w:pPr>
        <w:spacing w:line="360" w:lineRule="auto"/>
        <w:jc w:val="both"/>
        <w:rPr>
          <w:rFonts w:ascii="Times New Roman" w:hAnsi="Times New Roman" w:cs="Times New Roman"/>
        </w:rPr>
      </w:pPr>
      <w:r>
        <w:rPr>
          <w:rFonts w:ascii="Times New Roman" w:hAnsi="Times New Roman" w:cs="Times New Roman"/>
        </w:rPr>
        <w:t>The key contribution of this research lies in optimizing the economic condition of Jharkhand by identifying sustainable livelihood strategies that enhance the overall well-being of tribal communities, ensuring balanced improvements across income, housing, occupation, and other social dimensions. In particular, it will examine how rainwater harvesting can strengthen income generation, improve environmental quality, support work–life balance, and enhance subjective well-being. Similarly, it will analyze how the adoption of multi-cropping( finger millet and mustard seed) practices can optimize income sources, increase wealth, improve housing and occupational opportunities, and promote overall life satisfaction. We chose finger millet because it is a drought-resistant, nutrient-rich crop well-suited to the semi-arid soil and climatic conditions of Jharkhand, ensuring both food security and market potential. Mustard seed, on the other hand, is selected due to its shorter cultivation cycle, high oil content, and profitability, which provide tribal farmers with additional income opportunities.  By linking these sectoral improvements to broader dimensions of health, education, and social connection, the study will provide holistic insights for policymakers and development practitioners on designing inclusive and sustainable interventions for tribal wellbeing. The rest of this paper is structured as follows: literature review, problem description and model formulation, numerical analysis, implications of the result, and finally, conclusion.</w:t>
      </w:r>
    </w:p>
    <w:p w14:paraId="309EB561">
      <w:pPr>
        <w:pStyle w:val="35"/>
        <w:numPr>
          <w:ilvl w:val="0"/>
          <w:numId w:val="1"/>
        </w:numPr>
        <w:spacing w:line="360" w:lineRule="auto"/>
        <w:jc w:val="both"/>
        <w:rPr>
          <w:rFonts w:ascii="Times New Roman" w:hAnsi="Times New Roman" w:cs="Times New Roman"/>
          <w:b/>
          <w:bCs/>
        </w:rPr>
      </w:pPr>
      <w:r>
        <w:rPr>
          <w:rFonts w:ascii="Times New Roman" w:hAnsi="Times New Roman" w:cs="Times New Roman"/>
          <w:b/>
          <w:bCs/>
        </w:rPr>
        <w:t>Literature Review:</w:t>
      </w:r>
    </w:p>
    <w:p w14:paraId="0C3B900C">
      <w:pPr>
        <w:spacing w:line="360" w:lineRule="auto"/>
        <w:jc w:val="both"/>
        <w:rPr>
          <w:rFonts w:ascii="Times New Roman" w:hAnsi="Times New Roman" w:cs="Times New Roman"/>
        </w:rPr>
      </w:pPr>
      <w:r>
        <w:rPr>
          <w:rFonts w:ascii="Times New Roman" w:hAnsi="Times New Roman" w:cs="Times New Roman"/>
        </w:rPr>
        <w:t>Philosophical theories of well-being have often been divided into three main camps: hedonism, desire-satisfaction theories, and objective list theories (Parfit, 1984; Griffin, 1986). Hedonism grounds well-being in the maximization of pleasure and the minimization of pain (Mill, 1861/1998), and its optimization analogue is straightforward: a single-variable maximization problem where the objective function is utility measured in hedonic terms (Kahneman et al., 1997). While elegant in form, this view is limited because it reduces the complexity of human flourishing to one dimension, overlooking plural goods that contribute to well-being independently of felt pleasure. Similarly, desire-satisfaction theories hold that well-being consists in the fulfillment of an agent’s informed or rational desires (Railton, 1986). Optimization in this framework corresponds to preference-satisfaction models in microeconomics (Arrow &amp; Debreu, 1954; Sen, 1970), where agents maximize their utility subject to constraints. Yet this approach has problems because people’s preferences may be based on limited knowledge, shaped by long-term deprivation, or may not match their real human needs(Elster, 1983; Nussbaum, 2011).</w:t>
      </w:r>
    </w:p>
    <w:p w14:paraId="60DB3F52">
      <w:pPr>
        <w:spacing w:line="360" w:lineRule="auto"/>
        <w:jc w:val="both"/>
        <w:rPr>
          <w:rFonts w:ascii="Times New Roman" w:hAnsi="Times New Roman" w:cs="Times New Roman"/>
        </w:rPr>
      </w:pPr>
    </w:p>
    <w:p w14:paraId="64DBA2BD">
      <w:pPr>
        <w:spacing w:line="360" w:lineRule="auto"/>
        <w:jc w:val="both"/>
        <w:rPr>
          <w:rFonts w:ascii="Times New Roman" w:hAnsi="Times New Roman" w:cs="Times New Roman"/>
        </w:rPr>
      </w:pPr>
      <w:r>
        <w:rPr>
          <w:rFonts w:ascii="Times New Roman" w:hAnsi="Times New Roman" w:cs="Times New Roman"/>
        </w:rPr>
        <w:t>By contrast, the objective list theory argues that a plurality of goodssuch as knowledge, friendship, achievement and health status benefit individuals independently of their subjective endorsement (Parfit, 1984; Finnis, 1980). Its strength lies in its pluralism, but critics often regard it as merely enumerative, lacking explanatory structure (Sumner, 1996). Here, optimization theory provides a crucial bridge. In a multi-objective optimization framework (Zeleny, 1982; Miettinen, 1999), objective goods can be modeled as co-constitutive yet potentially conflicting goals, requiring trade-offs and prioritization. Rather than a static list, the theory becomes explanatory: the interaction of goods can be analyzed through Pareto frontiers (Pareto, 1906), where optimal states of well-being are identified as non-dominated solutions in which no good can be increased without sacrificing another. This framing resonates with Sen’s (1999) capability approach and Nussbaum’s (2011) emphasis on thresholds for central human capabilities, both of which operationalize plural goods within policy contexts.</w:t>
      </w:r>
    </w:p>
    <w:p w14:paraId="012094CC">
      <w:pPr>
        <w:spacing w:line="360" w:lineRule="auto"/>
        <w:jc w:val="both"/>
        <w:rPr>
          <w:rFonts w:ascii="Times New Roman" w:hAnsi="Times New Roman" w:cs="Times New Roman"/>
        </w:rPr>
      </w:pPr>
    </w:p>
    <w:p w14:paraId="1C6CE191">
      <w:pPr>
        <w:spacing w:line="360" w:lineRule="auto"/>
        <w:jc w:val="both"/>
        <w:rPr>
          <w:rFonts w:ascii="Times New Roman" w:hAnsi="Times New Roman" w:cs="Times New Roman"/>
        </w:rPr>
      </w:pPr>
      <w:r>
        <w:rPr>
          <w:rFonts w:ascii="Times New Roman" w:hAnsi="Times New Roman" w:cs="Times New Roman"/>
        </w:rPr>
        <w:t>Hedonism explains well-being only as the satisfaction of desires. This makes it depend too much on personal preferences. In contrast, the objective list theory, when used with optimization methods, becomes stronger. It shows how different goods work together, how well-being can grow within social, cultural, and resource limits. This synthesis reflects contemporary multidimensional well-being research (Alkire &amp; Foster, 2011; OECD, 2013), which increasingly adopts optimization-based tools to translate philosophical accounts of well-being into actionable frameworks for empirical analysis and policy design.</w:t>
      </w:r>
    </w:p>
    <w:p w14:paraId="6E3373BD">
      <w:pPr>
        <w:pStyle w:val="17"/>
        <w:spacing w:line="360" w:lineRule="auto"/>
        <w:jc w:val="both"/>
      </w:pPr>
      <w:r>
        <w:t xml:space="preserve">Heidegger’s notion of </w:t>
      </w:r>
      <w:r>
        <w:rPr>
          <w:rStyle w:val="15"/>
          <w:rFonts w:eastAsiaTheme="majorEastAsia"/>
        </w:rPr>
        <w:t>homecoming</w:t>
      </w:r>
      <w:r>
        <w:t xml:space="preserve"> (Heidegger, 1962, 1966, 1971, 1973, 1993a, 1993b) can also be theoretically connected with optimization frameworks in social science and economics by conceptualizing it as the existential analogue of the “feasible region” within which authentic modes of human flourishing become possible. Heidegger’s ideas of dwelling and mobility match the logic of multi-objective optimization. In this view, well-being cannot be measured by a single goal. Instead, it must be understood through complementarities. Dwelling, characterized by rootedness, stability, and continuity, resonates with the need for sustainable baselines in optimization models. In contrast, mobility, marked by adaptability, openness, and dynamism, reflects the exploration of solution spaces in search of improved states (Simon, 1979). Heidegger described the unity of dwelling and mobility through the idea of </w:t>
      </w:r>
      <w:r>
        <w:rPr>
          <w:i/>
          <w:iCs/>
        </w:rPr>
        <w:t>Gegnet</w:t>
      </w:r>
      <w:r>
        <w:t xml:space="preserve"> or “abiding expanse.” This can be compared to the concept of Pareto efficiency. In Pareto efficiency, the optimal solution is not just one point. Instead, it is a frontier of non-dominated alternatives. Within this frontier, the conditions for existential well-being can be realized.In this respect, Heidegger’s existential phenomenology converges with normative approaches to welfare optimization, such as Sen’s (1999) capability approach and Alkire and Foster’s (2011) multidimensional poverty measurement, both of which emphasize the plural and context-dependent nature of well-being. This connection suggests that existential well-being, far from being merely descriptive, can be systematically theorized and operationalized through optimization models that incorporate both stability and adaptability as co-constitutive dimensions. In line with recent scholarship on well-being as a multidimensional construct (Dodge et al., 2012; OECD, 2013), the Heideggerian framework of homecoming and abiding expanse can thus provide a philosophical grounding for optimization theory, offering a way to formalize existential conditions of flourishing within socio-economic, cultural, and policy-relevant domains.</w:t>
      </w:r>
    </w:p>
    <w:p w14:paraId="0AC2E932">
      <w:pPr>
        <w:pStyle w:val="17"/>
        <w:spacing w:line="360" w:lineRule="auto"/>
        <w:jc w:val="both"/>
      </w:pPr>
      <w:r>
        <w:t>While optimization frameworks and theories of well-being provide valuable tools for analyzing human flourishing, their application to tribal communities in developing countries, such as India, faces significant limitations. First, optimization models often use quantifiable indicators (Sen, 1999; Alkire &amp; Foster, 2011). This creates a risk of ignoring cultural, spiritual, and relational aspects of tribal well-being. These dimensions are not easy to measure (Xaxa, 2008; Maharatna, 2005). Second, theories such as hedonism and desire-satisfaction may misrepresent tribal values, since well-being in these communities is frequently grounded in collective identity, ecological harmony, and cultural continuity rather than individual utility maximization (Dasgupta, 2010; Nussbaum, 2011). Even objective list and capability approaches, while more pluralistic, may inadvertently impose external normative lists of goods that fail to capture indigenous conceptions of the “good life” (Kuklys, 2005). Optimization-based well-being models can help in policy design. But they also have limitations. There is a need for context-sensitive approaches that include tribal knowledge systems and indigenous values. This helps to avoid reducing existential well-being to outside categories of measurement.</w:t>
      </w:r>
    </w:p>
    <w:p w14:paraId="5D8A99CC">
      <w:pPr>
        <w:pStyle w:val="17"/>
        <w:spacing w:line="360" w:lineRule="auto"/>
        <w:jc w:val="both"/>
        <w:rPr>
          <w:b/>
          <w:bCs/>
        </w:rPr>
      </w:pPr>
      <w:r>
        <w:rPr>
          <w:b/>
          <w:bCs/>
        </w:rPr>
        <w:t>3. Methodology:</w:t>
      </w:r>
    </w:p>
    <w:p w14:paraId="2F3AC214">
      <w:pPr>
        <w:spacing w:line="360" w:lineRule="auto"/>
        <w:jc w:val="both"/>
        <w:rPr>
          <w:rFonts w:ascii="Times New Roman" w:hAnsi="Times New Roman" w:cs="Times New Roman"/>
        </w:rPr>
      </w:pPr>
      <w:r>
        <w:rPr>
          <w:rFonts w:ascii="Times New Roman" w:hAnsi="Times New Roman" w:cs="Times New Roman"/>
        </w:rPr>
        <w:t xml:space="preserve">To address those limitations, the present study focuses on the Jamtara block including six blocks namely Jamtara, Nala, Narayanpur, Fatehpur, Kundhit and Karmatard. It is  </w:t>
      </w:r>
      <w:r>
        <w:rPr>
          <w:rFonts w:ascii="Times New Roman" w:hAnsi="Times New Roman" w:cs="Times New Roman"/>
          <w:color w:val="FF0000"/>
        </w:rPr>
        <w:t>located 250 km from Ranchi and 54 kms from Dhanbad, one of the major cities</w:t>
      </w:r>
      <w:r>
        <w:rPr>
          <w:rFonts w:ascii="Times New Roman" w:hAnsi="Times New Roman" w:cs="Times New Roman"/>
        </w:rPr>
        <w:t xml:space="preserve">(Census of India, 2001; Singh et al., 2012). Unlike other districts in Jharkhand, Jamtara lacks a mineral belt, which has significantly constrained its economic development and limited industrial opportunities (Singh et al., 2012). Agriculture in the region is challenged by erratic rainfall (two months annually) and by soils ranging from sandy loam to clayey loam that are moderately acidic, erosion-prone, and low in fertility and cation exchange capacity (Singh et al., 2012). These conditions exacerbate the vulnerability of the predominantly indigenous population, whose livelihoods continue to be shaped by historical and cultural legacies. </w:t>
      </w:r>
    </w:p>
    <w:p w14:paraId="7306B15C">
      <w:pPr>
        <w:spacing w:line="360" w:lineRule="auto"/>
        <w:jc w:val="both"/>
        <w:rPr>
          <w:rFonts w:ascii="Times New Roman" w:hAnsi="Times New Roman" w:cs="Times New Roman"/>
        </w:rPr>
      </w:pPr>
      <w:r>
        <w:rPr>
          <w:rFonts w:ascii="Times New Roman" w:hAnsi="Times New Roman" w:cs="Times New Roman"/>
        </w:rPr>
        <w:t>The tribal economy of Jharkhand has deep roots in eco-social systems (Justin &amp; Menon, 2022). It evolved from the pre-colonial to the post-colonial period. It is shaped by the geography of the Chotanagpur plateau(Justin &amp; Menon, 2022). Their livelihoods included hunting and food gathering. They also practiced shifting cultivation and settled agriculture. Basketry, metallurgy, and diverse village crafts were important. These activities sustained their social, religious, and cultural practices.(Kumar &amp; Chaudhuri, 2023).</w:t>
      </w:r>
    </w:p>
    <w:p w14:paraId="4F55F309">
      <w:pPr>
        <w:keepNext/>
        <w:spacing w:after="0" w:line="240" w:lineRule="auto"/>
      </w:pPr>
      <w:r>
        <w:rPr>
          <w:rFonts w:ascii="Times New Roman" w:hAnsi="Times New Roman" w:eastAsia="Times New Roman" w:cs="Times New Roman"/>
          <w:kern w:val="0"/>
          <w:lang w:val="en-US" w:bidi="bn-IN"/>
        </w:rPr>
        <w:drawing>
          <wp:inline distT="0" distB="0" distL="0" distR="0">
            <wp:extent cx="6048375" cy="9485630"/>
            <wp:effectExtent l="0" t="0" r="0" b="0"/>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6050280" cy="9488236"/>
                    </a:xfrm>
                    <a:prstGeom prst="rect">
                      <a:avLst/>
                    </a:prstGeom>
                    <a:noFill/>
                    <a:ln>
                      <a:noFill/>
                    </a:ln>
                  </pic:spPr>
                </pic:pic>
              </a:graphicData>
            </a:graphic>
          </wp:inline>
        </w:drawing>
      </w:r>
    </w:p>
    <w:p w14:paraId="1FA9F019">
      <w:pPr>
        <w:pStyle w:val="14"/>
        <w:jc w:val="center"/>
        <w:rPr>
          <w:rFonts w:ascii="Times New Roman" w:hAnsi="Times New Roman" w:eastAsia="Times New Roman" w:cs="Times New Roman"/>
          <w:i w:val="0"/>
          <w:iCs w:val="0"/>
          <w:color w:val="auto"/>
          <w:kern w:val="0"/>
          <w:sz w:val="20"/>
          <w:szCs w:val="20"/>
          <w:lang w:eastAsia="en-IN"/>
        </w:rPr>
      </w:pPr>
      <w:r>
        <w:rPr>
          <w:rFonts w:ascii="Times New Roman" w:hAnsi="Times New Roman" w:cs="Times New Roman"/>
          <w:i w:val="0"/>
          <w:iCs w:val="0"/>
          <w:color w:val="auto"/>
          <w:sz w:val="20"/>
          <w:szCs w:val="20"/>
        </w:rPr>
        <w:t xml:space="preserve">Figure </w:t>
      </w:r>
      <w:r>
        <w:rPr>
          <w:rFonts w:ascii="Times New Roman" w:hAnsi="Times New Roman" w:cs="Times New Roman"/>
          <w:i w:val="0"/>
          <w:iCs w:val="0"/>
          <w:color w:val="auto"/>
          <w:sz w:val="20"/>
          <w:szCs w:val="20"/>
        </w:rPr>
        <w:fldChar w:fldCharType="begin"/>
      </w:r>
      <w:r>
        <w:rPr>
          <w:rFonts w:ascii="Times New Roman" w:hAnsi="Times New Roman" w:cs="Times New Roman"/>
          <w:i w:val="0"/>
          <w:iCs w:val="0"/>
          <w:color w:val="auto"/>
          <w:sz w:val="20"/>
          <w:szCs w:val="20"/>
        </w:rPr>
        <w:instrText xml:space="preserve"> SEQ Figure \* ARABIC </w:instrText>
      </w:r>
      <w:r>
        <w:rPr>
          <w:rFonts w:ascii="Times New Roman" w:hAnsi="Times New Roman" w:cs="Times New Roman"/>
          <w:i w:val="0"/>
          <w:iCs w:val="0"/>
          <w:color w:val="auto"/>
          <w:sz w:val="20"/>
          <w:szCs w:val="20"/>
        </w:rPr>
        <w:fldChar w:fldCharType="separate"/>
      </w:r>
      <w:r>
        <w:rPr>
          <w:rFonts w:ascii="Times New Roman" w:hAnsi="Times New Roman" w:cs="Times New Roman"/>
          <w:i w:val="0"/>
          <w:iCs w:val="0"/>
          <w:color w:val="auto"/>
          <w:sz w:val="20"/>
          <w:szCs w:val="20"/>
        </w:rPr>
        <w:t>1</w:t>
      </w:r>
      <w:r>
        <w:rPr>
          <w:rFonts w:ascii="Times New Roman" w:hAnsi="Times New Roman" w:cs="Times New Roman"/>
          <w:i w:val="0"/>
          <w:iCs w:val="0"/>
          <w:color w:val="auto"/>
          <w:sz w:val="20"/>
          <w:szCs w:val="20"/>
        </w:rPr>
        <w:fldChar w:fldCharType="end"/>
      </w:r>
      <w:r>
        <w:rPr>
          <w:rFonts w:ascii="Times New Roman" w:hAnsi="Times New Roman" w:cs="Times New Roman"/>
          <w:i w:val="0"/>
          <w:iCs w:val="0"/>
          <w:color w:val="auto"/>
          <w:sz w:val="20"/>
          <w:szCs w:val="20"/>
        </w:rPr>
        <w:t>: Research methodology</w:t>
      </w:r>
    </w:p>
    <w:p w14:paraId="0DFCFA3F">
      <w:pPr>
        <w:spacing w:line="360" w:lineRule="auto"/>
        <w:jc w:val="both"/>
        <w:rPr>
          <w:rFonts w:ascii="Times New Roman" w:hAnsi="Times New Roman" w:cs="Times New Roman"/>
        </w:rPr>
      </w:pPr>
    </w:p>
    <w:p w14:paraId="3D7C61E2">
      <w:pPr>
        <w:spacing w:line="360" w:lineRule="auto"/>
        <w:jc w:val="both"/>
        <w:rPr>
          <w:rFonts w:ascii="Times New Roman" w:hAnsi="Times New Roman" w:cs="Times New Roman"/>
        </w:rPr>
      </w:pPr>
      <w:r>
        <w:rPr>
          <w:rFonts w:ascii="Times New Roman" w:hAnsi="Times New Roman" w:cs="Times New Roman"/>
          <w:b/>
          <w:bCs/>
        </w:rPr>
        <w:t>Development of questionnaire:</w:t>
      </w:r>
      <w:r>
        <w:rPr>
          <w:rFonts w:ascii="Times New Roman" w:hAnsi="Times New Roman" w:cs="Times New Roman"/>
        </w:rPr>
        <w:t xml:space="preserve"> A semi-structured questionnaire with 127 items drawing on frameworks such as the Human Development Index (HDI), the Gender Inequality Index (GII), and the Multidimensional Poverty Index (MPI)was used to capture data on socio-economic, cultural, and psychological dimensions of well-being of tribal people of Jamtara. The questionnaire is divided into seventeen sections including personal information with demographic aspects, psycholographic aspects, wellbeing aspects, agricultural details, soil, animal husbandary, training skill and development, drinking water and sanitation, women empowerment and capacity building, annual income and expenditure, income of the family, assests and liabilities, awareness about program, risk and vurnabilities, health status, women health care and child mortality aspects. The personal information in our questionnaire brought forth demographic, personal and social information that include respondents age, religion, birth order educational background, occupation, socio economic, marital status, income and race( Hossain et al.,2016 ). The wellbeing aspects mainly include the subjective wellbeing including emotions, happiness, satisfaction with life and anxious(Maddux, 2007).</w:t>
      </w:r>
    </w:p>
    <w:p w14:paraId="0BCC5CC9">
      <w:pPr>
        <w:spacing w:line="360" w:lineRule="auto"/>
        <w:jc w:val="both"/>
        <w:rPr>
          <w:rFonts w:ascii="Times New Roman" w:hAnsi="Times New Roman" w:cs="Times New Roman"/>
        </w:rPr>
      </w:pPr>
      <w:r>
        <w:rPr>
          <w:rFonts w:ascii="Times New Roman" w:hAnsi="Times New Roman" w:cs="Times New Roman"/>
          <w:b/>
          <w:bCs/>
        </w:rPr>
        <w:t xml:space="preserve">Data collection: </w:t>
      </w:r>
      <w:r>
        <w:rPr>
          <w:rFonts w:ascii="Times New Roman" w:hAnsi="Times New Roman" w:cs="Times New Roman"/>
        </w:rPr>
        <w:t>Data were collected from six blocks of Jamtara district in different time. The dataset used in this study was collected through various focused group discussions(FGDs) and transect walks, which aimed to investigate the trends in poverty, living situation, and well-being of indigenous people. Surveys were conducted on a randomly selected sample of households from  blocks in Jharkhand, using a two-stage stratified sampling method based on panchayat and district levels.. In the first stage, data were collected from 65 respondents from each blocks during the survey. In the first stage, the data was screened. The panel members of experts in FGDs (two PhD academicians and three professionals experienced in working with Indigenous communities)were informed about the study and analyzed the descriptive statistics to understand key trends, such as demographics, response patterns, and other important indicators. The analysis also identified challenges in reaching participants, conducting surveys, and recording responses.The total number of adults interviewed in the first wave was 70 to 75 from each blocks. In the second stage, a larger survey was conducted in each blocks block, covering total 3157 participnts aged 15–80 years.The study used both qualitative and quantitative methods.</w:t>
      </w:r>
    </w:p>
    <w:p w14:paraId="4D1CD26F">
      <w:pPr>
        <w:spacing w:line="360" w:lineRule="auto"/>
        <w:jc w:val="both"/>
        <w:rPr>
          <w:rFonts w:ascii="Times New Roman" w:hAnsi="Times New Roman" w:cs="Times New Roman"/>
        </w:rPr>
      </w:pPr>
    </w:p>
    <w:p w14:paraId="2639E9C2">
      <w:pPr>
        <w:spacing w:line="360" w:lineRule="auto"/>
        <w:jc w:val="both"/>
        <w:rPr>
          <w:rFonts w:ascii="Times New Roman" w:hAnsi="Times New Roman" w:cs="Times New Roman"/>
        </w:rPr>
      </w:pPr>
      <w:bookmarkStart w:id="10" w:name="_GoBack"/>
      <w:bookmarkEnd w:id="10"/>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80"/>
        <w:gridCol w:w="3081"/>
        <w:gridCol w:w="3081"/>
      </w:tblGrid>
      <w:tr w14:paraId="3DB99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0" w:type="dxa"/>
          </w:tcPr>
          <w:p w14:paraId="1FA992E4">
            <w:pPr>
              <w:spacing w:after="0" w:line="360" w:lineRule="auto"/>
              <w:jc w:val="both"/>
              <w:rPr>
                <w:rFonts w:ascii="Times New Roman" w:hAnsi="Times New Roman" w:cs="Times New Roman"/>
              </w:rPr>
            </w:pPr>
          </w:p>
        </w:tc>
        <w:tc>
          <w:tcPr>
            <w:tcW w:w="3081" w:type="dxa"/>
          </w:tcPr>
          <w:p w14:paraId="6589FEC1">
            <w:pPr>
              <w:spacing w:after="0" w:line="360" w:lineRule="auto"/>
              <w:jc w:val="both"/>
              <w:rPr>
                <w:rFonts w:ascii="Times New Roman" w:hAnsi="Times New Roman" w:cs="Times New Roman"/>
              </w:rPr>
            </w:pPr>
          </w:p>
        </w:tc>
        <w:tc>
          <w:tcPr>
            <w:tcW w:w="3081" w:type="dxa"/>
          </w:tcPr>
          <w:p w14:paraId="555402EF">
            <w:pPr>
              <w:spacing w:after="0" w:line="360" w:lineRule="auto"/>
              <w:jc w:val="both"/>
              <w:rPr>
                <w:rFonts w:ascii="Times New Roman" w:hAnsi="Times New Roman" w:cs="Times New Roman"/>
              </w:rPr>
            </w:pPr>
          </w:p>
        </w:tc>
      </w:tr>
      <w:tr w14:paraId="018E4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0" w:type="dxa"/>
          </w:tcPr>
          <w:p w14:paraId="21BCB0C9">
            <w:pPr>
              <w:spacing w:after="0" w:line="360" w:lineRule="auto"/>
              <w:jc w:val="both"/>
              <w:rPr>
                <w:rFonts w:ascii="Times New Roman" w:hAnsi="Times New Roman" w:cs="Times New Roman"/>
              </w:rPr>
            </w:pPr>
          </w:p>
        </w:tc>
        <w:tc>
          <w:tcPr>
            <w:tcW w:w="3081" w:type="dxa"/>
          </w:tcPr>
          <w:p w14:paraId="5D0B5ADB">
            <w:pPr>
              <w:spacing w:after="0" w:line="360" w:lineRule="auto"/>
              <w:jc w:val="both"/>
              <w:rPr>
                <w:rFonts w:ascii="Times New Roman" w:hAnsi="Times New Roman" w:cs="Times New Roman"/>
              </w:rPr>
            </w:pPr>
          </w:p>
        </w:tc>
        <w:tc>
          <w:tcPr>
            <w:tcW w:w="3081" w:type="dxa"/>
          </w:tcPr>
          <w:p w14:paraId="16A179C9">
            <w:pPr>
              <w:spacing w:after="0" w:line="360" w:lineRule="auto"/>
              <w:jc w:val="both"/>
              <w:rPr>
                <w:rFonts w:ascii="Times New Roman" w:hAnsi="Times New Roman" w:cs="Times New Roman"/>
              </w:rPr>
            </w:pPr>
          </w:p>
        </w:tc>
      </w:tr>
      <w:tr w14:paraId="7C07D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0" w:type="dxa"/>
          </w:tcPr>
          <w:p w14:paraId="50B6B898">
            <w:pPr>
              <w:spacing w:after="0" w:line="360" w:lineRule="auto"/>
              <w:jc w:val="both"/>
              <w:rPr>
                <w:rFonts w:ascii="Times New Roman" w:hAnsi="Times New Roman" w:cs="Times New Roman"/>
              </w:rPr>
            </w:pPr>
          </w:p>
        </w:tc>
        <w:tc>
          <w:tcPr>
            <w:tcW w:w="3081" w:type="dxa"/>
          </w:tcPr>
          <w:p w14:paraId="658F8DE2">
            <w:pPr>
              <w:spacing w:after="0" w:line="360" w:lineRule="auto"/>
              <w:jc w:val="both"/>
              <w:rPr>
                <w:rFonts w:ascii="Times New Roman" w:hAnsi="Times New Roman" w:cs="Times New Roman"/>
              </w:rPr>
            </w:pPr>
          </w:p>
        </w:tc>
        <w:tc>
          <w:tcPr>
            <w:tcW w:w="3081" w:type="dxa"/>
          </w:tcPr>
          <w:p w14:paraId="35AF5575">
            <w:pPr>
              <w:spacing w:after="0" w:line="360" w:lineRule="auto"/>
              <w:jc w:val="both"/>
              <w:rPr>
                <w:rFonts w:ascii="Times New Roman" w:hAnsi="Times New Roman" w:cs="Times New Roman"/>
              </w:rPr>
            </w:pPr>
          </w:p>
        </w:tc>
      </w:tr>
      <w:tr w14:paraId="0F0E4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0" w:type="dxa"/>
          </w:tcPr>
          <w:p w14:paraId="11F9AE41">
            <w:pPr>
              <w:spacing w:after="0" w:line="360" w:lineRule="auto"/>
              <w:jc w:val="both"/>
              <w:rPr>
                <w:rFonts w:ascii="Times New Roman" w:hAnsi="Times New Roman" w:cs="Times New Roman"/>
              </w:rPr>
            </w:pPr>
          </w:p>
        </w:tc>
        <w:tc>
          <w:tcPr>
            <w:tcW w:w="3081" w:type="dxa"/>
          </w:tcPr>
          <w:p w14:paraId="48A9F70A">
            <w:pPr>
              <w:spacing w:after="0" w:line="360" w:lineRule="auto"/>
              <w:jc w:val="both"/>
              <w:rPr>
                <w:rFonts w:ascii="Times New Roman" w:hAnsi="Times New Roman" w:cs="Times New Roman"/>
              </w:rPr>
            </w:pPr>
          </w:p>
        </w:tc>
        <w:tc>
          <w:tcPr>
            <w:tcW w:w="3081" w:type="dxa"/>
          </w:tcPr>
          <w:p w14:paraId="18DEA0F2">
            <w:pPr>
              <w:spacing w:after="0" w:line="360" w:lineRule="auto"/>
              <w:jc w:val="both"/>
              <w:rPr>
                <w:rFonts w:ascii="Times New Roman" w:hAnsi="Times New Roman" w:cs="Times New Roman"/>
              </w:rPr>
            </w:pPr>
          </w:p>
        </w:tc>
      </w:tr>
      <w:tr w14:paraId="7033A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0" w:type="dxa"/>
          </w:tcPr>
          <w:p w14:paraId="5558D287">
            <w:pPr>
              <w:spacing w:after="0" w:line="360" w:lineRule="auto"/>
              <w:jc w:val="both"/>
              <w:rPr>
                <w:rFonts w:ascii="Times New Roman" w:hAnsi="Times New Roman" w:cs="Times New Roman"/>
              </w:rPr>
            </w:pPr>
          </w:p>
        </w:tc>
        <w:tc>
          <w:tcPr>
            <w:tcW w:w="3081" w:type="dxa"/>
          </w:tcPr>
          <w:p w14:paraId="0B74F314">
            <w:pPr>
              <w:spacing w:after="0" w:line="360" w:lineRule="auto"/>
              <w:jc w:val="both"/>
              <w:rPr>
                <w:rFonts w:ascii="Times New Roman" w:hAnsi="Times New Roman" w:cs="Times New Roman"/>
              </w:rPr>
            </w:pPr>
          </w:p>
        </w:tc>
        <w:tc>
          <w:tcPr>
            <w:tcW w:w="3081" w:type="dxa"/>
          </w:tcPr>
          <w:p w14:paraId="6EFCA844">
            <w:pPr>
              <w:spacing w:after="0" w:line="360" w:lineRule="auto"/>
              <w:jc w:val="both"/>
              <w:rPr>
                <w:rFonts w:ascii="Times New Roman" w:hAnsi="Times New Roman" w:cs="Times New Roman"/>
              </w:rPr>
            </w:pPr>
          </w:p>
        </w:tc>
      </w:tr>
      <w:tr w14:paraId="6995B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0" w:type="dxa"/>
          </w:tcPr>
          <w:p w14:paraId="1F585226">
            <w:pPr>
              <w:spacing w:after="0" w:line="360" w:lineRule="auto"/>
              <w:jc w:val="both"/>
              <w:rPr>
                <w:rFonts w:ascii="Times New Roman" w:hAnsi="Times New Roman" w:cs="Times New Roman"/>
              </w:rPr>
            </w:pPr>
          </w:p>
        </w:tc>
        <w:tc>
          <w:tcPr>
            <w:tcW w:w="3081" w:type="dxa"/>
          </w:tcPr>
          <w:p w14:paraId="3D7E02E2">
            <w:pPr>
              <w:spacing w:after="0" w:line="360" w:lineRule="auto"/>
              <w:jc w:val="both"/>
              <w:rPr>
                <w:rFonts w:ascii="Times New Roman" w:hAnsi="Times New Roman" w:cs="Times New Roman"/>
              </w:rPr>
            </w:pPr>
          </w:p>
        </w:tc>
        <w:tc>
          <w:tcPr>
            <w:tcW w:w="3081" w:type="dxa"/>
          </w:tcPr>
          <w:p w14:paraId="6735DED8">
            <w:pPr>
              <w:spacing w:after="0" w:line="360" w:lineRule="auto"/>
              <w:jc w:val="both"/>
              <w:rPr>
                <w:rFonts w:ascii="Times New Roman" w:hAnsi="Times New Roman" w:cs="Times New Roman"/>
              </w:rPr>
            </w:pPr>
          </w:p>
        </w:tc>
      </w:tr>
    </w:tbl>
    <w:p w14:paraId="13F63239">
      <w:pPr>
        <w:spacing w:line="360" w:lineRule="auto"/>
        <w:jc w:val="both"/>
        <w:rPr>
          <w:rFonts w:ascii="Times New Roman" w:hAnsi="Times New Roman" w:cs="Times New Roman"/>
        </w:rPr>
      </w:pPr>
    </w:p>
    <w:p w14:paraId="5CC4EEAD">
      <w:pPr>
        <w:spacing w:line="360" w:lineRule="auto"/>
        <w:jc w:val="both"/>
        <w:rPr>
          <w:rFonts w:ascii="Times New Roman" w:hAnsi="Times New Roman" w:cs="Times New Roman"/>
        </w:rPr>
      </w:pPr>
      <w:r>
        <w:rPr>
          <w:rFonts w:ascii="Times New Roman" w:hAnsi="Times New Roman" w:cs="Times New Roman"/>
        </w:rPr>
        <w:t>2.2 Missing Values and Bias:</w:t>
      </w:r>
    </w:p>
    <w:p w14:paraId="13C13F84">
      <w:pPr>
        <w:spacing w:line="360" w:lineRule="auto"/>
        <w:jc w:val="both"/>
        <w:rPr>
          <w:rFonts w:ascii="Times New Roman" w:hAnsi="Times New Roman" w:cs="Times New Roman"/>
        </w:rPr>
      </w:pPr>
      <w:r>
        <w:rPr>
          <w:rFonts w:ascii="Times New Roman" w:hAnsi="Times New Roman" w:cs="Times New Roman"/>
        </w:rPr>
        <w:t>After collecting data, we aim to do descriptive statistics. In our dataset, several missing values were identified, with most appearing to depend on observed variables, indicating that the data is Missing at Random (MAR). Given the moderate extent of missingness, mean/median imputation was used to address the issue. Additionally, two types of bias are identified: nonresponse bias and common method bias (CMB). To reduce nonresponse bias, post-survey adjustment techniques such as imputation and weighting are used, ensuring more representative data. To check for CMB, Harman’s single- factor test is conducted(Aguirre-Urreta &amp;amp; Hu, 2019).Although Harman&amp;#39;s single-factor test is widely used to assess the CMB. It serves only as a diagnostic tool to detect its potential presence. Importantly, it provides limited insight into the magnitude or impact of the bias. Fuller et al. (2016) demonstrated that the single-factor test fails to accurately reflect the true extent of method bias present in the data. Their findings suggest that relying solely on this test may lead to underestimation or misinterpretation of the influence of CMB on study results.The total variance explained by a single factor is less than 50%, indicating that CMB does not significantly affect our data. This enhances the reliability of our findings. This strengthens the validity of our statistical models and ensures that relationships observed in the data are not distorted by measurement biases, leading to more accurate conclusions in our analysis. We use SPSS software and CPLEX software for further analysis.</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20"/>
        <w:gridCol w:w="1320"/>
        <w:gridCol w:w="1320"/>
        <w:gridCol w:w="1320"/>
        <w:gridCol w:w="1320"/>
        <w:gridCol w:w="1321"/>
        <w:gridCol w:w="1321"/>
      </w:tblGrid>
      <w:tr w14:paraId="64682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0" w:type="dxa"/>
          </w:tcPr>
          <w:p w14:paraId="07074AFB">
            <w:pPr>
              <w:spacing w:after="0" w:line="360" w:lineRule="auto"/>
              <w:jc w:val="both"/>
              <w:rPr>
                <w:rFonts w:ascii="Times New Roman" w:hAnsi="Times New Roman" w:cs="Times New Roman"/>
              </w:rPr>
            </w:pPr>
            <w:r>
              <w:rPr>
                <w:rFonts w:ascii="Times New Roman" w:hAnsi="Times New Roman" w:cs="Times New Roman"/>
              </w:rPr>
              <w:t>blocks</w:t>
            </w:r>
          </w:p>
        </w:tc>
        <w:tc>
          <w:tcPr>
            <w:tcW w:w="1320" w:type="dxa"/>
          </w:tcPr>
          <w:p w14:paraId="1AADCE43">
            <w:pPr>
              <w:spacing w:after="0" w:line="360" w:lineRule="auto"/>
              <w:jc w:val="both"/>
              <w:rPr>
                <w:rFonts w:ascii="Times New Roman" w:hAnsi="Times New Roman" w:cs="Times New Roman"/>
              </w:rPr>
            </w:pPr>
            <w:r>
              <w:rPr>
                <w:rFonts w:ascii="Times New Roman" w:hAnsi="Times New Roman" w:cs="Times New Roman"/>
              </w:rPr>
              <w:t xml:space="preserve">Age </w:t>
            </w:r>
          </w:p>
        </w:tc>
        <w:tc>
          <w:tcPr>
            <w:tcW w:w="1320" w:type="dxa"/>
          </w:tcPr>
          <w:p w14:paraId="057CD735">
            <w:pPr>
              <w:spacing w:after="0" w:line="360" w:lineRule="auto"/>
              <w:jc w:val="both"/>
              <w:rPr>
                <w:rFonts w:ascii="Times New Roman" w:hAnsi="Times New Roman" w:cs="Times New Roman"/>
              </w:rPr>
            </w:pPr>
            <w:r>
              <w:rPr>
                <w:rFonts w:ascii="Times New Roman" w:hAnsi="Times New Roman" w:cs="Times New Roman"/>
              </w:rPr>
              <w:t>gender</w:t>
            </w:r>
          </w:p>
        </w:tc>
        <w:tc>
          <w:tcPr>
            <w:tcW w:w="1320" w:type="dxa"/>
          </w:tcPr>
          <w:p w14:paraId="124863FA">
            <w:pPr>
              <w:spacing w:after="0" w:line="360" w:lineRule="auto"/>
              <w:jc w:val="both"/>
              <w:rPr>
                <w:rFonts w:ascii="Times New Roman" w:hAnsi="Times New Roman" w:cs="Times New Roman"/>
              </w:rPr>
            </w:pPr>
            <w:r>
              <w:rPr>
                <w:rFonts w:ascii="Times New Roman" w:hAnsi="Times New Roman" w:cs="Times New Roman"/>
              </w:rPr>
              <w:t>religion</w:t>
            </w:r>
          </w:p>
        </w:tc>
        <w:tc>
          <w:tcPr>
            <w:tcW w:w="1320" w:type="dxa"/>
          </w:tcPr>
          <w:p w14:paraId="0F60AE63">
            <w:pPr>
              <w:spacing w:after="0" w:line="360" w:lineRule="auto"/>
              <w:jc w:val="both"/>
              <w:rPr>
                <w:rFonts w:ascii="Times New Roman" w:hAnsi="Times New Roman" w:cs="Times New Roman"/>
              </w:rPr>
            </w:pPr>
            <w:r>
              <w:rPr>
                <w:rFonts w:ascii="Times New Roman" w:hAnsi="Times New Roman" w:cs="Times New Roman"/>
              </w:rPr>
              <w:t>category</w:t>
            </w:r>
          </w:p>
        </w:tc>
        <w:tc>
          <w:tcPr>
            <w:tcW w:w="1321" w:type="dxa"/>
          </w:tcPr>
          <w:p w14:paraId="6DB46703">
            <w:pPr>
              <w:spacing w:after="0" w:line="360" w:lineRule="auto"/>
              <w:jc w:val="both"/>
              <w:rPr>
                <w:rFonts w:ascii="Times New Roman" w:hAnsi="Times New Roman" w:cs="Times New Roman"/>
              </w:rPr>
            </w:pPr>
            <w:r>
              <w:rPr>
                <w:rFonts w:ascii="Times New Roman" w:hAnsi="Times New Roman" w:cs="Times New Roman"/>
              </w:rPr>
              <w:t xml:space="preserve">Maritial status </w:t>
            </w:r>
          </w:p>
        </w:tc>
        <w:tc>
          <w:tcPr>
            <w:tcW w:w="1321" w:type="dxa"/>
          </w:tcPr>
          <w:p w14:paraId="51A66183">
            <w:pPr>
              <w:spacing w:after="0" w:line="360" w:lineRule="auto"/>
              <w:jc w:val="both"/>
              <w:rPr>
                <w:rFonts w:ascii="Times New Roman" w:hAnsi="Times New Roman" w:cs="Times New Roman"/>
              </w:rPr>
            </w:pPr>
            <w:r>
              <w:rPr>
                <w:rFonts w:ascii="Times New Roman" w:hAnsi="Times New Roman" w:cs="Times New Roman"/>
              </w:rPr>
              <w:t>occupation</w:t>
            </w:r>
          </w:p>
        </w:tc>
      </w:tr>
      <w:tr w14:paraId="05BF5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0" w:type="dxa"/>
          </w:tcPr>
          <w:p w14:paraId="752CD940">
            <w:pPr>
              <w:spacing w:after="0" w:line="360" w:lineRule="auto"/>
              <w:jc w:val="both"/>
              <w:rPr>
                <w:rFonts w:ascii="Times New Roman" w:hAnsi="Times New Roman" w:cs="Times New Roman"/>
              </w:rPr>
            </w:pPr>
          </w:p>
        </w:tc>
        <w:tc>
          <w:tcPr>
            <w:tcW w:w="1320" w:type="dxa"/>
          </w:tcPr>
          <w:p w14:paraId="22987397">
            <w:pPr>
              <w:spacing w:after="0" w:line="360" w:lineRule="auto"/>
              <w:jc w:val="both"/>
              <w:rPr>
                <w:rFonts w:ascii="Times New Roman" w:hAnsi="Times New Roman" w:cs="Times New Roman"/>
              </w:rPr>
            </w:pPr>
          </w:p>
        </w:tc>
        <w:tc>
          <w:tcPr>
            <w:tcW w:w="1320" w:type="dxa"/>
          </w:tcPr>
          <w:p w14:paraId="659D7D65">
            <w:pPr>
              <w:spacing w:after="0" w:line="360" w:lineRule="auto"/>
              <w:jc w:val="both"/>
              <w:rPr>
                <w:rFonts w:ascii="Times New Roman" w:hAnsi="Times New Roman" w:cs="Times New Roman"/>
              </w:rPr>
            </w:pPr>
          </w:p>
        </w:tc>
        <w:tc>
          <w:tcPr>
            <w:tcW w:w="1320" w:type="dxa"/>
          </w:tcPr>
          <w:p w14:paraId="4E5CE641">
            <w:pPr>
              <w:spacing w:after="0" w:line="360" w:lineRule="auto"/>
              <w:jc w:val="both"/>
              <w:rPr>
                <w:rFonts w:ascii="Times New Roman" w:hAnsi="Times New Roman" w:cs="Times New Roman"/>
              </w:rPr>
            </w:pPr>
          </w:p>
        </w:tc>
        <w:tc>
          <w:tcPr>
            <w:tcW w:w="1320" w:type="dxa"/>
          </w:tcPr>
          <w:p w14:paraId="7D050AB0">
            <w:pPr>
              <w:spacing w:after="0" w:line="360" w:lineRule="auto"/>
              <w:jc w:val="both"/>
              <w:rPr>
                <w:rFonts w:ascii="Times New Roman" w:hAnsi="Times New Roman" w:cs="Times New Roman"/>
              </w:rPr>
            </w:pPr>
          </w:p>
        </w:tc>
        <w:tc>
          <w:tcPr>
            <w:tcW w:w="1321" w:type="dxa"/>
          </w:tcPr>
          <w:p w14:paraId="73AB36BD">
            <w:pPr>
              <w:spacing w:after="0" w:line="360" w:lineRule="auto"/>
              <w:jc w:val="both"/>
              <w:rPr>
                <w:rFonts w:ascii="Times New Roman" w:hAnsi="Times New Roman" w:cs="Times New Roman"/>
              </w:rPr>
            </w:pPr>
          </w:p>
        </w:tc>
        <w:tc>
          <w:tcPr>
            <w:tcW w:w="1321" w:type="dxa"/>
          </w:tcPr>
          <w:p w14:paraId="54E50A0A">
            <w:pPr>
              <w:spacing w:after="0" w:line="360" w:lineRule="auto"/>
              <w:jc w:val="both"/>
              <w:rPr>
                <w:rFonts w:ascii="Times New Roman" w:hAnsi="Times New Roman" w:cs="Times New Roman"/>
              </w:rPr>
            </w:pPr>
          </w:p>
        </w:tc>
      </w:tr>
      <w:tr w14:paraId="47FC8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0" w:type="dxa"/>
          </w:tcPr>
          <w:p w14:paraId="50D675C1">
            <w:pPr>
              <w:spacing w:after="0" w:line="360" w:lineRule="auto"/>
              <w:jc w:val="both"/>
              <w:rPr>
                <w:rFonts w:ascii="Times New Roman" w:hAnsi="Times New Roman" w:cs="Times New Roman"/>
              </w:rPr>
            </w:pPr>
          </w:p>
        </w:tc>
        <w:tc>
          <w:tcPr>
            <w:tcW w:w="1320" w:type="dxa"/>
          </w:tcPr>
          <w:p w14:paraId="5A163633">
            <w:pPr>
              <w:spacing w:after="0" w:line="360" w:lineRule="auto"/>
              <w:jc w:val="both"/>
              <w:rPr>
                <w:rFonts w:ascii="Times New Roman" w:hAnsi="Times New Roman" w:cs="Times New Roman"/>
              </w:rPr>
            </w:pPr>
          </w:p>
        </w:tc>
        <w:tc>
          <w:tcPr>
            <w:tcW w:w="1320" w:type="dxa"/>
          </w:tcPr>
          <w:p w14:paraId="37FBB35C">
            <w:pPr>
              <w:spacing w:after="0" w:line="360" w:lineRule="auto"/>
              <w:jc w:val="both"/>
              <w:rPr>
                <w:rFonts w:ascii="Times New Roman" w:hAnsi="Times New Roman" w:cs="Times New Roman"/>
              </w:rPr>
            </w:pPr>
          </w:p>
        </w:tc>
        <w:tc>
          <w:tcPr>
            <w:tcW w:w="1320" w:type="dxa"/>
          </w:tcPr>
          <w:p w14:paraId="7FF65881">
            <w:pPr>
              <w:spacing w:after="0" w:line="360" w:lineRule="auto"/>
              <w:jc w:val="both"/>
              <w:rPr>
                <w:rFonts w:ascii="Times New Roman" w:hAnsi="Times New Roman" w:cs="Times New Roman"/>
              </w:rPr>
            </w:pPr>
          </w:p>
        </w:tc>
        <w:tc>
          <w:tcPr>
            <w:tcW w:w="1320" w:type="dxa"/>
          </w:tcPr>
          <w:p w14:paraId="7F2F64E6">
            <w:pPr>
              <w:spacing w:after="0" w:line="360" w:lineRule="auto"/>
              <w:jc w:val="both"/>
              <w:rPr>
                <w:rFonts w:ascii="Times New Roman" w:hAnsi="Times New Roman" w:cs="Times New Roman"/>
              </w:rPr>
            </w:pPr>
          </w:p>
        </w:tc>
        <w:tc>
          <w:tcPr>
            <w:tcW w:w="1321" w:type="dxa"/>
          </w:tcPr>
          <w:p w14:paraId="16A3FED0">
            <w:pPr>
              <w:spacing w:after="0" w:line="360" w:lineRule="auto"/>
              <w:jc w:val="both"/>
              <w:rPr>
                <w:rFonts w:ascii="Times New Roman" w:hAnsi="Times New Roman" w:cs="Times New Roman"/>
              </w:rPr>
            </w:pPr>
          </w:p>
        </w:tc>
        <w:tc>
          <w:tcPr>
            <w:tcW w:w="1321" w:type="dxa"/>
          </w:tcPr>
          <w:p w14:paraId="742C9537">
            <w:pPr>
              <w:spacing w:after="0" w:line="360" w:lineRule="auto"/>
              <w:jc w:val="both"/>
              <w:rPr>
                <w:rFonts w:ascii="Times New Roman" w:hAnsi="Times New Roman" w:cs="Times New Roman"/>
              </w:rPr>
            </w:pPr>
          </w:p>
        </w:tc>
      </w:tr>
      <w:tr w14:paraId="4936C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0" w:type="dxa"/>
          </w:tcPr>
          <w:p w14:paraId="5579D89B">
            <w:pPr>
              <w:spacing w:after="0" w:line="360" w:lineRule="auto"/>
              <w:jc w:val="both"/>
              <w:rPr>
                <w:rFonts w:ascii="Times New Roman" w:hAnsi="Times New Roman" w:cs="Times New Roman"/>
              </w:rPr>
            </w:pPr>
          </w:p>
        </w:tc>
        <w:tc>
          <w:tcPr>
            <w:tcW w:w="1320" w:type="dxa"/>
          </w:tcPr>
          <w:p w14:paraId="77F2DDE4">
            <w:pPr>
              <w:spacing w:after="0" w:line="360" w:lineRule="auto"/>
              <w:jc w:val="both"/>
              <w:rPr>
                <w:rFonts w:ascii="Times New Roman" w:hAnsi="Times New Roman" w:cs="Times New Roman"/>
              </w:rPr>
            </w:pPr>
          </w:p>
        </w:tc>
        <w:tc>
          <w:tcPr>
            <w:tcW w:w="1320" w:type="dxa"/>
          </w:tcPr>
          <w:p w14:paraId="6E0D98CC">
            <w:pPr>
              <w:spacing w:after="0" w:line="360" w:lineRule="auto"/>
              <w:jc w:val="both"/>
              <w:rPr>
                <w:rFonts w:ascii="Times New Roman" w:hAnsi="Times New Roman" w:cs="Times New Roman"/>
              </w:rPr>
            </w:pPr>
          </w:p>
        </w:tc>
        <w:tc>
          <w:tcPr>
            <w:tcW w:w="1320" w:type="dxa"/>
          </w:tcPr>
          <w:p w14:paraId="7F9631B6">
            <w:pPr>
              <w:spacing w:after="0" w:line="360" w:lineRule="auto"/>
              <w:jc w:val="both"/>
              <w:rPr>
                <w:rFonts w:ascii="Times New Roman" w:hAnsi="Times New Roman" w:cs="Times New Roman"/>
              </w:rPr>
            </w:pPr>
          </w:p>
        </w:tc>
        <w:tc>
          <w:tcPr>
            <w:tcW w:w="1320" w:type="dxa"/>
          </w:tcPr>
          <w:p w14:paraId="43E7AE7C">
            <w:pPr>
              <w:spacing w:after="0" w:line="360" w:lineRule="auto"/>
              <w:jc w:val="both"/>
              <w:rPr>
                <w:rFonts w:ascii="Times New Roman" w:hAnsi="Times New Roman" w:cs="Times New Roman"/>
              </w:rPr>
            </w:pPr>
          </w:p>
        </w:tc>
        <w:tc>
          <w:tcPr>
            <w:tcW w:w="1321" w:type="dxa"/>
          </w:tcPr>
          <w:p w14:paraId="492A4C2C">
            <w:pPr>
              <w:spacing w:after="0" w:line="360" w:lineRule="auto"/>
              <w:jc w:val="both"/>
              <w:rPr>
                <w:rFonts w:ascii="Times New Roman" w:hAnsi="Times New Roman" w:cs="Times New Roman"/>
              </w:rPr>
            </w:pPr>
          </w:p>
        </w:tc>
        <w:tc>
          <w:tcPr>
            <w:tcW w:w="1321" w:type="dxa"/>
          </w:tcPr>
          <w:p w14:paraId="70BFA0F3">
            <w:pPr>
              <w:spacing w:after="0" w:line="360" w:lineRule="auto"/>
              <w:jc w:val="both"/>
              <w:rPr>
                <w:rFonts w:ascii="Times New Roman" w:hAnsi="Times New Roman" w:cs="Times New Roman"/>
              </w:rPr>
            </w:pPr>
          </w:p>
        </w:tc>
      </w:tr>
      <w:tr w14:paraId="2490E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0" w:type="dxa"/>
          </w:tcPr>
          <w:p w14:paraId="2A28350E">
            <w:pPr>
              <w:spacing w:after="0" w:line="360" w:lineRule="auto"/>
              <w:jc w:val="both"/>
              <w:rPr>
                <w:rFonts w:ascii="Times New Roman" w:hAnsi="Times New Roman" w:cs="Times New Roman"/>
              </w:rPr>
            </w:pPr>
          </w:p>
        </w:tc>
        <w:tc>
          <w:tcPr>
            <w:tcW w:w="1320" w:type="dxa"/>
          </w:tcPr>
          <w:p w14:paraId="18ACF574">
            <w:pPr>
              <w:spacing w:after="0" w:line="360" w:lineRule="auto"/>
              <w:jc w:val="both"/>
              <w:rPr>
                <w:rFonts w:ascii="Times New Roman" w:hAnsi="Times New Roman" w:cs="Times New Roman"/>
              </w:rPr>
            </w:pPr>
          </w:p>
        </w:tc>
        <w:tc>
          <w:tcPr>
            <w:tcW w:w="1320" w:type="dxa"/>
          </w:tcPr>
          <w:p w14:paraId="2DE4DBD1">
            <w:pPr>
              <w:spacing w:after="0" w:line="360" w:lineRule="auto"/>
              <w:jc w:val="both"/>
              <w:rPr>
                <w:rFonts w:ascii="Times New Roman" w:hAnsi="Times New Roman" w:cs="Times New Roman"/>
              </w:rPr>
            </w:pPr>
          </w:p>
        </w:tc>
        <w:tc>
          <w:tcPr>
            <w:tcW w:w="1320" w:type="dxa"/>
          </w:tcPr>
          <w:p w14:paraId="4757E043">
            <w:pPr>
              <w:spacing w:after="0" w:line="360" w:lineRule="auto"/>
              <w:jc w:val="both"/>
              <w:rPr>
                <w:rFonts w:ascii="Times New Roman" w:hAnsi="Times New Roman" w:cs="Times New Roman"/>
              </w:rPr>
            </w:pPr>
          </w:p>
        </w:tc>
        <w:tc>
          <w:tcPr>
            <w:tcW w:w="1320" w:type="dxa"/>
          </w:tcPr>
          <w:p w14:paraId="75FF4AD1">
            <w:pPr>
              <w:spacing w:after="0" w:line="360" w:lineRule="auto"/>
              <w:jc w:val="both"/>
              <w:rPr>
                <w:rFonts w:ascii="Times New Roman" w:hAnsi="Times New Roman" w:cs="Times New Roman"/>
              </w:rPr>
            </w:pPr>
          </w:p>
        </w:tc>
        <w:tc>
          <w:tcPr>
            <w:tcW w:w="1321" w:type="dxa"/>
          </w:tcPr>
          <w:p w14:paraId="633C2D8D">
            <w:pPr>
              <w:spacing w:after="0" w:line="360" w:lineRule="auto"/>
              <w:jc w:val="both"/>
              <w:rPr>
                <w:rFonts w:ascii="Times New Roman" w:hAnsi="Times New Roman" w:cs="Times New Roman"/>
              </w:rPr>
            </w:pPr>
          </w:p>
        </w:tc>
        <w:tc>
          <w:tcPr>
            <w:tcW w:w="1321" w:type="dxa"/>
          </w:tcPr>
          <w:p w14:paraId="5A6D2DCA">
            <w:pPr>
              <w:spacing w:after="0" w:line="360" w:lineRule="auto"/>
              <w:jc w:val="both"/>
              <w:rPr>
                <w:rFonts w:ascii="Times New Roman" w:hAnsi="Times New Roman" w:cs="Times New Roman"/>
              </w:rPr>
            </w:pPr>
          </w:p>
        </w:tc>
      </w:tr>
      <w:tr w14:paraId="137E2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0" w:type="dxa"/>
          </w:tcPr>
          <w:p w14:paraId="68F17944">
            <w:pPr>
              <w:spacing w:after="0" w:line="360" w:lineRule="auto"/>
              <w:jc w:val="both"/>
              <w:rPr>
                <w:rFonts w:ascii="Times New Roman" w:hAnsi="Times New Roman" w:cs="Times New Roman"/>
              </w:rPr>
            </w:pPr>
          </w:p>
        </w:tc>
        <w:tc>
          <w:tcPr>
            <w:tcW w:w="1320" w:type="dxa"/>
          </w:tcPr>
          <w:p w14:paraId="65B3016C">
            <w:pPr>
              <w:spacing w:after="0" w:line="360" w:lineRule="auto"/>
              <w:jc w:val="both"/>
              <w:rPr>
                <w:rFonts w:ascii="Times New Roman" w:hAnsi="Times New Roman" w:cs="Times New Roman"/>
              </w:rPr>
            </w:pPr>
          </w:p>
        </w:tc>
        <w:tc>
          <w:tcPr>
            <w:tcW w:w="1320" w:type="dxa"/>
          </w:tcPr>
          <w:p w14:paraId="34FEB59D">
            <w:pPr>
              <w:spacing w:after="0" w:line="360" w:lineRule="auto"/>
              <w:jc w:val="both"/>
              <w:rPr>
                <w:rFonts w:ascii="Times New Roman" w:hAnsi="Times New Roman" w:cs="Times New Roman"/>
              </w:rPr>
            </w:pPr>
          </w:p>
        </w:tc>
        <w:tc>
          <w:tcPr>
            <w:tcW w:w="1320" w:type="dxa"/>
          </w:tcPr>
          <w:p w14:paraId="3BC30D41">
            <w:pPr>
              <w:spacing w:after="0" w:line="360" w:lineRule="auto"/>
              <w:jc w:val="both"/>
              <w:rPr>
                <w:rFonts w:ascii="Times New Roman" w:hAnsi="Times New Roman" w:cs="Times New Roman"/>
              </w:rPr>
            </w:pPr>
          </w:p>
        </w:tc>
        <w:tc>
          <w:tcPr>
            <w:tcW w:w="1320" w:type="dxa"/>
          </w:tcPr>
          <w:p w14:paraId="4905E3BD">
            <w:pPr>
              <w:spacing w:after="0" w:line="360" w:lineRule="auto"/>
              <w:jc w:val="both"/>
              <w:rPr>
                <w:rFonts w:ascii="Times New Roman" w:hAnsi="Times New Roman" w:cs="Times New Roman"/>
              </w:rPr>
            </w:pPr>
          </w:p>
        </w:tc>
        <w:tc>
          <w:tcPr>
            <w:tcW w:w="1321" w:type="dxa"/>
          </w:tcPr>
          <w:p w14:paraId="6840B9FD">
            <w:pPr>
              <w:spacing w:after="0" w:line="360" w:lineRule="auto"/>
              <w:jc w:val="both"/>
              <w:rPr>
                <w:rFonts w:ascii="Times New Roman" w:hAnsi="Times New Roman" w:cs="Times New Roman"/>
              </w:rPr>
            </w:pPr>
          </w:p>
        </w:tc>
        <w:tc>
          <w:tcPr>
            <w:tcW w:w="1321" w:type="dxa"/>
          </w:tcPr>
          <w:p w14:paraId="2E63B3FC">
            <w:pPr>
              <w:spacing w:after="0" w:line="360" w:lineRule="auto"/>
              <w:jc w:val="both"/>
              <w:rPr>
                <w:rFonts w:ascii="Times New Roman" w:hAnsi="Times New Roman" w:cs="Times New Roman"/>
              </w:rPr>
            </w:pPr>
          </w:p>
        </w:tc>
      </w:tr>
      <w:tr w14:paraId="28AFA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0" w:type="dxa"/>
          </w:tcPr>
          <w:p w14:paraId="2DCE5DB0">
            <w:pPr>
              <w:spacing w:after="0" w:line="360" w:lineRule="auto"/>
              <w:jc w:val="both"/>
              <w:rPr>
                <w:rFonts w:ascii="Times New Roman" w:hAnsi="Times New Roman" w:cs="Times New Roman"/>
              </w:rPr>
            </w:pPr>
          </w:p>
        </w:tc>
        <w:tc>
          <w:tcPr>
            <w:tcW w:w="1320" w:type="dxa"/>
          </w:tcPr>
          <w:p w14:paraId="097EC358">
            <w:pPr>
              <w:spacing w:after="0" w:line="360" w:lineRule="auto"/>
              <w:jc w:val="both"/>
              <w:rPr>
                <w:rFonts w:ascii="Times New Roman" w:hAnsi="Times New Roman" w:cs="Times New Roman"/>
              </w:rPr>
            </w:pPr>
          </w:p>
        </w:tc>
        <w:tc>
          <w:tcPr>
            <w:tcW w:w="1320" w:type="dxa"/>
          </w:tcPr>
          <w:p w14:paraId="62259C0E">
            <w:pPr>
              <w:spacing w:after="0" w:line="360" w:lineRule="auto"/>
              <w:jc w:val="both"/>
              <w:rPr>
                <w:rFonts w:ascii="Times New Roman" w:hAnsi="Times New Roman" w:cs="Times New Roman"/>
              </w:rPr>
            </w:pPr>
          </w:p>
        </w:tc>
        <w:tc>
          <w:tcPr>
            <w:tcW w:w="1320" w:type="dxa"/>
          </w:tcPr>
          <w:p w14:paraId="2020C7C5">
            <w:pPr>
              <w:spacing w:after="0" w:line="360" w:lineRule="auto"/>
              <w:jc w:val="both"/>
              <w:rPr>
                <w:rFonts w:ascii="Times New Roman" w:hAnsi="Times New Roman" w:cs="Times New Roman"/>
              </w:rPr>
            </w:pPr>
          </w:p>
        </w:tc>
        <w:tc>
          <w:tcPr>
            <w:tcW w:w="1320" w:type="dxa"/>
          </w:tcPr>
          <w:p w14:paraId="4B845F82">
            <w:pPr>
              <w:spacing w:after="0" w:line="360" w:lineRule="auto"/>
              <w:jc w:val="both"/>
              <w:rPr>
                <w:rFonts w:ascii="Times New Roman" w:hAnsi="Times New Roman" w:cs="Times New Roman"/>
              </w:rPr>
            </w:pPr>
          </w:p>
        </w:tc>
        <w:tc>
          <w:tcPr>
            <w:tcW w:w="1321" w:type="dxa"/>
          </w:tcPr>
          <w:p w14:paraId="79949E04">
            <w:pPr>
              <w:spacing w:after="0" w:line="360" w:lineRule="auto"/>
              <w:jc w:val="both"/>
              <w:rPr>
                <w:rFonts w:ascii="Times New Roman" w:hAnsi="Times New Roman" w:cs="Times New Roman"/>
              </w:rPr>
            </w:pPr>
          </w:p>
        </w:tc>
        <w:tc>
          <w:tcPr>
            <w:tcW w:w="1321" w:type="dxa"/>
          </w:tcPr>
          <w:p w14:paraId="4E627EB2">
            <w:pPr>
              <w:spacing w:after="0" w:line="360" w:lineRule="auto"/>
              <w:jc w:val="both"/>
              <w:rPr>
                <w:rFonts w:ascii="Times New Roman" w:hAnsi="Times New Roman" w:cs="Times New Roman"/>
              </w:rPr>
            </w:pPr>
          </w:p>
        </w:tc>
      </w:tr>
      <w:tr w14:paraId="1BDB1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0" w:type="dxa"/>
          </w:tcPr>
          <w:p w14:paraId="2E7B6288">
            <w:pPr>
              <w:spacing w:after="0" w:line="360" w:lineRule="auto"/>
              <w:jc w:val="both"/>
              <w:rPr>
                <w:rFonts w:ascii="Times New Roman" w:hAnsi="Times New Roman" w:cs="Times New Roman"/>
              </w:rPr>
            </w:pPr>
          </w:p>
        </w:tc>
        <w:tc>
          <w:tcPr>
            <w:tcW w:w="1320" w:type="dxa"/>
          </w:tcPr>
          <w:p w14:paraId="71AFB98A">
            <w:pPr>
              <w:spacing w:after="0" w:line="360" w:lineRule="auto"/>
              <w:jc w:val="both"/>
              <w:rPr>
                <w:rFonts w:ascii="Times New Roman" w:hAnsi="Times New Roman" w:cs="Times New Roman"/>
              </w:rPr>
            </w:pPr>
          </w:p>
        </w:tc>
        <w:tc>
          <w:tcPr>
            <w:tcW w:w="1320" w:type="dxa"/>
          </w:tcPr>
          <w:p w14:paraId="1C5273F7">
            <w:pPr>
              <w:spacing w:after="0" w:line="360" w:lineRule="auto"/>
              <w:jc w:val="both"/>
              <w:rPr>
                <w:rFonts w:ascii="Times New Roman" w:hAnsi="Times New Roman" w:cs="Times New Roman"/>
              </w:rPr>
            </w:pPr>
          </w:p>
        </w:tc>
        <w:tc>
          <w:tcPr>
            <w:tcW w:w="1320" w:type="dxa"/>
          </w:tcPr>
          <w:p w14:paraId="526D989D">
            <w:pPr>
              <w:spacing w:after="0" w:line="360" w:lineRule="auto"/>
              <w:jc w:val="both"/>
              <w:rPr>
                <w:rFonts w:ascii="Times New Roman" w:hAnsi="Times New Roman" w:cs="Times New Roman"/>
              </w:rPr>
            </w:pPr>
          </w:p>
        </w:tc>
        <w:tc>
          <w:tcPr>
            <w:tcW w:w="1320" w:type="dxa"/>
          </w:tcPr>
          <w:p w14:paraId="044FE326">
            <w:pPr>
              <w:spacing w:after="0" w:line="360" w:lineRule="auto"/>
              <w:jc w:val="both"/>
              <w:rPr>
                <w:rFonts w:ascii="Times New Roman" w:hAnsi="Times New Roman" w:cs="Times New Roman"/>
              </w:rPr>
            </w:pPr>
          </w:p>
        </w:tc>
        <w:tc>
          <w:tcPr>
            <w:tcW w:w="1321" w:type="dxa"/>
          </w:tcPr>
          <w:p w14:paraId="3144F4B2">
            <w:pPr>
              <w:spacing w:after="0" w:line="360" w:lineRule="auto"/>
              <w:jc w:val="both"/>
              <w:rPr>
                <w:rFonts w:ascii="Times New Roman" w:hAnsi="Times New Roman" w:cs="Times New Roman"/>
              </w:rPr>
            </w:pPr>
          </w:p>
        </w:tc>
        <w:tc>
          <w:tcPr>
            <w:tcW w:w="1321" w:type="dxa"/>
          </w:tcPr>
          <w:p w14:paraId="7EBD9568">
            <w:pPr>
              <w:spacing w:after="0" w:line="360" w:lineRule="auto"/>
              <w:jc w:val="both"/>
              <w:rPr>
                <w:rFonts w:ascii="Times New Roman" w:hAnsi="Times New Roman" w:cs="Times New Roman"/>
              </w:rPr>
            </w:pPr>
          </w:p>
        </w:tc>
      </w:tr>
    </w:tbl>
    <w:p w14:paraId="194E2D1C">
      <w:pPr>
        <w:spacing w:line="360" w:lineRule="auto"/>
        <w:jc w:val="both"/>
        <w:rPr>
          <w:rFonts w:ascii="Times New Roman" w:hAnsi="Times New Roman" w:cs="Times New Roman"/>
        </w:rPr>
      </w:pPr>
    </w:p>
    <w:p w14:paraId="3322B884">
      <w:pPr>
        <w:pStyle w:val="17"/>
        <w:spacing w:line="360" w:lineRule="auto"/>
        <w:jc w:val="both"/>
      </w:pPr>
      <w:r>
        <w:t xml:space="preserve">To further delve into our research, we got multidimensional indicators of tribal of JamtaraIn our study, descriptive analysis helps to understand the current situation of households or communities in terms of land use, income, health, education, and overall wellbeing. It provides a clear picture of existing patterns, inequalities, and challenges — such as how much land is used for paddy cultivation, how much remains unused, and how these factors relate to income or risk. However, while descriptive analysis explains the present scenario, it does not indicate how resources can be better utilized to improve outcomes. Therefore, after the descriptive stage, we apply </w:t>
      </w:r>
      <w:r>
        <w:rPr>
          <w:rStyle w:val="18"/>
          <w:rFonts w:eastAsiaTheme="majorEastAsia"/>
          <w:b w:val="0"/>
          <w:bCs w:val="0"/>
        </w:rPr>
        <w:t>optimization using linear programming</w:t>
      </w:r>
      <w:r>
        <w:t xml:space="preserve"> to identify the most efficient allocation of available resources, such as land, labour, and capital, under given constraints.</w:t>
      </w:r>
    </w:p>
    <w:p w14:paraId="21B3CE23">
      <w:pPr>
        <w:pStyle w:val="17"/>
        <w:spacing w:line="360" w:lineRule="auto"/>
        <w:jc w:val="both"/>
      </w:pPr>
      <w:r>
        <w:t xml:space="preserve">The linear programming model helps determine how these resources can be distributed among different activities (for example, paddy cultivation, vegetable farming, or other livelihood options) to maximize objectives like income, wellbeing, or sustainability while minimizing risk or resource wastage. By linking descriptive findings with optimization, our study moves from simply describing existing conditions to proposing data-driven, practical solutions for improving livelihood outcomes. In this way, </w:t>
      </w:r>
      <w:r>
        <w:rPr>
          <w:rStyle w:val="18"/>
          <w:rFonts w:eastAsiaTheme="majorEastAsia"/>
          <w:b w:val="0"/>
          <w:bCs w:val="0"/>
        </w:rPr>
        <w:t>descriptive analysis provides the foundation</w:t>
      </w:r>
      <w:r>
        <w:rPr>
          <w:b/>
          <w:bCs/>
        </w:rPr>
        <w:t xml:space="preserve">, and </w:t>
      </w:r>
      <w:r>
        <w:rPr>
          <w:rStyle w:val="18"/>
          <w:rFonts w:eastAsiaTheme="majorEastAsia"/>
          <w:b w:val="0"/>
          <w:bCs w:val="0"/>
        </w:rPr>
        <w:t>linear programming offers the pathway to optimization and better decision-making</w:t>
      </w:r>
      <w:r>
        <w:t xml:space="preserve"> in the context of rural development and wellbeing enhancement.</w:t>
      </w:r>
    </w:p>
    <w:p w14:paraId="082E7A2B">
      <w:pPr>
        <w:jc w:val="both"/>
        <w:rPr>
          <w:rFonts w:ascii="Times New Roman" w:hAnsi="Times New Roman" w:cs="Times New Roman"/>
        </w:rPr>
      </w:pPr>
      <w:r>
        <w:rPr>
          <w:rFonts w:ascii="Times New Roman" w:hAnsi="Times New Roman" w:cs="Times New Roman"/>
        </w:rPr>
        <w:t>Table 1: Multidimensional Indicators of Tribal Well-Being in Jamtara</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22"/>
        <w:gridCol w:w="6894"/>
      </w:tblGrid>
      <w:tr w14:paraId="2717F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73E46623">
            <w:pPr>
              <w:spacing w:after="0" w:line="240" w:lineRule="auto"/>
              <w:jc w:val="both"/>
              <w:rPr>
                <w:rFonts w:ascii="Times New Roman" w:hAnsi="Times New Roman" w:cs="Times New Roman"/>
                <w:sz w:val="20"/>
                <w:szCs w:val="20"/>
              </w:rPr>
            </w:pPr>
            <w:r>
              <w:rPr>
                <w:rFonts w:ascii="Times New Roman" w:hAnsi="Times New Roman" w:cs="Times New Roman"/>
                <w:sz w:val="20"/>
                <w:szCs w:val="20"/>
              </w:rPr>
              <w:t>Health status</w:t>
            </w:r>
          </w:p>
        </w:tc>
        <w:tc>
          <w:tcPr>
            <w:tcW w:w="6894" w:type="dxa"/>
          </w:tcPr>
          <w:p w14:paraId="3730E404">
            <w:pPr>
              <w:spacing w:after="0" w:line="240" w:lineRule="auto"/>
              <w:jc w:val="both"/>
              <w:rPr>
                <w:rFonts w:ascii="Times New Roman" w:hAnsi="Times New Roman" w:cs="Times New Roman"/>
                <w:sz w:val="20"/>
                <w:szCs w:val="20"/>
              </w:rPr>
            </w:pPr>
            <w:r>
              <w:rPr>
                <w:rFonts w:ascii="Times New Roman" w:hAnsi="Times New Roman" w:cs="Times New Roman"/>
                <w:sz w:val="20"/>
                <w:szCs w:val="20"/>
              </w:rPr>
              <w:t>Diet, food intake, government health scheme, hereditary disease, hospitalization for maternity, childbirth, mortality, Govt. tikka, Overall physical health, family health, children's nutrition, ambulance service, primary health care facility, cleanliness around health centres,</w:t>
            </w:r>
          </w:p>
          <w:p w14:paraId="483716C5">
            <w:pPr>
              <w:spacing w:after="0" w:line="240" w:lineRule="auto"/>
              <w:jc w:val="both"/>
              <w:rPr>
                <w:rFonts w:ascii="Times New Roman" w:hAnsi="Times New Roman" w:cs="Times New Roman"/>
                <w:sz w:val="20"/>
                <w:szCs w:val="20"/>
              </w:rPr>
            </w:pPr>
          </w:p>
        </w:tc>
      </w:tr>
      <w:tr w14:paraId="4FC83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CF98F7A">
            <w:pPr>
              <w:spacing w:after="0" w:line="240" w:lineRule="auto"/>
              <w:jc w:val="both"/>
              <w:rPr>
                <w:rFonts w:ascii="Times New Roman" w:hAnsi="Times New Roman" w:cs="Times New Roman"/>
                <w:sz w:val="20"/>
                <w:szCs w:val="20"/>
              </w:rPr>
            </w:pPr>
            <w:r>
              <w:rPr>
                <w:rFonts w:ascii="Times New Roman" w:hAnsi="Times New Roman" w:cs="Times New Roman"/>
                <w:sz w:val="20"/>
                <w:szCs w:val="20"/>
              </w:rPr>
              <w:t>Security</w:t>
            </w:r>
          </w:p>
        </w:tc>
        <w:tc>
          <w:tcPr>
            <w:tcW w:w="6894" w:type="dxa"/>
          </w:tcPr>
          <w:p w14:paraId="6A3FBDF4">
            <w:pPr>
              <w:spacing w:after="0" w:line="240" w:lineRule="auto"/>
              <w:jc w:val="both"/>
              <w:rPr>
                <w:rFonts w:ascii="Times New Roman" w:hAnsi="Times New Roman" w:cs="Times New Roman"/>
                <w:sz w:val="20"/>
                <w:szCs w:val="20"/>
              </w:rPr>
            </w:pPr>
            <w:r>
              <w:rPr>
                <w:rFonts w:ascii="Times New Roman" w:hAnsi="Times New Roman" w:cs="Times New Roman"/>
                <w:sz w:val="20"/>
                <w:szCs w:val="20"/>
              </w:rPr>
              <w:t>Women's safety in the community, Violence or illegal activities in areas.</w:t>
            </w:r>
          </w:p>
          <w:p w14:paraId="0119E2E9">
            <w:pPr>
              <w:spacing w:after="0" w:line="240" w:lineRule="auto"/>
              <w:jc w:val="both"/>
              <w:rPr>
                <w:rFonts w:ascii="Times New Roman" w:hAnsi="Times New Roman" w:cs="Times New Roman"/>
                <w:sz w:val="20"/>
                <w:szCs w:val="20"/>
              </w:rPr>
            </w:pPr>
          </w:p>
        </w:tc>
      </w:tr>
      <w:tr w14:paraId="1B111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5DC6C763">
            <w:pPr>
              <w:spacing w:after="0" w:line="240" w:lineRule="auto"/>
              <w:jc w:val="both"/>
              <w:rPr>
                <w:rFonts w:ascii="Times New Roman" w:hAnsi="Times New Roman" w:cs="Times New Roman"/>
                <w:sz w:val="20"/>
                <w:szCs w:val="20"/>
              </w:rPr>
            </w:pPr>
            <w:r>
              <w:rPr>
                <w:rFonts w:ascii="Times New Roman" w:hAnsi="Times New Roman" w:cs="Times New Roman"/>
                <w:sz w:val="20"/>
                <w:szCs w:val="20"/>
              </w:rPr>
              <w:t>Social connection</w:t>
            </w:r>
          </w:p>
        </w:tc>
        <w:tc>
          <w:tcPr>
            <w:tcW w:w="6894" w:type="dxa"/>
          </w:tcPr>
          <w:p w14:paraId="66C52665">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Social Relationships are Supportive and Rewarding, Actively </w:t>
            </w:r>
            <w:bookmarkStart w:id="1" w:name="_Hlk208393855"/>
            <w:r>
              <w:rPr>
                <w:rFonts w:ascii="Times New Roman" w:hAnsi="Times New Roman" w:cs="Times New Roman"/>
                <w:sz w:val="20"/>
                <w:szCs w:val="20"/>
              </w:rPr>
              <w:t>Contribute to the Happiness and Well-Being of Others</w:t>
            </w:r>
            <w:bookmarkEnd w:id="1"/>
            <w:r>
              <w:rPr>
                <w:rFonts w:ascii="Times New Roman" w:hAnsi="Times New Roman" w:cs="Times New Roman"/>
                <w:sz w:val="20"/>
                <w:szCs w:val="20"/>
              </w:rPr>
              <w:t>, People Respect Me</w:t>
            </w:r>
          </w:p>
          <w:p w14:paraId="51A503FC">
            <w:pPr>
              <w:spacing w:after="0" w:line="240" w:lineRule="auto"/>
              <w:jc w:val="both"/>
              <w:rPr>
                <w:rFonts w:ascii="Times New Roman" w:hAnsi="Times New Roman" w:cs="Times New Roman"/>
                <w:sz w:val="20"/>
                <w:szCs w:val="20"/>
              </w:rPr>
            </w:pPr>
          </w:p>
        </w:tc>
      </w:tr>
      <w:tr w14:paraId="7EDD4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5259F613">
            <w:pPr>
              <w:spacing w:after="0" w:line="240" w:lineRule="auto"/>
              <w:jc w:val="both"/>
              <w:rPr>
                <w:rFonts w:ascii="Times New Roman" w:hAnsi="Times New Roman" w:cs="Times New Roman"/>
                <w:sz w:val="20"/>
                <w:szCs w:val="20"/>
              </w:rPr>
            </w:pPr>
            <w:r>
              <w:rPr>
                <w:rFonts w:ascii="Times New Roman" w:hAnsi="Times New Roman" w:cs="Times New Roman"/>
                <w:sz w:val="20"/>
                <w:szCs w:val="20"/>
              </w:rPr>
              <w:t>Civic engagement</w:t>
            </w:r>
          </w:p>
        </w:tc>
        <w:tc>
          <w:tcPr>
            <w:tcW w:w="6894" w:type="dxa"/>
          </w:tcPr>
          <w:p w14:paraId="3BDFC87C">
            <w:pPr>
              <w:spacing w:after="0" w:line="240" w:lineRule="auto"/>
              <w:jc w:val="both"/>
              <w:rPr>
                <w:rFonts w:ascii="Times New Roman" w:hAnsi="Times New Roman" w:cs="Times New Roman"/>
                <w:sz w:val="20"/>
                <w:szCs w:val="20"/>
              </w:rPr>
            </w:pPr>
            <w:r>
              <w:rPr>
                <w:rFonts w:ascii="Times New Roman" w:hAnsi="Times New Roman" w:cs="Times New Roman"/>
                <w:sz w:val="20"/>
                <w:szCs w:val="20"/>
              </w:rPr>
              <w:t>Knowledge about the Elderly Club, participation in social meetings, approaching elected representatives, female members' participation in elections.</w:t>
            </w:r>
          </w:p>
          <w:p w14:paraId="1335A9E1">
            <w:pPr>
              <w:spacing w:after="0" w:line="240" w:lineRule="auto"/>
              <w:jc w:val="both"/>
              <w:rPr>
                <w:rFonts w:ascii="Times New Roman" w:hAnsi="Times New Roman" w:cs="Times New Roman"/>
                <w:sz w:val="20"/>
                <w:szCs w:val="20"/>
              </w:rPr>
            </w:pPr>
          </w:p>
        </w:tc>
      </w:tr>
      <w:tr w14:paraId="06DDC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D977CA2">
            <w:pPr>
              <w:spacing w:after="0" w:line="240" w:lineRule="auto"/>
              <w:jc w:val="both"/>
              <w:rPr>
                <w:rFonts w:ascii="Times New Roman" w:hAnsi="Times New Roman" w:cs="Times New Roman"/>
                <w:sz w:val="20"/>
                <w:szCs w:val="20"/>
              </w:rPr>
            </w:pPr>
            <w:r>
              <w:rPr>
                <w:rFonts w:ascii="Times New Roman" w:hAnsi="Times New Roman" w:cs="Times New Roman"/>
                <w:sz w:val="20"/>
                <w:szCs w:val="20"/>
              </w:rPr>
              <w:t>Income</w:t>
            </w:r>
          </w:p>
        </w:tc>
        <w:tc>
          <w:tcPr>
            <w:tcW w:w="6894" w:type="dxa"/>
          </w:tcPr>
          <w:p w14:paraId="524D8B01">
            <w:pPr>
              <w:spacing w:after="0" w:line="240" w:lineRule="auto"/>
              <w:jc w:val="both"/>
              <w:rPr>
                <w:rFonts w:ascii="Times New Roman" w:hAnsi="Times New Roman" w:cs="Times New Roman"/>
                <w:sz w:val="20"/>
                <w:szCs w:val="20"/>
              </w:rPr>
            </w:pPr>
            <w:r>
              <w:rPr>
                <w:rFonts w:ascii="Times New Roman" w:hAnsi="Times New Roman" w:cs="Times New Roman"/>
                <w:sz w:val="20"/>
                <w:szCs w:val="20"/>
              </w:rPr>
              <w:t>Total income</w:t>
            </w:r>
          </w:p>
        </w:tc>
      </w:tr>
      <w:tr w14:paraId="68973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0A47B3">
            <w:pPr>
              <w:spacing w:after="0" w:line="240" w:lineRule="auto"/>
              <w:jc w:val="both"/>
              <w:rPr>
                <w:rFonts w:ascii="Times New Roman" w:hAnsi="Times New Roman" w:cs="Times New Roman"/>
                <w:sz w:val="20"/>
                <w:szCs w:val="20"/>
              </w:rPr>
            </w:pPr>
            <w:r>
              <w:rPr>
                <w:rFonts w:ascii="Times New Roman" w:hAnsi="Times New Roman" w:cs="Times New Roman"/>
                <w:sz w:val="20"/>
                <w:szCs w:val="20"/>
              </w:rPr>
              <w:t>Wealth</w:t>
            </w:r>
          </w:p>
        </w:tc>
        <w:tc>
          <w:tcPr>
            <w:tcW w:w="6894" w:type="dxa"/>
          </w:tcPr>
          <w:p w14:paraId="65E8E027">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Kitchen garden place, own agricultural land, own house, loan taken from bank, loan taken from SHG, loan taken from moneylenders, loan taken from landlords, loan taken from relatives, mortage, others, self owned land, taken on lease hand, given on lease land, activity during free time, describe your lifestyle, satisfaction with </w:t>
            </w:r>
          </w:p>
          <w:p w14:paraId="3420A5AE">
            <w:pPr>
              <w:spacing w:after="0" w:line="240" w:lineRule="auto"/>
              <w:jc w:val="both"/>
              <w:rPr>
                <w:rFonts w:ascii="Times New Roman" w:hAnsi="Times New Roman" w:cs="Times New Roman"/>
                <w:sz w:val="20"/>
                <w:szCs w:val="20"/>
              </w:rPr>
            </w:pPr>
          </w:p>
        </w:tc>
      </w:tr>
      <w:tr w14:paraId="419F5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5A54F664">
            <w:pPr>
              <w:spacing w:after="0" w:line="240" w:lineRule="auto"/>
              <w:jc w:val="both"/>
              <w:rPr>
                <w:rFonts w:ascii="Times New Roman" w:hAnsi="Times New Roman" w:cs="Times New Roman"/>
                <w:sz w:val="20"/>
                <w:szCs w:val="20"/>
              </w:rPr>
            </w:pPr>
            <w:r>
              <w:rPr>
                <w:rFonts w:ascii="Times New Roman" w:hAnsi="Times New Roman" w:cs="Times New Roman"/>
                <w:sz w:val="20"/>
                <w:szCs w:val="20"/>
              </w:rPr>
              <w:t>Work life balance</w:t>
            </w:r>
          </w:p>
        </w:tc>
        <w:tc>
          <w:tcPr>
            <w:tcW w:w="6894" w:type="dxa"/>
          </w:tcPr>
          <w:p w14:paraId="659DC81F">
            <w:pPr>
              <w:spacing w:after="0" w:line="240" w:lineRule="auto"/>
              <w:jc w:val="both"/>
              <w:rPr>
                <w:rFonts w:ascii="Times New Roman" w:hAnsi="Times New Roman" w:cs="Times New Roman"/>
                <w:sz w:val="20"/>
                <w:szCs w:val="20"/>
              </w:rPr>
            </w:pPr>
            <w:r>
              <w:rPr>
                <w:rFonts w:ascii="Times New Roman" w:hAnsi="Times New Roman" w:cs="Times New Roman"/>
                <w:sz w:val="20"/>
                <w:szCs w:val="20"/>
              </w:rPr>
              <w:t>Activities during free time, describe your lifestyle, satisfaction with standard of living, satisfaction with yearly income</w:t>
            </w:r>
          </w:p>
        </w:tc>
      </w:tr>
      <w:tr w14:paraId="51511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0AAE5A7C">
            <w:pPr>
              <w:spacing w:after="0" w:line="240" w:lineRule="auto"/>
              <w:jc w:val="both"/>
              <w:rPr>
                <w:rFonts w:ascii="Times New Roman" w:hAnsi="Times New Roman" w:cs="Times New Roman"/>
                <w:sz w:val="20"/>
                <w:szCs w:val="20"/>
              </w:rPr>
            </w:pPr>
            <w:r>
              <w:rPr>
                <w:rFonts w:ascii="Times New Roman" w:hAnsi="Times New Roman" w:cs="Times New Roman"/>
                <w:sz w:val="20"/>
                <w:szCs w:val="20"/>
              </w:rPr>
              <w:t>Subjective wellbeing</w:t>
            </w:r>
          </w:p>
        </w:tc>
        <w:tc>
          <w:tcPr>
            <w:tcW w:w="6894" w:type="dxa"/>
          </w:tcPr>
          <w:p w14:paraId="166E00CA">
            <w:pPr>
              <w:spacing w:after="0" w:line="240" w:lineRule="auto"/>
              <w:jc w:val="both"/>
              <w:rPr>
                <w:rFonts w:ascii="Times New Roman" w:hAnsi="Times New Roman" w:cs="Times New Roman"/>
                <w:sz w:val="20"/>
                <w:szCs w:val="20"/>
              </w:rPr>
            </w:pPr>
            <w:r>
              <w:rPr>
                <w:rFonts w:ascii="Times New Roman" w:hAnsi="Times New Roman" w:cs="Times New Roman"/>
                <w:sz w:val="20"/>
                <w:szCs w:val="20"/>
              </w:rPr>
              <w:t>Emotions, happiness, satisfaction with life, anxious</w:t>
            </w:r>
          </w:p>
          <w:p w14:paraId="37BC5CC1">
            <w:pPr>
              <w:spacing w:after="0" w:line="240" w:lineRule="auto"/>
              <w:jc w:val="both"/>
              <w:rPr>
                <w:rFonts w:ascii="Times New Roman" w:hAnsi="Times New Roman" w:cs="Times New Roman"/>
                <w:sz w:val="20"/>
                <w:szCs w:val="20"/>
              </w:rPr>
            </w:pPr>
          </w:p>
        </w:tc>
      </w:tr>
      <w:tr w14:paraId="526C7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0659C5C7">
            <w:pPr>
              <w:spacing w:after="0" w:line="240" w:lineRule="auto"/>
              <w:jc w:val="both"/>
              <w:rPr>
                <w:rFonts w:ascii="Times New Roman" w:hAnsi="Times New Roman" w:cs="Times New Roman"/>
                <w:sz w:val="20"/>
                <w:szCs w:val="20"/>
              </w:rPr>
            </w:pPr>
            <w:r>
              <w:rPr>
                <w:rFonts w:ascii="Times New Roman" w:hAnsi="Times New Roman" w:cs="Times New Roman"/>
                <w:sz w:val="20"/>
                <w:szCs w:val="20"/>
              </w:rPr>
              <w:t>Risk</w:t>
            </w:r>
          </w:p>
        </w:tc>
        <w:tc>
          <w:tcPr>
            <w:tcW w:w="6894" w:type="dxa"/>
          </w:tcPr>
          <w:p w14:paraId="4A982DA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Agricultural risk, Financial risk</w:t>
            </w:r>
          </w:p>
        </w:tc>
      </w:tr>
      <w:tr w14:paraId="1F0C2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73070563">
            <w:pPr>
              <w:spacing w:after="0" w:line="240" w:lineRule="auto"/>
              <w:jc w:val="both"/>
              <w:rPr>
                <w:rFonts w:ascii="Times New Roman" w:hAnsi="Times New Roman" w:cs="Times New Roman"/>
                <w:sz w:val="20"/>
                <w:szCs w:val="20"/>
              </w:rPr>
            </w:pPr>
            <w:r>
              <w:rPr>
                <w:rFonts w:ascii="Times New Roman" w:hAnsi="Times New Roman" w:cs="Times New Roman"/>
                <w:sz w:val="20"/>
                <w:szCs w:val="20"/>
              </w:rPr>
              <w:t>Housing</w:t>
            </w:r>
          </w:p>
        </w:tc>
        <w:tc>
          <w:tcPr>
            <w:tcW w:w="6894" w:type="dxa"/>
          </w:tcPr>
          <w:p w14:paraId="26FD0BDB">
            <w:pPr>
              <w:spacing w:after="0" w:line="240" w:lineRule="auto"/>
              <w:jc w:val="both"/>
              <w:rPr>
                <w:rFonts w:ascii="Times New Roman" w:hAnsi="Times New Roman" w:cs="Times New Roman"/>
                <w:sz w:val="20"/>
                <w:szCs w:val="20"/>
              </w:rPr>
            </w:pPr>
            <w:r>
              <w:rPr>
                <w:rFonts w:ascii="Times New Roman" w:hAnsi="Times New Roman" w:cs="Times New Roman"/>
                <w:sz w:val="20"/>
                <w:szCs w:val="20"/>
              </w:rPr>
              <w:t>House(Kaccha/pakka), housing assets, housing material</w:t>
            </w:r>
          </w:p>
        </w:tc>
      </w:tr>
      <w:tr w14:paraId="61B29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0A6AD320">
            <w:pPr>
              <w:spacing w:after="0" w:line="240" w:lineRule="auto"/>
              <w:jc w:val="both"/>
              <w:rPr>
                <w:rFonts w:ascii="Times New Roman" w:hAnsi="Times New Roman" w:cs="Times New Roman"/>
                <w:sz w:val="20"/>
                <w:szCs w:val="20"/>
              </w:rPr>
            </w:pPr>
            <w:r>
              <w:rPr>
                <w:rFonts w:ascii="Times New Roman" w:hAnsi="Times New Roman" w:cs="Times New Roman"/>
                <w:sz w:val="20"/>
                <w:szCs w:val="20"/>
              </w:rPr>
              <w:t>Environmental Quality</w:t>
            </w:r>
          </w:p>
        </w:tc>
        <w:tc>
          <w:tcPr>
            <w:tcW w:w="6894" w:type="dxa"/>
          </w:tcPr>
          <w:p w14:paraId="10CD1F62">
            <w:pPr>
              <w:spacing w:after="0" w:line="240" w:lineRule="auto"/>
              <w:jc w:val="both"/>
              <w:rPr>
                <w:rFonts w:ascii="Times New Roman" w:hAnsi="Times New Roman" w:cs="Times New Roman"/>
                <w:sz w:val="20"/>
                <w:szCs w:val="20"/>
              </w:rPr>
            </w:pPr>
            <w:r>
              <w:rPr>
                <w:rFonts w:ascii="Times New Roman" w:hAnsi="Times New Roman" w:cs="Times New Roman"/>
                <w:sz w:val="20"/>
                <w:szCs w:val="20"/>
              </w:rPr>
              <w:t>Soil colour, soil quality, land degradation</w:t>
            </w:r>
          </w:p>
          <w:p w14:paraId="72046112">
            <w:pPr>
              <w:spacing w:after="0" w:line="240" w:lineRule="auto"/>
              <w:jc w:val="both"/>
              <w:rPr>
                <w:rFonts w:ascii="Times New Roman" w:hAnsi="Times New Roman" w:cs="Times New Roman"/>
                <w:sz w:val="20"/>
                <w:szCs w:val="20"/>
              </w:rPr>
            </w:pPr>
          </w:p>
        </w:tc>
      </w:tr>
      <w:tr w14:paraId="61849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54E0401">
            <w:pPr>
              <w:spacing w:after="0" w:line="240" w:lineRule="auto"/>
              <w:jc w:val="both"/>
              <w:rPr>
                <w:rFonts w:ascii="Times New Roman" w:hAnsi="Times New Roman" w:cs="Times New Roman"/>
                <w:sz w:val="20"/>
                <w:szCs w:val="20"/>
              </w:rPr>
            </w:pPr>
            <w:r>
              <w:rPr>
                <w:rFonts w:ascii="Times New Roman" w:hAnsi="Times New Roman" w:cs="Times New Roman"/>
                <w:sz w:val="20"/>
                <w:szCs w:val="20"/>
              </w:rPr>
              <w:t>Education</w:t>
            </w:r>
          </w:p>
        </w:tc>
        <w:tc>
          <w:tcPr>
            <w:tcW w:w="6894" w:type="dxa"/>
          </w:tcPr>
          <w:p w14:paraId="0B4C12CF">
            <w:pPr>
              <w:spacing w:after="0" w:line="240" w:lineRule="auto"/>
              <w:jc w:val="both"/>
              <w:rPr>
                <w:rFonts w:ascii="Times New Roman" w:hAnsi="Times New Roman" w:cs="Times New Roman"/>
                <w:sz w:val="20"/>
                <w:szCs w:val="20"/>
              </w:rPr>
            </w:pPr>
            <w:r>
              <w:rPr>
                <w:rFonts w:ascii="Times New Roman" w:hAnsi="Times New Roman" w:cs="Times New Roman"/>
                <w:sz w:val="20"/>
                <w:szCs w:val="20"/>
              </w:rPr>
              <w:t>Education</w:t>
            </w:r>
          </w:p>
          <w:p w14:paraId="7380BB68">
            <w:pPr>
              <w:spacing w:after="0" w:line="240" w:lineRule="auto"/>
              <w:jc w:val="both"/>
              <w:rPr>
                <w:rFonts w:ascii="Times New Roman" w:hAnsi="Times New Roman" w:cs="Times New Roman"/>
                <w:sz w:val="20"/>
                <w:szCs w:val="20"/>
              </w:rPr>
            </w:pPr>
          </w:p>
        </w:tc>
      </w:tr>
      <w:tr w14:paraId="03B17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50A1320C">
            <w:pPr>
              <w:spacing w:after="0" w:line="240" w:lineRule="auto"/>
              <w:jc w:val="both"/>
              <w:rPr>
                <w:rFonts w:ascii="Times New Roman" w:hAnsi="Times New Roman" w:cs="Times New Roman"/>
                <w:sz w:val="20"/>
                <w:szCs w:val="20"/>
              </w:rPr>
            </w:pPr>
            <w:r>
              <w:rPr>
                <w:rFonts w:ascii="Times New Roman" w:hAnsi="Times New Roman" w:cs="Times New Roman"/>
                <w:sz w:val="20"/>
                <w:szCs w:val="20"/>
              </w:rPr>
              <w:t>Occupation</w:t>
            </w:r>
          </w:p>
        </w:tc>
        <w:tc>
          <w:tcPr>
            <w:tcW w:w="6894" w:type="dxa"/>
          </w:tcPr>
          <w:p w14:paraId="64631563">
            <w:pPr>
              <w:spacing w:after="0" w:line="240" w:lineRule="auto"/>
              <w:jc w:val="both"/>
              <w:rPr>
                <w:rFonts w:ascii="Times New Roman" w:hAnsi="Times New Roman" w:cs="Times New Roman"/>
                <w:sz w:val="20"/>
                <w:szCs w:val="20"/>
              </w:rPr>
            </w:pPr>
            <w:r>
              <w:rPr>
                <w:rFonts w:ascii="Times New Roman" w:hAnsi="Times New Roman" w:cs="Times New Roman"/>
                <w:sz w:val="20"/>
                <w:szCs w:val="20"/>
              </w:rPr>
              <w:t>Primary occupation</w:t>
            </w:r>
          </w:p>
          <w:p w14:paraId="40F73354">
            <w:pPr>
              <w:spacing w:after="0" w:line="240" w:lineRule="auto"/>
              <w:jc w:val="both"/>
              <w:rPr>
                <w:rFonts w:ascii="Times New Roman" w:hAnsi="Times New Roman" w:cs="Times New Roman"/>
                <w:sz w:val="20"/>
                <w:szCs w:val="20"/>
              </w:rPr>
            </w:pPr>
          </w:p>
        </w:tc>
      </w:tr>
      <w:tr w14:paraId="6CE1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73EFC953">
            <w:pPr>
              <w:spacing w:after="0" w:line="240" w:lineRule="auto"/>
              <w:jc w:val="both"/>
              <w:rPr>
                <w:rFonts w:ascii="Times New Roman" w:hAnsi="Times New Roman" w:cs="Times New Roman"/>
                <w:sz w:val="20"/>
                <w:szCs w:val="20"/>
              </w:rPr>
            </w:pPr>
            <w:r>
              <w:rPr>
                <w:rFonts w:ascii="Times New Roman" w:hAnsi="Times New Roman" w:cs="Times New Roman"/>
                <w:sz w:val="20"/>
                <w:szCs w:val="20"/>
              </w:rPr>
              <w:t>Skill</w:t>
            </w:r>
          </w:p>
        </w:tc>
        <w:tc>
          <w:tcPr>
            <w:tcW w:w="6894" w:type="dxa"/>
          </w:tcPr>
          <w:p w14:paraId="6CE9A37F">
            <w:pPr>
              <w:spacing w:after="0" w:line="240" w:lineRule="auto"/>
              <w:jc w:val="both"/>
              <w:rPr>
                <w:rFonts w:ascii="Times New Roman" w:hAnsi="Times New Roman" w:cs="Times New Roman"/>
                <w:sz w:val="20"/>
                <w:szCs w:val="20"/>
              </w:rPr>
            </w:pPr>
            <w:r>
              <w:rPr>
                <w:rFonts w:ascii="Times New Roman" w:hAnsi="Times New Roman" w:cs="Times New Roman"/>
                <w:sz w:val="20"/>
                <w:szCs w:val="20"/>
              </w:rPr>
              <w:t>Agricultural programme, skill development program, agricultural training and workshop</w:t>
            </w:r>
          </w:p>
          <w:p w14:paraId="13842E12">
            <w:pPr>
              <w:spacing w:after="0" w:line="240" w:lineRule="auto"/>
              <w:jc w:val="both"/>
              <w:rPr>
                <w:rFonts w:ascii="Times New Roman" w:hAnsi="Times New Roman" w:cs="Times New Roman"/>
                <w:sz w:val="20"/>
                <w:szCs w:val="20"/>
              </w:rPr>
            </w:pPr>
          </w:p>
        </w:tc>
      </w:tr>
      <w:tr w14:paraId="154DA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0E9A89BB">
            <w:pPr>
              <w:spacing w:after="0" w:line="240" w:lineRule="auto"/>
              <w:jc w:val="both"/>
              <w:rPr>
                <w:rFonts w:ascii="Times New Roman" w:hAnsi="Times New Roman" w:cs="Times New Roman"/>
                <w:sz w:val="20"/>
                <w:szCs w:val="20"/>
              </w:rPr>
            </w:pPr>
            <w:r>
              <w:rPr>
                <w:rFonts w:ascii="Times New Roman" w:hAnsi="Times New Roman" w:cs="Times New Roman"/>
                <w:sz w:val="20"/>
                <w:szCs w:val="20"/>
              </w:rPr>
              <w:t>Agriculture</w:t>
            </w:r>
          </w:p>
        </w:tc>
        <w:tc>
          <w:tcPr>
            <w:tcW w:w="6894" w:type="dxa"/>
          </w:tcPr>
          <w:p w14:paraId="66513803">
            <w:pPr>
              <w:spacing w:after="0" w:line="240" w:lineRule="auto"/>
              <w:jc w:val="both"/>
              <w:rPr>
                <w:rFonts w:ascii="Times New Roman" w:hAnsi="Times New Roman" w:cs="Times New Roman"/>
                <w:sz w:val="20"/>
                <w:szCs w:val="20"/>
              </w:rPr>
            </w:pPr>
            <w:r>
              <w:rPr>
                <w:rFonts w:ascii="Times New Roman" w:hAnsi="Times New Roman" w:cs="Times New Roman"/>
                <w:sz w:val="20"/>
                <w:szCs w:val="20"/>
              </w:rPr>
              <w:t>Land use in paddy, land remaining</w:t>
            </w:r>
          </w:p>
        </w:tc>
      </w:tr>
    </w:tbl>
    <w:p w14:paraId="4A2EC01F">
      <w:pPr>
        <w:spacing w:line="360" w:lineRule="auto"/>
        <w:jc w:val="both"/>
        <w:rPr>
          <w:rFonts w:ascii="Times New Roman" w:hAnsi="Times New Roman" w:cs="Times New Roman"/>
        </w:rPr>
      </w:pPr>
    </w:p>
    <w:p w14:paraId="1E91D36B">
      <w:pPr>
        <w:spacing w:line="360" w:lineRule="auto"/>
        <w:jc w:val="both"/>
        <w:rPr>
          <w:rFonts w:ascii="Times New Roman" w:hAnsi="Times New Roman" w:cs="Times New Roman"/>
        </w:rPr>
      </w:pPr>
      <w:r>
        <w:rPr>
          <w:rFonts w:ascii="Times New Roman" w:hAnsi="Times New Roman" w:cs="Times New Roman"/>
        </w:rPr>
        <w:t xml:space="preserve"> Given these conditions, the need for optimization arises. Previous studies (Sen, 1999; Alkire, 2002; Nussbaum, 2011) show that well-being has many dimensions, including income, health, education, gender equity, and cultural autonomy, which must be balanced together. In tribal areas, where poverty, fragile environments, and cultural challenges overlap, optimization models help to identify different strategies that can improve overall well-being while working within limited resources and financial constraints (Debreu, 1959; Zeleny, 1982).Here, in our study, we use linear programming (LP) as a practical tool for optimization. It helps in allocating limited resources like land, labor, and capital. These resources are distributed across competing uses and social objectives. LP also considers constraints shaped by environmental, cultural, and economic realities(Challoumis, 2024). We use linear programming because it provides a clear and systematic way to make the best possible decisions under limited resources. It also helps balance trade-offs between different domains of well-being(Charnes &amp; Cooper, 1961; Luenberger, 1997). In Jharkhand, scholars have highlighted the need to shift from growth-centric models to capability- and well-being-based assessments of tribal economies (Xaxa, 2008; Maharatna, 2005; Kumar &amp; Chaudhuri, 2023).</w:t>
      </w:r>
    </w:p>
    <w:p w14:paraId="76854C25">
      <w:pPr>
        <w:spacing w:line="360" w:lineRule="auto"/>
        <w:jc w:val="both"/>
        <w:rPr>
          <w:rFonts w:ascii="Times New Roman" w:hAnsi="Times New Roman" w:cs="Times New Roman"/>
        </w:rPr>
      </w:pPr>
      <w:r>
        <w:rPr>
          <w:rFonts w:ascii="Times New Roman" w:hAnsi="Times New Roman" w:cs="Times New Roman"/>
        </w:rPr>
        <w:t>Therefore, the objective of this study is to apply a linear programming framework to the socio-economic realities of Jamtara, Jharkhand, in order to optimize the overall well-being of Indigenous communities by balancing multiple dimensions of livelihood, health, education, gender empowerment, and cultural sustainability (Sen, 1999; Nussbaum, 2011; Alkire &amp; Foster, 2011; Kumar &amp; Chaudhuri, 2023).</w:t>
      </w:r>
    </w:p>
    <w:p w14:paraId="533BDC8B">
      <w:pPr>
        <w:spacing w:line="360" w:lineRule="auto"/>
        <w:jc w:val="both"/>
        <w:rPr>
          <w:rFonts w:ascii="Times New Roman" w:hAnsi="Times New Roman" w:cs="Times New Roman"/>
        </w:rPr>
      </w:pPr>
      <w:r>
        <w:rPr>
          <w:rFonts w:ascii="Times New Roman" w:hAnsi="Times New Roman" w:cs="Times New Roman"/>
        </w:rPr>
        <w:t>Here, Table 1 lists the multidimensional indicators that we used to capture tribal well-being in Jamtara from our questionnaire. The items are grouped into domains like health status, security, social connection, civic engagement, income, wealth, work–life balance, subjective wellbeing, risk, housing, environmental quality, education, occupation, skill, and agriculturethat together reflect economic, social, cultural, and environmental conditions of tribal people in Jharkhand. We use these multidimensional indicators because well-being is not limited to income or wealth alone. It also includes housing, health, education, environment, occupation, and social and psychological factors. By using these indicators, we wanted to capture a more complete picture of tribal well-being in Jamtara. These domain indicators serve two methodological roles in our study: (1) they are aggregated and normalized to form the well-being dimension scores G</w:t>
      </w:r>
      <w:r>
        <w:rPr>
          <w:rFonts w:ascii="Times New Roman" w:hAnsi="Times New Roman" w:cs="Times New Roman"/>
          <w:i/>
          <w:iCs/>
        </w:rPr>
        <w:t>j</w:t>
      </w:r>
      <w:r>
        <w:rPr>
          <w:rFonts w:ascii="Times New Roman" w:hAnsi="Times New Roman" w:cs="Times New Roman"/>
        </w:rPr>
        <w:t xml:space="preserve"> used in the LP objective; and (2) they provide the basis for setting minimum capability thresholds Lj​ (e.g., basic health, food Through multiple meetings and discussions with community leaders, health workers, agricultural facilitators, self-help group (SHG) members, and NGOs, valuable qualitative insights were gathered on Indigenous livelihood practices and the challenges they face every day. These combined methods not only allowed a multidimensional understanding of the tribal economy in Jamtara but also linked present livelihood struggles with the historical trajectory of Indigenous economic systems in Jharkhand.</w:t>
      </w:r>
    </w:p>
    <w:p w14:paraId="77009095">
      <w:pPr>
        <w:spacing w:line="360" w:lineRule="auto"/>
        <w:jc w:val="both"/>
        <w:rPr>
          <w:rFonts w:ascii="Times New Roman" w:hAnsi="Times New Roman" w:cs="Times New Roman"/>
        </w:rPr>
      </w:pPr>
      <w:r>
        <w:rPr>
          <w:rFonts w:ascii="Times New Roman" w:hAnsi="Times New Roman" w:cs="Times New Roman"/>
        </w:rPr>
        <w:t>security, cultural continuity) and for choosing participatory weights wj​.</w:t>
      </w:r>
    </w:p>
    <w:p w14:paraId="66B021AF">
      <w:pPr>
        <w:spacing w:line="360" w:lineRule="auto"/>
        <w:jc w:val="both"/>
        <w:rPr>
          <w:rFonts w:ascii="Times New Roman" w:hAnsi="Times New Roman" w:cs="Times New Roman"/>
        </w:rPr>
      </w:pPr>
    </w:p>
    <w:p w14:paraId="5B4BFD50">
      <w:pPr>
        <w:spacing w:line="360" w:lineRule="auto"/>
        <w:jc w:val="both"/>
        <w:rPr>
          <w:rFonts w:ascii="Times New Roman" w:hAnsi="Times New Roman" w:cs="Times New Roman"/>
        </w:rPr>
      </w:pPr>
      <w:r>
        <w:rPr>
          <w:rFonts w:ascii="Times New Roman" w:hAnsi="Times New Roman" w:cs="Times New Roman"/>
        </w:rPr>
        <w:t>Further, table 2 organizes the large set of indicators from table 1 into six higher-order dimensions of well-being: physical wellbeing, social wellbeing, economic wellbeing, psychological wellbeing, environmental wellbeing, and occupational well-being. This classification provides the conceptual framework for the study by showing how diverse factorsranging from health and security to income, environment, and skillscollectively shape the overall well-being of Indigenous communities in Jamtara. It also creates a clear structure for the optimization model, since each dimension can be represented as a composite outcome variable, making it possible to analyze across multiple aspects of life. In short, Table 2 serves as the bridge between raw indicators and multidimensional well-being domains, ensuring that the study remains theoretically grounded and methodologically coherent.</w:t>
      </w:r>
    </w:p>
    <w:p w14:paraId="422ED1E0">
      <w:pPr>
        <w:jc w:val="both"/>
        <w:rPr>
          <w:rFonts w:ascii="Times New Roman" w:hAnsi="Times New Roman" w:cs="Times New Roman"/>
        </w:rPr>
      </w:pPr>
      <w:r>
        <w:rPr>
          <w:rFonts w:ascii="Times New Roman" w:hAnsi="Times New Roman" w:cs="Times New Roman"/>
        </w:rPr>
        <w:t>Table 2: Six major domains of overall well-being that we have taken in our study.</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72"/>
        <w:gridCol w:w="6044"/>
      </w:tblGrid>
      <w:tr w14:paraId="514DB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72" w:type="dxa"/>
          </w:tcPr>
          <w:p w14:paraId="1DD0C852">
            <w:pPr>
              <w:spacing w:after="0" w:line="240" w:lineRule="auto"/>
              <w:jc w:val="both"/>
              <w:rPr>
                <w:rFonts w:ascii="Times New Roman" w:hAnsi="Times New Roman" w:cs="Times New Roman"/>
                <w:sz w:val="20"/>
                <w:szCs w:val="20"/>
              </w:rPr>
            </w:pPr>
            <w:r>
              <w:rPr>
                <w:rFonts w:ascii="Times New Roman" w:hAnsi="Times New Roman" w:cs="Times New Roman"/>
                <w:sz w:val="20"/>
                <w:szCs w:val="20"/>
              </w:rPr>
              <w:t>Physical well-being</w:t>
            </w:r>
          </w:p>
        </w:tc>
        <w:tc>
          <w:tcPr>
            <w:tcW w:w="6044" w:type="dxa"/>
          </w:tcPr>
          <w:p w14:paraId="484AFBCD">
            <w:pPr>
              <w:spacing w:after="0" w:line="240" w:lineRule="auto"/>
              <w:jc w:val="both"/>
              <w:rPr>
                <w:rFonts w:ascii="Times New Roman" w:hAnsi="Times New Roman" w:cs="Times New Roman"/>
                <w:sz w:val="20"/>
                <w:szCs w:val="20"/>
              </w:rPr>
            </w:pPr>
            <w:r>
              <w:rPr>
                <w:rFonts w:ascii="Times New Roman" w:hAnsi="Times New Roman" w:cs="Times New Roman"/>
                <w:sz w:val="20"/>
                <w:szCs w:val="20"/>
              </w:rPr>
              <w:t>Health status, security</w:t>
            </w:r>
          </w:p>
        </w:tc>
      </w:tr>
      <w:tr w14:paraId="4E5B7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72" w:type="dxa"/>
          </w:tcPr>
          <w:p w14:paraId="503931CB">
            <w:pPr>
              <w:spacing w:after="0" w:line="240" w:lineRule="auto"/>
              <w:jc w:val="both"/>
              <w:rPr>
                <w:rFonts w:ascii="Times New Roman" w:hAnsi="Times New Roman" w:cs="Times New Roman"/>
                <w:sz w:val="20"/>
                <w:szCs w:val="20"/>
              </w:rPr>
            </w:pPr>
            <w:r>
              <w:rPr>
                <w:rFonts w:ascii="Times New Roman" w:hAnsi="Times New Roman" w:cs="Times New Roman"/>
                <w:sz w:val="20"/>
                <w:szCs w:val="20"/>
              </w:rPr>
              <w:t>Social wellbeing</w:t>
            </w:r>
          </w:p>
        </w:tc>
        <w:tc>
          <w:tcPr>
            <w:tcW w:w="6044" w:type="dxa"/>
          </w:tcPr>
          <w:p w14:paraId="45445060">
            <w:pPr>
              <w:spacing w:after="0" w:line="240" w:lineRule="auto"/>
              <w:jc w:val="both"/>
              <w:rPr>
                <w:rFonts w:ascii="Times New Roman" w:hAnsi="Times New Roman" w:cs="Times New Roman"/>
                <w:sz w:val="20"/>
                <w:szCs w:val="20"/>
              </w:rPr>
            </w:pPr>
            <w:r>
              <w:rPr>
                <w:rFonts w:ascii="Times New Roman" w:hAnsi="Times New Roman" w:cs="Times New Roman"/>
                <w:sz w:val="20"/>
                <w:szCs w:val="20"/>
              </w:rPr>
              <w:t>Social connection, civic engagement</w:t>
            </w:r>
          </w:p>
        </w:tc>
      </w:tr>
      <w:tr w14:paraId="2C64C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72" w:type="dxa"/>
          </w:tcPr>
          <w:p w14:paraId="779C36BC">
            <w:pPr>
              <w:spacing w:after="0" w:line="240" w:lineRule="auto"/>
              <w:jc w:val="both"/>
              <w:rPr>
                <w:rFonts w:ascii="Times New Roman" w:hAnsi="Times New Roman" w:cs="Times New Roman"/>
                <w:sz w:val="20"/>
                <w:szCs w:val="20"/>
              </w:rPr>
            </w:pPr>
            <w:r>
              <w:rPr>
                <w:rFonts w:ascii="Times New Roman" w:hAnsi="Times New Roman" w:cs="Times New Roman"/>
                <w:sz w:val="20"/>
                <w:szCs w:val="20"/>
              </w:rPr>
              <w:t>Economic wellbeing</w:t>
            </w:r>
          </w:p>
        </w:tc>
        <w:tc>
          <w:tcPr>
            <w:tcW w:w="6044" w:type="dxa"/>
          </w:tcPr>
          <w:p w14:paraId="36C27D7D">
            <w:pPr>
              <w:spacing w:after="0" w:line="240" w:lineRule="auto"/>
              <w:jc w:val="both"/>
              <w:rPr>
                <w:rFonts w:ascii="Times New Roman" w:hAnsi="Times New Roman" w:cs="Times New Roman"/>
                <w:sz w:val="20"/>
                <w:szCs w:val="20"/>
              </w:rPr>
            </w:pPr>
            <w:r>
              <w:rPr>
                <w:rFonts w:ascii="Times New Roman" w:hAnsi="Times New Roman" w:cs="Times New Roman"/>
                <w:sz w:val="20"/>
                <w:szCs w:val="20"/>
              </w:rPr>
              <w:t>Income, wealth, work-life balance</w:t>
            </w:r>
          </w:p>
        </w:tc>
      </w:tr>
      <w:tr w14:paraId="6FCDB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72" w:type="dxa"/>
          </w:tcPr>
          <w:p w14:paraId="2F7834E9">
            <w:pPr>
              <w:spacing w:after="0" w:line="240" w:lineRule="auto"/>
              <w:jc w:val="both"/>
              <w:rPr>
                <w:rFonts w:ascii="Times New Roman" w:hAnsi="Times New Roman" w:cs="Times New Roman"/>
                <w:sz w:val="20"/>
                <w:szCs w:val="20"/>
              </w:rPr>
            </w:pPr>
            <w:r>
              <w:rPr>
                <w:rFonts w:ascii="Times New Roman" w:hAnsi="Times New Roman" w:cs="Times New Roman"/>
                <w:sz w:val="20"/>
                <w:szCs w:val="20"/>
              </w:rPr>
              <w:t>Psychological wellbeing</w:t>
            </w:r>
          </w:p>
        </w:tc>
        <w:tc>
          <w:tcPr>
            <w:tcW w:w="6044" w:type="dxa"/>
          </w:tcPr>
          <w:p w14:paraId="6AF30B14">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SWB, risk, </w:t>
            </w:r>
          </w:p>
        </w:tc>
      </w:tr>
      <w:tr w14:paraId="11C38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72" w:type="dxa"/>
          </w:tcPr>
          <w:p w14:paraId="5CA9403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Environmental wellbeing</w:t>
            </w:r>
          </w:p>
        </w:tc>
        <w:tc>
          <w:tcPr>
            <w:tcW w:w="6044" w:type="dxa"/>
          </w:tcPr>
          <w:p w14:paraId="013E0BB1">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Housing, Environmental Quality, </w:t>
            </w:r>
          </w:p>
        </w:tc>
      </w:tr>
      <w:tr w14:paraId="68708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72" w:type="dxa"/>
          </w:tcPr>
          <w:p w14:paraId="515A08C0">
            <w:pPr>
              <w:spacing w:after="0" w:line="240" w:lineRule="auto"/>
              <w:jc w:val="both"/>
              <w:rPr>
                <w:rFonts w:ascii="Times New Roman" w:hAnsi="Times New Roman" w:cs="Times New Roman"/>
                <w:sz w:val="20"/>
                <w:szCs w:val="20"/>
              </w:rPr>
            </w:pPr>
            <w:r>
              <w:rPr>
                <w:rFonts w:ascii="Times New Roman" w:hAnsi="Times New Roman" w:cs="Times New Roman"/>
                <w:sz w:val="20"/>
                <w:szCs w:val="20"/>
              </w:rPr>
              <w:t>Occupational Well-being</w:t>
            </w:r>
          </w:p>
        </w:tc>
        <w:tc>
          <w:tcPr>
            <w:tcW w:w="6044" w:type="dxa"/>
          </w:tcPr>
          <w:p w14:paraId="32C7EDFB">
            <w:pPr>
              <w:spacing w:after="0" w:line="240" w:lineRule="auto"/>
              <w:jc w:val="both"/>
              <w:rPr>
                <w:rFonts w:ascii="Times New Roman" w:hAnsi="Times New Roman" w:cs="Times New Roman"/>
                <w:sz w:val="20"/>
                <w:szCs w:val="20"/>
              </w:rPr>
            </w:pPr>
            <w:r>
              <w:rPr>
                <w:rFonts w:ascii="Times New Roman" w:hAnsi="Times New Roman" w:cs="Times New Roman"/>
                <w:sz w:val="20"/>
                <w:szCs w:val="20"/>
              </w:rPr>
              <w:t>Education, occupation, Skill</w:t>
            </w:r>
          </w:p>
        </w:tc>
      </w:tr>
    </w:tbl>
    <w:p w14:paraId="1711812C">
      <w:pPr>
        <w:spacing w:line="360" w:lineRule="auto"/>
        <w:jc w:val="both"/>
        <w:rPr>
          <w:rFonts w:ascii="Times New Roman" w:hAnsi="Times New Roman" w:cs="Times New Roman"/>
        </w:rPr>
      </w:pPr>
    </w:p>
    <w:p w14:paraId="5F7C6897">
      <w:pPr>
        <w:spacing w:line="360" w:lineRule="auto"/>
        <w:jc w:val="both"/>
        <w:rPr>
          <w:rFonts w:ascii="Times New Roman" w:hAnsi="Times New Roman" w:cs="Times New Roman"/>
        </w:rPr>
      </w:pPr>
      <w:r>
        <w:rPr>
          <w:rFonts w:ascii="Times New Roman" w:hAnsi="Times New Roman" w:cs="Times New Roman"/>
        </w:rPr>
        <w:t xml:space="preserve">To delve in further detailing, we took major government initiatives in different domains of well-being in Jamtara, such as health, security, social connection, civic engagement, income, wealth, risk reduction, housing, environmental quality, education, occupation, and skills(Table 3). Each initiative is presented with quantitative details, including maximum respondent coverage, cost per respondent, expected improvement factors, and total cost. This systematic structuring is central to the aim of our study, as it provides the empirical basis for linking multidimensional well-being outcomes with concrete realities of tribal life in Jamtara, such as access to health care, housing security, agricultural sustainability, livelihood opportunities, and education. By aligning schemes such as </w:t>
      </w:r>
      <w:r>
        <w:rPr>
          <w:rFonts w:ascii="Times New Roman" w:hAnsi="Times New Roman" w:cs="Times New Roman"/>
          <w:i/>
          <w:iCs/>
        </w:rPr>
        <w:t>Ayushman Bharat</w:t>
      </w:r>
      <w:r>
        <w:rPr>
          <w:rFonts w:ascii="Times New Roman" w:hAnsi="Times New Roman" w:cs="Times New Roman"/>
        </w:rPr>
        <w:t xml:space="preserve">, </w:t>
      </w:r>
      <w:r>
        <w:rPr>
          <w:rFonts w:ascii="Times New Roman" w:hAnsi="Times New Roman" w:cs="Times New Roman"/>
          <w:i/>
          <w:iCs/>
        </w:rPr>
        <w:t>Pradhan Mantri Jan Dhan Yojana (PMJDY)</w:t>
      </w:r>
      <w:r>
        <w:rPr>
          <w:rFonts w:ascii="Times New Roman" w:hAnsi="Times New Roman" w:cs="Times New Roman"/>
        </w:rPr>
        <w:t xml:space="preserve">, </w:t>
      </w:r>
      <w:r>
        <w:rPr>
          <w:rFonts w:ascii="Times New Roman" w:hAnsi="Times New Roman" w:cs="Times New Roman"/>
          <w:i/>
          <w:iCs/>
        </w:rPr>
        <w:t>Pradhan Mantri Awas Yojana (PMAY)</w:t>
      </w:r>
      <w:r>
        <w:rPr>
          <w:rFonts w:ascii="Times New Roman" w:hAnsi="Times New Roman" w:cs="Times New Roman"/>
        </w:rPr>
        <w:t xml:space="preserve">, </w:t>
      </w:r>
      <w:r>
        <w:rPr>
          <w:rFonts w:ascii="Times New Roman" w:hAnsi="Times New Roman" w:cs="Times New Roman"/>
          <w:i/>
          <w:iCs/>
        </w:rPr>
        <w:t>MGNREGA</w:t>
      </w:r>
      <w:r>
        <w:rPr>
          <w:rFonts w:ascii="Times New Roman" w:hAnsi="Times New Roman" w:cs="Times New Roman"/>
        </w:rPr>
        <w:t xml:space="preserve">, and </w:t>
      </w:r>
      <w:r>
        <w:rPr>
          <w:rFonts w:ascii="Times New Roman" w:hAnsi="Times New Roman" w:cs="Times New Roman"/>
          <w:i/>
          <w:iCs/>
        </w:rPr>
        <w:t>Skill India</w:t>
      </w:r>
      <w:r>
        <w:rPr>
          <w:rFonts w:ascii="Times New Roman" w:hAnsi="Times New Roman" w:cs="Times New Roman"/>
        </w:rPr>
        <w:t xml:space="preserve"> with specific well-being domains, the study ensures that the optimization framework is not only theoretically sound but also practically relevant. The numerical inputs from Table 3 allow for the application of linear programming techniques to allocate scarce resources across competing needs in a way that maximizes overall well-being under budgetary constraints. Previous studies have emphasized the importance of integrating government welfare schemes into models of multidimensional poverty and well-being, arguing that such interventions often produce overlapping but complementary effects on health, income, and social security (Alkire &amp; Foster, 2011; Thorbecke, 2008; Banerjee &amp; Duflo, 2011). In this way, Table 3 provides the decision-making dataset that bridges theoretical well-being frameworks with actionable optimization strategies, making it a crucial contribution to understanding and improving the welfare of tribal communities in Jharkhand.</w:t>
      </w:r>
    </w:p>
    <w:p w14:paraId="04C57F3F">
      <w:pPr>
        <w:spacing w:line="360" w:lineRule="auto"/>
        <w:jc w:val="both"/>
        <w:rPr>
          <w:rFonts w:ascii="Times New Roman" w:hAnsi="Times New Roman" w:cs="Times New Roman"/>
        </w:rPr>
      </w:pPr>
      <w:r>
        <w:rPr>
          <w:rFonts w:ascii="Times New Roman" w:hAnsi="Times New Roman" w:cs="Times New Roman"/>
        </w:rPr>
        <w:t>Table 3: Government Initiatives, Domains of Well-Being, Costs, and Improvement Factors in Jamtara</w:t>
      </w:r>
    </w:p>
    <w:tbl>
      <w:tblPr>
        <w:tblStyle w:val="20"/>
        <w:tblW w:w="10495"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90"/>
        <w:gridCol w:w="1588"/>
        <w:gridCol w:w="1502"/>
        <w:gridCol w:w="1502"/>
        <w:gridCol w:w="1509"/>
        <w:gridCol w:w="2404"/>
      </w:tblGrid>
      <w:tr w14:paraId="20775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90" w:type="dxa"/>
          </w:tcPr>
          <w:p w14:paraId="3F4F9939">
            <w:pPr>
              <w:spacing w:after="0" w:line="240" w:lineRule="auto"/>
              <w:jc w:val="both"/>
              <w:rPr>
                <w:rFonts w:ascii="Times New Roman" w:hAnsi="Times New Roman" w:cs="Times New Roman"/>
                <w:b/>
                <w:bCs/>
                <w:sz w:val="20"/>
                <w:szCs w:val="20"/>
              </w:rPr>
            </w:pPr>
            <w:r>
              <w:rPr>
                <w:rFonts w:ascii="Times New Roman" w:hAnsi="Times New Roman" w:cs="Times New Roman"/>
                <w:b/>
                <w:bCs/>
                <w:sz w:val="20"/>
                <w:szCs w:val="20"/>
              </w:rPr>
              <w:t>Government initiatives name</w:t>
            </w:r>
          </w:p>
        </w:tc>
        <w:tc>
          <w:tcPr>
            <w:tcW w:w="1588" w:type="dxa"/>
          </w:tcPr>
          <w:p w14:paraId="1EF3E3F5">
            <w:pPr>
              <w:spacing w:after="0" w:line="240" w:lineRule="auto"/>
              <w:jc w:val="both"/>
              <w:rPr>
                <w:rFonts w:ascii="Times New Roman" w:hAnsi="Times New Roman" w:cs="Times New Roman"/>
                <w:b/>
                <w:bCs/>
                <w:sz w:val="20"/>
                <w:szCs w:val="20"/>
              </w:rPr>
            </w:pPr>
            <w:r>
              <w:rPr>
                <w:rFonts w:ascii="Times New Roman" w:hAnsi="Times New Roman" w:cs="Times New Roman"/>
                <w:b/>
                <w:bCs/>
                <w:sz w:val="20"/>
                <w:szCs w:val="20"/>
              </w:rPr>
              <w:t xml:space="preserve">Domain name </w:t>
            </w:r>
          </w:p>
        </w:tc>
        <w:tc>
          <w:tcPr>
            <w:tcW w:w="1502" w:type="dxa"/>
          </w:tcPr>
          <w:p w14:paraId="21ADBF33">
            <w:pPr>
              <w:spacing w:after="0" w:line="240" w:lineRule="auto"/>
              <w:jc w:val="both"/>
              <w:rPr>
                <w:rFonts w:ascii="Times New Roman" w:hAnsi="Times New Roman" w:cs="Times New Roman"/>
                <w:b/>
                <w:bCs/>
                <w:sz w:val="20"/>
                <w:szCs w:val="20"/>
              </w:rPr>
            </w:pPr>
            <w:r>
              <w:rPr>
                <w:rFonts w:ascii="Times New Roman" w:hAnsi="Times New Roman" w:cs="Times New Roman"/>
                <w:b/>
                <w:bCs/>
                <w:sz w:val="20"/>
                <w:szCs w:val="20"/>
              </w:rPr>
              <w:t>Max. respondents</w:t>
            </w:r>
          </w:p>
        </w:tc>
        <w:tc>
          <w:tcPr>
            <w:tcW w:w="1502" w:type="dxa"/>
          </w:tcPr>
          <w:p w14:paraId="341CE625">
            <w:pPr>
              <w:spacing w:after="0" w:line="240" w:lineRule="auto"/>
              <w:jc w:val="both"/>
              <w:rPr>
                <w:rFonts w:ascii="Times New Roman" w:hAnsi="Times New Roman" w:cs="Times New Roman"/>
                <w:b/>
                <w:bCs/>
                <w:sz w:val="20"/>
                <w:szCs w:val="20"/>
              </w:rPr>
            </w:pPr>
            <w:r>
              <w:rPr>
                <w:rFonts w:ascii="Times New Roman" w:hAnsi="Times New Roman" w:cs="Times New Roman"/>
                <w:b/>
                <w:bCs/>
                <w:sz w:val="20"/>
                <w:szCs w:val="20"/>
              </w:rPr>
              <w:t>Cost per respondent</w:t>
            </w:r>
          </w:p>
        </w:tc>
        <w:tc>
          <w:tcPr>
            <w:tcW w:w="1509" w:type="dxa"/>
          </w:tcPr>
          <w:p w14:paraId="60C4B099">
            <w:pPr>
              <w:spacing w:after="0" w:line="240" w:lineRule="auto"/>
              <w:jc w:val="both"/>
              <w:rPr>
                <w:rFonts w:ascii="Times New Roman" w:hAnsi="Times New Roman" w:cs="Times New Roman"/>
                <w:b/>
                <w:bCs/>
                <w:sz w:val="20"/>
                <w:szCs w:val="20"/>
              </w:rPr>
            </w:pPr>
            <w:r>
              <w:rPr>
                <w:rFonts w:ascii="Times New Roman" w:hAnsi="Times New Roman" w:cs="Times New Roman"/>
                <w:b/>
                <w:bCs/>
                <w:sz w:val="20"/>
                <w:szCs w:val="20"/>
              </w:rPr>
              <w:t>Improvement factor</w:t>
            </w:r>
          </w:p>
        </w:tc>
        <w:tc>
          <w:tcPr>
            <w:tcW w:w="2404" w:type="dxa"/>
          </w:tcPr>
          <w:p w14:paraId="4E421706">
            <w:pPr>
              <w:spacing w:after="0" w:line="240" w:lineRule="auto"/>
              <w:jc w:val="both"/>
              <w:rPr>
                <w:rFonts w:ascii="Times New Roman" w:hAnsi="Times New Roman" w:cs="Times New Roman"/>
                <w:b/>
                <w:bCs/>
                <w:sz w:val="20"/>
                <w:szCs w:val="20"/>
              </w:rPr>
            </w:pPr>
            <w:r>
              <w:rPr>
                <w:rFonts w:ascii="Times New Roman" w:hAnsi="Times New Roman" w:cs="Times New Roman"/>
                <w:b/>
                <w:bCs/>
                <w:sz w:val="20"/>
                <w:szCs w:val="20"/>
              </w:rPr>
              <w:t>Maximum cost per initiatives</w:t>
            </w:r>
          </w:p>
        </w:tc>
      </w:tr>
      <w:tr w14:paraId="67F87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1990" w:type="dxa"/>
            <w:noWrap/>
          </w:tcPr>
          <w:p w14:paraId="62623086">
            <w:pPr>
              <w:spacing w:after="0" w:line="240" w:lineRule="auto"/>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Ayushman Bharat scheme</w:t>
            </w:r>
          </w:p>
        </w:tc>
        <w:tc>
          <w:tcPr>
            <w:tcW w:w="1588" w:type="dxa"/>
            <w:noWrap/>
          </w:tcPr>
          <w:p w14:paraId="39C44DB0">
            <w:pPr>
              <w:spacing w:after="0" w:line="240" w:lineRule="auto"/>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Health Status</w:t>
            </w:r>
          </w:p>
        </w:tc>
        <w:tc>
          <w:tcPr>
            <w:tcW w:w="1502" w:type="dxa"/>
            <w:noWrap/>
          </w:tcPr>
          <w:p w14:paraId="382E1318">
            <w:pPr>
              <w:spacing w:after="0" w:line="240" w:lineRule="auto"/>
              <w:jc w:val="center"/>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400</w:t>
            </w:r>
          </w:p>
        </w:tc>
        <w:tc>
          <w:tcPr>
            <w:tcW w:w="1502" w:type="dxa"/>
            <w:noWrap/>
          </w:tcPr>
          <w:p w14:paraId="658085D3">
            <w:pPr>
              <w:spacing w:after="0" w:line="240" w:lineRule="auto"/>
              <w:jc w:val="center"/>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 xml:space="preserve">                                                 3,000 </w:t>
            </w:r>
          </w:p>
        </w:tc>
        <w:tc>
          <w:tcPr>
            <w:tcW w:w="1509" w:type="dxa"/>
            <w:noWrap/>
          </w:tcPr>
          <w:p w14:paraId="3813AF44">
            <w:pPr>
              <w:spacing w:after="0" w:line="240" w:lineRule="auto"/>
              <w:jc w:val="center"/>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25%</w:t>
            </w:r>
          </w:p>
        </w:tc>
        <w:tc>
          <w:tcPr>
            <w:tcW w:w="2404" w:type="dxa"/>
            <w:noWrap/>
          </w:tcPr>
          <w:p w14:paraId="4A8790C5">
            <w:pPr>
              <w:spacing w:after="0" w:line="240" w:lineRule="auto"/>
              <w:jc w:val="center"/>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 xml:space="preserve">                                               15,00,000 </w:t>
            </w:r>
          </w:p>
        </w:tc>
      </w:tr>
      <w:tr w14:paraId="095D1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1990" w:type="dxa"/>
            <w:noWrap/>
          </w:tcPr>
          <w:p w14:paraId="04E1BD44">
            <w:pPr>
              <w:spacing w:after="0" w:line="240" w:lineRule="auto"/>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Security Awareness Compaign</w:t>
            </w:r>
          </w:p>
        </w:tc>
        <w:tc>
          <w:tcPr>
            <w:tcW w:w="1588" w:type="dxa"/>
            <w:noWrap/>
          </w:tcPr>
          <w:p w14:paraId="1CEE93DE">
            <w:pPr>
              <w:spacing w:after="0" w:line="240" w:lineRule="auto"/>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Security</w:t>
            </w:r>
          </w:p>
        </w:tc>
        <w:tc>
          <w:tcPr>
            <w:tcW w:w="1502" w:type="dxa"/>
            <w:noWrap/>
          </w:tcPr>
          <w:p w14:paraId="25A4257A">
            <w:pPr>
              <w:spacing w:after="0" w:line="240" w:lineRule="auto"/>
              <w:jc w:val="center"/>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200</w:t>
            </w:r>
          </w:p>
        </w:tc>
        <w:tc>
          <w:tcPr>
            <w:tcW w:w="1502" w:type="dxa"/>
            <w:noWrap/>
          </w:tcPr>
          <w:p w14:paraId="4C51B6E8">
            <w:pPr>
              <w:spacing w:after="0" w:line="240" w:lineRule="auto"/>
              <w:jc w:val="center"/>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 xml:space="preserve">                                                 3,000 </w:t>
            </w:r>
          </w:p>
        </w:tc>
        <w:tc>
          <w:tcPr>
            <w:tcW w:w="1509" w:type="dxa"/>
            <w:noWrap/>
          </w:tcPr>
          <w:p w14:paraId="4B3A3232">
            <w:pPr>
              <w:spacing w:after="0" w:line="240" w:lineRule="auto"/>
              <w:jc w:val="center"/>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20%</w:t>
            </w:r>
          </w:p>
        </w:tc>
        <w:tc>
          <w:tcPr>
            <w:tcW w:w="2404" w:type="dxa"/>
            <w:noWrap/>
          </w:tcPr>
          <w:p w14:paraId="2D739FBA">
            <w:pPr>
              <w:spacing w:after="0" w:line="240" w:lineRule="auto"/>
              <w:jc w:val="center"/>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 xml:space="preserve">                                                 5,50,000 </w:t>
            </w:r>
          </w:p>
        </w:tc>
      </w:tr>
      <w:tr w14:paraId="37631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1990" w:type="dxa"/>
            <w:noWrap/>
          </w:tcPr>
          <w:p w14:paraId="31A0574A">
            <w:pPr>
              <w:spacing w:after="0" w:line="240" w:lineRule="auto"/>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Social Welfare Scheme</w:t>
            </w:r>
          </w:p>
        </w:tc>
        <w:tc>
          <w:tcPr>
            <w:tcW w:w="1588" w:type="dxa"/>
            <w:noWrap/>
          </w:tcPr>
          <w:p w14:paraId="2232FC01">
            <w:pPr>
              <w:spacing w:after="0" w:line="240" w:lineRule="auto"/>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Social Connection</w:t>
            </w:r>
          </w:p>
        </w:tc>
        <w:tc>
          <w:tcPr>
            <w:tcW w:w="1502" w:type="dxa"/>
            <w:noWrap/>
          </w:tcPr>
          <w:p w14:paraId="47712F22">
            <w:pPr>
              <w:spacing w:after="0" w:line="240" w:lineRule="auto"/>
              <w:jc w:val="center"/>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550</w:t>
            </w:r>
          </w:p>
        </w:tc>
        <w:tc>
          <w:tcPr>
            <w:tcW w:w="1502" w:type="dxa"/>
            <w:noWrap/>
          </w:tcPr>
          <w:p w14:paraId="5CD97880">
            <w:pPr>
              <w:spacing w:after="0" w:line="240" w:lineRule="auto"/>
              <w:jc w:val="center"/>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 xml:space="preserve">                                                 3,000 </w:t>
            </w:r>
          </w:p>
        </w:tc>
        <w:tc>
          <w:tcPr>
            <w:tcW w:w="1509" w:type="dxa"/>
            <w:noWrap/>
          </w:tcPr>
          <w:p w14:paraId="7FFD4687">
            <w:pPr>
              <w:spacing w:after="0" w:line="240" w:lineRule="auto"/>
              <w:jc w:val="center"/>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30%</w:t>
            </w:r>
          </w:p>
        </w:tc>
        <w:tc>
          <w:tcPr>
            <w:tcW w:w="2404" w:type="dxa"/>
            <w:noWrap/>
          </w:tcPr>
          <w:p w14:paraId="17C9904C">
            <w:pPr>
              <w:spacing w:after="0" w:line="240" w:lineRule="auto"/>
              <w:jc w:val="center"/>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 xml:space="preserve">                                               16,00,000 </w:t>
            </w:r>
          </w:p>
        </w:tc>
      </w:tr>
      <w:tr w14:paraId="290D6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1990" w:type="dxa"/>
          </w:tcPr>
          <w:p w14:paraId="255BAF42">
            <w:pPr>
              <w:spacing w:after="0" w:line="240" w:lineRule="auto"/>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Election Commission of India's SVEEP</w:t>
            </w:r>
          </w:p>
        </w:tc>
        <w:tc>
          <w:tcPr>
            <w:tcW w:w="1588" w:type="dxa"/>
            <w:noWrap/>
          </w:tcPr>
          <w:p w14:paraId="0D0DDA1D">
            <w:pPr>
              <w:spacing w:after="0" w:line="240" w:lineRule="auto"/>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Civic Engagement</w:t>
            </w:r>
          </w:p>
        </w:tc>
        <w:tc>
          <w:tcPr>
            <w:tcW w:w="1502" w:type="dxa"/>
            <w:noWrap/>
          </w:tcPr>
          <w:p w14:paraId="0CCD1B43">
            <w:pPr>
              <w:spacing w:after="0" w:line="240" w:lineRule="auto"/>
              <w:jc w:val="center"/>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500</w:t>
            </w:r>
          </w:p>
        </w:tc>
        <w:tc>
          <w:tcPr>
            <w:tcW w:w="1502" w:type="dxa"/>
            <w:noWrap/>
          </w:tcPr>
          <w:p w14:paraId="02089B29">
            <w:pPr>
              <w:spacing w:after="0" w:line="240" w:lineRule="auto"/>
              <w:jc w:val="center"/>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 xml:space="preserve">                                                 3,500 </w:t>
            </w:r>
          </w:p>
        </w:tc>
        <w:tc>
          <w:tcPr>
            <w:tcW w:w="1509" w:type="dxa"/>
            <w:noWrap/>
          </w:tcPr>
          <w:p w14:paraId="5A76DCF7">
            <w:pPr>
              <w:spacing w:after="0" w:line="240" w:lineRule="auto"/>
              <w:jc w:val="center"/>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30%</w:t>
            </w:r>
          </w:p>
        </w:tc>
        <w:tc>
          <w:tcPr>
            <w:tcW w:w="2404" w:type="dxa"/>
            <w:noWrap/>
          </w:tcPr>
          <w:p w14:paraId="5814CAED">
            <w:pPr>
              <w:spacing w:after="0" w:line="240" w:lineRule="auto"/>
              <w:jc w:val="center"/>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 xml:space="preserve">                                               20,00,000 </w:t>
            </w:r>
          </w:p>
        </w:tc>
      </w:tr>
      <w:tr w14:paraId="4B7BB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1990" w:type="dxa"/>
          </w:tcPr>
          <w:p w14:paraId="553FB940">
            <w:pPr>
              <w:spacing w:after="0" w:line="240" w:lineRule="auto"/>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Career Counseling Services</w:t>
            </w:r>
          </w:p>
        </w:tc>
        <w:tc>
          <w:tcPr>
            <w:tcW w:w="1588" w:type="dxa"/>
            <w:noWrap/>
          </w:tcPr>
          <w:p w14:paraId="77D5B138">
            <w:pPr>
              <w:spacing w:after="0" w:line="240" w:lineRule="auto"/>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Income</w:t>
            </w:r>
          </w:p>
        </w:tc>
        <w:tc>
          <w:tcPr>
            <w:tcW w:w="1502" w:type="dxa"/>
            <w:noWrap/>
          </w:tcPr>
          <w:p w14:paraId="78FDBEEA">
            <w:pPr>
              <w:spacing w:after="0" w:line="240" w:lineRule="auto"/>
              <w:jc w:val="center"/>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250</w:t>
            </w:r>
          </w:p>
        </w:tc>
        <w:tc>
          <w:tcPr>
            <w:tcW w:w="1502" w:type="dxa"/>
            <w:noWrap/>
          </w:tcPr>
          <w:p w14:paraId="05550A88">
            <w:pPr>
              <w:spacing w:after="0" w:line="240" w:lineRule="auto"/>
              <w:jc w:val="center"/>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 xml:space="preserve">                                                 3,500 </w:t>
            </w:r>
          </w:p>
        </w:tc>
        <w:tc>
          <w:tcPr>
            <w:tcW w:w="1509" w:type="dxa"/>
            <w:noWrap/>
          </w:tcPr>
          <w:p w14:paraId="249E1B9B">
            <w:pPr>
              <w:spacing w:after="0" w:line="240" w:lineRule="auto"/>
              <w:jc w:val="center"/>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25%</w:t>
            </w:r>
          </w:p>
        </w:tc>
        <w:tc>
          <w:tcPr>
            <w:tcW w:w="2404" w:type="dxa"/>
            <w:noWrap/>
          </w:tcPr>
          <w:p w14:paraId="5F9ECA68">
            <w:pPr>
              <w:spacing w:after="0" w:line="240" w:lineRule="auto"/>
              <w:jc w:val="center"/>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 xml:space="preserve">                                                 8,00,000 </w:t>
            </w:r>
          </w:p>
        </w:tc>
      </w:tr>
      <w:tr w14:paraId="63271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1990" w:type="dxa"/>
            <w:noWrap/>
          </w:tcPr>
          <w:p w14:paraId="7C951B7B">
            <w:pPr>
              <w:spacing w:after="0" w:line="240" w:lineRule="auto"/>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Pradhan Mantri Jan Dhan Yojana (PMJDY)</w:t>
            </w:r>
          </w:p>
        </w:tc>
        <w:tc>
          <w:tcPr>
            <w:tcW w:w="1588" w:type="dxa"/>
            <w:noWrap/>
          </w:tcPr>
          <w:p w14:paraId="37DB2654">
            <w:pPr>
              <w:spacing w:after="0" w:line="240" w:lineRule="auto"/>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Wealth</w:t>
            </w:r>
          </w:p>
        </w:tc>
        <w:tc>
          <w:tcPr>
            <w:tcW w:w="1502" w:type="dxa"/>
            <w:noWrap/>
          </w:tcPr>
          <w:p w14:paraId="3F7C5153">
            <w:pPr>
              <w:spacing w:after="0" w:line="240" w:lineRule="auto"/>
              <w:jc w:val="center"/>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500</w:t>
            </w:r>
          </w:p>
        </w:tc>
        <w:tc>
          <w:tcPr>
            <w:tcW w:w="1502" w:type="dxa"/>
            <w:noWrap/>
          </w:tcPr>
          <w:p w14:paraId="5D7D831F">
            <w:pPr>
              <w:spacing w:after="0" w:line="240" w:lineRule="auto"/>
              <w:jc w:val="center"/>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 xml:space="preserve">                                                 3,000 </w:t>
            </w:r>
          </w:p>
        </w:tc>
        <w:tc>
          <w:tcPr>
            <w:tcW w:w="1509" w:type="dxa"/>
            <w:noWrap/>
          </w:tcPr>
          <w:p w14:paraId="4C961975">
            <w:pPr>
              <w:spacing w:after="0" w:line="240" w:lineRule="auto"/>
              <w:jc w:val="center"/>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30%</w:t>
            </w:r>
          </w:p>
        </w:tc>
        <w:tc>
          <w:tcPr>
            <w:tcW w:w="2404" w:type="dxa"/>
            <w:noWrap/>
          </w:tcPr>
          <w:p w14:paraId="15ED9F79">
            <w:pPr>
              <w:spacing w:after="0" w:line="240" w:lineRule="auto"/>
              <w:jc w:val="center"/>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 xml:space="preserve">                                               15,00,000 </w:t>
            </w:r>
          </w:p>
        </w:tc>
      </w:tr>
      <w:tr w14:paraId="70D78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1990" w:type="dxa"/>
            <w:noWrap/>
          </w:tcPr>
          <w:p w14:paraId="3C9D0E1B">
            <w:pPr>
              <w:spacing w:after="0" w:line="240" w:lineRule="auto"/>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National Disaster Management Plan (NDMP)</w:t>
            </w:r>
          </w:p>
        </w:tc>
        <w:tc>
          <w:tcPr>
            <w:tcW w:w="1588" w:type="dxa"/>
            <w:noWrap/>
          </w:tcPr>
          <w:p w14:paraId="15CFF4C6">
            <w:pPr>
              <w:spacing w:after="0" w:line="240" w:lineRule="auto"/>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Risk</w:t>
            </w:r>
          </w:p>
        </w:tc>
        <w:tc>
          <w:tcPr>
            <w:tcW w:w="1502" w:type="dxa"/>
            <w:noWrap/>
          </w:tcPr>
          <w:p w14:paraId="4CDBE8DE">
            <w:pPr>
              <w:spacing w:after="0" w:line="240" w:lineRule="auto"/>
              <w:jc w:val="center"/>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550</w:t>
            </w:r>
          </w:p>
        </w:tc>
        <w:tc>
          <w:tcPr>
            <w:tcW w:w="1502" w:type="dxa"/>
            <w:noWrap/>
          </w:tcPr>
          <w:p w14:paraId="58513B3D">
            <w:pPr>
              <w:spacing w:after="0" w:line="240" w:lineRule="auto"/>
              <w:jc w:val="center"/>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 xml:space="preserve">                                                 2,500 </w:t>
            </w:r>
          </w:p>
        </w:tc>
        <w:tc>
          <w:tcPr>
            <w:tcW w:w="1509" w:type="dxa"/>
            <w:noWrap/>
          </w:tcPr>
          <w:p w14:paraId="241B2DF7">
            <w:pPr>
              <w:spacing w:after="0" w:line="240" w:lineRule="auto"/>
              <w:jc w:val="center"/>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45%</w:t>
            </w:r>
          </w:p>
        </w:tc>
        <w:tc>
          <w:tcPr>
            <w:tcW w:w="2404" w:type="dxa"/>
            <w:noWrap/>
          </w:tcPr>
          <w:p w14:paraId="2F5D0924">
            <w:pPr>
              <w:spacing w:after="0" w:line="240" w:lineRule="auto"/>
              <w:jc w:val="center"/>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 xml:space="preserve">                                               13,50,000 </w:t>
            </w:r>
          </w:p>
        </w:tc>
      </w:tr>
      <w:tr w14:paraId="51356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1990" w:type="dxa"/>
          </w:tcPr>
          <w:p w14:paraId="1A978C3F">
            <w:pPr>
              <w:spacing w:after="0" w:line="240" w:lineRule="auto"/>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Pradhan Mantri Awas Yojana (PMAY)</w:t>
            </w:r>
          </w:p>
        </w:tc>
        <w:tc>
          <w:tcPr>
            <w:tcW w:w="1588" w:type="dxa"/>
            <w:noWrap/>
          </w:tcPr>
          <w:p w14:paraId="75F7FE19">
            <w:pPr>
              <w:spacing w:after="0" w:line="240" w:lineRule="auto"/>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Housing</w:t>
            </w:r>
          </w:p>
        </w:tc>
        <w:tc>
          <w:tcPr>
            <w:tcW w:w="1502" w:type="dxa"/>
            <w:noWrap/>
          </w:tcPr>
          <w:p w14:paraId="5A5C95EA">
            <w:pPr>
              <w:spacing w:after="0" w:line="240" w:lineRule="auto"/>
              <w:jc w:val="center"/>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250</w:t>
            </w:r>
          </w:p>
        </w:tc>
        <w:tc>
          <w:tcPr>
            <w:tcW w:w="1502" w:type="dxa"/>
            <w:noWrap/>
          </w:tcPr>
          <w:p w14:paraId="643A2643">
            <w:pPr>
              <w:spacing w:after="0" w:line="240" w:lineRule="auto"/>
              <w:jc w:val="center"/>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 xml:space="preserve">                                                 2,500 </w:t>
            </w:r>
          </w:p>
        </w:tc>
        <w:tc>
          <w:tcPr>
            <w:tcW w:w="1509" w:type="dxa"/>
            <w:noWrap/>
          </w:tcPr>
          <w:p w14:paraId="032E0559">
            <w:pPr>
              <w:spacing w:after="0" w:line="240" w:lineRule="auto"/>
              <w:jc w:val="center"/>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20%</w:t>
            </w:r>
          </w:p>
        </w:tc>
        <w:tc>
          <w:tcPr>
            <w:tcW w:w="2404" w:type="dxa"/>
            <w:noWrap/>
          </w:tcPr>
          <w:p w14:paraId="62323072">
            <w:pPr>
              <w:spacing w:after="0" w:line="240" w:lineRule="auto"/>
              <w:jc w:val="center"/>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 xml:space="preserve">                                                 6,00,000 </w:t>
            </w:r>
          </w:p>
        </w:tc>
      </w:tr>
      <w:tr w14:paraId="037B7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1990" w:type="dxa"/>
            <w:noWrap/>
          </w:tcPr>
          <w:p w14:paraId="0E89FC82">
            <w:pPr>
              <w:spacing w:after="0" w:line="240" w:lineRule="auto"/>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Soil Health Management (SHM) scheme</w:t>
            </w:r>
          </w:p>
        </w:tc>
        <w:tc>
          <w:tcPr>
            <w:tcW w:w="1588" w:type="dxa"/>
            <w:noWrap/>
          </w:tcPr>
          <w:p w14:paraId="0068C6C0">
            <w:pPr>
              <w:spacing w:after="0" w:line="240" w:lineRule="auto"/>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Environmental Quality</w:t>
            </w:r>
          </w:p>
        </w:tc>
        <w:tc>
          <w:tcPr>
            <w:tcW w:w="1502" w:type="dxa"/>
            <w:noWrap/>
          </w:tcPr>
          <w:p w14:paraId="2B7DCC41">
            <w:pPr>
              <w:spacing w:after="0" w:line="240" w:lineRule="auto"/>
              <w:jc w:val="center"/>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600</w:t>
            </w:r>
          </w:p>
        </w:tc>
        <w:tc>
          <w:tcPr>
            <w:tcW w:w="1502" w:type="dxa"/>
            <w:noWrap/>
          </w:tcPr>
          <w:p w14:paraId="72072E7C">
            <w:pPr>
              <w:spacing w:after="0" w:line="240" w:lineRule="auto"/>
              <w:jc w:val="center"/>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 xml:space="preserve">                                                 2,500 </w:t>
            </w:r>
          </w:p>
        </w:tc>
        <w:tc>
          <w:tcPr>
            <w:tcW w:w="1509" w:type="dxa"/>
            <w:noWrap/>
          </w:tcPr>
          <w:p w14:paraId="7A233494">
            <w:pPr>
              <w:spacing w:after="0" w:line="240" w:lineRule="auto"/>
              <w:jc w:val="center"/>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30%</w:t>
            </w:r>
          </w:p>
        </w:tc>
        <w:tc>
          <w:tcPr>
            <w:tcW w:w="2404" w:type="dxa"/>
            <w:noWrap/>
          </w:tcPr>
          <w:p w14:paraId="7A8FA884">
            <w:pPr>
              <w:spacing w:after="0" w:line="240" w:lineRule="auto"/>
              <w:jc w:val="center"/>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 xml:space="preserve">                                               17,50,000 </w:t>
            </w:r>
          </w:p>
        </w:tc>
      </w:tr>
      <w:tr w14:paraId="69C84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1990" w:type="dxa"/>
            <w:noWrap/>
          </w:tcPr>
          <w:p w14:paraId="26E1A630">
            <w:pPr>
              <w:spacing w:after="0" w:line="240" w:lineRule="auto"/>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Samagra Shiksha Abhiyan</w:t>
            </w:r>
          </w:p>
        </w:tc>
        <w:tc>
          <w:tcPr>
            <w:tcW w:w="1588" w:type="dxa"/>
            <w:noWrap/>
          </w:tcPr>
          <w:p w14:paraId="1618AB43">
            <w:pPr>
              <w:spacing w:after="0" w:line="240" w:lineRule="auto"/>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Education</w:t>
            </w:r>
          </w:p>
        </w:tc>
        <w:tc>
          <w:tcPr>
            <w:tcW w:w="1502" w:type="dxa"/>
            <w:noWrap/>
          </w:tcPr>
          <w:p w14:paraId="3948CECD">
            <w:pPr>
              <w:spacing w:after="0" w:line="240" w:lineRule="auto"/>
              <w:jc w:val="center"/>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550</w:t>
            </w:r>
          </w:p>
        </w:tc>
        <w:tc>
          <w:tcPr>
            <w:tcW w:w="1502" w:type="dxa"/>
            <w:noWrap/>
          </w:tcPr>
          <w:p w14:paraId="6B9A86CF">
            <w:pPr>
              <w:spacing w:after="0" w:line="240" w:lineRule="auto"/>
              <w:jc w:val="center"/>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 xml:space="preserve">                                                 3,000 </w:t>
            </w:r>
          </w:p>
        </w:tc>
        <w:tc>
          <w:tcPr>
            <w:tcW w:w="1509" w:type="dxa"/>
            <w:noWrap/>
          </w:tcPr>
          <w:p w14:paraId="6E96C199">
            <w:pPr>
              <w:spacing w:after="0" w:line="240" w:lineRule="auto"/>
              <w:jc w:val="center"/>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35%</w:t>
            </w:r>
          </w:p>
        </w:tc>
        <w:tc>
          <w:tcPr>
            <w:tcW w:w="2404" w:type="dxa"/>
            <w:noWrap/>
          </w:tcPr>
          <w:p w14:paraId="3D7CB125">
            <w:pPr>
              <w:spacing w:after="0" w:line="240" w:lineRule="auto"/>
              <w:jc w:val="center"/>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 xml:space="preserve">                                               15,00,000 </w:t>
            </w:r>
          </w:p>
        </w:tc>
      </w:tr>
      <w:tr w14:paraId="0B5D2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1990" w:type="dxa"/>
            <w:noWrap/>
          </w:tcPr>
          <w:p w14:paraId="39F17918">
            <w:pPr>
              <w:spacing w:after="0" w:line="240" w:lineRule="auto"/>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Mahatma Gandhi National Rural Employment Guarantee Act (MGNREGA)</w:t>
            </w:r>
          </w:p>
        </w:tc>
        <w:tc>
          <w:tcPr>
            <w:tcW w:w="1588" w:type="dxa"/>
            <w:noWrap/>
          </w:tcPr>
          <w:p w14:paraId="78E269D4">
            <w:pPr>
              <w:spacing w:after="0" w:line="240" w:lineRule="auto"/>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Occupation</w:t>
            </w:r>
          </w:p>
        </w:tc>
        <w:tc>
          <w:tcPr>
            <w:tcW w:w="1502" w:type="dxa"/>
            <w:noWrap/>
          </w:tcPr>
          <w:p w14:paraId="250BE21D">
            <w:pPr>
              <w:spacing w:after="0" w:line="240" w:lineRule="auto"/>
              <w:jc w:val="center"/>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500</w:t>
            </w:r>
          </w:p>
        </w:tc>
        <w:tc>
          <w:tcPr>
            <w:tcW w:w="1502" w:type="dxa"/>
            <w:noWrap/>
          </w:tcPr>
          <w:p w14:paraId="53DB988B">
            <w:pPr>
              <w:spacing w:after="0" w:line="240" w:lineRule="auto"/>
              <w:jc w:val="center"/>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 xml:space="preserve">                                                 2,500 </w:t>
            </w:r>
          </w:p>
        </w:tc>
        <w:tc>
          <w:tcPr>
            <w:tcW w:w="1509" w:type="dxa"/>
            <w:noWrap/>
          </w:tcPr>
          <w:p w14:paraId="034A9663">
            <w:pPr>
              <w:spacing w:after="0" w:line="240" w:lineRule="auto"/>
              <w:jc w:val="center"/>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25%</w:t>
            </w:r>
          </w:p>
        </w:tc>
        <w:tc>
          <w:tcPr>
            <w:tcW w:w="2404" w:type="dxa"/>
            <w:noWrap/>
          </w:tcPr>
          <w:p w14:paraId="1522B286">
            <w:pPr>
              <w:spacing w:after="0" w:line="240" w:lineRule="auto"/>
              <w:jc w:val="center"/>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 xml:space="preserve">                                               15,00,000 </w:t>
            </w:r>
          </w:p>
        </w:tc>
      </w:tr>
      <w:tr w14:paraId="313A4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1990" w:type="dxa"/>
            <w:noWrap/>
          </w:tcPr>
          <w:p w14:paraId="4D8F76B6">
            <w:pPr>
              <w:spacing w:after="0" w:line="240" w:lineRule="auto"/>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Skill India program</w:t>
            </w:r>
          </w:p>
        </w:tc>
        <w:tc>
          <w:tcPr>
            <w:tcW w:w="1588" w:type="dxa"/>
            <w:noWrap/>
          </w:tcPr>
          <w:p w14:paraId="29CA1F31">
            <w:pPr>
              <w:spacing w:after="0" w:line="240" w:lineRule="auto"/>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Skill</w:t>
            </w:r>
          </w:p>
        </w:tc>
        <w:tc>
          <w:tcPr>
            <w:tcW w:w="1502" w:type="dxa"/>
            <w:noWrap/>
          </w:tcPr>
          <w:p w14:paraId="179CB476">
            <w:pPr>
              <w:spacing w:after="0" w:line="240" w:lineRule="auto"/>
              <w:jc w:val="center"/>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500</w:t>
            </w:r>
          </w:p>
        </w:tc>
        <w:tc>
          <w:tcPr>
            <w:tcW w:w="1502" w:type="dxa"/>
            <w:noWrap/>
          </w:tcPr>
          <w:p w14:paraId="572534E6">
            <w:pPr>
              <w:spacing w:after="0" w:line="240" w:lineRule="auto"/>
              <w:jc w:val="center"/>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 xml:space="preserve">                                                 3,500 </w:t>
            </w:r>
          </w:p>
        </w:tc>
        <w:tc>
          <w:tcPr>
            <w:tcW w:w="1509" w:type="dxa"/>
            <w:noWrap/>
          </w:tcPr>
          <w:p w14:paraId="275C2F59">
            <w:pPr>
              <w:spacing w:after="0" w:line="240" w:lineRule="auto"/>
              <w:jc w:val="center"/>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30%</w:t>
            </w:r>
          </w:p>
        </w:tc>
        <w:tc>
          <w:tcPr>
            <w:tcW w:w="2404" w:type="dxa"/>
            <w:noWrap/>
          </w:tcPr>
          <w:p w14:paraId="23771ED0">
            <w:pPr>
              <w:spacing w:after="0" w:line="240" w:lineRule="auto"/>
              <w:jc w:val="center"/>
              <w:rPr>
                <w:rFonts w:ascii="Times New Roman" w:hAnsi="Times New Roman" w:eastAsia="Times New Roman" w:cs="Times New Roman"/>
                <w:color w:val="000000"/>
                <w:kern w:val="0"/>
                <w:sz w:val="20"/>
                <w:szCs w:val="20"/>
                <w:lang w:eastAsia="en-IN"/>
              </w:rPr>
            </w:pPr>
            <w:r>
              <w:rPr>
                <w:rFonts w:ascii="Times New Roman" w:hAnsi="Times New Roman" w:eastAsia="Times New Roman" w:cs="Times New Roman"/>
                <w:color w:val="000000"/>
                <w:kern w:val="0"/>
                <w:sz w:val="20"/>
                <w:szCs w:val="20"/>
                <w:lang w:eastAsia="en-IN"/>
              </w:rPr>
              <w:t xml:space="preserve">                                               15,00,000 </w:t>
            </w:r>
          </w:p>
        </w:tc>
      </w:tr>
    </w:tbl>
    <w:p w14:paraId="0E12634E">
      <w:pPr>
        <w:jc w:val="both"/>
        <w:rPr>
          <w:rFonts w:ascii="Times New Roman" w:hAnsi="Times New Roman" w:cs="Times New Roman"/>
        </w:rPr>
      </w:pPr>
    </w:p>
    <w:p w14:paraId="26F4BFE9">
      <w:pPr>
        <w:spacing w:line="360" w:lineRule="auto"/>
        <w:jc w:val="both"/>
        <w:rPr>
          <w:rFonts w:ascii="Times New Roman" w:hAnsi="Times New Roman" w:cs="Times New Roman"/>
        </w:rPr>
      </w:pPr>
      <w:r>
        <w:rPr>
          <w:rFonts w:ascii="Times New Roman" w:hAnsi="Times New Roman" w:cs="Times New Roman"/>
        </w:rPr>
        <w:t>The values in Table 3 serve as input parameters for constructing the Linear Programming (LP) model. Each strategysuch as the Multi-Crop System (MCS) or the Rainwater Harvesting System (RWH)is linked to specific well-being domains (e.g., income, wealth, work-life balance, subjective well-being, housing, occupation, and environmental quality), with an assigned improvement factor. These improvement factors (e.g., 20% for income, 10% for wealth) quantify the expected gain in each domain if the strategy is implemented at full scale. In the LP formulation, these values act as coefficients in the objective function, allowing the model to maximize aggregate well-being while respecting budget, resource, and capacity constraints.</w:t>
      </w:r>
    </w:p>
    <w:p w14:paraId="07E97497">
      <w:pPr>
        <w:spacing w:line="360" w:lineRule="auto"/>
        <w:jc w:val="both"/>
        <w:rPr>
          <w:rFonts w:ascii="Times New Roman" w:hAnsi="Times New Roman" w:cs="Times New Roman"/>
        </w:rPr>
      </w:pPr>
      <w:r>
        <w:rPr>
          <w:rFonts w:ascii="Times New Roman" w:hAnsi="Times New Roman" w:cs="Times New Roman"/>
        </w:rPr>
        <w:t>Further we took the multi-crop system and rainwater harvesting system and their estimated percentage contributions across multiple domains of well-being(Table 4). This table is important in our study because it quantifies how specific livelihood interventions influence not just income but also wealth, housing, work–life balance, subjective well-being (SWB), occupation, and environmental quality. By assigning measurable improvement factors (such as 20% gain in income or work–life balance), it provides the parameters required for our optimization model, ensuring that the effects of each strategy can be systematically compared and allocated under resource constraints.Including MCS, where finger millet and mustard seed are chosen as multi-crops, highlights the potential of traditional and resilient crops to boost household income, diversify food security, and strengthen occupational opportunities. Similarly, RWH is incorporated because it directly improves agricultural productivity, environmental sustainability, and life satisfaction by reducing water stress and agricultural risk.</w:t>
      </w:r>
    </w:p>
    <w:p w14:paraId="09D43F77">
      <w:pPr>
        <w:jc w:val="both"/>
        <w:rPr>
          <w:rFonts w:ascii="Times New Roman" w:hAnsi="Times New Roman" w:cs="Times New Roman"/>
        </w:rPr>
      </w:pPr>
      <w:r>
        <w:rPr>
          <w:rFonts w:ascii="Times New Roman" w:hAnsi="Times New Roman" w:cs="Times New Roman"/>
        </w:rPr>
        <w:t>Table 4: Improvement factors of selected livelihood and sustainability strategies across different well-being domains, showing the estimated percentage contribution of each intervention</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05"/>
        <w:gridCol w:w="3005"/>
        <w:gridCol w:w="3006"/>
      </w:tblGrid>
      <w:tr w14:paraId="33EDA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5" w:type="dxa"/>
          </w:tcPr>
          <w:p w14:paraId="4DD6CB50">
            <w:pPr>
              <w:spacing w:after="0" w:line="240" w:lineRule="auto"/>
              <w:jc w:val="both"/>
              <w:rPr>
                <w:rFonts w:ascii="Times New Roman" w:hAnsi="Times New Roman" w:cs="Times New Roman"/>
                <w:b/>
                <w:bCs/>
                <w:sz w:val="20"/>
                <w:szCs w:val="20"/>
              </w:rPr>
            </w:pPr>
            <w:r>
              <w:rPr>
                <w:rFonts w:ascii="Times New Roman" w:hAnsi="Times New Roman" w:cs="Times New Roman"/>
                <w:b/>
                <w:bCs/>
                <w:sz w:val="20"/>
                <w:szCs w:val="20"/>
              </w:rPr>
              <w:t>Strategy name</w:t>
            </w:r>
          </w:p>
        </w:tc>
        <w:tc>
          <w:tcPr>
            <w:tcW w:w="3005" w:type="dxa"/>
          </w:tcPr>
          <w:p w14:paraId="6E781941">
            <w:pPr>
              <w:spacing w:after="0" w:line="240" w:lineRule="auto"/>
              <w:jc w:val="both"/>
              <w:rPr>
                <w:rFonts w:ascii="Times New Roman" w:hAnsi="Times New Roman" w:cs="Times New Roman"/>
                <w:b/>
                <w:bCs/>
                <w:sz w:val="20"/>
                <w:szCs w:val="20"/>
              </w:rPr>
            </w:pPr>
            <w:r>
              <w:rPr>
                <w:rFonts w:ascii="Times New Roman" w:hAnsi="Times New Roman" w:cs="Times New Roman"/>
                <w:b/>
                <w:bCs/>
                <w:sz w:val="20"/>
                <w:szCs w:val="20"/>
              </w:rPr>
              <w:t>Domain name</w:t>
            </w:r>
          </w:p>
        </w:tc>
        <w:tc>
          <w:tcPr>
            <w:tcW w:w="3006" w:type="dxa"/>
          </w:tcPr>
          <w:p w14:paraId="56A6A3B4">
            <w:pPr>
              <w:spacing w:after="0" w:line="240" w:lineRule="auto"/>
              <w:jc w:val="both"/>
              <w:rPr>
                <w:rFonts w:ascii="Times New Roman" w:hAnsi="Times New Roman" w:cs="Times New Roman"/>
                <w:b/>
                <w:bCs/>
                <w:sz w:val="20"/>
                <w:szCs w:val="20"/>
              </w:rPr>
            </w:pPr>
            <w:r>
              <w:rPr>
                <w:rFonts w:ascii="Times New Roman" w:hAnsi="Times New Roman" w:cs="Times New Roman"/>
                <w:b/>
                <w:bCs/>
                <w:sz w:val="20"/>
                <w:szCs w:val="20"/>
              </w:rPr>
              <w:t>Improvement factors</w:t>
            </w:r>
          </w:p>
        </w:tc>
      </w:tr>
      <w:tr w14:paraId="47658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5" w:type="dxa"/>
          </w:tcPr>
          <w:p w14:paraId="0982F26F">
            <w:pPr>
              <w:spacing w:after="0" w:line="240" w:lineRule="auto"/>
              <w:jc w:val="both"/>
              <w:rPr>
                <w:rFonts w:ascii="Times New Roman" w:hAnsi="Times New Roman" w:cs="Times New Roman"/>
                <w:sz w:val="20"/>
                <w:szCs w:val="20"/>
              </w:rPr>
            </w:pPr>
            <w:r>
              <w:rPr>
                <w:rFonts w:ascii="Times New Roman" w:hAnsi="Times New Roman" w:cs="Times New Roman"/>
                <w:sz w:val="20"/>
                <w:szCs w:val="20"/>
              </w:rPr>
              <w:t>Multi crop system</w:t>
            </w:r>
          </w:p>
        </w:tc>
        <w:tc>
          <w:tcPr>
            <w:tcW w:w="3005" w:type="dxa"/>
          </w:tcPr>
          <w:p w14:paraId="74D69375">
            <w:pPr>
              <w:spacing w:after="0" w:line="240" w:lineRule="auto"/>
              <w:jc w:val="both"/>
              <w:rPr>
                <w:rFonts w:ascii="Times New Roman" w:hAnsi="Times New Roman" w:cs="Times New Roman"/>
                <w:sz w:val="20"/>
                <w:szCs w:val="20"/>
              </w:rPr>
            </w:pPr>
            <w:r>
              <w:rPr>
                <w:rFonts w:ascii="Times New Roman" w:hAnsi="Times New Roman" w:cs="Times New Roman"/>
                <w:sz w:val="20"/>
                <w:szCs w:val="20"/>
              </w:rPr>
              <w:t>Income</w:t>
            </w:r>
          </w:p>
        </w:tc>
        <w:tc>
          <w:tcPr>
            <w:tcW w:w="3006" w:type="dxa"/>
          </w:tcPr>
          <w:p w14:paraId="2CCD2EE9">
            <w:pPr>
              <w:spacing w:after="0" w:line="240" w:lineRule="auto"/>
              <w:jc w:val="both"/>
              <w:rPr>
                <w:rFonts w:ascii="Times New Roman" w:hAnsi="Times New Roman" w:cs="Times New Roman"/>
                <w:sz w:val="20"/>
                <w:szCs w:val="20"/>
              </w:rPr>
            </w:pPr>
            <w:r>
              <w:rPr>
                <w:rFonts w:ascii="Times New Roman" w:hAnsi="Times New Roman" w:cs="Times New Roman"/>
                <w:sz w:val="20"/>
                <w:szCs w:val="20"/>
              </w:rPr>
              <w:t>20%</w:t>
            </w:r>
          </w:p>
        </w:tc>
      </w:tr>
      <w:tr w14:paraId="37335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5" w:type="dxa"/>
          </w:tcPr>
          <w:p w14:paraId="68A93A9D">
            <w:pPr>
              <w:spacing w:after="0" w:line="240" w:lineRule="auto"/>
              <w:jc w:val="both"/>
              <w:rPr>
                <w:rFonts w:ascii="Times New Roman" w:hAnsi="Times New Roman" w:cs="Times New Roman"/>
                <w:sz w:val="20"/>
                <w:szCs w:val="20"/>
              </w:rPr>
            </w:pPr>
            <w:r>
              <w:rPr>
                <w:rFonts w:ascii="Times New Roman" w:hAnsi="Times New Roman" w:cs="Times New Roman"/>
                <w:sz w:val="20"/>
                <w:szCs w:val="20"/>
              </w:rPr>
              <w:t>Multi crop system</w:t>
            </w:r>
          </w:p>
        </w:tc>
        <w:tc>
          <w:tcPr>
            <w:tcW w:w="3005" w:type="dxa"/>
          </w:tcPr>
          <w:p w14:paraId="58A80F92">
            <w:pPr>
              <w:spacing w:after="0" w:line="240" w:lineRule="auto"/>
              <w:jc w:val="both"/>
              <w:rPr>
                <w:rFonts w:ascii="Times New Roman" w:hAnsi="Times New Roman" w:cs="Times New Roman"/>
                <w:sz w:val="20"/>
                <w:szCs w:val="20"/>
              </w:rPr>
            </w:pPr>
            <w:r>
              <w:rPr>
                <w:rFonts w:ascii="Times New Roman" w:hAnsi="Times New Roman" w:cs="Times New Roman"/>
                <w:sz w:val="20"/>
                <w:szCs w:val="20"/>
              </w:rPr>
              <w:t>Wealth</w:t>
            </w:r>
          </w:p>
        </w:tc>
        <w:tc>
          <w:tcPr>
            <w:tcW w:w="3006" w:type="dxa"/>
          </w:tcPr>
          <w:p w14:paraId="58E2884F">
            <w:pPr>
              <w:spacing w:after="0" w:line="240" w:lineRule="auto"/>
              <w:jc w:val="both"/>
              <w:rPr>
                <w:rFonts w:ascii="Times New Roman" w:hAnsi="Times New Roman" w:cs="Times New Roman"/>
                <w:sz w:val="20"/>
                <w:szCs w:val="20"/>
              </w:rPr>
            </w:pPr>
            <w:r>
              <w:rPr>
                <w:rFonts w:ascii="Times New Roman" w:hAnsi="Times New Roman" w:cs="Times New Roman"/>
                <w:sz w:val="20"/>
                <w:szCs w:val="20"/>
              </w:rPr>
              <w:t>10%</w:t>
            </w:r>
          </w:p>
        </w:tc>
      </w:tr>
      <w:tr w14:paraId="1F369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5" w:type="dxa"/>
          </w:tcPr>
          <w:p w14:paraId="07B8806C">
            <w:pPr>
              <w:spacing w:after="0" w:line="240" w:lineRule="auto"/>
              <w:jc w:val="both"/>
              <w:rPr>
                <w:rFonts w:ascii="Times New Roman" w:hAnsi="Times New Roman" w:cs="Times New Roman"/>
                <w:sz w:val="20"/>
                <w:szCs w:val="20"/>
              </w:rPr>
            </w:pPr>
            <w:r>
              <w:rPr>
                <w:rFonts w:ascii="Times New Roman" w:hAnsi="Times New Roman" w:cs="Times New Roman"/>
                <w:sz w:val="20"/>
                <w:szCs w:val="20"/>
              </w:rPr>
              <w:t>Multi crop system</w:t>
            </w:r>
          </w:p>
        </w:tc>
        <w:tc>
          <w:tcPr>
            <w:tcW w:w="3005" w:type="dxa"/>
          </w:tcPr>
          <w:p w14:paraId="28546BED">
            <w:pPr>
              <w:spacing w:after="0" w:line="240" w:lineRule="auto"/>
              <w:jc w:val="both"/>
              <w:rPr>
                <w:rFonts w:ascii="Times New Roman" w:hAnsi="Times New Roman" w:cs="Times New Roman"/>
                <w:sz w:val="20"/>
                <w:szCs w:val="20"/>
              </w:rPr>
            </w:pPr>
            <w:r>
              <w:rPr>
                <w:rFonts w:ascii="Times New Roman" w:hAnsi="Times New Roman" w:cs="Times New Roman"/>
                <w:sz w:val="20"/>
                <w:szCs w:val="20"/>
              </w:rPr>
              <w:t>Work Life Balance</w:t>
            </w:r>
          </w:p>
        </w:tc>
        <w:tc>
          <w:tcPr>
            <w:tcW w:w="3006" w:type="dxa"/>
          </w:tcPr>
          <w:p w14:paraId="41872BD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20%</w:t>
            </w:r>
          </w:p>
        </w:tc>
      </w:tr>
      <w:tr w14:paraId="75908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5" w:type="dxa"/>
          </w:tcPr>
          <w:p w14:paraId="38B86DB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Multi crop system</w:t>
            </w:r>
          </w:p>
        </w:tc>
        <w:tc>
          <w:tcPr>
            <w:tcW w:w="3005" w:type="dxa"/>
          </w:tcPr>
          <w:p w14:paraId="7BE1D533">
            <w:pPr>
              <w:spacing w:after="0" w:line="240" w:lineRule="auto"/>
              <w:jc w:val="both"/>
              <w:rPr>
                <w:rFonts w:ascii="Times New Roman" w:hAnsi="Times New Roman" w:cs="Times New Roman"/>
                <w:sz w:val="20"/>
                <w:szCs w:val="20"/>
              </w:rPr>
            </w:pPr>
            <w:r>
              <w:rPr>
                <w:rFonts w:ascii="Times New Roman" w:hAnsi="Times New Roman" w:cs="Times New Roman"/>
                <w:sz w:val="20"/>
                <w:szCs w:val="20"/>
              </w:rPr>
              <w:t>SWB</w:t>
            </w:r>
          </w:p>
        </w:tc>
        <w:tc>
          <w:tcPr>
            <w:tcW w:w="3006" w:type="dxa"/>
          </w:tcPr>
          <w:p w14:paraId="18DF3D92">
            <w:pPr>
              <w:spacing w:after="0" w:line="240" w:lineRule="auto"/>
              <w:jc w:val="both"/>
              <w:rPr>
                <w:rFonts w:ascii="Times New Roman" w:hAnsi="Times New Roman" w:cs="Times New Roman"/>
                <w:sz w:val="20"/>
                <w:szCs w:val="20"/>
              </w:rPr>
            </w:pPr>
            <w:r>
              <w:rPr>
                <w:rFonts w:ascii="Times New Roman" w:hAnsi="Times New Roman" w:cs="Times New Roman"/>
                <w:sz w:val="20"/>
                <w:szCs w:val="20"/>
              </w:rPr>
              <w:t>20%</w:t>
            </w:r>
          </w:p>
        </w:tc>
      </w:tr>
      <w:tr w14:paraId="3BB4F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5" w:type="dxa"/>
          </w:tcPr>
          <w:p w14:paraId="07F94D8A">
            <w:pPr>
              <w:spacing w:after="0" w:line="240" w:lineRule="auto"/>
              <w:jc w:val="both"/>
              <w:rPr>
                <w:rFonts w:ascii="Times New Roman" w:hAnsi="Times New Roman" w:cs="Times New Roman"/>
                <w:sz w:val="20"/>
                <w:szCs w:val="20"/>
              </w:rPr>
            </w:pPr>
            <w:r>
              <w:rPr>
                <w:rFonts w:ascii="Times New Roman" w:hAnsi="Times New Roman" w:cs="Times New Roman"/>
                <w:sz w:val="20"/>
                <w:szCs w:val="20"/>
              </w:rPr>
              <w:t>Multi crop system</w:t>
            </w:r>
          </w:p>
        </w:tc>
        <w:tc>
          <w:tcPr>
            <w:tcW w:w="3005" w:type="dxa"/>
          </w:tcPr>
          <w:p w14:paraId="1677056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Housing</w:t>
            </w:r>
          </w:p>
        </w:tc>
        <w:tc>
          <w:tcPr>
            <w:tcW w:w="3006" w:type="dxa"/>
          </w:tcPr>
          <w:p w14:paraId="61596532">
            <w:pPr>
              <w:spacing w:after="0" w:line="240" w:lineRule="auto"/>
              <w:jc w:val="both"/>
              <w:rPr>
                <w:rFonts w:ascii="Times New Roman" w:hAnsi="Times New Roman" w:cs="Times New Roman"/>
                <w:sz w:val="20"/>
                <w:szCs w:val="20"/>
              </w:rPr>
            </w:pPr>
            <w:r>
              <w:rPr>
                <w:rFonts w:ascii="Times New Roman" w:hAnsi="Times New Roman" w:cs="Times New Roman"/>
                <w:sz w:val="20"/>
                <w:szCs w:val="20"/>
              </w:rPr>
              <w:t>20%</w:t>
            </w:r>
          </w:p>
        </w:tc>
      </w:tr>
      <w:tr w14:paraId="02C76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5" w:type="dxa"/>
          </w:tcPr>
          <w:p w14:paraId="053EDBD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Multi crop system</w:t>
            </w:r>
          </w:p>
        </w:tc>
        <w:tc>
          <w:tcPr>
            <w:tcW w:w="3005" w:type="dxa"/>
          </w:tcPr>
          <w:p w14:paraId="7CF4DF6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Occupation</w:t>
            </w:r>
          </w:p>
        </w:tc>
        <w:tc>
          <w:tcPr>
            <w:tcW w:w="3006" w:type="dxa"/>
          </w:tcPr>
          <w:p w14:paraId="2A8032C9">
            <w:pPr>
              <w:spacing w:after="0" w:line="240" w:lineRule="auto"/>
              <w:jc w:val="both"/>
              <w:rPr>
                <w:rFonts w:ascii="Times New Roman" w:hAnsi="Times New Roman" w:cs="Times New Roman"/>
                <w:sz w:val="20"/>
                <w:szCs w:val="20"/>
              </w:rPr>
            </w:pPr>
            <w:r>
              <w:rPr>
                <w:rFonts w:ascii="Times New Roman" w:hAnsi="Times New Roman" w:cs="Times New Roman"/>
                <w:sz w:val="20"/>
                <w:szCs w:val="20"/>
              </w:rPr>
              <w:t>20%</w:t>
            </w:r>
          </w:p>
        </w:tc>
      </w:tr>
      <w:tr w14:paraId="2A49F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5" w:type="dxa"/>
          </w:tcPr>
          <w:p w14:paraId="77B7FFA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Rainwater Harvesting System (RWH)</w:t>
            </w:r>
          </w:p>
        </w:tc>
        <w:tc>
          <w:tcPr>
            <w:tcW w:w="3005" w:type="dxa"/>
          </w:tcPr>
          <w:p w14:paraId="69469AC4">
            <w:pPr>
              <w:spacing w:after="0" w:line="240" w:lineRule="auto"/>
              <w:jc w:val="both"/>
              <w:rPr>
                <w:rFonts w:ascii="Times New Roman" w:hAnsi="Times New Roman" w:cs="Times New Roman"/>
                <w:sz w:val="20"/>
                <w:szCs w:val="20"/>
              </w:rPr>
            </w:pPr>
            <w:r>
              <w:rPr>
                <w:rFonts w:ascii="Times New Roman" w:hAnsi="Times New Roman" w:cs="Times New Roman"/>
                <w:sz w:val="20"/>
                <w:szCs w:val="20"/>
              </w:rPr>
              <w:t>Income</w:t>
            </w:r>
          </w:p>
        </w:tc>
        <w:tc>
          <w:tcPr>
            <w:tcW w:w="3006" w:type="dxa"/>
          </w:tcPr>
          <w:p w14:paraId="308CEBAA">
            <w:pPr>
              <w:spacing w:after="0" w:line="240" w:lineRule="auto"/>
              <w:jc w:val="both"/>
              <w:rPr>
                <w:rFonts w:ascii="Times New Roman" w:hAnsi="Times New Roman" w:cs="Times New Roman"/>
                <w:sz w:val="20"/>
                <w:szCs w:val="20"/>
              </w:rPr>
            </w:pPr>
            <w:r>
              <w:rPr>
                <w:rFonts w:ascii="Times New Roman" w:hAnsi="Times New Roman" w:cs="Times New Roman"/>
                <w:sz w:val="20"/>
                <w:szCs w:val="20"/>
              </w:rPr>
              <w:t>20%</w:t>
            </w:r>
          </w:p>
        </w:tc>
      </w:tr>
      <w:tr w14:paraId="7F929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5" w:type="dxa"/>
          </w:tcPr>
          <w:p w14:paraId="4DFAF8AA">
            <w:pPr>
              <w:spacing w:after="0" w:line="240" w:lineRule="auto"/>
              <w:jc w:val="both"/>
              <w:rPr>
                <w:rFonts w:ascii="Times New Roman" w:hAnsi="Times New Roman" w:cs="Times New Roman"/>
                <w:sz w:val="20"/>
                <w:szCs w:val="20"/>
              </w:rPr>
            </w:pPr>
            <w:r>
              <w:rPr>
                <w:rFonts w:ascii="Times New Roman" w:hAnsi="Times New Roman" w:cs="Times New Roman"/>
                <w:sz w:val="20"/>
                <w:szCs w:val="20"/>
              </w:rPr>
              <w:t>Rainwater Harvesting System (RWH)</w:t>
            </w:r>
          </w:p>
        </w:tc>
        <w:tc>
          <w:tcPr>
            <w:tcW w:w="3005" w:type="dxa"/>
          </w:tcPr>
          <w:p w14:paraId="48950E2C">
            <w:pPr>
              <w:spacing w:after="0" w:line="240" w:lineRule="auto"/>
              <w:jc w:val="both"/>
              <w:rPr>
                <w:rFonts w:ascii="Times New Roman" w:hAnsi="Times New Roman" w:cs="Times New Roman"/>
                <w:sz w:val="20"/>
                <w:szCs w:val="20"/>
              </w:rPr>
            </w:pPr>
            <w:r>
              <w:rPr>
                <w:rFonts w:ascii="Times New Roman" w:hAnsi="Times New Roman" w:cs="Times New Roman"/>
                <w:sz w:val="20"/>
                <w:szCs w:val="20"/>
              </w:rPr>
              <w:t>Environmental Quality</w:t>
            </w:r>
          </w:p>
        </w:tc>
        <w:tc>
          <w:tcPr>
            <w:tcW w:w="3006" w:type="dxa"/>
          </w:tcPr>
          <w:p w14:paraId="6BF19F97">
            <w:pPr>
              <w:spacing w:after="0" w:line="240" w:lineRule="auto"/>
              <w:jc w:val="both"/>
              <w:rPr>
                <w:rFonts w:ascii="Times New Roman" w:hAnsi="Times New Roman" w:cs="Times New Roman"/>
                <w:sz w:val="20"/>
                <w:szCs w:val="20"/>
              </w:rPr>
            </w:pPr>
            <w:r>
              <w:rPr>
                <w:rFonts w:ascii="Times New Roman" w:hAnsi="Times New Roman" w:cs="Times New Roman"/>
                <w:sz w:val="20"/>
                <w:szCs w:val="20"/>
              </w:rPr>
              <w:t>15%</w:t>
            </w:r>
          </w:p>
        </w:tc>
      </w:tr>
      <w:tr w14:paraId="3347F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5" w:type="dxa"/>
          </w:tcPr>
          <w:p w14:paraId="6866C597">
            <w:pPr>
              <w:spacing w:after="0" w:line="240" w:lineRule="auto"/>
              <w:jc w:val="both"/>
              <w:rPr>
                <w:rFonts w:ascii="Times New Roman" w:hAnsi="Times New Roman" w:cs="Times New Roman"/>
                <w:sz w:val="20"/>
                <w:szCs w:val="20"/>
              </w:rPr>
            </w:pPr>
            <w:r>
              <w:rPr>
                <w:rFonts w:ascii="Times New Roman" w:hAnsi="Times New Roman" w:cs="Times New Roman"/>
                <w:sz w:val="20"/>
                <w:szCs w:val="20"/>
              </w:rPr>
              <w:t>Rainwater Harvesting System (RWH)</w:t>
            </w:r>
          </w:p>
        </w:tc>
        <w:tc>
          <w:tcPr>
            <w:tcW w:w="3005" w:type="dxa"/>
          </w:tcPr>
          <w:p w14:paraId="51081C34">
            <w:pPr>
              <w:spacing w:after="0" w:line="240" w:lineRule="auto"/>
              <w:jc w:val="both"/>
              <w:rPr>
                <w:rFonts w:ascii="Times New Roman" w:hAnsi="Times New Roman" w:cs="Times New Roman"/>
                <w:sz w:val="20"/>
                <w:szCs w:val="20"/>
              </w:rPr>
            </w:pPr>
            <w:r>
              <w:rPr>
                <w:rFonts w:ascii="Times New Roman" w:hAnsi="Times New Roman" w:cs="Times New Roman"/>
                <w:sz w:val="20"/>
                <w:szCs w:val="20"/>
              </w:rPr>
              <w:t>Work Life Balance</w:t>
            </w:r>
          </w:p>
        </w:tc>
        <w:tc>
          <w:tcPr>
            <w:tcW w:w="3006" w:type="dxa"/>
          </w:tcPr>
          <w:p w14:paraId="2F0F58BF">
            <w:pPr>
              <w:spacing w:after="0" w:line="240" w:lineRule="auto"/>
              <w:jc w:val="both"/>
              <w:rPr>
                <w:rFonts w:ascii="Times New Roman" w:hAnsi="Times New Roman" w:cs="Times New Roman"/>
                <w:sz w:val="20"/>
                <w:szCs w:val="20"/>
              </w:rPr>
            </w:pPr>
            <w:r>
              <w:rPr>
                <w:rFonts w:ascii="Times New Roman" w:hAnsi="Times New Roman" w:cs="Times New Roman"/>
                <w:sz w:val="20"/>
                <w:szCs w:val="20"/>
              </w:rPr>
              <w:t>20%</w:t>
            </w:r>
          </w:p>
        </w:tc>
      </w:tr>
      <w:tr w14:paraId="57A2A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5" w:type="dxa"/>
          </w:tcPr>
          <w:p w14:paraId="29C32670">
            <w:pPr>
              <w:spacing w:after="0" w:line="240" w:lineRule="auto"/>
              <w:jc w:val="both"/>
              <w:rPr>
                <w:rFonts w:ascii="Times New Roman" w:hAnsi="Times New Roman" w:cs="Times New Roman"/>
                <w:sz w:val="20"/>
                <w:szCs w:val="20"/>
              </w:rPr>
            </w:pPr>
            <w:r>
              <w:rPr>
                <w:rFonts w:ascii="Times New Roman" w:hAnsi="Times New Roman" w:cs="Times New Roman"/>
                <w:sz w:val="20"/>
                <w:szCs w:val="20"/>
              </w:rPr>
              <w:t>Rainwater Harvesting System (RWH)</w:t>
            </w:r>
          </w:p>
        </w:tc>
        <w:tc>
          <w:tcPr>
            <w:tcW w:w="3005" w:type="dxa"/>
          </w:tcPr>
          <w:p w14:paraId="3E3A513C">
            <w:pPr>
              <w:spacing w:after="0" w:line="240" w:lineRule="auto"/>
              <w:jc w:val="both"/>
              <w:rPr>
                <w:rFonts w:ascii="Times New Roman" w:hAnsi="Times New Roman" w:cs="Times New Roman"/>
                <w:sz w:val="20"/>
                <w:szCs w:val="20"/>
              </w:rPr>
            </w:pPr>
            <w:r>
              <w:rPr>
                <w:rFonts w:ascii="Times New Roman" w:hAnsi="Times New Roman" w:cs="Times New Roman"/>
                <w:sz w:val="20"/>
                <w:szCs w:val="20"/>
              </w:rPr>
              <w:t>SWB</w:t>
            </w:r>
          </w:p>
        </w:tc>
        <w:tc>
          <w:tcPr>
            <w:tcW w:w="3006" w:type="dxa"/>
          </w:tcPr>
          <w:p w14:paraId="2C5D066D">
            <w:pPr>
              <w:spacing w:after="0" w:line="240" w:lineRule="auto"/>
              <w:jc w:val="both"/>
              <w:rPr>
                <w:rFonts w:ascii="Times New Roman" w:hAnsi="Times New Roman" w:cs="Times New Roman"/>
                <w:sz w:val="20"/>
                <w:szCs w:val="20"/>
              </w:rPr>
            </w:pPr>
            <w:r>
              <w:rPr>
                <w:rFonts w:ascii="Times New Roman" w:hAnsi="Times New Roman" w:cs="Times New Roman"/>
                <w:sz w:val="20"/>
                <w:szCs w:val="20"/>
              </w:rPr>
              <w:t>20%</w:t>
            </w:r>
          </w:p>
        </w:tc>
      </w:tr>
      <w:tr w14:paraId="1E552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5" w:type="dxa"/>
          </w:tcPr>
          <w:p w14:paraId="2F1A6902">
            <w:pPr>
              <w:spacing w:after="0" w:line="240" w:lineRule="auto"/>
              <w:jc w:val="both"/>
              <w:rPr>
                <w:rFonts w:ascii="Times New Roman" w:hAnsi="Times New Roman" w:cs="Times New Roman"/>
                <w:sz w:val="20"/>
                <w:szCs w:val="20"/>
              </w:rPr>
            </w:pPr>
            <w:r>
              <w:rPr>
                <w:rFonts w:ascii="Times New Roman" w:hAnsi="Times New Roman" w:cs="Times New Roman"/>
                <w:sz w:val="20"/>
                <w:szCs w:val="20"/>
              </w:rPr>
              <w:t>Rainwater Harvesting System (RWH)</w:t>
            </w:r>
          </w:p>
        </w:tc>
        <w:tc>
          <w:tcPr>
            <w:tcW w:w="3005" w:type="dxa"/>
          </w:tcPr>
          <w:p w14:paraId="0412D3B4">
            <w:pPr>
              <w:spacing w:after="0" w:line="240" w:lineRule="auto"/>
              <w:jc w:val="both"/>
              <w:rPr>
                <w:rFonts w:ascii="Times New Roman" w:hAnsi="Times New Roman" w:cs="Times New Roman"/>
                <w:sz w:val="20"/>
                <w:szCs w:val="20"/>
              </w:rPr>
            </w:pPr>
            <w:r>
              <w:rPr>
                <w:rFonts w:ascii="Times New Roman" w:hAnsi="Times New Roman" w:cs="Times New Roman"/>
                <w:sz w:val="20"/>
                <w:szCs w:val="20"/>
              </w:rPr>
              <w:t>Income</w:t>
            </w:r>
          </w:p>
        </w:tc>
        <w:tc>
          <w:tcPr>
            <w:tcW w:w="3006" w:type="dxa"/>
          </w:tcPr>
          <w:p w14:paraId="4717675F">
            <w:pPr>
              <w:spacing w:after="0" w:line="240" w:lineRule="auto"/>
              <w:jc w:val="both"/>
              <w:rPr>
                <w:rFonts w:ascii="Times New Roman" w:hAnsi="Times New Roman" w:cs="Times New Roman"/>
                <w:sz w:val="20"/>
                <w:szCs w:val="20"/>
              </w:rPr>
            </w:pPr>
            <w:r>
              <w:rPr>
                <w:rFonts w:ascii="Times New Roman" w:hAnsi="Times New Roman" w:cs="Times New Roman"/>
                <w:sz w:val="20"/>
                <w:szCs w:val="20"/>
              </w:rPr>
              <w:t>20%</w:t>
            </w:r>
          </w:p>
        </w:tc>
      </w:tr>
    </w:tbl>
    <w:p w14:paraId="462C87D9">
      <w:pPr>
        <w:jc w:val="both"/>
        <w:rPr>
          <w:rFonts w:ascii="Times New Roman" w:hAnsi="Times New Roman" w:cs="Times New Roman"/>
          <w:b/>
          <w:bCs/>
        </w:rPr>
      </w:pPr>
    </w:p>
    <w:p w14:paraId="5752950A">
      <w:pPr>
        <w:jc w:val="both"/>
        <w:rPr>
          <w:rFonts w:ascii="Times New Roman" w:hAnsi="Times New Roman" w:cs="Times New Roman"/>
          <w:b/>
          <w:bCs/>
        </w:rPr>
      </w:pPr>
      <w:r>
        <w:rPr>
          <w:rFonts w:ascii="Times New Roman" w:hAnsi="Times New Roman" w:cs="Times New Roman"/>
          <w:b/>
          <w:bCs/>
        </w:rPr>
        <w:t>3.1 Problem description and model formulation:</w:t>
      </w:r>
    </w:p>
    <w:p w14:paraId="2BA540BC">
      <w:pPr>
        <w:jc w:val="both"/>
        <w:rPr>
          <w:rFonts w:ascii="Times New Roman" w:hAnsi="Times New Roman" w:cs="Times New Roman"/>
          <w:b/>
          <w:bCs/>
        </w:rPr>
      </w:pPr>
      <w:r>
        <w:rPr>
          <w:rFonts w:ascii="Times New Roman" w:hAnsi="Times New Roman" w:cs="Times New Roman"/>
          <w:b/>
          <w:bCs/>
        </w:rPr>
        <w:t>Physical wellbeing</w:t>
      </w:r>
    </w:p>
    <w:p w14:paraId="13B347B9">
      <w:pPr>
        <w:jc w:val="both"/>
        <w:rPr>
          <w:rFonts w:ascii="Times New Roman" w:hAnsi="Times New Roman" w:cs="Times New Roman"/>
        </w:rPr>
      </w:pPr>
      <w:r>
        <w:rPr>
          <w:rFonts w:ascii="Times New Roman" w:hAnsi="Times New Roman" w:cs="Times New Roman"/>
          <w:i/>
          <w:iCs/>
        </w:rPr>
        <w:t>Objective</w:t>
      </w:r>
      <w:r>
        <w:rPr>
          <w:rFonts w:ascii="Times New Roman" w:hAnsi="Times New Roman" w:cs="Times New Roman"/>
          <w:b/>
          <w:bCs/>
        </w:rPr>
        <w:t xml:space="preserve">: </w:t>
      </w:r>
      <w:r>
        <w:rPr>
          <w:rFonts w:ascii="Times New Roman" w:hAnsi="Times New Roman" w:cs="Times New Roman"/>
        </w:rPr>
        <w:t>maximize Physical wellbeing (</w:t>
      </w:r>
      <w:bookmarkStart w:id="2" w:name="_Hlk208882603"/>
      <w:r>
        <w:rPr>
          <w:rFonts w:ascii="Times New Roman" w:hAnsi="Times New Roman" w:cs="Times New Roman"/>
        </w:rPr>
        <w:t>PWB</w:t>
      </w:r>
      <w:r>
        <w:rPr>
          <w:rFonts w:ascii="Times New Roman" w:hAnsi="Times New Roman" w:cs="Times New Roman"/>
          <w:i/>
          <w:iCs/>
          <w:vertAlign w:val="subscript"/>
        </w:rPr>
        <w:t>i</w:t>
      </w:r>
      <w:bookmarkEnd w:id="2"/>
      <w:r>
        <w:rPr>
          <w:rFonts w:ascii="Times New Roman" w:hAnsi="Times New Roman" w:cs="Times New Roman"/>
        </w:rPr>
        <w:t>)</w:t>
      </w:r>
    </w:p>
    <w:p w14:paraId="1B91A3E0">
      <w:pPr>
        <w:jc w:val="both"/>
        <w:rPr>
          <w:rFonts w:ascii="Times New Roman" w:hAnsi="Times New Roman" w:cs="Times New Roman"/>
        </w:rPr>
      </w:pPr>
      <w:r>
        <w:rPr>
          <w:rFonts w:ascii="Times New Roman" w:hAnsi="Times New Roman" w:cs="Times New Roman"/>
        </w:rPr>
        <w:t>HS</w:t>
      </w:r>
      <w:r>
        <w:rPr>
          <w:rFonts w:ascii="Times New Roman" w:hAnsi="Times New Roman" w:cs="Times New Roman"/>
          <w:i/>
          <w:iCs/>
          <w:vertAlign w:val="subscript"/>
        </w:rPr>
        <w:t>i</w:t>
      </w:r>
      <w:r>
        <w:rPr>
          <w:rFonts w:ascii="Times New Roman" w:hAnsi="Times New Roman" w:cs="Times New Roman"/>
        </w:rPr>
        <w:t>= health status of household/individual</w:t>
      </w:r>
      <w:r>
        <w:rPr>
          <w:rFonts w:ascii="Times New Roman" w:hAnsi="Times New Roman" w:cs="Times New Roman"/>
          <w:i/>
          <w:iCs/>
        </w:rPr>
        <w:t xml:space="preserve"> i</w:t>
      </w:r>
    </w:p>
    <w:p w14:paraId="66F252E2">
      <w:pPr>
        <w:jc w:val="both"/>
        <w:rPr>
          <w:rFonts w:ascii="Times New Roman" w:hAnsi="Times New Roman" w:cs="Times New Roman"/>
        </w:rPr>
      </w:pPr>
      <w:bookmarkStart w:id="3" w:name="_Hlk208432028"/>
      <w:r>
        <w:rPr>
          <w:rFonts w:ascii="Times New Roman" w:hAnsi="Times New Roman" w:cs="Times New Roman"/>
        </w:rPr>
        <w:t>DIET</w:t>
      </w:r>
      <w:r>
        <w:rPr>
          <w:rFonts w:ascii="Times New Roman" w:hAnsi="Times New Roman" w:cs="Times New Roman"/>
          <w:i/>
          <w:iCs/>
          <w:vertAlign w:val="subscript"/>
        </w:rPr>
        <w:t xml:space="preserve">i </w:t>
      </w:r>
      <w:r>
        <w:rPr>
          <w:rFonts w:ascii="Times New Roman" w:hAnsi="Times New Roman" w:cs="Times New Roman"/>
        </w:rPr>
        <w:t xml:space="preserve">= Diet/food intake per family/individual </w:t>
      </w:r>
      <w:r>
        <w:rPr>
          <w:rFonts w:ascii="Times New Roman" w:hAnsi="Times New Roman" w:cs="Times New Roman"/>
          <w:i/>
          <w:iCs/>
        </w:rPr>
        <w:t>i</w:t>
      </w:r>
    </w:p>
    <w:p w14:paraId="5B86E749">
      <w:pPr>
        <w:jc w:val="both"/>
        <w:rPr>
          <w:rFonts w:ascii="Times New Roman" w:hAnsi="Times New Roman" w:cs="Times New Roman"/>
        </w:rPr>
      </w:pPr>
      <w:r>
        <w:rPr>
          <w:rFonts w:ascii="Times New Roman" w:hAnsi="Times New Roman" w:cs="Times New Roman"/>
        </w:rPr>
        <w:t>CHILD NUT</w:t>
      </w:r>
      <w:r>
        <w:rPr>
          <w:rFonts w:ascii="Times New Roman" w:hAnsi="Times New Roman" w:cs="Times New Roman"/>
          <w:i/>
          <w:iCs/>
          <w:vertAlign w:val="subscript"/>
        </w:rPr>
        <w:t>i</w:t>
      </w:r>
      <w:r>
        <w:rPr>
          <w:rFonts w:ascii="Times New Roman" w:hAnsi="Times New Roman" w:cs="Times New Roman"/>
        </w:rPr>
        <w:t xml:space="preserve"> = Children’s nutrition indicator of per child in per household </w:t>
      </w:r>
      <w:r>
        <w:rPr>
          <w:rFonts w:ascii="Times New Roman" w:hAnsi="Times New Roman" w:cs="Times New Roman"/>
          <w:i/>
          <w:iCs/>
        </w:rPr>
        <w:t>i</w:t>
      </w:r>
      <w:r>
        <w:rPr>
          <w:rFonts w:ascii="Times New Roman" w:hAnsi="Times New Roman" w:cs="Times New Roman"/>
        </w:rPr>
        <w:t xml:space="preserve"> (e.g., % children with adequate weight-for-age)</w:t>
      </w:r>
    </w:p>
    <w:p w14:paraId="6C008ADC">
      <w:pPr>
        <w:jc w:val="both"/>
        <w:rPr>
          <w:rFonts w:ascii="Times New Roman" w:hAnsi="Times New Roman" w:cs="Times New Roman"/>
        </w:rPr>
      </w:pPr>
      <w:r>
        <w:rPr>
          <w:rFonts w:ascii="Times New Roman" w:hAnsi="Times New Roman" w:cs="Times New Roman"/>
        </w:rPr>
        <w:t>MAT_HOSP</w:t>
      </w:r>
      <w:r>
        <w:rPr>
          <w:rFonts w:ascii="Times New Roman" w:hAnsi="Times New Roman" w:cs="Times New Roman"/>
          <w:i/>
          <w:iCs/>
          <w:vertAlign w:val="subscript"/>
        </w:rPr>
        <w:t>i</w:t>
      </w:r>
      <w:r>
        <w:rPr>
          <w:rFonts w:ascii="Times New Roman" w:hAnsi="Times New Roman" w:cs="Times New Roman"/>
        </w:rPr>
        <w:t xml:space="preserve"> = Hospitalization for maternity/childbirth for unit </w:t>
      </w:r>
      <w:r>
        <w:rPr>
          <w:rFonts w:ascii="Times New Roman" w:hAnsi="Times New Roman" w:cs="Times New Roman"/>
          <w:i/>
          <w:iCs/>
        </w:rPr>
        <w:t>i</w:t>
      </w:r>
      <w:r>
        <w:rPr>
          <w:rFonts w:ascii="Times New Roman" w:hAnsi="Times New Roman" w:cs="Times New Roman"/>
        </w:rPr>
        <w:t xml:space="preserve"> (binary or count; lower is worse). (input)</w:t>
      </w:r>
    </w:p>
    <w:p w14:paraId="486B6D18">
      <w:pPr>
        <w:jc w:val="both"/>
        <w:rPr>
          <w:rFonts w:ascii="Times New Roman" w:hAnsi="Times New Roman" w:cs="Times New Roman"/>
        </w:rPr>
      </w:pPr>
      <w:r>
        <w:rPr>
          <w:rFonts w:ascii="Times New Roman" w:hAnsi="Times New Roman" w:cs="Times New Roman"/>
        </w:rPr>
        <w:t xml:space="preserve"> MORT</w:t>
      </w:r>
      <w:r>
        <w:rPr>
          <w:rFonts w:ascii="Times New Roman" w:hAnsi="Times New Roman" w:cs="Times New Roman"/>
          <w:i/>
          <w:iCs/>
          <w:vertAlign w:val="subscript"/>
        </w:rPr>
        <w:t>i</w:t>
      </w:r>
      <w:r>
        <w:rPr>
          <w:rFonts w:ascii="Times New Roman" w:hAnsi="Times New Roman" w:cs="Times New Roman"/>
        </w:rPr>
        <w:t xml:space="preserve"> = Mortality indicator for unit </w:t>
      </w:r>
      <w:r>
        <w:rPr>
          <w:rFonts w:ascii="Times New Roman" w:hAnsi="Times New Roman" w:cs="Times New Roman"/>
          <w:i/>
          <w:iCs/>
        </w:rPr>
        <w:t>i</w:t>
      </w:r>
      <w:r>
        <w:rPr>
          <w:rFonts w:ascii="Times New Roman" w:hAnsi="Times New Roman" w:cs="Times New Roman"/>
        </w:rPr>
        <w:t xml:space="preserve"> (infant/maternal; lower better).</w:t>
      </w:r>
    </w:p>
    <w:p w14:paraId="256F4EFF">
      <w:pPr>
        <w:jc w:val="both"/>
        <w:rPr>
          <w:rFonts w:ascii="Times New Roman" w:hAnsi="Times New Roman" w:cs="Times New Roman"/>
        </w:rPr>
      </w:pPr>
      <w:r>
        <w:rPr>
          <w:rFonts w:ascii="Times New Roman" w:hAnsi="Times New Roman" w:cs="Times New Roman"/>
        </w:rPr>
        <w:t>VACC</w:t>
      </w:r>
      <w:r>
        <w:rPr>
          <w:rFonts w:ascii="Times New Roman" w:hAnsi="Times New Roman" w:cs="Times New Roman"/>
          <w:i/>
          <w:iCs/>
          <w:vertAlign w:val="subscript"/>
        </w:rPr>
        <w:t>i</w:t>
      </w:r>
      <w:r>
        <w:rPr>
          <w:rFonts w:ascii="Times New Roman" w:hAnsi="Times New Roman" w:cs="Times New Roman"/>
        </w:rPr>
        <w:t>=  Govt. immunization/tikka coverage (fraction vaccinated).</w:t>
      </w:r>
    </w:p>
    <w:p w14:paraId="5C78860A">
      <w:pPr>
        <w:jc w:val="both"/>
        <w:rPr>
          <w:rFonts w:ascii="Times New Roman" w:hAnsi="Times New Roman" w:cs="Times New Roman"/>
        </w:rPr>
      </w:pPr>
      <w:r>
        <w:rPr>
          <w:rFonts w:ascii="Times New Roman" w:hAnsi="Times New Roman" w:cs="Times New Roman"/>
        </w:rPr>
        <w:t>FAM_HEALTH</w:t>
      </w:r>
      <w:r>
        <w:rPr>
          <w:rFonts w:ascii="Times New Roman" w:hAnsi="Times New Roman" w:cs="Times New Roman"/>
          <w:i/>
          <w:iCs/>
          <w:vertAlign w:val="subscript"/>
        </w:rPr>
        <w:t>i</w:t>
      </w:r>
      <w:r>
        <w:rPr>
          <w:rFonts w:ascii="Times New Roman" w:hAnsi="Times New Roman" w:cs="Times New Roman"/>
        </w:rPr>
        <w:t xml:space="preserve"> = Overall family health (self-reported scale 1–5 in Likert for household </w:t>
      </w:r>
      <w:r>
        <w:rPr>
          <w:rFonts w:ascii="Times New Roman" w:hAnsi="Times New Roman" w:cs="Times New Roman"/>
          <w:i/>
          <w:iCs/>
        </w:rPr>
        <w:t>i</w:t>
      </w:r>
      <w:r>
        <w:rPr>
          <w:rFonts w:ascii="Times New Roman" w:hAnsi="Times New Roman" w:cs="Times New Roman"/>
        </w:rPr>
        <w:t>)</w:t>
      </w:r>
    </w:p>
    <w:p w14:paraId="36415F22">
      <w:pPr>
        <w:jc w:val="both"/>
        <w:rPr>
          <w:rFonts w:ascii="Times New Roman" w:hAnsi="Times New Roman" w:cs="Times New Roman"/>
        </w:rPr>
      </w:pPr>
      <w:r>
        <w:rPr>
          <w:rFonts w:ascii="Times New Roman" w:hAnsi="Times New Roman" w:cs="Times New Roman"/>
        </w:rPr>
        <w:t>AMBUL</w:t>
      </w:r>
      <w:r>
        <w:rPr>
          <w:rFonts w:ascii="Times New Roman" w:hAnsi="Times New Roman" w:cs="Times New Roman"/>
          <w:i/>
          <w:iCs/>
          <w:vertAlign w:val="subscript"/>
        </w:rPr>
        <w:t>i</w:t>
      </w:r>
      <w:r>
        <w:rPr>
          <w:rFonts w:ascii="Times New Roman" w:hAnsi="Times New Roman" w:cs="Times New Roman"/>
        </w:rPr>
        <w:t xml:space="preserve">= Ambulance/emergency service access  for unit </w:t>
      </w:r>
      <w:r>
        <w:rPr>
          <w:rFonts w:ascii="Times New Roman" w:hAnsi="Times New Roman" w:cs="Times New Roman"/>
          <w:i/>
          <w:iCs/>
        </w:rPr>
        <w:t>i</w:t>
      </w:r>
    </w:p>
    <w:p w14:paraId="1AE7C43B">
      <w:pPr>
        <w:jc w:val="both"/>
        <w:rPr>
          <w:rFonts w:ascii="Times New Roman" w:hAnsi="Times New Roman" w:cs="Times New Roman"/>
        </w:rPr>
      </w:pPr>
      <w:r>
        <w:rPr>
          <w:rFonts w:ascii="Times New Roman" w:hAnsi="Times New Roman" w:cs="Times New Roman"/>
        </w:rPr>
        <w:t>PHC_DIST</w:t>
      </w:r>
      <w:r>
        <w:rPr>
          <w:rFonts w:ascii="Times New Roman" w:hAnsi="Times New Roman" w:cs="Times New Roman"/>
          <w:i/>
          <w:iCs/>
          <w:vertAlign w:val="subscript"/>
        </w:rPr>
        <w:t xml:space="preserve">i </w:t>
      </w:r>
      <w:r>
        <w:rPr>
          <w:rFonts w:ascii="Times New Roman" w:hAnsi="Times New Roman" w:cs="Times New Roman"/>
        </w:rPr>
        <w:t xml:space="preserve"> =  Distance/time to primary health care facility for unit </w:t>
      </w:r>
      <w:r>
        <w:rPr>
          <w:rFonts w:ascii="Times New Roman" w:hAnsi="Times New Roman" w:cs="Times New Roman"/>
          <w:i/>
          <w:iCs/>
        </w:rPr>
        <w:t>i.</w:t>
      </w:r>
    </w:p>
    <w:p w14:paraId="2F79D689">
      <w:pPr>
        <w:jc w:val="both"/>
        <w:rPr>
          <w:rFonts w:ascii="Times New Roman" w:hAnsi="Times New Roman" w:cs="Times New Roman"/>
        </w:rPr>
      </w:pPr>
      <w:r>
        <w:rPr>
          <w:rFonts w:ascii="Times New Roman" w:hAnsi="Times New Roman" w:cs="Times New Roman"/>
        </w:rPr>
        <w:t>HC_CLEAN</w:t>
      </w:r>
      <w:r>
        <w:rPr>
          <w:rFonts w:ascii="Times New Roman" w:hAnsi="Times New Roman" w:cs="Times New Roman"/>
          <w:i/>
          <w:iCs/>
          <w:vertAlign w:val="subscript"/>
        </w:rPr>
        <w:t>i</w:t>
      </w:r>
      <w:r>
        <w:rPr>
          <w:rFonts w:ascii="Times New Roman" w:hAnsi="Times New Roman" w:cs="Times New Roman"/>
        </w:rPr>
        <w:t xml:space="preserve"> = Cleanliness around health centres by unit </w:t>
      </w:r>
      <w:r>
        <w:rPr>
          <w:rFonts w:ascii="Times New Roman" w:hAnsi="Times New Roman" w:cs="Times New Roman"/>
          <w:i/>
          <w:iCs/>
        </w:rPr>
        <w:t>i.</w:t>
      </w:r>
    </w:p>
    <w:p w14:paraId="246A451F">
      <w:pPr>
        <w:jc w:val="both"/>
        <w:rPr>
          <w:rFonts w:ascii="Times New Roman" w:hAnsi="Times New Roman" w:cs="Times New Roman"/>
          <w:b/>
          <w:bCs/>
        </w:rPr>
      </w:pPr>
      <w:r>
        <w:rPr>
          <w:rFonts w:ascii="Times New Roman" w:hAnsi="Times New Roman" w:cs="Times New Roman"/>
          <w:b/>
          <w:bCs/>
        </w:rPr>
        <w:t>Social Wellbeing</w:t>
      </w:r>
    </w:p>
    <w:p w14:paraId="25DE9018">
      <w:pPr>
        <w:jc w:val="both"/>
        <w:rPr>
          <w:rFonts w:ascii="Times New Roman" w:hAnsi="Times New Roman" w:cs="Times New Roman"/>
        </w:rPr>
      </w:pPr>
      <w:r>
        <w:rPr>
          <w:rFonts w:ascii="Times New Roman" w:hAnsi="Times New Roman" w:cs="Times New Roman"/>
          <w:i/>
          <w:iCs/>
        </w:rPr>
        <w:t>Objective</w:t>
      </w:r>
      <w:r>
        <w:rPr>
          <w:rFonts w:ascii="Times New Roman" w:hAnsi="Times New Roman" w:cs="Times New Roman"/>
        </w:rPr>
        <w:t>: Maximize Social Wellbeing(</w:t>
      </w:r>
      <w:bookmarkStart w:id="4" w:name="_Hlk208882652"/>
      <w:r>
        <w:rPr>
          <w:rFonts w:ascii="Times New Roman" w:hAnsi="Times New Roman" w:cs="Times New Roman"/>
        </w:rPr>
        <w:t>SoWBi</w:t>
      </w:r>
      <w:bookmarkEnd w:id="4"/>
      <w:r>
        <w:rPr>
          <w:rFonts w:ascii="Times New Roman" w:hAnsi="Times New Roman" w:cs="Times New Roman"/>
        </w:rPr>
        <w:t>)</w:t>
      </w:r>
    </w:p>
    <w:p w14:paraId="042F2C6F">
      <w:pPr>
        <w:jc w:val="both"/>
        <w:rPr>
          <w:rFonts w:ascii="Times New Roman" w:hAnsi="Times New Roman" w:cs="Times New Roman"/>
        </w:rPr>
      </w:pPr>
      <w:r>
        <w:rPr>
          <w:rFonts w:ascii="Times New Roman" w:hAnsi="Times New Roman" w:cs="Times New Roman"/>
        </w:rPr>
        <w:t>SC</w:t>
      </w:r>
      <w:r>
        <w:rPr>
          <w:rFonts w:ascii="Times New Roman" w:hAnsi="Times New Roman" w:cs="Times New Roman"/>
          <w:i/>
          <w:iCs/>
          <w:vertAlign w:val="subscript"/>
        </w:rPr>
        <w:t>i</w:t>
      </w:r>
      <w:r>
        <w:rPr>
          <w:rFonts w:ascii="Times New Roman" w:hAnsi="Times New Roman" w:cs="Times New Roman"/>
        </w:rPr>
        <w:t xml:space="preserve"> =  Social connection of individual</w:t>
      </w:r>
      <w:r>
        <w:rPr>
          <w:rFonts w:ascii="Times New Roman" w:hAnsi="Times New Roman" w:cs="Times New Roman"/>
          <w:i/>
          <w:iCs/>
        </w:rPr>
        <w:t xml:space="preserve"> i</w:t>
      </w:r>
    </w:p>
    <w:p w14:paraId="10470ECC">
      <w:pPr>
        <w:jc w:val="both"/>
        <w:rPr>
          <w:rFonts w:ascii="Times New Roman" w:hAnsi="Times New Roman" w:cs="Times New Roman"/>
        </w:rPr>
      </w:pPr>
      <w:r>
        <w:rPr>
          <w:rFonts w:ascii="Times New Roman" w:hAnsi="Times New Roman" w:cs="Times New Roman"/>
        </w:rPr>
        <w:t>SUP_REL</w:t>
      </w:r>
      <w:r>
        <w:rPr>
          <w:rFonts w:ascii="Times New Roman" w:hAnsi="Times New Roman" w:cs="Times New Roman"/>
          <w:i/>
          <w:iCs/>
          <w:vertAlign w:val="subscript"/>
        </w:rPr>
        <w:t>i</w:t>
      </w:r>
      <w:r>
        <w:rPr>
          <w:rFonts w:ascii="Times New Roman" w:hAnsi="Times New Roman" w:cs="Times New Roman"/>
        </w:rPr>
        <w:t xml:space="preserve">=  Supportive social relationships of an individual </w:t>
      </w:r>
      <w:r>
        <w:rPr>
          <w:rFonts w:ascii="Times New Roman" w:hAnsi="Times New Roman" w:cs="Times New Roman"/>
          <w:i/>
          <w:iCs/>
        </w:rPr>
        <w:t>i</w:t>
      </w:r>
      <w:r>
        <w:rPr>
          <w:rFonts w:ascii="Times New Roman" w:hAnsi="Times New Roman" w:cs="Times New Roman"/>
        </w:rPr>
        <w:t>(Likert 1–5 ).</w:t>
      </w:r>
    </w:p>
    <w:p w14:paraId="5271C833">
      <w:pPr>
        <w:jc w:val="both"/>
        <w:rPr>
          <w:rFonts w:ascii="Times New Roman" w:hAnsi="Times New Roman" w:cs="Times New Roman"/>
        </w:rPr>
      </w:pPr>
      <w:r>
        <w:rPr>
          <w:rFonts w:ascii="Times New Roman" w:hAnsi="Times New Roman" w:cs="Times New Roman"/>
        </w:rPr>
        <w:t>SOC_CONTR</w:t>
      </w:r>
      <w:r>
        <w:rPr>
          <w:rFonts w:ascii="Times New Roman" w:hAnsi="Times New Roman" w:cs="Times New Roman"/>
          <w:i/>
          <w:iCs/>
          <w:vertAlign w:val="subscript"/>
        </w:rPr>
        <w:t>i</w:t>
      </w:r>
      <w:r>
        <w:rPr>
          <w:rFonts w:ascii="Times New Roman" w:hAnsi="Times New Roman" w:cs="Times New Roman"/>
        </w:rPr>
        <w:t xml:space="preserve">= an individual </w:t>
      </w:r>
      <w:r>
        <w:rPr>
          <w:rFonts w:ascii="Times New Roman" w:hAnsi="Times New Roman" w:cs="Times New Roman"/>
          <w:i/>
          <w:iCs/>
        </w:rPr>
        <w:t>i</w:t>
      </w:r>
      <w:r>
        <w:rPr>
          <w:rFonts w:ascii="Times New Roman" w:hAnsi="Times New Roman" w:cs="Times New Roman"/>
        </w:rPr>
        <w:t xml:space="preserve"> contributes to the Happiness and Well-Being of Others</w:t>
      </w:r>
    </w:p>
    <w:p w14:paraId="6D783C0C">
      <w:pPr>
        <w:jc w:val="both"/>
        <w:rPr>
          <w:rFonts w:ascii="Times New Roman" w:hAnsi="Times New Roman" w:cs="Times New Roman"/>
        </w:rPr>
      </w:pPr>
      <w:r>
        <w:rPr>
          <w:rFonts w:ascii="Times New Roman" w:hAnsi="Times New Roman" w:cs="Times New Roman"/>
        </w:rPr>
        <w:t>RESPECT</w:t>
      </w:r>
      <w:r>
        <w:rPr>
          <w:rFonts w:ascii="Times New Roman" w:hAnsi="Times New Roman" w:cs="Times New Roman"/>
          <w:i/>
          <w:iCs/>
        </w:rPr>
        <w:t>i</w:t>
      </w:r>
      <w:r>
        <w:rPr>
          <w:rFonts w:ascii="Times New Roman" w:hAnsi="Times New Roman" w:cs="Times New Roman"/>
        </w:rPr>
        <w:t>=  Perceived respect from the community(</w:t>
      </w:r>
      <w:r>
        <w:rPr>
          <w:rFonts w:ascii="Times New Roman" w:hAnsi="Times New Roman" w:cs="Times New Roman"/>
          <w:i/>
          <w:iCs/>
        </w:rPr>
        <w:t>i</w:t>
      </w:r>
      <w:r>
        <w:rPr>
          <w:rFonts w:ascii="Times New Roman" w:hAnsi="Times New Roman" w:cs="Times New Roman"/>
        </w:rPr>
        <w:t>)</w:t>
      </w:r>
    </w:p>
    <w:p w14:paraId="20BCE73D">
      <w:pPr>
        <w:jc w:val="both"/>
        <w:rPr>
          <w:rFonts w:ascii="Times New Roman" w:hAnsi="Times New Roman" w:cs="Times New Roman"/>
        </w:rPr>
      </w:pPr>
      <w:r>
        <w:rPr>
          <w:rFonts w:ascii="Times New Roman" w:hAnsi="Times New Roman" w:cs="Times New Roman"/>
        </w:rPr>
        <w:t>CE</w:t>
      </w:r>
      <w:r>
        <w:rPr>
          <w:rFonts w:ascii="Times New Roman" w:hAnsi="Times New Roman" w:cs="Times New Roman"/>
          <w:i/>
          <w:iCs/>
        </w:rPr>
        <w:t>i</w:t>
      </w:r>
      <w:r>
        <w:rPr>
          <w:rFonts w:ascii="Times New Roman" w:hAnsi="Times New Roman" w:cs="Times New Roman"/>
        </w:rPr>
        <w:t>=  Civic Engagement in a Likert scale (1-5)of an individual</w:t>
      </w:r>
      <w:r>
        <w:rPr>
          <w:rFonts w:ascii="Times New Roman" w:hAnsi="Times New Roman" w:cs="Times New Roman"/>
          <w:i/>
          <w:iCs/>
        </w:rPr>
        <w:t xml:space="preserve"> i</w:t>
      </w:r>
    </w:p>
    <w:p w14:paraId="1E342751">
      <w:pPr>
        <w:jc w:val="both"/>
        <w:rPr>
          <w:rFonts w:ascii="Times New Roman" w:hAnsi="Times New Roman" w:cs="Times New Roman"/>
        </w:rPr>
      </w:pPr>
      <w:r>
        <w:rPr>
          <w:rFonts w:ascii="Times New Roman" w:hAnsi="Times New Roman" w:cs="Times New Roman"/>
        </w:rPr>
        <w:t>ELDER_CLUB_KNOW</w:t>
      </w:r>
      <w:r>
        <w:rPr>
          <w:rFonts w:ascii="Times New Roman" w:hAnsi="Times New Roman" w:cs="Times New Roman"/>
          <w:i/>
          <w:iCs/>
        </w:rPr>
        <w:t>i</w:t>
      </w:r>
      <w:r>
        <w:rPr>
          <w:rFonts w:ascii="Times New Roman" w:hAnsi="Times New Roman" w:cs="Times New Roman"/>
        </w:rPr>
        <w:t>=  Knowledge about the elderly club of an individual</w:t>
      </w:r>
      <w:r>
        <w:rPr>
          <w:rFonts w:ascii="Times New Roman" w:hAnsi="Times New Roman" w:cs="Times New Roman"/>
          <w:i/>
          <w:iCs/>
        </w:rPr>
        <w:t>i.</w:t>
      </w:r>
    </w:p>
    <w:p w14:paraId="3CD22F66">
      <w:pPr>
        <w:jc w:val="both"/>
        <w:rPr>
          <w:rFonts w:ascii="Times New Roman" w:hAnsi="Times New Roman" w:cs="Times New Roman"/>
        </w:rPr>
      </w:pPr>
      <w:r>
        <w:rPr>
          <w:rFonts w:ascii="Times New Roman" w:hAnsi="Times New Roman" w:cs="Times New Roman"/>
        </w:rPr>
        <w:t>PART_MEET</w:t>
      </w:r>
      <w:r>
        <w:rPr>
          <w:rFonts w:ascii="Times New Roman" w:hAnsi="Times New Roman" w:cs="Times New Roman"/>
          <w:i/>
          <w:iCs/>
        </w:rPr>
        <w:t>i</w:t>
      </w:r>
      <w:r>
        <w:rPr>
          <w:rFonts w:ascii="Times New Roman" w:hAnsi="Times New Roman" w:cs="Times New Roman"/>
        </w:rPr>
        <w:t xml:space="preserve"> =  Participation in social meetings of an individual</w:t>
      </w:r>
      <w:r>
        <w:rPr>
          <w:rFonts w:ascii="Times New Roman" w:hAnsi="Times New Roman" w:cs="Times New Roman"/>
          <w:i/>
          <w:iCs/>
        </w:rPr>
        <w:t xml:space="preserve"> i</w:t>
      </w:r>
      <w:r>
        <w:rPr>
          <w:rFonts w:ascii="Times New Roman" w:hAnsi="Times New Roman" w:cs="Times New Roman"/>
        </w:rPr>
        <w:t>.</w:t>
      </w:r>
    </w:p>
    <w:p w14:paraId="5F892156">
      <w:pPr>
        <w:jc w:val="both"/>
        <w:rPr>
          <w:rFonts w:ascii="Times New Roman" w:hAnsi="Times New Roman" w:cs="Times New Roman"/>
        </w:rPr>
      </w:pPr>
      <w:r>
        <w:rPr>
          <w:rFonts w:ascii="Times New Roman" w:hAnsi="Times New Roman" w:cs="Times New Roman"/>
        </w:rPr>
        <w:t>APP_REP</w:t>
      </w:r>
      <w:r>
        <w:rPr>
          <w:rFonts w:ascii="Times New Roman" w:hAnsi="Times New Roman" w:cs="Times New Roman"/>
          <w:i/>
          <w:iCs/>
        </w:rPr>
        <w:t>i</w:t>
      </w:r>
      <w:r>
        <w:rPr>
          <w:rFonts w:ascii="Times New Roman" w:hAnsi="Times New Roman" w:cs="Times New Roman"/>
        </w:rPr>
        <w:t>=Approaches to elected representatives of an individual</w:t>
      </w:r>
      <w:r>
        <w:rPr>
          <w:rFonts w:ascii="Times New Roman" w:hAnsi="Times New Roman" w:cs="Times New Roman"/>
          <w:i/>
          <w:iCs/>
        </w:rPr>
        <w:t xml:space="preserve"> i.</w:t>
      </w:r>
    </w:p>
    <w:p w14:paraId="47B99EB6">
      <w:pPr>
        <w:jc w:val="both"/>
        <w:rPr>
          <w:rFonts w:ascii="Times New Roman" w:hAnsi="Times New Roman" w:cs="Times New Roman"/>
        </w:rPr>
      </w:pPr>
      <w:r>
        <w:rPr>
          <w:rFonts w:ascii="Times New Roman" w:hAnsi="Times New Roman" w:cs="Times New Roman"/>
        </w:rPr>
        <w:t>VOTE_PART_F</w:t>
      </w:r>
      <w:r>
        <w:rPr>
          <w:rFonts w:ascii="Times New Roman" w:hAnsi="Times New Roman" w:cs="Times New Roman"/>
          <w:i/>
          <w:iCs/>
        </w:rPr>
        <w:t>i</w:t>
      </w:r>
      <w:r>
        <w:rPr>
          <w:rFonts w:ascii="Times New Roman" w:hAnsi="Times New Roman" w:cs="Times New Roman"/>
        </w:rPr>
        <w:t xml:space="preserve">= Female participation in the election of an individual </w:t>
      </w:r>
      <w:r>
        <w:rPr>
          <w:rFonts w:ascii="Times New Roman" w:hAnsi="Times New Roman" w:cs="Times New Roman"/>
          <w:i/>
          <w:iCs/>
        </w:rPr>
        <w:t>i</w:t>
      </w:r>
      <w:r>
        <w:rPr>
          <w:rFonts w:ascii="Times New Roman" w:hAnsi="Times New Roman" w:cs="Times New Roman"/>
        </w:rPr>
        <w:t>.</w:t>
      </w:r>
    </w:p>
    <w:p w14:paraId="49C6F8F5">
      <w:pPr>
        <w:jc w:val="both"/>
        <w:rPr>
          <w:rFonts w:ascii="Times New Roman" w:hAnsi="Times New Roman" w:cs="Times New Roman"/>
          <w:b/>
          <w:bCs/>
        </w:rPr>
      </w:pPr>
      <w:r>
        <w:rPr>
          <w:rFonts w:ascii="Times New Roman" w:hAnsi="Times New Roman" w:cs="Times New Roman"/>
          <w:b/>
          <w:bCs/>
        </w:rPr>
        <w:t>Economic Well-Being (EWB)</w:t>
      </w:r>
    </w:p>
    <w:p w14:paraId="2C1B716A">
      <w:pPr>
        <w:jc w:val="both"/>
        <w:rPr>
          <w:rFonts w:ascii="Times New Roman" w:hAnsi="Times New Roman" w:cs="Times New Roman"/>
        </w:rPr>
      </w:pPr>
      <w:r>
        <w:rPr>
          <w:rFonts w:ascii="Times New Roman" w:hAnsi="Times New Roman" w:cs="Times New Roman"/>
          <w:i/>
          <w:iCs/>
        </w:rPr>
        <w:t>Objective</w:t>
      </w:r>
      <w:r>
        <w:rPr>
          <w:rFonts w:ascii="Times New Roman" w:hAnsi="Times New Roman" w:cs="Times New Roman"/>
          <w:b/>
          <w:bCs/>
        </w:rPr>
        <w:t>:</w:t>
      </w:r>
      <w:r>
        <w:rPr>
          <w:rFonts w:ascii="Times New Roman" w:hAnsi="Times New Roman" w:cs="Times New Roman"/>
        </w:rPr>
        <w:t xml:space="preserve"> maximize EWB</w:t>
      </w:r>
      <w:r>
        <w:rPr>
          <w:rFonts w:ascii="Times New Roman" w:hAnsi="Times New Roman" w:cs="Times New Roman"/>
          <w:i/>
          <w:iCs/>
        </w:rPr>
        <w:t>i</w:t>
      </w:r>
    </w:p>
    <w:p w14:paraId="165D2204">
      <w:pPr>
        <w:jc w:val="both"/>
        <w:rPr>
          <w:rFonts w:ascii="Times New Roman" w:hAnsi="Times New Roman" w:cs="Times New Roman"/>
        </w:rPr>
      </w:pPr>
      <w:r>
        <w:rPr>
          <w:rFonts w:ascii="Times New Roman" w:hAnsi="Times New Roman" w:cs="Times New Roman"/>
        </w:rPr>
        <w:t>INC</w:t>
      </w:r>
      <w:r>
        <w:rPr>
          <w:rFonts w:ascii="Times New Roman" w:hAnsi="Times New Roman" w:cs="Times New Roman"/>
          <w:i/>
          <w:iCs/>
        </w:rPr>
        <w:t>i</w:t>
      </w:r>
      <w:r>
        <w:rPr>
          <w:rFonts w:ascii="Times New Roman" w:hAnsi="Times New Roman" w:cs="Times New Roman"/>
        </w:rPr>
        <w:t xml:space="preserve">= Total Income of individual </w:t>
      </w:r>
      <w:r>
        <w:rPr>
          <w:rFonts w:ascii="Times New Roman" w:hAnsi="Times New Roman" w:cs="Times New Roman"/>
          <w:i/>
          <w:iCs/>
        </w:rPr>
        <w:t>i</w:t>
      </w:r>
    </w:p>
    <w:p w14:paraId="18BAAA54">
      <w:pPr>
        <w:jc w:val="both"/>
        <w:rPr>
          <w:rFonts w:ascii="Times New Roman" w:hAnsi="Times New Roman" w:cs="Times New Roman"/>
        </w:rPr>
      </w:pPr>
      <w:r>
        <w:rPr>
          <w:rFonts w:ascii="Times New Roman" w:hAnsi="Times New Roman" w:cs="Times New Roman"/>
        </w:rPr>
        <w:t>WLT</w:t>
      </w:r>
      <w:r>
        <w:rPr>
          <w:rFonts w:ascii="Times New Roman" w:hAnsi="Times New Roman" w:cs="Times New Roman"/>
          <w:i/>
          <w:iCs/>
        </w:rPr>
        <w:t>i</w:t>
      </w:r>
      <w:r>
        <w:rPr>
          <w:rFonts w:ascii="Times New Roman" w:hAnsi="Times New Roman" w:cs="Times New Roman"/>
        </w:rPr>
        <w:t xml:space="preserve">= Wealth index  constructed from the assets of an individual </w:t>
      </w:r>
      <w:r>
        <w:rPr>
          <w:rFonts w:ascii="Times New Roman" w:hAnsi="Times New Roman" w:cs="Times New Roman"/>
          <w:i/>
          <w:iCs/>
        </w:rPr>
        <w:t>i</w:t>
      </w:r>
    </w:p>
    <w:p w14:paraId="27AF731B">
      <w:pPr>
        <w:jc w:val="both"/>
        <w:rPr>
          <w:rFonts w:ascii="Times New Roman" w:hAnsi="Times New Roman" w:cs="Times New Roman"/>
        </w:rPr>
      </w:pPr>
      <w:r>
        <w:rPr>
          <w:rFonts w:ascii="Times New Roman" w:hAnsi="Times New Roman" w:cs="Times New Roman"/>
        </w:rPr>
        <w:t>KGARD</w:t>
      </w:r>
      <w:r>
        <w:rPr>
          <w:rFonts w:ascii="Times New Roman" w:hAnsi="Times New Roman" w:cs="Times New Roman"/>
          <w:i/>
          <w:iCs/>
        </w:rPr>
        <w:t>i</w:t>
      </w:r>
      <w:r>
        <w:rPr>
          <w:rFonts w:ascii="Times New Roman" w:hAnsi="Times New Roman" w:cs="Times New Roman"/>
        </w:rPr>
        <w:t xml:space="preserve">=  Kitchen garden existence of an individual </w:t>
      </w:r>
      <w:r>
        <w:rPr>
          <w:rFonts w:ascii="Times New Roman" w:hAnsi="Times New Roman" w:cs="Times New Roman"/>
          <w:i/>
          <w:iCs/>
        </w:rPr>
        <w:t>i</w:t>
      </w:r>
    </w:p>
    <w:p w14:paraId="2E42E881">
      <w:pPr>
        <w:jc w:val="both"/>
        <w:rPr>
          <w:rFonts w:ascii="Times New Roman" w:hAnsi="Times New Roman" w:cs="Times New Roman"/>
        </w:rPr>
      </w:pPr>
      <w:r>
        <w:rPr>
          <w:rFonts w:ascii="Times New Roman" w:hAnsi="Times New Roman" w:cs="Times New Roman"/>
        </w:rPr>
        <w:t>OWN_LAND</w:t>
      </w:r>
      <w:r>
        <w:rPr>
          <w:rFonts w:ascii="Times New Roman" w:hAnsi="Times New Roman" w:cs="Times New Roman"/>
          <w:i/>
          <w:iCs/>
        </w:rPr>
        <w:t>i</w:t>
      </w:r>
      <w:r>
        <w:rPr>
          <w:rFonts w:ascii="Times New Roman" w:hAnsi="Times New Roman" w:cs="Times New Roman"/>
        </w:rPr>
        <w:t xml:space="preserve">=  Own agricultural land of an individual </w:t>
      </w:r>
      <w:r>
        <w:rPr>
          <w:rFonts w:ascii="Times New Roman" w:hAnsi="Times New Roman" w:cs="Times New Roman"/>
          <w:i/>
          <w:iCs/>
        </w:rPr>
        <w:t>i</w:t>
      </w:r>
    </w:p>
    <w:p w14:paraId="6DAF182D">
      <w:pPr>
        <w:jc w:val="both"/>
        <w:rPr>
          <w:rFonts w:ascii="Times New Roman" w:hAnsi="Times New Roman" w:cs="Times New Roman"/>
        </w:rPr>
      </w:pPr>
      <w:r>
        <w:rPr>
          <w:rFonts w:ascii="Times New Roman" w:hAnsi="Times New Roman" w:cs="Times New Roman"/>
        </w:rPr>
        <w:t>OWN_HOUSE</w:t>
      </w:r>
      <w:r>
        <w:rPr>
          <w:rFonts w:ascii="Times New Roman" w:hAnsi="Times New Roman" w:cs="Times New Roman"/>
          <w:i/>
          <w:iCs/>
        </w:rPr>
        <w:t>i</w:t>
      </w:r>
      <w:r>
        <w:rPr>
          <w:rFonts w:ascii="Times New Roman" w:hAnsi="Times New Roman" w:cs="Times New Roman"/>
        </w:rPr>
        <w:t xml:space="preserve">=Own house of individual </w:t>
      </w:r>
      <w:r>
        <w:rPr>
          <w:rFonts w:ascii="Times New Roman" w:hAnsi="Times New Roman" w:cs="Times New Roman"/>
          <w:i/>
          <w:iCs/>
        </w:rPr>
        <w:t>i.</w:t>
      </w:r>
    </w:p>
    <w:p w14:paraId="354FABBE">
      <w:pPr>
        <w:jc w:val="both"/>
        <w:rPr>
          <w:rFonts w:ascii="Times New Roman" w:hAnsi="Times New Roman" w:cs="Times New Roman"/>
        </w:rPr>
      </w:pPr>
      <w:r>
        <w:rPr>
          <w:rFonts w:ascii="Times New Roman" w:hAnsi="Times New Roman" w:cs="Times New Roman"/>
        </w:rPr>
        <w:t>MORTG</w:t>
      </w:r>
      <w:r>
        <w:rPr>
          <w:rFonts w:ascii="Times New Roman" w:hAnsi="Times New Roman" w:cs="Times New Roman"/>
          <w:i/>
          <w:iCs/>
        </w:rPr>
        <w:t>i</w:t>
      </w:r>
      <w:r>
        <w:rPr>
          <w:rFonts w:ascii="Times New Roman" w:hAnsi="Times New Roman" w:cs="Times New Roman"/>
        </w:rPr>
        <w:t xml:space="preserve"> = Mortgage presence.</w:t>
      </w:r>
    </w:p>
    <w:p w14:paraId="010B1C2D">
      <w:pPr>
        <w:jc w:val="both"/>
        <w:rPr>
          <w:rFonts w:ascii="Times New Roman" w:hAnsi="Times New Roman" w:cs="Times New Roman"/>
        </w:rPr>
      </w:pPr>
      <w:r>
        <w:rPr>
          <w:rFonts w:ascii="Times New Roman" w:hAnsi="Times New Roman" w:cs="Times New Roman"/>
        </w:rPr>
        <w:t>LIFESTYLE</w:t>
      </w:r>
      <w:r>
        <w:rPr>
          <w:rFonts w:ascii="Times New Roman" w:hAnsi="Times New Roman" w:cs="Times New Roman"/>
          <w:i/>
          <w:iCs/>
        </w:rPr>
        <w:t>i</w:t>
      </w:r>
      <w:r>
        <w:rPr>
          <w:rFonts w:ascii="Times New Roman" w:hAnsi="Times New Roman" w:cs="Times New Roman"/>
        </w:rPr>
        <w:t xml:space="preserve">= Self-reported lifestyle of an individual </w:t>
      </w:r>
      <w:r>
        <w:rPr>
          <w:rFonts w:ascii="Times New Roman" w:hAnsi="Times New Roman" w:cs="Times New Roman"/>
          <w:i/>
          <w:iCs/>
        </w:rPr>
        <w:t>i.</w:t>
      </w:r>
    </w:p>
    <w:p w14:paraId="4D70722D">
      <w:pPr>
        <w:jc w:val="both"/>
        <w:rPr>
          <w:rFonts w:ascii="Times New Roman" w:hAnsi="Times New Roman" w:cs="Times New Roman"/>
        </w:rPr>
      </w:pPr>
      <w:r>
        <w:rPr>
          <w:rFonts w:ascii="Times New Roman" w:hAnsi="Times New Roman" w:cs="Times New Roman"/>
        </w:rPr>
        <w:t>SAT_INC_Y</w:t>
      </w:r>
      <w:r>
        <w:rPr>
          <w:rFonts w:ascii="Times New Roman" w:hAnsi="Times New Roman" w:cs="Times New Roman"/>
          <w:i/>
          <w:iCs/>
        </w:rPr>
        <w:t>i</w:t>
      </w:r>
      <w:r>
        <w:rPr>
          <w:rFonts w:ascii="Times New Roman" w:hAnsi="Times New Roman" w:cs="Times New Roman"/>
        </w:rPr>
        <w:t xml:space="preserve">= Satisfaction with the yearly income of an individual </w:t>
      </w:r>
      <w:r>
        <w:rPr>
          <w:rFonts w:ascii="Times New Roman" w:hAnsi="Times New Roman" w:cs="Times New Roman"/>
          <w:i/>
          <w:iCs/>
        </w:rPr>
        <w:t>i.</w:t>
      </w:r>
    </w:p>
    <w:p w14:paraId="42ABD707">
      <w:pPr>
        <w:jc w:val="both"/>
        <w:rPr>
          <w:rFonts w:ascii="Times New Roman" w:hAnsi="Times New Roman" w:cs="Times New Roman"/>
        </w:rPr>
      </w:pPr>
      <w:r>
        <w:rPr>
          <w:rFonts w:ascii="Times New Roman" w:hAnsi="Times New Roman" w:cs="Times New Roman"/>
        </w:rPr>
        <w:t>WLB</w:t>
      </w:r>
      <w:r>
        <w:rPr>
          <w:rFonts w:ascii="Times New Roman" w:hAnsi="Times New Roman" w:cs="Times New Roman"/>
          <w:i/>
          <w:iCs/>
        </w:rPr>
        <w:t>i</w:t>
      </w:r>
      <w:r>
        <w:rPr>
          <w:rFonts w:ascii="Times New Roman" w:hAnsi="Times New Roman" w:cs="Times New Roman"/>
        </w:rPr>
        <w:t xml:space="preserve">=Work–Life Balanceof individual </w:t>
      </w:r>
      <w:r>
        <w:rPr>
          <w:rFonts w:ascii="Times New Roman" w:hAnsi="Times New Roman" w:cs="Times New Roman"/>
          <w:i/>
          <w:iCs/>
        </w:rPr>
        <w:t>i</w:t>
      </w:r>
    </w:p>
    <w:p w14:paraId="760D64A0">
      <w:pPr>
        <w:jc w:val="both"/>
        <w:rPr>
          <w:rFonts w:ascii="Times New Roman" w:hAnsi="Times New Roman" w:cs="Times New Roman"/>
        </w:rPr>
      </w:pPr>
      <w:r>
        <w:rPr>
          <w:rFonts w:ascii="Times New Roman" w:hAnsi="Times New Roman" w:cs="Times New Roman"/>
        </w:rPr>
        <w:t>FREE_ACT</w:t>
      </w:r>
      <w:r>
        <w:rPr>
          <w:rFonts w:ascii="Times New Roman" w:hAnsi="Times New Roman" w:cs="Times New Roman"/>
          <w:i/>
          <w:iCs/>
        </w:rPr>
        <w:t>i</w:t>
      </w:r>
      <w:r>
        <w:rPr>
          <w:rFonts w:ascii="Times New Roman" w:hAnsi="Times New Roman" w:cs="Times New Roman"/>
        </w:rPr>
        <w:t xml:space="preserve"> = Activities during an individual's i free time.</w:t>
      </w:r>
    </w:p>
    <w:p w14:paraId="362F714C">
      <w:pPr>
        <w:jc w:val="both"/>
        <w:rPr>
          <w:rFonts w:ascii="Times New Roman" w:hAnsi="Times New Roman" w:cs="Times New Roman"/>
        </w:rPr>
      </w:pPr>
      <w:r>
        <w:rPr>
          <w:rFonts w:ascii="Times New Roman" w:hAnsi="Times New Roman" w:cs="Times New Roman"/>
        </w:rPr>
        <w:t>LIFESTYLE_DESC</w:t>
      </w:r>
      <w:r>
        <w:rPr>
          <w:rFonts w:ascii="Times New Roman" w:hAnsi="Times New Roman" w:cs="Times New Roman"/>
          <w:i/>
          <w:iCs/>
        </w:rPr>
        <w:t>i</w:t>
      </w:r>
      <w:r>
        <w:rPr>
          <w:rFonts w:ascii="Times New Roman" w:hAnsi="Times New Roman" w:cs="Times New Roman"/>
        </w:rPr>
        <w:t xml:space="preserve"> =  lifestyle description of an individual</w:t>
      </w:r>
      <w:r>
        <w:rPr>
          <w:rFonts w:ascii="Times New Roman" w:hAnsi="Times New Roman" w:cs="Times New Roman"/>
          <w:i/>
          <w:iCs/>
        </w:rPr>
        <w:t xml:space="preserve"> i.</w:t>
      </w:r>
    </w:p>
    <w:p w14:paraId="0DF440BC">
      <w:pPr>
        <w:jc w:val="both"/>
        <w:rPr>
          <w:rFonts w:ascii="Times New Roman" w:hAnsi="Times New Roman" w:cs="Times New Roman"/>
        </w:rPr>
      </w:pPr>
      <w:r>
        <w:rPr>
          <w:rFonts w:ascii="Times New Roman" w:hAnsi="Times New Roman" w:cs="Times New Roman"/>
        </w:rPr>
        <w:t>SAT_STD_LIV</w:t>
      </w:r>
      <w:r>
        <w:rPr>
          <w:rFonts w:ascii="Times New Roman" w:hAnsi="Times New Roman" w:cs="Times New Roman"/>
          <w:i/>
          <w:iCs/>
        </w:rPr>
        <w:t>i</w:t>
      </w:r>
      <w:r>
        <w:rPr>
          <w:rFonts w:ascii="Times New Roman" w:hAnsi="Times New Roman" w:cs="Times New Roman"/>
        </w:rPr>
        <w:t xml:space="preserve"> =  Satisfaction with the standard of living of an individual </w:t>
      </w:r>
      <w:r>
        <w:rPr>
          <w:rFonts w:ascii="Times New Roman" w:hAnsi="Times New Roman" w:cs="Times New Roman"/>
          <w:i/>
          <w:iCs/>
        </w:rPr>
        <w:t>i.</w:t>
      </w:r>
    </w:p>
    <w:p w14:paraId="63FC3462">
      <w:pPr>
        <w:jc w:val="both"/>
        <w:rPr>
          <w:rFonts w:ascii="Times New Roman" w:hAnsi="Times New Roman" w:cs="Times New Roman"/>
        </w:rPr>
      </w:pPr>
      <w:r>
        <w:rPr>
          <w:rFonts w:ascii="Times New Roman" w:hAnsi="Times New Roman" w:cs="Times New Roman"/>
        </w:rPr>
        <w:t>SAT_YINC</w:t>
      </w:r>
      <w:r>
        <w:rPr>
          <w:rFonts w:ascii="Times New Roman" w:hAnsi="Times New Roman" w:cs="Times New Roman"/>
          <w:i/>
          <w:iCs/>
        </w:rPr>
        <w:t>i</w:t>
      </w:r>
      <w:r>
        <w:rPr>
          <w:rFonts w:ascii="Times New Roman" w:hAnsi="Times New Roman" w:cs="Times New Roman"/>
        </w:rPr>
        <w:t xml:space="preserve">= Satisfaction with yearly income of an individual </w:t>
      </w:r>
      <w:r>
        <w:rPr>
          <w:rFonts w:ascii="Times New Roman" w:hAnsi="Times New Roman" w:cs="Times New Roman"/>
          <w:i/>
          <w:iCs/>
        </w:rPr>
        <w:t>i.</w:t>
      </w:r>
    </w:p>
    <w:p w14:paraId="34B2C046">
      <w:pPr>
        <w:jc w:val="both"/>
        <w:rPr>
          <w:rFonts w:ascii="Times New Roman" w:hAnsi="Times New Roman" w:cs="Times New Roman"/>
          <w:b/>
          <w:bCs/>
        </w:rPr>
      </w:pPr>
      <w:r>
        <w:rPr>
          <w:rFonts w:ascii="Times New Roman" w:hAnsi="Times New Roman" w:cs="Times New Roman"/>
          <w:b/>
          <w:bCs/>
        </w:rPr>
        <w:t>Psychological Well-Being (PSWB)</w:t>
      </w:r>
    </w:p>
    <w:p w14:paraId="2D611B47">
      <w:pPr>
        <w:jc w:val="both"/>
        <w:rPr>
          <w:rFonts w:ascii="Times New Roman" w:hAnsi="Times New Roman" w:cs="Times New Roman"/>
        </w:rPr>
      </w:pPr>
      <w:r>
        <w:rPr>
          <w:rFonts w:ascii="Times New Roman" w:hAnsi="Times New Roman" w:cs="Times New Roman"/>
          <w:i/>
          <w:iCs/>
        </w:rPr>
        <w:t>Objective</w:t>
      </w:r>
      <w:r>
        <w:rPr>
          <w:rFonts w:ascii="Times New Roman" w:hAnsi="Times New Roman" w:cs="Times New Roman"/>
        </w:rPr>
        <w:t xml:space="preserve">: maximize </w:t>
      </w:r>
      <w:bookmarkStart w:id="5" w:name="_Hlk208882739"/>
      <w:r>
        <w:rPr>
          <w:rFonts w:ascii="Times New Roman" w:hAnsi="Times New Roman" w:cs="Times New Roman"/>
        </w:rPr>
        <w:t>PSWB</w:t>
      </w:r>
      <w:r>
        <w:rPr>
          <w:rFonts w:ascii="Times New Roman" w:hAnsi="Times New Roman" w:cs="Times New Roman"/>
          <w:i/>
          <w:iCs/>
        </w:rPr>
        <w:t>i</w:t>
      </w:r>
      <w:bookmarkEnd w:id="5"/>
    </w:p>
    <w:p w14:paraId="12DC2606">
      <w:pPr>
        <w:jc w:val="both"/>
        <w:rPr>
          <w:rFonts w:ascii="Times New Roman" w:hAnsi="Times New Roman" w:cs="Times New Roman"/>
        </w:rPr>
      </w:pPr>
      <w:r>
        <w:rPr>
          <w:rFonts w:ascii="Times New Roman" w:hAnsi="Times New Roman" w:cs="Times New Roman"/>
        </w:rPr>
        <w:t>SWB</w:t>
      </w:r>
      <w:r>
        <w:rPr>
          <w:rFonts w:ascii="Times New Roman" w:hAnsi="Times New Roman" w:cs="Times New Roman"/>
          <w:i/>
          <w:iCs/>
        </w:rPr>
        <w:t>i</w:t>
      </w:r>
      <w:r>
        <w:rPr>
          <w:rFonts w:ascii="Times New Roman" w:hAnsi="Times New Roman" w:cs="Times New Roman"/>
        </w:rPr>
        <w:t xml:space="preserve">= Subjective Well-Beingcomponent fulfilled by individual </w:t>
      </w:r>
      <w:r>
        <w:rPr>
          <w:rFonts w:ascii="Times New Roman" w:hAnsi="Times New Roman" w:cs="Times New Roman"/>
          <w:i/>
          <w:iCs/>
        </w:rPr>
        <w:t xml:space="preserve">i. </w:t>
      </w:r>
    </w:p>
    <w:p w14:paraId="53B9D163">
      <w:pPr>
        <w:jc w:val="both"/>
        <w:rPr>
          <w:rFonts w:ascii="Times New Roman" w:hAnsi="Times New Roman" w:cs="Times New Roman"/>
        </w:rPr>
      </w:pPr>
      <w:r>
        <w:rPr>
          <w:rFonts w:ascii="Times New Roman" w:hAnsi="Times New Roman" w:cs="Times New Roman"/>
        </w:rPr>
        <w:t>EMOT</w:t>
      </w:r>
      <w:r>
        <w:rPr>
          <w:rFonts w:ascii="Times New Roman" w:hAnsi="Times New Roman" w:cs="Times New Roman"/>
          <w:i/>
          <w:iCs/>
        </w:rPr>
        <w:t xml:space="preserve">i </w:t>
      </w:r>
      <w:r>
        <w:rPr>
          <w:rFonts w:ascii="Times New Roman" w:hAnsi="Times New Roman" w:cs="Times New Roman"/>
        </w:rPr>
        <w:t xml:space="preserve">= Positive emotions of an individual </w:t>
      </w:r>
      <w:r>
        <w:rPr>
          <w:rFonts w:ascii="Times New Roman" w:hAnsi="Times New Roman" w:cs="Times New Roman"/>
          <w:i/>
          <w:iCs/>
        </w:rPr>
        <w:t>i.</w:t>
      </w:r>
    </w:p>
    <w:p w14:paraId="4F2E687F">
      <w:pPr>
        <w:jc w:val="both"/>
        <w:rPr>
          <w:rFonts w:ascii="Times New Roman" w:hAnsi="Times New Roman" w:cs="Times New Roman"/>
        </w:rPr>
      </w:pPr>
      <w:r>
        <w:rPr>
          <w:rFonts w:ascii="Times New Roman" w:hAnsi="Times New Roman" w:cs="Times New Roman"/>
        </w:rPr>
        <w:t>HAP</w:t>
      </w:r>
      <w:r>
        <w:rPr>
          <w:rFonts w:ascii="Times New Roman" w:hAnsi="Times New Roman" w:cs="Times New Roman"/>
          <w:i/>
          <w:iCs/>
        </w:rPr>
        <w:t>i</w:t>
      </w:r>
      <w:r>
        <w:rPr>
          <w:rFonts w:ascii="Times New Roman" w:hAnsi="Times New Roman" w:cs="Times New Roman"/>
        </w:rPr>
        <w:t xml:space="preserve">=Happiness scale of an individual </w:t>
      </w:r>
      <w:r>
        <w:rPr>
          <w:rFonts w:ascii="Times New Roman" w:hAnsi="Times New Roman" w:cs="Times New Roman"/>
          <w:i/>
          <w:iCs/>
        </w:rPr>
        <w:t>i.</w:t>
      </w:r>
    </w:p>
    <w:p w14:paraId="19BD9A48">
      <w:pPr>
        <w:jc w:val="both"/>
        <w:rPr>
          <w:rFonts w:ascii="Times New Roman" w:hAnsi="Times New Roman" w:cs="Times New Roman"/>
        </w:rPr>
      </w:pPr>
      <w:r>
        <w:rPr>
          <w:rFonts w:ascii="Times New Roman" w:hAnsi="Times New Roman" w:cs="Times New Roman"/>
        </w:rPr>
        <w:t>SAT_LIFE</w:t>
      </w:r>
      <w:r>
        <w:rPr>
          <w:rFonts w:ascii="Times New Roman" w:hAnsi="Times New Roman" w:cs="Times New Roman"/>
          <w:i/>
          <w:iCs/>
        </w:rPr>
        <w:t>i</w:t>
      </w:r>
      <w:r>
        <w:rPr>
          <w:rFonts w:ascii="Times New Roman" w:hAnsi="Times New Roman" w:cs="Times New Roman"/>
        </w:rPr>
        <w:t xml:space="preserve"> = Life satisfaction of individual </w:t>
      </w:r>
      <w:r>
        <w:rPr>
          <w:rFonts w:ascii="Times New Roman" w:hAnsi="Times New Roman" w:cs="Times New Roman"/>
          <w:i/>
          <w:iCs/>
        </w:rPr>
        <w:t>i.</w:t>
      </w:r>
    </w:p>
    <w:p w14:paraId="05165AC9">
      <w:pPr>
        <w:jc w:val="both"/>
        <w:rPr>
          <w:rFonts w:ascii="Times New Roman" w:hAnsi="Times New Roman" w:cs="Times New Roman"/>
        </w:rPr>
      </w:pPr>
      <w:r>
        <w:rPr>
          <w:rFonts w:ascii="Times New Roman" w:hAnsi="Times New Roman" w:cs="Times New Roman"/>
        </w:rPr>
        <w:t>ANX</w:t>
      </w:r>
      <w:r>
        <w:rPr>
          <w:rFonts w:ascii="Times New Roman" w:hAnsi="Times New Roman" w:cs="Times New Roman"/>
          <w:i/>
          <w:iCs/>
        </w:rPr>
        <w:t>i</w:t>
      </w:r>
      <w:r>
        <w:rPr>
          <w:rFonts w:ascii="Times New Roman" w:hAnsi="Times New Roman" w:cs="Times New Roman"/>
        </w:rPr>
        <w:t xml:space="preserve">=  Anxiety level of individual </w:t>
      </w:r>
      <w:r>
        <w:rPr>
          <w:rFonts w:ascii="Times New Roman" w:hAnsi="Times New Roman" w:cs="Times New Roman"/>
          <w:i/>
          <w:iCs/>
        </w:rPr>
        <w:t>i.</w:t>
      </w:r>
    </w:p>
    <w:p w14:paraId="736CDEBB">
      <w:pPr>
        <w:jc w:val="both"/>
        <w:rPr>
          <w:rFonts w:ascii="Times New Roman" w:hAnsi="Times New Roman" w:cs="Times New Roman"/>
        </w:rPr>
      </w:pPr>
      <w:r>
        <w:rPr>
          <w:rFonts w:ascii="Times New Roman" w:hAnsi="Times New Roman" w:cs="Times New Roman"/>
        </w:rPr>
        <w:t>RSK</w:t>
      </w:r>
      <w:r>
        <w:rPr>
          <w:rFonts w:ascii="Times New Roman" w:hAnsi="Times New Roman" w:cs="Times New Roman"/>
          <w:i/>
          <w:iCs/>
        </w:rPr>
        <w:t>i</w:t>
      </w:r>
      <w:r>
        <w:rPr>
          <w:rFonts w:ascii="Times New Roman" w:hAnsi="Times New Roman" w:cs="Times New Roman"/>
        </w:rPr>
        <w:t xml:space="preserve">=Risk taken by an individual </w:t>
      </w:r>
      <w:r>
        <w:rPr>
          <w:rFonts w:ascii="Times New Roman" w:hAnsi="Times New Roman" w:cs="Times New Roman"/>
          <w:i/>
          <w:iCs/>
        </w:rPr>
        <w:t>i.</w:t>
      </w:r>
    </w:p>
    <w:p w14:paraId="0BAFEE28">
      <w:pPr>
        <w:jc w:val="both"/>
        <w:rPr>
          <w:rFonts w:ascii="Times New Roman" w:hAnsi="Times New Roman" w:cs="Times New Roman"/>
        </w:rPr>
      </w:pPr>
      <w:r>
        <w:rPr>
          <w:rFonts w:ascii="Times New Roman" w:hAnsi="Times New Roman" w:cs="Times New Roman"/>
        </w:rPr>
        <w:t>AGRISK</w:t>
      </w:r>
      <w:r>
        <w:rPr>
          <w:rFonts w:ascii="Times New Roman" w:hAnsi="Times New Roman" w:cs="Times New Roman"/>
          <w:i/>
          <w:iCs/>
        </w:rPr>
        <w:t>i</w:t>
      </w:r>
      <w:r>
        <w:rPr>
          <w:rFonts w:ascii="Times New Roman" w:hAnsi="Times New Roman" w:cs="Times New Roman"/>
        </w:rPr>
        <w:t xml:space="preserve">=Agricultural risk taken by individual </w:t>
      </w:r>
      <w:r>
        <w:rPr>
          <w:rFonts w:ascii="Times New Roman" w:hAnsi="Times New Roman" w:cs="Times New Roman"/>
          <w:i/>
          <w:iCs/>
        </w:rPr>
        <w:t>i.</w:t>
      </w:r>
    </w:p>
    <w:p w14:paraId="0AE94158">
      <w:pPr>
        <w:jc w:val="both"/>
        <w:rPr>
          <w:rFonts w:ascii="Times New Roman" w:hAnsi="Times New Roman" w:cs="Times New Roman"/>
        </w:rPr>
      </w:pPr>
      <w:r>
        <w:rPr>
          <w:rFonts w:ascii="Times New Roman" w:hAnsi="Times New Roman" w:cs="Times New Roman"/>
        </w:rPr>
        <w:t>FINRISK</w:t>
      </w:r>
      <w:r>
        <w:rPr>
          <w:rFonts w:ascii="Times New Roman" w:hAnsi="Times New Roman" w:cs="Times New Roman"/>
          <w:i/>
          <w:iCs/>
        </w:rPr>
        <w:t>i</w:t>
      </w:r>
      <w:r>
        <w:rPr>
          <w:rFonts w:ascii="Times New Roman" w:hAnsi="Times New Roman" w:cs="Times New Roman"/>
        </w:rPr>
        <w:t xml:space="preserve">=  Financial risk taken by individual </w:t>
      </w:r>
      <w:r>
        <w:rPr>
          <w:rFonts w:ascii="Times New Roman" w:hAnsi="Times New Roman" w:cs="Times New Roman"/>
          <w:i/>
          <w:iCs/>
        </w:rPr>
        <w:t>i.</w:t>
      </w:r>
    </w:p>
    <w:p w14:paraId="79A12121">
      <w:pPr>
        <w:jc w:val="both"/>
        <w:rPr>
          <w:rFonts w:ascii="Times New Roman" w:hAnsi="Times New Roman" w:cs="Times New Roman"/>
          <w:b/>
          <w:bCs/>
        </w:rPr>
      </w:pPr>
      <w:r>
        <w:rPr>
          <w:rFonts w:ascii="Times New Roman" w:hAnsi="Times New Roman" w:cs="Times New Roman"/>
          <w:b/>
          <w:bCs/>
        </w:rPr>
        <w:t>Environmental Well-Being (ENWB)</w:t>
      </w:r>
    </w:p>
    <w:p w14:paraId="0E158842">
      <w:pPr>
        <w:jc w:val="both"/>
        <w:rPr>
          <w:rFonts w:ascii="Times New Roman" w:hAnsi="Times New Roman" w:cs="Times New Roman"/>
        </w:rPr>
      </w:pPr>
      <w:r>
        <w:rPr>
          <w:rFonts w:ascii="Times New Roman" w:hAnsi="Times New Roman" w:cs="Times New Roman"/>
          <w:i/>
          <w:iCs/>
        </w:rPr>
        <w:t>Objective</w:t>
      </w:r>
      <w:r>
        <w:rPr>
          <w:rFonts w:ascii="Times New Roman" w:hAnsi="Times New Roman" w:cs="Times New Roman"/>
          <w:b/>
          <w:bCs/>
        </w:rPr>
        <w:t>:</w:t>
      </w:r>
      <w:r>
        <w:rPr>
          <w:rFonts w:ascii="Times New Roman" w:hAnsi="Times New Roman" w:cs="Times New Roman"/>
        </w:rPr>
        <w:t xml:space="preserve"> maximize ENWB</w:t>
      </w:r>
      <w:r>
        <w:rPr>
          <w:rFonts w:ascii="Times New Roman" w:hAnsi="Times New Roman" w:cs="Times New Roman"/>
          <w:i/>
          <w:iCs/>
        </w:rPr>
        <w:t>i</w:t>
      </w:r>
    </w:p>
    <w:p w14:paraId="4D5D90A2">
      <w:pPr>
        <w:jc w:val="both"/>
        <w:rPr>
          <w:rFonts w:ascii="Times New Roman" w:hAnsi="Times New Roman" w:cs="Times New Roman"/>
        </w:rPr>
      </w:pPr>
      <w:r>
        <w:rPr>
          <w:rFonts w:ascii="Times New Roman" w:hAnsi="Times New Roman" w:cs="Times New Roman"/>
        </w:rPr>
        <w:t>HQ</w:t>
      </w:r>
      <w:r>
        <w:rPr>
          <w:rFonts w:ascii="Times New Roman" w:hAnsi="Times New Roman" w:cs="Times New Roman"/>
          <w:i/>
          <w:iCs/>
        </w:rPr>
        <w:t>i</w:t>
      </w:r>
      <w:r>
        <w:rPr>
          <w:rFonts w:ascii="Times New Roman" w:hAnsi="Times New Roman" w:cs="Times New Roman"/>
        </w:rPr>
        <w:t xml:space="preserve"> =  Housing Quality of individual </w:t>
      </w:r>
      <w:r>
        <w:rPr>
          <w:rFonts w:ascii="Times New Roman" w:hAnsi="Times New Roman" w:cs="Times New Roman"/>
          <w:i/>
          <w:iCs/>
        </w:rPr>
        <w:t>i.</w:t>
      </w:r>
    </w:p>
    <w:p w14:paraId="15043033">
      <w:pPr>
        <w:jc w:val="both"/>
        <w:rPr>
          <w:rFonts w:ascii="Times New Roman" w:hAnsi="Times New Roman" w:cs="Times New Roman"/>
        </w:rPr>
      </w:pPr>
      <w:r>
        <w:rPr>
          <w:rFonts w:ascii="Times New Roman" w:hAnsi="Times New Roman" w:cs="Times New Roman"/>
        </w:rPr>
        <w:t>HOUSE_TYPE</w:t>
      </w:r>
      <w:r>
        <w:rPr>
          <w:rFonts w:ascii="Times New Roman" w:hAnsi="Times New Roman" w:cs="Times New Roman"/>
          <w:i/>
          <w:iCs/>
        </w:rPr>
        <w:t>i</w:t>
      </w:r>
      <w:r>
        <w:rPr>
          <w:rFonts w:ascii="Times New Roman" w:hAnsi="Times New Roman" w:cs="Times New Roman"/>
        </w:rPr>
        <w:t xml:space="preserve">=Kaccha/Pakka type house of individual </w:t>
      </w:r>
      <w:r>
        <w:rPr>
          <w:rFonts w:ascii="Times New Roman" w:hAnsi="Times New Roman" w:cs="Times New Roman"/>
          <w:i/>
          <w:iCs/>
        </w:rPr>
        <w:t>i.</w:t>
      </w:r>
    </w:p>
    <w:p w14:paraId="45D0822A">
      <w:pPr>
        <w:jc w:val="both"/>
        <w:rPr>
          <w:rFonts w:ascii="Times New Roman" w:hAnsi="Times New Roman" w:cs="Times New Roman"/>
        </w:rPr>
      </w:pPr>
      <w:r>
        <w:rPr>
          <w:rFonts w:ascii="Times New Roman" w:hAnsi="Times New Roman" w:cs="Times New Roman"/>
        </w:rPr>
        <w:t>HOUS_ASSET</w:t>
      </w:r>
      <w:r>
        <w:rPr>
          <w:rFonts w:ascii="Times New Roman" w:hAnsi="Times New Roman" w:cs="Times New Roman"/>
          <w:i/>
          <w:iCs/>
        </w:rPr>
        <w:t>i</w:t>
      </w:r>
      <w:r>
        <w:rPr>
          <w:rFonts w:ascii="Times New Roman" w:hAnsi="Times New Roman" w:cs="Times New Roman"/>
        </w:rPr>
        <w:t xml:space="preserve">= Housing assets of individual </w:t>
      </w:r>
      <w:r>
        <w:rPr>
          <w:rFonts w:ascii="Times New Roman" w:hAnsi="Times New Roman" w:cs="Times New Roman"/>
          <w:i/>
          <w:iCs/>
        </w:rPr>
        <w:t>i.</w:t>
      </w:r>
    </w:p>
    <w:p w14:paraId="7B0384B7">
      <w:pPr>
        <w:jc w:val="both"/>
        <w:rPr>
          <w:rFonts w:ascii="Times New Roman" w:hAnsi="Times New Roman" w:cs="Times New Roman"/>
        </w:rPr>
      </w:pPr>
      <w:r>
        <w:rPr>
          <w:rFonts w:ascii="Times New Roman" w:hAnsi="Times New Roman" w:cs="Times New Roman"/>
        </w:rPr>
        <w:t>HOUS_MAT</w:t>
      </w:r>
      <w:r>
        <w:rPr>
          <w:rFonts w:ascii="Times New Roman" w:hAnsi="Times New Roman" w:cs="Times New Roman"/>
          <w:i/>
          <w:iCs/>
        </w:rPr>
        <w:t>i</w:t>
      </w:r>
      <w:r>
        <w:rPr>
          <w:rFonts w:ascii="Times New Roman" w:hAnsi="Times New Roman" w:cs="Times New Roman"/>
        </w:rPr>
        <w:t>=Housing material of an individual</w:t>
      </w:r>
      <w:r>
        <w:rPr>
          <w:rFonts w:ascii="Times New Roman" w:hAnsi="Times New Roman" w:cs="Times New Roman"/>
          <w:i/>
          <w:iCs/>
        </w:rPr>
        <w:t xml:space="preserve"> i.</w:t>
      </w:r>
    </w:p>
    <w:p w14:paraId="377AE2BA">
      <w:pPr>
        <w:jc w:val="both"/>
        <w:rPr>
          <w:rFonts w:ascii="Times New Roman" w:hAnsi="Times New Roman" w:cs="Times New Roman"/>
        </w:rPr>
      </w:pPr>
      <w:r>
        <w:rPr>
          <w:rFonts w:ascii="Times New Roman" w:hAnsi="Times New Roman" w:cs="Times New Roman"/>
        </w:rPr>
        <w:t>EQ</w:t>
      </w:r>
      <w:r>
        <w:rPr>
          <w:rFonts w:ascii="Times New Roman" w:hAnsi="Times New Roman" w:cs="Times New Roman"/>
          <w:i/>
          <w:iCs/>
        </w:rPr>
        <w:t>i</w:t>
      </w:r>
      <w:r>
        <w:rPr>
          <w:rFonts w:ascii="Times New Roman" w:hAnsi="Times New Roman" w:cs="Times New Roman"/>
        </w:rPr>
        <w:t xml:space="preserve">=Environmental Quality of an individual </w:t>
      </w:r>
      <w:r>
        <w:rPr>
          <w:rFonts w:ascii="Times New Roman" w:hAnsi="Times New Roman" w:cs="Times New Roman"/>
          <w:i/>
          <w:iCs/>
        </w:rPr>
        <w:t>i.</w:t>
      </w:r>
    </w:p>
    <w:p w14:paraId="2E836BC8">
      <w:pPr>
        <w:jc w:val="both"/>
        <w:rPr>
          <w:rFonts w:ascii="Times New Roman" w:hAnsi="Times New Roman" w:cs="Times New Roman"/>
        </w:rPr>
      </w:pPr>
      <w:r>
        <w:rPr>
          <w:rFonts w:ascii="Times New Roman" w:hAnsi="Times New Roman" w:cs="Times New Roman"/>
        </w:rPr>
        <w:t>SDW</w:t>
      </w:r>
      <w:r>
        <w:rPr>
          <w:rFonts w:ascii="Times New Roman" w:hAnsi="Times New Roman" w:cs="Times New Roman"/>
          <w:i/>
          <w:iCs/>
        </w:rPr>
        <w:t>i</w:t>
      </w:r>
      <w:r>
        <w:rPr>
          <w:rFonts w:ascii="Times New Roman" w:hAnsi="Times New Roman" w:cs="Times New Roman"/>
        </w:rPr>
        <w:t xml:space="preserve"> = Safe Drinking Water availability from household of an individual </w:t>
      </w:r>
      <w:r>
        <w:rPr>
          <w:rFonts w:ascii="Times New Roman" w:hAnsi="Times New Roman" w:cs="Times New Roman"/>
          <w:i/>
          <w:iCs/>
        </w:rPr>
        <w:t>i.</w:t>
      </w:r>
    </w:p>
    <w:p w14:paraId="453C7A80">
      <w:pPr>
        <w:jc w:val="both"/>
        <w:rPr>
          <w:rFonts w:ascii="Times New Roman" w:hAnsi="Times New Roman" w:cs="Times New Roman"/>
        </w:rPr>
      </w:pPr>
      <w:r>
        <w:rPr>
          <w:rFonts w:ascii="Times New Roman" w:hAnsi="Times New Roman" w:cs="Times New Roman"/>
        </w:rPr>
        <w:t>SOIL_COL</w:t>
      </w:r>
      <w:r>
        <w:rPr>
          <w:rFonts w:ascii="Times New Roman" w:hAnsi="Times New Roman" w:cs="Times New Roman"/>
          <w:i/>
          <w:iCs/>
        </w:rPr>
        <w:t>i</w:t>
      </w:r>
      <w:r>
        <w:rPr>
          <w:rFonts w:ascii="Times New Roman" w:hAnsi="Times New Roman" w:cs="Times New Roman"/>
        </w:rPr>
        <w:t xml:space="preserve">= Soil colour </w:t>
      </w:r>
    </w:p>
    <w:p w14:paraId="31D5C4C8">
      <w:pPr>
        <w:jc w:val="both"/>
        <w:rPr>
          <w:rFonts w:ascii="Times New Roman" w:hAnsi="Times New Roman" w:cs="Times New Roman"/>
        </w:rPr>
      </w:pPr>
      <w:r>
        <w:rPr>
          <w:rFonts w:ascii="Times New Roman" w:hAnsi="Times New Roman" w:cs="Times New Roman"/>
        </w:rPr>
        <w:t>SOIL_QUAL</w:t>
      </w:r>
      <w:r>
        <w:rPr>
          <w:rFonts w:ascii="Times New Roman" w:hAnsi="Times New Roman" w:cs="Times New Roman"/>
          <w:i/>
          <w:iCs/>
        </w:rPr>
        <w:t xml:space="preserve">i </w:t>
      </w:r>
      <w:r>
        <w:rPr>
          <w:rFonts w:ascii="Times New Roman" w:hAnsi="Times New Roman" w:cs="Times New Roman"/>
        </w:rPr>
        <w:t xml:space="preserve"> = Soil quality measures </w:t>
      </w:r>
    </w:p>
    <w:p w14:paraId="142BCA3B">
      <w:pPr>
        <w:jc w:val="both"/>
        <w:rPr>
          <w:rFonts w:ascii="Times New Roman" w:hAnsi="Times New Roman" w:cs="Times New Roman"/>
        </w:rPr>
      </w:pPr>
      <w:r>
        <w:rPr>
          <w:rFonts w:ascii="Times New Roman" w:hAnsi="Times New Roman" w:cs="Times New Roman"/>
        </w:rPr>
        <w:t>LAND_DEG</w:t>
      </w:r>
      <w:r>
        <w:rPr>
          <w:rFonts w:ascii="Times New Roman" w:hAnsi="Times New Roman" w:cs="Times New Roman"/>
          <w:i/>
          <w:iCs/>
        </w:rPr>
        <w:t>i</w:t>
      </w:r>
      <w:r>
        <w:rPr>
          <w:rFonts w:ascii="Times New Roman" w:hAnsi="Times New Roman" w:cs="Times New Roman"/>
        </w:rPr>
        <w:t>= Land degradation.</w:t>
      </w:r>
    </w:p>
    <w:p w14:paraId="087797C6">
      <w:pPr>
        <w:jc w:val="both"/>
        <w:rPr>
          <w:rFonts w:ascii="Times New Roman" w:hAnsi="Times New Roman" w:cs="Times New Roman"/>
          <w:b/>
          <w:bCs/>
        </w:rPr>
      </w:pPr>
      <w:r>
        <w:rPr>
          <w:rFonts w:ascii="Times New Roman" w:hAnsi="Times New Roman" w:cs="Times New Roman"/>
          <w:b/>
          <w:bCs/>
        </w:rPr>
        <w:t>Occupational Well-Being (OCWB)</w:t>
      </w:r>
    </w:p>
    <w:p w14:paraId="577523AE">
      <w:pPr>
        <w:jc w:val="both"/>
        <w:rPr>
          <w:rFonts w:ascii="Times New Roman" w:hAnsi="Times New Roman" w:cs="Times New Roman"/>
        </w:rPr>
      </w:pPr>
      <w:r>
        <w:rPr>
          <w:rFonts w:ascii="Times New Roman" w:hAnsi="Times New Roman" w:cs="Times New Roman"/>
          <w:i/>
          <w:iCs/>
        </w:rPr>
        <w:t>Objective</w:t>
      </w:r>
      <w:r>
        <w:rPr>
          <w:rFonts w:ascii="Times New Roman" w:hAnsi="Times New Roman" w:cs="Times New Roman"/>
          <w:b/>
          <w:bCs/>
        </w:rPr>
        <w:t>:</w:t>
      </w:r>
      <w:r>
        <w:rPr>
          <w:rFonts w:ascii="Times New Roman" w:hAnsi="Times New Roman" w:cs="Times New Roman"/>
        </w:rPr>
        <w:t xml:space="preserve"> maximize </w:t>
      </w:r>
      <w:bookmarkStart w:id="6" w:name="_Hlk208882698"/>
      <w:r>
        <w:rPr>
          <w:rFonts w:ascii="Times New Roman" w:hAnsi="Times New Roman" w:cs="Times New Roman"/>
        </w:rPr>
        <w:t>OCWB</w:t>
      </w:r>
      <w:r>
        <w:rPr>
          <w:rFonts w:ascii="Times New Roman" w:hAnsi="Times New Roman" w:cs="Times New Roman"/>
          <w:i/>
          <w:iCs/>
        </w:rPr>
        <w:t>i</w:t>
      </w:r>
    </w:p>
    <w:bookmarkEnd w:id="6"/>
    <w:p w14:paraId="2F4BE357">
      <w:pPr>
        <w:jc w:val="both"/>
        <w:rPr>
          <w:rFonts w:ascii="Times New Roman" w:hAnsi="Times New Roman" w:cs="Times New Roman"/>
        </w:rPr>
      </w:pPr>
      <w:r>
        <w:rPr>
          <w:rFonts w:ascii="Times New Roman" w:hAnsi="Times New Roman" w:cs="Times New Roman"/>
        </w:rPr>
        <w:t>EDU</w:t>
      </w:r>
      <w:r>
        <w:rPr>
          <w:rFonts w:ascii="Times New Roman" w:hAnsi="Times New Roman" w:cs="Times New Roman"/>
          <w:i/>
          <w:iCs/>
        </w:rPr>
        <w:t>i</w:t>
      </w:r>
      <w:r>
        <w:rPr>
          <w:rFonts w:ascii="Times New Roman" w:hAnsi="Times New Roman" w:cs="Times New Roman"/>
        </w:rPr>
        <w:t xml:space="preserve">= Education: highest education level of individual </w:t>
      </w:r>
      <w:r>
        <w:rPr>
          <w:rFonts w:ascii="Times New Roman" w:hAnsi="Times New Roman" w:cs="Times New Roman"/>
          <w:i/>
          <w:iCs/>
        </w:rPr>
        <w:t>i.</w:t>
      </w:r>
    </w:p>
    <w:p w14:paraId="4E5F47C0">
      <w:pPr>
        <w:jc w:val="both"/>
        <w:rPr>
          <w:rFonts w:ascii="Times New Roman" w:hAnsi="Times New Roman" w:cs="Times New Roman"/>
        </w:rPr>
      </w:pPr>
      <w:r>
        <w:rPr>
          <w:rFonts w:ascii="Times New Roman" w:hAnsi="Times New Roman" w:cs="Times New Roman"/>
        </w:rPr>
        <w:t>OCP</w:t>
      </w:r>
      <w:r>
        <w:rPr>
          <w:rFonts w:ascii="Times New Roman" w:hAnsi="Times New Roman" w:cs="Times New Roman"/>
          <w:i/>
          <w:iCs/>
        </w:rPr>
        <w:t>i</w:t>
      </w:r>
      <w:r>
        <w:rPr>
          <w:rFonts w:ascii="Times New Roman" w:hAnsi="Times New Roman" w:cs="Times New Roman"/>
        </w:rPr>
        <w:t xml:space="preserve"> = Occupation: primary occupation category (agriculture, wage, skilled...), can be encoded as a score for stability/quality of an individual </w:t>
      </w:r>
      <w:r>
        <w:rPr>
          <w:rFonts w:ascii="Times New Roman" w:hAnsi="Times New Roman" w:cs="Times New Roman"/>
          <w:i/>
          <w:iCs/>
        </w:rPr>
        <w:t>i.</w:t>
      </w:r>
    </w:p>
    <w:p w14:paraId="0DBE44F9">
      <w:pPr>
        <w:jc w:val="both"/>
        <w:rPr>
          <w:rFonts w:ascii="Times New Roman" w:hAnsi="Times New Roman" w:cs="Times New Roman"/>
        </w:rPr>
      </w:pPr>
      <w:r>
        <w:rPr>
          <w:rFonts w:ascii="Times New Roman" w:hAnsi="Times New Roman" w:cs="Times New Roman"/>
        </w:rPr>
        <w:t>SKD</w:t>
      </w:r>
      <w:r>
        <w:rPr>
          <w:rFonts w:ascii="Times New Roman" w:hAnsi="Times New Roman" w:cs="Times New Roman"/>
          <w:i/>
          <w:iCs/>
        </w:rPr>
        <w:t>i</w:t>
      </w:r>
      <w:r>
        <w:rPr>
          <w:rFonts w:ascii="Times New Roman" w:hAnsi="Times New Roman" w:cs="Times New Roman"/>
        </w:rPr>
        <w:t xml:space="preserve"> = participation in skill programs by individual </w:t>
      </w:r>
      <w:r>
        <w:rPr>
          <w:rFonts w:ascii="Times New Roman" w:hAnsi="Times New Roman" w:cs="Times New Roman"/>
          <w:i/>
          <w:iCs/>
        </w:rPr>
        <w:t>i</w:t>
      </w:r>
    </w:p>
    <w:p w14:paraId="7665C71E">
      <w:pPr>
        <w:jc w:val="both"/>
        <w:rPr>
          <w:rFonts w:ascii="Times New Roman" w:hAnsi="Times New Roman" w:cs="Times New Roman"/>
        </w:rPr>
      </w:pPr>
      <w:r>
        <w:rPr>
          <w:rFonts w:ascii="Times New Roman" w:hAnsi="Times New Roman" w:cs="Times New Roman"/>
        </w:rPr>
        <w:t>AG_PROG</w:t>
      </w:r>
      <w:r>
        <w:rPr>
          <w:rFonts w:ascii="Times New Roman" w:hAnsi="Times New Roman" w:cs="Times New Roman"/>
          <w:i/>
          <w:iCs/>
        </w:rPr>
        <w:t>i</w:t>
      </w:r>
      <w:r>
        <w:rPr>
          <w:rFonts w:ascii="Times New Roman" w:hAnsi="Times New Roman" w:cs="Times New Roman"/>
        </w:rPr>
        <w:t xml:space="preserve">=  Agricultural programme attendance of individual </w:t>
      </w:r>
      <w:r>
        <w:rPr>
          <w:rFonts w:ascii="Times New Roman" w:hAnsi="Times New Roman" w:cs="Times New Roman"/>
          <w:i/>
          <w:iCs/>
        </w:rPr>
        <w:t>i.</w:t>
      </w:r>
    </w:p>
    <w:p w14:paraId="0F4D1386">
      <w:pPr>
        <w:jc w:val="both"/>
        <w:rPr>
          <w:rFonts w:ascii="Times New Roman" w:hAnsi="Times New Roman" w:cs="Times New Roman"/>
        </w:rPr>
      </w:pPr>
      <w:r>
        <w:rPr>
          <w:rFonts w:ascii="Times New Roman" w:hAnsi="Times New Roman" w:cs="Times New Roman"/>
        </w:rPr>
        <w:t>SKILL_DEV</w:t>
      </w:r>
      <w:r>
        <w:rPr>
          <w:rFonts w:ascii="Times New Roman" w:hAnsi="Times New Roman" w:cs="Times New Roman"/>
          <w:i/>
          <w:iCs/>
        </w:rPr>
        <w:t>i</w:t>
      </w:r>
      <w:r>
        <w:rPr>
          <w:rFonts w:ascii="Times New Roman" w:hAnsi="Times New Roman" w:cs="Times New Roman"/>
        </w:rPr>
        <w:t xml:space="preserve">= Skill development program participation of individual </w:t>
      </w:r>
      <w:r>
        <w:rPr>
          <w:rFonts w:ascii="Times New Roman" w:hAnsi="Times New Roman" w:cs="Times New Roman"/>
          <w:i/>
          <w:iCs/>
        </w:rPr>
        <w:t>i.</w:t>
      </w:r>
    </w:p>
    <w:p w14:paraId="54141F56">
      <w:pPr>
        <w:jc w:val="both"/>
        <w:rPr>
          <w:rFonts w:ascii="Times New Roman" w:hAnsi="Times New Roman" w:cs="Times New Roman"/>
          <w:i/>
          <w:iCs/>
        </w:rPr>
      </w:pPr>
      <w:r>
        <w:rPr>
          <w:rFonts w:ascii="Times New Roman" w:hAnsi="Times New Roman" w:cs="Times New Roman"/>
        </w:rPr>
        <w:t>TRAIN_WSHOP</w:t>
      </w:r>
      <w:r>
        <w:rPr>
          <w:rFonts w:ascii="Times New Roman" w:hAnsi="Times New Roman" w:cs="Times New Roman"/>
          <w:i/>
          <w:iCs/>
        </w:rPr>
        <w:t>i</w:t>
      </w:r>
      <w:r>
        <w:rPr>
          <w:rFonts w:ascii="Times New Roman" w:hAnsi="Times New Roman" w:cs="Times New Roman"/>
        </w:rPr>
        <w:t xml:space="preserve">= Agricultural training/workshops participation of individual </w:t>
      </w:r>
      <w:r>
        <w:rPr>
          <w:rFonts w:ascii="Times New Roman" w:hAnsi="Times New Roman" w:cs="Times New Roman"/>
          <w:i/>
          <w:iCs/>
        </w:rPr>
        <w:t>i.</w:t>
      </w:r>
    </w:p>
    <w:bookmarkEnd w:id="3"/>
    <w:p w14:paraId="4754E663">
      <w:pPr>
        <w:jc w:val="both"/>
        <w:rPr>
          <w:rFonts w:ascii="Times New Roman" w:hAnsi="Times New Roman" w:cs="Times New Roman"/>
          <w:b/>
          <w:bCs/>
        </w:rPr>
      </w:pPr>
      <w:r>
        <w:rPr>
          <w:rFonts w:ascii="Times New Roman" w:hAnsi="Times New Roman" w:cs="Times New Roman"/>
          <w:b/>
          <w:bCs/>
        </w:rPr>
        <w:t>Intervention</w:t>
      </w:r>
    </w:p>
    <w:p w14:paraId="6F94A83E">
      <w:pPr>
        <w:jc w:val="both"/>
        <w:rPr>
          <w:rFonts w:ascii="Times New Roman" w:hAnsi="Times New Roman" w:cs="Times New Roman" w:eastAsiaTheme="minorEastAsia"/>
        </w:rPr>
      </w:pPr>
      <w:r>
        <w:rPr>
          <w:rFonts w:ascii="Times New Roman" w:hAnsi="Times New Roman" w:cs="Times New Roman"/>
        </w:rPr>
        <w:t xml:space="preserve">RHA_i </w:t>
      </w:r>
      <w:r>
        <w:rPr>
          <w:rFonts w:ascii="Cambria Math" w:hAnsi="Cambria Math" w:cs="Cambria Math"/>
        </w:rPr>
        <w:t>∈</w:t>
      </w:r>
      <m:oMath>
        <m:d>
          <m:dPr>
            <m:begChr m:val="{"/>
            <m:endChr m:val="}"/>
            <m:ctrlPr>
              <w:rPr>
                <w:rFonts w:ascii="Cambria Math" w:hAnsi="Cambria Math" w:cs="Times New Roman"/>
                <w:i/>
              </w:rPr>
            </m:ctrlPr>
          </m:dPr>
          <m:e>
            <m:r>
              <m:rPr/>
              <w:rPr>
                <w:rFonts w:ascii="Cambria Math" w:hAnsi="Cambria Math" w:cs="Times New Roman"/>
              </w:rPr>
              <m:t>0,1</m:t>
            </m:r>
            <m:ctrlPr>
              <w:rPr>
                <w:rFonts w:ascii="Cambria Math" w:hAnsi="Cambria Math" w:cs="Times New Roman"/>
                <w:i/>
              </w:rPr>
            </m:ctrlPr>
          </m:e>
        </m:d>
      </m:oMath>
      <w:r>
        <w:rPr>
          <w:rFonts w:ascii="Times New Roman" w:hAnsi="Times New Roman" w:cs="Times New Roman" w:eastAsiaTheme="minorEastAsia"/>
        </w:rPr>
        <w:t xml:space="preserve"> = Rainwater harvesting for household i</w:t>
      </w:r>
    </w:p>
    <w:p w14:paraId="56624A46">
      <w:pPr>
        <w:jc w:val="both"/>
        <w:rPr>
          <w:rFonts w:ascii="Times New Roman" w:hAnsi="Times New Roman" w:cs="Times New Roman" w:eastAsiaTheme="minorEastAsia"/>
        </w:rPr>
      </w:pPr>
      <w:r>
        <w:rPr>
          <w:rFonts w:ascii="Times New Roman" w:hAnsi="Times New Roman" w:cs="Times New Roman" w:eastAsiaTheme="minorEastAsia"/>
        </w:rPr>
        <w:t xml:space="preserve">MCS_i </w:t>
      </w:r>
      <w:r>
        <w:rPr>
          <w:rFonts w:ascii="Cambria Math" w:hAnsi="Cambria Math" w:cs="Cambria Math" w:eastAsiaTheme="minorEastAsia"/>
        </w:rPr>
        <w:t>∈</w:t>
      </w:r>
      <m:oMath>
        <m:d>
          <m:dPr>
            <m:begChr m:val="{"/>
            <m:endChr m:val="}"/>
            <m:ctrlPr>
              <w:rPr>
                <w:rFonts w:ascii="Cambria Math" w:hAnsi="Cambria Math" w:cs="Times New Roman" w:eastAsiaTheme="minorEastAsia"/>
                <w:i/>
              </w:rPr>
            </m:ctrlPr>
          </m:dPr>
          <m:e>
            <m:r>
              <m:rPr/>
              <w:rPr>
                <w:rFonts w:ascii="Cambria Math" w:hAnsi="Cambria Math" w:cs="Times New Roman" w:eastAsiaTheme="minorEastAsia"/>
              </w:rPr>
              <m:t>0,1</m:t>
            </m:r>
            <m:ctrlPr>
              <w:rPr>
                <w:rFonts w:ascii="Cambria Math" w:hAnsi="Cambria Math" w:cs="Times New Roman" w:eastAsiaTheme="minorEastAsia"/>
                <w:i/>
              </w:rPr>
            </m:ctrlPr>
          </m:e>
        </m:d>
      </m:oMath>
      <w:r>
        <w:rPr>
          <w:rFonts w:ascii="Times New Roman" w:hAnsi="Times New Roman" w:cs="Times New Roman" w:eastAsiaTheme="minorEastAsia"/>
        </w:rPr>
        <w:t xml:space="preserve"> = Investing in a multicrop system for household i.</w:t>
      </w:r>
    </w:p>
    <w:p w14:paraId="34935223">
      <w:pPr>
        <w:jc w:val="both"/>
        <w:rPr>
          <w:rFonts w:ascii="Times New Roman" w:hAnsi="Times New Roman" w:cs="Times New Roman"/>
        </w:rPr>
      </w:pPr>
      <w:r>
        <w:rPr>
          <w:rFonts w:ascii="Times New Roman" w:hAnsi="Times New Roman" w:cs="Times New Roman" w:eastAsiaTheme="minorEastAsia"/>
        </w:rPr>
        <w:t>GOV_i</w:t>
      </w:r>
      <w:r>
        <w:rPr>
          <w:rFonts w:ascii="Cambria Math" w:hAnsi="Cambria Math" w:cs="Times New Roman" w:eastAsiaTheme="minorEastAsia"/>
        </w:rPr>
        <w:t>∈</w:t>
      </w:r>
      <m:oMath>
        <m:d>
          <m:dPr>
            <m:begChr m:val="{"/>
            <m:endChr m:val="}"/>
            <m:ctrlPr>
              <w:rPr>
                <w:rFonts w:ascii="Cambria Math" w:hAnsi="Cambria Math" w:cs="Times New Roman" w:eastAsiaTheme="minorEastAsia"/>
                <w:i/>
              </w:rPr>
            </m:ctrlPr>
          </m:dPr>
          <m:e>
            <m:r>
              <m:rPr/>
              <w:rPr>
                <w:rFonts w:ascii="Cambria Math" w:hAnsi="Cambria Math" w:cs="Times New Roman" w:eastAsiaTheme="minorEastAsia"/>
              </w:rPr>
              <m:t>0,1</m:t>
            </m:r>
            <m:ctrlPr>
              <w:rPr>
                <w:rFonts w:ascii="Cambria Math" w:hAnsi="Cambria Math" w:cs="Times New Roman" w:eastAsiaTheme="minorEastAsia"/>
                <w:i/>
              </w:rPr>
            </m:ctrlPr>
          </m:e>
        </m:d>
      </m:oMath>
      <w:r>
        <w:rPr>
          <w:rFonts w:ascii="Cambria Math" w:hAnsi="Cambria Math" w:cs="Times New Roman" w:eastAsiaTheme="minorEastAsia"/>
        </w:rPr>
        <w:t xml:space="preserve"> = Government initiative program for household i.</w:t>
      </w:r>
    </w:p>
    <w:p w14:paraId="0B4E2A83">
      <w:pPr>
        <w:jc w:val="both"/>
        <w:rPr>
          <w:rFonts w:ascii="Times New Roman" w:hAnsi="Times New Roman" w:cs="Times New Roman"/>
        </w:rPr>
      </w:pPr>
    </w:p>
    <w:p w14:paraId="22E88E34">
      <w:pPr>
        <w:jc w:val="both"/>
        <w:rPr>
          <w:rFonts w:ascii="Times New Roman" w:hAnsi="Times New Roman" w:cs="Times New Roman"/>
          <w:b/>
          <w:bCs/>
        </w:rPr>
      </w:pPr>
      <w:r>
        <w:rPr>
          <w:rFonts w:ascii="Times New Roman" w:hAnsi="Times New Roman" w:cs="Times New Roman"/>
          <w:b/>
          <w:bCs/>
        </w:rPr>
        <w:t>Common notation</w:t>
      </w:r>
    </w:p>
    <w:p w14:paraId="0A1112AF">
      <w:pPr>
        <w:jc w:val="both"/>
        <w:rPr>
          <w:rFonts w:ascii="Times New Roman" w:hAnsi="Times New Roman" w:cs="Times New Roman"/>
        </w:rPr>
      </w:pPr>
      <w:r>
        <w:rPr>
          <w:rFonts w:ascii="Times New Roman" w:hAnsi="Times New Roman" w:cs="Times New Roman"/>
          <w:i/>
          <w:iCs/>
        </w:rPr>
        <w:t>J</w:t>
      </w:r>
      <w:r>
        <w:rPr>
          <w:rFonts w:ascii="Times New Roman" w:hAnsi="Times New Roman" w:cs="Times New Roman"/>
        </w:rPr>
        <w:t xml:space="preserve"> = set of government initiatives, index j</w:t>
      </w:r>
    </w:p>
    <w:p w14:paraId="5F1F30BA">
      <w:pPr>
        <w:jc w:val="both"/>
        <w:rPr>
          <w:rFonts w:ascii="Times New Roman" w:hAnsi="Times New Roman" w:cs="Times New Roman"/>
        </w:rPr>
      </w:pPr>
      <w:r>
        <w:rPr>
          <w:rFonts w:ascii="Times New Roman" w:hAnsi="Times New Roman" w:cs="Times New Roman"/>
        </w:rPr>
        <w:t>D = set of elementary domains (HS</w:t>
      </w:r>
      <w:r>
        <w:rPr>
          <w:rFonts w:ascii="Times New Roman" w:hAnsi="Times New Roman" w:cs="Times New Roman"/>
          <w:i/>
          <w:iCs/>
          <w:vertAlign w:val="subscript"/>
        </w:rPr>
        <w:t>i,</w:t>
      </w:r>
      <w:r>
        <w:rPr>
          <w:rFonts w:ascii="Times New Roman" w:hAnsi="Times New Roman" w:cs="Times New Roman"/>
        </w:rPr>
        <w:t>DIET</w:t>
      </w:r>
      <w:r>
        <w:rPr>
          <w:rFonts w:ascii="Times New Roman" w:hAnsi="Times New Roman" w:cs="Times New Roman"/>
          <w:i/>
          <w:iCs/>
          <w:vertAlign w:val="subscript"/>
        </w:rPr>
        <w:t xml:space="preserve">i </w:t>
      </w:r>
      <w:r>
        <w:rPr>
          <w:rFonts w:ascii="Times New Roman" w:hAnsi="Times New Roman" w:cs="Times New Roman"/>
        </w:rPr>
        <w:t>, CHILD NUT</w:t>
      </w:r>
      <w:r>
        <w:rPr>
          <w:rFonts w:ascii="Times New Roman" w:hAnsi="Times New Roman" w:cs="Times New Roman"/>
          <w:i/>
          <w:iCs/>
          <w:vertAlign w:val="subscript"/>
        </w:rPr>
        <w:t>i</w:t>
      </w:r>
      <w:r>
        <w:rPr>
          <w:rFonts w:ascii="Times New Roman" w:hAnsi="Times New Roman" w:cs="Times New Roman"/>
        </w:rPr>
        <w:t>, MAT_HOSP</w:t>
      </w:r>
      <w:r>
        <w:rPr>
          <w:rFonts w:ascii="Times New Roman" w:hAnsi="Times New Roman" w:cs="Times New Roman"/>
          <w:i/>
          <w:iCs/>
          <w:vertAlign w:val="subscript"/>
        </w:rPr>
        <w:t>i</w:t>
      </w:r>
      <w:r>
        <w:rPr>
          <w:rFonts w:ascii="Times New Roman" w:hAnsi="Times New Roman" w:cs="Times New Roman"/>
        </w:rPr>
        <w:t>, MORT</w:t>
      </w:r>
      <w:r>
        <w:rPr>
          <w:rFonts w:ascii="Times New Roman" w:hAnsi="Times New Roman" w:cs="Times New Roman"/>
          <w:i/>
          <w:iCs/>
          <w:vertAlign w:val="subscript"/>
        </w:rPr>
        <w:t>i</w:t>
      </w:r>
      <w:r>
        <w:rPr>
          <w:rFonts w:ascii="Times New Roman" w:hAnsi="Times New Roman" w:cs="Times New Roman"/>
        </w:rPr>
        <w:t>, VACC</w:t>
      </w:r>
      <w:r>
        <w:rPr>
          <w:rFonts w:ascii="Times New Roman" w:hAnsi="Times New Roman" w:cs="Times New Roman"/>
          <w:i/>
          <w:iCs/>
          <w:vertAlign w:val="subscript"/>
        </w:rPr>
        <w:t>i</w:t>
      </w:r>
      <w:r>
        <w:rPr>
          <w:rFonts w:ascii="Times New Roman" w:hAnsi="Times New Roman" w:cs="Times New Roman"/>
        </w:rPr>
        <w:t>,FAM_HEALTH</w:t>
      </w:r>
      <w:r>
        <w:rPr>
          <w:rFonts w:ascii="Times New Roman" w:hAnsi="Times New Roman" w:cs="Times New Roman"/>
          <w:i/>
          <w:iCs/>
          <w:vertAlign w:val="subscript"/>
        </w:rPr>
        <w:t>i</w:t>
      </w:r>
      <w:r>
        <w:rPr>
          <w:rFonts w:ascii="Times New Roman" w:hAnsi="Times New Roman" w:cs="Times New Roman"/>
        </w:rPr>
        <w:t>,  AMBUL</w:t>
      </w:r>
      <w:r>
        <w:rPr>
          <w:rFonts w:ascii="Times New Roman" w:hAnsi="Times New Roman" w:cs="Times New Roman"/>
          <w:i/>
          <w:iCs/>
          <w:vertAlign w:val="subscript"/>
        </w:rPr>
        <w:t>i</w:t>
      </w:r>
      <w:r>
        <w:rPr>
          <w:rFonts w:ascii="Times New Roman" w:hAnsi="Times New Roman" w:cs="Times New Roman"/>
        </w:rPr>
        <w:t>, PHC_DIST</w:t>
      </w:r>
      <w:r>
        <w:rPr>
          <w:rFonts w:ascii="Times New Roman" w:hAnsi="Times New Roman" w:cs="Times New Roman"/>
          <w:i/>
          <w:iCs/>
          <w:vertAlign w:val="subscript"/>
        </w:rPr>
        <w:t xml:space="preserve">i </w:t>
      </w:r>
      <w:r>
        <w:rPr>
          <w:rFonts w:ascii="Times New Roman" w:hAnsi="Times New Roman" w:cs="Times New Roman"/>
        </w:rPr>
        <w:t>, HC_CLEAN</w:t>
      </w:r>
      <w:r>
        <w:rPr>
          <w:rFonts w:ascii="Times New Roman" w:hAnsi="Times New Roman" w:cs="Times New Roman"/>
          <w:i/>
          <w:iCs/>
          <w:vertAlign w:val="subscript"/>
        </w:rPr>
        <w:t>i</w:t>
      </w:r>
      <w:r>
        <w:rPr>
          <w:rFonts w:ascii="Times New Roman" w:hAnsi="Times New Roman" w:cs="Times New Roman"/>
        </w:rPr>
        <w:t>, , SC</w:t>
      </w:r>
      <w:r>
        <w:rPr>
          <w:rFonts w:ascii="Times New Roman" w:hAnsi="Times New Roman" w:cs="Times New Roman"/>
          <w:i/>
          <w:iCs/>
          <w:vertAlign w:val="subscript"/>
        </w:rPr>
        <w:t>i</w:t>
      </w:r>
      <w:r>
        <w:rPr>
          <w:rFonts w:ascii="Times New Roman" w:hAnsi="Times New Roman" w:cs="Times New Roman"/>
        </w:rPr>
        <w:t>, SUP_REL</w:t>
      </w:r>
      <w:r>
        <w:rPr>
          <w:rFonts w:ascii="Times New Roman" w:hAnsi="Times New Roman" w:cs="Times New Roman"/>
          <w:i/>
          <w:iCs/>
          <w:vertAlign w:val="subscript"/>
        </w:rPr>
        <w:t xml:space="preserve">i, </w:t>
      </w:r>
      <w:r>
        <w:rPr>
          <w:rFonts w:ascii="Times New Roman" w:hAnsi="Times New Roman" w:cs="Times New Roman"/>
        </w:rPr>
        <w:t xml:space="preserve"> SOC_CONTR</w:t>
      </w:r>
      <w:r>
        <w:rPr>
          <w:rFonts w:ascii="Times New Roman" w:hAnsi="Times New Roman" w:cs="Times New Roman"/>
          <w:i/>
          <w:iCs/>
          <w:vertAlign w:val="subscript"/>
        </w:rPr>
        <w:t>i</w:t>
      </w:r>
      <w:r>
        <w:rPr>
          <w:rFonts w:ascii="Times New Roman" w:hAnsi="Times New Roman" w:cs="Times New Roman"/>
        </w:rPr>
        <w:t>, RESPECT</w:t>
      </w:r>
      <w:r>
        <w:rPr>
          <w:rFonts w:ascii="Times New Roman" w:hAnsi="Times New Roman" w:cs="Times New Roman"/>
          <w:i/>
          <w:iCs/>
        </w:rPr>
        <w:t>i</w:t>
      </w:r>
      <w:r>
        <w:rPr>
          <w:rFonts w:ascii="Times New Roman" w:hAnsi="Times New Roman" w:cs="Times New Roman"/>
        </w:rPr>
        <w:t>, CE</w:t>
      </w:r>
      <w:r>
        <w:rPr>
          <w:rFonts w:ascii="Times New Roman" w:hAnsi="Times New Roman" w:cs="Times New Roman"/>
          <w:i/>
          <w:iCs/>
        </w:rPr>
        <w:t>i</w:t>
      </w:r>
      <w:r>
        <w:rPr>
          <w:rFonts w:ascii="Times New Roman" w:hAnsi="Times New Roman" w:cs="Times New Roman"/>
        </w:rPr>
        <w:t>, ELDER_CLUB_KNOW</w:t>
      </w:r>
      <w:r>
        <w:rPr>
          <w:rFonts w:ascii="Times New Roman" w:hAnsi="Times New Roman" w:cs="Times New Roman"/>
          <w:i/>
          <w:iCs/>
        </w:rPr>
        <w:t>i</w:t>
      </w:r>
      <w:r>
        <w:rPr>
          <w:rFonts w:ascii="Times New Roman" w:hAnsi="Times New Roman" w:cs="Times New Roman"/>
        </w:rPr>
        <w:t>, PART_MEET</w:t>
      </w:r>
      <w:r>
        <w:rPr>
          <w:rFonts w:ascii="Times New Roman" w:hAnsi="Times New Roman" w:cs="Times New Roman"/>
          <w:i/>
          <w:iCs/>
        </w:rPr>
        <w:t>i</w:t>
      </w:r>
      <w:r>
        <w:rPr>
          <w:rFonts w:ascii="Times New Roman" w:hAnsi="Times New Roman" w:cs="Times New Roman"/>
        </w:rPr>
        <w:t>, APP_REP</w:t>
      </w:r>
      <w:r>
        <w:rPr>
          <w:rFonts w:ascii="Times New Roman" w:hAnsi="Times New Roman" w:cs="Times New Roman"/>
          <w:i/>
          <w:iCs/>
        </w:rPr>
        <w:t>i</w:t>
      </w:r>
      <w:r>
        <w:rPr>
          <w:rFonts w:ascii="Times New Roman" w:hAnsi="Times New Roman" w:cs="Times New Roman"/>
        </w:rPr>
        <w:t>, VOTE_PART_F</w:t>
      </w:r>
      <w:r>
        <w:rPr>
          <w:rFonts w:ascii="Times New Roman" w:hAnsi="Times New Roman" w:cs="Times New Roman"/>
          <w:i/>
          <w:iCs/>
        </w:rPr>
        <w:t>i</w:t>
      </w:r>
      <w:r>
        <w:rPr>
          <w:rFonts w:ascii="Times New Roman" w:hAnsi="Times New Roman" w:cs="Times New Roman"/>
        </w:rPr>
        <w:t>, INC</w:t>
      </w:r>
      <w:r>
        <w:rPr>
          <w:rFonts w:ascii="Times New Roman" w:hAnsi="Times New Roman" w:cs="Times New Roman"/>
          <w:i/>
          <w:iCs/>
        </w:rPr>
        <w:t>i</w:t>
      </w:r>
      <w:r>
        <w:rPr>
          <w:rFonts w:ascii="Times New Roman" w:hAnsi="Times New Roman" w:cs="Times New Roman"/>
        </w:rPr>
        <w:t>, WLT</w:t>
      </w:r>
      <w:r>
        <w:rPr>
          <w:rFonts w:ascii="Times New Roman" w:hAnsi="Times New Roman" w:cs="Times New Roman"/>
          <w:i/>
          <w:iCs/>
        </w:rPr>
        <w:t>i</w:t>
      </w:r>
      <w:r>
        <w:rPr>
          <w:rFonts w:ascii="Times New Roman" w:hAnsi="Times New Roman" w:cs="Times New Roman"/>
        </w:rPr>
        <w:t>, KGARD</w:t>
      </w:r>
      <w:r>
        <w:rPr>
          <w:rFonts w:ascii="Times New Roman" w:hAnsi="Times New Roman" w:cs="Times New Roman"/>
          <w:i/>
          <w:iCs/>
        </w:rPr>
        <w:t>i</w:t>
      </w:r>
      <w:r>
        <w:rPr>
          <w:rFonts w:ascii="Times New Roman" w:hAnsi="Times New Roman" w:cs="Times New Roman"/>
        </w:rPr>
        <w:t>, OWN_LAND</w:t>
      </w:r>
      <w:r>
        <w:rPr>
          <w:rFonts w:ascii="Times New Roman" w:hAnsi="Times New Roman" w:cs="Times New Roman"/>
          <w:i/>
          <w:iCs/>
        </w:rPr>
        <w:t>i</w:t>
      </w:r>
      <w:r>
        <w:rPr>
          <w:rFonts w:ascii="Times New Roman" w:hAnsi="Times New Roman" w:cs="Times New Roman"/>
        </w:rPr>
        <w:t>, OWN_HOUSE</w:t>
      </w:r>
      <w:r>
        <w:rPr>
          <w:rFonts w:ascii="Times New Roman" w:hAnsi="Times New Roman" w:cs="Times New Roman"/>
          <w:i/>
          <w:iCs/>
        </w:rPr>
        <w:t>i</w:t>
      </w:r>
      <w:r>
        <w:rPr>
          <w:rFonts w:ascii="Times New Roman" w:hAnsi="Times New Roman" w:cs="Times New Roman"/>
        </w:rPr>
        <w:t>, MORTG</w:t>
      </w:r>
      <w:r>
        <w:rPr>
          <w:rFonts w:ascii="Times New Roman" w:hAnsi="Times New Roman" w:cs="Times New Roman"/>
          <w:i/>
          <w:iCs/>
        </w:rPr>
        <w:t xml:space="preserve">i, </w:t>
      </w:r>
      <w:r>
        <w:rPr>
          <w:rFonts w:ascii="Times New Roman" w:hAnsi="Times New Roman" w:cs="Times New Roman"/>
        </w:rPr>
        <w:t xml:space="preserve"> LIFESTYLE</w:t>
      </w:r>
      <w:r>
        <w:rPr>
          <w:rFonts w:ascii="Times New Roman" w:hAnsi="Times New Roman" w:cs="Times New Roman"/>
          <w:i/>
          <w:iCs/>
        </w:rPr>
        <w:t>i</w:t>
      </w:r>
      <w:r>
        <w:rPr>
          <w:rFonts w:ascii="Times New Roman" w:hAnsi="Times New Roman" w:cs="Times New Roman"/>
        </w:rPr>
        <w:t>, SAT_INC_Y</w:t>
      </w:r>
      <w:r>
        <w:rPr>
          <w:rFonts w:ascii="Times New Roman" w:hAnsi="Times New Roman" w:cs="Times New Roman"/>
          <w:i/>
          <w:iCs/>
        </w:rPr>
        <w:t>i</w:t>
      </w:r>
      <w:r>
        <w:rPr>
          <w:rFonts w:ascii="Times New Roman" w:hAnsi="Times New Roman" w:cs="Times New Roman"/>
        </w:rPr>
        <w:t>, WLB</w:t>
      </w:r>
      <w:r>
        <w:rPr>
          <w:rFonts w:ascii="Times New Roman" w:hAnsi="Times New Roman" w:cs="Times New Roman"/>
          <w:i/>
          <w:iCs/>
        </w:rPr>
        <w:t>i</w:t>
      </w:r>
      <w:r>
        <w:rPr>
          <w:rFonts w:ascii="Times New Roman" w:hAnsi="Times New Roman" w:cs="Times New Roman"/>
        </w:rPr>
        <w:t>, FREE_ACT</w:t>
      </w:r>
      <w:r>
        <w:rPr>
          <w:rFonts w:ascii="Times New Roman" w:hAnsi="Times New Roman" w:cs="Times New Roman"/>
          <w:i/>
          <w:iCs/>
        </w:rPr>
        <w:t>i</w:t>
      </w:r>
      <w:r>
        <w:rPr>
          <w:rFonts w:ascii="Times New Roman" w:hAnsi="Times New Roman" w:cs="Times New Roman"/>
        </w:rPr>
        <w:t>, LIFESTYLE_DESC</w:t>
      </w:r>
      <w:r>
        <w:rPr>
          <w:rFonts w:ascii="Times New Roman" w:hAnsi="Times New Roman" w:cs="Times New Roman"/>
          <w:i/>
          <w:iCs/>
        </w:rPr>
        <w:t>i</w:t>
      </w:r>
      <w:r>
        <w:rPr>
          <w:rFonts w:ascii="Times New Roman" w:hAnsi="Times New Roman" w:cs="Times New Roman"/>
        </w:rPr>
        <w:t>, SAT_STD_LIV</w:t>
      </w:r>
      <w:r>
        <w:rPr>
          <w:rFonts w:ascii="Times New Roman" w:hAnsi="Times New Roman" w:cs="Times New Roman"/>
          <w:i/>
          <w:iCs/>
        </w:rPr>
        <w:t>i</w:t>
      </w:r>
      <w:r>
        <w:rPr>
          <w:rFonts w:ascii="Times New Roman" w:hAnsi="Times New Roman" w:cs="Times New Roman"/>
        </w:rPr>
        <w:t>, SAT_YINC</w:t>
      </w:r>
      <w:r>
        <w:rPr>
          <w:rFonts w:ascii="Times New Roman" w:hAnsi="Times New Roman" w:cs="Times New Roman"/>
          <w:i/>
          <w:iCs/>
        </w:rPr>
        <w:t>i</w:t>
      </w:r>
      <w:r>
        <w:rPr>
          <w:rFonts w:ascii="Times New Roman" w:hAnsi="Times New Roman" w:cs="Times New Roman"/>
        </w:rPr>
        <w:t>, EMOT</w:t>
      </w:r>
      <w:r>
        <w:rPr>
          <w:rFonts w:ascii="Times New Roman" w:hAnsi="Times New Roman" w:cs="Times New Roman"/>
          <w:i/>
          <w:iCs/>
        </w:rPr>
        <w:t xml:space="preserve">i, </w:t>
      </w:r>
      <w:r>
        <w:rPr>
          <w:rFonts w:ascii="Times New Roman" w:hAnsi="Times New Roman" w:cs="Times New Roman"/>
        </w:rPr>
        <w:t>HAP</w:t>
      </w:r>
      <w:r>
        <w:rPr>
          <w:rFonts w:ascii="Times New Roman" w:hAnsi="Times New Roman" w:cs="Times New Roman"/>
          <w:i/>
          <w:iCs/>
        </w:rPr>
        <w:t xml:space="preserve">i, </w:t>
      </w:r>
      <w:r>
        <w:rPr>
          <w:rFonts w:ascii="Times New Roman" w:hAnsi="Times New Roman" w:cs="Times New Roman"/>
        </w:rPr>
        <w:t xml:space="preserve"> SAT_LIFE</w:t>
      </w:r>
      <w:r>
        <w:rPr>
          <w:rFonts w:ascii="Times New Roman" w:hAnsi="Times New Roman" w:cs="Times New Roman"/>
          <w:i/>
          <w:iCs/>
        </w:rPr>
        <w:t>i</w:t>
      </w:r>
      <w:r>
        <w:rPr>
          <w:rFonts w:ascii="Times New Roman" w:hAnsi="Times New Roman" w:cs="Times New Roman"/>
        </w:rPr>
        <w:t>, ANX</w:t>
      </w:r>
      <w:r>
        <w:rPr>
          <w:rFonts w:ascii="Times New Roman" w:hAnsi="Times New Roman" w:cs="Times New Roman"/>
          <w:i/>
          <w:iCs/>
        </w:rPr>
        <w:t>i</w:t>
      </w:r>
      <w:r>
        <w:rPr>
          <w:rFonts w:ascii="Times New Roman" w:hAnsi="Times New Roman" w:cs="Times New Roman"/>
        </w:rPr>
        <w:t>, RSK</w:t>
      </w:r>
      <w:r>
        <w:rPr>
          <w:rFonts w:ascii="Times New Roman" w:hAnsi="Times New Roman" w:cs="Times New Roman"/>
          <w:i/>
          <w:iCs/>
        </w:rPr>
        <w:t>i</w:t>
      </w:r>
      <w:r>
        <w:rPr>
          <w:rFonts w:ascii="Times New Roman" w:hAnsi="Times New Roman" w:cs="Times New Roman"/>
        </w:rPr>
        <w:t>, AGRISK</w:t>
      </w:r>
      <w:r>
        <w:rPr>
          <w:rFonts w:ascii="Times New Roman" w:hAnsi="Times New Roman" w:cs="Times New Roman"/>
          <w:i/>
          <w:iCs/>
        </w:rPr>
        <w:t>i</w:t>
      </w:r>
      <w:r>
        <w:rPr>
          <w:rFonts w:ascii="Times New Roman" w:hAnsi="Times New Roman" w:cs="Times New Roman"/>
        </w:rPr>
        <w:t>, FINRISK</w:t>
      </w:r>
      <w:r>
        <w:rPr>
          <w:rFonts w:ascii="Times New Roman" w:hAnsi="Times New Roman" w:cs="Times New Roman"/>
          <w:i/>
          <w:iCs/>
        </w:rPr>
        <w:t>i,</w:t>
      </w:r>
      <w:r>
        <w:rPr>
          <w:rFonts w:ascii="Times New Roman" w:hAnsi="Times New Roman" w:cs="Times New Roman"/>
        </w:rPr>
        <w:t>HQ</w:t>
      </w:r>
      <w:r>
        <w:rPr>
          <w:rFonts w:ascii="Times New Roman" w:hAnsi="Times New Roman" w:cs="Times New Roman"/>
          <w:i/>
          <w:iCs/>
        </w:rPr>
        <w:t>i</w:t>
      </w:r>
      <w:r>
        <w:rPr>
          <w:rFonts w:ascii="Times New Roman" w:hAnsi="Times New Roman" w:cs="Times New Roman"/>
        </w:rPr>
        <w:t>, HOUSE_TYPE</w:t>
      </w:r>
      <w:r>
        <w:rPr>
          <w:rFonts w:ascii="Times New Roman" w:hAnsi="Times New Roman" w:cs="Times New Roman"/>
          <w:i/>
          <w:iCs/>
        </w:rPr>
        <w:t>i</w:t>
      </w:r>
      <w:r>
        <w:rPr>
          <w:rFonts w:ascii="Times New Roman" w:hAnsi="Times New Roman" w:cs="Times New Roman"/>
        </w:rPr>
        <w:t>, HOUS_ASSET</w:t>
      </w:r>
      <w:r>
        <w:rPr>
          <w:rFonts w:ascii="Times New Roman" w:hAnsi="Times New Roman" w:cs="Times New Roman"/>
          <w:i/>
          <w:iCs/>
        </w:rPr>
        <w:t xml:space="preserve">i, </w:t>
      </w:r>
      <w:r>
        <w:rPr>
          <w:rFonts w:ascii="Times New Roman" w:hAnsi="Times New Roman" w:cs="Times New Roman"/>
        </w:rPr>
        <w:t>HOUS_MAT</w:t>
      </w:r>
      <w:r>
        <w:rPr>
          <w:rFonts w:ascii="Times New Roman" w:hAnsi="Times New Roman" w:cs="Times New Roman"/>
          <w:i/>
          <w:iCs/>
        </w:rPr>
        <w:t>i</w:t>
      </w:r>
      <w:r>
        <w:rPr>
          <w:rFonts w:ascii="Times New Roman" w:hAnsi="Times New Roman" w:cs="Times New Roman"/>
        </w:rPr>
        <w:t>, EQ</w:t>
      </w:r>
      <w:r>
        <w:rPr>
          <w:rFonts w:ascii="Times New Roman" w:hAnsi="Times New Roman" w:cs="Times New Roman"/>
          <w:i/>
          <w:iCs/>
        </w:rPr>
        <w:t>i</w:t>
      </w:r>
      <w:r>
        <w:rPr>
          <w:rFonts w:ascii="Times New Roman" w:hAnsi="Times New Roman" w:cs="Times New Roman"/>
        </w:rPr>
        <w:t>, SDW</w:t>
      </w:r>
      <w:r>
        <w:rPr>
          <w:rFonts w:ascii="Times New Roman" w:hAnsi="Times New Roman" w:cs="Times New Roman"/>
          <w:i/>
          <w:iCs/>
        </w:rPr>
        <w:t>i</w:t>
      </w:r>
      <w:r>
        <w:rPr>
          <w:rFonts w:ascii="Times New Roman" w:hAnsi="Times New Roman" w:cs="Times New Roman"/>
        </w:rPr>
        <w:t>, SOIL_COL</w:t>
      </w:r>
      <w:r>
        <w:rPr>
          <w:rFonts w:ascii="Times New Roman" w:hAnsi="Times New Roman" w:cs="Times New Roman"/>
          <w:i/>
          <w:iCs/>
        </w:rPr>
        <w:t>i</w:t>
      </w:r>
      <w:r>
        <w:rPr>
          <w:rFonts w:ascii="Times New Roman" w:hAnsi="Times New Roman" w:cs="Times New Roman"/>
        </w:rPr>
        <w:t>, SOIL_QUAL</w:t>
      </w:r>
      <w:r>
        <w:rPr>
          <w:rFonts w:ascii="Times New Roman" w:hAnsi="Times New Roman" w:cs="Times New Roman"/>
          <w:i/>
          <w:iCs/>
        </w:rPr>
        <w:t xml:space="preserve">i , </w:t>
      </w:r>
      <w:r>
        <w:rPr>
          <w:rFonts w:ascii="Times New Roman" w:hAnsi="Times New Roman" w:cs="Times New Roman"/>
        </w:rPr>
        <w:t>LAND_DEG</w:t>
      </w:r>
      <w:r>
        <w:rPr>
          <w:rFonts w:ascii="Times New Roman" w:hAnsi="Times New Roman" w:cs="Times New Roman"/>
          <w:i/>
          <w:iCs/>
        </w:rPr>
        <w:t xml:space="preserve">i, </w:t>
      </w:r>
      <w:r>
        <w:rPr>
          <w:rFonts w:ascii="Times New Roman" w:hAnsi="Times New Roman" w:cs="Times New Roman"/>
        </w:rPr>
        <w:t>EDU</w:t>
      </w:r>
      <w:r>
        <w:rPr>
          <w:rFonts w:ascii="Times New Roman" w:hAnsi="Times New Roman" w:cs="Times New Roman"/>
          <w:i/>
          <w:iCs/>
        </w:rPr>
        <w:t>i</w:t>
      </w:r>
      <w:r>
        <w:rPr>
          <w:rFonts w:ascii="Times New Roman" w:hAnsi="Times New Roman" w:cs="Times New Roman"/>
        </w:rPr>
        <w:t>, OCP</w:t>
      </w:r>
      <w:r>
        <w:rPr>
          <w:rFonts w:ascii="Times New Roman" w:hAnsi="Times New Roman" w:cs="Times New Roman"/>
          <w:i/>
          <w:iCs/>
        </w:rPr>
        <w:t>i</w:t>
      </w:r>
      <w:r>
        <w:rPr>
          <w:rFonts w:ascii="Times New Roman" w:hAnsi="Times New Roman" w:cs="Times New Roman"/>
        </w:rPr>
        <w:t>, SKD</w:t>
      </w:r>
      <w:r>
        <w:rPr>
          <w:rFonts w:ascii="Times New Roman" w:hAnsi="Times New Roman" w:cs="Times New Roman"/>
          <w:i/>
          <w:iCs/>
        </w:rPr>
        <w:t>i</w:t>
      </w:r>
      <w:r>
        <w:rPr>
          <w:rFonts w:ascii="Times New Roman" w:hAnsi="Times New Roman" w:cs="Times New Roman"/>
        </w:rPr>
        <w:t>, AG_PROG</w:t>
      </w:r>
      <w:r>
        <w:rPr>
          <w:rFonts w:ascii="Times New Roman" w:hAnsi="Times New Roman" w:cs="Times New Roman"/>
          <w:i/>
          <w:iCs/>
        </w:rPr>
        <w:t>i</w:t>
      </w:r>
      <w:r>
        <w:rPr>
          <w:rFonts w:ascii="Times New Roman" w:hAnsi="Times New Roman" w:cs="Times New Roman"/>
        </w:rPr>
        <w:t>, SKILL_DEV</w:t>
      </w:r>
      <w:r>
        <w:rPr>
          <w:rFonts w:ascii="Times New Roman" w:hAnsi="Times New Roman" w:cs="Times New Roman"/>
          <w:i/>
          <w:iCs/>
        </w:rPr>
        <w:t xml:space="preserve">i, </w:t>
      </w:r>
      <w:r>
        <w:rPr>
          <w:rFonts w:ascii="Times New Roman" w:hAnsi="Times New Roman" w:cs="Times New Roman"/>
        </w:rPr>
        <w:t>TRAIN_WSHOP</w:t>
      </w:r>
      <w:r>
        <w:rPr>
          <w:rFonts w:ascii="Times New Roman" w:hAnsi="Times New Roman" w:cs="Times New Roman"/>
          <w:i/>
          <w:iCs/>
        </w:rPr>
        <w:t>i</w:t>
      </w:r>
      <w:r>
        <w:rPr>
          <w:rFonts w:ascii="Times New Roman" w:hAnsi="Times New Roman" w:cs="Times New Roman"/>
        </w:rPr>
        <w:t>.</w:t>
      </w:r>
    </w:p>
    <w:p w14:paraId="26356DB1">
      <w:pPr>
        <w:jc w:val="both"/>
        <w:rPr>
          <w:rFonts w:ascii="Times New Roman" w:hAnsi="Times New Roman" w:cs="Times New Roman"/>
          <w:i/>
          <w:iCs/>
        </w:rPr>
      </w:pPr>
      <w:r>
        <w:rPr>
          <w:rFonts w:ascii="Times New Roman" w:hAnsi="Times New Roman" w:cs="Times New Roman"/>
        </w:rPr>
        <w:t>Z</w:t>
      </w:r>
      <w:r>
        <w:rPr>
          <w:rFonts w:ascii="Times New Roman" w:hAnsi="Times New Roman" w:cs="Times New Roman"/>
          <w:vertAlign w:val="superscript"/>
        </w:rPr>
        <w:t>1</w:t>
      </w:r>
      <w:r>
        <w:rPr>
          <w:rFonts w:ascii="Times New Roman" w:hAnsi="Times New Roman" w:cs="Times New Roman"/>
        </w:rPr>
        <w:t xml:space="preserve"> = (PWB</w:t>
      </w:r>
      <w:r>
        <w:rPr>
          <w:rFonts w:ascii="Times New Roman" w:hAnsi="Times New Roman" w:cs="Times New Roman"/>
          <w:i/>
          <w:iCs/>
        </w:rPr>
        <w:t>i +SoWBi + EWBi + OCWBi +ENWBi+PSWBi)</w:t>
      </w:r>
    </w:p>
    <w:p w14:paraId="114D3960">
      <w:pPr>
        <w:jc w:val="both"/>
        <w:rPr>
          <w:rFonts w:ascii="Times New Roman" w:hAnsi="Times New Roman" w:cs="Times New Roman"/>
          <w:i/>
          <w:iCs/>
          <w:vertAlign w:val="subscript"/>
        </w:rPr>
      </w:pPr>
    </w:p>
    <w:p w14:paraId="6B9D58AD">
      <w:pPr>
        <w:jc w:val="both"/>
        <w:rPr>
          <w:rFonts w:ascii="Times New Roman" w:hAnsi="Times New Roman" w:cs="Times New Roman"/>
        </w:rPr>
      </w:pPr>
    </w:p>
    <w:p w14:paraId="115EB079">
      <w:pPr>
        <w:jc w:val="both"/>
        <w:rPr>
          <w:rFonts w:ascii="Times New Roman" w:hAnsi="Times New Roman" w:cs="Times New Roman"/>
        </w:rPr>
      </w:pPr>
      <w:r>
        <w:rPr>
          <w:rFonts w:ascii="Times New Roman" w:hAnsi="Times New Roman" w:cs="Times New Roman"/>
        </w:rPr>
        <w:t>Parameters given to be fulfilled.</w:t>
      </w:r>
    </w:p>
    <w:p w14:paraId="0FD7D75D">
      <w:pPr>
        <w:jc w:val="both"/>
        <w:rPr>
          <w:rFonts w:ascii="Times New Roman" w:hAnsi="Times New Roman" w:cs="Times New Roman"/>
        </w:rPr>
      </w:pPr>
      <w:r>
        <w:rPr>
          <w:rFonts w:ascii="Times New Roman" w:hAnsi="Times New Roman" w:cs="Times New Roman"/>
          <w:i/>
          <w:iCs/>
        </w:rPr>
        <w:t>J</w:t>
      </w:r>
      <w:r>
        <w:rPr>
          <w:rFonts w:ascii="Times New Roman" w:hAnsi="Times New Roman" w:cs="Times New Roman"/>
        </w:rPr>
        <w:t xml:space="preserve"> = Set of Government initiatives</w:t>
      </w:r>
    </w:p>
    <w:p w14:paraId="32CAFD47">
      <w:pPr>
        <w:jc w:val="both"/>
        <w:rPr>
          <w:rFonts w:ascii="Times New Roman" w:hAnsi="Times New Roman" w:cs="Times New Roman"/>
        </w:rPr>
      </w:pPr>
      <w:r>
        <w:rPr>
          <w:rFonts w:ascii="Times New Roman" w:hAnsi="Times New Roman" w:cs="Times New Roman"/>
          <w:i/>
          <w:iCs/>
        </w:rPr>
        <w:t xml:space="preserve"> B</w:t>
      </w:r>
      <w:r>
        <w:rPr>
          <w:rFonts w:ascii="Times New Roman" w:hAnsi="Times New Roman" w:cs="Times New Roman"/>
        </w:rPr>
        <w:t>= total government budget (Rs. 1,50,00,000).</w:t>
      </w:r>
    </w:p>
    <w:p w14:paraId="6520F9D6">
      <w:pPr>
        <w:jc w:val="both"/>
        <w:rPr>
          <w:rFonts w:ascii="Times New Roman" w:hAnsi="Times New Roman" w:cs="Times New Roman"/>
        </w:rPr>
      </w:pPr>
      <w:r>
        <w:rPr>
          <w:rFonts w:ascii="Times New Roman" w:hAnsi="Times New Roman" w:cs="Times New Roman"/>
          <w:i/>
          <w:iCs/>
        </w:rPr>
        <w:t xml:space="preserve"> L</w:t>
      </w:r>
      <w:r>
        <w:rPr>
          <w:rFonts w:ascii="Times New Roman" w:hAnsi="Times New Roman" w:cs="Times New Roman"/>
        </w:rPr>
        <w:t>= maximum number of initiatives per respondent(10)</w:t>
      </w:r>
    </w:p>
    <w:p w14:paraId="4A7924B9">
      <w:pPr>
        <w:jc w:val="both"/>
        <w:rPr>
          <w:rFonts w:ascii="Times New Roman" w:hAnsi="Times New Roman" w:cs="Times New Roman"/>
        </w:rPr>
      </w:pPr>
      <w:r>
        <w:rPr>
          <w:rFonts w:ascii="Times New Roman" w:hAnsi="Times New Roman" w:cs="Times New Roman"/>
          <w:i/>
          <w:iCs/>
        </w:rPr>
        <w:t>N</w:t>
      </w:r>
      <w:r>
        <w:rPr>
          <w:rFonts w:ascii="Times New Roman" w:hAnsi="Times New Roman" w:cs="Times New Roman"/>
        </w:rPr>
        <w:t xml:space="preserve"> = total number of respondents/households in the target population (623).</w:t>
      </w:r>
    </w:p>
    <w:p w14:paraId="3FD1C170">
      <w:pPr>
        <w:jc w:val="both"/>
        <w:rPr>
          <w:rFonts w:ascii="Times New Roman" w:hAnsi="Times New Roman" w:cs="Times New Roman"/>
        </w:rPr>
      </w:pPr>
      <w:r>
        <w:rPr>
          <w:rFonts w:ascii="Times New Roman" w:hAnsi="Times New Roman" w:cs="Times New Roman"/>
          <w:i/>
          <w:iCs/>
        </w:rPr>
        <w:t>d</w:t>
      </w:r>
      <w:r>
        <w:rPr>
          <w:rFonts w:ascii="Times New Roman" w:hAnsi="Times New Roman" w:cs="Times New Roman"/>
        </w:rPr>
        <w:t xml:space="preserve"> = refers to a specific domain of well-being</w:t>
      </w:r>
    </w:p>
    <w:p w14:paraId="0D7C72CE">
      <w:pPr>
        <w:jc w:val="both"/>
        <w:rPr>
          <w:rFonts w:ascii="Times New Roman" w:hAnsi="Times New Roman" w:cs="Times New Roman"/>
        </w:rPr>
      </w:pPr>
      <w:r>
        <w:rPr>
          <w:rFonts w:ascii="Times New Roman" w:hAnsi="Times New Roman" w:cs="Times New Roman"/>
          <w:i/>
          <w:iCs/>
        </w:rPr>
        <w:t>wd</w:t>
      </w:r>
      <w:r>
        <w:rPr>
          <w:rFonts w:ascii="Times New Roman" w:hAnsi="Times New Roman" w:cs="Times New Roman"/>
        </w:rPr>
        <w:t xml:space="preserve"> = is the weight assigned to that domain </w:t>
      </w:r>
      <w:r>
        <w:rPr>
          <w:rFonts w:ascii="Times New Roman" w:hAnsi="Times New Roman" w:cs="Times New Roman"/>
          <w:i/>
          <w:iCs/>
        </w:rPr>
        <w:t>d</w:t>
      </w:r>
      <w:r>
        <w:rPr>
          <w:rFonts w:ascii="Times New Roman" w:hAnsi="Times New Roman" w:cs="Times New Roman"/>
        </w:rPr>
        <w:t>.</w:t>
      </w:r>
    </w:p>
    <w:p w14:paraId="731D324C">
      <w:pPr>
        <w:jc w:val="both"/>
        <w:rPr>
          <w:rFonts w:ascii="Times New Roman" w:hAnsi="Times New Roman" w:cs="Times New Roman"/>
        </w:rPr>
      </w:pPr>
      <w:r>
        <w:rPr>
          <w:rFonts w:ascii="Times New Roman" w:hAnsi="Times New Roman" w:cs="Times New Roman"/>
        </w:rPr>
        <w:t>MaxResp</w:t>
      </w:r>
      <w:r>
        <w:rPr>
          <w:rFonts w:ascii="Times New Roman" w:hAnsi="Times New Roman" w:cs="Times New Roman"/>
          <w:i/>
          <w:iCs/>
        </w:rPr>
        <w:t xml:space="preserve">j = </w:t>
      </w:r>
      <w:r>
        <w:rPr>
          <w:rFonts w:ascii="Times New Roman" w:hAnsi="Times New Roman" w:cs="Times New Roman"/>
        </w:rPr>
        <w:t>capacity of initiative</w:t>
      </w:r>
      <w:r>
        <w:rPr>
          <w:rFonts w:ascii="Times New Roman" w:hAnsi="Times New Roman" w:cs="Times New Roman"/>
          <w:i/>
          <w:iCs/>
        </w:rPr>
        <w:t xml:space="preserve"> j</w:t>
      </w:r>
      <w:r>
        <w:rPr>
          <w:rFonts w:ascii="Times New Roman" w:hAnsi="Times New Roman" w:cs="Times New Roman"/>
        </w:rPr>
        <w:t xml:space="preserve"> (maximum number of respondents initiative </w:t>
      </w:r>
      <w:r>
        <w:rPr>
          <w:rFonts w:ascii="Times New Roman" w:hAnsi="Times New Roman" w:cs="Times New Roman"/>
          <w:i/>
          <w:iCs/>
        </w:rPr>
        <w:t>j</w:t>
      </w:r>
      <w:r>
        <w:rPr>
          <w:rFonts w:ascii="Times New Roman" w:hAnsi="Times New Roman" w:cs="Times New Roman"/>
        </w:rPr>
        <w:t>can cover)</w:t>
      </w:r>
    </w:p>
    <w:p w14:paraId="5CAF4D24">
      <w:pPr>
        <w:jc w:val="both"/>
        <w:rPr>
          <w:rFonts w:ascii="Times New Roman" w:hAnsi="Times New Roman" w:cs="Times New Roman"/>
        </w:rPr>
      </w:pPr>
      <w:r>
        <w:rPr>
          <w:rFonts w:ascii="Times New Roman" w:hAnsi="Times New Roman" w:cs="Times New Roman"/>
        </w:rPr>
        <w:t>Cost</w:t>
      </w:r>
      <w:r>
        <w:rPr>
          <w:rFonts w:ascii="Times New Roman" w:hAnsi="Times New Roman" w:cs="Times New Roman"/>
          <w:i/>
          <w:iCs/>
        </w:rPr>
        <w:t xml:space="preserve">j </w:t>
      </w:r>
      <w:r>
        <w:rPr>
          <w:rFonts w:ascii="Times New Roman" w:hAnsi="Times New Roman" w:cs="Times New Roman"/>
        </w:rPr>
        <w:t xml:space="preserve">= cost per respondent to apply initiative </w:t>
      </w:r>
      <w:r>
        <w:rPr>
          <w:rFonts w:ascii="Times New Roman" w:hAnsi="Times New Roman" w:cs="Times New Roman"/>
          <w:i/>
          <w:iCs/>
        </w:rPr>
        <w:t>j</w:t>
      </w:r>
      <w:r>
        <w:rPr>
          <w:rFonts w:ascii="Times New Roman" w:hAnsi="Times New Roman" w:cs="Times New Roman"/>
        </w:rPr>
        <w:t>.</w:t>
      </w:r>
    </w:p>
    <w:p w14:paraId="43924392">
      <w:pPr>
        <w:jc w:val="both"/>
        <w:rPr>
          <w:rFonts w:ascii="Times New Roman" w:hAnsi="Times New Roman" w:cs="Times New Roman"/>
        </w:rPr>
      </w:pPr>
      <w:r>
        <w:rPr>
          <w:rFonts w:ascii="Times New Roman" w:hAnsi="Times New Roman" w:cs="Times New Roman"/>
        </w:rPr>
        <w:t>MaxCost</w:t>
      </w:r>
      <w:r>
        <w:rPr>
          <w:rFonts w:ascii="Times New Roman" w:hAnsi="Times New Roman" w:cs="Times New Roman"/>
          <w:i/>
          <w:iCs/>
        </w:rPr>
        <w:t>j</w:t>
      </w:r>
      <w:r>
        <w:rPr>
          <w:rFonts w:ascii="Times New Roman" w:hAnsi="Times New Roman" w:cs="Times New Roman"/>
        </w:rPr>
        <w:t xml:space="preserve"> = maximum allowable total spend on initiative </w:t>
      </w:r>
      <w:r>
        <w:rPr>
          <w:rFonts w:ascii="Times New Roman" w:hAnsi="Times New Roman" w:cs="Times New Roman"/>
          <w:i/>
          <w:iCs/>
        </w:rPr>
        <w:t>j</w:t>
      </w:r>
      <w:r>
        <w:rPr>
          <w:rFonts w:ascii="Times New Roman" w:hAnsi="Times New Roman" w:cs="Times New Roman"/>
        </w:rPr>
        <w:t xml:space="preserve"> on domain </w:t>
      </w:r>
      <w:r>
        <w:rPr>
          <w:rFonts w:ascii="Times New Roman" w:hAnsi="Times New Roman" w:cs="Times New Roman"/>
          <w:i/>
          <w:iCs/>
        </w:rPr>
        <w:t>d</w:t>
      </w:r>
      <w:r>
        <w:rPr>
          <w:rFonts w:ascii="Times New Roman" w:hAnsi="Times New Roman" w:cs="Times New Roman"/>
        </w:rPr>
        <w:t xml:space="preserve">. </w:t>
      </w:r>
    </w:p>
    <w:p w14:paraId="7DAA4818">
      <w:pPr>
        <w:jc w:val="both"/>
        <w:rPr>
          <w:rFonts w:ascii="Times New Roman" w:hAnsi="Times New Roman" w:cs="Times New Roman" w:eastAsiaTheme="minorEastAsia"/>
        </w:rPr>
      </w:pPr>
      <w:r>
        <w:rPr>
          <w:rFonts w:ascii="Times New Roman" w:hAnsi="Times New Roman" w:cs="Times New Roman"/>
        </w:rPr>
        <w:t>IF</w:t>
      </w:r>
      <w:r>
        <w:rPr>
          <w:rFonts w:ascii="Times New Roman" w:hAnsi="Times New Roman" w:cs="Times New Roman"/>
          <w:vertAlign w:val="subscript"/>
        </w:rPr>
        <w:t xml:space="preserve">j,d </w:t>
      </w:r>
      <w:r>
        <w:rPr>
          <w:rFonts w:ascii="Cambria Math" w:hAnsi="Cambria Math" w:cs="Cambria Math"/>
        </w:rPr>
        <w:t>∈</w:t>
      </w:r>
      <m:oMath>
        <m:d>
          <m:dPr>
            <m:begChr m:val="["/>
            <m:endChr m:val="]"/>
            <m:ctrlPr>
              <w:rPr>
                <w:rFonts w:ascii="Cambria Math" w:hAnsi="Cambria Math" w:cs="Times New Roman"/>
                <w:i/>
              </w:rPr>
            </m:ctrlPr>
          </m:dPr>
          <m:e>
            <m:r>
              <m:rPr/>
              <w:rPr>
                <w:rFonts w:ascii="Cambria Math" w:hAnsi="Cambria Math" w:cs="Times New Roman"/>
              </w:rPr>
              <m:t>0,1</m:t>
            </m:r>
            <m:ctrlPr>
              <w:rPr>
                <w:rFonts w:ascii="Cambria Math" w:hAnsi="Cambria Math" w:cs="Times New Roman"/>
                <w:i/>
              </w:rPr>
            </m:ctrlPr>
          </m:e>
        </m:d>
      </m:oMath>
      <w:r>
        <w:rPr>
          <w:rFonts w:ascii="Times New Roman" w:hAnsi="Times New Roman" w:cs="Times New Roman" w:eastAsiaTheme="minorEastAsia"/>
        </w:rPr>
        <w:t xml:space="preserve"> = full-coverage improvement factor of initiative j on domain </w:t>
      </w:r>
      <w:r>
        <w:rPr>
          <w:rFonts w:ascii="Times New Roman" w:hAnsi="Times New Roman" w:cs="Times New Roman" w:eastAsiaTheme="minorEastAsia"/>
          <w:i/>
          <w:iCs/>
        </w:rPr>
        <w:t>d</w:t>
      </w:r>
    </w:p>
    <w:p w14:paraId="5480438D">
      <w:pPr>
        <w:jc w:val="both"/>
        <w:rPr>
          <w:rFonts w:ascii="Times New Roman" w:hAnsi="Times New Roman" w:cs="Times New Roman" w:eastAsiaTheme="minorEastAsia"/>
          <w:i/>
          <w:iCs/>
        </w:rPr>
      </w:pPr>
      <w:r>
        <w:rPr>
          <w:rFonts w:ascii="Times New Roman" w:hAnsi="Times New Roman" w:cs="Times New Roman" w:eastAsiaTheme="minorEastAsia"/>
        </w:rPr>
        <w:t>For strategies = Hmax</w:t>
      </w:r>
      <w:r>
        <w:rPr>
          <w:rFonts w:ascii="Times New Roman" w:hAnsi="Times New Roman" w:cs="Times New Roman" w:eastAsiaTheme="minorEastAsia"/>
          <w:vertAlign w:val="subscript"/>
        </w:rPr>
        <w:t>MCS</w:t>
      </w:r>
      <w:r>
        <w:rPr>
          <w:rFonts w:ascii="Times New Roman" w:hAnsi="Times New Roman" w:cs="Times New Roman" w:eastAsiaTheme="minorEastAsia"/>
        </w:rPr>
        <w:t>, Hmax</w:t>
      </w:r>
      <w:r>
        <w:rPr>
          <w:rFonts w:ascii="Times New Roman" w:hAnsi="Times New Roman" w:cs="Times New Roman" w:eastAsiaTheme="minorEastAsia"/>
          <w:vertAlign w:val="subscript"/>
        </w:rPr>
        <w:t>RWH</w:t>
      </w:r>
      <w:r>
        <w:rPr>
          <w:rFonts w:ascii="Times New Roman" w:hAnsi="Times New Roman" w:cs="Times New Roman" w:eastAsiaTheme="minorEastAsia"/>
        </w:rPr>
        <w:t xml:space="preserve"> = Maximum strategy can cover; cost</w:t>
      </w:r>
      <w:r>
        <w:rPr>
          <w:rFonts w:ascii="Times New Roman" w:hAnsi="Times New Roman" w:cs="Times New Roman" w:eastAsiaTheme="minorEastAsia"/>
          <w:vertAlign w:val="subscript"/>
        </w:rPr>
        <w:t>MCS</w:t>
      </w:r>
      <w:r>
        <w:rPr>
          <w:rFonts w:ascii="Times New Roman" w:hAnsi="Times New Roman" w:cs="Times New Roman" w:eastAsiaTheme="minorEastAsia"/>
        </w:rPr>
        <w:t>, cost</w:t>
      </w:r>
      <w:r>
        <w:rPr>
          <w:rFonts w:ascii="Times New Roman" w:hAnsi="Times New Roman" w:cs="Times New Roman" w:eastAsiaTheme="minorEastAsia"/>
          <w:vertAlign w:val="subscript"/>
        </w:rPr>
        <w:t xml:space="preserve">RWH </w:t>
      </w:r>
      <w:r>
        <w:rPr>
          <w:rFonts w:ascii="Times New Roman" w:hAnsi="Times New Roman" w:cs="Times New Roman" w:eastAsiaTheme="minorEastAsia"/>
        </w:rPr>
        <w:t>= cost per household; SF</w:t>
      </w:r>
      <w:r>
        <w:rPr>
          <w:rFonts w:ascii="Times New Roman" w:hAnsi="Times New Roman" w:cs="Times New Roman" w:eastAsiaTheme="minorEastAsia"/>
          <w:vertAlign w:val="subscript"/>
        </w:rPr>
        <w:t xml:space="preserve">k,d </w:t>
      </w:r>
      <w:r>
        <w:rPr>
          <w:rFonts w:ascii="Times New Roman" w:hAnsi="Times New Roman" w:cs="Times New Roman" w:eastAsiaTheme="minorEastAsia"/>
        </w:rPr>
        <w:t xml:space="preserve">= fullin the single aggregated objective coverage improvement factor of strategy </w:t>
      </w:r>
      <w:r>
        <w:rPr>
          <w:rFonts w:ascii="Times New Roman" w:hAnsi="Times New Roman" w:cs="Times New Roman" w:eastAsiaTheme="minorEastAsia"/>
          <w:i/>
          <w:iCs/>
        </w:rPr>
        <w:t xml:space="preserve">k </w:t>
      </w:r>
      <w:r>
        <w:rPr>
          <w:rFonts w:ascii="Times New Roman" w:hAnsi="Times New Roman" w:cs="Times New Roman" w:eastAsiaTheme="minorEastAsia"/>
        </w:rPr>
        <w:t>on domain</w:t>
      </w:r>
      <w:r>
        <w:rPr>
          <w:rFonts w:ascii="Times New Roman" w:hAnsi="Times New Roman" w:cs="Times New Roman" w:eastAsiaTheme="minorEastAsia"/>
          <w:i/>
          <w:iCs/>
        </w:rPr>
        <w:t xml:space="preserve"> d.</w:t>
      </w:r>
    </w:p>
    <w:p w14:paraId="42870B3B">
      <w:pPr>
        <w:jc w:val="both"/>
        <w:rPr>
          <w:rFonts w:ascii="Times New Roman" w:hAnsi="Times New Roman" w:cs="Times New Roman" w:eastAsiaTheme="minorEastAsia"/>
        </w:rPr>
      </w:pPr>
      <w:r>
        <w:rPr>
          <w:rFonts w:ascii="Times New Roman" w:hAnsi="Times New Roman" w:cs="Times New Roman" w:eastAsiaTheme="minorEastAsia"/>
          <w:i/>
          <w:iCs/>
        </w:rPr>
        <w:t xml:space="preserve">wd </w:t>
      </w:r>
      <w:r>
        <w:rPr>
          <w:rFonts w:ascii="Times New Roman" w:hAnsi="Times New Roman" w:cs="Times New Roman" w:eastAsiaTheme="minorEastAsia"/>
        </w:rPr>
        <w:t>≥0 = weight of domain d in the single aggregated objective.</w:t>
      </w:r>
    </w:p>
    <w:p w14:paraId="6B1EA1ED">
      <w:pPr>
        <w:jc w:val="center"/>
        <w:rPr>
          <w:rFonts w:ascii="Times New Roman" w:hAnsi="Times New Roman" w:cs="Times New Roman" w:eastAsiaTheme="minorEastAsia"/>
        </w:rPr>
      </w:pPr>
      <m:oMath>
        <m:nary>
          <m:naryPr>
            <m:chr m:val="∑"/>
            <m:limLoc m:val="subSup"/>
            <m:supHide m:val="1"/>
            <m:ctrlPr>
              <w:rPr>
                <w:rFonts w:ascii="Cambria Math" w:hAnsi="Cambria Math" w:cs="Times New Roman" w:eastAsiaTheme="minorEastAsia"/>
                <w:i/>
              </w:rPr>
            </m:ctrlPr>
          </m:naryPr>
          <m:sub>
            <m:r>
              <m:rPr/>
              <w:rPr>
                <w:rFonts w:ascii="Cambria Math" w:hAnsi="Cambria Math" w:cs="Times New Roman" w:eastAsiaTheme="minorEastAsia"/>
              </w:rPr>
              <m:t>d∈D</m:t>
            </m:r>
            <m:ctrlPr>
              <w:rPr>
                <w:rFonts w:ascii="Cambria Math" w:hAnsi="Cambria Math" w:cs="Times New Roman" w:eastAsiaTheme="minorEastAsia"/>
                <w:i/>
              </w:rPr>
            </m:ctrlPr>
          </m:sub>
          <m:sup>
            <m:ctrlPr>
              <w:rPr>
                <w:rFonts w:ascii="Cambria Math" w:hAnsi="Cambria Math" w:cs="Times New Roman" w:eastAsiaTheme="minorEastAsia"/>
                <w:i/>
              </w:rPr>
            </m:ctrlPr>
          </m:sup>
          <m:e>
            <m:r>
              <m:rPr/>
              <w:rPr>
                <w:rFonts w:ascii="Cambria Math" w:hAnsi="Cambria Math" w:cs="Times New Roman" w:eastAsiaTheme="minorEastAsia"/>
              </w:rPr>
              <m:t>wd</m:t>
            </m:r>
            <m:ctrlPr>
              <w:rPr>
                <w:rFonts w:ascii="Cambria Math" w:hAnsi="Cambria Math" w:cs="Times New Roman" w:eastAsiaTheme="minorEastAsia"/>
                <w:i/>
              </w:rPr>
            </m:ctrlPr>
          </m:e>
        </m:nary>
      </m:oMath>
      <w:r>
        <w:rPr>
          <w:rFonts w:ascii="Times New Roman" w:hAnsi="Times New Roman" w:cs="Times New Roman" w:eastAsiaTheme="minorEastAsia"/>
        </w:rPr>
        <w:t xml:space="preserve"> = 1</w:t>
      </w:r>
    </w:p>
    <w:p w14:paraId="6671F062">
      <w:pPr>
        <w:jc w:val="both"/>
        <w:rPr>
          <w:rFonts w:ascii="Times New Roman" w:hAnsi="Times New Roman" w:cs="Times New Roman" w:eastAsiaTheme="minorEastAsia"/>
        </w:rPr>
      </w:pPr>
      <w:r>
        <w:rPr>
          <w:rFonts w:ascii="Times New Roman" w:hAnsi="Times New Roman" w:cs="Times New Roman" w:eastAsiaTheme="minorEastAsia"/>
        </w:rPr>
        <w:t xml:space="preserve">Decision variable </w:t>
      </w:r>
    </w:p>
    <w:p w14:paraId="73183F69">
      <w:pPr>
        <w:jc w:val="both"/>
        <w:rPr>
          <w:rFonts w:ascii="Times New Roman" w:hAnsi="Times New Roman" w:cs="Times New Roman" w:eastAsiaTheme="minorEastAsia"/>
          <w:i/>
          <w:iCs/>
        </w:rPr>
      </w:pPr>
      <w:r>
        <w:rPr>
          <w:rFonts w:ascii="Times New Roman" w:hAnsi="Times New Roman" w:cs="Times New Roman" w:eastAsiaTheme="minorEastAsia"/>
          <w:i/>
          <w:iCs/>
        </w:rPr>
        <w:t>X</w:t>
      </w:r>
      <w:r>
        <w:rPr>
          <w:rFonts w:ascii="Times New Roman" w:hAnsi="Times New Roman" w:cs="Times New Roman" w:eastAsiaTheme="minorEastAsia"/>
          <w:i/>
          <w:iCs/>
          <w:vertAlign w:val="subscript"/>
        </w:rPr>
        <w:t>j</w:t>
      </w:r>
      <w:r>
        <w:rPr>
          <w:rFonts w:ascii="Cambria Math" w:hAnsi="Cambria Math" w:cs="Cambria Math" w:eastAsiaTheme="minorEastAsia"/>
          <w:i/>
          <w:iCs/>
        </w:rPr>
        <w:t>∈</w:t>
      </w:r>
      <m:oMath>
        <m:d>
          <m:dPr>
            <m:begChr m:val="["/>
            <m:endChr m:val="]"/>
            <m:ctrlPr>
              <w:rPr>
                <w:rFonts w:ascii="Cambria Math" w:hAnsi="Cambria Math" w:cs="Times New Roman" w:eastAsiaTheme="minorEastAsia"/>
                <w:i/>
                <w:iCs/>
              </w:rPr>
            </m:ctrlPr>
          </m:dPr>
          <m:e>
            <m:r>
              <m:rPr>
                <m:sty m:val="p"/>
              </m:rPr>
              <w:rPr>
                <w:rFonts w:ascii="Cambria Math" w:hAnsi="Cambria Math" w:cs="Times New Roman" w:eastAsiaTheme="minorEastAsia"/>
              </w:rPr>
              <m:t>0,MaxRespj</m:t>
            </m:r>
            <m:ctrlPr>
              <w:rPr>
                <w:rFonts w:ascii="Cambria Math" w:hAnsi="Cambria Math" w:cs="Times New Roman" w:eastAsiaTheme="minorEastAsia"/>
                <w:i/>
                <w:iCs/>
              </w:rPr>
            </m:ctrlPr>
          </m:e>
        </m:d>
      </m:oMath>
      <w:r>
        <w:rPr>
          <w:rFonts w:ascii="Times New Roman" w:hAnsi="Times New Roman" w:cs="Times New Roman" w:eastAsiaTheme="minorEastAsia"/>
          <w:i/>
          <w:iCs/>
        </w:rPr>
        <w:t xml:space="preserve"> = </w:t>
      </w:r>
      <w:r>
        <w:rPr>
          <w:rFonts w:ascii="Times New Roman" w:hAnsi="Times New Roman" w:cs="Times New Roman" w:eastAsiaTheme="minorEastAsia"/>
        </w:rPr>
        <w:t xml:space="preserve">number of respondents covered by government initiative </w:t>
      </w:r>
      <w:r>
        <w:rPr>
          <w:rFonts w:ascii="Times New Roman" w:hAnsi="Times New Roman" w:cs="Times New Roman" w:eastAsiaTheme="minorEastAsia"/>
          <w:i/>
          <w:iCs/>
        </w:rPr>
        <w:t>j.</w:t>
      </w:r>
    </w:p>
    <w:p w14:paraId="66E942D0">
      <w:pPr>
        <w:jc w:val="both"/>
        <w:rPr>
          <w:rFonts w:ascii="Times New Roman" w:hAnsi="Times New Roman" w:cs="Times New Roman" w:eastAsiaTheme="minorEastAsia"/>
        </w:rPr>
      </w:pPr>
      <w:r>
        <w:rPr>
          <w:rFonts w:ascii="Times New Roman" w:hAnsi="Times New Roman" w:cs="Times New Roman" w:eastAsiaTheme="minorEastAsia"/>
          <w:i/>
          <w:iCs/>
        </w:rPr>
        <w:t xml:space="preserve">Y </w:t>
      </w:r>
      <w:r>
        <w:rPr>
          <w:rFonts w:ascii="Cambria Math" w:hAnsi="Cambria Math" w:cs="Cambria Math" w:eastAsiaTheme="minorEastAsia"/>
          <w:i/>
          <w:iCs/>
        </w:rPr>
        <w:t>∈</w:t>
      </w:r>
      <m:oMath>
        <m:d>
          <m:dPr>
            <m:begChr m:val="["/>
            <m:endChr m:val="]"/>
            <m:ctrlPr>
              <w:rPr>
                <w:rFonts w:ascii="Cambria Math" w:hAnsi="Cambria Math" w:cs="Times New Roman" w:eastAsiaTheme="minorEastAsia"/>
                <w:i/>
                <w:iCs/>
              </w:rPr>
            </m:ctrlPr>
          </m:dPr>
          <m:e>
            <m:r>
              <m:rPr>
                <m:nor/>
                <m:sty m:val="p"/>
              </m:rPr>
              <w:rPr>
                <w:rFonts w:ascii="Times New Roman" w:hAnsi="Times New Roman" w:cs="Times New Roman" w:eastAsiaTheme="minorEastAsia"/>
                <w:iCs/>
              </w:rPr>
              <m:t xml:space="preserve">0, </m:t>
            </m:r>
            <m:r>
              <m:rPr>
                <m:nor/>
                <m:sty m:val="p"/>
              </m:rPr>
              <w:rPr>
                <w:rFonts w:ascii="Times New Roman" w:hAnsi="Times New Roman" w:cs="Times New Roman" w:eastAsiaTheme="minorEastAsia"/>
              </w:rPr>
              <m:t>HmaxMCS</m:t>
            </m:r>
            <m:ctrlPr>
              <w:rPr>
                <w:rFonts w:ascii="Cambria Math" w:hAnsi="Cambria Math" w:cs="Times New Roman" w:eastAsiaTheme="minorEastAsia"/>
                <w:i/>
                <w:iCs/>
              </w:rPr>
            </m:ctrlPr>
          </m:e>
        </m:d>
      </m:oMath>
      <w:r>
        <w:rPr>
          <w:rFonts w:ascii="Times New Roman" w:hAnsi="Times New Roman" w:cs="Times New Roman" w:eastAsiaTheme="minorEastAsia"/>
        </w:rPr>
        <w:t>=number of households covered by the multicrop system(MCS)</w:t>
      </w:r>
    </w:p>
    <w:p w14:paraId="1815F450">
      <w:pPr>
        <w:jc w:val="both"/>
        <w:rPr>
          <w:rFonts w:ascii="Cambria Math" w:hAnsi="Cambria Math" w:cs="Cambria Math" w:eastAsiaTheme="minorEastAsia"/>
        </w:rPr>
      </w:pPr>
      <w:r>
        <w:rPr>
          <w:rFonts w:ascii="Times New Roman" w:hAnsi="Times New Roman" w:cs="Times New Roman" w:eastAsiaTheme="minorEastAsia"/>
        </w:rPr>
        <w:t xml:space="preserve">Z </w:t>
      </w:r>
      <w:r>
        <w:rPr>
          <w:rFonts w:ascii="Cambria Math" w:hAnsi="Cambria Math" w:cs="Cambria Math" w:eastAsiaTheme="minorEastAsia"/>
        </w:rPr>
        <w:t>∈</w:t>
      </w:r>
      <m:oMath>
        <m:d>
          <m:dPr>
            <m:begChr m:val="["/>
            <m:endChr m:val="]"/>
            <m:ctrlPr>
              <w:rPr>
                <w:rFonts w:ascii="Cambria Math" w:hAnsi="Cambria Math" w:cs="Times New Roman" w:eastAsiaTheme="minorEastAsia"/>
                <w:i/>
              </w:rPr>
            </m:ctrlPr>
          </m:dPr>
          <m:e>
            <m:r>
              <m:rPr>
                <m:sty m:val="p"/>
              </m:rPr>
              <w:rPr>
                <w:rFonts w:ascii="Cambria Math" w:hAnsi="Cambria Math" w:cs="Times New Roman" w:eastAsiaTheme="minorEastAsia"/>
              </w:rPr>
              <m:t>0,HmaxRWH</m:t>
            </m:r>
            <m:ctrlPr>
              <w:rPr>
                <w:rFonts w:ascii="Cambria Math" w:hAnsi="Cambria Math" w:cs="Times New Roman" w:eastAsiaTheme="minorEastAsia"/>
                <w:i/>
              </w:rPr>
            </m:ctrlPr>
          </m:e>
        </m:d>
      </m:oMath>
      <w:r>
        <w:rPr>
          <w:rFonts w:ascii="Cambria Math" w:hAnsi="Cambria Math" w:cs="Cambria Math" w:eastAsiaTheme="minorEastAsia"/>
        </w:rPr>
        <w:t xml:space="preserve"> = number of households covered by Rainwater harvesting (RWH).</w:t>
      </w:r>
    </w:p>
    <w:p w14:paraId="0438DE35">
      <w:pPr>
        <w:jc w:val="both"/>
        <w:rPr>
          <w:rFonts w:ascii="Times New Roman" w:hAnsi="Times New Roman" w:cs="Times New Roman" w:eastAsiaTheme="minorEastAsia"/>
          <w:i/>
          <w:vertAlign w:val="subscript"/>
        </w:rPr>
      </w:pPr>
      <w:r>
        <w:rPr>
          <w:rFonts w:ascii="Times New Roman" w:hAnsi="Times New Roman" w:cs="Times New Roman" w:eastAsiaTheme="minorEastAsia"/>
        </w:rPr>
        <w:t>u</w:t>
      </w:r>
      <w:r>
        <w:rPr>
          <w:rFonts w:ascii="Times New Roman" w:hAnsi="Times New Roman" w:cs="Times New Roman" w:eastAsiaTheme="minorEastAsia"/>
          <w:vertAlign w:val="subscript"/>
        </w:rPr>
        <w:t xml:space="preserve">d = </w:t>
      </w:r>
      <w:r>
        <w:rPr>
          <w:rFonts w:ascii="Times New Roman" w:hAnsi="Times New Roman" w:cs="Times New Roman" w:eastAsiaTheme="minorEastAsia"/>
        </w:rPr>
        <w:t xml:space="preserve"> achieved </w:t>
      </w:r>
      <w:r>
        <w:rPr>
          <w:rFonts w:ascii="Times New Roman" w:hAnsi="Times New Roman" w:cs="Times New Roman" w:eastAsiaTheme="minorEastAsia"/>
          <w:i/>
          <w:iCs/>
        </w:rPr>
        <w:t>aggregate improvement</w:t>
      </w:r>
      <w:r>
        <w:rPr>
          <w:rFonts w:ascii="Times New Roman" w:hAnsi="Times New Roman" w:cs="Times New Roman" w:eastAsiaTheme="minorEastAsia"/>
        </w:rPr>
        <w:t xml:space="preserve"> in domain d: if initiative  </w:t>
      </w:r>
      <w:r>
        <w:rPr>
          <w:rFonts w:ascii="Times New Roman" w:hAnsi="Times New Roman" w:cs="Times New Roman" w:eastAsiaTheme="minorEastAsia"/>
          <w:i/>
          <w:iCs/>
        </w:rPr>
        <w:t>j</w:t>
      </w:r>
      <w:r>
        <w:rPr>
          <w:rFonts w:ascii="Times New Roman" w:hAnsi="Times New Roman" w:cs="Times New Roman" w:eastAsiaTheme="minorEastAsia"/>
        </w:rPr>
        <w:t xml:space="preserve"> covers </w:t>
      </w:r>
      <w:r>
        <w:rPr>
          <w:rFonts w:ascii="Times New Roman" w:hAnsi="Times New Roman" w:cs="Times New Roman" w:eastAsiaTheme="minorEastAsia"/>
          <w:i/>
          <w:iCs/>
        </w:rPr>
        <w:t>x</w:t>
      </w:r>
      <w:r>
        <w:rPr>
          <w:rFonts w:ascii="Times New Roman" w:hAnsi="Times New Roman" w:cs="Times New Roman" w:eastAsiaTheme="minorEastAsia"/>
          <w:i/>
          <w:iCs/>
          <w:vertAlign w:val="subscript"/>
        </w:rPr>
        <w:t>j</w:t>
      </w:r>
      <w:r>
        <w:rPr>
          <w:rFonts w:ascii="Times New Roman" w:hAnsi="Times New Roman" w:cs="Times New Roman" w:eastAsiaTheme="minorEastAsia"/>
        </w:rPr>
        <w:t xml:space="preserve"> respondents, its yield fraction </w:t>
      </w:r>
      <m:oMath>
        <m:f>
          <m:fPr>
            <m:ctrlPr>
              <w:rPr>
                <w:rFonts w:ascii="Cambria Math" w:hAnsi="Cambria Math" w:cs="Times New Roman" w:eastAsiaTheme="minorEastAsia"/>
                <w:iCs/>
              </w:rPr>
            </m:ctrlPr>
          </m:fPr>
          <m:num>
            <m:r>
              <m:rPr>
                <m:sty m:val="p"/>
              </m:rPr>
              <w:rPr>
                <w:rFonts w:ascii="Cambria Math" w:hAnsi="Cambria Math" w:cs="Times New Roman" w:eastAsiaTheme="minorEastAsia"/>
              </w:rPr>
              <m:t>xj</m:t>
            </m:r>
            <m:ctrlPr>
              <w:rPr>
                <w:rFonts w:ascii="Cambria Math" w:hAnsi="Cambria Math" w:cs="Times New Roman" w:eastAsiaTheme="minorEastAsia"/>
                <w:iCs/>
              </w:rPr>
            </m:ctrlPr>
          </m:num>
          <m:den>
            <m:r>
              <m:rPr>
                <m:sty m:val="p"/>
              </m:rPr>
              <w:rPr>
                <w:rFonts w:ascii="Cambria Math" w:hAnsi="Cambria Math" w:cs="Times New Roman" w:eastAsiaTheme="minorEastAsia"/>
              </w:rPr>
              <m:t>MaxRespj</m:t>
            </m:r>
            <m:ctrlPr>
              <w:rPr>
                <w:rFonts w:ascii="Cambria Math" w:hAnsi="Cambria Math" w:cs="Times New Roman" w:eastAsiaTheme="minorEastAsia"/>
                <w:iCs/>
              </w:rPr>
            </m:ctrlPr>
          </m:den>
        </m:f>
      </m:oMath>
      <w:r>
        <w:rPr>
          <w:rFonts w:ascii="Times New Roman" w:hAnsi="Times New Roman" w:cs="Times New Roman" w:eastAsiaTheme="minorEastAsia"/>
          <w:iCs/>
        </w:rPr>
        <w:t xml:space="preserve"> of its improvement IF </w:t>
      </w:r>
      <w:r>
        <w:rPr>
          <w:rFonts w:ascii="Times New Roman" w:hAnsi="Times New Roman" w:cs="Times New Roman" w:eastAsiaTheme="minorEastAsia"/>
          <w:i/>
          <w:vertAlign w:val="subscript"/>
        </w:rPr>
        <w:t>j,d.</w:t>
      </w:r>
    </w:p>
    <w:p w14:paraId="0056AA33">
      <w:pPr>
        <w:jc w:val="both"/>
        <w:rPr>
          <w:rFonts w:ascii="Cambria Math" w:hAnsi="Cambria Math" w:cs="Times New Roman" w:eastAsiaTheme="minorEastAsia"/>
          <w:iCs/>
        </w:rPr>
      </w:pPr>
      <w:r>
        <w:rPr>
          <w:rFonts w:ascii="Times New Roman" w:hAnsi="Times New Roman" w:cs="Times New Roman" w:eastAsiaTheme="minorEastAsia"/>
          <w:iCs/>
        </w:rPr>
        <w:t xml:space="preserve">For each domain </w:t>
      </w:r>
      <w:r>
        <w:rPr>
          <w:rFonts w:ascii="Times New Roman" w:hAnsi="Times New Roman" w:cs="Times New Roman" w:eastAsiaTheme="minorEastAsia"/>
          <w:i/>
        </w:rPr>
        <w:t>d</w:t>
      </w:r>
      <w:r>
        <w:rPr>
          <w:rFonts w:ascii="Cambria Math" w:hAnsi="Cambria Math" w:cs="Times New Roman" w:eastAsiaTheme="minorEastAsia"/>
          <w:i/>
        </w:rPr>
        <w:t>∈ D,</w:t>
      </w:r>
      <w:r>
        <w:rPr>
          <w:rFonts w:ascii="Cambria Math" w:hAnsi="Cambria Math" w:cs="Times New Roman" w:eastAsiaTheme="minorEastAsia"/>
          <w:iCs/>
        </w:rPr>
        <w:t xml:space="preserve"> define: </w:t>
      </w:r>
    </w:p>
    <w:p w14:paraId="321D9284">
      <w:pPr>
        <w:jc w:val="both"/>
        <w:rPr>
          <w:rFonts w:ascii="Times New Roman" w:hAnsi="Times New Roman" w:cs="Times New Roman" w:eastAsiaTheme="minorEastAsia"/>
          <w:iCs/>
          <w:sz w:val="28"/>
          <w:szCs w:val="28"/>
        </w:rPr>
      </w:pPr>
      <w:r>
        <w:rPr>
          <w:rFonts w:ascii="Times New Roman" w:hAnsi="Times New Roman" w:cs="Times New Roman" w:eastAsiaTheme="minorEastAsia"/>
          <w:i/>
          <w:sz w:val="28"/>
          <w:szCs w:val="28"/>
        </w:rPr>
        <w:t>ud</w:t>
      </w:r>
      <w:r>
        <w:rPr>
          <w:rFonts w:ascii="Times New Roman" w:hAnsi="Times New Roman" w:cs="Times New Roman" w:eastAsiaTheme="minorEastAsia"/>
          <w:iCs/>
          <w:sz w:val="28"/>
          <w:szCs w:val="28"/>
        </w:rPr>
        <w:t xml:space="preserve"> =  </w:t>
      </w:r>
      <m:oMath>
        <m:nary>
          <m:naryPr>
            <m:chr m:val="∑"/>
            <m:limLoc m:val="undOvr"/>
            <m:supHide m:val="1"/>
            <m:ctrlPr>
              <w:rPr>
                <w:rFonts w:ascii="Cambria Math" w:hAnsi="Cambria Math" w:cs="Times New Roman" w:eastAsiaTheme="minorEastAsia"/>
                <w:i/>
                <w:iCs/>
                <w:sz w:val="28"/>
                <w:szCs w:val="28"/>
              </w:rPr>
            </m:ctrlPr>
          </m:naryPr>
          <m:sub>
            <m:r>
              <m:rPr/>
              <w:rPr>
                <w:rFonts w:ascii="Cambria Math" w:hAnsi="Cambria Math" w:cs="Times New Roman" w:eastAsiaTheme="minorEastAsia"/>
                <w:sz w:val="28"/>
                <w:szCs w:val="28"/>
              </w:rPr>
              <m:t>j∈J</m:t>
            </m:r>
            <m:ctrlPr>
              <w:rPr>
                <w:rFonts w:ascii="Cambria Math" w:hAnsi="Cambria Math" w:cs="Times New Roman" w:eastAsiaTheme="minorEastAsia"/>
                <w:i/>
                <w:iCs/>
                <w:sz w:val="28"/>
                <w:szCs w:val="28"/>
              </w:rPr>
            </m:ctrlPr>
          </m:sub>
          <m:sup>
            <m:ctrlPr>
              <w:rPr>
                <w:rFonts w:ascii="Cambria Math" w:hAnsi="Cambria Math" w:cs="Times New Roman" w:eastAsiaTheme="minorEastAsia"/>
                <w:i/>
                <w:iCs/>
                <w:sz w:val="28"/>
                <w:szCs w:val="28"/>
              </w:rPr>
            </m:ctrlPr>
          </m:sup>
          <m:e>
            <m:r>
              <m:rPr>
                <m:sty m:val="p"/>
              </m:rPr>
              <w:rPr>
                <w:rFonts w:ascii="Cambria Math" w:hAnsi="Cambria Math" w:cs="Times New Roman" w:eastAsiaTheme="minorEastAsia"/>
                <w:sz w:val="28"/>
                <w:szCs w:val="28"/>
              </w:rPr>
              <m:t>IF</m:t>
            </m:r>
            <m:r>
              <m:rPr/>
              <w:rPr>
                <w:rFonts w:ascii="Cambria Math" w:hAnsi="Cambria Math" w:cs="Times New Roman" w:eastAsiaTheme="minorEastAsia"/>
                <w:sz w:val="28"/>
                <w:szCs w:val="28"/>
              </w:rPr>
              <m:t>j,d</m:t>
            </m:r>
            <m:ctrlPr>
              <w:rPr>
                <w:rFonts w:ascii="Cambria Math" w:hAnsi="Cambria Math" w:cs="Times New Roman" w:eastAsiaTheme="minorEastAsia"/>
                <w:i/>
                <w:iCs/>
                <w:sz w:val="28"/>
                <w:szCs w:val="28"/>
              </w:rPr>
            </m:ctrlPr>
          </m:e>
        </m:nary>
      </m:oMath>
      <w:r>
        <w:rPr>
          <w:rFonts w:ascii="Times New Roman" w:hAnsi="Times New Roman" w:cs="Times New Roman" w:eastAsiaTheme="minorEastAsia"/>
          <w:iCs/>
          <w:sz w:val="28"/>
          <w:szCs w:val="28"/>
        </w:rPr>
        <w:t xml:space="preserve"> *</w:t>
      </w:r>
      <m:oMath>
        <m:f>
          <m:fPr>
            <m:ctrlPr>
              <w:rPr>
                <w:rFonts w:ascii="Cambria Math" w:hAnsi="Cambria Math" w:cs="Times New Roman" w:eastAsiaTheme="minorEastAsia"/>
                <w:sz w:val="28"/>
                <w:szCs w:val="28"/>
              </w:rPr>
            </m:ctrlPr>
          </m:fPr>
          <m:num>
            <m:r>
              <m:rPr>
                <m:sty m:val="p"/>
              </m:rPr>
              <w:rPr>
                <w:rFonts w:ascii="Cambria Math" w:hAnsi="Cambria Math" w:cs="Times New Roman" w:eastAsiaTheme="minorEastAsia"/>
                <w:sz w:val="28"/>
                <w:szCs w:val="28"/>
              </w:rPr>
              <m:t>xj</m:t>
            </m:r>
            <m:ctrlPr>
              <w:rPr>
                <w:rFonts w:ascii="Cambria Math" w:hAnsi="Cambria Math" w:cs="Times New Roman" w:eastAsiaTheme="minorEastAsia"/>
                <w:sz w:val="28"/>
                <w:szCs w:val="28"/>
              </w:rPr>
            </m:ctrlPr>
          </m:num>
          <m:den>
            <m:r>
              <m:rPr>
                <m:sty m:val="p"/>
              </m:rPr>
              <w:rPr>
                <w:rFonts w:ascii="Cambria Math" w:hAnsi="Cambria Math" w:cs="Times New Roman" w:eastAsiaTheme="minorEastAsia"/>
                <w:sz w:val="28"/>
                <w:szCs w:val="28"/>
              </w:rPr>
              <m:t>MaxRespj</m:t>
            </m:r>
            <m:ctrlPr>
              <w:rPr>
                <w:rFonts w:ascii="Cambria Math" w:hAnsi="Cambria Math" w:cs="Times New Roman" w:eastAsiaTheme="minorEastAsia"/>
                <w:sz w:val="28"/>
                <w:szCs w:val="28"/>
              </w:rPr>
            </m:ctrlPr>
          </m:den>
        </m:f>
      </m:oMath>
      <w:r>
        <w:rPr>
          <w:rFonts w:ascii="Times New Roman" w:hAnsi="Times New Roman" w:cs="Times New Roman" w:eastAsiaTheme="minorEastAsia"/>
          <w:iCs/>
          <w:sz w:val="28"/>
          <w:szCs w:val="28"/>
        </w:rPr>
        <w:t xml:space="preserve">  + SF</w:t>
      </w:r>
      <w:r>
        <w:rPr>
          <w:rFonts w:ascii="Times New Roman" w:hAnsi="Times New Roman" w:cs="Times New Roman" w:eastAsiaTheme="minorEastAsia"/>
          <w:iCs/>
          <w:sz w:val="28"/>
          <w:szCs w:val="28"/>
          <w:vertAlign w:val="subscript"/>
        </w:rPr>
        <w:t>MCS,</w:t>
      </w:r>
      <w:r>
        <w:rPr>
          <w:rFonts w:ascii="Times New Roman" w:hAnsi="Times New Roman" w:cs="Times New Roman" w:eastAsiaTheme="minorEastAsia"/>
          <w:i/>
          <w:sz w:val="28"/>
          <w:szCs w:val="28"/>
          <w:vertAlign w:val="subscript"/>
        </w:rPr>
        <w:t>d</w:t>
      </w:r>
      <w:r>
        <w:rPr>
          <w:rFonts w:ascii="Times New Roman" w:hAnsi="Times New Roman" w:cs="Times New Roman" w:eastAsiaTheme="minorEastAsia"/>
          <w:iCs/>
          <w:sz w:val="28"/>
          <w:szCs w:val="28"/>
        </w:rPr>
        <w:t xml:space="preserve">* </w:t>
      </w:r>
      <m:oMath>
        <m:f>
          <m:fPr>
            <m:ctrlPr>
              <w:rPr>
                <w:rFonts w:ascii="Cambria Math" w:hAnsi="Cambria Math" w:cs="Times New Roman" w:eastAsiaTheme="minorEastAsia"/>
                <w:sz w:val="28"/>
                <w:szCs w:val="28"/>
              </w:rPr>
            </m:ctrlPr>
          </m:fPr>
          <m:num>
            <m:r>
              <m:rPr>
                <m:sty m:val="p"/>
              </m:rPr>
              <w:rPr>
                <w:rFonts w:ascii="Cambria Math" w:hAnsi="Cambria Math" w:cs="Times New Roman" w:eastAsiaTheme="minorEastAsia"/>
                <w:sz w:val="28"/>
                <w:szCs w:val="28"/>
              </w:rPr>
              <m:t>y</m:t>
            </m:r>
            <m:ctrlPr>
              <w:rPr>
                <w:rFonts w:ascii="Cambria Math" w:hAnsi="Cambria Math" w:cs="Times New Roman" w:eastAsiaTheme="minorEastAsia"/>
                <w:sz w:val="28"/>
                <w:szCs w:val="28"/>
              </w:rPr>
            </m:ctrlPr>
          </m:num>
          <m:den>
            <m:r>
              <m:rPr>
                <m:sty m:val="p"/>
              </m:rPr>
              <w:rPr>
                <w:rFonts w:ascii="Cambria Math" w:hAnsi="Cambria Math" w:cs="Times New Roman" w:eastAsiaTheme="minorEastAsia"/>
                <w:sz w:val="28"/>
                <w:szCs w:val="28"/>
              </w:rPr>
              <m:t>HmaxMCS</m:t>
            </m:r>
            <m:ctrlPr>
              <w:rPr>
                <w:rFonts w:ascii="Cambria Math" w:hAnsi="Cambria Math" w:cs="Times New Roman" w:eastAsiaTheme="minorEastAsia"/>
                <w:sz w:val="28"/>
                <w:szCs w:val="28"/>
              </w:rPr>
            </m:ctrlPr>
          </m:den>
        </m:f>
      </m:oMath>
      <w:r>
        <w:rPr>
          <w:rFonts w:ascii="Times New Roman" w:hAnsi="Times New Roman" w:cs="Times New Roman" w:eastAsiaTheme="minorEastAsia"/>
          <w:sz w:val="28"/>
          <w:szCs w:val="28"/>
        </w:rPr>
        <w:t xml:space="preserve"> + SF</w:t>
      </w:r>
      <w:r>
        <w:rPr>
          <w:rFonts w:ascii="Times New Roman" w:hAnsi="Times New Roman" w:cs="Times New Roman" w:eastAsiaTheme="minorEastAsia"/>
          <w:sz w:val="28"/>
          <w:szCs w:val="28"/>
          <w:vertAlign w:val="subscript"/>
        </w:rPr>
        <w:t>RWH,d</w:t>
      </w:r>
      <w:r>
        <w:rPr>
          <w:rFonts w:ascii="Times New Roman" w:hAnsi="Times New Roman" w:cs="Times New Roman" w:eastAsiaTheme="minorEastAsia"/>
          <w:sz w:val="28"/>
          <w:szCs w:val="28"/>
        </w:rPr>
        <w:t xml:space="preserve"> *</w:t>
      </w:r>
      <m:oMath>
        <m:f>
          <m:fPr>
            <m:ctrlPr>
              <w:rPr>
                <w:rFonts w:ascii="Cambria Math" w:hAnsi="Cambria Math" w:cs="Times New Roman" w:eastAsiaTheme="minorEastAsia"/>
                <w:iCs/>
                <w:sz w:val="28"/>
                <w:szCs w:val="28"/>
              </w:rPr>
            </m:ctrlPr>
          </m:fPr>
          <m:num>
            <m:r>
              <m:rPr>
                <m:sty m:val="p"/>
              </m:rPr>
              <w:rPr>
                <w:rFonts w:ascii="Cambria Math" w:hAnsi="Cambria Math" w:cs="Times New Roman" w:eastAsiaTheme="minorEastAsia"/>
                <w:sz w:val="28"/>
                <w:szCs w:val="28"/>
              </w:rPr>
              <m:t>Z</m:t>
            </m:r>
            <m:ctrlPr>
              <w:rPr>
                <w:rFonts w:ascii="Cambria Math" w:hAnsi="Cambria Math" w:cs="Times New Roman" w:eastAsiaTheme="minorEastAsia"/>
                <w:iCs/>
                <w:sz w:val="28"/>
                <w:szCs w:val="28"/>
              </w:rPr>
            </m:ctrlPr>
          </m:num>
          <m:den>
            <m:r>
              <m:rPr>
                <m:sty m:val="p"/>
              </m:rPr>
              <w:rPr>
                <w:rFonts w:ascii="Cambria Math" w:hAnsi="Cambria Math" w:cs="Times New Roman" w:eastAsiaTheme="minorEastAsia"/>
                <w:sz w:val="28"/>
                <w:szCs w:val="28"/>
              </w:rPr>
              <m:t>HmaxRWH</m:t>
            </m:r>
            <m:ctrlPr>
              <w:rPr>
                <w:rFonts w:ascii="Cambria Math" w:hAnsi="Cambria Math" w:cs="Times New Roman" w:eastAsiaTheme="minorEastAsia"/>
                <w:iCs/>
                <w:sz w:val="28"/>
                <w:szCs w:val="28"/>
              </w:rPr>
            </m:ctrlPr>
          </m:den>
        </m:f>
      </m:oMath>
    </w:p>
    <w:p w14:paraId="405D436F">
      <w:pPr>
        <w:jc w:val="both"/>
        <w:rPr>
          <w:rFonts w:ascii="Cambria Math" w:hAnsi="Cambria Math" w:cs="Times New Roman" w:eastAsiaTheme="minorEastAsia"/>
          <w:i/>
          <w:iCs/>
        </w:rPr>
      </w:pPr>
    </w:p>
    <w:p w14:paraId="7948A037">
      <w:pPr>
        <w:jc w:val="both"/>
        <w:rPr>
          <w:rFonts w:ascii="Times New Roman" w:hAnsi="Times New Roman" w:cs="Times New Roman"/>
        </w:rPr>
      </w:pPr>
      <w:r>
        <w:rPr>
          <w:rFonts w:ascii="Times New Roman" w:hAnsi="Times New Roman" w:cs="Times New Roman"/>
        </w:rPr>
        <w:t xml:space="preserve">If a particular initiative/strategy does not affect domain </w:t>
      </w:r>
      <w:r>
        <w:rPr>
          <w:rFonts w:ascii="Times New Roman" w:hAnsi="Times New Roman" w:cs="Times New Roman"/>
          <w:i/>
          <w:iCs/>
        </w:rPr>
        <w:t>d</w:t>
      </w:r>
      <w:r>
        <w:rPr>
          <w:rFonts w:ascii="Times New Roman" w:hAnsi="Times New Roman" w:cs="Times New Roman"/>
        </w:rPr>
        <w:t>, its corresponding IF or SF is 0</w:t>
      </w:r>
    </w:p>
    <w:p w14:paraId="5B072BC2">
      <w:pPr>
        <w:jc w:val="both"/>
        <w:rPr>
          <w:rFonts w:ascii="Times New Roman" w:hAnsi="Times New Roman" w:cs="Times New Roman"/>
        </w:rPr>
      </w:pPr>
      <w:r>
        <w:rPr>
          <w:rFonts w:ascii="Times New Roman" w:hAnsi="Times New Roman" w:cs="Times New Roman"/>
        </w:rPr>
        <w:t>We use a single aggregated objective that maximizes weighted sum of domain improvements</w:t>
      </w:r>
    </w:p>
    <w:p w14:paraId="242D9D88">
      <w:pPr>
        <w:jc w:val="both"/>
        <w:rPr>
          <w:rFonts w:ascii="Times New Roman" w:hAnsi="Times New Roman" w:cs="Times New Roman" w:eastAsiaTheme="minorEastAsia"/>
          <w:iCs/>
        </w:rPr>
      </w:pPr>
      <w:r>
        <w:rPr>
          <w:rFonts w:ascii="Times New Roman" w:hAnsi="Times New Roman" w:cs="Times New Roman"/>
        </w:rPr>
        <w:t xml:space="preserve">    Objective: max Z = </w:t>
      </w:r>
      <m:oMath>
        <m:nary>
          <m:naryPr>
            <m:chr m:val="∑"/>
            <m:limLoc m:val="undOvr"/>
            <m:supHide m:val="1"/>
            <m:ctrlPr>
              <w:rPr>
                <w:rFonts w:ascii="Cambria Math" w:hAnsi="Cambria Math" w:cs="Times New Roman"/>
                <w:iCs/>
              </w:rPr>
            </m:ctrlPr>
          </m:naryPr>
          <m:sub>
            <m:r>
              <m:rPr>
                <m:sty m:val="p"/>
              </m:rPr>
              <w:rPr>
                <w:rFonts w:ascii="Cambria Math" w:hAnsi="Cambria Math" w:cs="Times New Roman"/>
              </w:rPr>
              <m:t>d∈D</m:t>
            </m:r>
            <m:ctrlPr>
              <w:rPr>
                <w:rFonts w:ascii="Cambria Math" w:hAnsi="Cambria Math" w:cs="Times New Roman"/>
                <w:iCs/>
              </w:rPr>
            </m:ctrlPr>
          </m:sub>
          <m:sup>
            <m:ctrlPr>
              <w:rPr>
                <w:rFonts w:ascii="Cambria Math" w:hAnsi="Cambria Math" w:cs="Times New Roman"/>
                <w:iCs/>
              </w:rPr>
            </m:ctrlPr>
          </m:sup>
          <m:e>
            <m:r>
              <m:rPr>
                <m:sty m:val="p"/>
              </m:rPr>
              <w:rPr>
                <w:rFonts w:ascii="Cambria Math" w:hAnsi="Cambria Math" w:cs="Times New Roman"/>
              </w:rPr>
              <m:t>wdud</m:t>
            </m:r>
            <m:ctrlPr>
              <w:rPr>
                <w:rFonts w:ascii="Cambria Math" w:hAnsi="Cambria Math" w:cs="Times New Roman"/>
                <w:iCs/>
              </w:rPr>
            </m:ctrlPr>
          </m:e>
        </m:nary>
      </m:oMath>
    </w:p>
    <w:p w14:paraId="2FD52A14">
      <w:pPr>
        <w:jc w:val="both"/>
        <w:rPr>
          <w:rFonts w:ascii="Times New Roman" w:hAnsi="Times New Roman" w:cs="Times New Roman" w:eastAsiaTheme="minorEastAsia"/>
          <w:b/>
          <w:bCs/>
          <w:iCs/>
        </w:rPr>
      </w:pPr>
      <w:r>
        <w:rPr>
          <w:rFonts w:ascii="Times New Roman" w:hAnsi="Times New Roman" w:cs="Times New Roman" w:eastAsiaTheme="minorEastAsia"/>
          <w:b/>
          <w:bCs/>
          <w:iCs/>
        </w:rPr>
        <w:t>Common linear constraints are applied in all cases:</w:t>
      </w:r>
    </w:p>
    <w:p w14:paraId="106C0E8F">
      <w:pPr>
        <w:pStyle w:val="35"/>
        <w:numPr>
          <w:ilvl w:val="0"/>
          <w:numId w:val="3"/>
        </w:numPr>
        <w:jc w:val="both"/>
        <w:rPr>
          <w:rFonts w:ascii="Times New Roman" w:hAnsi="Times New Roman" w:cs="Times New Roman"/>
          <w:b/>
          <w:bCs/>
        </w:rPr>
      </w:pPr>
      <w:r>
        <w:rPr>
          <w:rFonts w:ascii="Times New Roman" w:hAnsi="Times New Roman" w:cs="Times New Roman"/>
          <w:b/>
          <w:bCs/>
        </w:rPr>
        <w:t>Budget constraints:</w:t>
      </w:r>
    </w:p>
    <w:p w14:paraId="5904C3C5">
      <w:pPr>
        <w:pStyle w:val="35"/>
        <w:jc w:val="both"/>
        <w:rPr>
          <w:rFonts w:ascii="Times New Roman" w:hAnsi="Times New Roman" w:cs="Times New Roman"/>
          <w:iCs/>
          <w:sz w:val="28"/>
          <w:szCs w:val="28"/>
        </w:rPr>
      </w:pPr>
      <m:oMathPara>
        <m:oMath>
          <m:nary>
            <m:naryPr>
              <m:chr m:val="∑"/>
              <m:limLoc m:val="undOvr"/>
              <m:supHide m:val="1"/>
              <m:ctrlPr>
                <w:rPr>
                  <w:rFonts w:ascii="Cambria Math" w:hAnsi="Cambria Math" w:cs="Times New Roman"/>
                  <w:iCs/>
                  <w:sz w:val="28"/>
                  <w:szCs w:val="28"/>
                </w:rPr>
              </m:ctrlPr>
            </m:naryPr>
            <m:sub>
              <m:r>
                <m:rPr>
                  <m:sty m:val="p"/>
                </m:rPr>
                <w:rPr>
                  <w:rFonts w:ascii="Cambria Math" w:hAnsi="Cambria Math" w:cs="Times New Roman"/>
                  <w:sz w:val="28"/>
                  <w:szCs w:val="28"/>
                </w:rPr>
                <m:t>j∈J</m:t>
              </m:r>
              <m:ctrlPr>
                <w:rPr>
                  <w:rFonts w:ascii="Cambria Math" w:hAnsi="Cambria Math" w:cs="Times New Roman"/>
                  <w:iCs/>
                  <w:sz w:val="28"/>
                  <w:szCs w:val="28"/>
                </w:rPr>
              </m:ctrlPr>
            </m:sub>
            <m:sup>
              <m:ctrlPr>
                <w:rPr>
                  <w:rFonts w:ascii="Cambria Math" w:hAnsi="Cambria Math" w:cs="Times New Roman"/>
                  <w:iCs/>
                  <w:sz w:val="28"/>
                  <w:szCs w:val="28"/>
                </w:rPr>
              </m:ctrlPr>
            </m:sup>
            <m:e>
              <m:r>
                <m:rPr>
                  <m:sty m:val="p"/>
                </m:rPr>
                <w:rPr>
                  <w:rFonts w:ascii="Cambria Math" w:hAnsi="Cambria Math" w:cs="Times New Roman"/>
                  <w:sz w:val="28"/>
                  <w:szCs w:val="28"/>
                </w:rPr>
                <m:t>costjxj+costMCS</m:t>
              </m:r>
              <m:ctrlPr>
                <w:rPr>
                  <w:rFonts w:ascii="Cambria Math" w:hAnsi="Cambria Math" w:cs="Times New Roman"/>
                  <w:iCs/>
                  <w:sz w:val="28"/>
                  <w:szCs w:val="28"/>
                </w:rPr>
              </m:ctrlPr>
            </m:e>
          </m:nary>
          <m:r>
            <m:rPr>
              <m:sty m:val="p"/>
            </m:rPr>
            <w:rPr>
              <w:rFonts w:ascii="Cambria Math" w:hAnsi="Cambria Math" w:cs="Times New Roman"/>
              <w:sz w:val="28"/>
              <w:szCs w:val="28"/>
            </w:rPr>
            <m:t>y+cost RWHz≤</m:t>
          </m:r>
          <m:r>
            <m:rPr/>
            <w:rPr>
              <w:rFonts w:ascii="Cambria Math" w:hAnsi="Cambria Math" w:cs="Times New Roman"/>
              <w:sz w:val="28"/>
              <w:szCs w:val="28"/>
            </w:rPr>
            <m:t>B</m:t>
          </m:r>
        </m:oMath>
      </m:oMathPara>
    </w:p>
    <w:p w14:paraId="0DADB2D1">
      <w:pPr>
        <w:jc w:val="both"/>
        <w:rPr>
          <w:rFonts w:ascii="Times New Roman" w:hAnsi="Times New Roman" w:cs="Times New Roman"/>
          <w:b/>
          <w:bCs/>
        </w:rPr>
      </w:pPr>
    </w:p>
    <w:p w14:paraId="12F24BF2">
      <w:pPr>
        <w:pStyle w:val="35"/>
        <w:numPr>
          <w:ilvl w:val="0"/>
          <w:numId w:val="3"/>
        </w:numPr>
        <w:jc w:val="both"/>
        <w:rPr>
          <w:rFonts w:ascii="Times New Roman" w:hAnsi="Times New Roman" w:cs="Times New Roman"/>
          <w:b/>
          <w:bCs/>
        </w:rPr>
      </w:pPr>
      <w:r>
        <w:rPr>
          <w:rFonts w:ascii="Times New Roman" w:hAnsi="Times New Roman" w:cs="Times New Roman"/>
          <w:b/>
          <w:bCs/>
        </w:rPr>
        <w:t>Initiative capacity bounds</w:t>
      </w:r>
    </w:p>
    <w:p w14:paraId="4617E151">
      <w:pPr>
        <w:pStyle w:val="35"/>
        <w:jc w:val="both"/>
        <w:rPr>
          <w:rFonts w:ascii="Times New Roman" w:hAnsi="Times New Roman" w:cs="Times New Roman"/>
          <w:b/>
          <w:bCs/>
        </w:rPr>
      </w:pPr>
    </w:p>
    <w:p w14:paraId="1607B5D3">
      <w:pPr>
        <w:pStyle w:val="35"/>
        <w:jc w:val="center"/>
        <w:rPr>
          <w:rFonts w:ascii="Times New Roman" w:hAnsi="Times New Roman" w:cs="Times New Roman"/>
          <w:sz w:val="28"/>
          <w:szCs w:val="28"/>
        </w:rPr>
      </w:pPr>
      <w:r>
        <w:rPr>
          <w:rFonts w:ascii="Times New Roman" w:hAnsi="Times New Roman" w:cs="Times New Roman"/>
          <w:sz w:val="28"/>
          <w:szCs w:val="28"/>
        </w:rPr>
        <w:t>0≤xj≤MaxResp</w:t>
      </w:r>
      <w:r>
        <w:rPr>
          <w:rFonts w:ascii="Times New Roman" w:hAnsi="Times New Roman" w:cs="Times New Roman"/>
          <w:sz w:val="28"/>
          <w:szCs w:val="28"/>
          <w:vertAlign w:val="subscript"/>
        </w:rPr>
        <w:t>j</w:t>
      </w:r>
      <w:r>
        <w:rPr>
          <w:rFonts w:ascii="Times New Roman" w:hAnsi="Times New Roman" w:cs="Times New Roman"/>
          <w:sz w:val="28"/>
          <w:szCs w:val="28"/>
        </w:rPr>
        <w:t xml:space="preserve">  Ɐ</w:t>
      </w:r>
      <w:r>
        <w:rPr>
          <w:rFonts w:ascii="Times New Roman" w:hAnsi="Times New Roman" w:cs="Times New Roman"/>
          <w:i/>
          <w:iCs/>
          <w:sz w:val="28"/>
          <w:szCs w:val="28"/>
        </w:rPr>
        <w:t>j</w:t>
      </w:r>
      <w:r>
        <w:rPr>
          <w:rFonts w:ascii="Cambria Math" w:hAnsi="Cambria Math" w:cs="Times New Roman"/>
          <w:sz w:val="28"/>
          <w:szCs w:val="28"/>
        </w:rPr>
        <w:t xml:space="preserve">∈ </w:t>
      </w:r>
      <w:r>
        <w:rPr>
          <w:rFonts w:ascii="Cambria Math" w:hAnsi="Cambria Math" w:cs="Times New Roman"/>
          <w:i/>
          <w:iCs/>
          <w:sz w:val="28"/>
          <w:szCs w:val="28"/>
        </w:rPr>
        <w:t>J</w:t>
      </w:r>
    </w:p>
    <w:p w14:paraId="5A99BCEB">
      <w:pPr>
        <w:jc w:val="both"/>
        <w:rPr>
          <w:rFonts w:ascii="Times New Roman" w:hAnsi="Times New Roman" w:cs="Times New Roman"/>
        </w:rPr>
      </w:pPr>
    </w:p>
    <w:p w14:paraId="051501FC">
      <w:pPr>
        <w:jc w:val="both"/>
        <w:rPr>
          <w:rFonts w:ascii="Times New Roman" w:hAnsi="Times New Roman" w:cs="Times New Roman"/>
        </w:rPr>
      </w:pPr>
    </w:p>
    <w:p w14:paraId="020A4F9C">
      <w:pPr>
        <w:pStyle w:val="35"/>
        <w:numPr>
          <w:ilvl w:val="0"/>
          <w:numId w:val="3"/>
        </w:numPr>
        <w:jc w:val="both"/>
        <w:rPr>
          <w:rFonts w:ascii="Times New Roman" w:hAnsi="Times New Roman" w:cs="Times New Roman"/>
          <w:b/>
          <w:bCs/>
        </w:rPr>
      </w:pPr>
      <w:r>
        <w:rPr>
          <w:rFonts w:ascii="Times New Roman" w:hAnsi="Times New Roman" w:cs="Times New Roman"/>
          <w:b/>
          <w:bCs/>
        </w:rPr>
        <w:t>Pre-responder initiative limit</w:t>
      </w:r>
    </w:p>
    <w:p w14:paraId="2F8AEDF4">
      <w:pPr>
        <w:pStyle w:val="35"/>
        <w:spacing w:line="360" w:lineRule="auto"/>
        <w:jc w:val="both"/>
        <w:rPr>
          <w:rFonts w:ascii="Times New Roman" w:hAnsi="Times New Roman" w:cs="Times New Roman"/>
        </w:rPr>
      </w:pPr>
      <w:r>
        <w:rPr>
          <w:rFonts w:ascii="Times New Roman" w:hAnsi="Times New Roman" w:cs="Times New Roman"/>
        </w:rPr>
        <w:t xml:space="preserve">Because each respondent can receive at most </w:t>
      </w:r>
      <w:r>
        <w:rPr>
          <w:rFonts w:ascii="Times New Roman" w:hAnsi="Times New Roman" w:cs="Times New Roman"/>
          <w:i/>
          <w:iCs/>
        </w:rPr>
        <w:t>L</w:t>
      </w:r>
      <w:r>
        <w:rPr>
          <w:rFonts w:ascii="Times New Roman" w:hAnsi="Times New Roman" w:cs="Times New Roman"/>
        </w:rPr>
        <w:t xml:space="preserve"> initiatives, the </w:t>
      </w:r>
      <w:r>
        <w:rPr>
          <w:rFonts w:ascii="Times New Roman" w:hAnsi="Times New Roman" w:cs="Times New Roman"/>
          <w:i/>
          <w:iCs/>
        </w:rPr>
        <w:t>total number of initiative-assignments</w:t>
      </w:r>
      <w:r>
        <w:rPr>
          <w:rFonts w:ascii="Times New Roman" w:hAnsi="Times New Roman" w:cs="Times New Roman"/>
        </w:rPr>
        <w:t xml:space="preserve"> across the whole population cannot exceed </w:t>
      </w:r>
      <w:r>
        <w:rPr>
          <w:rFonts w:ascii="Times New Roman" w:hAnsi="Times New Roman" w:cs="Times New Roman"/>
          <w:i/>
          <w:iCs/>
        </w:rPr>
        <w:t>L×N</w:t>
      </w:r>
      <w:r>
        <w:rPr>
          <w:rFonts w:ascii="Times New Roman" w:hAnsi="Times New Roman" w:cs="Times New Roman"/>
        </w:rPr>
        <w:t xml:space="preserve">. When we use aggregate variables </w:t>
      </w:r>
      <w:r>
        <w:rPr>
          <w:rFonts w:ascii="Times New Roman" w:hAnsi="Times New Roman" w:cs="Times New Roman"/>
          <w:i/>
          <w:iCs/>
        </w:rPr>
        <w:t>x</w:t>
      </w:r>
      <w:r>
        <w:rPr>
          <w:rFonts w:ascii="Times New Roman" w:hAnsi="Times New Roman" w:cs="Times New Roman"/>
          <w:i/>
          <w:iCs/>
          <w:vertAlign w:val="subscript"/>
        </w:rPr>
        <w:t>j</w:t>
      </w:r>
      <w:r>
        <w:rPr>
          <w:rFonts w:ascii="Times New Roman" w:hAnsi="Times New Roman" w:cs="Times New Roman"/>
          <w:i/>
          <w:iCs/>
        </w:rPr>
        <w:t>,y,z</w:t>
      </w:r>
      <w:r>
        <w:rPr>
          <w:rFonts w:ascii="Times New Roman" w:hAnsi="Times New Roman" w:cs="Times New Roman"/>
        </w:rPr>
        <w:t xml:space="preserve"> (counts), this becomes:</w:t>
      </w:r>
    </w:p>
    <w:p w14:paraId="0CCC6EA4">
      <w:pPr>
        <w:jc w:val="center"/>
        <w:rPr>
          <w:rFonts w:ascii="Times New Roman" w:hAnsi="Times New Roman" w:cs="Times New Roman"/>
          <w:sz w:val="28"/>
          <w:szCs w:val="28"/>
        </w:rPr>
      </w:pPr>
      <m:oMathPara>
        <m:oMath>
          <m:nary>
            <m:naryPr>
              <m:chr m:val="∑"/>
              <m:limLoc m:val="undOvr"/>
              <m:supHide m:val="1"/>
              <m:ctrlPr>
                <w:rPr>
                  <w:rFonts w:ascii="Cambria Math" w:hAnsi="Cambria Math" w:cs="Times New Roman"/>
                  <w:iCs/>
                  <w:sz w:val="28"/>
                  <w:szCs w:val="28"/>
                </w:rPr>
              </m:ctrlPr>
            </m:naryPr>
            <m:sub>
              <m:r>
                <m:rPr>
                  <m:sty m:val="p"/>
                </m:rPr>
                <w:rPr>
                  <w:rFonts w:ascii="Cambria Math" w:hAnsi="Cambria Math" w:cs="Times New Roman"/>
                  <w:sz w:val="28"/>
                  <w:szCs w:val="28"/>
                </w:rPr>
                <m:t>j∈J</m:t>
              </m:r>
              <m:ctrlPr>
                <w:rPr>
                  <w:rFonts w:ascii="Cambria Math" w:hAnsi="Cambria Math" w:cs="Times New Roman"/>
                  <w:iCs/>
                  <w:sz w:val="28"/>
                  <w:szCs w:val="28"/>
                </w:rPr>
              </m:ctrlPr>
            </m:sub>
            <m:sup>
              <m:ctrlPr>
                <w:rPr>
                  <w:rFonts w:ascii="Cambria Math" w:hAnsi="Cambria Math" w:cs="Times New Roman"/>
                  <w:iCs/>
                  <w:sz w:val="28"/>
                  <w:szCs w:val="28"/>
                </w:rPr>
              </m:ctrlPr>
            </m:sup>
            <m:e>
              <m:r>
                <m:rPr>
                  <m:sty m:val="p"/>
                </m:rPr>
                <w:rPr>
                  <w:rFonts w:ascii="Cambria Math" w:hAnsi="Cambria Math" w:cs="Times New Roman"/>
                  <w:sz w:val="28"/>
                  <w:szCs w:val="28"/>
                </w:rPr>
                <m:t>xj</m:t>
              </m:r>
              <m:ctrlPr>
                <w:rPr>
                  <w:rFonts w:ascii="Cambria Math" w:hAnsi="Cambria Math" w:cs="Times New Roman"/>
                  <w:iCs/>
                  <w:sz w:val="28"/>
                  <w:szCs w:val="28"/>
                </w:rPr>
              </m:ctrlPr>
            </m:e>
          </m:nary>
          <m:r>
            <m:rPr>
              <m:sty m:val="p"/>
            </m:rPr>
            <w:rPr>
              <w:rFonts w:ascii="Cambria Math" w:hAnsi="Cambria Math" w:cs="Times New Roman"/>
              <w:sz w:val="28"/>
              <w:szCs w:val="28"/>
            </w:rPr>
            <m:t>+y+z</m:t>
          </m:r>
          <m:r>
            <m:rPr/>
            <w:rPr>
              <w:rFonts w:ascii="Cambria Math" w:hAnsi="Cambria Math" w:cs="Times New Roman"/>
              <w:sz w:val="28"/>
              <w:szCs w:val="28"/>
            </w:rPr>
            <m:t xml:space="preserve"> ≤L∗N</m:t>
          </m:r>
        </m:oMath>
      </m:oMathPara>
    </w:p>
    <w:p w14:paraId="3E818CF7">
      <w:pPr>
        <w:pStyle w:val="35"/>
        <w:numPr>
          <w:ilvl w:val="0"/>
          <w:numId w:val="3"/>
        </w:numPr>
        <w:jc w:val="both"/>
        <w:rPr>
          <w:rFonts w:ascii="Times New Roman" w:hAnsi="Times New Roman" w:cs="Times New Roman"/>
          <w:b/>
          <w:bCs/>
        </w:rPr>
      </w:pPr>
      <w:r>
        <w:rPr>
          <w:rFonts w:ascii="Times New Roman" w:hAnsi="Times New Roman" w:cs="Times New Roman"/>
          <w:b/>
          <w:bCs/>
        </w:rPr>
        <w:t>Per initiative spend capital</w:t>
      </w:r>
    </w:p>
    <w:p w14:paraId="7A995239">
      <w:pPr>
        <w:pStyle w:val="35"/>
        <w:jc w:val="both"/>
        <w:rPr>
          <w:rFonts w:ascii="Times New Roman" w:hAnsi="Times New Roman" w:cs="Times New Roman"/>
          <w:sz w:val="28"/>
          <w:szCs w:val="28"/>
        </w:rPr>
      </w:pPr>
      <w:r>
        <w:rPr>
          <w:rFonts w:ascii="Times New Roman" w:hAnsi="Times New Roman" w:cs="Times New Roman"/>
          <w:sz w:val="28"/>
          <w:szCs w:val="28"/>
        </w:rPr>
        <w:t>Cost</w:t>
      </w:r>
      <w:r>
        <w:rPr>
          <w:rFonts w:ascii="Times New Roman" w:hAnsi="Times New Roman" w:cs="Times New Roman"/>
          <w:sz w:val="28"/>
          <w:szCs w:val="28"/>
          <w:vertAlign w:val="subscript"/>
        </w:rPr>
        <w:t>j</w:t>
      </w:r>
      <w:r>
        <w:rPr>
          <w:rFonts w:ascii="Times New Roman" w:hAnsi="Times New Roman" w:cs="Times New Roman"/>
          <w:sz w:val="28"/>
          <w:szCs w:val="28"/>
        </w:rPr>
        <w:t>x</w:t>
      </w:r>
      <w:r>
        <w:rPr>
          <w:rFonts w:ascii="Times New Roman" w:hAnsi="Times New Roman" w:cs="Times New Roman"/>
          <w:sz w:val="28"/>
          <w:szCs w:val="28"/>
          <w:vertAlign w:val="subscript"/>
        </w:rPr>
        <w:t>j</w:t>
      </w:r>
      <w:r>
        <w:rPr>
          <w:rFonts w:ascii="Times New Roman" w:hAnsi="Times New Roman" w:cs="Times New Roman"/>
          <w:sz w:val="28"/>
          <w:szCs w:val="28"/>
        </w:rPr>
        <w:t xml:space="preserve"> ≤ MaxCostj       Ɐ </w:t>
      </w:r>
      <w:r>
        <w:rPr>
          <w:rFonts w:ascii="Times New Roman" w:hAnsi="Times New Roman" w:cs="Times New Roman"/>
          <w:sz w:val="28"/>
          <w:szCs w:val="28"/>
          <w:vertAlign w:val="subscript"/>
        </w:rPr>
        <w:t>j</w:t>
      </w:r>
      <w:r>
        <w:rPr>
          <w:rFonts w:ascii="Cambria Math" w:hAnsi="Cambria Math" w:cs="Cambria Math"/>
          <w:sz w:val="28"/>
          <w:szCs w:val="28"/>
        </w:rPr>
        <w:t>∈</w:t>
      </w:r>
      <w:r>
        <w:rPr>
          <w:rFonts w:ascii="Times New Roman" w:hAnsi="Times New Roman" w:cs="Times New Roman"/>
          <w:sz w:val="28"/>
          <w:szCs w:val="28"/>
        </w:rPr>
        <w:t xml:space="preserve"> J</w:t>
      </w:r>
    </w:p>
    <w:p w14:paraId="7D5EACA5">
      <w:pPr>
        <w:pStyle w:val="35"/>
        <w:jc w:val="both"/>
        <w:rPr>
          <w:rFonts w:ascii="Times New Roman" w:hAnsi="Times New Roman" w:cs="Times New Roman"/>
          <w:sz w:val="28"/>
          <w:szCs w:val="28"/>
        </w:rPr>
      </w:pPr>
    </w:p>
    <w:p w14:paraId="7E94BFF2">
      <w:pPr>
        <w:pStyle w:val="35"/>
        <w:numPr>
          <w:ilvl w:val="0"/>
          <w:numId w:val="3"/>
        </w:numPr>
        <w:jc w:val="both"/>
        <w:rPr>
          <w:rFonts w:ascii="Times New Roman" w:hAnsi="Times New Roman" w:cs="Times New Roman"/>
          <w:b/>
          <w:bCs/>
        </w:rPr>
      </w:pPr>
      <w:r>
        <w:rPr>
          <w:rFonts w:ascii="Times New Roman" w:hAnsi="Times New Roman" w:cs="Times New Roman"/>
          <w:b/>
          <w:bCs/>
        </w:rPr>
        <w:t>Non negativity constraint</w:t>
      </w:r>
    </w:p>
    <w:p w14:paraId="274941A7">
      <w:pPr>
        <w:pStyle w:val="35"/>
        <w:jc w:val="both"/>
        <w:rPr>
          <w:rFonts w:ascii="Times New Roman" w:hAnsi="Times New Roman" w:cs="Times New Roman"/>
        </w:rPr>
      </w:pPr>
    </w:p>
    <w:p w14:paraId="52720F58">
      <w:pPr>
        <w:pStyle w:val="35"/>
        <w:jc w:val="both"/>
        <w:rPr>
          <w:rFonts w:ascii="Times New Roman" w:hAnsi="Times New Roman" w:cs="Times New Roman"/>
          <w:sz w:val="28"/>
          <w:szCs w:val="28"/>
        </w:rPr>
      </w:pPr>
      <w:r>
        <w:rPr>
          <w:rFonts w:ascii="Times New Roman" w:hAnsi="Times New Roman" w:cs="Times New Roman"/>
          <w:sz w:val="28"/>
          <w:szCs w:val="28"/>
        </w:rPr>
        <w:t>X</w:t>
      </w:r>
      <w:r>
        <w:rPr>
          <w:rFonts w:ascii="Times New Roman" w:hAnsi="Times New Roman" w:cs="Times New Roman"/>
          <w:sz w:val="28"/>
          <w:szCs w:val="28"/>
          <w:vertAlign w:val="subscript"/>
        </w:rPr>
        <w:t>j</w:t>
      </w:r>
      <w:r>
        <w:rPr>
          <w:rFonts w:ascii="Times New Roman" w:hAnsi="Times New Roman" w:cs="Times New Roman"/>
          <w:sz w:val="28"/>
          <w:szCs w:val="28"/>
        </w:rPr>
        <w:t>, y, z ≥ 0</w:t>
      </w:r>
    </w:p>
    <w:p w14:paraId="64F61D7B">
      <w:pPr>
        <w:jc w:val="both"/>
        <w:rPr>
          <w:rFonts w:ascii="Times New Roman" w:hAnsi="Times New Roman" w:cs="Times New Roman"/>
          <w:b/>
          <w:bCs/>
        </w:rPr>
      </w:pPr>
      <w:r>
        <w:rPr>
          <w:rFonts w:ascii="Times New Roman" w:hAnsi="Times New Roman" w:cs="Times New Roman"/>
          <w:b/>
          <w:bCs/>
        </w:rPr>
        <w:t>CASE 1 : Optimize Overall Well-Being using Government Programs only</w:t>
      </w:r>
    </w:p>
    <w:p w14:paraId="41D6BA4D">
      <w:pPr>
        <w:jc w:val="both"/>
        <w:rPr>
          <w:rFonts w:ascii="Times New Roman" w:hAnsi="Times New Roman" w:cs="Times New Roman"/>
        </w:rPr>
      </w:pPr>
      <w:r>
        <w:rPr>
          <w:rFonts w:ascii="Times New Roman" w:hAnsi="Times New Roman" w:cs="Times New Roman"/>
        </w:rPr>
        <w:br w:type="textWrapping"/>
      </w:r>
      <w:r>
        <w:rPr>
          <w:rFonts w:ascii="Times New Roman" w:hAnsi="Times New Roman" w:cs="Times New Roman"/>
        </w:rPr>
        <w:t xml:space="preserve">Here we took the total respondents to reach with each government initiative </w:t>
      </w:r>
      <w:r>
        <w:rPr>
          <w:rFonts w:ascii="Times New Roman" w:hAnsi="Times New Roman" w:cs="Times New Roman"/>
          <w:i/>
          <w:iCs/>
        </w:rPr>
        <w:t>j</w:t>
      </w:r>
      <w:r>
        <w:rPr>
          <w:rFonts w:ascii="Times New Roman" w:hAnsi="Times New Roman" w:cs="Times New Roman"/>
        </w:rPr>
        <w:t xml:space="preserve"> (choose x</w:t>
      </w:r>
      <w:r>
        <w:rPr>
          <w:rFonts w:ascii="Times New Roman" w:hAnsi="Times New Roman" w:cs="Times New Roman"/>
          <w:i/>
          <w:iCs/>
          <w:vertAlign w:val="subscript"/>
        </w:rPr>
        <w:t>j</w:t>
      </w:r>
      <w:r>
        <w:rPr>
          <w:rFonts w:ascii="Times New Roman" w:hAnsi="Times New Roman" w:cs="Times New Roman"/>
        </w:rPr>
        <w:t xml:space="preserve">) to maximize the weighted aggregate improvement across all domains, subject to the budget </w:t>
      </w:r>
      <w:r>
        <w:rPr>
          <w:rFonts w:ascii="Times New Roman" w:hAnsi="Times New Roman" w:cs="Times New Roman"/>
          <w:i/>
          <w:iCs/>
        </w:rPr>
        <w:t>B</w:t>
      </w:r>
      <w:r>
        <w:rPr>
          <w:rFonts w:ascii="Times New Roman" w:hAnsi="Times New Roman" w:cs="Times New Roman"/>
        </w:rPr>
        <w:t>=1,50.00,000, each initiative’s capacity, and the global limit that each person can receive at most</w:t>
      </w:r>
      <w:r>
        <w:rPr>
          <w:rFonts w:ascii="Times New Roman" w:hAnsi="Times New Roman" w:cs="Times New Roman"/>
          <w:i/>
          <w:iCs/>
        </w:rPr>
        <w:t xml:space="preserve"> L</w:t>
      </w:r>
      <w:r>
        <w:rPr>
          <w:rFonts w:ascii="Times New Roman" w:hAnsi="Times New Roman" w:cs="Times New Roman"/>
        </w:rPr>
        <w:t>=10initiatives on average (aggregate form).</w:t>
      </w:r>
    </w:p>
    <w:p w14:paraId="0683D057">
      <w:pPr>
        <w:jc w:val="both"/>
        <w:rPr>
          <w:rFonts w:ascii="Times New Roman" w:hAnsi="Times New Roman" w:cs="Times New Roman"/>
          <w:i/>
          <w:iCs/>
        </w:rPr>
      </w:pPr>
      <w:r>
        <w:rPr>
          <w:rFonts w:ascii="Times New Roman" w:hAnsi="Times New Roman" w:cs="Times New Roman"/>
        </w:rPr>
        <w:t>Decision variables: x</w:t>
      </w:r>
      <w:r>
        <w:rPr>
          <w:rFonts w:ascii="Times New Roman" w:hAnsi="Times New Roman" w:cs="Times New Roman"/>
          <w:i/>
          <w:iCs/>
        </w:rPr>
        <w:t>j</w:t>
      </w:r>
      <w:r>
        <w:rPr>
          <w:rFonts w:ascii="Times New Roman" w:hAnsi="Times New Roman" w:cs="Times New Roman"/>
        </w:rPr>
        <w:t xml:space="preserve"> for all</w:t>
      </w:r>
      <w:r>
        <w:rPr>
          <w:rFonts w:ascii="Times New Roman" w:hAnsi="Times New Roman" w:cs="Times New Roman"/>
          <w:i/>
          <w:iCs/>
        </w:rPr>
        <w:t xml:space="preserve"> j</w:t>
      </w:r>
    </w:p>
    <w:p w14:paraId="357470E7">
      <w:pPr>
        <w:jc w:val="both"/>
        <w:rPr>
          <w:rFonts w:ascii="Times New Roman" w:hAnsi="Times New Roman" w:cs="Times New Roman"/>
        </w:rPr>
      </w:pPr>
      <w:r>
        <w:rPr>
          <w:rFonts w:ascii="Times New Roman" w:hAnsi="Times New Roman" w:cs="Times New Roman"/>
        </w:rPr>
        <w:t xml:space="preserve">Objective: </w:t>
      </w:r>
    </w:p>
    <w:p w14:paraId="3C115606">
      <w:pPr>
        <w:jc w:val="both"/>
        <w:rPr>
          <w:rFonts w:ascii="Times New Roman" w:hAnsi="Times New Roman" w:cs="Times New Roman" w:eastAsiaTheme="minorEastAsia"/>
          <w:sz w:val="28"/>
          <w:szCs w:val="28"/>
        </w:rPr>
      </w:pPr>
      <w:r>
        <w:rPr>
          <w:rFonts w:ascii="Times New Roman" w:hAnsi="Times New Roman" w:cs="Times New Roman"/>
          <w:sz w:val="28"/>
          <w:szCs w:val="28"/>
        </w:rPr>
        <w:t>Max Z</w:t>
      </w:r>
      <w:r>
        <w:rPr>
          <w:rFonts w:ascii="Times New Roman" w:hAnsi="Times New Roman" w:cs="Times New Roman"/>
          <w:sz w:val="28"/>
          <w:szCs w:val="28"/>
          <w:vertAlign w:val="superscript"/>
        </w:rPr>
        <w:t xml:space="preserve">1         </w:t>
      </w:r>
      <w:r>
        <w:rPr>
          <w:rFonts w:ascii="Times New Roman" w:hAnsi="Times New Roman" w:cs="Times New Roman"/>
          <w:sz w:val="28"/>
          <w:szCs w:val="28"/>
        </w:rPr>
        <w:t xml:space="preserve">=  </w:t>
      </w:r>
      <m:oMath>
        <m:nary>
          <m:naryPr>
            <m:chr m:val="∑"/>
            <m:limLoc m:val="undOvr"/>
            <m:supHide m:val="1"/>
            <m:ctrlPr>
              <w:rPr>
                <w:rFonts w:ascii="Cambria Math" w:hAnsi="Cambria Math" w:cs="Times New Roman"/>
                <w:i/>
                <w:sz w:val="28"/>
                <w:szCs w:val="28"/>
              </w:rPr>
            </m:ctrlPr>
          </m:naryPr>
          <m:sub>
            <m:r>
              <m:rPr/>
              <w:rPr>
                <w:rFonts w:ascii="Cambria Math" w:hAnsi="Cambria Math" w:cs="Times New Roman"/>
                <w:sz w:val="28"/>
                <w:szCs w:val="28"/>
              </w:rPr>
              <m:t>d∈D</m:t>
            </m:r>
            <m:ctrlPr>
              <w:rPr>
                <w:rFonts w:ascii="Cambria Math" w:hAnsi="Cambria Math" w:cs="Times New Roman"/>
                <w:i/>
                <w:sz w:val="28"/>
                <w:szCs w:val="28"/>
              </w:rPr>
            </m:ctrlPr>
          </m:sub>
          <m:sup>
            <m:ctrlPr>
              <w:rPr>
                <w:rFonts w:ascii="Cambria Math" w:hAnsi="Cambria Math" w:cs="Times New Roman"/>
                <w:i/>
                <w:sz w:val="28"/>
                <w:szCs w:val="28"/>
              </w:rPr>
            </m:ctrlPr>
          </m:sup>
          <m:e>
            <m:r>
              <m:rPr/>
              <w:rPr>
                <w:rFonts w:ascii="Cambria Math" w:hAnsi="Cambria Math" w:cs="Times New Roman"/>
                <w:sz w:val="28"/>
                <w:szCs w:val="28"/>
              </w:rPr>
              <m:t xml:space="preserve">wd </m:t>
            </m:r>
            <m:ctrlPr>
              <w:rPr>
                <w:rFonts w:ascii="Cambria Math" w:hAnsi="Cambria Math" w:cs="Times New Roman"/>
                <w:i/>
                <w:sz w:val="28"/>
                <w:szCs w:val="28"/>
              </w:rPr>
            </m:ctrlPr>
          </m:e>
        </m:nary>
        <m:d>
          <m:dPr>
            <m:ctrlPr>
              <w:rPr>
                <w:rFonts w:ascii="Cambria Math" w:hAnsi="Cambria Math" w:cs="Times New Roman" w:eastAsiaTheme="minorEastAsia"/>
                <w:i/>
                <w:sz w:val="28"/>
                <w:szCs w:val="28"/>
              </w:rPr>
            </m:ctrlPr>
          </m:dPr>
          <m:e>
            <m:nary>
              <m:naryPr>
                <m:chr m:val="∑"/>
                <m:limLoc m:val="undOvr"/>
                <m:subHide m:val="1"/>
                <m:supHide m:val="1"/>
                <m:ctrlPr>
                  <w:rPr>
                    <w:rFonts w:ascii="Cambria Math" w:hAnsi="Cambria Math" w:cs="Times New Roman" w:eastAsiaTheme="minorEastAsia"/>
                    <w:i/>
                    <w:sz w:val="28"/>
                    <w:szCs w:val="28"/>
                  </w:rPr>
                </m:ctrlPr>
              </m:naryPr>
              <m:sub>
                <m:ctrlPr>
                  <w:rPr>
                    <w:rFonts w:ascii="Cambria Math" w:hAnsi="Cambria Math" w:cs="Times New Roman" w:eastAsiaTheme="minorEastAsia"/>
                    <w:i/>
                    <w:sz w:val="28"/>
                    <w:szCs w:val="28"/>
                  </w:rPr>
                </m:ctrlPr>
              </m:sub>
              <m:sup>
                <m:ctrlPr>
                  <w:rPr>
                    <w:rFonts w:ascii="Cambria Math" w:hAnsi="Cambria Math" w:cs="Times New Roman" w:eastAsiaTheme="minorEastAsia"/>
                    <w:i/>
                    <w:sz w:val="28"/>
                    <w:szCs w:val="28"/>
                  </w:rPr>
                </m:ctrlPr>
              </m:sup>
              <m:e>
                <m:r>
                  <m:rPr>
                    <m:sty m:val="p"/>
                  </m:rPr>
                  <w:rPr>
                    <w:rFonts w:ascii="Cambria Math" w:hAnsi="Cambria Math" w:cs="Times New Roman" w:eastAsiaTheme="minorEastAsia"/>
                    <w:sz w:val="28"/>
                    <w:szCs w:val="28"/>
                  </w:rPr>
                  <m:t>IF</m:t>
                </m:r>
                <m:r>
                  <m:rPr/>
                  <w:rPr>
                    <w:rFonts w:ascii="Cambria Math" w:hAnsi="Cambria Math" w:cs="Times New Roman" w:eastAsiaTheme="minorEastAsia"/>
                    <w:sz w:val="28"/>
                    <w:szCs w:val="28"/>
                  </w:rPr>
                  <m:t>j,d</m:t>
                </m:r>
                <m:f>
                  <m:fPr>
                    <m:ctrlPr>
                      <w:rPr>
                        <w:rFonts w:ascii="Cambria Math" w:hAnsi="Cambria Math" w:cs="Times New Roman" w:eastAsiaTheme="minorEastAsia"/>
                        <w:iCs/>
                        <w:sz w:val="28"/>
                        <w:szCs w:val="28"/>
                      </w:rPr>
                    </m:ctrlPr>
                  </m:fPr>
                  <m:num>
                    <m:r>
                      <m:rPr>
                        <m:sty m:val="p"/>
                      </m:rPr>
                      <w:rPr>
                        <w:rFonts w:ascii="Cambria Math" w:hAnsi="Cambria Math" w:cs="Times New Roman" w:eastAsiaTheme="minorEastAsia"/>
                        <w:sz w:val="28"/>
                        <w:szCs w:val="28"/>
                      </w:rPr>
                      <m:t>xj</m:t>
                    </m:r>
                    <m:ctrlPr>
                      <w:rPr>
                        <w:rFonts w:ascii="Cambria Math" w:hAnsi="Cambria Math" w:cs="Times New Roman" w:eastAsiaTheme="minorEastAsia"/>
                        <w:iCs/>
                        <w:sz w:val="28"/>
                        <w:szCs w:val="28"/>
                      </w:rPr>
                    </m:ctrlPr>
                  </m:num>
                  <m:den>
                    <m:r>
                      <m:rPr>
                        <m:sty m:val="p"/>
                      </m:rPr>
                      <w:rPr>
                        <w:rFonts w:ascii="Cambria Math" w:hAnsi="Cambria Math" w:cs="Times New Roman" w:eastAsiaTheme="minorEastAsia"/>
                        <w:sz w:val="28"/>
                        <w:szCs w:val="28"/>
                      </w:rPr>
                      <m:t>MaxRespj</m:t>
                    </m:r>
                    <m:ctrlPr>
                      <w:rPr>
                        <w:rFonts w:ascii="Cambria Math" w:hAnsi="Cambria Math" w:cs="Times New Roman" w:eastAsiaTheme="minorEastAsia"/>
                        <w:iCs/>
                        <w:sz w:val="28"/>
                        <w:szCs w:val="28"/>
                      </w:rPr>
                    </m:ctrlPr>
                  </m:den>
                </m:f>
                <m:ctrlPr>
                  <w:rPr>
                    <w:rFonts w:ascii="Cambria Math" w:hAnsi="Cambria Math" w:cs="Times New Roman" w:eastAsiaTheme="minorEastAsia"/>
                    <w:i/>
                    <w:sz w:val="28"/>
                    <w:szCs w:val="28"/>
                  </w:rPr>
                </m:ctrlPr>
              </m:e>
            </m:nary>
            <m:ctrlPr>
              <w:rPr>
                <w:rFonts w:ascii="Cambria Math" w:hAnsi="Cambria Math" w:cs="Times New Roman" w:eastAsiaTheme="minorEastAsia"/>
                <w:i/>
                <w:sz w:val="28"/>
                <w:szCs w:val="28"/>
              </w:rPr>
            </m:ctrlPr>
          </m:e>
        </m:d>
      </m:oMath>
    </w:p>
    <w:p w14:paraId="5E7CCE65">
      <w:pPr>
        <w:jc w:val="both"/>
        <w:rPr>
          <w:rFonts w:ascii="Times New Roman" w:hAnsi="Times New Roman" w:cs="Times New Roman"/>
          <w:sz w:val="28"/>
          <w:szCs w:val="28"/>
        </w:rPr>
      </w:pPr>
      <w:r>
        <w:rPr>
          <w:rFonts w:ascii="Times New Roman" w:hAnsi="Times New Roman" w:cs="Times New Roman"/>
        </w:rPr>
        <w:t>(since MCS and RWH are not used in this case, x=y=z=0</w:t>
      </w:r>
      <w:r>
        <w:rPr>
          <w:rFonts w:ascii="Times New Roman" w:hAnsi="Times New Roman" w:cs="Times New Roman"/>
          <w:sz w:val="28"/>
          <w:szCs w:val="28"/>
        </w:rPr>
        <w:t>.)</w:t>
      </w:r>
    </w:p>
    <w:p w14:paraId="25F732D6">
      <w:pPr>
        <w:jc w:val="both"/>
        <w:rPr>
          <w:rFonts w:ascii="Times New Roman" w:hAnsi="Times New Roman" w:cs="Times New Roman"/>
        </w:rPr>
      </w:pPr>
      <w:r>
        <w:rPr>
          <w:rFonts w:ascii="Times New Roman" w:hAnsi="Times New Roman" w:cs="Times New Roman"/>
        </w:rPr>
        <w:t xml:space="preserve">Subject to: </w:t>
      </w:r>
    </w:p>
    <w:p w14:paraId="3EACEB32">
      <w:pPr>
        <w:jc w:val="both"/>
        <w:rPr>
          <w:rFonts w:ascii="Times New Roman" w:hAnsi="Times New Roman" w:cs="Times New Roman" w:eastAsiaTheme="minorEastAsia"/>
          <w:sz w:val="28"/>
          <w:szCs w:val="28"/>
        </w:rPr>
      </w:pPr>
      <m:oMathPara>
        <m:oMath>
          <m:nary>
            <m:naryPr>
              <m:chr m:val="∑"/>
              <m:limLoc m:val="undOvr"/>
              <m:supHide m:val="1"/>
              <m:ctrlPr>
                <w:rPr>
                  <w:rFonts w:ascii="Cambria Math" w:hAnsi="Cambria Math" w:cs="Times New Roman"/>
                  <w:i/>
                  <w:sz w:val="28"/>
                  <w:szCs w:val="28"/>
                </w:rPr>
              </m:ctrlPr>
            </m:naryPr>
            <m:sub>
              <m:r>
                <m:rPr/>
                <w:rPr>
                  <w:rFonts w:ascii="Cambria Math" w:hAnsi="Cambria Math" w:cs="Times New Roman"/>
                  <w:sz w:val="28"/>
                  <w:szCs w:val="28"/>
                </w:rPr>
                <m:t>j∈J</m:t>
              </m:r>
              <m:ctrlPr>
                <w:rPr>
                  <w:rFonts w:ascii="Cambria Math" w:hAnsi="Cambria Math" w:cs="Times New Roman"/>
                  <w:i/>
                  <w:sz w:val="28"/>
                  <w:szCs w:val="28"/>
                </w:rPr>
              </m:ctrlPr>
            </m:sub>
            <m:sup>
              <m:ctrlPr>
                <w:rPr>
                  <w:rFonts w:ascii="Cambria Math" w:hAnsi="Cambria Math" w:cs="Times New Roman"/>
                  <w:i/>
                  <w:sz w:val="28"/>
                  <w:szCs w:val="28"/>
                </w:rPr>
              </m:ctrlPr>
            </m:sup>
            <m:e>
              <m:r>
                <m:rPr>
                  <m:sty m:val="p"/>
                </m:rPr>
                <w:rPr>
                  <w:rFonts w:ascii="Cambria Math" w:hAnsi="Cambria Math" w:cs="Times New Roman"/>
                  <w:sz w:val="28"/>
                  <w:szCs w:val="28"/>
                </w:rPr>
                <m:t>costjxj</m:t>
              </m:r>
              <m:r>
                <m:rPr/>
                <w:rPr>
                  <w:rFonts w:ascii="Cambria Math" w:hAnsi="Cambria Math" w:cs="Times New Roman"/>
                  <w:sz w:val="28"/>
                  <w:szCs w:val="28"/>
                </w:rPr>
                <m:t>≤1,50,00,000</m:t>
              </m:r>
              <m:ctrlPr>
                <w:rPr>
                  <w:rFonts w:ascii="Cambria Math" w:hAnsi="Cambria Math" w:cs="Times New Roman"/>
                  <w:i/>
                  <w:sz w:val="28"/>
                  <w:szCs w:val="28"/>
                </w:rPr>
              </m:ctrlPr>
            </m:e>
          </m:nary>
        </m:oMath>
      </m:oMathPara>
    </w:p>
    <w:p w14:paraId="43A8C34A">
      <w:pPr>
        <w:jc w:val="both"/>
        <w:rPr>
          <w:rFonts w:ascii="Times New Roman" w:hAnsi="Times New Roman" w:cs="Times New Roman" w:eastAsiaTheme="minorEastAsia"/>
          <w:sz w:val="28"/>
          <w:szCs w:val="28"/>
        </w:rPr>
      </w:pPr>
      <m:oMath>
        <m:nary>
          <m:naryPr>
            <m:chr m:val="∑"/>
            <m:limLoc m:val="undOvr"/>
            <m:supHide m:val="1"/>
            <m:ctrlPr>
              <w:rPr>
                <w:rFonts w:ascii="Cambria Math" w:hAnsi="Cambria Math" w:cs="Times New Roman"/>
                <w:i/>
                <w:sz w:val="28"/>
                <w:szCs w:val="28"/>
              </w:rPr>
            </m:ctrlPr>
          </m:naryPr>
          <m:sub>
            <m:r>
              <m:rPr/>
              <w:rPr>
                <w:rFonts w:ascii="Cambria Math" w:hAnsi="Cambria Math" w:cs="Times New Roman"/>
                <w:sz w:val="28"/>
                <w:szCs w:val="28"/>
              </w:rPr>
              <m:t>j∈J</m:t>
            </m:r>
            <m:ctrlPr>
              <w:rPr>
                <w:rFonts w:ascii="Cambria Math" w:hAnsi="Cambria Math" w:cs="Times New Roman"/>
                <w:i/>
                <w:sz w:val="28"/>
                <w:szCs w:val="28"/>
              </w:rPr>
            </m:ctrlPr>
          </m:sub>
          <m:sup>
            <m:ctrlPr>
              <w:rPr>
                <w:rFonts w:ascii="Cambria Math" w:hAnsi="Cambria Math" w:cs="Times New Roman"/>
                <w:i/>
                <w:sz w:val="28"/>
                <w:szCs w:val="28"/>
              </w:rPr>
            </m:ctrlPr>
          </m:sup>
          <m:e>
            <m:r>
              <m:rPr/>
              <w:rPr>
                <w:rFonts w:ascii="Cambria Math" w:hAnsi="Cambria Math" w:cs="Times New Roman"/>
                <w:sz w:val="28"/>
                <w:szCs w:val="28"/>
              </w:rPr>
              <m:t>xj≤L∗N</m:t>
            </m:r>
            <m:ctrlPr>
              <w:rPr>
                <w:rFonts w:ascii="Cambria Math" w:hAnsi="Cambria Math" w:cs="Times New Roman"/>
                <w:i/>
                <w:sz w:val="28"/>
                <w:szCs w:val="28"/>
              </w:rPr>
            </m:ctrlPr>
          </m:e>
        </m:nary>
      </m:oMath>
      <w:r>
        <w:rPr>
          <w:rFonts w:ascii="Times New Roman" w:hAnsi="Times New Roman" w:cs="Times New Roman" w:eastAsiaTheme="minorEastAsia"/>
          <w:sz w:val="28"/>
          <w:szCs w:val="28"/>
        </w:rPr>
        <w:t xml:space="preserve">              with </w:t>
      </w:r>
      <w:r>
        <w:rPr>
          <w:rFonts w:ascii="Times New Roman" w:hAnsi="Times New Roman" w:cs="Times New Roman" w:eastAsiaTheme="minorEastAsia"/>
          <w:i/>
          <w:iCs/>
          <w:sz w:val="28"/>
          <w:szCs w:val="28"/>
        </w:rPr>
        <w:t>L</w:t>
      </w:r>
      <w:r>
        <w:rPr>
          <w:rFonts w:ascii="Times New Roman" w:hAnsi="Times New Roman" w:cs="Times New Roman" w:eastAsiaTheme="minorEastAsia"/>
          <w:sz w:val="28"/>
          <w:szCs w:val="28"/>
        </w:rPr>
        <w:t>= 10</w:t>
      </w:r>
    </w:p>
    <w:p w14:paraId="7D3D6DBB">
      <w:pPr>
        <w:jc w:val="both"/>
        <w:rPr>
          <w:rFonts w:ascii="Cambria Math" w:hAnsi="Cambria Math" w:cs="Times New Roman" w:eastAsiaTheme="minorEastAsia"/>
          <w:i/>
          <w:iCs/>
          <w:sz w:val="28"/>
          <w:szCs w:val="28"/>
        </w:rPr>
      </w:pPr>
      <w:r>
        <w:rPr>
          <w:rFonts w:ascii="Times New Roman" w:hAnsi="Times New Roman" w:cs="Times New Roman" w:eastAsiaTheme="minorEastAsia"/>
          <w:sz w:val="28"/>
          <w:szCs w:val="28"/>
        </w:rPr>
        <w:t xml:space="preserve">                         0 ≤x</w:t>
      </w:r>
      <w:r>
        <w:rPr>
          <w:rFonts w:ascii="Times New Roman" w:hAnsi="Times New Roman" w:cs="Times New Roman" w:eastAsiaTheme="minorEastAsia"/>
          <w:sz w:val="28"/>
          <w:szCs w:val="28"/>
          <w:vertAlign w:val="subscript"/>
        </w:rPr>
        <w:t>j</w:t>
      </w:r>
      <w:r>
        <w:rPr>
          <w:rFonts w:ascii="Times New Roman" w:hAnsi="Times New Roman" w:cs="Times New Roman" w:eastAsiaTheme="minorEastAsia"/>
          <w:sz w:val="28"/>
          <w:szCs w:val="28"/>
        </w:rPr>
        <w:t>≤ MaxResp</w:t>
      </w:r>
      <w:r>
        <w:rPr>
          <w:rFonts w:ascii="Times New Roman" w:hAnsi="Times New Roman" w:cs="Times New Roman" w:eastAsiaTheme="minorEastAsia"/>
          <w:i/>
          <w:iCs/>
          <w:sz w:val="28"/>
          <w:szCs w:val="28"/>
        </w:rPr>
        <w:t>j</w:t>
      </w:r>
      <w:r>
        <w:rPr>
          <w:rFonts w:ascii="Times New Roman" w:hAnsi="Times New Roman" w:cs="Times New Roman" w:eastAsiaTheme="minorEastAsia"/>
          <w:sz w:val="28"/>
          <w:szCs w:val="28"/>
        </w:rPr>
        <w:t xml:space="preserve">              Ɐ</w:t>
      </w:r>
      <w:r>
        <w:rPr>
          <w:rFonts w:ascii="Times New Roman" w:hAnsi="Times New Roman" w:cs="Times New Roman" w:eastAsiaTheme="minorEastAsia"/>
          <w:i/>
          <w:iCs/>
          <w:sz w:val="28"/>
          <w:szCs w:val="28"/>
        </w:rPr>
        <w:t xml:space="preserve"> j</w:t>
      </w:r>
      <w:r>
        <w:rPr>
          <w:rFonts w:ascii="Cambria Math" w:hAnsi="Cambria Math" w:cs="Times New Roman" w:eastAsiaTheme="minorEastAsia"/>
          <w:sz w:val="28"/>
          <w:szCs w:val="28"/>
        </w:rPr>
        <w:t xml:space="preserve">∈ </w:t>
      </w:r>
      <w:r>
        <w:rPr>
          <w:rFonts w:ascii="Cambria Math" w:hAnsi="Cambria Math" w:cs="Times New Roman" w:eastAsiaTheme="minorEastAsia"/>
          <w:i/>
          <w:iCs/>
          <w:sz w:val="28"/>
          <w:szCs w:val="28"/>
        </w:rPr>
        <w:t>J</w:t>
      </w:r>
    </w:p>
    <w:p w14:paraId="27B65B04">
      <w:pPr>
        <w:jc w:val="both"/>
        <w:rPr>
          <w:rFonts w:ascii="Times New Roman" w:hAnsi="Times New Roman" w:cs="Times New Roman" w:eastAsiaTheme="minorEastAsia"/>
          <w:b/>
          <w:bCs/>
        </w:rPr>
      </w:pPr>
      <w:r>
        <w:rPr>
          <w:rFonts w:ascii="Times New Roman" w:hAnsi="Times New Roman" w:cs="Times New Roman" w:eastAsiaTheme="minorEastAsia"/>
          <w:b/>
          <w:bCs/>
        </w:rPr>
        <w:t>Case 2:Implement the Multi-Crop System (MCS) together with government initiatives</w:t>
      </w:r>
    </w:p>
    <w:p w14:paraId="17046758">
      <w:pPr>
        <w:jc w:val="both"/>
        <w:rPr>
          <w:rFonts w:ascii="Times New Roman" w:hAnsi="Times New Roman" w:cs="Times New Roman" w:eastAsiaTheme="minorEastAsia"/>
        </w:rPr>
      </w:pPr>
      <w:r>
        <w:rPr>
          <w:rFonts w:ascii="Times New Roman" w:hAnsi="Times New Roman" w:cs="Times New Roman" w:eastAsiaTheme="minorEastAsia"/>
        </w:rPr>
        <w:t>(MCS affects domains: Income, Wealth, Work-Life Balance, SWB, Housing, Occupation with SF</w:t>
      </w:r>
      <w:r>
        <w:rPr>
          <w:rFonts w:ascii="Times New Roman" w:hAnsi="Times New Roman" w:cs="Times New Roman" w:eastAsiaTheme="minorEastAsia"/>
          <w:vertAlign w:val="subscript"/>
        </w:rPr>
        <w:t xml:space="preserve">MCS,d </w:t>
      </w:r>
      <w:r>
        <w:rPr>
          <w:rFonts w:ascii="Times New Roman" w:hAnsi="Times New Roman" w:cs="Times New Roman" w:eastAsiaTheme="minorEastAsia"/>
        </w:rPr>
        <w:t>= 0.20)</w:t>
      </w:r>
    </w:p>
    <w:p w14:paraId="026C46E8">
      <w:pPr>
        <w:jc w:val="both"/>
        <w:rPr>
          <w:rFonts w:ascii="Times New Roman" w:hAnsi="Times New Roman" w:cs="Times New Roman" w:eastAsiaTheme="minorEastAsia"/>
        </w:rPr>
      </w:pPr>
      <w:r>
        <w:rPr>
          <w:rFonts w:ascii="Times New Roman" w:hAnsi="Times New Roman" w:cs="Times New Roman" w:eastAsiaTheme="minorEastAsia"/>
          <w:b/>
          <w:bCs/>
        </w:rPr>
        <w:t>We</w:t>
      </w:r>
      <w:r>
        <w:rPr>
          <w:rFonts w:ascii="Times New Roman" w:hAnsi="Times New Roman" w:cs="Times New Roman" w:eastAsiaTheme="minorEastAsia"/>
        </w:rPr>
        <w:t xml:space="preserve"> choose both government coverage x</w:t>
      </w:r>
      <w:r>
        <w:rPr>
          <w:rFonts w:ascii="Times New Roman" w:hAnsi="Times New Roman" w:cs="Times New Roman" w:eastAsiaTheme="minorEastAsia"/>
          <w:vertAlign w:val="subscript"/>
        </w:rPr>
        <w:t>j</w:t>
      </w:r>
      <w:r>
        <w:rPr>
          <w:rFonts w:ascii="Times New Roman" w:hAnsi="Times New Roman" w:cs="Times New Roman" w:eastAsiaTheme="minorEastAsia"/>
        </w:rPr>
        <w:t xml:space="preserve"> and the number of households to receive MCSy. MCS provides 20% full-coverage improvement in each of the listed domains; actual contribution scales linearly with </w:t>
      </w:r>
      <m:oMath>
        <m:f>
          <m:fPr>
            <m:ctrlPr>
              <w:rPr>
                <w:rFonts w:ascii="Cambria Math" w:hAnsi="Cambria Math" w:cs="Times New Roman" w:eastAsiaTheme="minorEastAsia"/>
                <w:iCs/>
                <w:sz w:val="28"/>
                <w:szCs w:val="28"/>
              </w:rPr>
            </m:ctrlPr>
          </m:fPr>
          <m:num>
            <m:r>
              <m:rPr>
                <m:sty m:val="p"/>
              </m:rPr>
              <w:rPr>
                <w:rFonts w:ascii="Cambria Math" w:hAnsi="Cambria Math" w:cs="Times New Roman" w:eastAsiaTheme="minorEastAsia"/>
                <w:sz w:val="28"/>
                <w:szCs w:val="28"/>
              </w:rPr>
              <m:t>y</m:t>
            </m:r>
            <m:ctrlPr>
              <w:rPr>
                <w:rFonts w:ascii="Cambria Math" w:hAnsi="Cambria Math" w:cs="Times New Roman" w:eastAsiaTheme="minorEastAsia"/>
                <w:iCs/>
                <w:sz w:val="28"/>
                <w:szCs w:val="28"/>
              </w:rPr>
            </m:ctrlPr>
          </m:num>
          <m:den>
            <m:r>
              <m:rPr>
                <m:sty m:val="p"/>
              </m:rPr>
              <w:rPr>
                <w:rFonts w:ascii="Cambria Math" w:hAnsi="Cambria Math" w:cs="Times New Roman" w:eastAsiaTheme="minorEastAsia"/>
                <w:sz w:val="28"/>
                <w:szCs w:val="28"/>
              </w:rPr>
              <m:t>HmaxMCS</m:t>
            </m:r>
            <m:ctrlPr>
              <w:rPr>
                <w:rFonts w:ascii="Cambria Math" w:hAnsi="Cambria Math" w:cs="Times New Roman" w:eastAsiaTheme="minorEastAsia"/>
                <w:iCs/>
                <w:sz w:val="28"/>
                <w:szCs w:val="28"/>
              </w:rPr>
            </m:ctrlPr>
          </m:den>
        </m:f>
      </m:oMath>
      <w:r>
        <w:rPr>
          <w:rFonts w:ascii="Times New Roman" w:hAnsi="Times New Roman" w:cs="Times New Roman" w:eastAsiaTheme="minorEastAsia"/>
        </w:rPr>
        <w:t>​. The LP selects x</w:t>
      </w:r>
      <w:r>
        <w:rPr>
          <w:rFonts w:ascii="Times New Roman" w:hAnsi="Times New Roman" w:cs="Times New Roman" w:eastAsiaTheme="minorEastAsia"/>
          <w:vertAlign w:val="subscript"/>
        </w:rPr>
        <w:t>j</w:t>
      </w:r>
      <w:r>
        <w:rPr>
          <w:rFonts w:ascii="Times New Roman" w:hAnsi="Times New Roman" w:cs="Times New Roman" w:eastAsiaTheme="minorEastAsia"/>
        </w:rPr>
        <w:t>​ and y under budget and capacity limits to maximize aggregate domain improvements.</w:t>
      </w:r>
    </w:p>
    <w:p w14:paraId="788B166B">
      <w:pPr>
        <w:jc w:val="both"/>
        <w:rPr>
          <w:rFonts w:ascii="Times New Roman" w:hAnsi="Times New Roman" w:cs="Times New Roman" w:eastAsiaTheme="minorEastAsia"/>
        </w:rPr>
      </w:pPr>
      <w:r>
        <w:rPr>
          <w:rFonts w:ascii="Times New Roman" w:hAnsi="Times New Roman" w:cs="Times New Roman" w:eastAsiaTheme="minorEastAsia"/>
        </w:rPr>
        <w:t>LP Formulation</w:t>
      </w:r>
    </w:p>
    <w:p w14:paraId="661A0115">
      <w:pPr>
        <w:jc w:val="both"/>
        <w:rPr>
          <w:rFonts w:ascii="Times New Roman" w:hAnsi="Times New Roman" w:cs="Times New Roman" w:eastAsiaTheme="minorEastAsia"/>
          <w:i/>
          <w:iCs/>
          <w:sz w:val="28"/>
          <w:szCs w:val="28"/>
        </w:rPr>
      </w:pPr>
      <w:r>
        <w:rPr>
          <w:rFonts w:ascii="Times New Roman" w:hAnsi="Times New Roman" w:cs="Times New Roman" w:eastAsiaTheme="minorEastAsia"/>
        </w:rPr>
        <w:t xml:space="preserve">Decision variable:          </w:t>
      </w:r>
      <w:r>
        <w:rPr>
          <w:rFonts w:ascii="Times New Roman" w:hAnsi="Times New Roman" w:cs="Times New Roman" w:eastAsiaTheme="minorEastAsia"/>
          <w:sz w:val="28"/>
          <w:szCs w:val="28"/>
        </w:rPr>
        <w:t>x</w:t>
      </w:r>
      <w:r>
        <w:rPr>
          <w:rFonts w:ascii="Times New Roman" w:hAnsi="Times New Roman" w:cs="Times New Roman" w:eastAsiaTheme="minorEastAsia"/>
          <w:i/>
          <w:iCs/>
          <w:sz w:val="28"/>
          <w:szCs w:val="28"/>
          <w:vertAlign w:val="subscript"/>
        </w:rPr>
        <w:t>j</w:t>
      </w:r>
      <w:r>
        <w:rPr>
          <w:rFonts w:ascii="Times New Roman" w:hAnsi="Times New Roman" w:cs="Times New Roman" w:eastAsiaTheme="minorEastAsia"/>
          <w:sz w:val="28"/>
          <w:szCs w:val="28"/>
        </w:rPr>
        <w:t xml:space="preserve"> for </w:t>
      </w:r>
      <w:r>
        <w:rPr>
          <w:rFonts w:ascii="Times New Roman" w:hAnsi="Times New Roman" w:cs="Times New Roman" w:eastAsiaTheme="minorEastAsia"/>
          <w:i/>
          <w:iCs/>
          <w:sz w:val="28"/>
          <w:szCs w:val="28"/>
        </w:rPr>
        <w:t>j</w:t>
      </w:r>
      <w:r>
        <w:rPr>
          <w:rFonts w:ascii="Cambria Math" w:hAnsi="Cambria Math" w:cs="Cambria Math" w:eastAsiaTheme="minorEastAsia"/>
          <w:sz w:val="28"/>
          <w:szCs w:val="28"/>
        </w:rPr>
        <w:t>∈</w:t>
      </w:r>
      <w:r>
        <w:rPr>
          <w:rFonts w:ascii="Times New Roman" w:hAnsi="Times New Roman" w:cs="Times New Roman" w:eastAsiaTheme="minorEastAsia"/>
          <w:i/>
          <w:iCs/>
          <w:sz w:val="28"/>
          <w:szCs w:val="28"/>
        </w:rPr>
        <w:t xml:space="preserve"> J</w:t>
      </w:r>
      <w:r>
        <w:rPr>
          <w:rFonts w:ascii="Times New Roman" w:hAnsi="Times New Roman" w:cs="Times New Roman" w:eastAsiaTheme="minorEastAsia"/>
          <w:sz w:val="28"/>
          <w:szCs w:val="28"/>
        </w:rPr>
        <w:t xml:space="preserve">, and </w:t>
      </w:r>
      <w:r>
        <w:rPr>
          <w:rFonts w:ascii="Times New Roman" w:hAnsi="Times New Roman" w:cs="Times New Roman" w:eastAsiaTheme="minorEastAsia"/>
          <w:i/>
          <w:iCs/>
          <w:sz w:val="28"/>
          <w:szCs w:val="28"/>
        </w:rPr>
        <w:t>y</w:t>
      </w:r>
    </w:p>
    <w:p w14:paraId="442475DB">
      <w:pPr>
        <w:jc w:val="both"/>
        <w:rPr>
          <w:rFonts w:ascii="Times New Roman" w:hAnsi="Times New Roman" w:cs="Times New Roman" w:eastAsiaTheme="minorEastAsia"/>
        </w:rPr>
      </w:pPr>
      <w:r>
        <w:rPr>
          <w:rFonts w:ascii="Cambria Math" w:hAnsi="Cambria Math" w:cs="Times New Roman" w:eastAsiaTheme="minorEastAsia"/>
        </w:rPr>
        <w:t xml:space="preserve">Objective function: </w:t>
      </w:r>
    </w:p>
    <w:p w14:paraId="67096B41">
      <w:pPr>
        <w:jc w:val="both"/>
        <w:rPr>
          <w:rFonts w:ascii="Times New Roman" w:hAnsi="Times New Roman" w:cs="Times New Roman" w:eastAsiaTheme="minorEastAsia"/>
          <w:vertAlign w:val="superscript"/>
        </w:rPr>
      </w:pPr>
      <w:r>
        <w:rPr>
          <w:rFonts w:ascii="Times New Roman" w:hAnsi="Times New Roman" w:cs="Times New Roman"/>
        </w:rPr>
        <w:t>Max Z</w:t>
      </w:r>
      <w:r>
        <w:rPr>
          <w:rFonts w:ascii="Times New Roman" w:hAnsi="Times New Roman" w:cs="Times New Roman"/>
          <w:vertAlign w:val="superscript"/>
        </w:rPr>
        <w:t xml:space="preserve">2  </w:t>
      </w:r>
      <w:r>
        <w:rPr>
          <w:rFonts w:ascii="Times New Roman" w:hAnsi="Times New Roman" w:cs="Times New Roman"/>
        </w:rPr>
        <w:t>=</w:t>
      </w:r>
      <m:oMath>
        <m:nary>
          <m:naryPr>
            <m:chr m:val="∑"/>
            <m:limLoc m:val="undOvr"/>
            <m:supHide m:val="1"/>
            <m:ctrlPr>
              <w:rPr>
                <w:rFonts w:ascii="Cambria Math" w:hAnsi="Cambria Math" w:cs="Times New Roman"/>
                <w:vertAlign w:val="superscript"/>
              </w:rPr>
            </m:ctrlPr>
          </m:naryPr>
          <m:sub>
            <m:r>
              <m:rPr>
                <m:sty m:val="p"/>
              </m:rPr>
              <w:rPr>
                <w:rFonts w:ascii="Cambria Math" w:hAnsi="Cambria Math" w:cs="Times New Roman"/>
                <w:vertAlign w:val="superscript"/>
              </w:rPr>
              <m:t>j∈J</m:t>
            </m:r>
            <m:ctrlPr>
              <w:rPr>
                <w:rFonts w:ascii="Cambria Math" w:hAnsi="Cambria Math" w:cs="Times New Roman"/>
                <w:vertAlign w:val="superscript"/>
              </w:rPr>
            </m:ctrlPr>
          </m:sub>
          <m:sup>
            <m:ctrlPr>
              <w:rPr>
                <w:rFonts w:ascii="Cambria Math" w:hAnsi="Cambria Math" w:cs="Times New Roman"/>
                <w:vertAlign w:val="superscript"/>
              </w:rPr>
            </m:ctrlPr>
          </m:sup>
          <m:e>
            <m:r>
              <m:rPr>
                <m:sty m:val="p"/>
              </m:rPr>
              <w:rPr>
                <w:rFonts w:ascii="Cambria Math" w:hAnsi="Cambria Math" w:cs="Times New Roman"/>
                <w:vertAlign w:val="superscript"/>
              </w:rPr>
              <m:t>Cjxj+SMCS</m:t>
            </m:r>
            <m:ctrlPr>
              <w:rPr>
                <w:rFonts w:ascii="Cambria Math" w:hAnsi="Cambria Math" w:cs="Times New Roman"/>
                <w:vertAlign w:val="superscript"/>
              </w:rPr>
            </m:ctrlPr>
          </m:e>
        </m:nary>
        <m:r>
          <m:rPr>
            <m:sty m:val="p"/>
          </m:rPr>
          <w:rPr>
            <w:rFonts w:ascii="Cambria Math" w:hAnsi="Cambria Math" w:cs="Times New Roman"/>
            <w:vertAlign w:val="superscript"/>
          </w:rPr>
          <m:t xml:space="preserve"> y </m:t>
        </m:r>
      </m:oMath>
    </w:p>
    <w:p w14:paraId="75CD2715">
      <w:pPr>
        <w:jc w:val="both"/>
        <w:rPr>
          <w:rFonts w:ascii="Times New Roman" w:hAnsi="Times New Roman" w:cs="Times New Roman" w:eastAsiaTheme="minorEastAsia"/>
        </w:rPr>
      </w:pPr>
      <w:r>
        <w:rPr>
          <w:rFonts w:ascii="Times New Roman" w:hAnsi="Times New Roman" w:cs="Times New Roman" w:eastAsiaTheme="minorEastAsia"/>
        </w:rPr>
        <w:t>Where</w:t>
      </w:r>
      <w:r>
        <w:rPr>
          <w:rFonts w:ascii="Times New Roman" w:hAnsi="Times New Roman" w:cs="Times New Roman" w:eastAsiaTheme="minorEastAsia"/>
          <w:sz w:val="28"/>
          <w:szCs w:val="28"/>
        </w:rPr>
        <w:t>S</w:t>
      </w:r>
      <w:r>
        <w:rPr>
          <w:rFonts w:ascii="Times New Roman" w:hAnsi="Times New Roman" w:cs="Times New Roman" w:eastAsiaTheme="minorEastAsia"/>
          <w:sz w:val="28"/>
          <w:szCs w:val="28"/>
          <w:vertAlign w:val="subscript"/>
        </w:rPr>
        <w:t xml:space="preserve">MCS </w:t>
      </w:r>
      <w:r>
        <w:rPr>
          <w:rFonts w:ascii="Times New Roman" w:hAnsi="Times New Roman" w:cs="Times New Roman"/>
          <w:sz w:val="28"/>
          <w:szCs w:val="28"/>
        </w:rPr>
        <w:t xml:space="preserve">= </w:t>
      </w:r>
      <m:oMath>
        <m:nary>
          <m:naryPr>
            <m:chr m:val="∑"/>
            <m:limLoc m:val="undOvr"/>
            <m:supHide m:val="1"/>
            <m:ctrlPr>
              <w:rPr>
                <w:rFonts w:ascii="Cambria Math" w:hAnsi="Cambria Math" w:cs="Times New Roman"/>
                <w:i/>
                <w:sz w:val="28"/>
                <w:szCs w:val="28"/>
              </w:rPr>
            </m:ctrlPr>
          </m:naryPr>
          <m:sub>
            <m:r>
              <m:rPr/>
              <w:rPr>
                <w:rFonts w:ascii="Cambria Math" w:hAnsi="Cambria Math" w:cs="Times New Roman"/>
                <w:sz w:val="28"/>
                <w:szCs w:val="28"/>
              </w:rPr>
              <m:t>d∈DMCS</m:t>
            </m:r>
            <m:ctrlPr>
              <w:rPr>
                <w:rFonts w:ascii="Cambria Math" w:hAnsi="Cambria Math" w:cs="Times New Roman"/>
                <w:i/>
                <w:sz w:val="28"/>
                <w:szCs w:val="28"/>
              </w:rPr>
            </m:ctrlPr>
          </m:sub>
          <m:sup>
            <m:ctrlPr>
              <w:rPr>
                <w:rFonts w:ascii="Cambria Math" w:hAnsi="Cambria Math" w:cs="Times New Roman"/>
                <w:i/>
                <w:sz w:val="28"/>
                <w:szCs w:val="28"/>
              </w:rPr>
            </m:ctrlPr>
          </m:sup>
          <m:e>
            <m:r>
              <m:rPr/>
              <w:rPr>
                <w:rFonts w:ascii="Cambria Math" w:hAnsi="Cambria Math" w:cs="Times New Roman"/>
                <w:sz w:val="28"/>
                <w:szCs w:val="28"/>
              </w:rPr>
              <m:t xml:space="preserve">wd∗ </m:t>
            </m:r>
            <m:ctrlPr>
              <w:rPr>
                <w:rFonts w:ascii="Cambria Math" w:hAnsi="Cambria Math" w:cs="Times New Roman"/>
                <w:i/>
                <w:sz w:val="28"/>
                <w:szCs w:val="28"/>
              </w:rPr>
            </m:ctrlPr>
          </m:e>
        </m:nary>
        <m:f>
          <m:fPr>
            <m:ctrlPr>
              <w:rPr>
                <w:rFonts w:ascii="Cambria Math" w:hAnsi="Cambria Math" w:cs="Times New Roman" w:eastAsiaTheme="minorEastAsia"/>
                <w:i/>
                <w:sz w:val="28"/>
                <w:szCs w:val="28"/>
              </w:rPr>
            </m:ctrlPr>
          </m:fPr>
          <m:num>
            <m:r>
              <m:rPr/>
              <w:rPr>
                <w:rFonts w:ascii="Cambria Math" w:hAnsi="Cambria Math" w:cs="Times New Roman" w:eastAsiaTheme="minorEastAsia"/>
                <w:sz w:val="28"/>
                <w:szCs w:val="28"/>
              </w:rPr>
              <m:t>0.20</m:t>
            </m:r>
            <m:ctrlPr>
              <w:rPr>
                <w:rFonts w:ascii="Cambria Math" w:hAnsi="Cambria Math" w:cs="Times New Roman" w:eastAsiaTheme="minorEastAsia"/>
                <w:i/>
                <w:sz w:val="28"/>
                <w:szCs w:val="28"/>
              </w:rPr>
            </m:ctrlPr>
          </m:num>
          <m:den>
            <m:r>
              <m:rPr/>
              <w:rPr>
                <w:rFonts w:ascii="Cambria Math" w:hAnsi="Cambria Math" w:cs="Times New Roman" w:eastAsiaTheme="minorEastAsia"/>
                <w:sz w:val="28"/>
                <w:szCs w:val="28"/>
              </w:rPr>
              <m:t>HMAX</m:t>
            </m:r>
            <m:ctrlPr>
              <w:rPr>
                <w:rFonts w:ascii="Cambria Math" w:hAnsi="Cambria Math" w:cs="Times New Roman" w:eastAsiaTheme="minorEastAsia"/>
                <w:i/>
                <w:sz w:val="28"/>
                <w:szCs w:val="28"/>
              </w:rPr>
            </m:ctrlPr>
          </m:den>
        </m:f>
      </m:oMath>
      <w:r>
        <w:rPr>
          <w:rFonts w:ascii="Times New Roman" w:hAnsi="Times New Roman" w:cs="Times New Roman" w:eastAsiaTheme="minorEastAsia"/>
          <w:sz w:val="28"/>
          <w:szCs w:val="28"/>
        </w:rPr>
        <w:t xml:space="preserve"> and D</w:t>
      </w:r>
      <w:r>
        <w:rPr>
          <w:rFonts w:ascii="Times New Roman" w:hAnsi="Times New Roman" w:cs="Times New Roman" w:eastAsiaTheme="minorEastAsia"/>
          <w:sz w:val="28"/>
          <w:szCs w:val="28"/>
          <w:vertAlign w:val="subscript"/>
        </w:rPr>
        <w:t>MCS</w:t>
      </w:r>
      <w:r>
        <w:rPr>
          <w:rFonts w:ascii="Times New Roman" w:hAnsi="Times New Roman" w:cs="Times New Roman" w:eastAsiaTheme="minorEastAsia"/>
        </w:rPr>
        <w:t>= (income, wealth, SWB, Housing, Occupation)</w:t>
      </w:r>
    </w:p>
    <w:p w14:paraId="64DAEFFE">
      <w:pPr>
        <w:jc w:val="both"/>
        <w:rPr>
          <w:rFonts w:ascii="Times New Roman" w:hAnsi="Times New Roman" w:cs="Times New Roman" w:eastAsiaTheme="minorEastAsia"/>
          <w:sz w:val="28"/>
          <w:szCs w:val="28"/>
        </w:rPr>
      </w:pPr>
      <w:r>
        <w:rPr>
          <w:rFonts w:ascii="Times New Roman" w:hAnsi="Times New Roman" w:cs="Times New Roman" w:eastAsiaTheme="minorEastAsia"/>
        </w:rPr>
        <w:t xml:space="preserve">Subject to: </w:t>
      </w:r>
    </w:p>
    <w:p w14:paraId="267C981C">
      <w:pPr>
        <w:jc w:val="both"/>
        <w:rPr>
          <w:rFonts w:ascii="Times New Roman" w:hAnsi="Times New Roman" w:cs="Times New Roman" w:eastAsiaTheme="minorEastAsia"/>
          <w:sz w:val="28"/>
          <w:szCs w:val="28"/>
        </w:rPr>
      </w:pPr>
      <m:oMathPara>
        <m:oMath>
          <m:nary>
            <m:naryPr>
              <m:chr m:val="∑"/>
              <m:limLoc m:val="undOvr"/>
              <m:supHide m:val="1"/>
              <m:ctrlPr>
                <w:rPr>
                  <w:rFonts w:ascii="Cambria Math" w:hAnsi="Cambria Math" w:cs="Times New Roman"/>
                  <w:i/>
                  <w:sz w:val="28"/>
                  <w:szCs w:val="28"/>
                </w:rPr>
              </m:ctrlPr>
            </m:naryPr>
            <m:sub>
              <m:r>
                <m:rPr/>
                <w:rPr>
                  <w:rFonts w:ascii="Cambria Math" w:hAnsi="Cambria Math" w:cs="Times New Roman"/>
                  <w:sz w:val="28"/>
                  <w:szCs w:val="28"/>
                </w:rPr>
                <m:t>j∈J</m:t>
              </m:r>
              <m:ctrlPr>
                <w:rPr>
                  <w:rFonts w:ascii="Cambria Math" w:hAnsi="Cambria Math" w:cs="Times New Roman"/>
                  <w:i/>
                  <w:sz w:val="28"/>
                  <w:szCs w:val="28"/>
                </w:rPr>
              </m:ctrlPr>
            </m:sub>
            <m:sup>
              <m:ctrlPr>
                <w:rPr>
                  <w:rFonts w:ascii="Cambria Math" w:hAnsi="Cambria Math" w:cs="Times New Roman"/>
                  <w:i/>
                  <w:sz w:val="28"/>
                  <w:szCs w:val="28"/>
                </w:rPr>
              </m:ctrlPr>
            </m:sup>
            <m:e>
              <m:r>
                <m:rPr/>
                <w:rPr>
                  <w:rFonts w:ascii="Cambria Math" w:hAnsi="Cambria Math" w:cs="Times New Roman"/>
                  <w:sz w:val="28"/>
                  <w:szCs w:val="28"/>
                </w:rPr>
                <m:t>costjxj+costMCS y≤B</m:t>
              </m:r>
              <m:ctrlPr>
                <w:rPr>
                  <w:rFonts w:ascii="Cambria Math" w:hAnsi="Cambria Math" w:cs="Times New Roman"/>
                  <w:i/>
                  <w:sz w:val="28"/>
                  <w:szCs w:val="28"/>
                </w:rPr>
              </m:ctrlPr>
            </m:e>
          </m:nary>
        </m:oMath>
      </m:oMathPara>
    </w:p>
    <w:p w14:paraId="2B6F9795">
      <w:pPr>
        <w:jc w:val="both"/>
        <w:rPr>
          <w:rFonts w:ascii="Times New Roman" w:hAnsi="Times New Roman" w:cs="Times New Roman" w:eastAsiaTheme="minorEastAsia"/>
          <w:sz w:val="28"/>
          <w:szCs w:val="28"/>
        </w:rPr>
      </w:pPr>
      <m:oMathPara>
        <m:oMath>
          <m:nary>
            <m:naryPr>
              <m:chr m:val="∑"/>
              <m:limLoc m:val="undOvr"/>
              <m:supHide m:val="1"/>
              <m:ctrlPr>
                <w:rPr>
                  <w:rFonts w:ascii="Cambria Math" w:hAnsi="Cambria Math" w:cs="Times New Roman" w:eastAsiaTheme="minorEastAsia"/>
                  <w:i/>
                  <w:sz w:val="28"/>
                  <w:szCs w:val="28"/>
                </w:rPr>
              </m:ctrlPr>
            </m:naryPr>
            <m:sub>
              <m:r>
                <m:rPr/>
                <w:rPr>
                  <w:rFonts w:ascii="Cambria Math" w:hAnsi="Cambria Math" w:cs="Times New Roman" w:eastAsiaTheme="minorEastAsia"/>
                  <w:sz w:val="28"/>
                  <w:szCs w:val="28"/>
                </w:rPr>
                <m:t>j∈J</m:t>
              </m:r>
              <m:ctrlPr>
                <w:rPr>
                  <w:rFonts w:ascii="Cambria Math" w:hAnsi="Cambria Math" w:cs="Times New Roman" w:eastAsiaTheme="minorEastAsia"/>
                  <w:i/>
                  <w:sz w:val="28"/>
                  <w:szCs w:val="28"/>
                </w:rPr>
              </m:ctrlPr>
            </m:sub>
            <m:sup>
              <m:ctrlPr>
                <w:rPr>
                  <w:rFonts w:ascii="Cambria Math" w:hAnsi="Cambria Math" w:cs="Times New Roman" w:eastAsiaTheme="minorEastAsia"/>
                  <w:i/>
                  <w:sz w:val="28"/>
                  <w:szCs w:val="28"/>
                </w:rPr>
              </m:ctrlPr>
            </m:sup>
            <m:e>
              <m:r>
                <m:rPr/>
                <w:rPr>
                  <w:rFonts w:ascii="Cambria Math" w:hAnsi="Cambria Math" w:cs="Times New Roman" w:eastAsiaTheme="minorEastAsia"/>
                  <w:sz w:val="28"/>
                  <w:szCs w:val="28"/>
                </w:rPr>
                <m:t>xj+y ≤l∗N</m:t>
              </m:r>
              <m:ctrlPr>
                <w:rPr>
                  <w:rFonts w:ascii="Cambria Math" w:hAnsi="Cambria Math" w:cs="Times New Roman" w:eastAsiaTheme="minorEastAsia"/>
                  <w:i/>
                  <w:sz w:val="28"/>
                  <w:szCs w:val="28"/>
                </w:rPr>
              </m:ctrlPr>
            </m:e>
          </m:nary>
        </m:oMath>
      </m:oMathPara>
    </w:p>
    <w:p w14:paraId="4A16D009">
      <w:pPr>
        <w:jc w:val="both"/>
        <w:rPr>
          <w:rFonts w:ascii="Times New Roman" w:hAnsi="Times New Roman" w:cs="Times New Roman" w:eastAsiaTheme="minorEastAsia"/>
          <w:sz w:val="28"/>
          <w:szCs w:val="28"/>
          <w:vertAlign w:val="subscript"/>
        </w:rPr>
      </w:pPr>
      <w:r>
        <w:rPr>
          <w:rFonts w:ascii="Times New Roman" w:hAnsi="Times New Roman" w:cs="Times New Roman" w:eastAsiaTheme="minorEastAsia"/>
          <w:sz w:val="28"/>
          <w:szCs w:val="28"/>
        </w:rPr>
        <w:t xml:space="preserve">                       0 ≤ x</w:t>
      </w:r>
      <w:r>
        <w:rPr>
          <w:rFonts w:ascii="Times New Roman" w:hAnsi="Times New Roman" w:cs="Times New Roman" w:eastAsiaTheme="minorEastAsia"/>
          <w:sz w:val="28"/>
          <w:szCs w:val="28"/>
          <w:vertAlign w:val="subscript"/>
        </w:rPr>
        <w:t>j</w:t>
      </w:r>
      <w:r>
        <w:rPr>
          <w:rFonts w:ascii="Times New Roman" w:hAnsi="Times New Roman" w:cs="Times New Roman" w:eastAsiaTheme="minorEastAsia"/>
          <w:sz w:val="28"/>
          <w:szCs w:val="28"/>
        </w:rPr>
        <w:t xml:space="preserve"> ≤ MaxResp</w:t>
      </w:r>
      <w:r>
        <w:rPr>
          <w:rFonts w:ascii="Times New Roman" w:hAnsi="Times New Roman" w:cs="Times New Roman" w:eastAsiaTheme="minorEastAsia"/>
          <w:sz w:val="28"/>
          <w:szCs w:val="28"/>
          <w:vertAlign w:val="subscript"/>
        </w:rPr>
        <w:t>j</w:t>
      </w:r>
      <w:r>
        <w:rPr>
          <w:rFonts w:ascii="Times New Roman" w:hAnsi="Times New Roman" w:cs="Times New Roman" w:eastAsiaTheme="minorEastAsia"/>
          <w:sz w:val="28"/>
          <w:szCs w:val="28"/>
        </w:rPr>
        <w:t xml:space="preserve"> Ɐj; 0 ≤ y ≤Hmax</w:t>
      </w:r>
      <w:r>
        <w:rPr>
          <w:rFonts w:ascii="Times New Roman" w:hAnsi="Times New Roman" w:cs="Times New Roman" w:eastAsiaTheme="minorEastAsia"/>
          <w:sz w:val="28"/>
          <w:szCs w:val="28"/>
          <w:vertAlign w:val="subscript"/>
        </w:rPr>
        <w:t>MCS</w:t>
      </w:r>
    </w:p>
    <w:p w14:paraId="081667FB">
      <w:pPr>
        <w:jc w:val="both"/>
        <w:rPr>
          <w:rFonts w:ascii="Times New Roman" w:hAnsi="Times New Roman" w:cs="Times New Roman" w:eastAsiaTheme="minorEastAsia"/>
          <w:b/>
          <w:bCs/>
        </w:rPr>
      </w:pPr>
      <w:r>
        <w:rPr>
          <w:rFonts w:ascii="Times New Roman" w:hAnsi="Times New Roman" w:cs="Times New Roman" w:eastAsiaTheme="minorEastAsia"/>
          <w:b/>
          <w:bCs/>
        </w:rPr>
        <w:t>Case 3:Implement Rainwater Harvesting (RWH) together with government initiatives</w:t>
      </w:r>
    </w:p>
    <w:p w14:paraId="044BCFA6">
      <w:pPr>
        <w:jc w:val="both"/>
        <w:rPr>
          <w:rFonts w:ascii="Times New Roman" w:hAnsi="Times New Roman" w:cs="Times New Roman" w:eastAsiaTheme="minorEastAsia"/>
        </w:rPr>
      </w:pPr>
      <w:r>
        <w:rPr>
          <w:rFonts w:ascii="Times New Roman" w:hAnsi="Times New Roman" w:cs="Times New Roman" w:eastAsiaTheme="minorEastAsia"/>
        </w:rPr>
        <w:t>RWH affects domains: Income, Environmental Quality, Work-Life Balance, SWB with SFRWH,</w:t>
      </w:r>
      <w:r>
        <w:rPr>
          <w:rFonts w:ascii="Times New Roman" w:hAnsi="Times New Roman" w:cs="Times New Roman" w:eastAsiaTheme="minorEastAsia"/>
          <w:i/>
          <w:iCs/>
        </w:rPr>
        <w:t>d</w:t>
      </w:r>
      <w:r>
        <w:rPr>
          <w:rFonts w:ascii="Times New Roman" w:hAnsi="Times New Roman" w:cs="Times New Roman" w:eastAsiaTheme="minorEastAsia"/>
        </w:rPr>
        <w:t>=20%</w:t>
      </w:r>
    </w:p>
    <w:p w14:paraId="64E2F57F">
      <w:pPr>
        <w:jc w:val="both"/>
        <w:rPr>
          <w:rFonts w:ascii="Times New Roman" w:hAnsi="Times New Roman" w:cs="Times New Roman" w:eastAsiaTheme="minorEastAsia"/>
        </w:rPr>
      </w:pPr>
      <w:r>
        <w:rPr>
          <w:rFonts w:ascii="Times New Roman" w:hAnsi="Times New Roman" w:cs="Times New Roman" w:eastAsiaTheme="minorEastAsia"/>
        </w:rPr>
        <w:t xml:space="preserve">We choose government coverage xj​ and RWH coverage z. RWH gives 20% full-coverage improvement per listed domain; actual gain scales with </w:t>
      </w:r>
      <m:oMath>
        <m:f>
          <m:fPr>
            <m:ctrlPr>
              <w:rPr>
                <w:rFonts w:ascii="Cambria Math" w:hAnsi="Cambria Math" w:cs="Times New Roman" w:eastAsiaTheme="minorEastAsia"/>
                <w:i/>
              </w:rPr>
            </m:ctrlPr>
          </m:fPr>
          <m:num>
            <m:r>
              <m:rPr/>
              <w:rPr>
                <w:rFonts w:ascii="Cambria Math" w:hAnsi="Cambria Math" w:cs="Times New Roman" w:eastAsiaTheme="minorEastAsia"/>
              </w:rPr>
              <m:t>z</m:t>
            </m:r>
            <m:ctrlPr>
              <w:rPr>
                <w:rFonts w:ascii="Cambria Math" w:hAnsi="Cambria Math" w:cs="Times New Roman" w:eastAsiaTheme="minorEastAsia"/>
                <w:i/>
              </w:rPr>
            </m:ctrlPr>
          </m:num>
          <m:den>
            <m:r>
              <m:rPr/>
              <w:rPr>
                <w:rFonts w:ascii="Cambria Math" w:hAnsi="Cambria Math" w:cs="Times New Roman" w:eastAsiaTheme="minorEastAsia"/>
              </w:rPr>
              <m:t xml:space="preserve">HmaxRWH. </m:t>
            </m:r>
            <m:ctrlPr>
              <w:rPr>
                <w:rFonts w:ascii="Cambria Math" w:hAnsi="Cambria Math" w:cs="Times New Roman" w:eastAsiaTheme="minorEastAsia"/>
                <w:i/>
              </w:rPr>
            </m:ctrlPr>
          </m:den>
        </m:f>
      </m:oMath>
      <w:r>
        <w:rPr>
          <w:rFonts w:ascii="Times New Roman" w:hAnsi="Times New Roman" w:cs="Times New Roman" w:eastAsiaTheme="minorEastAsia"/>
        </w:rPr>
        <w:t xml:space="preserve"> . Budget is </w:t>
      </w:r>
      <w:r>
        <w:rPr>
          <w:rFonts w:ascii="Times New Roman" w:hAnsi="Times New Roman" w:cs="Times New Roman" w:eastAsiaTheme="minorEastAsia"/>
          <w:i/>
          <w:iCs/>
        </w:rPr>
        <w:t>B</w:t>
      </w:r>
      <w:r>
        <w:rPr>
          <w:rFonts w:ascii="Times New Roman" w:hAnsi="Times New Roman" w:cs="Times New Roman" w:eastAsiaTheme="minorEastAsia"/>
        </w:rPr>
        <w:t xml:space="preserve"> = 1,50,00,000 per respondent, capital is L = 10.</w:t>
      </w:r>
    </w:p>
    <w:p w14:paraId="124BC9A2">
      <w:pPr>
        <w:jc w:val="both"/>
        <w:rPr>
          <w:rFonts w:ascii="Cambria Math" w:hAnsi="Cambria Math" w:cs="Times New Roman" w:eastAsiaTheme="minorEastAsia"/>
          <w:i/>
          <w:iCs/>
          <w:sz w:val="28"/>
          <w:szCs w:val="28"/>
        </w:rPr>
      </w:pPr>
      <w:r>
        <w:rPr>
          <w:rFonts w:ascii="Times New Roman" w:hAnsi="Times New Roman" w:cs="Times New Roman" w:eastAsiaTheme="minorEastAsia"/>
        </w:rPr>
        <w:t xml:space="preserve">Decision variable: </w:t>
      </w:r>
      <w:r>
        <w:rPr>
          <w:rFonts w:ascii="Times New Roman" w:hAnsi="Times New Roman" w:cs="Times New Roman" w:eastAsiaTheme="minorEastAsia"/>
          <w:sz w:val="28"/>
          <w:szCs w:val="28"/>
        </w:rPr>
        <w:t>x</w:t>
      </w:r>
      <w:r>
        <w:rPr>
          <w:rFonts w:ascii="Times New Roman" w:hAnsi="Times New Roman" w:cs="Times New Roman" w:eastAsiaTheme="minorEastAsia"/>
          <w:sz w:val="28"/>
          <w:szCs w:val="28"/>
          <w:vertAlign w:val="subscript"/>
        </w:rPr>
        <w:t>j</w:t>
      </w:r>
      <w:r>
        <w:rPr>
          <w:rFonts w:ascii="Times New Roman" w:hAnsi="Times New Roman" w:cs="Times New Roman" w:eastAsiaTheme="minorEastAsia"/>
          <w:sz w:val="28"/>
          <w:szCs w:val="28"/>
        </w:rPr>
        <w:t xml:space="preserve"> for </w:t>
      </w:r>
      <w:r>
        <w:rPr>
          <w:rFonts w:ascii="Times New Roman" w:hAnsi="Times New Roman" w:cs="Times New Roman" w:eastAsiaTheme="minorEastAsia"/>
          <w:i/>
          <w:iCs/>
          <w:sz w:val="28"/>
          <w:szCs w:val="28"/>
        </w:rPr>
        <w:t>j</w:t>
      </w:r>
      <w:r>
        <w:rPr>
          <w:rFonts w:ascii="Cambria Math" w:hAnsi="Cambria Math" w:cs="Times New Roman" w:eastAsiaTheme="minorEastAsia"/>
          <w:sz w:val="28"/>
          <w:szCs w:val="28"/>
        </w:rPr>
        <w:t xml:space="preserve">∈ </w:t>
      </w:r>
      <w:r>
        <w:rPr>
          <w:rFonts w:ascii="Cambria Math" w:hAnsi="Cambria Math" w:cs="Times New Roman" w:eastAsiaTheme="minorEastAsia"/>
          <w:i/>
          <w:iCs/>
          <w:sz w:val="28"/>
          <w:szCs w:val="28"/>
        </w:rPr>
        <w:t>J, z</w:t>
      </w:r>
    </w:p>
    <w:p w14:paraId="46E3B984">
      <w:pPr>
        <w:jc w:val="both"/>
        <w:rPr>
          <w:rFonts w:ascii="Times New Roman" w:hAnsi="Times New Roman" w:cs="Times New Roman" w:eastAsiaTheme="minorEastAsia"/>
        </w:rPr>
      </w:pPr>
      <w:r>
        <w:rPr>
          <w:rFonts w:ascii="Times New Roman" w:hAnsi="Times New Roman" w:cs="Times New Roman" w:eastAsiaTheme="minorEastAsia"/>
        </w:rPr>
        <w:t xml:space="preserve">Objective: </w:t>
      </w:r>
      <w:r>
        <w:rPr>
          <w:rFonts w:ascii="Times New Roman" w:hAnsi="Times New Roman" w:cs="Times New Roman" w:eastAsiaTheme="minorEastAsia"/>
          <w:sz w:val="28"/>
          <w:szCs w:val="28"/>
        </w:rPr>
        <w:t>max Z</w:t>
      </w:r>
      <w:r>
        <w:rPr>
          <w:rFonts w:ascii="Times New Roman" w:hAnsi="Times New Roman" w:cs="Times New Roman" w:eastAsiaTheme="minorEastAsia"/>
          <w:sz w:val="28"/>
          <w:szCs w:val="28"/>
          <w:vertAlign w:val="superscript"/>
        </w:rPr>
        <w:t>3</w:t>
      </w:r>
      <w:r>
        <w:rPr>
          <w:rFonts w:ascii="Times New Roman" w:hAnsi="Times New Roman" w:cs="Times New Roman" w:eastAsiaTheme="minorEastAsia"/>
          <w:sz w:val="28"/>
          <w:szCs w:val="28"/>
        </w:rPr>
        <w:t xml:space="preserve"> = </w:t>
      </w:r>
      <m:oMath>
        <m:nary>
          <m:naryPr>
            <m:chr m:val="∑"/>
            <m:limLoc m:val="undOvr"/>
            <m:supHide m:val="1"/>
            <m:ctrlPr>
              <w:rPr>
                <w:rFonts w:ascii="Cambria Math" w:hAnsi="Cambria Math" w:cs="Times New Roman" w:eastAsiaTheme="minorEastAsia"/>
                <w:i/>
                <w:sz w:val="28"/>
                <w:szCs w:val="28"/>
              </w:rPr>
            </m:ctrlPr>
          </m:naryPr>
          <m:sub>
            <m:r>
              <m:rPr/>
              <w:rPr>
                <w:rFonts w:ascii="Cambria Math" w:hAnsi="Cambria Math" w:cs="Times New Roman" w:eastAsiaTheme="minorEastAsia"/>
                <w:sz w:val="28"/>
                <w:szCs w:val="28"/>
              </w:rPr>
              <m:t>j∈J</m:t>
            </m:r>
            <m:ctrlPr>
              <w:rPr>
                <w:rFonts w:ascii="Cambria Math" w:hAnsi="Cambria Math" w:cs="Times New Roman" w:eastAsiaTheme="minorEastAsia"/>
                <w:i/>
                <w:sz w:val="28"/>
                <w:szCs w:val="28"/>
              </w:rPr>
            </m:ctrlPr>
          </m:sub>
          <m:sup>
            <m:ctrlPr>
              <w:rPr>
                <w:rFonts w:ascii="Cambria Math" w:hAnsi="Cambria Math" w:cs="Times New Roman" w:eastAsiaTheme="minorEastAsia"/>
                <w:i/>
                <w:sz w:val="28"/>
                <w:szCs w:val="28"/>
              </w:rPr>
            </m:ctrlPr>
          </m:sup>
          <m:e>
            <m:r>
              <m:rPr/>
              <w:rPr>
                <w:rFonts w:ascii="Cambria Math" w:hAnsi="Cambria Math" w:cs="Times New Roman" w:eastAsiaTheme="minorEastAsia"/>
                <w:sz w:val="28"/>
                <w:szCs w:val="28"/>
              </w:rPr>
              <m:t>CjXj+SRWHz</m:t>
            </m:r>
            <m:ctrlPr>
              <w:rPr>
                <w:rFonts w:ascii="Cambria Math" w:hAnsi="Cambria Math" w:cs="Times New Roman" w:eastAsiaTheme="minorEastAsia"/>
                <w:i/>
                <w:sz w:val="28"/>
                <w:szCs w:val="28"/>
              </w:rPr>
            </m:ctrlPr>
          </m:e>
        </m:nary>
      </m:oMath>
    </w:p>
    <w:p w14:paraId="00E99FE8">
      <w:pPr>
        <w:jc w:val="both"/>
        <w:rPr>
          <w:rFonts w:ascii="Times New Roman" w:hAnsi="Times New Roman" w:cs="Times New Roman"/>
        </w:rPr>
      </w:pPr>
      <w:r>
        <w:rPr>
          <w:rFonts w:ascii="Times New Roman" w:hAnsi="Times New Roman" w:cs="Times New Roman" w:eastAsiaTheme="minorEastAsia"/>
        </w:rPr>
        <w:t xml:space="preserve">Where, </w:t>
      </w:r>
      <w:r>
        <w:rPr>
          <w:rFonts w:ascii="Times New Roman" w:hAnsi="Times New Roman" w:cs="Times New Roman" w:eastAsiaTheme="minorEastAsia"/>
          <w:sz w:val="28"/>
          <w:szCs w:val="28"/>
        </w:rPr>
        <w:t>S</w:t>
      </w:r>
      <w:r>
        <w:rPr>
          <w:rFonts w:ascii="Times New Roman" w:hAnsi="Times New Roman" w:cs="Times New Roman" w:eastAsiaTheme="minorEastAsia"/>
          <w:sz w:val="28"/>
          <w:szCs w:val="28"/>
          <w:vertAlign w:val="subscript"/>
        </w:rPr>
        <w:t>RWH</w:t>
      </w:r>
      <w:r>
        <w:rPr>
          <w:rFonts w:ascii="Times New Roman" w:hAnsi="Times New Roman" w:cs="Times New Roman" w:eastAsiaTheme="minorEastAsia"/>
          <w:sz w:val="28"/>
          <w:szCs w:val="28"/>
        </w:rPr>
        <w:t xml:space="preserve"> =</w:t>
      </w:r>
      <m:oMath>
        <m:nary>
          <m:naryPr>
            <m:chr m:val="∑"/>
            <m:limLoc m:val="undOvr"/>
            <m:supHide m:val="1"/>
            <m:ctrlPr>
              <w:rPr>
                <w:rFonts w:ascii="Cambria Math" w:hAnsi="Cambria Math" w:cs="Times New Roman" w:eastAsiaTheme="minorEastAsia"/>
                <w:i/>
                <w:sz w:val="28"/>
                <w:szCs w:val="28"/>
                <w:vertAlign w:val="subscript"/>
              </w:rPr>
            </m:ctrlPr>
          </m:naryPr>
          <m:sub>
            <m:r>
              <m:rPr/>
              <w:rPr>
                <w:rFonts w:ascii="Cambria Math" w:hAnsi="Cambria Math" w:cs="Times New Roman" w:eastAsiaTheme="minorEastAsia"/>
                <w:sz w:val="28"/>
                <w:szCs w:val="28"/>
                <w:vertAlign w:val="subscript"/>
              </w:rPr>
              <m:t>d∈DRWH</m:t>
            </m:r>
            <m:ctrlPr>
              <w:rPr>
                <w:rFonts w:ascii="Cambria Math" w:hAnsi="Cambria Math" w:cs="Times New Roman" w:eastAsiaTheme="minorEastAsia"/>
                <w:i/>
                <w:sz w:val="28"/>
                <w:szCs w:val="28"/>
                <w:vertAlign w:val="subscript"/>
              </w:rPr>
            </m:ctrlPr>
          </m:sub>
          <m:sup>
            <m:ctrlPr>
              <w:rPr>
                <w:rFonts w:ascii="Cambria Math" w:hAnsi="Cambria Math" w:cs="Times New Roman" w:eastAsiaTheme="minorEastAsia"/>
                <w:i/>
                <w:sz w:val="28"/>
                <w:szCs w:val="28"/>
                <w:vertAlign w:val="subscript"/>
              </w:rPr>
            </m:ctrlPr>
          </m:sup>
          <m:e>
            <m:r>
              <m:rPr/>
              <w:rPr>
                <w:rFonts w:ascii="Cambria Math" w:hAnsi="Cambria Math" w:cs="Times New Roman" w:eastAsiaTheme="minorEastAsia"/>
                <w:sz w:val="28"/>
                <w:szCs w:val="28"/>
                <w:vertAlign w:val="subscript"/>
              </w:rPr>
              <m:t xml:space="preserve">wd∗ </m:t>
            </m:r>
            <m:ctrlPr>
              <w:rPr>
                <w:rFonts w:ascii="Cambria Math" w:hAnsi="Cambria Math" w:cs="Times New Roman" w:eastAsiaTheme="minorEastAsia"/>
                <w:i/>
                <w:sz w:val="28"/>
                <w:szCs w:val="28"/>
                <w:vertAlign w:val="subscript"/>
              </w:rPr>
            </m:ctrlPr>
          </m:e>
        </m:nary>
        <m:f>
          <m:fPr>
            <m:ctrlPr>
              <w:rPr>
                <w:rFonts w:ascii="Cambria Math" w:hAnsi="Cambria Math" w:cs="Times New Roman" w:eastAsiaTheme="minorEastAsia"/>
                <w:i/>
                <w:sz w:val="28"/>
                <w:szCs w:val="28"/>
                <w:vertAlign w:val="subscript"/>
              </w:rPr>
            </m:ctrlPr>
          </m:fPr>
          <m:num>
            <m:r>
              <m:rPr/>
              <w:rPr>
                <w:rFonts w:ascii="Cambria Math" w:hAnsi="Cambria Math" w:cs="Times New Roman" w:eastAsiaTheme="minorEastAsia"/>
                <w:sz w:val="28"/>
                <w:szCs w:val="28"/>
                <w:vertAlign w:val="subscript"/>
              </w:rPr>
              <m:t>0.20</m:t>
            </m:r>
            <m:ctrlPr>
              <w:rPr>
                <w:rFonts w:ascii="Cambria Math" w:hAnsi="Cambria Math" w:cs="Times New Roman" w:eastAsiaTheme="minorEastAsia"/>
                <w:i/>
                <w:sz w:val="28"/>
                <w:szCs w:val="28"/>
                <w:vertAlign w:val="subscript"/>
              </w:rPr>
            </m:ctrlPr>
          </m:num>
          <m:den>
            <m:r>
              <m:rPr/>
              <w:rPr>
                <w:rFonts w:ascii="Cambria Math" w:hAnsi="Cambria Math" w:cs="Times New Roman" w:eastAsiaTheme="minorEastAsia"/>
                <w:sz w:val="28"/>
                <w:szCs w:val="28"/>
                <w:vertAlign w:val="subscript"/>
              </w:rPr>
              <m:t>HmaxRWH</m:t>
            </m:r>
            <m:ctrlPr>
              <w:rPr>
                <w:rFonts w:ascii="Cambria Math" w:hAnsi="Cambria Math" w:cs="Times New Roman" w:eastAsiaTheme="minorEastAsia"/>
                <w:i/>
                <w:sz w:val="28"/>
                <w:szCs w:val="28"/>
                <w:vertAlign w:val="subscript"/>
              </w:rPr>
            </m:ctrlPr>
          </m:den>
        </m:f>
      </m:oMath>
      <w:r>
        <w:rPr>
          <w:rFonts w:ascii="Times New Roman" w:hAnsi="Times New Roman" w:cs="Times New Roman" w:eastAsiaTheme="minorEastAsia"/>
          <w:sz w:val="28"/>
          <w:szCs w:val="28"/>
        </w:rPr>
        <w:t xml:space="preserve">and </w:t>
      </w:r>
      <w:r>
        <w:rPr>
          <w:rFonts w:ascii="Times New Roman" w:hAnsi="Times New Roman" w:cs="Times New Roman" w:eastAsiaTheme="minorEastAsia"/>
          <w:i/>
          <w:iCs/>
          <w:sz w:val="28"/>
          <w:szCs w:val="28"/>
        </w:rPr>
        <w:t>D</w:t>
      </w:r>
      <w:r>
        <w:rPr>
          <w:rFonts w:ascii="Times New Roman" w:hAnsi="Times New Roman" w:cs="Times New Roman" w:eastAsiaTheme="minorEastAsia"/>
          <w:sz w:val="28"/>
          <w:szCs w:val="28"/>
          <w:vertAlign w:val="subscript"/>
        </w:rPr>
        <w:t>RWH</w:t>
      </w:r>
      <w:r>
        <w:rPr>
          <w:rFonts w:ascii="Times New Roman" w:hAnsi="Times New Roman" w:cs="Times New Roman" w:eastAsiaTheme="minorEastAsia"/>
          <w:i/>
          <w:iCs/>
          <w:sz w:val="28"/>
          <w:szCs w:val="28"/>
        </w:rPr>
        <w:t xml:space="preserve"> =</w:t>
      </w:r>
      <w:r>
        <w:rPr>
          <w:rFonts w:ascii="Times New Roman" w:hAnsi="Times New Roman" w:cs="Times New Roman" w:eastAsiaTheme="minorEastAsia"/>
        </w:rPr>
        <w:t>(Income, environmental quality, WLB, SWB)</w:t>
      </w:r>
    </w:p>
    <w:p w14:paraId="1AA27809">
      <w:pPr>
        <w:jc w:val="both"/>
        <w:rPr>
          <w:rFonts w:ascii="Times New Roman" w:hAnsi="Times New Roman" w:cs="Times New Roman"/>
          <w:sz w:val="28"/>
          <w:szCs w:val="28"/>
        </w:rPr>
      </w:pPr>
      <w:r>
        <w:rPr>
          <w:rFonts w:ascii="Times New Roman" w:hAnsi="Times New Roman" w:cs="Times New Roman"/>
        </w:rPr>
        <w:t xml:space="preserve">Subject to : </w:t>
      </w:r>
      <m:oMath>
        <m:nary>
          <m:naryPr>
            <m:chr m:val="∑"/>
            <m:limLoc m:val="undOvr"/>
            <m:supHide m:val="1"/>
            <m:ctrlPr>
              <w:rPr>
                <w:rFonts w:ascii="Cambria Math" w:hAnsi="Cambria Math" w:cs="Times New Roman"/>
                <w:i/>
                <w:sz w:val="28"/>
                <w:szCs w:val="28"/>
              </w:rPr>
            </m:ctrlPr>
          </m:naryPr>
          <m:sub>
            <m:r>
              <m:rPr/>
              <w:rPr>
                <w:rFonts w:ascii="Cambria Math" w:hAnsi="Cambria Math" w:cs="Times New Roman"/>
                <w:sz w:val="28"/>
                <w:szCs w:val="28"/>
              </w:rPr>
              <m:t>j∈J</m:t>
            </m:r>
            <m:ctrlPr>
              <w:rPr>
                <w:rFonts w:ascii="Cambria Math" w:hAnsi="Cambria Math" w:cs="Times New Roman"/>
                <w:i/>
                <w:sz w:val="28"/>
                <w:szCs w:val="28"/>
              </w:rPr>
            </m:ctrlPr>
          </m:sub>
          <m:sup>
            <m:ctrlPr>
              <w:rPr>
                <w:rFonts w:ascii="Cambria Math" w:hAnsi="Cambria Math" w:cs="Times New Roman"/>
                <w:i/>
                <w:sz w:val="28"/>
                <w:szCs w:val="28"/>
              </w:rPr>
            </m:ctrlPr>
          </m:sup>
          <m:e>
            <m:r>
              <m:rPr/>
              <w:rPr>
                <w:rFonts w:ascii="Cambria Math" w:hAnsi="Cambria Math" w:cs="Times New Roman"/>
                <w:sz w:val="28"/>
                <w:szCs w:val="28"/>
              </w:rPr>
              <m:t>costjxj+costRWH z ≤B</m:t>
            </m:r>
            <m:ctrlPr>
              <w:rPr>
                <w:rFonts w:ascii="Cambria Math" w:hAnsi="Cambria Math" w:cs="Times New Roman"/>
                <w:i/>
                <w:sz w:val="28"/>
                <w:szCs w:val="28"/>
              </w:rPr>
            </m:ctrlPr>
          </m:e>
        </m:nary>
      </m:oMath>
    </w:p>
    <w:p w14:paraId="520E9063">
      <w:pPr>
        <w:jc w:val="both"/>
        <w:rPr>
          <w:rFonts w:ascii="Times New Roman" w:hAnsi="Times New Roman" w:cs="Times New Roman" w:eastAsiaTheme="minorEastAsia"/>
          <w:i/>
          <w:iCs/>
          <w:sz w:val="28"/>
          <w:szCs w:val="28"/>
        </w:rPr>
      </w:pPr>
      <m:oMath>
        <m:nary>
          <m:naryPr>
            <m:chr m:val="∑"/>
            <m:limLoc m:val="undOvr"/>
            <m:supHide m:val="1"/>
            <m:ctrlPr>
              <w:rPr>
                <w:rFonts w:ascii="Cambria Math" w:hAnsi="Cambria Math" w:cs="Times New Roman"/>
                <w:i/>
                <w:sz w:val="28"/>
                <w:szCs w:val="28"/>
              </w:rPr>
            </m:ctrlPr>
          </m:naryPr>
          <m:sub>
            <m:r>
              <m:rPr/>
              <w:rPr>
                <w:rFonts w:ascii="Cambria Math" w:hAnsi="Cambria Math" w:cs="Times New Roman"/>
                <w:sz w:val="28"/>
                <w:szCs w:val="28"/>
              </w:rPr>
              <m:t>j∈J</m:t>
            </m:r>
            <m:ctrlPr>
              <w:rPr>
                <w:rFonts w:ascii="Cambria Math" w:hAnsi="Cambria Math" w:cs="Times New Roman"/>
                <w:i/>
                <w:sz w:val="28"/>
                <w:szCs w:val="28"/>
              </w:rPr>
            </m:ctrlPr>
          </m:sub>
          <m:sup>
            <m:ctrlPr>
              <w:rPr>
                <w:rFonts w:ascii="Cambria Math" w:hAnsi="Cambria Math" w:cs="Times New Roman"/>
                <w:i/>
                <w:sz w:val="28"/>
                <w:szCs w:val="28"/>
              </w:rPr>
            </m:ctrlPr>
          </m:sup>
          <m:e>
            <m:r>
              <m:rPr/>
              <w:rPr>
                <w:rFonts w:ascii="Cambria Math" w:hAnsi="Cambria Math" w:cs="Times New Roman"/>
                <w:sz w:val="28"/>
                <w:szCs w:val="28"/>
              </w:rPr>
              <m:t xml:space="preserve">xj+ </m:t>
            </m:r>
            <m:ctrlPr>
              <w:rPr>
                <w:rFonts w:ascii="Cambria Math" w:hAnsi="Cambria Math" w:cs="Times New Roman"/>
                <w:i/>
                <w:sz w:val="28"/>
                <w:szCs w:val="28"/>
              </w:rPr>
            </m:ctrlPr>
          </m:e>
        </m:nary>
      </m:oMath>
      <w:r>
        <w:rPr>
          <w:rFonts w:ascii="Times New Roman" w:hAnsi="Times New Roman" w:cs="Times New Roman" w:eastAsiaTheme="minorEastAsia"/>
          <w:sz w:val="28"/>
          <w:szCs w:val="28"/>
        </w:rPr>
        <w:t xml:space="preserve">z ≤  </w:t>
      </w:r>
      <w:r>
        <w:rPr>
          <w:rFonts w:ascii="Times New Roman" w:hAnsi="Times New Roman" w:cs="Times New Roman" w:eastAsiaTheme="minorEastAsia"/>
          <w:i/>
          <w:iCs/>
          <w:sz w:val="28"/>
          <w:szCs w:val="28"/>
        </w:rPr>
        <w:t>L*N</w:t>
      </w:r>
    </w:p>
    <w:p w14:paraId="3063653D">
      <w:pPr>
        <w:jc w:val="both"/>
        <w:rPr>
          <w:rFonts w:ascii="Times New Roman" w:hAnsi="Times New Roman" w:cs="Times New Roman" w:eastAsiaTheme="minorEastAsia"/>
          <w:sz w:val="28"/>
          <w:szCs w:val="28"/>
          <w:vertAlign w:val="subscript"/>
        </w:rPr>
      </w:pPr>
      <w:r>
        <w:rPr>
          <w:rFonts w:ascii="Times New Roman" w:hAnsi="Times New Roman" w:cs="Times New Roman" w:eastAsiaTheme="minorEastAsia"/>
          <w:sz w:val="28"/>
          <w:szCs w:val="28"/>
        </w:rPr>
        <w:t xml:space="preserve">                    0 ≤xj ≤ MaxResp</w:t>
      </w:r>
      <w:r>
        <w:rPr>
          <w:rFonts w:ascii="Times New Roman" w:hAnsi="Times New Roman" w:cs="Times New Roman" w:eastAsiaTheme="minorEastAsia"/>
          <w:sz w:val="28"/>
          <w:szCs w:val="28"/>
          <w:vertAlign w:val="subscript"/>
        </w:rPr>
        <w:t>j</w:t>
      </w:r>
      <w:r>
        <w:rPr>
          <w:rFonts w:ascii="Times New Roman" w:hAnsi="Times New Roman" w:cs="Times New Roman" w:eastAsiaTheme="minorEastAsia"/>
          <w:sz w:val="28"/>
          <w:szCs w:val="28"/>
        </w:rPr>
        <w:t>Ɐ</w:t>
      </w:r>
      <w:r>
        <w:rPr>
          <w:rFonts w:ascii="Times New Roman" w:hAnsi="Times New Roman" w:cs="Times New Roman" w:eastAsiaTheme="minorEastAsia"/>
          <w:i/>
          <w:iCs/>
          <w:sz w:val="28"/>
          <w:szCs w:val="28"/>
        </w:rPr>
        <w:t>j</w:t>
      </w:r>
      <w:r>
        <w:rPr>
          <w:rFonts w:ascii="Times New Roman" w:hAnsi="Times New Roman" w:cs="Times New Roman" w:eastAsiaTheme="minorEastAsia"/>
          <w:sz w:val="28"/>
          <w:szCs w:val="28"/>
        </w:rPr>
        <w:t xml:space="preserve"> ; 0 ≤ z ≤ Hmax</w:t>
      </w:r>
      <w:r>
        <w:rPr>
          <w:rFonts w:ascii="Times New Roman" w:hAnsi="Times New Roman" w:cs="Times New Roman" w:eastAsiaTheme="minorEastAsia"/>
          <w:sz w:val="28"/>
          <w:szCs w:val="28"/>
          <w:vertAlign w:val="subscript"/>
        </w:rPr>
        <w:t>RWH</w:t>
      </w:r>
    </w:p>
    <w:p w14:paraId="1E35281D">
      <w:pPr>
        <w:jc w:val="both"/>
        <w:rPr>
          <w:rFonts w:ascii="Times New Roman" w:hAnsi="Times New Roman" w:cs="Times New Roman"/>
        </w:rPr>
      </w:pPr>
    </w:p>
    <w:p w14:paraId="7454C493">
      <w:pPr>
        <w:jc w:val="both"/>
        <w:rPr>
          <w:rFonts w:ascii="Times New Roman" w:hAnsi="Times New Roman" w:cs="Times New Roman"/>
        </w:rPr>
      </w:pPr>
    </w:p>
    <w:p w14:paraId="02F92DC3">
      <w:pPr>
        <w:jc w:val="both"/>
        <w:rPr>
          <w:rFonts w:ascii="Times New Roman" w:hAnsi="Times New Roman" w:cs="Times New Roman"/>
        </w:rPr>
      </w:pPr>
      <w:r>
        <w:rPr>
          <w:rFonts w:ascii="Times New Roman" w:hAnsi="Times New Roman" w:cs="Times New Roman"/>
        </w:rPr>
        <w:t>coefficient C</w:t>
      </w:r>
      <w:r>
        <w:rPr>
          <w:rFonts w:ascii="Times New Roman" w:hAnsi="Times New Roman" w:cs="Times New Roman"/>
          <w:i/>
          <w:iCs/>
          <w:vertAlign w:val="subscript"/>
        </w:rPr>
        <w:t>j</w:t>
      </w:r>
      <w:r>
        <w:rPr>
          <w:rFonts w:ascii="Times New Roman" w:hAnsi="Times New Roman" w:cs="Times New Roman"/>
          <w:vertAlign w:val="subscript"/>
        </w:rPr>
        <w:t>​</w:t>
      </w:r>
      <w:r>
        <w:rPr>
          <w:rFonts w:ascii="Times New Roman" w:hAnsi="Times New Roman" w:cs="Times New Roman"/>
        </w:rPr>
        <w:t xml:space="preserve"> is just the “overall wellbeing improvement weight” for initiative</w:t>
      </w:r>
      <w:r>
        <w:rPr>
          <w:rFonts w:ascii="Times New Roman" w:hAnsi="Times New Roman" w:cs="Times New Roman"/>
          <w:i/>
          <w:iCs/>
        </w:rPr>
        <w:t xml:space="preserve"> j</w:t>
      </w:r>
      <w:r>
        <w:rPr>
          <w:rFonts w:ascii="Times New Roman" w:hAnsi="Times New Roman" w:cs="Times New Roman"/>
        </w:rPr>
        <w:t>.</w:t>
      </w:r>
    </w:p>
    <w:p w14:paraId="52F26B7A">
      <w:pPr>
        <w:jc w:val="both"/>
        <w:rPr>
          <w:rFonts w:ascii="Times New Roman" w:hAnsi="Times New Roman" w:cs="Times New Roman"/>
          <w:b/>
          <w:bCs/>
          <w:lang w:val="en-US"/>
        </w:rPr>
      </w:pPr>
      <w:r>
        <w:rPr>
          <w:rFonts w:ascii="Times New Roman" w:hAnsi="Times New Roman" w:cs="Times New Roman"/>
          <w:b/>
          <w:bCs/>
          <w:lang w:val="en-US"/>
        </w:rPr>
        <w:t>RESULT AND DISCUSSION:</w:t>
      </w:r>
    </w:p>
    <w:p w14:paraId="1025A27C">
      <w:pPr>
        <w:jc w:val="both"/>
        <w:rPr>
          <w:rFonts w:ascii="Times New Roman" w:hAnsi="Times New Roman" w:cs="Times New Roman"/>
          <w:b/>
          <w:bCs/>
          <w:lang w:val="en-US"/>
        </w:rPr>
      </w:pPr>
      <w:r>
        <w:rPr>
          <w:rFonts w:ascii="Times New Roman" w:hAnsi="Times New Roman" w:cs="Times New Roman"/>
          <w:b/>
          <w:bCs/>
          <w:lang w:val="en-US"/>
        </w:rPr>
        <w:t xml:space="preserve">Case 1: </w:t>
      </w:r>
    </w:p>
    <w:p w14:paraId="2FD10D85">
      <w:pPr>
        <w:spacing w:line="360" w:lineRule="auto"/>
        <w:jc w:val="both"/>
        <w:rPr>
          <w:rFonts w:ascii="Times New Roman" w:hAnsi="Times New Roman" w:cs="Times New Roman"/>
          <w:lang w:val="en-US"/>
        </w:rPr>
      </w:pPr>
      <w:r>
        <w:rPr>
          <w:rFonts w:ascii="Times New Roman" w:hAnsi="Times New Roman" w:cs="Times New Roman"/>
        </w:rPr>
        <w:t>In Case 1, the model focuses on improving the overall well-being of the tribals in Jamtara by allocating the budget of ₹1.5 crore across different government programs. The decision variable is the number of respondents covered under each initiative, and the objective is to maximize the weighted improvement across all well-being domains such as health, housing, income, education, wealth, security, and occupation. The result from optimization ensures that the total program cost stays within the budget, that on average each respondent can receive at most ten initiatives, and that the number of beneficiaries in each program does not exceed its maximum capacity. The results show that programs like Ayushman Bharat, PMAY, PMJDY, and Skill India are prioritized, as they contribute strongly to highly weighted domains such as health, housing, financial inclusion, and employment. This indicates that even without agricultural strategies like the multi-crop system or rainwater harvesting, government initiatives alone can significantly enhance well-being. The findings align with previous studies emphasizing that access to health, housing, and financial security forms the foundation of improved quality of life among tribal populations, while optimization ensures resources are distributed efficiently and equitably.</w:t>
      </w:r>
    </w:p>
    <w:p w14:paraId="76285E35">
      <w:pPr>
        <w:jc w:val="both"/>
        <w:rPr>
          <w:rFonts w:ascii="Times New Roman" w:hAnsi="Times New Roman" w:cs="Times New Roman"/>
          <w:b/>
          <w:bCs/>
          <w:lang w:val="en-US"/>
        </w:rPr>
      </w:pPr>
      <w:r>
        <w:rPr>
          <w:rFonts w:ascii="Times New Roman" w:hAnsi="Times New Roman" w:cs="Times New Roman"/>
          <w:b/>
          <w:bCs/>
          <w:lang w:val="en-US"/>
        </w:rPr>
        <w:t>Case 2:</w:t>
      </w:r>
    </w:p>
    <w:p w14:paraId="2E13E8BC">
      <w:pPr>
        <w:spacing w:line="360" w:lineRule="auto"/>
        <w:jc w:val="both"/>
        <w:rPr>
          <w:rFonts w:ascii="Times New Roman" w:hAnsi="Times New Roman" w:cs="Times New Roman"/>
        </w:rPr>
      </w:pPr>
      <w:r>
        <w:rPr>
          <w:rFonts w:ascii="Times New Roman" w:hAnsi="Times New Roman" w:cs="Times New Roman"/>
        </w:rPr>
        <w:t>In Case 2, the linear programming model optimized overall well-being by jointly allocating resources to government initiatives and the Multi-Crop System (MCS), incorporating finger millet and mustard seed cultivation. The MCS directly improved six domains income, wealth, work-life balance, subjective well-being (SWB), housing, and occupationby 20% under full coverage, with actual benefits scaling proportionally to the number of participating households. Government initiativesincluding Ayushman Bharat, PMJDY, PMAY, MGNREGA, Skill India, Samagra Shiksha Abhiyan, Soil Health Management, and othersaddressed multiple domains such as health, education, financial and agricultural security, employment, social connection, and civic engagement, constrained by program capacity for respondents. The optimization allocated maximum feasible coverage to high-priority programs like Samagra Shiksha Abhiyan, Skill India, MGNREGA, PMAY, and PMJDY, moderate allocation to Ayushman Bharat, Social Welfare Schemes, and Soil Health Management, and lower allocation to overlapping or less capacity-constrained schemes. Approximately 450 households (≈72% of the maximum) were recommended to adopt MCS, yielding a scaled improvement of ~14.4% across the six affected domains.</w:t>
      </w:r>
    </w:p>
    <w:p w14:paraId="38E94A86">
      <w:pPr>
        <w:spacing w:line="360" w:lineRule="auto"/>
        <w:jc w:val="both"/>
        <w:rPr>
          <w:rFonts w:ascii="Times New Roman" w:hAnsi="Times New Roman" w:cs="Times New Roman"/>
        </w:rPr>
      </w:pPr>
      <w:r>
        <w:rPr>
          <w:rFonts w:ascii="Times New Roman" w:hAnsi="Times New Roman" w:cs="Times New Roman"/>
        </w:rPr>
        <w:t>These findings highlight the synergistic effect of combining government programs with MCS adoption. MGNREGA and MCS together enhance employment and agricultural productivity, PMAY and MCS improve housing outcomes, PMJDY supports financial inclusion and investment in agriculture, and Skill India with MCS strengthens technical skills and livelihood of tribal people of Jamtara, jharkhand. Finger millet’s drought resilience and nutritional value, coupled with mustard seed’s income potential, ensure both food security and economic benefits. This integrated approach aligns with previous research emphasizing crop diversification as a driver of income stability and resilience in rural India (Barrett et al., 2021; Pingali, 2015). Overall, the results suggest that government initiatives achieve greater impact when paired with community-driven agricultural interventions, maximizing short-term welfare gains while fostering long-term well-being across multiple domains.</w:t>
      </w:r>
    </w:p>
    <w:p w14:paraId="7D69E782">
      <w:pPr>
        <w:spacing w:line="360" w:lineRule="auto"/>
        <w:jc w:val="both"/>
        <w:rPr>
          <w:rFonts w:ascii="Times New Roman" w:hAnsi="Times New Roman" w:cs="Times New Roman"/>
          <w:b/>
          <w:bCs/>
        </w:rPr>
      </w:pPr>
      <w:r>
        <w:rPr>
          <w:rFonts w:ascii="Times New Roman" w:hAnsi="Times New Roman" w:cs="Times New Roman"/>
          <w:b/>
          <w:bCs/>
        </w:rPr>
        <w:t xml:space="preserve">Case 3: </w:t>
      </w:r>
    </w:p>
    <w:p w14:paraId="09F8003E">
      <w:pPr>
        <w:spacing w:line="360" w:lineRule="auto"/>
        <w:jc w:val="both"/>
        <w:rPr>
          <w:rFonts w:ascii="Times New Roman" w:hAnsi="Times New Roman" w:cs="Times New Roman"/>
        </w:rPr>
      </w:pPr>
      <w:r>
        <w:rPr>
          <w:rFonts w:ascii="Times New Roman" w:hAnsi="Times New Roman" w:cs="Times New Roman"/>
        </w:rPr>
        <w:t xml:space="preserve">In Case 3, the optimization combines government initiatives with Rainwater Harvesting (RWH) to maximize overall well-being across multiple domains. Unlike Case 1, where only government programs were considered, this case incorporates RWH as an additional strategy that directly contributes to income, environmental quality, work-life balance, and subjective well-being, with each domain gaining up to 20% improvement under full coverage. The model selects the optimal number of respondents covered under both government schemes and RWH while respecting the budget constraint of ₹1.5 crore, the capital limit of ten initiatives per respondent, and the maximum coverage capacities of each intervention. The results highlight that including RWH alongside government programs diversifies the sources of well-being gainsgovernment schemes continue to strengthen health, housing, and financial security, while RWH adds resilience by enhancing environmental quality. This complementary effect ensures broader and more balanced development, addressing both material needs and ecological concerns. Overall, the findings show that combining different approaches leads to better overall well-being than relying only on government programs. When ecological strategies like rainwater harvesting (RWH) are integrated with government initiatives measures, tribal communities benefit more. This combined approach improves income, health, and living conditions while ensuring resources are used efficiently. </w:t>
      </w:r>
    </w:p>
    <w:p w14:paraId="50AECF58">
      <w:pPr>
        <w:spacing w:line="360" w:lineRule="auto"/>
        <w:jc w:val="both"/>
        <w:rPr>
          <w:rFonts w:ascii="Times New Roman" w:hAnsi="Times New Roman" w:cs="Times New Roman"/>
        </w:rPr>
      </w:pPr>
    </w:p>
    <w:p w14:paraId="1ED5FCF6">
      <w:pPr>
        <w:keepNext/>
        <w:jc w:val="center"/>
      </w:pPr>
      <w:r>
        <w:rPr>
          <w:rFonts w:ascii="Times New Roman" w:hAnsi="Times New Roman" w:cs="Times New Roman"/>
          <w:lang w:val="en-US" w:bidi="bn-IN"/>
        </w:rPr>
        <w:drawing>
          <wp:inline distT="0" distB="0" distL="0" distR="0">
            <wp:extent cx="6316980" cy="5464175"/>
            <wp:effectExtent l="0" t="0" r="0" b="0"/>
            <wp:docPr id="1557805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805726"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6316980" cy="5464175"/>
                    </a:xfrm>
                    <a:prstGeom prst="rect">
                      <a:avLst/>
                    </a:prstGeom>
                    <a:noFill/>
                    <a:ln>
                      <a:noFill/>
                    </a:ln>
                  </pic:spPr>
                </pic:pic>
              </a:graphicData>
            </a:graphic>
          </wp:inline>
        </w:drawing>
      </w:r>
    </w:p>
    <w:p w14:paraId="7852420E">
      <w:pPr>
        <w:pStyle w:val="14"/>
        <w:jc w:val="center"/>
        <w:rPr>
          <w:rFonts w:ascii="Times New Roman" w:hAnsi="Times New Roman" w:cs="Times New Roman"/>
          <w:i w:val="0"/>
          <w:iCs w:val="0"/>
          <w:color w:val="auto"/>
          <w:sz w:val="20"/>
          <w:szCs w:val="20"/>
        </w:rPr>
      </w:pPr>
      <w:r>
        <w:rPr>
          <w:rFonts w:ascii="Times New Roman" w:hAnsi="Times New Roman" w:cs="Times New Roman"/>
          <w:i w:val="0"/>
          <w:iCs w:val="0"/>
          <w:color w:val="auto"/>
          <w:sz w:val="20"/>
          <w:szCs w:val="20"/>
        </w:rPr>
        <w:t xml:space="preserve">Figure </w:t>
      </w:r>
      <w:r>
        <w:rPr>
          <w:rFonts w:ascii="Times New Roman" w:hAnsi="Times New Roman" w:cs="Times New Roman"/>
          <w:i w:val="0"/>
          <w:iCs w:val="0"/>
          <w:color w:val="auto"/>
          <w:sz w:val="20"/>
          <w:szCs w:val="20"/>
        </w:rPr>
        <w:fldChar w:fldCharType="begin"/>
      </w:r>
      <w:r>
        <w:rPr>
          <w:rFonts w:ascii="Times New Roman" w:hAnsi="Times New Roman" w:cs="Times New Roman"/>
          <w:i w:val="0"/>
          <w:iCs w:val="0"/>
          <w:color w:val="auto"/>
          <w:sz w:val="20"/>
          <w:szCs w:val="20"/>
        </w:rPr>
        <w:instrText xml:space="preserve"> SEQ Figure \* ARABIC </w:instrText>
      </w:r>
      <w:r>
        <w:rPr>
          <w:rFonts w:ascii="Times New Roman" w:hAnsi="Times New Roman" w:cs="Times New Roman"/>
          <w:i w:val="0"/>
          <w:iCs w:val="0"/>
          <w:color w:val="auto"/>
          <w:sz w:val="20"/>
          <w:szCs w:val="20"/>
        </w:rPr>
        <w:fldChar w:fldCharType="separate"/>
      </w:r>
      <w:r>
        <w:rPr>
          <w:rFonts w:ascii="Times New Roman" w:hAnsi="Times New Roman" w:cs="Times New Roman"/>
          <w:i w:val="0"/>
          <w:iCs w:val="0"/>
          <w:color w:val="auto"/>
          <w:sz w:val="20"/>
          <w:szCs w:val="20"/>
        </w:rPr>
        <w:t>2</w:t>
      </w:r>
      <w:r>
        <w:rPr>
          <w:rFonts w:ascii="Times New Roman" w:hAnsi="Times New Roman" w:cs="Times New Roman"/>
          <w:i w:val="0"/>
          <w:iCs w:val="0"/>
          <w:color w:val="auto"/>
          <w:sz w:val="20"/>
          <w:szCs w:val="20"/>
        </w:rPr>
        <w:fldChar w:fldCharType="end"/>
      </w:r>
      <w:r>
        <w:rPr>
          <w:rFonts w:ascii="Times New Roman" w:hAnsi="Times New Roman" w:cs="Times New Roman"/>
          <w:i w:val="0"/>
          <w:iCs w:val="0"/>
          <w:color w:val="auto"/>
          <w:sz w:val="20"/>
          <w:szCs w:val="20"/>
        </w:rPr>
        <w:t>: Comparative health and security status of the tribal people in Jamtara before and after optimization, highlighting improvements in  Physical well-being.</w:t>
      </w:r>
    </w:p>
    <w:p w14:paraId="21D22056">
      <w:pPr>
        <w:spacing w:line="360" w:lineRule="auto"/>
        <w:jc w:val="both"/>
        <w:rPr>
          <w:rFonts w:ascii="Times New Roman" w:hAnsi="Times New Roman" w:cs="Times New Roman"/>
        </w:rPr>
      </w:pPr>
      <w:r>
        <w:rPr>
          <w:rFonts w:ascii="Times New Roman" w:hAnsi="Times New Roman" w:cs="Times New Roman"/>
        </w:rPr>
        <w:t>We can get detailed information from Figure 2, which illustrates the comparative health and security status of the tribal population in Jamtara before and after optimization. The results show a clear improvement in health, with respondents shifting from predominantly medium levels toward higher and very high categories, indicating better access to healthcare and enhanced overall well-being. Similarly, security status demonstrates a marked rise in the high category with reductions in low and very low levels, suggesting improvements in women’s safety, reduction of illegal activities, and greater social stability. These findings underscore the positive impact of optimization initiatives on both health and security dimensions of tribal life.The improvements in health and security observed in Jamtara align with established theories of well-being and optimization, highlighting the effectiveness of integrated, community-centered development strategies. The Social and Emotional Wellbeing Framework emphasizes the holistic nature of well-being, encompassing physical, mental, social, emotional, spiritual, and cultural aspects. In Jamtara, the integration of ecological strategies like rainwater harvesting with institutional welfare measures reflects this holistic approach, leading to improved health outcomes and social stability (Griffiths et al., 2021).Similarly, the Indigenous Wellness Pyramid provides a scalable pathway toward increased well-being, emphasizing the integration of community, culture, and environment. The positive shifts in health and security indicators in Jamtara suggest that such integrated approaches can effectively enhance overall well-being (Blue Bird Jernigan et al., 2015).</w:t>
      </w:r>
    </w:p>
    <w:p w14:paraId="0017DC45">
      <w:pPr>
        <w:jc w:val="both"/>
        <w:rPr>
          <w:rFonts w:ascii="Times New Roman" w:hAnsi="Times New Roman" w:cs="Times New Roman"/>
        </w:rPr>
      </w:pPr>
    </w:p>
    <w:p w14:paraId="79B51D72">
      <w:pPr>
        <w:keepNext/>
        <w:jc w:val="both"/>
      </w:pPr>
      <w:r>
        <w:rPr>
          <w:rFonts w:ascii="Times New Roman" w:hAnsi="Times New Roman" w:cs="Times New Roman"/>
          <w:lang w:val="en-US" w:bidi="bn-IN"/>
        </w:rPr>
        <w:drawing>
          <wp:inline distT="0" distB="0" distL="0" distR="0">
            <wp:extent cx="5731510" cy="6073140"/>
            <wp:effectExtent l="0" t="0" r="2540" b="0"/>
            <wp:docPr id="16652900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290059"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5731510" cy="6073140"/>
                    </a:xfrm>
                    <a:prstGeom prst="rect">
                      <a:avLst/>
                    </a:prstGeom>
                    <a:noFill/>
                    <a:ln>
                      <a:noFill/>
                    </a:ln>
                  </pic:spPr>
                </pic:pic>
              </a:graphicData>
            </a:graphic>
          </wp:inline>
        </w:drawing>
      </w:r>
    </w:p>
    <w:p w14:paraId="60F6E7EE">
      <w:pPr>
        <w:pStyle w:val="14"/>
        <w:jc w:val="both"/>
        <w:rPr>
          <w:rFonts w:ascii="Times New Roman" w:hAnsi="Times New Roman" w:cs="Times New Roman"/>
          <w:i w:val="0"/>
          <w:iCs w:val="0"/>
          <w:color w:val="auto"/>
          <w:sz w:val="20"/>
          <w:szCs w:val="20"/>
        </w:rPr>
      </w:pPr>
      <w:r>
        <w:rPr>
          <w:rFonts w:ascii="Times New Roman" w:hAnsi="Times New Roman" w:cs="Times New Roman"/>
          <w:i w:val="0"/>
          <w:iCs w:val="0"/>
          <w:color w:val="auto"/>
          <w:sz w:val="20"/>
          <w:szCs w:val="20"/>
        </w:rPr>
        <w:t xml:space="preserve">Figure </w:t>
      </w:r>
      <w:r>
        <w:rPr>
          <w:rFonts w:ascii="Times New Roman" w:hAnsi="Times New Roman" w:cs="Times New Roman"/>
          <w:i w:val="0"/>
          <w:iCs w:val="0"/>
          <w:color w:val="auto"/>
          <w:sz w:val="20"/>
          <w:szCs w:val="20"/>
        </w:rPr>
        <w:fldChar w:fldCharType="begin"/>
      </w:r>
      <w:r>
        <w:rPr>
          <w:rFonts w:ascii="Times New Roman" w:hAnsi="Times New Roman" w:cs="Times New Roman"/>
          <w:i w:val="0"/>
          <w:iCs w:val="0"/>
          <w:color w:val="auto"/>
          <w:sz w:val="20"/>
          <w:szCs w:val="20"/>
        </w:rPr>
        <w:instrText xml:space="preserve"> SEQ Figure \* ARABIC </w:instrText>
      </w:r>
      <w:r>
        <w:rPr>
          <w:rFonts w:ascii="Times New Roman" w:hAnsi="Times New Roman" w:cs="Times New Roman"/>
          <w:i w:val="0"/>
          <w:iCs w:val="0"/>
          <w:color w:val="auto"/>
          <w:sz w:val="20"/>
          <w:szCs w:val="20"/>
        </w:rPr>
        <w:fldChar w:fldCharType="separate"/>
      </w:r>
      <w:r>
        <w:rPr>
          <w:rFonts w:ascii="Times New Roman" w:hAnsi="Times New Roman" w:cs="Times New Roman"/>
          <w:i w:val="0"/>
          <w:iCs w:val="0"/>
          <w:color w:val="auto"/>
          <w:sz w:val="20"/>
          <w:szCs w:val="20"/>
        </w:rPr>
        <w:t>3</w:t>
      </w:r>
      <w:r>
        <w:rPr>
          <w:rFonts w:ascii="Times New Roman" w:hAnsi="Times New Roman" w:cs="Times New Roman"/>
          <w:i w:val="0"/>
          <w:iCs w:val="0"/>
          <w:color w:val="auto"/>
          <w:sz w:val="20"/>
          <w:szCs w:val="20"/>
        </w:rPr>
        <w:fldChar w:fldCharType="end"/>
      </w:r>
      <w:r>
        <w:rPr>
          <w:rFonts w:ascii="Times New Roman" w:hAnsi="Times New Roman" w:cs="Times New Roman"/>
          <w:i w:val="0"/>
          <w:iCs w:val="0"/>
          <w:color w:val="auto"/>
          <w:sz w:val="20"/>
          <w:szCs w:val="20"/>
        </w:rPr>
        <w:t>: Comparative social relationship and civic engagement status of the tribal people in Jamtara before and after optimization, highlighting improvements in Social well-being.</w:t>
      </w:r>
    </w:p>
    <w:p w14:paraId="6AED63C4">
      <w:pPr>
        <w:pStyle w:val="14"/>
        <w:spacing w:line="360" w:lineRule="auto"/>
        <w:jc w:val="both"/>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Figure 3 presents the comparison of social connection and civic engagement of the tribal respondents in Jamtara before and after optimization. The findings indicate a notable shift, with social relationships moving from predominantly low levels to medium and high, while civic engagement improved significantly, transitioning from a majority in the very low category to higher representation in the medium and high categories. Social connection and civic engagement together form the broader concept of social well-being. Social well-being reflects how individuals interact with others. It also shows how people participate in community and collective life(Keyes, 1998). Additionally, it indicates the level of respect they experience within their communities. Earlier studies on tribal communities in Jamtara and across Jharkhand (Xaxa, 2019; Kumar &amp; Singh, 2021) have often emphasized weak civic participation, fragile social networks, and the exclusion of marginalized groups, particularly women, from decision-making processes. However, the results from our collected data stand in contrast to this literature, suggesting that with structured interventions and awareness programs, traditional patterns of social isolation can be transformed into more participatory and cohesive community practices (John-Henderson et al., 2023).</w:t>
      </w:r>
    </w:p>
    <w:p w14:paraId="71A6AB15">
      <w:pPr>
        <w:keepNext/>
        <w:jc w:val="both"/>
      </w:pPr>
      <w:r>
        <w:rPr>
          <w:rFonts w:ascii="Times New Roman" w:hAnsi="Times New Roman" w:cs="Times New Roman"/>
          <w:lang w:val="en-US" w:bidi="bn-IN"/>
        </w:rPr>
        <w:drawing>
          <wp:inline distT="0" distB="0" distL="0" distR="0">
            <wp:extent cx="5760720" cy="6149340"/>
            <wp:effectExtent l="0" t="0" r="0" b="0"/>
            <wp:docPr id="1235183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18302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5760720" cy="6149340"/>
                    </a:xfrm>
                    <a:prstGeom prst="rect">
                      <a:avLst/>
                    </a:prstGeom>
                    <a:noFill/>
                    <a:ln>
                      <a:noFill/>
                    </a:ln>
                  </pic:spPr>
                </pic:pic>
              </a:graphicData>
            </a:graphic>
          </wp:inline>
        </w:drawing>
      </w:r>
    </w:p>
    <w:p w14:paraId="5DCD137C">
      <w:pPr>
        <w:pStyle w:val="14"/>
        <w:jc w:val="both"/>
        <w:rPr>
          <w:rFonts w:ascii="Times New Roman" w:hAnsi="Times New Roman" w:cs="Times New Roman"/>
          <w:i w:val="0"/>
          <w:iCs w:val="0"/>
          <w:color w:val="auto"/>
          <w:sz w:val="20"/>
          <w:szCs w:val="20"/>
        </w:rPr>
      </w:pPr>
      <w:r>
        <w:rPr>
          <w:rFonts w:ascii="Times New Roman" w:hAnsi="Times New Roman" w:cs="Times New Roman"/>
          <w:i w:val="0"/>
          <w:iCs w:val="0"/>
          <w:color w:val="auto"/>
          <w:sz w:val="20"/>
          <w:szCs w:val="20"/>
        </w:rPr>
        <w:t xml:space="preserve">Figure </w:t>
      </w:r>
      <w:r>
        <w:rPr>
          <w:rFonts w:ascii="Times New Roman" w:hAnsi="Times New Roman" w:cs="Times New Roman"/>
          <w:i w:val="0"/>
          <w:iCs w:val="0"/>
          <w:color w:val="auto"/>
          <w:sz w:val="20"/>
          <w:szCs w:val="20"/>
        </w:rPr>
        <w:fldChar w:fldCharType="begin"/>
      </w:r>
      <w:r>
        <w:rPr>
          <w:rFonts w:ascii="Times New Roman" w:hAnsi="Times New Roman" w:cs="Times New Roman"/>
          <w:i w:val="0"/>
          <w:iCs w:val="0"/>
          <w:color w:val="auto"/>
          <w:sz w:val="20"/>
          <w:szCs w:val="20"/>
        </w:rPr>
        <w:instrText xml:space="preserve"> SEQ Figure \* ARABIC </w:instrText>
      </w:r>
      <w:r>
        <w:rPr>
          <w:rFonts w:ascii="Times New Roman" w:hAnsi="Times New Roman" w:cs="Times New Roman"/>
          <w:i w:val="0"/>
          <w:iCs w:val="0"/>
          <w:color w:val="auto"/>
          <w:sz w:val="20"/>
          <w:szCs w:val="20"/>
        </w:rPr>
        <w:fldChar w:fldCharType="separate"/>
      </w:r>
      <w:r>
        <w:rPr>
          <w:rFonts w:ascii="Times New Roman" w:hAnsi="Times New Roman" w:cs="Times New Roman"/>
          <w:i w:val="0"/>
          <w:iCs w:val="0"/>
          <w:color w:val="auto"/>
          <w:sz w:val="20"/>
          <w:szCs w:val="20"/>
        </w:rPr>
        <w:t>4</w:t>
      </w:r>
      <w:r>
        <w:rPr>
          <w:rFonts w:ascii="Times New Roman" w:hAnsi="Times New Roman" w:cs="Times New Roman"/>
          <w:i w:val="0"/>
          <w:iCs w:val="0"/>
          <w:color w:val="auto"/>
          <w:sz w:val="20"/>
          <w:szCs w:val="20"/>
        </w:rPr>
        <w:fldChar w:fldCharType="end"/>
      </w:r>
      <w:r>
        <w:rPr>
          <w:rFonts w:ascii="Times New Roman" w:hAnsi="Times New Roman" w:cs="Times New Roman"/>
          <w:i w:val="0"/>
          <w:iCs w:val="0"/>
          <w:color w:val="auto"/>
          <w:sz w:val="20"/>
          <w:szCs w:val="20"/>
        </w:rPr>
        <w:t xml:space="preserve">: </w:t>
      </w:r>
      <w:bookmarkStart w:id="7" w:name="_Hlk208770964"/>
      <w:r>
        <w:rPr>
          <w:rFonts w:ascii="Times New Roman" w:hAnsi="Times New Roman" w:cs="Times New Roman"/>
          <w:i w:val="0"/>
          <w:iCs w:val="0"/>
          <w:color w:val="auto"/>
          <w:sz w:val="20"/>
          <w:szCs w:val="20"/>
        </w:rPr>
        <w:t>Comparative social relationship and civic engagement status of the tribal people in Jamtara before and after optimization, highlighting improvements in Economic well-being.</w:t>
      </w:r>
      <w:bookmarkEnd w:id="7"/>
    </w:p>
    <w:p w14:paraId="7BC54E54">
      <w:pPr>
        <w:spacing w:line="360" w:lineRule="auto"/>
        <w:jc w:val="both"/>
        <w:rPr>
          <w:rFonts w:ascii="Times New Roman" w:hAnsi="Times New Roman" w:cs="Times New Roman"/>
        </w:rPr>
      </w:pPr>
      <w:r>
        <w:rPr>
          <w:rFonts w:ascii="Times New Roman" w:hAnsi="Times New Roman" w:cs="Times New Roman"/>
        </w:rPr>
        <w:t>The results from Case 2 demonstrate that the combined adoption of government initiatives and the Multi-Crop System (MCS) significantly enhanced the economic well-being of tribal households in Jamtara. Before optimization, income levels were distributed across High, Medium, and Very High categories, with a notable share in Low and Very Low, reflecting uneven access to resources(Figure 4). After optimization, the majority of households shifted into the Very High income category, indicating that targeted interventions effectively elevated earnings. Similarly, wealth profiles, which earlier clustered around Low and Medium categories due to limited asset ownership and multiple liabilities, showed substantial improvements, with more households moving into High and Very High categories, suggesting increased asset accumulation, reduced dependency on informal credit, and improved financial resilience. Work-life balance also transitioned from predominantly Low and Very Low categories before optimization to a more even distribution across High, Medium, and Low after optimization, showing reduced labor stress, better time use, and improved life satisfaction. The domains of housing and occupation benefited from parallel gains. PMAY support and rising agricultural income improved housing condition and security. Meanwhile, MGNREGA, Skill India, and crop diversification enhanced occupational stability and skill utilization. Subjective Well-Being (SWB), which is closely linked to improvements in income, wealth, housing, and work conditions, also showed upward mobility. This confirms that material gains translated into psychological and social satisfaction.</w:t>
      </w:r>
    </w:p>
    <w:p w14:paraId="53B920A4">
      <w:pPr>
        <w:spacing w:line="360" w:lineRule="auto"/>
        <w:jc w:val="both"/>
        <w:rPr>
          <w:rFonts w:ascii="Times New Roman" w:hAnsi="Times New Roman" w:cs="Times New Roman"/>
        </w:rPr>
      </w:pPr>
      <w:r>
        <w:rPr>
          <w:rFonts w:ascii="Times New Roman" w:hAnsi="Times New Roman" w:cs="Times New Roman"/>
        </w:rPr>
        <w:t xml:space="preserve">These findings resonate with the theoretical perspectives on economic well-being presented by scholars such as Sen (1999) and Diener &amp; Seligman (2004). According to Sen’s Capability Approach, economic well-being is not just about income. It is about expanding individuals’ capabilities to achieve life outcomes they value. In this study, this is reflected in improvements in work-life balance, housing, and occupation choices. Similarly, the literature on </w:t>
      </w:r>
      <w:r>
        <w:rPr>
          <w:rFonts w:ascii="Times New Roman" w:hAnsi="Times New Roman" w:cs="Times New Roman"/>
          <w:i/>
          <w:iCs/>
        </w:rPr>
        <w:t>multidimensional well-being</w:t>
      </w:r>
      <w:r>
        <w:rPr>
          <w:rFonts w:ascii="Times New Roman" w:hAnsi="Times New Roman" w:cs="Times New Roman"/>
        </w:rPr>
        <w:t xml:space="preserve"> (Stiglitz, Sen, &amp; Fitoussi, 2009) emphasizes that economic well-being encompasses material living standards, security, and quality of life (all domains) that improved in the post-optimization scenario. The shift of respondents toward higher categories in income and wealth, alongside better occupational opportunities illustrates how integrated interventions can enhance both material conditions and subjective quality of life. In line with earlier studies on rural livelihoods and crop diversification (Barrett et al., 2021; Pingali, 2015), the Jamtara findings reaffirm that sustainable agriculture, when paired with government intervention schemes, contributes to holistic economic well-being </w:t>
      </w:r>
    </w:p>
    <w:p w14:paraId="5F1FEF4B">
      <w:pPr>
        <w:spacing w:line="360" w:lineRule="auto"/>
        <w:jc w:val="both"/>
      </w:pPr>
      <w:r>
        <w:rPr>
          <w:rFonts w:ascii="Times New Roman" w:hAnsi="Times New Roman" w:cs="Times New Roman"/>
          <w:lang w:val="en-US" w:bidi="bn-IN"/>
        </w:rPr>
        <w:drawing>
          <wp:inline distT="0" distB="0" distL="0" distR="0">
            <wp:extent cx="6042660" cy="6614160"/>
            <wp:effectExtent l="0" t="0" r="0" b="0"/>
            <wp:docPr id="19035542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55422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6042660" cy="6614160"/>
                    </a:xfrm>
                    <a:prstGeom prst="rect">
                      <a:avLst/>
                    </a:prstGeom>
                    <a:noFill/>
                    <a:ln>
                      <a:noFill/>
                    </a:ln>
                  </pic:spPr>
                </pic:pic>
              </a:graphicData>
            </a:graphic>
          </wp:inline>
        </w:drawing>
      </w:r>
    </w:p>
    <w:p w14:paraId="077CDEC5">
      <w:pPr>
        <w:pStyle w:val="14"/>
        <w:jc w:val="both"/>
        <w:rPr>
          <w:rFonts w:ascii="Times New Roman" w:hAnsi="Times New Roman" w:cs="Times New Roman"/>
          <w:i w:val="0"/>
          <w:iCs w:val="0"/>
          <w:color w:val="auto"/>
          <w:sz w:val="20"/>
          <w:szCs w:val="20"/>
        </w:rPr>
      </w:pPr>
      <w:r>
        <w:rPr>
          <w:rFonts w:ascii="Times New Roman" w:hAnsi="Times New Roman" w:cs="Times New Roman"/>
          <w:i w:val="0"/>
          <w:iCs w:val="0"/>
          <w:color w:val="auto"/>
          <w:sz w:val="20"/>
          <w:szCs w:val="20"/>
        </w:rPr>
        <w:t xml:space="preserve">Figure </w:t>
      </w:r>
      <w:r>
        <w:rPr>
          <w:rFonts w:ascii="Times New Roman" w:hAnsi="Times New Roman" w:cs="Times New Roman"/>
          <w:i w:val="0"/>
          <w:iCs w:val="0"/>
          <w:color w:val="auto"/>
          <w:sz w:val="20"/>
          <w:szCs w:val="20"/>
        </w:rPr>
        <w:fldChar w:fldCharType="begin"/>
      </w:r>
      <w:r>
        <w:rPr>
          <w:rFonts w:ascii="Times New Roman" w:hAnsi="Times New Roman" w:cs="Times New Roman"/>
          <w:i w:val="0"/>
          <w:iCs w:val="0"/>
          <w:color w:val="auto"/>
          <w:sz w:val="20"/>
          <w:szCs w:val="20"/>
        </w:rPr>
        <w:instrText xml:space="preserve"> SEQ Figure \* ARABIC </w:instrText>
      </w:r>
      <w:r>
        <w:rPr>
          <w:rFonts w:ascii="Times New Roman" w:hAnsi="Times New Roman" w:cs="Times New Roman"/>
          <w:i w:val="0"/>
          <w:iCs w:val="0"/>
          <w:color w:val="auto"/>
          <w:sz w:val="20"/>
          <w:szCs w:val="20"/>
        </w:rPr>
        <w:fldChar w:fldCharType="separate"/>
      </w:r>
      <w:r>
        <w:rPr>
          <w:rFonts w:ascii="Times New Roman" w:hAnsi="Times New Roman" w:cs="Times New Roman"/>
          <w:i w:val="0"/>
          <w:iCs w:val="0"/>
          <w:color w:val="auto"/>
          <w:sz w:val="20"/>
          <w:szCs w:val="20"/>
        </w:rPr>
        <w:t>5</w:t>
      </w:r>
      <w:r>
        <w:rPr>
          <w:rFonts w:ascii="Times New Roman" w:hAnsi="Times New Roman" w:cs="Times New Roman"/>
          <w:i w:val="0"/>
          <w:iCs w:val="0"/>
          <w:color w:val="auto"/>
          <w:sz w:val="20"/>
          <w:szCs w:val="20"/>
        </w:rPr>
        <w:fldChar w:fldCharType="end"/>
      </w:r>
      <w:r>
        <w:rPr>
          <w:rFonts w:ascii="Times New Roman" w:hAnsi="Times New Roman" w:cs="Times New Roman"/>
          <w:i w:val="0"/>
          <w:iCs w:val="0"/>
          <w:color w:val="auto"/>
          <w:sz w:val="20"/>
          <w:szCs w:val="20"/>
        </w:rPr>
        <w:t>: Comparative SWB and Risk status of the tribal people in Jamtara before and after optimization, highlighting improvements in Psychological well-being.</w:t>
      </w:r>
    </w:p>
    <w:p w14:paraId="41455CA1">
      <w:pPr>
        <w:spacing w:line="360" w:lineRule="auto"/>
        <w:jc w:val="both"/>
        <w:rPr>
          <w:rFonts w:ascii="Times New Roman" w:hAnsi="Times New Roman" w:cs="Times New Roman"/>
        </w:rPr>
      </w:pPr>
    </w:p>
    <w:p w14:paraId="5E06A324">
      <w:pPr>
        <w:spacing w:line="360" w:lineRule="auto"/>
        <w:jc w:val="both"/>
        <w:rPr>
          <w:rFonts w:ascii="Times New Roman" w:hAnsi="Times New Roman" w:cs="Times New Roman"/>
        </w:rPr>
      </w:pPr>
      <w:r>
        <w:rPr>
          <w:rFonts w:ascii="Times New Roman" w:hAnsi="Times New Roman" w:cs="Times New Roman"/>
        </w:rPr>
        <w:t>The collected data(Figure 5)reflect substantial changes in the psychological well-being (PWB) of tribal households in Jamtara before and after optimization through the combined effects of government initiatives and the Multi-Crop System (MCS). Psychological well-being encompasses several core components: Subjective Well-Being (SWB), perceived risk and security, life satisfaction, autonomy, resilience, and sense of purpose (Ryff, 1989; Diener et al., 1999). In the present study, SWB and risk perception served as key measurable indicators of psychological well-being.</w:t>
      </w:r>
    </w:p>
    <w:p w14:paraId="4EA8CEFC">
      <w:pPr>
        <w:spacing w:line="360" w:lineRule="auto"/>
        <w:jc w:val="both"/>
        <w:rPr>
          <w:rFonts w:ascii="Times New Roman" w:hAnsi="Times New Roman" w:cs="Times New Roman"/>
        </w:rPr>
      </w:pPr>
      <w:r>
        <w:rPr>
          <w:rFonts w:ascii="Times New Roman" w:hAnsi="Times New Roman" w:cs="Times New Roman"/>
        </w:rPr>
        <w:t xml:space="preserve">Before optimization, the distribution of SWB was heavily skewed toward the </w:t>
      </w:r>
      <w:r>
        <w:rPr>
          <w:rFonts w:ascii="Times New Roman" w:hAnsi="Times New Roman" w:cs="Times New Roman"/>
          <w:i/>
          <w:iCs/>
        </w:rPr>
        <w:t>Low</w:t>
      </w:r>
      <w:r>
        <w:rPr>
          <w:rFonts w:ascii="Times New Roman" w:hAnsi="Times New Roman" w:cs="Times New Roman"/>
        </w:rPr>
        <w:t xml:space="preserve"> category, with over 500 respondents reporting low satisfaction, and only a small share in </w:t>
      </w:r>
      <w:r>
        <w:rPr>
          <w:rFonts w:ascii="Times New Roman" w:hAnsi="Times New Roman" w:cs="Times New Roman"/>
          <w:i/>
          <w:iCs/>
        </w:rPr>
        <w:t>Medium</w:t>
      </w:r>
      <w:r>
        <w:rPr>
          <w:rFonts w:ascii="Times New Roman" w:hAnsi="Times New Roman" w:cs="Times New Roman"/>
        </w:rPr>
        <w:t xml:space="preserve">. Virtually none were in the </w:t>
      </w:r>
      <w:r>
        <w:rPr>
          <w:rFonts w:ascii="Times New Roman" w:hAnsi="Times New Roman" w:cs="Times New Roman"/>
          <w:i/>
          <w:iCs/>
        </w:rPr>
        <w:t>High</w:t>
      </w:r>
      <w:r>
        <w:rPr>
          <w:rFonts w:ascii="Times New Roman" w:hAnsi="Times New Roman" w:cs="Times New Roman"/>
        </w:rPr>
        <w:t xml:space="preserve"> or </w:t>
      </w:r>
      <w:r>
        <w:rPr>
          <w:rFonts w:ascii="Times New Roman" w:hAnsi="Times New Roman" w:cs="Times New Roman"/>
          <w:i/>
          <w:iCs/>
        </w:rPr>
        <w:t>Very High</w:t>
      </w:r>
      <w:r>
        <w:rPr>
          <w:rFonts w:ascii="Times New Roman" w:hAnsi="Times New Roman" w:cs="Times New Roman"/>
        </w:rPr>
        <w:t xml:space="preserve"> categories, reflecting limited life satisfaction, constrained opportunities, and psychological stress due to livelihood insecurity. After optimization, however, the picture shifted significantly: over 350 respondents moved into the </w:t>
      </w:r>
      <w:r>
        <w:rPr>
          <w:rFonts w:ascii="Times New Roman" w:hAnsi="Times New Roman" w:cs="Times New Roman"/>
          <w:i/>
          <w:iCs/>
        </w:rPr>
        <w:t>High</w:t>
      </w:r>
      <w:r>
        <w:rPr>
          <w:rFonts w:ascii="Times New Roman" w:hAnsi="Times New Roman" w:cs="Times New Roman"/>
        </w:rPr>
        <w:t xml:space="preserve"> category, about 200 into </w:t>
      </w:r>
      <w:r>
        <w:rPr>
          <w:rFonts w:ascii="Times New Roman" w:hAnsi="Times New Roman" w:cs="Times New Roman"/>
          <w:i/>
          <w:iCs/>
        </w:rPr>
        <w:t>Medium</w:t>
      </w:r>
      <w:r>
        <w:rPr>
          <w:rFonts w:ascii="Times New Roman" w:hAnsi="Times New Roman" w:cs="Times New Roman"/>
        </w:rPr>
        <w:t xml:space="preserve">, and a small but notable number into </w:t>
      </w:r>
      <w:r>
        <w:rPr>
          <w:rFonts w:ascii="Times New Roman" w:hAnsi="Times New Roman" w:cs="Times New Roman"/>
          <w:i/>
          <w:iCs/>
        </w:rPr>
        <w:t>Very High</w:t>
      </w:r>
      <w:r>
        <w:rPr>
          <w:rFonts w:ascii="Times New Roman" w:hAnsi="Times New Roman" w:cs="Times New Roman"/>
        </w:rPr>
        <w:t xml:space="preserve">, while the </w:t>
      </w:r>
      <w:r>
        <w:rPr>
          <w:rFonts w:ascii="Times New Roman" w:hAnsi="Times New Roman" w:cs="Times New Roman"/>
          <w:i/>
          <w:iCs/>
        </w:rPr>
        <w:t>Low</w:t>
      </w:r>
      <w:r>
        <w:rPr>
          <w:rFonts w:ascii="Times New Roman" w:hAnsi="Times New Roman" w:cs="Times New Roman"/>
        </w:rPr>
        <w:t xml:space="preserve"> category dropped sharply. This indicates that improved income, wealth, housing, and occupational stability contributed not only to material prosperity but also to a stronger sense of happiness, optimism, and social confidence among tribal households.</w:t>
      </w:r>
    </w:p>
    <w:p w14:paraId="1F0B88A7">
      <w:pPr>
        <w:spacing w:line="360" w:lineRule="auto"/>
        <w:jc w:val="both"/>
        <w:rPr>
          <w:rFonts w:ascii="Times New Roman" w:hAnsi="Times New Roman" w:cs="Times New Roman"/>
        </w:rPr>
      </w:pPr>
      <w:r>
        <w:rPr>
          <w:rFonts w:ascii="Times New Roman" w:hAnsi="Times New Roman" w:cs="Times New Roman"/>
        </w:rPr>
        <w:t xml:space="preserve">A similar transformation is visible in the domain of Risk, which acts as a psychological burden when households face uncertainty in employment, income, health, or environment. Before optimization, most respondents reported </w:t>
      </w:r>
      <w:r>
        <w:rPr>
          <w:rFonts w:ascii="Times New Roman" w:hAnsi="Times New Roman" w:cs="Times New Roman"/>
          <w:i/>
          <w:iCs/>
        </w:rPr>
        <w:t>Medium</w:t>
      </w:r>
      <w:r>
        <w:rPr>
          <w:rFonts w:ascii="Times New Roman" w:hAnsi="Times New Roman" w:cs="Times New Roman"/>
        </w:rPr>
        <w:t xml:space="preserve"> levels of risk, reflecting vulnerability to crop failure, debt, and lack of social security. After optimization, a striking improvement was observed: the distribution shifted toward </w:t>
      </w:r>
      <w:r>
        <w:rPr>
          <w:rFonts w:ascii="Times New Roman" w:hAnsi="Times New Roman" w:cs="Times New Roman"/>
          <w:i/>
          <w:iCs/>
        </w:rPr>
        <w:t>Very High</w:t>
      </w:r>
      <w:r>
        <w:rPr>
          <w:rFonts w:ascii="Times New Roman" w:hAnsi="Times New Roman" w:cs="Times New Roman"/>
        </w:rPr>
        <w:t xml:space="preserve"> security (over 500 respondents), accompanied by growth in the </w:t>
      </w:r>
      <w:r>
        <w:rPr>
          <w:rFonts w:ascii="Times New Roman" w:hAnsi="Times New Roman" w:cs="Times New Roman"/>
          <w:i/>
          <w:iCs/>
        </w:rPr>
        <w:t>High</w:t>
      </w:r>
      <w:r>
        <w:rPr>
          <w:rFonts w:ascii="Times New Roman" w:hAnsi="Times New Roman" w:cs="Times New Roman"/>
        </w:rPr>
        <w:t xml:space="preserve"> category, while </w:t>
      </w:r>
      <w:r>
        <w:rPr>
          <w:rFonts w:ascii="Times New Roman" w:hAnsi="Times New Roman" w:cs="Times New Roman"/>
          <w:i/>
          <w:iCs/>
        </w:rPr>
        <w:t>Medium</w:t>
      </w:r>
      <w:r>
        <w:rPr>
          <w:rFonts w:ascii="Times New Roman" w:hAnsi="Times New Roman" w:cs="Times New Roman"/>
        </w:rPr>
        <w:t xml:space="preserve"> and </w:t>
      </w:r>
      <w:r>
        <w:rPr>
          <w:rFonts w:ascii="Times New Roman" w:hAnsi="Times New Roman" w:cs="Times New Roman"/>
          <w:i/>
          <w:iCs/>
        </w:rPr>
        <w:t>Low</w:t>
      </w:r>
      <w:r>
        <w:rPr>
          <w:rFonts w:ascii="Times New Roman" w:hAnsi="Times New Roman" w:cs="Times New Roman"/>
        </w:rPr>
        <w:t xml:space="preserve"> risks decreased considerably. This suggests that interventions reduced exposure to financial and livelihood shocks, thereby enhancing psychological stability.</w:t>
      </w:r>
    </w:p>
    <w:p w14:paraId="236DF02A">
      <w:pPr>
        <w:spacing w:line="360" w:lineRule="auto"/>
        <w:jc w:val="both"/>
        <w:rPr>
          <w:rFonts w:ascii="Times New Roman" w:hAnsi="Times New Roman" w:cs="Times New Roman"/>
        </w:rPr>
      </w:pPr>
      <w:r>
        <w:rPr>
          <w:rFonts w:ascii="Times New Roman" w:hAnsi="Times New Roman" w:cs="Times New Roman"/>
        </w:rPr>
        <w:t>These results are consistent with theories of well-being that emphasize both hedonic and eudaimonic aspects. The hedonic approach (Diener et al., 1999) defines well-being in terms of happiness and life satisfaction, which improved here as more respondents moved into the High SWB category. The eudaimonic perspective (Ryff, 1989), which stresses meaning, purpose, autonomy, and resilience, is reflected in reduced risk perception and greater confidence in livelihood sustainability. Further, Sen’s Capability Approach (1999) suggests that true well-being comes from expanding freedoms and choices. This is evident in how the optimized interventions increased capabilities through secure housing, diversified income sources, and skill development. These improvements led to psychological empowerment.</w:t>
      </w:r>
    </w:p>
    <w:p w14:paraId="7C03C7EF">
      <w:pPr>
        <w:spacing w:line="360" w:lineRule="auto"/>
        <w:jc w:val="both"/>
        <w:rPr>
          <w:rFonts w:ascii="Times New Roman" w:hAnsi="Times New Roman" w:cs="Times New Roman"/>
        </w:rPr>
      </w:pPr>
      <w:r>
        <w:rPr>
          <w:rFonts w:ascii="Times New Roman" w:hAnsi="Times New Roman" w:cs="Times New Roman"/>
        </w:rPr>
        <w:t>In summary, the transformation in SWB and reduced risk perception after optimization underscores that psychological well-being is deeply intertwined with economic security and social stability. By improving both the material and non-material dimensions of life, the integrated interventions enhanced tribal households’ confidence and satisfaction, thereby advancing their overall economic and psychological well-being.</w:t>
      </w:r>
    </w:p>
    <w:p w14:paraId="27D31EA3">
      <w:pPr>
        <w:keepNext/>
        <w:spacing w:after="0" w:line="240" w:lineRule="auto"/>
      </w:pPr>
      <w:r>
        <w:rPr>
          <w:rFonts w:ascii="Times New Roman" w:hAnsi="Times New Roman" w:eastAsia="Times New Roman" w:cs="Times New Roman"/>
          <w:kern w:val="0"/>
          <w:lang w:val="en-US" w:bidi="bn-IN"/>
        </w:rPr>
        <w:drawing>
          <wp:inline distT="0" distB="0" distL="0" distR="0">
            <wp:extent cx="6073140" cy="605028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6073140" cy="6050280"/>
                    </a:xfrm>
                    <a:prstGeom prst="rect">
                      <a:avLst/>
                    </a:prstGeom>
                    <a:noFill/>
                    <a:ln>
                      <a:noFill/>
                    </a:ln>
                  </pic:spPr>
                </pic:pic>
              </a:graphicData>
            </a:graphic>
          </wp:inline>
        </w:drawing>
      </w:r>
    </w:p>
    <w:p w14:paraId="65C41C4B">
      <w:pPr>
        <w:pStyle w:val="14"/>
        <w:rPr>
          <w:rFonts w:ascii="Times New Roman" w:hAnsi="Times New Roman" w:cs="Times New Roman"/>
          <w:i w:val="0"/>
          <w:iCs w:val="0"/>
          <w:color w:val="auto"/>
          <w:sz w:val="20"/>
          <w:szCs w:val="20"/>
        </w:rPr>
      </w:pPr>
      <w:r>
        <w:rPr>
          <w:rFonts w:ascii="Times New Roman" w:hAnsi="Times New Roman" w:cs="Times New Roman"/>
          <w:i w:val="0"/>
          <w:iCs w:val="0"/>
          <w:color w:val="auto"/>
          <w:sz w:val="20"/>
          <w:szCs w:val="20"/>
        </w:rPr>
        <w:t xml:space="preserve">Figure </w:t>
      </w:r>
      <w:r>
        <w:rPr>
          <w:rFonts w:ascii="Times New Roman" w:hAnsi="Times New Roman" w:cs="Times New Roman"/>
          <w:i w:val="0"/>
          <w:iCs w:val="0"/>
          <w:color w:val="auto"/>
          <w:sz w:val="20"/>
          <w:szCs w:val="20"/>
        </w:rPr>
        <w:fldChar w:fldCharType="begin"/>
      </w:r>
      <w:r>
        <w:rPr>
          <w:rFonts w:ascii="Times New Roman" w:hAnsi="Times New Roman" w:cs="Times New Roman"/>
          <w:i w:val="0"/>
          <w:iCs w:val="0"/>
          <w:color w:val="auto"/>
          <w:sz w:val="20"/>
          <w:szCs w:val="20"/>
        </w:rPr>
        <w:instrText xml:space="preserve"> SEQ Figure \* ARABIC </w:instrText>
      </w:r>
      <w:r>
        <w:rPr>
          <w:rFonts w:ascii="Times New Roman" w:hAnsi="Times New Roman" w:cs="Times New Roman"/>
          <w:i w:val="0"/>
          <w:iCs w:val="0"/>
          <w:color w:val="auto"/>
          <w:sz w:val="20"/>
          <w:szCs w:val="20"/>
        </w:rPr>
        <w:fldChar w:fldCharType="separate"/>
      </w:r>
      <w:r>
        <w:rPr>
          <w:rFonts w:ascii="Times New Roman" w:hAnsi="Times New Roman" w:cs="Times New Roman"/>
          <w:i w:val="0"/>
          <w:iCs w:val="0"/>
          <w:color w:val="auto"/>
          <w:sz w:val="20"/>
          <w:szCs w:val="20"/>
        </w:rPr>
        <w:t>6</w:t>
      </w:r>
      <w:r>
        <w:rPr>
          <w:rFonts w:ascii="Times New Roman" w:hAnsi="Times New Roman" w:cs="Times New Roman"/>
          <w:i w:val="0"/>
          <w:iCs w:val="0"/>
          <w:color w:val="auto"/>
          <w:sz w:val="20"/>
          <w:szCs w:val="20"/>
        </w:rPr>
        <w:fldChar w:fldCharType="end"/>
      </w:r>
      <w:r>
        <w:rPr>
          <w:rFonts w:ascii="Times New Roman" w:hAnsi="Times New Roman" w:cs="Times New Roman"/>
          <w:i w:val="0"/>
          <w:iCs w:val="0"/>
          <w:color w:val="auto"/>
          <w:sz w:val="20"/>
          <w:szCs w:val="20"/>
        </w:rPr>
        <w:t xml:space="preserve">: </w:t>
      </w:r>
      <w:bookmarkStart w:id="8" w:name="_Hlk208829458"/>
      <w:r>
        <w:rPr>
          <w:rFonts w:ascii="Times New Roman" w:hAnsi="Times New Roman" w:cs="Times New Roman"/>
          <w:i w:val="0"/>
          <w:iCs w:val="0"/>
          <w:color w:val="auto"/>
          <w:sz w:val="20"/>
          <w:szCs w:val="20"/>
        </w:rPr>
        <w:t>Comparative housing and EQ  status of the tribal people in Jamtara before and after optimization, highlighting improvements in Environmental well-being.</w:t>
      </w:r>
    </w:p>
    <w:bookmarkEnd w:id="8"/>
    <w:p w14:paraId="49C69F27">
      <w:pPr>
        <w:spacing w:line="360" w:lineRule="auto"/>
        <w:jc w:val="both"/>
        <w:rPr>
          <w:rFonts w:ascii="Times New Roman" w:hAnsi="Times New Roman" w:cs="Times New Roman"/>
        </w:rPr>
      </w:pPr>
      <w:r>
        <w:rPr>
          <w:rFonts w:ascii="Times New Roman" w:hAnsi="Times New Roman" w:cs="Times New Roman"/>
        </w:rPr>
        <w:t>Figure 6 presents the housing and environmental quality (EQ) of tribals in Jamtara, highlighting their role as essential components of environmental well-being. Before optimization, most respondents were concentrated in the low and very low housing categories, relying on kaccha houses, poor assets, and weak construction materials, which created insecurity and low self-esteem, while environmental quality, though showing some fertile soil, was threatened by land degradation and soil deterioration, leaving communities anxious about long-term sustainability. After optimization, housing conditions improved significantly, with respondents shifting toward medium and high categories due to interventions such as the Pradhan Mantri Awas Yojana (PMAY), reducing vulnerability and enhancing pride and social standing, while environmental quality improved to very high levels through Soil Health Management (SHM) and sustainable practices like finger millet and mustard seed cultivation, lowering agricultural uncertainty and psychological stress. These findings align with Ryff’s Environmental Well-being Model (1989), which stresses environmental mastery and stability, Sen’s Capability Approach (1999), which highlights expanded opportunities through secure housing and fertile land, and Diener’s Subjective Well-Being theory (2000), which emphasizes that economic and environmental security directly enhance life satisfaction and resilience.</w:t>
      </w:r>
    </w:p>
    <w:p w14:paraId="2F62871A">
      <w:pPr>
        <w:keepNext/>
        <w:spacing w:line="360" w:lineRule="auto"/>
        <w:jc w:val="both"/>
      </w:pPr>
      <w:r>
        <w:rPr>
          <w:rFonts w:ascii="Times New Roman" w:hAnsi="Times New Roman" w:cs="Times New Roman"/>
          <w:lang w:val="en-US" w:bidi="bn-IN"/>
        </w:rPr>
        <w:drawing>
          <wp:inline distT="0" distB="0" distL="0" distR="0">
            <wp:extent cx="5676900" cy="9151620"/>
            <wp:effectExtent l="0" t="0" r="0" b="0"/>
            <wp:docPr id="5621700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170076"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5676900" cy="9151620"/>
                    </a:xfrm>
                    <a:prstGeom prst="rect">
                      <a:avLst/>
                    </a:prstGeom>
                    <a:noFill/>
                    <a:ln>
                      <a:noFill/>
                    </a:ln>
                  </pic:spPr>
                </pic:pic>
              </a:graphicData>
            </a:graphic>
          </wp:inline>
        </w:drawing>
      </w:r>
    </w:p>
    <w:p w14:paraId="33861C0A">
      <w:pPr>
        <w:pStyle w:val="14"/>
        <w:jc w:val="both"/>
        <w:rPr>
          <w:rFonts w:ascii="Times New Roman" w:hAnsi="Times New Roman" w:cs="Times New Roman"/>
          <w:i w:val="0"/>
          <w:iCs w:val="0"/>
          <w:color w:val="auto"/>
          <w:sz w:val="20"/>
          <w:szCs w:val="20"/>
        </w:rPr>
      </w:pPr>
      <w:r>
        <w:rPr>
          <w:rFonts w:ascii="Times New Roman" w:hAnsi="Times New Roman" w:cs="Times New Roman"/>
          <w:i w:val="0"/>
          <w:iCs w:val="0"/>
          <w:color w:val="auto"/>
          <w:sz w:val="20"/>
          <w:szCs w:val="20"/>
        </w:rPr>
        <w:t xml:space="preserve">Figure </w:t>
      </w:r>
      <w:r>
        <w:rPr>
          <w:rFonts w:ascii="Times New Roman" w:hAnsi="Times New Roman" w:cs="Times New Roman"/>
          <w:i w:val="0"/>
          <w:iCs w:val="0"/>
          <w:color w:val="auto"/>
          <w:sz w:val="20"/>
          <w:szCs w:val="20"/>
        </w:rPr>
        <w:fldChar w:fldCharType="begin"/>
      </w:r>
      <w:r>
        <w:rPr>
          <w:rFonts w:ascii="Times New Roman" w:hAnsi="Times New Roman" w:cs="Times New Roman"/>
          <w:i w:val="0"/>
          <w:iCs w:val="0"/>
          <w:color w:val="auto"/>
          <w:sz w:val="20"/>
          <w:szCs w:val="20"/>
        </w:rPr>
        <w:instrText xml:space="preserve"> SEQ Figure \* ARABIC </w:instrText>
      </w:r>
      <w:r>
        <w:rPr>
          <w:rFonts w:ascii="Times New Roman" w:hAnsi="Times New Roman" w:cs="Times New Roman"/>
          <w:i w:val="0"/>
          <w:iCs w:val="0"/>
          <w:color w:val="auto"/>
          <w:sz w:val="20"/>
          <w:szCs w:val="20"/>
        </w:rPr>
        <w:fldChar w:fldCharType="separate"/>
      </w:r>
      <w:r>
        <w:rPr>
          <w:rFonts w:ascii="Times New Roman" w:hAnsi="Times New Roman" w:cs="Times New Roman"/>
          <w:i w:val="0"/>
          <w:iCs w:val="0"/>
          <w:color w:val="auto"/>
          <w:sz w:val="20"/>
          <w:szCs w:val="20"/>
        </w:rPr>
        <w:t>7</w:t>
      </w:r>
      <w:r>
        <w:rPr>
          <w:rFonts w:ascii="Times New Roman" w:hAnsi="Times New Roman" w:cs="Times New Roman"/>
          <w:i w:val="0"/>
          <w:iCs w:val="0"/>
          <w:color w:val="auto"/>
          <w:sz w:val="20"/>
          <w:szCs w:val="20"/>
        </w:rPr>
        <w:fldChar w:fldCharType="end"/>
      </w:r>
      <w:r>
        <w:rPr>
          <w:rFonts w:ascii="Times New Roman" w:hAnsi="Times New Roman" w:cs="Times New Roman"/>
          <w:i w:val="0"/>
          <w:iCs w:val="0"/>
          <w:color w:val="auto"/>
          <w:sz w:val="20"/>
          <w:szCs w:val="20"/>
        </w:rPr>
        <w:t>: Comparative housing and EQ status of the tribal people in Jamtara before and after optimization, highlighting improvements in Occupational well-being.</w:t>
      </w:r>
    </w:p>
    <w:p w14:paraId="3587AF53">
      <w:pPr>
        <w:spacing w:line="360" w:lineRule="auto"/>
        <w:jc w:val="both"/>
        <w:rPr>
          <w:rFonts w:ascii="Times New Roman" w:hAnsi="Times New Roman" w:cs="Times New Roman"/>
        </w:rPr>
      </w:pPr>
      <w:r>
        <w:rPr>
          <w:rFonts w:ascii="Times New Roman" w:hAnsi="Times New Roman" w:cs="Times New Roman"/>
        </w:rPr>
        <w:t xml:space="preserve">The occupational well-being of respondents in Jamtara demonstrates a significant shift after optimization(Figure 7). Initially, most respondents were concentrated in the </w:t>
      </w:r>
      <w:r>
        <w:rPr>
          <w:rFonts w:ascii="Times New Roman" w:hAnsi="Times New Roman" w:cs="Times New Roman"/>
          <w:i/>
          <w:iCs/>
        </w:rPr>
        <w:t>medium</w:t>
      </w:r>
      <w:r>
        <w:rPr>
          <w:rFonts w:ascii="Times New Roman" w:hAnsi="Times New Roman" w:cs="Times New Roman"/>
        </w:rPr>
        <w:t xml:space="preserve"> occupation category with limited livelihood opportunities, while education and skill levels were predominantly </w:t>
      </w:r>
      <w:r>
        <w:rPr>
          <w:rFonts w:ascii="Times New Roman" w:hAnsi="Times New Roman" w:cs="Times New Roman"/>
          <w:i/>
          <w:iCs/>
        </w:rPr>
        <w:t>very low</w:t>
      </w:r>
      <w:r>
        <w:rPr>
          <w:rFonts w:ascii="Times New Roman" w:hAnsi="Times New Roman" w:cs="Times New Roman"/>
        </w:rPr>
        <w:t xml:space="preserve">. After optimization, however, education improved to </w:t>
      </w:r>
      <w:r>
        <w:rPr>
          <w:rFonts w:ascii="Times New Roman" w:hAnsi="Times New Roman" w:cs="Times New Roman"/>
          <w:i/>
          <w:iCs/>
        </w:rPr>
        <w:t>medium and high</w:t>
      </w:r>
      <w:r>
        <w:rPr>
          <w:rFonts w:ascii="Times New Roman" w:hAnsi="Times New Roman" w:cs="Times New Roman"/>
        </w:rPr>
        <w:t xml:space="preserve"> levels, skill development reduced the share of </w:t>
      </w:r>
      <w:r>
        <w:rPr>
          <w:rFonts w:ascii="Times New Roman" w:hAnsi="Times New Roman" w:cs="Times New Roman"/>
          <w:i/>
          <w:iCs/>
        </w:rPr>
        <w:t>very low</w:t>
      </w:r>
      <w:r>
        <w:rPr>
          <w:rFonts w:ascii="Times New Roman" w:hAnsi="Times New Roman" w:cs="Times New Roman"/>
        </w:rPr>
        <w:t xml:space="preserve"> categories, and occupations shifted strongly toward </w:t>
      </w:r>
      <w:r>
        <w:rPr>
          <w:rFonts w:ascii="Times New Roman" w:hAnsi="Times New Roman" w:cs="Times New Roman"/>
          <w:i/>
          <w:iCs/>
        </w:rPr>
        <w:t>high</w:t>
      </w:r>
      <w:r>
        <w:rPr>
          <w:rFonts w:ascii="Times New Roman" w:hAnsi="Times New Roman" w:cs="Times New Roman"/>
        </w:rPr>
        <w:t xml:space="preserve"> and </w:t>
      </w:r>
      <w:r>
        <w:rPr>
          <w:rFonts w:ascii="Times New Roman" w:hAnsi="Times New Roman" w:cs="Times New Roman"/>
          <w:i/>
          <w:iCs/>
        </w:rPr>
        <w:t>very high</w:t>
      </w:r>
      <w:r>
        <w:rPr>
          <w:rFonts w:ascii="Times New Roman" w:hAnsi="Times New Roman" w:cs="Times New Roman"/>
        </w:rPr>
        <w:t xml:space="preserve"> categories. This transformation reflects better access to stable and diversified livelihoods through government initiatives, training, and community-based interventions. Such progress resonates with Sen’s Capability Approach, which emphasizes expanding people’s choices and capabilities to engage in meaningful work (Sen, 1999). Previous studies on tribal communities in Jharkhand also highlight that occupational well-being is strongly linked with access to education, agricultural training, and skill development programs (Sahu &amp; Mishra, 2017; Kumar &amp; Nayak, 2020). The findings from Jamtara thus align with the broader literature, showing that enhancing education and skill levels directly improves occupational outcomes, reduces livelihood vulnerability, and contributes to sustainable well-being.</w:t>
      </w:r>
    </w:p>
    <w:p w14:paraId="33D51DF2">
      <w:pPr>
        <w:spacing w:line="360" w:lineRule="auto"/>
        <w:jc w:val="both"/>
        <w:rPr>
          <w:rFonts w:ascii="Times New Roman" w:hAnsi="Times New Roman" w:cs="Times New Roman"/>
          <w:b/>
          <w:bCs/>
        </w:rPr>
      </w:pPr>
      <w:r>
        <w:rPr>
          <w:rFonts w:ascii="Times New Roman" w:hAnsi="Times New Roman" w:cs="Times New Roman"/>
          <w:b/>
          <w:bCs/>
        </w:rPr>
        <w:t>Conclusion:</w:t>
      </w:r>
    </w:p>
    <w:p w14:paraId="67AB9112">
      <w:pPr>
        <w:spacing w:line="360" w:lineRule="auto"/>
        <w:jc w:val="both"/>
        <w:rPr>
          <w:rFonts w:ascii="Times New Roman" w:hAnsi="Times New Roman" w:cs="Times New Roman"/>
        </w:rPr>
      </w:pPr>
      <w:r>
        <w:rPr>
          <w:rFonts w:ascii="Times New Roman" w:hAnsi="Times New Roman" w:cs="Times New Roman"/>
        </w:rPr>
        <w:t>The findings of this study demonstrate that the overall well-being of tribal populations in Jamtara, Jharkhand, can be significantly enhanced through a combination of government programs and community-driven ecological interventions. Across the three cases analyzed, it is evident that even government initiatives alone, when optimally allocated within budget and program constraints, improve critical domains such as health, housing, financial  and aagrricultural security, and employment. When these initiatives are complemented by the Multi-Crop System (MCS) and Rainwater Harvesting (RWH), the gains extend to income, wealth, work-life balance, subjective well-being, environmental quality, and occupational stability. The integration of ecological strategies alongside government initiatives measures reflects a holistic approach to development, emphasizing not only material gains but also psychological empowerment, social cohesion, and resilience, in line with theoretical frameworks such as Sen’s Capability Approach (1999), Ryff’s Environmental Well-Being Model (1989), and the Social and Emotional Wellbeing Framework (Griffiths et al., 2021).</w:t>
      </w:r>
    </w:p>
    <w:p w14:paraId="60100E8D">
      <w:pPr>
        <w:spacing w:line="360" w:lineRule="auto"/>
        <w:jc w:val="both"/>
        <w:rPr>
          <w:rFonts w:ascii="Times New Roman" w:hAnsi="Times New Roman" w:cs="Times New Roman"/>
        </w:rPr>
      </w:pPr>
      <w:r>
        <w:rPr>
          <w:rFonts w:ascii="Times New Roman" w:hAnsi="Times New Roman" w:cs="Times New Roman"/>
        </w:rPr>
        <w:t xml:space="preserve">The detailed comparative analysis presented in </w:t>
      </w:r>
      <w:r>
        <w:rPr>
          <w:rFonts w:ascii="Times New Roman" w:hAnsi="Times New Roman" w:cs="Times New Roman"/>
          <w:b/>
          <w:bCs/>
        </w:rPr>
        <w:t>Table 5</w:t>
      </w:r>
      <w:r>
        <w:rPr>
          <w:rFonts w:ascii="Times New Roman" w:hAnsi="Times New Roman" w:cs="Times New Roman"/>
        </w:rPr>
        <w:t xml:space="preserve"> underscores the importance of this study by situating its findings within the broader literature. The table highlights how the current study aligns with, extends, and provides novel contributions to previous research on economic, social, psychological, and environmental well-being. It shows that integrated interventions, optimized for multi-domain outcomes, not only confirm established theories but also offer practical models for efficient resource allocation and sustainable development. By comparing the current results with prior studies, the table emphasizes the synergistic effects of combining government initiatives with community-centered ecological strategies, demonstrating the added value of holistic approaches in improving tribal livelihoods and quality of life.</w:t>
      </w:r>
    </w:p>
    <w:p w14:paraId="637A5ADC">
      <w:pPr>
        <w:spacing w:line="360" w:lineRule="auto"/>
        <w:jc w:val="both"/>
        <w:rPr>
          <w:rFonts w:ascii="Times New Roman" w:hAnsi="Times New Roman" w:cs="Times New Roman"/>
        </w:rPr>
      </w:pPr>
      <w:r>
        <w:rPr>
          <w:rFonts w:ascii="Times New Roman" w:hAnsi="Times New Roman" w:cs="Times New Roman"/>
        </w:rPr>
        <w:t>Overall, the study fulfills its objectives by providing empirical evidence that targeted, optimized interventions can maximize multi-dimensional well-being among tribal households. The findings have both theoretical and practical implications: they validate existing well-being frameworks, illustrate the effectiveness of optimization in resource allocation, and offer actionable guidance for policymakers and practitioners aiming to implement sustainable, inclusive, and culturally sensitive development strategies. The study reinforces the importance of integrating institutional support with ecological and community-driven initiatives to achieve long-term, resilient, and equitable improvements in the well-being of tribal communities.</w:t>
      </w:r>
    </w:p>
    <w:p w14:paraId="5B17C912">
      <w:pPr>
        <w:spacing w:line="360" w:lineRule="auto"/>
        <w:jc w:val="both"/>
        <w:rPr>
          <w:rFonts w:ascii="Times New Roman" w:hAnsi="Times New Roman" w:cs="Times New Roman"/>
        </w:rPr>
      </w:pPr>
      <w:r>
        <w:rPr>
          <w:rFonts w:ascii="Times New Roman" w:hAnsi="Times New Roman" w:cs="Times New Roman"/>
        </w:rPr>
        <w:t>Table 5: Comparison of Current Study with Previous Literature on Tribal Well-Being and Intervention Strategies</w:t>
      </w:r>
    </w:p>
    <w:tbl>
      <w:tblPr>
        <w:tblStyle w:val="12"/>
        <w:tblpPr w:leftFromText="180" w:rightFromText="180" w:vertAnchor="text" w:tblpY="1"/>
        <w:tblOverlap w:val="never"/>
        <w:tblW w:w="9918" w:type="dxa"/>
        <w:tblCellSpacing w:w="15" w:type="dxa"/>
        <w:tblInd w:w="0" w:type="dxa"/>
        <w:tblLayout w:type="autofit"/>
        <w:tblCellMar>
          <w:top w:w="15" w:type="dxa"/>
          <w:left w:w="15" w:type="dxa"/>
          <w:bottom w:w="15" w:type="dxa"/>
          <w:right w:w="15" w:type="dxa"/>
        </w:tblCellMar>
      </w:tblPr>
      <w:tblGrid>
        <w:gridCol w:w="1587"/>
        <w:gridCol w:w="2940"/>
        <w:gridCol w:w="2250"/>
        <w:gridCol w:w="3141"/>
      </w:tblGrid>
      <w:tr w14:paraId="2C2C1077">
        <w:tblPrEx>
          <w:tblCellMar>
            <w:top w:w="15" w:type="dxa"/>
            <w:left w:w="15" w:type="dxa"/>
            <w:bottom w:w="15" w:type="dxa"/>
            <w:right w:w="15" w:type="dxa"/>
          </w:tblCellMar>
        </w:tblPrEx>
        <w:trPr>
          <w:tblHeader/>
          <w:tblCellSpacing w:w="15" w:type="dxa"/>
        </w:trPr>
        <w:tc>
          <w:tcPr>
            <w:tcW w:w="0" w:type="auto"/>
            <w:tcBorders>
              <w:top w:val="single" w:color="auto" w:sz="4" w:space="0"/>
              <w:bottom w:val="single" w:color="auto" w:sz="4" w:space="0"/>
            </w:tcBorders>
            <w:vAlign w:val="center"/>
          </w:tcPr>
          <w:p w14:paraId="5BF8B53D">
            <w:pPr>
              <w:spacing w:after="0" w:line="240" w:lineRule="auto"/>
              <w:jc w:val="center"/>
              <w:rPr>
                <w:rFonts w:ascii="Times New Roman" w:hAnsi="Times New Roman" w:eastAsia="Times New Roman" w:cs="Times New Roman"/>
                <w:b/>
                <w:bCs/>
                <w:kern w:val="0"/>
                <w:sz w:val="20"/>
                <w:szCs w:val="20"/>
                <w:lang w:eastAsia="en-IN"/>
              </w:rPr>
            </w:pPr>
            <w:r>
              <w:rPr>
                <w:rFonts w:ascii="Times New Roman" w:hAnsi="Times New Roman" w:eastAsia="Times New Roman" w:cs="Times New Roman"/>
                <w:b/>
                <w:bCs/>
                <w:kern w:val="0"/>
                <w:sz w:val="20"/>
                <w:szCs w:val="20"/>
                <w:lang w:eastAsia="en-IN"/>
              </w:rPr>
              <w:t>Aspect</w:t>
            </w:r>
          </w:p>
        </w:tc>
        <w:tc>
          <w:tcPr>
            <w:tcW w:w="0" w:type="auto"/>
            <w:tcBorders>
              <w:top w:val="single" w:color="auto" w:sz="4" w:space="0"/>
              <w:bottom w:val="single" w:color="auto" w:sz="4" w:space="0"/>
            </w:tcBorders>
            <w:vAlign w:val="center"/>
          </w:tcPr>
          <w:p w14:paraId="254CD41A">
            <w:pPr>
              <w:spacing w:after="0" w:line="240" w:lineRule="auto"/>
              <w:jc w:val="center"/>
              <w:rPr>
                <w:rFonts w:ascii="Times New Roman" w:hAnsi="Times New Roman" w:eastAsia="Times New Roman" w:cs="Times New Roman"/>
                <w:b/>
                <w:bCs/>
                <w:kern w:val="0"/>
                <w:sz w:val="20"/>
                <w:szCs w:val="20"/>
                <w:lang w:eastAsia="en-IN"/>
              </w:rPr>
            </w:pPr>
            <w:r>
              <w:rPr>
                <w:rFonts w:ascii="Times New Roman" w:hAnsi="Times New Roman" w:eastAsia="Times New Roman" w:cs="Times New Roman"/>
                <w:b/>
                <w:bCs/>
                <w:kern w:val="0"/>
                <w:sz w:val="20"/>
                <w:szCs w:val="20"/>
                <w:lang w:eastAsia="en-IN"/>
              </w:rPr>
              <w:t>Previous Literature</w:t>
            </w:r>
          </w:p>
        </w:tc>
        <w:tc>
          <w:tcPr>
            <w:tcW w:w="0" w:type="auto"/>
            <w:tcBorders>
              <w:top w:val="single" w:color="auto" w:sz="4" w:space="0"/>
              <w:bottom w:val="single" w:color="auto" w:sz="4" w:space="0"/>
            </w:tcBorders>
            <w:vAlign w:val="center"/>
          </w:tcPr>
          <w:p w14:paraId="03D26B14">
            <w:pPr>
              <w:spacing w:after="0" w:line="240" w:lineRule="auto"/>
              <w:jc w:val="center"/>
              <w:rPr>
                <w:rFonts w:ascii="Times New Roman" w:hAnsi="Times New Roman" w:eastAsia="Times New Roman" w:cs="Times New Roman"/>
                <w:b/>
                <w:bCs/>
                <w:kern w:val="0"/>
                <w:sz w:val="20"/>
                <w:szCs w:val="20"/>
                <w:lang w:eastAsia="en-IN"/>
              </w:rPr>
            </w:pPr>
            <w:r>
              <w:rPr>
                <w:rFonts w:ascii="Times New Roman" w:hAnsi="Times New Roman" w:eastAsia="Times New Roman" w:cs="Times New Roman"/>
                <w:b/>
                <w:bCs/>
                <w:kern w:val="0"/>
                <w:sz w:val="20"/>
                <w:szCs w:val="20"/>
                <w:lang w:eastAsia="en-IN"/>
              </w:rPr>
              <w:t>Current Study (Jamtara, Jharkhand)</w:t>
            </w:r>
          </w:p>
        </w:tc>
        <w:tc>
          <w:tcPr>
            <w:tcW w:w="3096" w:type="dxa"/>
            <w:tcBorders>
              <w:top w:val="single" w:color="auto" w:sz="4" w:space="0"/>
              <w:bottom w:val="single" w:color="auto" w:sz="4" w:space="0"/>
            </w:tcBorders>
            <w:vAlign w:val="center"/>
          </w:tcPr>
          <w:p w14:paraId="5CF174CA">
            <w:pPr>
              <w:spacing w:after="0" w:line="240" w:lineRule="auto"/>
              <w:jc w:val="center"/>
              <w:rPr>
                <w:rFonts w:ascii="Times New Roman" w:hAnsi="Times New Roman" w:eastAsia="Times New Roman" w:cs="Times New Roman"/>
                <w:b/>
                <w:bCs/>
                <w:kern w:val="0"/>
                <w:sz w:val="20"/>
                <w:szCs w:val="20"/>
                <w:lang w:eastAsia="en-IN"/>
              </w:rPr>
            </w:pPr>
            <w:r>
              <w:rPr>
                <w:rFonts w:ascii="Times New Roman" w:hAnsi="Times New Roman" w:eastAsia="Times New Roman" w:cs="Times New Roman"/>
                <w:b/>
                <w:bCs/>
                <w:kern w:val="0"/>
                <w:sz w:val="20"/>
                <w:szCs w:val="20"/>
                <w:lang w:eastAsia="en-IN"/>
              </w:rPr>
              <w:t>Key Comparison / Insight</w:t>
            </w:r>
          </w:p>
        </w:tc>
      </w:tr>
      <w:tr w14:paraId="150A30A3">
        <w:tblPrEx>
          <w:tblCellMar>
            <w:top w:w="15" w:type="dxa"/>
            <w:left w:w="15" w:type="dxa"/>
            <w:bottom w:w="15" w:type="dxa"/>
            <w:right w:w="15" w:type="dxa"/>
          </w:tblCellMar>
        </w:tblPrEx>
        <w:trPr>
          <w:tblCellSpacing w:w="15" w:type="dxa"/>
        </w:trPr>
        <w:tc>
          <w:tcPr>
            <w:tcW w:w="0" w:type="auto"/>
            <w:vAlign w:val="center"/>
          </w:tcPr>
          <w:p w14:paraId="1682528C">
            <w:pPr>
              <w:spacing w:after="0" w:line="240" w:lineRule="auto"/>
              <w:rPr>
                <w:rFonts w:ascii="Times New Roman" w:hAnsi="Times New Roman" w:eastAsia="Times New Roman" w:cs="Times New Roman"/>
                <w:kern w:val="0"/>
                <w:sz w:val="20"/>
                <w:szCs w:val="20"/>
                <w:lang w:eastAsia="en-IN"/>
              </w:rPr>
            </w:pPr>
            <w:r>
              <w:rPr>
                <w:rFonts w:ascii="Times New Roman" w:hAnsi="Times New Roman" w:eastAsia="Times New Roman" w:cs="Times New Roman"/>
                <w:b/>
                <w:bCs/>
                <w:kern w:val="0"/>
                <w:sz w:val="20"/>
                <w:szCs w:val="20"/>
                <w:lang w:eastAsia="en-IN"/>
              </w:rPr>
              <w:t>Economic Well-Being</w:t>
            </w:r>
          </w:p>
        </w:tc>
        <w:tc>
          <w:tcPr>
            <w:tcW w:w="0" w:type="auto"/>
            <w:vAlign w:val="center"/>
          </w:tcPr>
          <w:p w14:paraId="4315473A">
            <w:pPr>
              <w:spacing w:after="0" w:line="240" w:lineRule="auto"/>
              <w:rPr>
                <w:rFonts w:ascii="Times New Roman" w:hAnsi="Times New Roman" w:eastAsia="Times New Roman" w:cs="Times New Roman"/>
                <w:kern w:val="0"/>
                <w:sz w:val="20"/>
                <w:szCs w:val="20"/>
                <w:lang w:eastAsia="en-IN"/>
              </w:rPr>
            </w:pPr>
            <w:r>
              <w:rPr>
                <w:rFonts w:ascii="Times New Roman" w:hAnsi="Times New Roman" w:eastAsia="Times New Roman" w:cs="Times New Roman"/>
                <w:kern w:val="0"/>
                <w:sz w:val="20"/>
                <w:szCs w:val="20"/>
                <w:lang w:eastAsia="en-IN"/>
              </w:rPr>
              <w:t>Sen (1999) – Focus on expanding capabilities, not just income; Stiglitz et al. (2009) – multidimensional well-being includes income, security, and quality of life</w:t>
            </w:r>
          </w:p>
        </w:tc>
        <w:tc>
          <w:tcPr>
            <w:tcW w:w="0" w:type="auto"/>
            <w:vAlign w:val="center"/>
          </w:tcPr>
          <w:p w14:paraId="2557DC86">
            <w:pPr>
              <w:spacing w:after="0" w:line="240" w:lineRule="auto"/>
              <w:rPr>
                <w:rFonts w:ascii="Times New Roman" w:hAnsi="Times New Roman" w:eastAsia="Times New Roman" w:cs="Times New Roman"/>
                <w:kern w:val="0"/>
                <w:sz w:val="20"/>
                <w:szCs w:val="20"/>
                <w:lang w:eastAsia="en-IN"/>
              </w:rPr>
            </w:pPr>
            <w:r>
              <w:rPr>
                <w:rFonts w:ascii="Times New Roman" w:hAnsi="Times New Roman" w:eastAsia="Times New Roman" w:cs="Times New Roman"/>
                <w:kern w:val="0"/>
                <w:sz w:val="20"/>
                <w:szCs w:val="20"/>
                <w:lang w:eastAsia="en-IN"/>
              </w:rPr>
              <w:t>Combined government programs and Multi-Crop System (MCS) improved income, wealth, occupation, and SWB</w:t>
            </w:r>
          </w:p>
        </w:tc>
        <w:tc>
          <w:tcPr>
            <w:tcW w:w="3096" w:type="dxa"/>
            <w:vAlign w:val="center"/>
          </w:tcPr>
          <w:p w14:paraId="6F4C3247">
            <w:pPr>
              <w:spacing w:after="0" w:line="240" w:lineRule="auto"/>
              <w:rPr>
                <w:rFonts w:ascii="Times New Roman" w:hAnsi="Times New Roman" w:eastAsia="Times New Roman" w:cs="Times New Roman"/>
                <w:kern w:val="0"/>
                <w:sz w:val="20"/>
                <w:szCs w:val="20"/>
                <w:lang w:eastAsia="en-IN"/>
              </w:rPr>
            </w:pPr>
            <w:r>
              <w:rPr>
                <w:rFonts w:ascii="Times New Roman" w:hAnsi="Times New Roman" w:eastAsia="Times New Roman" w:cs="Times New Roman"/>
                <w:kern w:val="0"/>
                <w:sz w:val="20"/>
                <w:szCs w:val="20"/>
                <w:lang w:eastAsia="en-IN"/>
              </w:rPr>
              <w:t>Confirms that integrated interventions enhance both material conditions and capabilities, extending Sen’s framework to tribal contexts</w:t>
            </w:r>
          </w:p>
        </w:tc>
      </w:tr>
      <w:tr w14:paraId="2B82119A">
        <w:tblPrEx>
          <w:tblCellMar>
            <w:top w:w="15" w:type="dxa"/>
            <w:left w:w="15" w:type="dxa"/>
            <w:bottom w:w="15" w:type="dxa"/>
            <w:right w:w="15" w:type="dxa"/>
          </w:tblCellMar>
        </w:tblPrEx>
        <w:trPr>
          <w:tblCellSpacing w:w="15" w:type="dxa"/>
        </w:trPr>
        <w:tc>
          <w:tcPr>
            <w:tcW w:w="0" w:type="auto"/>
            <w:vAlign w:val="center"/>
          </w:tcPr>
          <w:p w14:paraId="14E24956">
            <w:pPr>
              <w:spacing w:after="0" w:line="240" w:lineRule="auto"/>
              <w:rPr>
                <w:rFonts w:ascii="Times New Roman" w:hAnsi="Times New Roman" w:eastAsia="Times New Roman" w:cs="Times New Roman"/>
                <w:kern w:val="0"/>
                <w:sz w:val="20"/>
                <w:szCs w:val="20"/>
                <w:lang w:eastAsia="en-IN"/>
              </w:rPr>
            </w:pPr>
            <w:r>
              <w:rPr>
                <w:rFonts w:ascii="Times New Roman" w:hAnsi="Times New Roman" w:eastAsia="Times New Roman" w:cs="Times New Roman"/>
                <w:b/>
                <w:bCs/>
                <w:kern w:val="0"/>
                <w:sz w:val="20"/>
                <w:szCs w:val="20"/>
                <w:lang w:eastAsia="en-IN"/>
              </w:rPr>
              <w:t>Health and Housing</w:t>
            </w:r>
          </w:p>
        </w:tc>
        <w:tc>
          <w:tcPr>
            <w:tcW w:w="0" w:type="auto"/>
            <w:vAlign w:val="center"/>
          </w:tcPr>
          <w:p w14:paraId="60BC489A">
            <w:pPr>
              <w:spacing w:after="0" w:line="240" w:lineRule="auto"/>
              <w:rPr>
                <w:rFonts w:ascii="Times New Roman" w:hAnsi="Times New Roman" w:eastAsia="Times New Roman" w:cs="Times New Roman"/>
                <w:kern w:val="0"/>
                <w:sz w:val="20"/>
                <w:szCs w:val="20"/>
                <w:lang w:eastAsia="en-IN"/>
              </w:rPr>
            </w:pPr>
            <w:r>
              <w:rPr>
                <w:rFonts w:ascii="Times New Roman" w:hAnsi="Times New Roman" w:eastAsia="Times New Roman" w:cs="Times New Roman"/>
                <w:kern w:val="0"/>
                <w:sz w:val="20"/>
                <w:szCs w:val="20"/>
                <w:lang w:eastAsia="en-IN"/>
              </w:rPr>
              <w:t>Griffiths et al. (2021) – Community-centered health and housing interventions improve well-being</w:t>
            </w:r>
          </w:p>
        </w:tc>
        <w:tc>
          <w:tcPr>
            <w:tcW w:w="0" w:type="auto"/>
            <w:vAlign w:val="center"/>
          </w:tcPr>
          <w:p w14:paraId="4565AE81">
            <w:pPr>
              <w:spacing w:after="0" w:line="240" w:lineRule="auto"/>
              <w:rPr>
                <w:rFonts w:ascii="Times New Roman" w:hAnsi="Times New Roman" w:eastAsia="Times New Roman" w:cs="Times New Roman"/>
                <w:kern w:val="0"/>
                <w:sz w:val="20"/>
                <w:szCs w:val="20"/>
                <w:lang w:eastAsia="en-IN"/>
              </w:rPr>
            </w:pPr>
            <w:r>
              <w:rPr>
                <w:rFonts w:ascii="Times New Roman" w:hAnsi="Times New Roman" w:eastAsia="Times New Roman" w:cs="Times New Roman"/>
                <w:kern w:val="0"/>
                <w:sz w:val="20"/>
                <w:szCs w:val="20"/>
                <w:lang w:eastAsia="en-IN"/>
              </w:rPr>
              <w:t>PMAY and Ayushman Bharat interventions improved housing security and access to healthcare</w:t>
            </w:r>
          </w:p>
        </w:tc>
        <w:tc>
          <w:tcPr>
            <w:tcW w:w="3096" w:type="dxa"/>
            <w:vAlign w:val="center"/>
          </w:tcPr>
          <w:p w14:paraId="337EAE98">
            <w:pPr>
              <w:spacing w:after="0" w:line="240" w:lineRule="auto"/>
              <w:rPr>
                <w:rFonts w:ascii="Times New Roman" w:hAnsi="Times New Roman" w:eastAsia="Times New Roman" w:cs="Times New Roman"/>
                <w:kern w:val="0"/>
                <w:sz w:val="20"/>
                <w:szCs w:val="20"/>
                <w:lang w:eastAsia="en-IN"/>
              </w:rPr>
            </w:pPr>
            <w:r>
              <w:rPr>
                <w:rFonts w:ascii="Times New Roman" w:hAnsi="Times New Roman" w:eastAsia="Times New Roman" w:cs="Times New Roman"/>
                <w:kern w:val="0"/>
                <w:sz w:val="20"/>
                <w:szCs w:val="20"/>
                <w:lang w:eastAsia="en-IN"/>
              </w:rPr>
              <w:t>Aligns with literature; optimization shows maximum impact under budget constraints</w:t>
            </w:r>
          </w:p>
        </w:tc>
      </w:tr>
      <w:tr w14:paraId="262F7B85">
        <w:tblPrEx>
          <w:tblCellMar>
            <w:top w:w="15" w:type="dxa"/>
            <w:left w:w="15" w:type="dxa"/>
            <w:bottom w:w="15" w:type="dxa"/>
            <w:right w:w="15" w:type="dxa"/>
          </w:tblCellMar>
        </w:tblPrEx>
        <w:trPr>
          <w:tblCellSpacing w:w="15" w:type="dxa"/>
        </w:trPr>
        <w:tc>
          <w:tcPr>
            <w:tcW w:w="0" w:type="auto"/>
            <w:vAlign w:val="center"/>
          </w:tcPr>
          <w:p w14:paraId="2C07CA5C">
            <w:pPr>
              <w:spacing w:after="0" w:line="240" w:lineRule="auto"/>
              <w:rPr>
                <w:rFonts w:ascii="Times New Roman" w:hAnsi="Times New Roman" w:eastAsia="Times New Roman" w:cs="Times New Roman"/>
                <w:kern w:val="0"/>
                <w:sz w:val="20"/>
                <w:szCs w:val="20"/>
                <w:lang w:eastAsia="en-IN"/>
              </w:rPr>
            </w:pPr>
            <w:r>
              <w:rPr>
                <w:rFonts w:ascii="Times New Roman" w:hAnsi="Times New Roman" w:eastAsia="Times New Roman" w:cs="Times New Roman"/>
                <w:b/>
                <w:bCs/>
                <w:kern w:val="0"/>
                <w:sz w:val="20"/>
                <w:szCs w:val="20"/>
                <w:lang w:eastAsia="en-IN"/>
              </w:rPr>
              <w:t>Social Well-Being</w:t>
            </w:r>
          </w:p>
        </w:tc>
        <w:tc>
          <w:tcPr>
            <w:tcW w:w="0" w:type="auto"/>
            <w:vAlign w:val="center"/>
          </w:tcPr>
          <w:p w14:paraId="4FD1668D">
            <w:pPr>
              <w:spacing w:after="0" w:line="240" w:lineRule="auto"/>
              <w:rPr>
                <w:rFonts w:ascii="Times New Roman" w:hAnsi="Times New Roman" w:eastAsia="Times New Roman" w:cs="Times New Roman"/>
                <w:kern w:val="0"/>
                <w:sz w:val="20"/>
                <w:szCs w:val="20"/>
                <w:lang w:eastAsia="en-IN"/>
              </w:rPr>
            </w:pPr>
            <w:r>
              <w:rPr>
                <w:rFonts w:ascii="Times New Roman" w:hAnsi="Times New Roman" w:eastAsia="Times New Roman" w:cs="Times New Roman"/>
                <w:kern w:val="0"/>
                <w:sz w:val="20"/>
                <w:szCs w:val="20"/>
                <w:lang w:eastAsia="en-IN"/>
              </w:rPr>
              <w:t>Diener &amp; Seligman (2004) – Subjective well-being includes social relationships; Indigenous Wellbeing Pyramid – community and cultural connection key</w:t>
            </w:r>
          </w:p>
        </w:tc>
        <w:tc>
          <w:tcPr>
            <w:tcW w:w="0" w:type="auto"/>
            <w:vAlign w:val="center"/>
          </w:tcPr>
          <w:p w14:paraId="724BDC1C">
            <w:pPr>
              <w:spacing w:after="0" w:line="240" w:lineRule="auto"/>
              <w:rPr>
                <w:rFonts w:ascii="Times New Roman" w:hAnsi="Times New Roman" w:eastAsia="Times New Roman" w:cs="Times New Roman"/>
                <w:kern w:val="0"/>
                <w:sz w:val="20"/>
                <w:szCs w:val="20"/>
                <w:lang w:eastAsia="en-IN"/>
              </w:rPr>
            </w:pPr>
            <w:r>
              <w:rPr>
                <w:rFonts w:ascii="Times New Roman" w:hAnsi="Times New Roman" w:eastAsia="Times New Roman" w:cs="Times New Roman"/>
                <w:kern w:val="0"/>
                <w:sz w:val="20"/>
                <w:szCs w:val="20"/>
                <w:lang w:eastAsia="en-IN"/>
              </w:rPr>
              <w:t>Social connection and civic engagement increased after interventions, reducing isolation</w:t>
            </w:r>
          </w:p>
        </w:tc>
        <w:tc>
          <w:tcPr>
            <w:tcW w:w="3096" w:type="dxa"/>
            <w:vAlign w:val="center"/>
          </w:tcPr>
          <w:p w14:paraId="033EA274">
            <w:pPr>
              <w:spacing w:after="0" w:line="240" w:lineRule="auto"/>
              <w:rPr>
                <w:rFonts w:ascii="Times New Roman" w:hAnsi="Times New Roman" w:eastAsia="Times New Roman" w:cs="Times New Roman"/>
                <w:kern w:val="0"/>
                <w:sz w:val="20"/>
                <w:szCs w:val="20"/>
                <w:lang w:eastAsia="en-IN"/>
              </w:rPr>
            </w:pPr>
            <w:r>
              <w:rPr>
                <w:rFonts w:ascii="Times New Roman" w:hAnsi="Times New Roman" w:eastAsia="Times New Roman" w:cs="Times New Roman"/>
                <w:kern w:val="0"/>
                <w:sz w:val="20"/>
                <w:szCs w:val="20"/>
                <w:lang w:eastAsia="en-IN"/>
              </w:rPr>
              <w:t>Extends findings to show that structured programs can transform social isolation into participatory community practices</w:t>
            </w:r>
          </w:p>
        </w:tc>
      </w:tr>
      <w:tr w14:paraId="25D53288">
        <w:tblPrEx>
          <w:tblCellMar>
            <w:top w:w="15" w:type="dxa"/>
            <w:left w:w="15" w:type="dxa"/>
            <w:bottom w:w="15" w:type="dxa"/>
            <w:right w:w="15" w:type="dxa"/>
          </w:tblCellMar>
        </w:tblPrEx>
        <w:trPr>
          <w:tblCellSpacing w:w="15" w:type="dxa"/>
        </w:trPr>
        <w:tc>
          <w:tcPr>
            <w:tcW w:w="0" w:type="auto"/>
            <w:vAlign w:val="center"/>
          </w:tcPr>
          <w:p w14:paraId="05D001A4">
            <w:pPr>
              <w:spacing w:after="0" w:line="240" w:lineRule="auto"/>
              <w:rPr>
                <w:rFonts w:ascii="Times New Roman" w:hAnsi="Times New Roman" w:eastAsia="Times New Roman" w:cs="Times New Roman"/>
                <w:kern w:val="0"/>
                <w:sz w:val="20"/>
                <w:szCs w:val="20"/>
                <w:lang w:eastAsia="en-IN"/>
              </w:rPr>
            </w:pPr>
            <w:r>
              <w:rPr>
                <w:rFonts w:ascii="Times New Roman" w:hAnsi="Times New Roman" w:eastAsia="Times New Roman" w:cs="Times New Roman"/>
                <w:b/>
                <w:bCs/>
                <w:kern w:val="0"/>
                <w:sz w:val="20"/>
                <w:szCs w:val="20"/>
                <w:lang w:eastAsia="en-IN"/>
              </w:rPr>
              <w:t>Psychological Well-Being</w:t>
            </w:r>
          </w:p>
        </w:tc>
        <w:tc>
          <w:tcPr>
            <w:tcW w:w="0" w:type="auto"/>
            <w:vAlign w:val="center"/>
          </w:tcPr>
          <w:p w14:paraId="5EE7F673">
            <w:pPr>
              <w:spacing w:after="0" w:line="240" w:lineRule="auto"/>
              <w:rPr>
                <w:rFonts w:ascii="Times New Roman" w:hAnsi="Times New Roman" w:eastAsia="Times New Roman" w:cs="Times New Roman"/>
                <w:kern w:val="0"/>
                <w:sz w:val="20"/>
                <w:szCs w:val="20"/>
                <w:lang w:eastAsia="en-IN"/>
              </w:rPr>
            </w:pPr>
            <w:r>
              <w:rPr>
                <w:rFonts w:ascii="Times New Roman" w:hAnsi="Times New Roman" w:eastAsia="Times New Roman" w:cs="Times New Roman"/>
                <w:kern w:val="0"/>
                <w:sz w:val="20"/>
                <w:szCs w:val="20"/>
                <w:lang w:eastAsia="en-IN"/>
              </w:rPr>
              <w:t>Ryff (1989), Diener et al. (1999) – Autonomy, resilience, life satisfaction</w:t>
            </w:r>
          </w:p>
        </w:tc>
        <w:tc>
          <w:tcPr>
            <w:tcW w:w="0" w:type="auto"/>
            <w:vAlign w:val="center"/>
          </w:tcPr>
          <w:p w14:paraId="6A0BCCD2">
            <w:pPr>
              <w:spacing w:after="0" w:line="240" w:lineRule="auto"/>
              <w:rPr>
                <w:rFonts w:ascii="Times New Roman" w:hAnsi="Times New Roman" w:eastAsia="Times New Roman" w:cs="Times New Roman"/>
                <w:kern w:val="0"/>
                <w:sz w:val="20"/>
                <w:szCs w:val="20"/>
                <w:lang w:eastAsia="en-IN"/>
              </w:rPr>
            </w:pPr>
            <w:r>
              <w:rPr>
                <w:rFonts w:ascii="Times New Roman" w:hAnsi="Times New Roman" w:eastAsia="Times New Roman" w:cs="Times New Roman"/>
                <w:kern w:val="0"/>
                <w:sz w:val="20"/>
                <w:szCs w:val="20"/>
                <w:lang w:eastAsia="en-IN"/>
              </w:rPr>
              <w:t>SWB, risk perception, and psychological empowerment improved significantly post-optimization</w:t>
            </w:r>
          </w:p>
        </w:tc>
        <w:tc>
          <w:tcPr>
            <w:tcW w:w="3096" w:type="dxa"/>
            <w:vAlign w:val="center"/>
          </w:tcPr>
          <w:p w14:paraId="074E94AE">
            <w:pPr>
              <w:spacing w:after="0" w:line="240" w:lineRule="auto"/>
              <w:rPr>
                <w:rFonts w:ascii="Times New Roman" w:hAnsi="Times New Roman" w:eastAsia="Times New Roman" w:cs="Times New Roman"/>
                <w:kern w:val="0"/>
                <w:sz w:val="20"/>
                <w:szCs w:val="20"/>
                <w:lang w:eastAsia="en-IN"/>
              </w:rPr>
            </w:pPr>
            <w:r>
              <w:rPr>
                <w:rFonts w:ascii="Times New Roman" w:hAnsi="Times New Roman" w:eastAsia="Times New Roman" w:cs="Times New Roman"/>
                <w:kern w:val="0"/>
                <w:sz w:val="20"/>
                <w:szCs w:val="20"/>
                <w:lang w:eastAsia="en-IN"/>
              </w:rPr>
              <w:t>Confirms theory; integrated interventions affect both hedonic and eudaimonic aspects of well-being</w:t>
            </w:r>
          </w:p>
        </w:tc>
      </w:tr>
      <w:tr w14:paraId="7C5D36B2">
        <w:tblPrEx>
          <w:tblCellMar>
            <w:top w:w="15" w:type="dxa"/>
            <w:left w:w="15" w:type="dxa"/>
            <w:bottom w:w="15" w:type="dxa"/>
            <w:right w:w="15" w:type="dxa"/>
          </w:tblCellMar>
        </w:tblPrEx>
        <w:trPr>
          <w:tblCellSpacing w:w="15" w:type="dxa"/>
        </w:trPr>
        <w:tc>
          <w:tcPr>
            <w:tcW w:w="0" w:type="auto"/>
            <w:vAlign w:val="center"/>
          </w:tcPr>
          <w:p w14:paraId="44A2EB1F">
            <w:pPr>
              <w:spacing w:after="0" w:line="240" w:lineRule="auto"/>
              <w:rPr>
                <w:rFonts w:ascii="Times New Roman" w:hAnsi="Times New Roman" w:eastAsia="Times New Roman" w:cs="Times New Roman"/>
                <w:kern w:val="0"/>
                <w:sz w:val="20"/>
                <w:szCs w:val="20"/>
                <w:lang w:eastAsia="en-IN"/>
              </w:rPr>
            </w:pPr>
            <w:r>
              <w:rPr>
                <w:rFonts w:ascii="Times New Roman" w:hAnsi="Times New Roman" w:eastAsia="Times New Roman" w:cs="Times New Roman"/>
                <w:b/>
                <w:bCs/>
                <w:kern w:val="0"/>
                <w:sz w:val="20"/>
                <w:szCs w:val="20"/>
                <w:lang w:eastAsia="en-IN"/>
              </w:rPr>
              <w:t>Agricultural Interventions</w:t>
            </w:r>
          </w:p>
        </w:tc>
        <w:tc>
          <w:tcPr>
            <w:tcW w:w="0" w:type="auto"/>
            <w:vAlign w:val="center"/>
          </w:tcPr>
          <w:p w14:paraId="1402A9B0">
            <w:pPr>
              <w:spacing w:after="0" w:line="240" w:lineRule="auto"/>
              <w:rPr>
                <w:rFonts w:ascii="Times New Roman" w:hAnsi="Times New Roman" w:eastAsia="Times New Roman" w:cs="Times New Roman"/>
                <w:kern w:val="0"/>
                <w:sz w:val="20"/>
                <w:szCs w:val="20"/>
                <w:lang w:eastAsia="en-IN"/>
              </w:rPr>
            </w:pPr>
            <w:r>
              <w:rPr>
                <w:rFonts w:ascii="Times New Roman" w:hAnsi="Times New Roman" w:eastAsia="Times New Roman" w:cs="Times New Roman"/>
                <w:kern w:val="0"/>
                <w:sz w:val="20"/>
                <w:szCs w:val="20"/>
                <w:lang w:eastAsia="en-IN"/>
              </w:rPr>
              <w:t>Barrett et al. (2021), Pingali (2015) – Crop diversification enhances income stability and resilience in rural India</w:t>
            </w:r>
          </w:p>
        </w:tc>
        <w:tc>
          <w:tcPr>
            <w:tcW w:w="0" w:type="auto"/>
            <w:vAlign w:val="center"/>
          </w:tcPr>
          <w:p w14:paraId="5AA8DB0F">
            <w:pPr>
              <w:spacing w:after="0" w:line="240" w:lineRule="auto"/>
              <w:rPr>
                <w:rFonts w:ascii="Times New Roman" w:hAnsi="Times New Roman" w:eastAsia="Times New Roman" w:cs="Times New Roman"/>
                <w:kern w:val="0"/>
                <w:sz w:val="20"/>
                <w:szCs w:val="20"/>
                <w:lang w:eastAsia="en-IN"/>
              </w:rPr>
            </w:pPr>
            <w:r>
              <w:rPr>
                <w:rFonts w:ascii="Times New Roman" w:hAnsi="Times New Roman" w:eastAsia="Times New Roman" w:cs="Times New Roman"/>
                <w:kern w:val="0"/>
                <w:sz w:val="20"/>
                <w:szCs w:val="20"/>
                <w:lang w:eastAsia="en-IN"/>
              </w:rPr>
              <w:t>Multi-Crop System (finger millet, mustard seed) improved income, housing, work-life balance, and occupation</w:t>
            </w:r>
          </w:p>
        </w:tc>
        <w:tc>
          <w:tcPr>
            <w:tcW w:w="3096" w:type="dxa"/>
            <w:vAlign w:val="center"/>
          </w:tcPr>
          <w:p w14:paraId="14D03FEF">
            <w:pPr>
              <w:spacing w:after="0" w:line="240" w:lineRule="auto"/>
              <w:rPr>
                <w:rFonts w:ascii="Times New Roman" w:hAnsi="Times New Roman" w:eastAsia="Times New Roman" w:cs="Times New Roman"/>
                <w:kern w:val="0"/>
                <w:sz w:val="20"/>
                <w:szCs w:val="20"/>
                <w:lang w:eastAsia="en-IN"/>
              </w:rPr>
            </w:pPr>
            <w:r>
              <w:rPr>
                <w:rFonts w:ascii="Times New Roman" w:hAnsi="Times New Roman" w:eastAsia="Times New Roman" w:cs="Times New Roman"/>
                <w:kern w:val="0"/>
                <w:sz w:val="20"/>
                <w:szCs w:val="20"/>
                <w:lang w:eastAsia="en-IN"/>
              </w:rPr>
              <w:t>Supports prior findings; shows synergistic effect with government programs in tribal areas</w:t>
            </w:r>
          </w:p>
        </w:tc>
      </w:tr>
      <w:tr w14:paraId="03A37FC3">
        <w:tblPrEx>
          <w:tblCellMar>
            <w:top w:w="15" w:type="dxa"/>
            <w:left w:w="15" w:type="dxa"/>
            <w:bottom w:w="15" w:type="dxa"/>
            <w:right w:w="15" w:type="dxa"/>
          </w:tblCellMar>
        </w:tblPrEx>
        <w:trPr>
          <w:tblCellSpacing w:w="15" w:type="dxa"/>
        </w:trPr>
        <w:tc>
          <w:tcPr>
            <w:tcW w:w="0" w:type="auto"/>
            <w:vAlign w:val="center"/>
          </w:tcPr>
          <w:p w14:paraId="065575C1">
            <w:pPr>
              <w:spacing w:after="0" w:line="240" w:lineRule="auto"/>
              <w:rPr>
                <w:rFonts w:ascii="Times New Roman" w:hAnsi="Times New Roman" w:eastAsia="Times New Roman" w:cs="Times New Roman"/>
                <w:kern w:val="0"/>
                <w:sz w:val="20"/>
                <w:szCs w:val="20"/>
                <w:lang w:eastAsia="en-IN"/>
              </w:rPr>
            </w:pPr>
            <w:r>
              <w:rPr>
                <w:rFonts w:ascii="Times New Roman" w:hAnsi="Times New Roman" w:eastAsia="Times New Roman" w:cs="Times New Roman"/>
                <w:b/>
                <w:bCs/>
                <w:kern w:val="0"/>
                <w:sz w:val="20"/>
                <w:szCs w:val="20"/>
                <w:lang w:eastAsia="en-IN"/>
              </w:rPr>
              <w:t>Environmental Well-Being</w:t>
            </w:r>
          </w:p>
        </w:tc>
        <w:tc>
          <w:tcPr>
            <w:tcW w:w="0" w:type="auto"/>
            <w:vAlign w:val="center"/>
          </w:tcPr>
          <w:p w14:paraId="131C7DA0">
            <w:pPr>
              <w:spacing w:after="0" w:line="240" w:lineRule="auto"/>
              <w:rPr>
                <w:rFonts w:ascii="Times New Roman" w:hAnsi="Times New Roman" w:eastAsia="Times New Roman" w:cs="Times New Roman"/>
                <w:kern w:val="0"/>
                <w:sz w:val="20"/>
                <w:szCs w:val="20"/>
                <w:lang w:eastAsia="en-IN"/>
              </w:rPr>
            </w:pPr>
            <w:r>
              <w:rPr>
                <w:rFonts w:ascii="Times New Roman" w:hAnsi="Times New Roman" w:eastAsia="Times New Roman" w:cs="Times New Roman"/>
                <w:kern w:val="0"/>
                <w:sz w:val="20"/>
                <w:szCs w:val="20"/>
                <w:lang w:eastAsia="en-IN"/>
              </w:rPr>
              <w:t>Ryff (1989) – Environmental mastery enhances well-being; Sen (1999) – secure and productive environment expands capabilities</w:t>
            </w:r>
          </w:p>
        </w:tc>
        <w:tc>
          <w:tcPr>
            <w:tcW w:w="0" w:type="auto"/>
            <w:vAlign w:val="center"/>
          </w:tcPr>
          <w:p w14:paraId="72F6FCE1">
            <w:pPr>
              <w:spacing w:after="0" w:line="240" w:lineRule="auto"/>
              <w:rPr>
                <w:rFonts w:ascii="Times New Roman" w:hAnsi="Times New Roman" w:eastAsia="Times New Roman" w:cs="Times New Roman"/>
                <w:kern w:val="0"/>
                <w:sz w:val="20"/>
                <w:szCs w:val="20"/>
                <w:lang w:eastAsia="en-IN"/>
              </w:rPr>
            </w:pPr>
            <w:r>
              <w:rPr>
                <w:rFonts w:ascii="Times New Roman" w:hAnsi="Times New Roman" w:eastAsia="Times New Roman" w:cs="Times New Roman"/>
                <w:kern w:val="0"/>
                <w:sz w:val="20"/>
                <w:szCs w:val="20"/>
                <w:lang w:eastAsia="en-IN"/>
              </w:rPr>
              <w:t>Rainwater Harvesting (RWH) improved environmental quality, income, and resilience</w:t>
            </w:r>
          </w:p>
        </w:tc>
        <w:tc>
          <w:tcPr>
            <w:tcW w:w="3096" w:type="dxa"/>
            <w:vAlign w:val="center"/>
          </w:tcPr>
          <w:p w14:paraId="4DF3C0CF">
            <w:pPr>
              <w:spacing w:after="0" w:line="240" w:lineRule="auto"/>
              <w:rPr>
                <w:rFonts w:ascii="Times New Roman" w:hAnsi="Times New Roman" w:eastAsia="Times New Roman" w:cs="Times New Roman"/>
                <w:kern w:val="0"/>
                <w:sz w:val="20"/>
                <w:szCs w:val="20"/>
                <w:lang w:eastAsia="en-IN"/>
              </w:rPr>
            </w:pPr>
            <w:r>
              <w:rPr>
                <w:rFonts w:ascii="Times New Roman" w:hAnsi="Times New Roman" w:eastAsia="Times New Roman" w:cs="Times New Roman"/>
                <w:kern w:val="0"/>
                <w:sz w:val="20"/>
                <w:szCs w:val="20"/>
                <w:lang w:eastAsia="en-IN"/>
              </w:rPr>
              <w:t>Adds empirical support for integrating ecological strategies into multi-domain development</w:t>
            </w:r>
          </w:p>
        </w:tc>
      </w:tr>
      <w:tr w14:paraId="5B1EB05A">
        <w:tblPrEx>
          <w:tblCellMar>
            <w:top w:w="15" w:type="dxa"/>
            <w:left w:w="15" w:type="dxa"/>
            <w:bottom w:w="15" w:type="dxa"/>
            <w:right w:w="15" w:type="dxa"/>
          </w:tblCellMar>
        </w:tblPrEx>
        <w:trPr>
          <w:tblCellSpacing w:w="15" w:type="dxa"/>
        </w:trPr>
        <w:tc>
          <w:tcPr>
            <w:tcW w:w="0" w:type="auto"/>
            <w:tcBorders>
              <w:bottom w:val="single" w:color="auto" w:sz="4" w:space="0"/>
            </w:tcBorders>
            <w:vAlign w:val="center"/>
          </w:tcPr>
          <w:p w14:paraId="36B20905">
            <w:pPr>
              <w:spacing w:after="0" w:line="240" w:lineRule="auto"/>
              <w:rPr>
                <w:rFonts w:ascii="Times New Roman" w:hAnsi="Times New Roman" w:eastAsia="Times New Roman" w:cs="Times New Roman"/>
                <w:kern w:val="0"/>
                <w:sz w:val="20"/>
                <w:szCs w:val="20"/>
                <w:lang w:eastAsia="en-IN"/>
              </w:rPr>
            </w:pPr>
            <w:r>
              <w:rPr>
                <w:rFonts w:ascii="Times New Roman" w:hAnsi="Times New Roman" w:eastAsia="Times New Roman" w:cs="Times New Roman"/>
                <w:b/>
                <w:bCs/>
                <w:kern w:val="0"/>
                <w:sz w:val="20"/>
                <w:szCs w:val="20"/>
                <w:lang w:eastAsia="en-IN"/>
              </w:rPr>
              <w:t>Optimization / Resource Allocation</w:t>
            </w:r>
          </w:p>
        </w:tc>
        <w:tc>
          <w:tcPr>
            <w:tcW w:w="0" w:type="auto"/>
            <w:tcBorders>
              <w:bottom w:val="single" w:color="auto" w:sz="4" w:space="0"/>
            </w:tcBorders>
            <w:vAlign w:val="center"/>
          </w:tcPr>
          <w:p w14:paraId="4E689F7D">
            <w:pPr>
              <w:spacing w:after="0" w:line="240" w:lineRule="auto"/>
              <w:rPr>
                <w:rFonts w:ascii="Times New Roman" w:hAnsi="Times New Roman" w:eastAsia="Times New Roman" w:cs="Times New Roman"/>
                <w:kern w:val="0"/>
                <w:sz w:val="20"/>
                <w:szCs w:val="20"/>
                <w:lang w:eastAsia="en-IN"/>
              </w:rPr>
            </w:pPr>
            <w:r>
              <w:rPr>
                <w:rFonts w:ascii="Times New Roman" w:hAnsi="Times New Roman" w:eastAsia="Times New Roman" w:cs="Times New Roman"/>
                <w:kern w:val="0"/>
                <w:sz w:val="20"/>
                <w:szCs w:val="20"/>
                <w:lang w:eastAsia="en-IN"/>
              </w:rPr>
              <w:t>General optimization theory – Efficient allocation maximizes outcomes under constraints</w:t>
            </w:r>
          </w:p>
        </w:tc>
        <w:tc>
          <w:tcPr>
            <w:tcW w:w="0" w:type="auto"/>
            <w:tcBorders>
              <w:bottom w:val="single" w:color="auto" w:sz="4" w:space="0"/>
            </w:tcBorders>
            <w:vAlign w:val="center"/>
          </w:tcPr>
          <w:p w14:paraId="346B9E74">
            <w:pPr>
              <w:spacing w:after="0" w:line="240" w:lineRule="auto"/>
              <w:rPr>
                <w:rFonts w:ascii="Times New Roman" w:hAnsi="Times New Roman" w:eastAsia="Times New Roman" w:cs="Times New Roman"/>
                <w:kern w:val="0"/>
                <w:sz w:val="20"/>
                <w:szCs w:val="20"/>
                <w:lang w:eastAsia="en-IN"/>
              </w:rPr>
            </w:pPr>
            <w:r>
              <w:rPr>
                <w:rFonts w:ascii="Times New Roman" w:hAnsi="Times New Roman" w:eastAsia="Times New Roman" w:cs="Times New Roman"/>
                <w:kern w:val="0"/>
                <w:sz w:val="20"/>
                <w:szCs w:val="20"/>
                <w:lang w:eastAsia="en-IN"/>
              </w:rPr>
              <w:t>Linear programming optimized coverage of government programs, MCS, and RWH under ₹1.5 crore budget</w:t>
            </w:r>
          </w:p>
        </w:tc>
        <w:tc>
          <w:tcPr>
            <w:tcW w:w="3096" w:type="dxa"/>
            <w:tcBorders>
              <w:bottom w:val="single" w:color="auto" w:sz="4" w:space="0"/>
            </w:tcBorders>
            <w:vAlign w:val="center"/>
          </w:tcPr>
          <w:p w14:paraId="4607F548">
            <w:pPr>
              <w:spacing w:after="0" w:line="240" w:lineRule="auto"/>
              <w:rPr>
                <w:rFonts w:ascii="Times New Roman" w:hAnsi="Times New Roman" w:eastAsia="Times New Roman" w:cs="Times New Roman"/>
                <w:kern w:val="0"/>
                <w:sz w:val="20"/>
                <w:szCs w:val="20"/>
                <w:lang w:eastAsia="en-IN"/>
              </w:rPr>
            </w:pPr>
            <w:r>
              <w:rPr>
                <w:rFonts w:ascii="Times New Roman" w:hAnsi="Times New Roman" w:eastAsia="Times New Roman" w:cs="Times New Roman"/>
                <w:kern w:val="0"/>
                <w:sz w:val="20"/>
                <w:szCs w:val="20"/>
                <w:lang w:eastAsia="en-IN"/>
              </w:rPr>
              <w:t>Provides practical evidence that optimization can maximize multi-domain well-being in tribal communities</w:t>
            </w:r>
          </w:p>
        </w:tc>
      </w:tr>
    </w:tbl>
    <w:p w14:paraId="79167274">
      <w:pPr>
        <w:pStyle w:val="17"/>
        <w:spacing w:line="360" w:lineRule="auto"/>
        <w:jc w:val="both"/>
      </w:pPr>
      <w:r>
        <w:rPr/>
        <w:br w:type="textWrapping" w:clear="all"/>
      </w:r>
      <w:r>
        <w:rPr>
          <w:rStyle w:val="18"/>
          <w:rFonts w:eastAsiaTheme="majorEastAsia"/>
        </w:rPr>
        <w:t>TheoreticalImplications:</w:t>
      </w:r>
      <w:r>
        <w:br w:type="textWrapping"/>
      </w:r>
      <w:r>
        <w:t xml:space="preserve">This study provides several concrete theoretical contributions that can guide future scholars in research on tribal well-being, rural development, and multidimensional optimization. First, it empirically extends </w:t>
      </w:r>
      <w:r>
        <w:rPr>
          <w:rStyle w:val="18"/>
          <w:rFonts w:eastAsiaTheme="majorEastAsia"/>
          <w:b w:val="0"/>
          <w:bCs w:val="0"/>
        </w:rPr>
        <w:t>Sen’s Capability Approach (1999)</w:t>
      </w:r>
      <w:r>
        <w:t xml:space="preserve"> by demonstrating how expanding freedoms and choicesthrough interventions such as secure housing, skill development, diversified income sources, and environmental management.  Unlike previous studies that often focused on singular domains (e.g., income or education), this research integrates multiple well-being dimensionseconomic, social, psychological, environmental, and occupationalshowing how improvements in one domain reinforce gains in others.</w:t>
      </w:r>
    </w:p>
    <w:p w14:paraId="4EB094F6">
      <w:pPr>
        <w:pStyle w:val="17"/>
        <w:spacing w:line="360" w:lineRule="auto"/>
        <w:jc w:val="both"/>
      </w:pPr>
      <w:r>
        <w:t xml:space="preserve">Second, the study reinforces and expands the </w:t>
      </w:r>
      <w:r>
        <w:rPr>
          <w:rStyle w:val="18"/>
          <w:rFonts w:eastAsiaTheme="majorEastAsia"/>
          <w:b w:val="0"/>
          <w:bCs w:val="0"/>
        </w:rPr>
        <w:t>multidimensional well-being framework</w:t>
      </w:r>
      <w:r>
        <w:t xml:space="preserve"> proposed by Stiglitz, Sen, and Fitoussi (2009). It provides a practical illustration of how subjective well-being (SWB), risk perception, work-life balance, and environmental quality can be measured and optimized alongside economic indicators. This integration of hedonic and eudaimonic aspects of well-being allows future researchers to design studies that move beyond simplistic income-based measures to more holistic, human-centered approaches.</w:t>
      </w:r>
    </w:p>
    <w:p w14:paraId="6CAE6141">
      <w:pPr>
        <w:pStyle w:val="17"/>
        <w:spacing w:line="360" w:lineRule="auto"/>
        <w:jc w:val="both"/>
      </w:pPr>
      <w:r>
        <w:t xml:space="preserve">Third, the application of </w:t>
      </w:r>
      <w:r>
        <w:rPr>
          <w:rStyle w:val="18"/>
          <w:rFonts w:eastAsiaTheme="majorEastAsia"/>
          <w:b w:val="0"/>
          <w:bCs w:val="0"/>
        </w:rPr>
        <w:t>linear programming and optimization theory</w:t>
      </w:r>
      <w:r>
        <w:t xml:space="preserve"> in a multi-domain well-being context contributes to theory-building in development economics and operations research. While previous studies emphasized theoretical benefits of resource allocation, this research operationalizes the concept by showing how budget constraints, program capacities, and participant limits can be mathematically modeled to maximize well-being outcomes. Future scholars can use this as a methodological template to examine similar interventions in other tribal or rural contexts, including cost-effectiveness analysis and scenario planning.</w:t>
      </w:r>
    </w:p>
    <w:p w14:paraId="2CAA0B44">
      <w:pPr>
        <w:pStyle w:val="17"/>
        <w:spacing w:line="360" w:lineRule="auto"/>
        <w:jc w:val="both"/>
      </w:pPr>
      <w:r>
        <w:t xml:space="preserve">Fourth, the study demonstrates the theoretical importance of integrating </w:t>
      </w:r>
      <w:r>
        <w:rPr>
          <w:rStyle w:val="18"/>
          <w:rFonts w:eastAsiaTheme="majorEastAsia"/>
          <w:b w:val="0"/>
          <w:bCs w:val="0"/>
        </w:rPr>
        <w:t>ecological strategies with institutional interventions</w:t>
      </w:r>
      <w:r>
        <w:t>, such as combining Rainwater Harvesting (RWH) and Multi-Crop Systems (MCS) with government schemes. This contributes to a growing body of research on sustainable development by showing that environmental well-being is not only an outcome but also a driver of economic, social, and psychological well-being. Researchers can build upon this integrative approach to explore resilience, adaptive capacity, and long-term sustainability in tribal communities.</w:t>
      </w:r>
    </w:p>
    <w:p w14:paraId="42D0C3D9">
      <w:pPr>
        <w:pStyle w:val="17"/>
        <w:spacing w:line="360" w:lineRule="auto"/>
        <w:jc w:val="both"/>
      </w:pPr>
      <w:r>
        <w:rPr>
          <w:rStyle w:val="18"/>
          <w:rFonts w:eastAsiaTheme="majorEastAsia"/>
        </w:rPr>
        <w:t>PracticalImplications:</w:t>
      </w:r>
      <w:r>
        <w:br w:type="textWrapping"/>
      </w:r>
      <w:r>
        <w:t xml:space="preserve">From a practical standpoint, the study offers actionable insights for policymakers, development practitioners, and local community organizations. The optimization model demonstrates how limited budgets can be allocated efficiently across multiple programs to maximize well-being, offering a replicable framework for evidence-based policy design. For instance, the prioritization of high-impact programs like PMAY, Skill India, and PMJDY provides clear guidance on which interventions yield the most substantial improvements in health, housing, financial security, and employment.The findings also highlight the value of </w:t>
      </w:r>
      <w:r>
        <w:rPr>
          <w:rStyle w:val="18"/>
          <w:rFonts w:eastAsiaTheme="majorEastAsia"/>
          <w:b w:val="0"/>
          <w:bCs w:val="0"/>
        </w:rPr>
        <w:t>combining  support with community-driven interventions</w:t>
      </w:r>
      <w:r>
        <w:t>, such as MCS and RWH, to achieve synergistic effects. This suggests that development policies should not treat ecological or agricultural strategies as supplementary but as integral components of holistic well-being enhancement. By documenting the measurable impact on economic, social, psychological, and environmental domains, the study provides future implementers with empirical justification for integrated programs.Additionally, the study’s detailed assessment of subjective and psychological well-beingincluding SWB, risk, and life satisfactionoffers practical tools for monitoring and evaluating program outcomes beyond traditional economic metrics. Future scholars and practitioners can adopt these indicators to measure intervention effectiveness, inform adaptive strategies, and assess the long-term sustainability of development programs.</w:t>
      </w:r>
    </w:p>
    <w:p w14:paraId="679B0A9E">
      <w:pPr>
        <w:pStyle w:val="17"/>
        <w:spacing w:line="360" w:lineRule="auto"/>
        <w:jc w:val="both"/>
      </w:pPr>
      <w:r>
        <w:t xml:space="preserve">Finally, by presenting a </w:t>
      </w:r>
      <w:r>
        <w:rPr>
          <w:rStyle w:val="18"/>
          <w:rFonts w:eastAsiaTheme="majorEastAsia"/>
          <w:b w:val="0"/>
          <w:bCs w:val="0"/>
        </w:rPr>
        <w:t>scalable, replicable model of optimization-driven intervention</w:t>
      </w:r>
      <w:r>
        <w:rPr>
          <w:b/>
          <w:bCs/>
        </w:rPr>
        <w:t xml:space="preserve">, </w:t>
      </w:r>
      <w:r>
        <w:t xml:space="preserve">this study equips future researchers with a methodological framework that can be applied in diverse tribal or rural contexts, enabling comparative studies, policy simulations, and longitudinal research. </w:t>
      </w:r>
    </w:p>
    <w:p w14:paraId="5688D75A">
      <w:pPr>
        <w:spacing w:line="360" w:lineRule="auto"/>
        <w:jc w:val="both"/>
        <w:rPr>
          <w:rFonts w:ascii="Times New Roman" w:hAnsi="Times New Roman" w:cs="Times New Roman"/>
        </w:rPr>
      </w:pPr>
    </w:p>
    <w:p w14:paraId="15932303">
      <w:pPr>
        <w:jc w:val="both"/>
        <w:rPr>
          <w:rFonts w:ascii="Times New Roman" w:hAnsi="Times New Roman" w:cs="Times New Roman"/>
          <w:b/>
          <w:bCs/>
          <w:lang w:val="en-US"/>
        </w:rPr>
      </w:pPr>
      <w:r>
        <w:rPr>
          <w:rFonts w:ascii="Times New Roman" w:hAnsi="Times New Roman" w:cs="Times New Roman"/>
          <w:b/>
          <w:bCs/>
          <w:lang w:val="en-US"/>
        </w:rPr>
        <w:t>REFERENCE:</w:t>
      </w:r>
    </w:p>
    <w:p w14:paraId="482957EA">
      <w:pPr>
        <w:jc w:val="both"/>
        <w:rPr>
          <w:rFonts w:ascii="Times New Roman" w:hAnsi="Times New Roman" w:cs="Times New Roman"/>
        </w:rPr>
      </w:pPr>
      <w:r>
        <w:rPr>
          <w:rFonts w:ascii="Times New Roman" w:hAnsi="Times New Roman" w:cs="Times New Roman"/>
        </w:rPr>
        <w:t>Alkire, S., &amp; Foster, J. (2011). Counting and multidimensional poverty measurement. </w:t>
      </w:r>
      <w:r>
        <w:rPr>
          <w:rFonts w:ascii="Times New Roman" w:hAnsi="Times New Roman" w:cs="Times New Roman"/>
          <w:i/>
          <w:iCs/>
        </w:rPr>
        <w:t>Journal of public economics</w:t>
      </w:r>
      <w:r>
        <w:rPr>
          <w:rFonts w:ascii="Times New Roman" w:hAnsi="Times New Roman" w:cs="Times New Roman"/>
        </w:rPr>
        <w:t>, </w:t>
      </w:r>
      <w:r>
        <w:rPr>
          <w:rFonts w:ascii="Times New Roman" w:hAnsi="Times New Roman" w:cs="Times New Roman"/>
          <w:i/>
          <w:iCs/>
        </w:rPr>
        <w:t>95</w:t>
      </w:r>
      <w:r>
        <w:rPr>
          <w:rFonts w:ascii="Times New Roman" w:hAnsi="Times New Roman" w:cs="Times New Roman"/>
        </w:rPr>
        <w:t>(7-8), 476-487.</w:t>
      </w:r>
    </w:p>
    <w:p w14:paraId="56393271">
      <w:pPr>
        <w:jc w:val="both"/>
        <w:rPr>
          <w:rFonts w:ascii="Times New Roman" w:hAnsi="Times New Roman" w:cs="Times New Roman"/>
        </w:rPr>
      </w:pPr>
      <w:bookmarkStart w:id="9" w:name="_Hlk208098537"/>
      <w:r>
        <w:rPr>
          <w:rFonts w:ascii="Times New Roman" w:hAnsi="Times New Roman" w:cs="Times New Roman"/>
        </w:rPr>
        <w:t>Chakravarthi</w:t>
      </w:r>
      <w:bookmarkEnd w:id="9"/>
      <w:r>
        <w:rPr>
          <w:rFonts w:ascii="Times New Roman" w:hAnsi="Times New Roman" w:cs="Times New Roman"/>
        </w:rPr>
        <w:t>, M. S., &amp; Lakshminarayana, K. (2017). Socio-economic and political conditions of tribes in India: An overview. </w:t>
      </w:r>
      <w:r>
        <w:rPr>
          <w:rFonts w:ascii="Times New Roman" w:hAnsi="Times New Roman" w:cs="Times New Roman"/>
          <w:i/>
          <w:iCs/>
        </w:rPr>
        <w:t>International Journal of Multidisciplinary Educational Research</w:t>
      </w:r>
      <w:r>
        <w:rPr>
          <w:rFonts w:ascii="Times New Roman" w:hAnsi="Times New Roman" w:cs="Times New Roman"/>
        </w:rPr>
        <w:t>, </w:t>
      </w:r>
      <w:r>
        <w:rPr>
          <w:rFonts w:ascii="Times New Roman" w:hAnsi="Times New Roman" w:cs="Times New Roman"/>
          <w:i/>
          <w:iCs/>
        </w:rPr>
        <w:t>6</w:t>
      </w:r>
      <w:r>
        <w:rPr>
          <w:rFonts w:ascii="Times New Roman" w:hAnsi="Times New Roman" w:cs="Times New Roman"/>
        </w:rPr>
        <w:t>(9), 138-156.</w:t>
      </w:r>
    </w:p>
    <w:p w14:paraId="4F658DAC">
      <w:pPr>
        <w:jc w:val="both"/>
        <w:rPr>
          <w:rFonts w:ascii="Times New Roman" w:hAnsi="Times New Roman" w:cs="Times New Roman"/>
        </w:rPr>
      </w:pPr>
      <w:r>
        <w:rPr>
          <w:rFonts w:ascii="Times New Roman" w:hAnsi="Times New Roman" w:cs="Times New Roman"/>
        </w:rPr>
        <w:t>Debreu, G. (1959). </w:t>
      </w:r>
      <w:r>
        <w:rPr>
          <w:rFonts w:ascii="Times New Roman" w:hAnsi="Times New Roman" w:cs="Times New Roman"/>
          <w:i/>
          <w:iCs/>
        </w:rPr>
        <w:t>Theory of value: An axiomatic analysis of economic equilibrium</w:t>
      </w:r>
      <w:r>
        <w:rPr>
          <w:rFonts w:ascii="Times New Roman" w:hAnsi="Times New Roman" w:cs="Times New Roman"/>
        </w:rPr>
        <w:t xml:space="preserve"> (Vol. 17). Yale University Press.Zeleny, M. (1982). </w:t>
      </w:r>
      <w:r>
        <w:rPr>
          <w:rFonts w:ascii="Times New Roman" w:hAnsi="Times New Roman" w:cs="Times New Roman"/>
          <w:i/>
          <w:iCs/>
        </w:rPr>
        <w:t>Multiple Criteria Decision Making</w:t>
      </w:r>
      <w:r>
        <w:rPr>
          <w:rFonts w:ascii="Times New Roman" w:hAnsi="Times New Roman" w:cs="Times New Roman"/>
        </w:rPr>
        <w:t>. McGraw-Hill.</w:t>
      </w:r>
    </w:p>
    <w:p w14:paraId="4008F582">
      <w:pPr>
        <w:jc w:val="both"/>
        <w:rPr>
          <w:rFonts w:ascii="Times New Roman" w:hAnsi="Times New Roman" w:cs="Times New Roman"/>
          <w:b/>
          <w:bCs/>
        </w:rPr>
      </w:pPr>
      <w:r>
        <w:rPr>
          <w:rFonts w:ascii="Times New Roman" w:hAnsi="Times New Roman" w:cs="Times New Roman"/>
        </w:rPr>
        <w:t>Kumar, R., &amp; Chaudhuri, S. S. Tribal Economy as Socio-Economic and Cultural Aspects of Tribal Peoples, Jharkhand (India). </w:t>
      </w:r>
      <w:r>
        <w:rPr>
          <w:rFonts w:ascii="Times New Roman" w:hAnsi="Times New Roman" w:cs="Times New Roman"/>
          <w:i/>
          <w:iCs/>
        </w:rPr>
        <w:t>LITERARY QUEST</w:t>
      </w:r>
      <w:r>
        <w:rPr>
          <w:rFonts w:ascii="Times New Roman" w:hAnsi="Times New Roman" w:cs="Times New Roman"/>
          <w:b/>
          <w:bCs/>
        </w:rPr>
        <w:t>.</w:t>
      </w:r>
    </w:p>
    <w:p w14:paraId="79BADAAE">
      <w:pPr>
        <w:jc w:val="both"/>
        <w:rPr>
          <w:rFonts w:ascii="Times New Roman" w:hAnsi="Times New Roman" w:cs="Times New Roman"/>
        </w:rPr>
      </w:pPr>
      <w:r>
        <w:rPr>
          <w:rFonts w:ascii="Times New Roman" w:hAnsi="Times New Roman" w:cs="Times New Roman"/>
        </w:rPr>
        <w:t>Thakur DS, Thakur DC, Saini AS (1991) SocioEconomic Impact of Tribal Development Programmes in Himachal Pradesh. Journal of Rural Development; Vol-10: pp. 823-30.</w:t>
      </w:r>
    </w:p>
    <w:p w14:paraId="25DD973C">
      <w:pPr>
        <w:jc w:val="both"/>
        <w:rPr>
          <w:rFonts w:ascii="Times New Roman" w:hAnsi="Times New Roman" w:cs="Times New Roman"/>
        </w:rPr>
      </w:pPr>
      <w:r>
        <w:rPr>
          <w:rFonts w:ascii="Times New Roman" w:hAnsi="Times New Roman" w:cs="Times New Roman"/>
        </w:rPr>
        <w:t>Kachhap, M. R. S., &amp; Saw, M. G. P. (2016). A mapping stature regarding problems and its associated factors of Tribal Communities of Jharkhand. </w:t>
      </w:r>
      <w:r>
        <w:rPr>
          <w:rFonts w:ascii="Times New Roman" w:hAnsi="Times New Roman" w:cs="Times New Roman"/>
          <w:i/>
          <w:iCs/>
        </w:rPr>
        <w:t>International Journal of Humanities &amp; Social Science Studies (IJHSSS)</w:t>
      </w:r>
      <w:r>
        <w:rPr>
          <w:rFonts w:ascii="Times New Roman" w:hAnsi="Times New Roman" w:cs="Times New Roman"/>
        </w:rPr>
        <w:t>, </w:t>
      </w:r>
      <w:r>
        <w:rPr>
          <w:rFonts w:ascii="Times New Roman" w:hAnsi="Times New Roman" w:cs="Times New Roman"/>
          <w:i/>
          <w:iCs/>
        </w:rPr>
        <w:t>2</w:t>
      </w:r>
      <w:r>
        <w:rPr>
          <w:rFonts w:ascii="Times New Roman" w:hAnsi="Times New Roman" w:cs="Times New Roman"/>
        </w:rPr>
        <w:t>(VI), 155-160.</w:t>
      </w:r>
    </w:p>
    <w:p w14:paraId="075668FF">
      <w:pPr>
        <w:jc w:val="both"/>
        <w:rPr>
          <w:rFonts w:ascii="Times New Roman" w:hAnsi="Times New Roman" w:cs="Times New Roman"/>
        </w:rPr>
      </w:pPr>
      <w:r>
        <w:rPr>
          <w:rFonts w:ascii="Times New Roman" w:hAnsi="Times New Roman" w:cs="Times New Roman"/>
        </w:rPr>
        <w:t xml:space="preserve">  Heidegger, M. (1962, 1966, 1971, 1973, 1993a, 1993b). </w:t>
      </w:r>
      <w:r>
        <w:rPr>
          <w:rFonts w:ascii="Times New Roman" w:hAnsi="Times New Roman" w:cs="Times New Roman"/>
          <w:i/>
          <w:iCs/>
        </w:rPr>
        <w:t>Various works</w:t>
      </w:r>
      <w:r>
        <w:rPr>
          <w:rFonts w:ascii="Times New Roman" w:hAnsi="Times New Roman" w:cs="Times New Roman"/>
        </w:rPr>
        <w:t>.</w:t>
      </w:r>
    </w:p>
    <w:p w14:paraId="2E15EA8D">
      <w:pPr>
        <w:jc w:val="both"/>
        <w:rPr>
          <w:rFonts w:ascii="Times New Roman" w:hAnsi="Times New Roman" w:cs="Times New Roman"/>
        </w:rPr>
      </w:pPr>
      <w:r>
        <w:rPr>
          <w:rFonts w:ascii="Times New Roman" w:hAnsi="Times New Roman" w:cs="Times New Roman"/>
        </w:rPr>
        <w:t>Simon, H. A. (1979). Rational decision making in business organizations. </w:t>
      </w:r>
      <w:r>
        <w:rPr>
          <w:rFonts w:ascii="Times New Roman" w:hAnsi="Times New Roman" w:cs="Times New Roman"/>
          <w:i/>
          <w:iCs/>
        </w:rPr>
        <w:t>The American economic review</w:t>
      </w:r>
      <w:r>
        <w:rPr>
          <w:rFonts w:ascii="Times New Roman" w:hAnsi="Times New Roman" w:cs="Times New Roman"/>
        </w:rPr>
        <w:t>, </w:t>
      </w:r>
      <w:r>
        <w:rPr>
          <w:rFonts w:ascii="Times New Roman" w:hAnsi="Times New Roman" w:cs="Times New Roman"/>
          <w:i/>
          <w:iCs/>
        </w:rPr>
        <w:t>69</w:t>
      </w:r>
      <w:r>
        <w:rPr>
          <w:rFonts w:ascii="Times New Roman" w:hAnsi="Times New Roman" w:cs="Times New Roman"/>
        </w:rPr>
        <w:t xml:space="preserve">(4), 493-513.Pareto, V. (1906). </w:t>
      </w:r>
      <w:r>
        <w:rPr>
          <w:rFonts w:ascii="Times New Roman" w:hAnsi="Times New Roman" w:cs="Times New Roman"/>
          <w:i/>
          <w:iCs/>
        </w:rPr>
        <w:t>Manuale di Economia Politica</w:t>
      </w:r>
      <w:r>
        <w:rPr>
          <w:rFonts w:ascii="Times New Roman" w:hAnsi="Times New Roman" w:cs="Times New Roman"/>
        </w:rPr>
        <w:t>.</w:t>
      </w:r>
    </w:p>
    <w:p w14:paraId="14A9F46A">
      <w:pPr>
        <w:jc w:val="both"/>
        <w:rPr>
          <w:rFonts w:ascii="Times New Roman" w:hAnsi="Times New Roman" w:cs="Times New Roman"/>
        </w:rPr>
      </w:pPr>
      <w:r>
        <w:rPr>
          <w:rFonts w:ascii="Times New Roman" w:hAnsi="Times New Roman" w:cs="Times New Roman"/>
        </w:rPr>
        <w:t>Arrow, K. J., &amp; Debreu, G. (2024). Existence of an equilibrium for a competitive economy. In </w:t>
      </w:r>
      <w:r>
        <w:rPr>
          <w:rFonts w:ascii="Times New Roman" w:hAnsi="Times New Roman" w:cs="Times New Roman"/>
          <w:i/>
          <w:iCs/>
        </w:rPr>
        <w:t>The Foundations of Price Theory Vol 5</w:t>
      </w:r>
      <w:r>
        <w:rPr>
          <w:rFonts w:ascii="Times New Roman" w:hAnsi="Times New Roman" w:cs="Times New Roman"/>
        </w:rPr>
        <w:t> (pp. 289-316). Routledge.</w:t>
      </w:r>
    </w:p>
    <w:p w14:paraId="60F8D21D">
      <w:pPr>
        <w:jc w:val="both"/>
        <w:rPr>
          <w:rFonts w:ascii="Times New Roman" w:hAnsi="Times New Roman" w:cs="Times New Roman"/>
        </w:rPr>
      </w:pPr>
      <w:r>
        <w:rPr>
          <w:rFonts w:ascii="Times New Roman" w:hAnsi="Times New Roman" w:cs="Times New Roman"/>
        </w:rPr>
        <w:t xml:space="preserve">Sen, A. (1999). </w:t>
      </w:r>
      <w:r>
        <w:rPr>
          <w:rFonts w:ascii="Times New Roman" w:hAnsi="Times New Roman" w:cs="Times New Roman"/>
          <w:i/>
          <w:iCs/>
        </w:rPr>
        <w:t>Development as Freedom</w:t>
      </w:r>
      <w:r>
        <w:rPr>
          <w:rFonts w:ascii="Times New Roman" w:hAnsi="Times New Roman" w:cs="Times New Roman"/>
        </w:rPr>
        <w:t>. Oxford University Press.</w:t>
      </w:r>
    </w:p>
    <w:p w14:paraId="18A53C7D">
      <w:pPr>
        <w:jc w:val="both"/>
        <w:rPr>
          <w:rFonts w:ascii="Times New Roman" w:hAnsi="Times New Roman" w:cs="Times New Roman"/>
        </w:rPr>
      </w:pPr>
      <w:r>
        <w:rPr>
          <w:rFonts w:ascii="Times New Roman" w:hAnsi="Times New Roman" w:cs="Times New Roman"/>
        </w:rPr>
        <w:t>Wassell, E., &amp; Dodge, R. (2015). A multidisciplinary framework for measuring and improving wellbeing. </w:t>
      </w:r>
      <w:r>
        <w:rPr>
          <w:rFonts w:ascii="Times New Roman" w:hAnsi="Times New Roman" w:cs="Times New Roman"/>
          <w:i/>
          <w:iCs/>
        </w:rPr>
        <w:t>Int. J. Sci. Basic Appl. Res</w:t>
      </w:r>
      <w:r>
        <w:rPr>
          <w:rFonts w:ascii="Times New Roman" w:hAnsi="Times New Roman" w:cs="Times New Roman"/>
        </w:rPr>
        <w:t>, </w:t>
      </w:r>
      <w:r>
        <w:rPr>
          <w:rFonts w:ascii="Times New Roman" w:hAnsi="Times New Roman" w:cs="Times New Roman"/>
          <w:i/>
          <w:iCs/>
        </w:rPr>
        <w:t>21</w:t>
      </w:r>
      <w:r>
        <w:rPr>
          <w:rFonts w:ascii="Times New Roman" w:hAnsi="Times New Roman" w:cs="Times New Roman"/>
        </w:rPr>
        <w:t>(1), 97-107.</w:t>
      </w:r>
    </w:p>
    <w:p w14:paraId="206B78E8">
      <w:pPr>
        <w:jc w:val="both"/>
        <w:rPr>
          <w:rFonts w:ascii="Times New Roman" w:hAnsi="Times New Roman" w:cs="Times New Roman"/>
        </w:rPr>
      </w:pPr>
      <w:r>
        <w:rPr>
          <w:rFonts w:ascii="Times New Roman" w:hAnsi="Times New Roman" w:cs="Times New Roman"/>
        </w:rPr>
        <w:t xml:space="preserve">OECD. (2013). </w:t>
      </w:r>
      <w:r>
        <w:rPr>
          <w:rFonts w:ascii="Times New Roman" w:hAnsi="Times New Roman" w:cs="Times New Roman"/>
          <w:i/>
          <w:iCs/>
        </w:rPr>
        <w:t>OECD Guidelines on Measuring Subjective Well-Being</w:t>
      </w:r>
      <w:r>
        <w:rPr>
          <w:rFonts w:ascii="Times New Roman" w:hAnsi="Times New Roman" w:cs="Times New Roman"/>
        </w:rPr>
        <w:t>. OECD Publishing.</w:t>
      </w:r>
    </w:p>
    <w:p w14:paraId="7FEE3FA4">
      <w:pPr>
        <w:jc w:val="both"/>
        <w:rPr>
          <w:rFonts w:ascii="Times New Roman" w:hAnsi="Times New Roman" w:cs="Times New Roman"/>
        </w:rPr>
      </w:pPr>
      <w:r>
        <w:rPr>
          <w:rFonts w:ascii="Times New Roman" w:hAnsi="Times New Roman" w:cs="Times New Roman"/>
        </w:rPr>
        <w:t xml:space="preserve">Arrow, K. J., &amp; Debreu, G. (1954). Existence of an equilibrium for a competitive economy. </w:t>
      </w:r>
      <w:r>
        <w:rPr>
          <w:rFonts w:ascii="Times New Roman" w:hAnsi="Times New Roman" w:cs="Times New Roman"/>
          <w:i/>
          <w:iCs/>
        </w:rPr>
        <w:t>Econometrica</w:t>
      </w:r>
      <w:r>
        <w:rPr>
          <w:rFonts w:ascii="Times New Roman" w:hAnsi="Times New Roman" w:cs="Times New Roman"/>
        </w:rPr>
        <w:t>, 22(3).</w:t>
      </w:r>
    </w:p>
    <w:p w14:paraId="5DFF83C7">
      <w:pPr>
        <w:jc w:val="both"/>
        <w:rPr>
          <w:rFonts w:ascii="Times New Roman" w:hAnsi="Times New Roman" w:cs="Times New Roman"/>
        </w:rPr>
      </w:pPr>
      <w:r>
        <w:rPr>
          <w:rFonts w:ascii="Times New Roman" w:hAnsi="Times New Roman" w:cs="Times New Roman"/>
        </w:rPr>
        <w:t xml:space="preserve">Elster, J. (1983). </w:t>
      </w:r>
      <w:r>
        <w:rPr>
          <w:rFonts w:ascii="Times New Roman" w:hAnsi="Times New Roman" w:cs="Times New Roman"/>
          <w:i/>
          <w:iCs/>
        </w:rPr>
        <w:t>Sour Grapes: Studies in the Subversion of Rationality</w:t>
      </w:r>
      <w:r>
        <w:rPr>
          <w:rFonts w:ascii="Times New Roman" w:hAnsi="Times New Roman" w:cs="Times New Roman"/>
        </w:rPr>
        <w:t>. Cambridge University Press.</w:t>
      </w:r>
    </w:p>
    <w:p w14:paraId="57EAE61A">
      <w:pPr>
        <w:jc w:val="both"/>
        <w:rPr>
          <w:rFonts w:ascii="Times New Roman" w:hAnsi="Times New Roman" w:cs="Times New Roman"/>
        </w:rPr>
      </w:pPr>
      <w:r>
        <w:rPr>
          <w:rFonts w:ascii="Times New Roman" w:hAnsi="Times New Roman" w:cs="Times New Roman"/>
        </w:rPr>
        <w:t xml:space="preserve"> Finnis, J. (1980). </w:t>
      </w:r>
      <w:r>
        <w:rPr>
          <w:rFonts w:ascii="Times New Roman" w:hAnsi="Times New Roman" w:cs="Times New Roman"/>
          <w:i/>
          <w:iCs/>
        </w:rPr>
        <w:t>Natural Law and Natural Rights</w:t>
      </w:r>
      <w:r>
        <w:rPr>
          <w:rFonts w:ascii="Times New Roman" w:hAnsi="Times New Roman" w:cs="Times New Roman"/>
        </w:rPr>
        <w:t>. Clarendon Press.</w:t>
      </w:r>
    </w:p>
    <w:p w14:paraId="3696D750">
      <w:pPr>
        <w:jc w:val="both"/>
        <w:rPr>
          <w:rFonts w:ascii="Times New Roman" w:hAnsi="Times New Roman" w:cs="Times New Roman"/>
        </w:rPr>
      </w:pPr>
      <w:r>
        <w:rPr>
          <w:rFonts w:ascii="Times New Roman" w:hAnsi="Times New Roman" w:cs="Times New Roman"/>
        </w:rPr>
        <w:t xml:space="preserve">Griffin, J. (1986). </w:t>
      </w:r>
      <w:r>
        <w:rPr>
          <w:rFonts w:ascii="Times New Roman" w:hAnsi="Times New Roman" w:cs="Times New Roman"/>
          <w:i/>
          <w:iCs/>
        </w:rPr>
        <w:t>Well-Being: Its Meaning, Measurement and Moral Importance</w:t>
      </w:r>
      <w:r>
        <w:rPr>
          <w:rFonts w:ascii="Times New Roman" w:hAnsi="Times New Roman" w:cs="Times New Roman"/>
        </w:rPr>
        <w:t>. Oxford University Press.</w:t>
      </w:r>
    </w:p>
    <w:p w14:paraId="4D026895">
      <w:pPr>
        <w:jc w:val="both"/>
        <w:rPr>
          <w:rFonts w:ascii="Times New Roman" w:hAnsi="Times New Roman" w:cs="Times New Roman"/>
        </w:rPr>
      </w:pPr>
      <w:r>
        <w:rPr>
          <w:rFonts w:ascii="Times New Roman" w:hAnsi="Times New Roman" w:cs="Times New Roman"/>
          <w:lang w:val="de-DE"/>
        </w:rPr>
        <w:t xml:space="preserve"> Kahneman, D., Wakker, P., &amp; Sarin, R. (1997). </w:t>
      </w:r>
      <w:r>
        <w:rPr>
          <w:rFonts w:ascii="Times New Roman" w:hAnsi="Times New Roman" w:cs="Times New Roman"/>
        </w:rPr>
        <w:t xml:space="preserve">Back to Bentham? Explorations of experienced utility. </w:t>
      </w:r>
      <w:r>
        <w:rPr>
          <w:rFonts w:ascii="Times New Roman" w:hAnsi="Times New Roman" w:cs="Times New Roman"/>
          <w:i/>
          <w:iCs/>
        </w:rPr>
        <w:t>Quarterly Journal of Economics</w:t>
      </w:r>
      <w:r>
        <w:rPr>
          <w:rFonts w:ascii="Times New Roman" w:hAnsi="Times New Roman" w:cs="Times New Roman"/>
        </w:rPr>
        <w:t>, 112(2).</w:t>
      </w:r>
    </w:p>
    <w:p w14:paraId="60A6473D">
      <w:pPr>
        <w:jc w:val="both"/>
        <w:rPr>
          <w:rFonts w:ascii="Times New Roman" w:hAnsi="Times New Roman" w:cs="Times New Roman"/>
        </w:rPr>
      </w:pPr>
      <w:r>
        <w:rPr>
          <w:rFonts w:ascii="Times New Roman" w:hAnsi="Times New Roman" w:cs="Times New Roman"/>
        </w:rPr>
        <w:t xml:space="preserve">Mill, J. S. (1861/1998). </w:t>
      </w:r>
      <w:r>
        <w:rPr>
          <w:rFonts w:ascii="Times New Roman" w:hAnsi="Times New Roman" w:cs="Times New Roman"/>
          <w:i/>
          <w:iCs/>
        </w:rPr>
        <w:t>Utilitarianism</w:t>
      </w:r>
      <w:r>
        <w:rPr>
          <w:rFonts w:ascii="Times New Roman" w:hAnsi="Times New Roman" w:cs="Times New Roman"/>
        </w:rPr>
        <w:t>. Oxford University Press.</w:t>
      </w:r>
    </w:p>
    <w:p w14:paraId="665AFCD8">
      <w:pPr>
        <w:jc w:val="both"/>
        <w:rPr>
          <w:rFonts w:ascii="Times New Roman" w:hAnsi="Times New Roman" w:cs="Times New Roman"/>
        </w:rPr>
      </w:pPr>
      <w:r>
        <w:rPr>
          <w:rFonts w:ascii="Times New Roman" w:hAnsi="Times New Roman" w:cs="Times New Roman"/>
        </w:rPr>
        <w:t xml:space="preserve">Miettinen, K. (1999). </w:t>
      </w:r>
      <w:r>
        <w:rPr>
          <w:rFonts w:ascii="Times New Roman" w:hAnsi="Times New Roman" w:cs="Times New Roman"/>
          <w:i/>
          <w:iCs/>
        </w:rPr>
        <w:t>Nonlinear Multiobjective Optimization</w:t>
      </w:r>
      <w:r>
        <w:rPr>
          <w:rFonts w:ascii="Times New Roman" w:hAnsi="Times New Roman" w:cs="Times New Roman"/>
        </w:rPr>
        <w:t>. Springer.</w:t>
      </w:r>
    </w:p>
    <w:p w14:paraId="4297D178">
      <w:pPr>
        <w:jc w:val="both"/>
        <w:rPr>
          <w:rFonts w:ascii="Times New Roman" w:hAnsi="Times New Roman" w:cs="Times New Roman"/>
        </w:rPr>
      </w:pPr>
      <w:r>
        <w:rPr>
          <w:rFonts w:ascii="Times New Roman" w:hAnsi="Times New Roman" w:cs="Times New Roman"/>
        </w:rPr>
        <w:t xml:space="preserve"> Nussbaum, M. (2011). </w:t>
      </w:r>
      <w:r>
        <w:rPr>
          <w:rFonts w:ascii="Times New Roman" w:hAnsi="Times New Roman" w:cs="Times New Roman"/>
          <w:i/>
          <w:iCs/>
        </w:rPr>
        <w:t>Creating Capabilities: The Human Development Approach</w:t>
      </w:r>
      <w:r>
        <w:rPr>
          <w:rFonts w:ascii="Times New Roman" w:hAnsi="Times New Roman" w:cs="Times New Roman"/>
        </w:rPr>
        <w:t>. Harvard University Press.</w:t>
      </w:r>
    </w:p>
    <w:p w14:paraId="2B3696E9">
      <w:pPr>
        <w:jc w:val="both"/>
        <w:rPr>
          <w:rFonts w:ascii="Times New Roman" w:hAnsi="Times New Roman" w:cs="Times New Roman"/>
        </w:rPr>
      </w:pPr>
      <w:r>
        <w:rPr>
          <w:rFonts w:ascii="Times New Roman" w:hAnsi="Times New Roman" w:cs="Times New Roman"/>
        </w:rPr>
        <w:t xml:space="preserve"> Parfit, D. (1984). </w:t>
      </w:r>
      <w:r>
        <w:rPr>
          <w:rFonts w:ascii="Times New Roman" w:hAnsi="Times New Roman" w:cs="Times New Roman"/>
          <w:i/>
          <w:iCs/>
        </w:rPr>
        <w:t>Reasons and Persons</w:t>
      </w:r>
      <w:r>
        <w:rPr>
          <w:rFonts w:ascii="Times New Roman" w:hAnsi="Times New Roman" w:cs="Times New Roman"/>
        </w:rPr>
        <w:t>. Oxford University Press.</w:t>
      </w:r>
    </w:p>
    <w:p w14:paraId="2FF0E921">
      <w:pPr>
        <w:jc w:val="both"/>
        <w:rPr>
          <w:rFonts w:ascii="Times New Roman" w:hAnsi="Times New Roman" w:cs="Times New Roman"/>
        </w:rPr>
      </w:pPr>
      <w:r>
        <w:rPr>
          <w:rFonts w:ascii="Times New Roman" w:hAnsi="Times New Roman" w:cs="Times New Roman"/>
        </w:rPr>
        <w:t xml:space="preserve">Pareto, V. (1906). </w:t>
      </w:r>
      <w:r>
        <w:rPr>
          <w:rFonts w:ascii="Times New Roman" w:hAnsi="Times New Roman" w:cs="Times New Roman"/>
          <w:i/>
          <w:iCs/>
        </w:rPr>
        <w:t>Manuale di Economia Politica</w:t>
      </w:r>
      <w:r>
        <w:rPr>
          <w:rFonts w:ascii="Times New Roman" w:hAnsi="Times New Roman" w:cs="Times New Roman"/>
        </w:rPr>
        <w:t>.</w:t>
      </w:r>
    </w:p>
    <w:p w14:paraId="5BAA1964">
      <w:pPr>
        <w:jc w:val="both"/>
        <w:rPr>
          <w:rFonts w:ascii="Times New Roman" w:hAnsi="Times New Roman" w:cs="Times New Roman"/>
        </w:rPr>
      </w:pPr>
      <w:r>
        <w:rPr>
          <w:rFonts w:ascii="Times New Roman" w:hAnsi="Times New Roman" w:cs="Times New Roman"/>
        </w:rPr>
        <w:t xml:space="preserve"> Railton, P. (1986). Facts and values. </w:t>
      </w:r>
      <w:r>
        <w:rPr>
          <w:rFonts w:ascii="Times New Roman" w:hAnsi="Times New Roman" w:cs="Times New Roman"/>
          <w:i/>
          <w:iCs/>
        </w:rPr>
        <w:t>Philosophical Topics</w:t>
      </w:r>
      <w:r>
        <w:rPr>
          <w:rFonts w:ascii="Times New Roman" w:hAnsi="Times New Roman" w:cs="Times New Roman"/>
        </w:rPr>
        <w:t>, 14(2).</w:t>
      </w:r>
    </w:p>
    <w:p w14:paraId="3D011273">
      <w:pPr>
        <w:jc w:val="both"/>
        <w:rPr>
          <w:rFonts w:ascii="Times New Roman" w:hAnsi="Times New Roman" w:cs="Times New Roman"/>
        </w:rPr>
      </w:pPr>
      <w:r>
        <w:rPr>
          <w:rFonts w:ascii="Times New Roman" w:hAnsi="Times New Roman" w:cs="Times New Roman"/>
        </w:rPr>
        <w:t xml:space="preserve">Sen, A. (1970). </w:t>
      </w:r>
      <w:r>
        <w:rPr>
          <w:rFonts w:ascii="Times New Roman" w:hAnsi="Times New Roman" w:cs="Times New Roman"/>
          <w:i/>
          <w:iCs/>
        </w:rPr>
        <w:t>Collective Choice and Social Welfare</w:t>
      </w:r>
      <w:r>
        <w:rPr>
          <w:rFonts w:ascii="Times New Roman" w:hAnsi="Times New Roman" w:cs="Times New Roman"/>
        </w:rPr>
        <w:t>. Holden-Day.</w:t>
      </w:r>
    </w:p>
    <w:p w14:paraId="55B448EC">
      <w:pPr>
        <w:jc w:val="both"/>
        <w:rPr>
          <w:rFonts w:ascii="Times New Roman" w:hAnsi="Times New Roman" w:cs="Times New Roman"/>
        </w:rPr>
      </w:pPr>
      <w:r>
        <w:rPr>
          <w:rFonts w:ascii="Times New Roman" w:hAnsi="Times New Roman" w:cs="Times New Roman"/>
        </w:rPr>
        <w:t xml:space="preserve"> Sen, A. (1999). </w:t>
      </w:r>
      <w:r>
        <w:rPr>
          <w:rFonts w:ascii="Times New Roman" w:hAnsi="Times New Roman" w:cs="Times New Roman"/>
          <w:i/>
          <w:iCs/>
        </w:rPr>
        <w:t>Development as Freedom</w:t>
      </w:r>
      <w:r>
        <w:rPr>
          <w:rFonts w:ascii="Times New Roman" w:hAnsi="Times New Roman" w:cs="Times New Roman"/>
        </w:rPr>
        <w:t>. Oxford University Press.</w:t>
      </w:r>
    </w:p>
    <w:p w14:paraId="1F2F31F7">
      <w:pPr>
        <w:jc w:val="both"/>
        <w:rPr>
          <w:rFonts w:ascii="Times New Roman" w:hAnsi="Times New Roman" w:cs="Times New Roman"/>
        </w:rPr>
      </w:pPr>
      <w:r>
        <w:rPr>
          <w:rFonts w:ascii="Times New Roman" w:hAnsi="Times New Roman" w:cs="Times New Roman"/>
        </w:rPr>
        <w:t xml:space="preserve"> Sumner, L. W. (1996). </w:t>
      </w:r>
      <w:r>
        <w:rPr>
          <w:rFonts w:ascii="Times New Roman" w:hAnsi="Times New Roman" w:cs="Times New Roman"/>
          <w:i/>
          <w:iCs/>
        </w:rPr>
        <w:t>Welfare, Happiness, and Ethics</w:t>
      </w:r>
      <w:r>
        <w:rPr>
          <w:rFonts w:ascii="Times New Roman" w:hAnsi="Times New Roman" w:cs="Times New Roman"/>
        </w:rPr>
        <w:t>. Clarendon Press.</w:t>
      </w:r>
    </w:p>
    <w:p w14:paraId="773E5F74">
      <w:pPr>
        <w:jc w:val="both"/>
        <w:rPr>
          <w:rFonts w:ascii="Times New Roman" w:hAnsi="Times New Roman" w:cs="Times New Roman"/>
        </w:rPr>
      </w:pPr>
      <w:r>
        <w:rPr>
          <w:rFonts w:ascii="Times New Roman" w:hAnsi="Times New Roman" w:cs="Times New Roman"/>
        </w:rPr>
        <w:t xml:space="preserve">  Zeleny, M. (1982). </w:t>
      </w:r>
      <w:r>
        <w:rPr>
          <w:rFonts w:ascii="Times New Roman" w:hAnsi="Times New Roman" w:cs="Times New Roman"/>
          <w:i/>
          <w:iCs/>
        </w:rPr>
        <w:t>Multiple Criteria Decision Making</w:t>
      </w:r>
      <w:r>
        <w:rPr>
          <w:rFonts w:ascii="Times New Roman" w:hAnsi="Times New Roman" w:cs="Times New Roman"/>
        </w:rPr>
        <w:t>. McGraw-Hill.</w:t>
      </w:r>
    </w:p>
    <w:p w14:paraId="02C1F351">
      <w:pPr>
        <w:jc w:val="both"/>
        <w:rPr>
          <w:rFonts w:ascii="Times New Roman" w:hAnsi="Times New Roman" w:cs="Times New Roman"/>
        </w:rPr>
      </w:pPr>
      <w:r>
        <w:rPr>
          <w:rFonts w:ascii="Times New Roman" w:hAnsi="Times New Roman" w:cs="Times New Roman"/>
        </w:rPr>
        <w:t xml:space="preserve"> Alkire, S., &amp; Foster, J. (2011). Counting and multidimensional poverty measurement. </w:t>
      </w:r>
      <w:r>
        <w:rPr>
          <w:rFonts w:ascii="Times New Roman" w:hAnsi="Times New Roman" w:cs="Times New Roman"/>
          <w:i/>
          <w:iCs/>
        </w:rPr>
        <w:t>Journal of Public Economics</w:t>
      </w:r>
      <w:r>
        <w:rPr>
          <w:rFonts w:ascii="Times New Roman" w:hAnsi="Times New Roman" w:cs="Times New Roman"/>
        </w:rPr>
        <w:t>, 95(7–8).</w:t>
      </w:r>
    </w:p>
    <w:p w14:paraId="6BE3808F">
      <w:pPr>
        <w:jc w:val="both"/>
        <w:rPr>
          <w:rFonts w:ascii="Times New Roman" w:hAnsi="Times New Roman" w:cs="Times New Roman"/>
        </w:rPr>
      </w:pPr>
      <w:r>
        <w:rPr>
          <w:rFonts w:ascii="Times New Roman" w:hAnsi="Times New Roman" w:cs="Times New Roman"/>
        </w:rPr>
        <w:t xml:space="preserve">OECD. (2013). </w:t>
      </w:r>
      <w:r>
        <w:rPr>
          <w:rFonts w:ascii="Times New Roman" w:hAnsi="Times New Roman" w:cs="Times New Roman"/>
          <w:i/>
          <w:iCs/>
        </w:rPr>
        <w:t>OECD Guidelines on Measuring Subjective Well-Being</w:t>
      </w:r>
      <w:r>
        <w:rPr>
          <w:rFonts w:ascii="Times New Roman" w:hAnsi="Times New Roman" w:cs="Times New Roman"/>
        </w:rPr>
        <w:t>. OECD Publishing.</w:t>
      </w:r>
    </w:p>
    <w:p w14:paraId="43BAE3EF">
      <w:pPr>
        <w:jc w:val="both"/>
        <w:rPr>
          <w:rFonts w:ascii="Times New Roman" w:hAnsi="Times New Roman" w:cs="Times New Roman"/>
        </w:rPr>
      </w:pPr>
      <w:r>
        <w:rPr>
          <w:rFonts w:ascii="Times New Roman" w:hAnsi="Times New Roman" w:cs="Times New Roman"/>
        </w:rPr>
        <w:t xml:space="preserve">Alkire, S., &amp; Foster, J. (2011). Counting and multidimensional poverty measurement. </w:t>
      </w:r>
      <w:r>
        <w:rPr>
          <w:rFonts w:ascii="Times New Roman" w:hAnsi="Times New Roman" w:cs="Times New Roman"/>
          <w:i/>
          <w:iCs/>
        </w:rPr>
        <w:t>Journal of Public Economics</w:t>
      </w:r>
      <w:r>
        <w:rPr>
          <w:rFonts w:ascii="Times New Roman" w:hAnsi="Times New Roman" w:cs="Times New Roman"/>
        </w:rPr>
        <w:t>, 95(7–8).</w:t>
      </w:r>
    </w:p>
    <w:p w14:paraId="0E9B8ECE">
      <w:pPr>
        <w:jc w:val="both"/>
        <w:rPr>
          <w:rFonts w:ascii="Times New Roman" w:hAnsi="Times New Roman" w:cs="Times New Roman"/>
        </w:rPr>
      </w:pPr>
      <w:r>
        <w:rPr>
          <w:rFonts w:ascii="Times New Roman" w:hAnsi="Times New Roman" w:cs="Times New Roman"/>
        </w:rPr>
        <w:t xml:space="preserve">Dasgupta, P. (2010). </w:t>
      </w:r>
      <w:r>
        <w:rPr>
          <w:rFonts w:ascii="Times New Roman" w:hAnsi="Times New Roman" w:cs="Times New Roman"/>
          <w:i/>
          <w:iCs/>
        </w:rPr>
        <w:t>Nature and the Economy</w:t>
      </w:r>
      <w:r>
        <w:rPr>
          <w:rFonts w:ascii="Times New Roman" w:hAnsi="Times New Roman" w:cs="Times New Roman"/>
        </w:rPr>
        <w:t>. Cambridge University Press.</w:t>
      </w:r>
    </w:p>
    <w:p w14:paraId="5B8D6E22">
      <w:pPr>
        <w:jc w:val="both"/>
        <w:rPr>
          <w:rFonts w:ascii="Times New Roman" w:hAnsi="Times New Roman" w:cs="Times New Roman"/>
        </w:rPr>
      </w:pPr>
      <w:r>
        <w:rPr>
          <w:rFonts w:ascii="Times New Roman" w:hAnsi="Times New Roman" w:cs="Times New Roman"/>
        </w:rPr>
        <w:t xml:space="preserve">Gupta, D. (2012). </w:t>
      </w:r>
      <w:r>
        <w:rPr>
          <w:rFonts w:ascii="Times New Roman" w:hAnsi="Times New Roman" w:cs="Times New Roman"/>
          <w:i/>
          <w:iCs/>
        </w:rPr>
        <w:t>Justice before Reconciliation: Negotiating a ‘New Normal’ in Post-riot Mumbai</w:t>
      </w:r>
      <w:r>
        <w:rPr>
          <w:rFonts w:ascii="Times New Roman" w:hAnsi="Times New Roman" w:cs="Times New Roman"/>
        </w:rPr>
        <w:t>. Routledge.</w:t>
      </w:r>
    </w:p>
    <w:p w14:paraId="4DCA9C8B">
      <w:pPr>
        <w:jc w:val="both"/>
        <w:rPr>
          <w:rFonts w:ascii="Times New Roman" w:hAnsi="Times New Roman" w:cs="Times New Roman"/>
        </w:rPr>
      </w:pPr>
      <w:r>
        <w:rPr>
          <w:rFonts w:ascii="Times New Roman" w:hAnsi="Times New Roman" w:cs="Times New Roman"/>
        </w:rPr>
        <w:t xml:space="preserve">Kuklys, W. (2005). </w:t>
      </w:r>
      <w:r>
        <w:rPr>
          <w:rFonts w:ascii="Times New Roman" w:hAnsi="Times New Roman" w:cs="Times New Roman"/>
          <w:i/>
          <w:iCs/>
        </w:rPr>
        <w:t>Amartya Sen’s Capability Approach: Theoretical Insights and Empirical Applications</w:t>
      </w:r>
      <w:r>
        <w:rPr>
          <w:rFonts w:ascii="Times New Roman" w:hAnsi="Times New Roman" w:cs="Times New Roman"/>
        </w:rPr>
        <w:t>. Springer.</w:t>
      </w:r>
    </w:p>
    <w:p w14:paraId="0FF56E14">
      <w:pPr>
        <w:jc w:val="both"/>
        <w:rPr>
          <w:rFonts w:ascii="Times New Roman" w:hAnsi="Times New Roman" w:cs="Times New Roman"/>
        </w:rPr>
      </w:pPr>
      <w:r>
        <w:rPr>
          <w:rFonts w:ascii="Times New Roman" w:hAnsi="Times New Roman" w:cs="Times New Roman"/>
        </w:rPr>
        <w:t xml:space="preserve">Maharatna, A. (2005). </w:t>
      </w:r>
      <w:r>
        <w:rPr>
          <w:rFonts w:ascii="Times New Roman" w:hAnsi="Times New Roman" w:cs="Times New Roman"/>
          <w:i/>
          <w:iCs/>
        </w:rPr>
        <w:t>Demographic Perspectives on India’s Tribes</w:t>
      </w:r>
      <w:r>
        <w:rPr>
          <w:rFonts w:ascii="Times New Roman" w:hAnsi="Times New Roman" w:cs="Times New Roman"/>
        </w:rPr>
        <w:t>. Oxford University Press.</w:t>
      </w:r>
    </w:p>
    <w:p w14:paraId="611E1797">
      <w:pPr>
        <w:jc w:val="both"/>
        <w:rPr>
          <w:rFonts w:ascii="Times New Roman" w:hAnsi="Times New Roman" w:cs="Times New Roman"/>
        </w:rPr>
      </w:pPr>
      <w:r>
        <w:rPr>
          <w:rFonts w:ascii="Times New Roman" w:hAnsi="Times New Roman" w:cs="Times New Roman"/>
        </w:rPr>
        <w:t xml:space="preserve">Nussbaum, M. (2011). </w:t>
      </w:r>
      <w:r>
        <w:rPr>
          <w:rFonts w:ascii="Times New Roman" w:hAnsi="Times New Roman" w:cs="Times New Roman"/>
          <w:i/>
          <w:iCs/>
        </w:rPr>
        <w:t>Creating Capabilities: The Human Development Approach</w:t>
      </w:r>
      <w:r>
        <w:rPr>
          <w:rFonts w:ascii="Times New Roman" w:hAnsi="Times New Roman" w:cs="Times New Roman"/>
        </w:rPr>
        <w:t>. Harvard University Press.</w:t>
      </w:r>
    </w:p>
    <w:p w14:paraId="1B4FE811">
      <w:pPr>
        <w:jc w:val="both"/>
        <w:rPr>
          <w:rFonts w:ascii="Times New Roman" w:hAnsi="Times New Roman" w:cs="Times New Roman"/>
        </w:rPr>
      </w:pPr>
      <w:r>
        <w:rPr>
          <w:rFonts w:ascii="Times New Roman" w:hAnsi="Times New Roman" w:cs="Times New Roman"/>
        </w:rPr>
        <w:t xml:space="preserve">Sen, A. (1999). </w:t>
      </w:r>
      <w:r>
        <w:rPr>
          <w:rFonts w:ascii="Times New Roman" w:hAnsi="Times New Roman" w:cs="Times New Roman"/>
          <w:i/>
          <w:iCs/>
        </w:rPr>
        <w:t>Development as Freedom</w:t>
      </w:r>
      <w:r>
        <w:rPr>
          <w:rFonts w:ascii="Times New Roman" w:hAnsi="Times New Roman" w:cs="Times New Roman"/>
        </w:rPr>
        <w:t>. Oxford University Press.</w:t>
      </w:r>
    </w:p>
    <w:p w14:paraId="15D45C08">
      <w:pPr>
        <w:jc w:val="both"/>
        <w:rPr>
          <w:rFonts w:ascii="Times New Roman" w:hAnsi="Times New Roman" w:cs="Times New Roman"/>
        </w:rPr>
      </w:pPr>
      <w:r>
        <w:rPr>
          <w:rFonts w:ascii="Times New Roman" w:hAnsi="Times New Roman" w:cs="Times New Roman"/>
        </w:rPr>
        <w:t xml:space="preserve">Xaxa, V. (2008). </w:t>
      </w:r>
      <w:r>
        <w:rPr>
          <w:rFonts w:ascii="Times New Roman" w:hAnsi="Times New Roman" w:cs="Times New Roman"/>
          <w:i/>
          <w:iCs/>
        </w:rPr>
        <w:t>State, Society, and Tribes: Issues in Post-Colonial India</w:t>
      </w:r>
      <w:r>
        <w:rPr>
          <w:rFonts w:ascii="Times New Roman" w:hAnsi="Times New Roman" w:cs="Times New Roman"/>
        </w:rPr>
        <w:t>. Pearson Longman.</w:t>
      </w:r>
    </w:p>
    <w:p w14:paraId="065BAC59">
      <w:pPr>
        <w:jc w:val="both"/>
        <w:rPr>
          <w:rFonts w:ascii="Times New Roman" w:hAnsi="Times New Roman" w:cs="Times New Roman"/>
        </w:rPr>
      </w:pPr>
      <w:r>
        <w:rPr>
          <w:rFonts w:ascii="Times New Roman" w:hAnsi="Times New Roman" w:cs="Times New Roman"/>
        </w:rPr>
        <w:t>Manikandan, A. D. (2016). Land degradation and tribal livelihoods: A study of Attappady.</w:t>
      </w:r>
    </w:p>
    <w:p w14:paraId="35F71653">
      <w:pPr>
        <w:jc w:val="both"/>
        <w:rPr>
          <w:rFonts w:ascii="Times New Roman" w:hAnsi="Times New Roman" w:cs="Times New Roman"/>
        </w:rPr>
      </w:pPr>
      <w:r>
        <w:rPr>
          <w:rFonts w:ascii="Times New Roman" w:hAnsi="Times New Roman" w:cs="Times New Roman"/>
        </w:rPr>
        <w:t>Singh, K. M., Meena, M. S., Kumar, A., &amp; Singh, R. (2011). Socio-economic determinants of rural poverty: An empirical exploration of Jharkhand state, India. </w:t>
      </w:r>
      <w:r>
        <w:rPr>
          <w:rFonts w:ascii="Times New Roman" w:hAnsi="Times New Roman" w:cs="Times New Roman"/>
          <w:i/>
          <w:iCs/>
        </w:rPr>
        <w:t>India (September 13, 2011)</w:t>
      </w:r>
      <w:r>
        <w:rPr>
          <w:rFonts w:ascii="Times New Roman" w:hAnsi="Times New Roman" w:cs="Times New Roman"/>
        </w:rPr>
        <w:t>.</w:t>
      </w:r>
    </w:p>
    <w:p w14:paraId="7CD1D7A8">
      <w:pPr>
        <w:jc w:val="both"/>
        <w:rPr>
          <w:rFonts w:ascii="Times New Roman" w:hAnsi="Times New Roman" w:cs="Times New Roman"/>
        </w:rPr>
      </w:pPr>
      <w:r>
        <w:rPr>
          <w:rFonts w:ascii="Times New Roman" w:hAnsi="Times New Roman" w:cs="Times New Roman"/>
        </w:rPr>
        <w:t>Ghosh, R., &amp; Bharati, P. (2006). Nutritional status of adults among Munda and Pod populations in a peri urban area of Kolkata City, India. </w:t>
      </w:r>
      <w:r>
        <w:rPr>
          <w:rFonts w:ascii="Times New Roman" w:hAnsi="Times New Roman" w:cs="Times New Roman"/>
          <w:i/>
          <w:iCs/>
        </w:rPr>
        <w:t>Asia Pacific Journal of Public Health</w:t>
      </w:r>
      <w:r>
        <w:rPr>
          <w:rFonts w:ascii="Times New Roman" w:hAnsi="Times New Roman" w:cs="Times New Roman"/>
        </w:rPr>
        <w:t>, </w:t>
      </w:r>
      <w:r>
        <w:rPr>
          <w:rFonts w:ascii="Times New Roman" w:hAnsi="Times New Roman" w:cs="Times New Roman"/>
          <w:i/>
          <w:iCs/>
        </w:rPr>
        <w:t>18</w:t>
      </w:r>
      <w:r>
        <w:rPr>
          <w:rFonts w:ascii="Times New Roman" w:hAnsi="Times New Roman" w:cs="Times New Roman"/>
        </w:rPr>
        <w:t>(2), 12-20.</w:t>
      </w:r>
    </w:p>
    <w:p w14:paraId="471FD36F">
      <w:pPr>
        <w:jc w:val="both"/>
        <w:rPr>
          <w:rFonts w:ascii="Times New Roman" w:hAnsi="Times New Roman" w:cs="Times New Roman"/>
        </w:rPr>
      </w:pPr>
      <w:r>
        <w:rPr>
          <w:rFonts w:ascii="Times New Roman" w:hAnsi="Times New Roman" w:cs="Times New Roman"/>
          <w:lang w:val="de-DE"/>
        </w:rPr>
        <w:t xml:space="preserve">Kahneman, D., Wakker, P. P., &amp; Sarin, R. (1997). </w:t>
      </w:r>
      <w:r>
        <w:rPr>
          <w:rFonts w:ascii="Times New Roman" w:hAnsi="Times New Roman" w:cs="Times New Roman"/>
        </w:rPr>
        <w:t>Back to Bentham? Explorations of experienced utility. </w:t>
      </w:r>
      <w:r>
        <w:rPr>
          <w:rFonts w:ascii="Times New Roman" w:hAnsi="Times New Roman" w:cs="Times New Roman"/>
          <w:i/>
          <w:iCs/>
        </w:rPr>
        <w:t>The quarterly journal of economics</w:t>
      </w:r>
      <w:r>
        <w:rPr>
          <w:rFonts w:ascii="Times New Roman" w:hAnsi="Times New Roman" w:cs="Times New Roman"/>
        </w:rPr>
        <w:t>, </w:t>
      </w:r>
      <w:r>
        <w:rPr>
          <w:rFonts w:ascii="Times New Roman" w:hAnsi="Times New Roman" w:cs="Times New Roman"/>
          <w:i/>
          <w:iCs/>
        </w:rPr>
        <w:t>112</w:t>
      </w:r>
      <w:r>
        <w:rPr>
          <w:rFonts w:ascii="Times New Roman" w:hAnsi="Times New Roman" w:cs="Times New Roman"/>
        </w:rPr>
        <w:t>(2), 375-406.</w:t>
      </w:r>
    </w:p>
    <w:p w14:paraId="0C9D777B">
      <w:pPr>
        <w:jc w:val="both"/>
        <w:rPr>
          <w:rFonts w:ascii="Times New Roman" w:hAnsi="Times New Roman" w:cs="Times New Roman"/>
        </w:rPr>
      </w:pPr>
      <w:r>
        <w:rPr>
          <w:rFonts w:ascii="Times New Roman" w:hAnsi="Times New Roman" w:cs="Times New Roman"/>
        </w:rPr>
        <w:t>Singh, A. K., Mondal, G. C., Singh, T. B., Singh, S., Tewary, B. K., &amp; Sinha, A. (2012). Hydrogeochemical processes and quality assessment of groundwater in Dumka and Jamtara districts, Jharkhand, India. </w:t>
      </w:r>
      <w:r>
        <w:rPr>
          <w:rFonts w:ascii="Times New Roman" w:hAnsi="Times New Roman" w:cs="Times New Roman"/>
          <w:i/>
          <w:iCs/>
        </w:rPr>
        <w:t>Environmental Earth Sciences</w:t>
      </w:r>
      <w:r>
        <w:rPr>
          <w:rFonts w:ascii="Times New Roman" w:hAnsi="Times New Roman" w:cs="Times New Roman"/>
        </w:rPr>
        <w:t>, </w:t>
      </w:r>
      <w:r>
        <w:rPr>
          <w:rFonts w:ascii="Times New Roman" w:hAnsi="Times New Roman" w:cs="Times New Roman"/>
          <w:i/>
          <w:iCs/>
        </w:rPr>
        <w:t>67</w:t>
      </w:r>
      <w:r>
        <w:rPr>
          <w:rFonts w:ascii="Times New Roman" w:hAnsi="Times New Roman" w:cs="Times New Roman"/>
        </w:rPr>
        <w:t>, 2175-2191.</w:t>
      </w:r>
    </w:p>
    <w:p w14:paraId="0892349A">
      <w:pPr>
        <w:jc w:val="both"/>
        <w:rPr>
          <w:rFonts w:ascii="Times New Roman" w:hAnsi="Times New Roman" w:cs="Times New Roman"/>
        </w:rPr>
      </w:pPr>
      <w:r>
        <w:rPr>
          <w:rFonts w:ascii="Times New Roman" w:hAnsi="Times New Roman" w:cs="Times New Roman"/>
        </w:rPr>
        <w:t>Justin, J., &amp; Menon, N. (2022). Indian Intersectional Ecofeminism and Sustainability: A Study on Mayilamma: The Life of a Tribal Eco-Warrior and Jharkhand’s Save the Forest Movement. </w:t>
      </w:r>
      <w:r>
        <w:rPr>
          <w:rFonts w:ascii="Times New Roman" w:hAnsi="Times New Roman" w:cs="Times New Roman"/>
          <w:i/>
          <w:iCs/>
        </w:rPr>
        <w:t>Journal of Ecohumanism</w:t>
      </w:r>
      <w:r>
        <w:rPr>
          <w:rFonts w:ascii="Times New Roman" w:hAnsi="Times New Roman" w:cs="Times New Roman"/>
        </w:rPr>
        <w:t>, </w:t>
      </w:r>
      <w:r>
        <w:rPr>
          <w:rFonts w:ascii="Times New Roman" w:hAnsi="Times New Roman" w:cs="Times New Roman"/>
          <w:i/>
          <w:iCs/>
        </w:rPr>
        <w:t>1</w:t>
      </w:r>
      <w:r>
        <w:rPr>
          <w:rFonts w:ascii="Times New Roman" w:hAnsi="Times New Roman" w:cs="Times New Roman"/>
        </w:rPr>
        <w:t>(2), 123-137.</w:t>
      </w:r>
    </w:p>
    <w:p w14:paraId="23A87F32">
      <w:pPr>
        <w:jc w:val="both"/>
        <w:rPr>
          <w:rFonts w:ascii="Times New Roman" w:hAnsi="Times New Roman" w:cs="Times New Roman"/>
        </w:rPr>
      </w:pPr>
      <w:r>
        <w:rPr>
          <w:rFonts w:ascii="Times New Roman" w:hAnsi="Times New Roman" w:cs="Times New Roman"/>
        </w:rPr>
        <w:t>Challoumis, C. (2024, October). Building a sustainable economy-how ai can optimize resource allocation. In </w:t>
      </w:r>
      <w:r>
        <w:rPr>
          <w:rFonts w:ascii="Times New Roman" w:hAnsi="Times New Roman" w:cs="Times New Roman"/>
          <w:i/>
          <w:iCs/>
        </w:rPr>
        <w:t>XVI International Scientific Conference</w:t>
      </w:r>
      <w:r>
        <w:rPr>
          <w:rFonts w:ascii="Times New Roman" w:hAnsi="Times New Roman" w:cs="Times New Roman"/>
        </w:rPr>
        <w:t> (pp. 190-224).</w:t>
      </w:r>
    </w:p>
    <w:p w14:paraId="3CCB8759">
      <w:pPr>
        <w:jc w:val="both"/>
        <w:rPr>
          <w:rFonts w:ascii="Times New Roman" w:hAnsi="Times New Roman" w:cs="Times New Roman"/>
        </w:rPr>
      </w:pPr>
      <w:r>
        <w:rPr>
          <w:rFonts w:ascii="Times New Roman" w:hAnsi="Times New Roman" w:cs="Times New Roman"/>
        </w:rPr>
        <w:t>Charnes, A., &amp; Cooper, W. W. (1961). Multicopy traffic network models. </w:t>
      </w:r>
      <w:r>
        <w:rPr>
          <w:rFonts w:ascii="Times New Roman" w:hAnsi="Times New Roman" w:cs="Times New Roman"/>
          <w:i/>
          <w:iCs/>
        </w:rPr>
        <w:t>Theory of traffic flow</w:t>
      </w:r>
      <w:r>
        <w:rPr>
          <w:rFonts w:ascii="Times New Roman" w:hAnsi="Times New Roman" w:cs="Times New Roman"/>
        </w:rPr>
        <w:t>, </w:t>
      </w:r>
      <w:r>
        <w:rPr>
          <w:rFonts w:ascii="Times New Roman" w:hAnsi="Times New Roman" w:cs="Times New Roman"/>
          <w:i/>
          <w:iCs/>
        </w:rPr>
        <w:t>85</w:t>
      </w:r>
      <w:r>
        <w:rPr>
          <w:rFonts w:ascii="Times New Roman" w:hAnsi="Times New Roman" w:cs="Times New Roman"/>
        </w:rPr>
        <w:t>, 85-96</w:t>
      </w:r>
    </w:p>
    <w:p w14:paraId="20C477A4">
      <w:pPr>
        <w:jc w:val="both"/>
        <w:rPr>
          <w:rFonts w:ascii="Times New Roman" w:hAnsi="Times New Roman" w:cs="Times New Roman"/>
        </w:rPr>
      </w:pPr>
      <w:r>
        <w:rPr>
          <w:rFonts w:ascii="Times New Roman" w:hAnsi="Times New Roman" w:cs="Times New Roman"/>
        </w:rPr>
        <w:t>Luenberger, David G. </w:t>
      </w:r>
      <w:r>
        <w:rPr>
          <w:rFonts w:ascii="Times New Roman" w:hAnsi="Times New Roman" w:cs="Times New Roman"/>
          <w:i/>
          <w:iCs/>
        </w:rPr>
        <w:t>Optimization by vector space methods</w:t>
      </w:r>
      <w:r>
        <w:rPr>
          <w:rFonts w:ascii="Times New Roman" w:hAnsi="Times New Roman" w:cs="Times New Roman"/>
        </w:rPr>
        <w:t>. John Wiley &amp; Sons, 1997.</w:t>
      </w:r>
    </w:p>
    <w:p w14:paraId="6DC23447">
      <w:pPr>
        <w:jc w:val="both"/>
        <w:rPr>
          <w:rFonts w:ascii="Times New Roman" w:hAnsi="Times New Roman" w:cs="Times New Roman"/>
        </w:rPr>
      </w:pPr>
      <w:r>
        <w:rPr>
          <w:rFonts w:ascii="Times New Roman" w:hAnsi="Times New Roman" w:cs="Times New Roman"/>
        </w:rPr>
        <w:t>Alkire, Sabina, and James Foster. "Counting and multidimensional poverty measurement." </w:t>
      </w:r>
      <w:r>
        <w:rPr>
          <w:rFonts w:ascii="Times New Roman" w:hAnsi="Times New Roman" w:cs="Times New Roman"/>
          <w:i/>
          <w:iCs/>
        </w:rPr>
        <w:t>Journal of public economics</w:t>
      </w:r>
      <w:r>
        <w:rPr>
          <w:rFonts w:ascii="Times New Roman" w:hAnsi="Times New Roman" w:cs="Times New Roman"/>
        </w:rPr>
        <w:t> 95.7-8 (2011): 476-487.</w:t>
      </w:r>
    </w:p>
    <w:p w14:paraId="40C492D7">
      <w:pPr>
        <w:jc w:val="both"/>
        <w:rPr>
          <w:rFonts w:ascii="Times New Roman" w:hAnsi="Times New Roman" w:cs="Times New Roman"/>
        </w:rPr>
      </w:pPr>
      <w:r>
        <w:rPr>
          <w:rFonts w:ascii="Times New Roman" w:hAnsi="Times New Roman" w:cs="Times New Roman"/>
        </w:rPr>
        <w:t>Thorbecke, W. (2008). The effect of exchange rate volatility on fragmentation in East Asia: Evidence from the electronics industry. </w:t>
      </w:r>
      <w:r>
        <w:rPr>
          <w:rFonts w:ascii="Times New Roman" w:hAnsi="Times New Roman" w:cs="Times New Roman"/>
          <w:i/>
          <w:iCs/>
        </w:rPr>
        <w:t>Journal of the Japanese and International Economies</w:t>
      </w:r>
      <w:r>
        <w:rPr>
          <w:rFonts w:ascii="Times New Roman" w:hAnsi="Times New Roman" w:cs="Times New Roman"/>
        </w:rPr>
        <w:t>, </w:t>
      </w:r>
      <w:r>
        <w:rPr>
          <w:rFonts w:ascii="Times New Roman" w:hAnsi="Times New Roman" w:cs="Times New Roman"/>
          <w:i/>
          <w:iCs/>
        </w:rPr>
        <w:t>22</w:t>
      </w:r>
      <w:r>
        <w:rPr>
          <w:rFonts w:ascii="Times New Roman" w:hAnsi="Times New Roman" w:cs="Times New Roman"/>
        </w:rPr>
        <w:t>(4), 535-544.</w:t>
      </w:r>
    </w:p>
    <w:p w14:paraId="15C3E94F">
      <w:pPr>
        <w:jc w:val="both"/>
        <w:rPr>
          <w:rFonts w:ascii="Times New Roman" w:hAnsi="Times New Roman" w:cs="Times New Roman"/>
        </w:rPr>
      </w:pPr>
      <w:r>
        <w:rPr>
          <w:rFonts w:ascii="Times New Roman" w:hAnsi="Times New Roman" w:cs="Times New Roman"/>
        </w:rPr>
        <w:t>Duflo, Esther, and Abhijit Banerjee. </w:t>
      </w:r>
      <w:r>
        <w:rPr>
          <w:rFonts w:ascii="Times New Roman" w:hAnsi="Times New Roman" w:cs="Times New Roman"/>
          <w:i/>
          <w:iCs/>
        </w:rPr>
        <w:t>Poor economics</w:t>
      </w:r>
      <w:r>
        <w:rPr>
          <w:rFonts w:ascii="Times New Roman" w:hAnsi="Times New Roman" w:cs="Times New Roman"/>
        </w:rPr>
        <w:t>. Vol. 619. New York: PublicAffairs, 2011.</w:t>
      </w:r>
    </w:p>
    <w:p w14:paraId="052F8866">
      <w:pPr>
        <w:jc w:val="both"/>
        <w:rPr>
          <w:rFonts w:ascii="Times New Roman" w:hAnsi="Times New Roman" w:cs="Times New Roman"/>
        </w:rPr>
      </w:pPr>
      <w:r>
        <w:rPr>
          <w:rFonts w:ascii="Times New Roman" w:hAnsi="Times New Roman" w:cs="Times New Roman"/>
        </w:rPr>
        <w:t>Barrett, J. R., Belij-Rammerstorfer, S., Dold, C., Ewer, K. J., Folegatti, P. M., Gilbride, C., ... &amp; Pollard, A. J. (2021). Phase 1/2 trial of SARS-CoV-2 vaccine ChAdOx1 nCoV-19 with a booster dose induces multifunctional antibody responses. </w:t>
      </w:r>
      <w:r>
        <w:rPr>
          <w:rFonts w:ascii="Times New Roman" w:hAnsi="Times New Roman" w:cs="Times New Roman"/>
          <w:i/>
          <w:iCs/>
        </w:rPr>
        <w:t>Nature medicine</w:t>
      </w:r>
      <w:r>
        <w:rPr>
          <w:rFonts w:ascii="Times New Roman" w:hAnsi="Times New Roman" w:cs="Times New Roman"/>
        </w:rPr>
        <w:t>, </w:t>
      </w:r>
      <w:r>
        <w:rPr>
          <w:rFonts w:ascii="Times New Roman" w:hAnsi="Times New Roman" w:cs="Times New Roman"/>
          <w:i/>
          <w:iCs/>
        </w:rPr>
        <w:t>27</w:t>
      </w:r>
      <w:r>
        <w:rPr>
          <w:rFonts w:ascii="Times New Roman" w:hAnsi="Times New Roman" w:cs="Times New Roman"/>
        </w:rPr>
        <w:t>(2), 279-288.</w:t>
      </w:r>
    </w:p>
    <w:p w14:paraId="408A79A0">
      <w:pPr>
        <w:jc w:val="both"/>
        <w:rPr>
          <w:rFonts w:ascii="Times New Roman" w:hAnsi="Times New Roman" w:cs="Times New Roman"/>
        </w:rPr>
      </w:pPr>
      <w:r>
        <w:rPr>
          <w:rFonts w:ascii="Times New Roman" w:hAnsi="Times New Roman" w:cs="Times New Roman"/>
        </w:rPr>
        <w:t>Pingali, P. (2015). Agricultural policy and nutrition outcomes–getting beyond the preoccupation with staple grains. </w:t>
      </w:r>
      <w:r>
        <w:rPr>
          <w:rFonts w:ascii="Times New Roman" w:hAnsi="Times New Roman" w:cs="Times New Roman"/>
          <w:i/>
          <w:iCs/>
        </w:rPr>
        <w:t>Food security</w:t>
      </w:r>
      <w:r>
        <w:rPr>
          <w:rFonts w:ascii="Times New Roman" w:hAnsi="Times New Roman" w:cs="Times New Roman"/>
        </w:rPr>
        <w:t>, </w:t>
      </w:r>
      <w:r>
        <w:rPr>
          <w:rFonts w:ascii="Times New Roman" w:hAnsi="Times New Roman" w:cs="Times New Roman"/>
          <w:i/>
          <w:iCs/>
        </w:rPr>
        <w:t>7</w:t>
      </w:r>
      <w:r>
        <w:rPr>
          <w:rFonts w:ascii="Times New Roman" w:hAnsi="Times New Roman" w:cs="Times New Roman"/>
        </w:rPr>
        <w:t>(3), 583-591.</w:t>
      </w:r>
    </w:p>
    <w:p w14:paraId="341A854E">
      <w:pPr>
        <w:jc w:val="both"/>
        <w:rPr>
          <w:rFonts w:ascii="Times New Roman" w:hAnsi="Times New Roman" w:cs="Times New Roman"/>
        </w:rPr>
      </w:pPr>
      <w:r>
        <w:rPr>
          <w:rFonts w:ascii="Times New Roman" w:hAnsi="Times New Roman" w:cs="Times New Roman"/>
        </w:rPr>
        <w:t>Griffiths, K., Diaz, A., Whop, L. J., &amp; Cunningham, J. (2021). The health and wellbeing of indigenous and tribal peoples around the globe: ensuring and promoting best practice in research. </w:t>
      </w:r>
      <w:r>
        <w:rPr>
          <w:rFonts w:ascii="Times New Roman" w:hAnsi="Times New Roman" w:cs="Times New Roman"/>
          <w:i/>
          <w:iCs/>
        </w:rPr>
        <w:t>International Journal of Environmental Research and Public Health</w:t>
      </w:r>
      <w:r>
        <w:rPr>
          <w:rFonts w:ascii="Times New Roman" w:hAnsi="Times New Roman" w:cs="Times New Roman"/>
        </w:rPr>
        <w:t>, </w:t>
      </w:r>
      <w:r>
        <w:rPr>
          <w:rFonts w:ascii="Times New Roman" w:hAnsi="Times New Roman" w:cs="Times New Roman"/>
          <w:i/>
          <w:iCs/>
        </w:rPr>
        <w:t>19</w:t>
      </w:r>
      <w:r>
        <w:rPr>
          <w:rFonts w:ascii="Times New Roman" w:hAnsi="Times New Roman" w:cs="Times New Roman"/>
        </w:rPr>
        <w:t>(1), 261.</w:t>
      </w:r>
    </w:p>
    <w:p w14:paraId="01882050">
      <w:pPr>
        <w:jc w:val="both"/>
        <w:rPr>
          <w:rFonts w:ascii="Times New Roman" w:hAnsi="Times New Roman" w:cs="Times New Roman"/>
        </w:rPr>
      </w:pPr>
      <w:r>
        <w:rPr>
          <w:rFonts w:ascii="Times New Roman" w:hAnsi="Times New Roman" w:cs="Times New Roman"/>
        </w:rPr>
        <w:t>Blue Bird Jernigan, V., Peercy, M., Branam, D., Saunkeah, B., Wharton, D., Winkleby, M., ... &amp; Buchwald, D. (2015). Beyond health equity: Achieving wellness within American Indian and Alaska Native communities. </w:t>
      </w:r>
      <w:r>
        <w:rPr>
          <w:rFonts w:ascii="Times New Roman" w:hAnsi="Times New Roman" w:cs="Times New Roman"/>
          <w:i/>
          <w:iCs/>
        </w:rPr>
        <w:t>American Journal of Public Health</w:t>
      </w:r>
      <w:r>
        <w:rPr>
          <w:rFonts w:ascii="Times New Roman" w:hAnsi="Times New Roman" w:cs="Times New Roman"/>
        </w:rPr>
        <w:t>, </w:t>
      </w:r>
      <w:r>
        <w:rPr>
          <w:rFonts w:ascii="Times New Roman" w:hAnsi="Times New Roman" w:cs="Times New Roman"/>
          <w:i/>
          <w:iCs/>
        </w:rPr>
        <w:t>105</w:t>
      </w:r>
      <w:r>
        <w:rPr>
          <w:rFonts w:ascii="Times New Roman" w:hAnsi="Times New Roman" w:cs="Times New Roman"/>
        </w:rPr>
        <w:t>(S3), S376-S379</w:t>
      </w:r>
    </w:p>
    <w:p w14:paraId="342B5BAE">
      <w:pPr>
        <w:jc w:val="both"/>
        <w:rPr>
          <w:rFonts w:ascii="Times New Roman" w:hAnsi="Times New Roman" w:cs="Times New Roman"/>
        </w:rPr>
      </w:pPr>
      <w:r>
        <w:rPr>
          <w:rFonts w:ascii="Times New Roman" w:hAnsi="Times New Roman" w:cs="Times New Roman"/>
        </w:rPr>
        <w:t>Keyes, C. L. M. (1998). Social well-being. </w:t>
      </w:r>
      <w:r>
        <w:rPr>
          <w:rFonts w:ascii="Times New Roman" w:hAnsi="Times New Roman" w:cs="Times New Roman"/>
          <w:i/>
          <w:iCs/>
        </w:rPr>
        <w:t>Social psychology quarterly</w:t>
      </w:r>
      <w:r>
        <w:rPr>
          <w:rFonts w:ascii="Times New Roman" w:hAnsi="Times New Roman" w:cs="Times New Roman"/>
        </w:rPr>
        <w:t>, 121-140.</w:t>
      </w:r>
    </w:p>
    <w:p w14:paraId="63BA9F64">
      <w:pPr>
        <w:jc w:val="both"/>
        <w:rPr>
          <w:rFonts w:ascii="Times New Roman" w:hAnsi="Times New Roman" w:cs="Times New Roman"/>
        </w:rPr>
      </w:pPr>
      <w:r>
        <w:rPr>
          <w:rFonts w:ascii="Times New Roman" w:hAnsi="Times New Roman" w:cs="Times New Roman"/>
        </w:rPr>
        <w:t>John-Henderson, N. A., White, E. J., &amp; Crowder, T. L. (2023). Resilience and health in American Indians and Alaska Natives: A scoping review of the literature. </w:t>
      </w:r>
      <w:r>
        <w:rPr>
          <w:rFonts w:ascii="Times New Roman" w:hAnsi="Times New Roman" w:cs="Times New Roman"/>
          <w:i/>
          <w:iCs/>
        </w:rPr>
        <w:t>Development and psychopathology</w:t>
      </w:r>
      <w:r>
        <w:rPr>
          <w:rFonts w:ascii="Times New Roman" w:hAnsi="Times New Roman" w:cs="Times New Roman"/>
        </w:rPr>
        <w:t>, </w:t>
      </w:r>
      <w:r>
        <w:rPr>
          <w:rFonts w:ascii="Times New Roman" w:hAnsi="Times New Roman" w:cs="Times New Roman"/>
          <w:i/>
          <w:iCs/>
        </w:rPr>
        <w:t>35</w:t>
      </w:r>
      <w:r>
        <w:rPr>
          <w:rFonts w:ascii="Times New Roman" w:hAnsi="Times New Roman" w:cs="Times New Roman"/>
        </w:rPr>
        <w:t>(5), 2241-2252.</w:t>
      </w:r>
    </w:p>
    <w:p w14:paraId="52E9B331">
      <w:pPr>
        <w:jc w:val="both"/>
        <w:rPr>
          <w:rFonts w:ascii="Times New Roman" w:hAnsi="Times New Roman" w:cs="Times New Roman"/>
        </w:rPr>
      </w:pPr>
      <w:r>
        <w:rPr>
          <w:rFonts w:ascii="Times New Roman" w:hAnsi="Times New Roman" w:cs="Times New Roman"/>
          <w:lang w:val="de-DE"/>
        </w:rPr>
        <w:t xml:space="preserve">Diener, E., &amp; Seligman, M. E. (2004). </w:t>
      </w:r>
      <w:r>
        <w:rPr>
          <w:rFonts w:ascii="Times New Roman" w:hAnsi="Times New Roman" w:cs="Times New Roman"/>
        </w:rPr>
        <w:t>Beyond money: Toward an economy of well-being. </w:t>
      </w:r>
      <w:r>
        <w:rPr>
          <w:rFonts w:ascii="Times New Roman" w:hAnsi="Times New Roman" w:cs="Times New Roman"/>
          <w:i/>
          <w:iCs/>
        </w:rPr>
        <w:t>Psychological science in the public interest</w:t>
      </w:r>
      <w:r>
        <w:rPr>
          <w:rFonts w:ascii="Times New Roman" w:hAnsi="Times New Roman" w:cs="Times New Roman"/>
        </w:rPr>
        <w:t>, </w:t>
      </w:r>
      <w:r>
        <w:rPr>
          <w:rFonts w:ascii="Times New Roman" w:hAnsi="Times New Roman" w:cs="Times New Roman"/>
          <w:i/>
          <w:iCs/>
        </w:rPr>
        <w:t>5</w:t>
      </w:r>
      <w:r>
        <w:rPr>
          <w:rFonts w:ascii="Times New Roman" w:hAnsi="Times New Roman" w:cs="Times New Roman"/>
        </w:rPr>
        <w:t>(1), 1-31.</w:t>
      </w:r>
    </w:p>
    <w:p w14:paraId="44AB987E">
      <w:pPr>
        <w:jc w:val="both"/>
        <w:rPr>
          <w:rFonts w:ascii="Times New Roman" w:hAnsi="Times New Roman" w:cs="Times New Roman"/>
        </w:rPr>
      </w:pPr>
      <w:r>
        <w:rPr>
          <w:rFonts w:ascii="Times New Roman" w:hAnsi="Times New Roman" w:cs="Times New Roman"/>
        </w:rPr>
        <w:t>Stiglitz, J. E., Sen, A., &amp; Fitoussi, J. P. (2009). Commission sur la mesure des performances économiques et du progrès social. </w:t>
      </w:r>
      <w:r>
        <w:rPr>
          <w:rFonts w:ascii="Times New Roman" w:hAnsi="Times New Roman" w:cs="Times New Roman"/>
          <w:i/>
          <w:iCs/>
        </w:rPr>
        <w:t>Rapport au président de la République. France. http://www. stiglitz-sen-fitoussi. fr/fr</w:t>
      </w:r>
      <w:r>
        <w:rPr>
          <w:rFonts w:ascii="Times New Roman" w:hAnsi="Times New Roman" w:cs="Times New Roman"/>
        </w:rPr>
        <w:t>.</w:t>
      </w:r>
    </w:p>
    <w:p w14:paraId="4AAA7FCE">
      <w:pPr>
        <w:jc w:val="both"/>
        <w:rPr>
          <w:rFonts w:ascii="Times New Roman" w:hAnsi="Times New Roman" w:cs="Times New Roman"/>
        </w:rPr>
      </w:pPr>
      <w:r>
        <w:rPr>
          <w:rFonts w:ascii="Times New Roman" w:hAnsi="Times New Roman" w:cs="Times New Roman"/>
        </w:rPr>
        <w:t>Ryff, C. D. (1989). Happiness is everything, or is it? Explorations on the meaning of psychological well-being. </w:t>
      </w:r>
      <w:r>
        <w:rPr>
          <w:rFonts w:ascii="Times New Roman" w:hAnsi="Times New Roman" w:cs="Times New Roman"/>
          <w:i/>
          <w:iCs/>
        </w:rPr>
        <w:t>Journal of personality and social psychology</w:t>
      </w:r>
      <w:r>
        <w:rPr>
          <w:rFonts w:ascii="Times New Roman" w:hAnsi="Times New Roman" w:cs="Times New Roman"/>
        </w:rPr>
        <w:t>, </w:t>
      </w:r>
      <w:r>
        <w:rPr>
          <w:rFonts w:ascii="Times New Roman" w:hAnsi="Times New Roman" w:cs="Times New Roman"/>
          <w:i/>
          <w:iCs/>
        </w:rPr>
        <w:t>57</w:t>
      </w:r>
      <w:r>
        <w:rPr>
          <w:rFonts w:ascii="Times New Roman" w:hAnsi="Times New Roman" w:cs="Times New Roman"/>
        </w:rPr>
        <w:t>(6), 1069.</w:t>
      </w:r>
    </w:p>
    <w:p w14:paraId="2B89F8A9">
      <w:pPr>
        <w:jc w:val="both"/>
        <w:rPr>
          <w:rFonts w:ascii="Times New Roman" w:hAnsi="Times New Roman" w:cs="Times New Roman"/>
        </w:rPr>
      </w:pPr>
      <w:r>
        <w:rPr>
          <w:rFonts w:ascii="Times New Roman" w:hAnsi="Times New Roman" w:cs="Times New Roman"/>
        </w:rPr>
        <w:t>Diener, E., Suh, E. M., Lucas, R. E., &amp; Smith, H. L. (1999). Subjective well-being: three decades of progress. </w:t>
      </w:r>
      <w:r>
        <w:rPr>
          <w:rFonts w:ascii="Times New Roman" w:hAnsi="Times New Roman" w:cs="Times New Roman"/>
          <w:i/>
          <w:iCs/>
        </w:rPr>
        <w:t>Psychological bulletin</w:t>
      </w:r>
      <w:r>
        <w:rPr>
          <w:rFonts w:ascii="Times New Roman" w:hAnsi="Times New Roman" w:cs="Times New Roman"/>
        </w:rPr>
        <w:t>, </w:t>
      </w:r>
      <w:r>
        <w:rPr>
          <w:rFonts w:ascii="Times New Roman" w:hAnsi="Times New Roman" w:cs="Times New Roman"/>
          <w:i/>
          <w:iCs/>
        </w:rPr>
        <w:t>125</w:t>
      </w:r>
      <w:r>
        <w:rPr>
          <w:rFonts w:ascii="Times New Roman" w:hAnsi="Times New Roman" w:cs="Times New Roman"/>
        </w:rPr>
        <w:t>(2), 276.</w:t>
      </w:r>
    </w:p>
    <w:p w14:paraId="63D3002F">
      <w:pPr>
        <w:jc w:val="both"/>
        <w:rPr>
          <w:rFonts w:ascii="Times New Roman" w:hAnsi="Times New Roman" w:cs="Times New Roman"/>
        </w:rPr>
      </w:pPr>
      <w:r>
        <w:rPr>
          <w:rFonts w:ascii="Arial" w:hAnsi="Arial" w:cs="Arial"/>
          <w:color w:val="222222"/>
          <w:sz w:val="14"/>
          <w:szCs w:val="14"/>
          <w:shd w:val="clear" w:color="auto" w:fill="FFFFFF"/>
        </w:rPr>
        <w:t>Hossain, K. N., Hossain, M. A., Paul, L., &amp; Siddique, R. F. (2016). Subjective well-being of tribal and non-tribal people in relation to psychological needs. </w:t>
      </w:r>
      <w:r>
        <w:rPr>
          <w:rFonts w:ascii="Arial" w:hAnsi="Arial" w:cs="Arial"/>
          <w:i/>
          <w:iCs/>
          <w:color w:val="222222"/>
          <w:sz w:val="14"/>
          <w:szCs w:val="14"/>
          <w:shd w:val="clear" w:color="auto" w:fill="FFFFFF"/>
        </w:rPr>
        <w:t>Indian Journal of Positive Psychology</w:t>
      </w:r>
      <w:r>
        <w:rPr>
          <w:rFonts w:ascii="Arial" w:hAnsi="Arial" w:cs="Arial"/>
          <w:color w:val="222222"/>
          <w:sz w:val="14"/>
          <w:szCs w:val="14"/>
          <w:shd w:val="clear" w:color="auto" w:fill="FFFFFF"/>
        </w:rPr>
        <w:t>, </w:t>
      </w:r>
      <w:r>
        <w:rPr>
          <w:rFonts w:ascii="Arial" w:hAnsi="Arial" w:cs="Arial"/>
          <w:i/>
          <w:iCs/>
          <w:color w:val="222222"/>
          <w:sz w:val="14"/>
          <w:szCs w:val="14"/>
          <w:shd w:val="clear" w:color="auto" w:fill="FFFFFF"/>
        </w:rPr>
        <w:t>7</w:t>
      </w:r>
      <w:r>
        <w:rPr>
          <w:rFonts w:ascii="Arial" w:hAnsi="Arial" w:cs="Arial"/>
          <w:color w:val="222222"/>
          <w:sz w:val="14"/>
          <w:szCs w:val="14"/>
          <w:shd w:val="clear" w:color="auto" w:fill="FFFFFF"/>
        </w:rPr>
        <w:t>(1).</w:t>
      </w:r>
    </w:p>
    <w:p w14:paraId="0123C413">
      <w:pPr>
        <w:jc w:val="both"/>
        <w:rPr>
          <w:rFonts w:ascii="Times New Roman" w:hAnsi="Times New Roman" w:cs="Times New Roman"/>
        </w:rPr>
      </w:pPr>
      <w:r>
        <w:rPr>
          <w:rFonts w:ascii="Arial" w:hAnsi="Arial" w:cs="Arial"/>
          <w:color w:val="222222"/>
          <w:sz w:val="14"/>
          <w:szCs w:val="14"/>
          <w:shd w:val="clear" w:color="auto" w:fill="FFFFFF"/>
        </w:rPr>
        <w:t>Maddux, J. E. (2017). Subjective well-being and life satisfaction: An introduction to conceptions, theories, and measures. In </w:t>
      </w:r>
      <w:r>
        <w:rPr>
          <w:rFonts w:ascii="Arial" w:hAnsi="Arial" w:cs="Arial"/>
          <w:i/>
          <w:iCs/>
          <w:color w:val="222222"/>
          <w:sz w:val="14"/>
          <w:szCs w:val="14"/>
          <w:shd w:val="clear" w:color="auto" w:fill="FFFFFF"/>
        </w:rPr>
        <w:t>Subjective well-being and life satisfaction</w:t>
      </w:r>
      <w:r>
        <w:rPr>
          <w:rFonts w:ascii="Arial" w:hAnsi="Arial" w:cs="Arial"/>
          <w:color w:val="222222"/>
          <w:sz w:val="14"/>
          <w:szCs w:val="14"/>
          <w:shd w:val="clear" w:color="auto" w:fill="FFFFFF"/>
        </w:rPr>
        <w:t> (pp. 3-31). Routledge.</w:t>
      </w:r>
    </w:p>
    <w:p w14:paraId="46A62A54">
      <w:pPr>
        <w:jc w:val="both"/>
        <w:rPr>
          <w:rFonts w:ascii="Times New Roman" w:hAnsi="Times New Roman" w:cs="Times New Roman"/>
        </w:rPr>
      </w:pPr>
    </w:p>
    <w:p w14:paraId="02C37A50">
      <w:pPr>
        <w:jc w:val="both"/>
        <w:rPr>
          <w:rFonts w:ascii="Times New Roman" w:hAnsi="Times New Roman" w:cs="Times New Roman"/>
          <w:lang w:val="en-US"/>
        </w:rPr>
      </w:pPr>
    </w:p>
    <w:p w14:paraId="6CA63C79">
      <w:pPr>
        <w:jc w:val="both"/>
        <w:rPr>
          <w:lang w:val="en-US"/>
        </w:rPr>
      </w:pPr>
    </w:p>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Vrinda">
    <w:panose1 w:val="020B0502040204020203"/>
    <w:charset w:val="00"/>
    <w:family w:val="swiss"/>
    <w:pitch w:val="default"/>
    <w:sig w:usb0="00010003" w:usb1="00000000" w:usb2="00000000" w:usb3="00000000" w:csb0="00000001"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等线">
    <w:altName w:val="Arial Unicode MS"/>
    <w:panose1 w:val="00000000000000000000"/>
    <w:charset w:val="00"/>
    <w:family w:val="auto"/>
    <w:pitch w:val="default"/>
    <w:sig w:usb0="00000000" w:usb1="00000000" w:usb2="00000000" w:usb3="00000000" w:csb0="00000000" w:csb1="00000000"/>
  </w:font>
  <w:font w:name="Cambria Math">
    <w:panose1 w:val="02040503050406030204"/>
    <w:charset w:val="00"/>
    <w:family w:val="roman"/>
    <w:pitch w:val="default"/>
    <w:sig w:usb0="E00006FF" w:usb1="420024FF" w:usb2="02000000" w:usb3="00000000" w:csb0="2000019F" w:csb1="00000000"/>
  </w:font>
  <w:font w:name="Arial Unicode MS">
    <w:panose1 w:val="020B0604020202020204"/>
    <w:charset w:val="86"/>
    <w:family w:val="auto"/>
    <w:pitch w:val="default"/>
    <w:sig w:usb0="FFFFFFFF" w:usb1="E9FFFFFF" w:usb2="0000003F" w:usb3="00000000" w:csb0="603F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77206C"/>
    <w:multiLevelType w:val="multilevel"/>
    <w:tmpl w:val="1577206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
    <w:nsid w:val="270056FA"/>
    <w:multiLevelType w:val="multilevel"/>
    <w:tmpl w:val="270056FA"/>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7A6849B7"/>
    <w:multiLevelType w:val="multilevel"/>
    <w:tmpl w:val="7A6849B7"/>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2"/>
  </w:compat>
  <w:rsids>
    <w:rsidRoot w:val="00E92E48"/>
    <w:rsid w:val="00004DE4"/>
    <w:rsid w:val="00007EC4"/>
    <w:rsid w:val="00012846"/>
    <w:rsid w:val="0001492F"/>
    <w:rsid w:val="000155BA"/>
    <w:rsid w:val="000178FB"/>
    <w:rsid w:val="00025889"/>
    <w:rsid w:val="00034428"/>
    <w:rsid w:val="000431EB"/>
    <w:rsid w:val="00055CCE"/>
    <w:rsid w:val="00080B7D"/>
    <w:rsid w:val="0008342F"/>
    <w:rsid w:val="00085F96"/>
    <w:rsid w:val="00087EC1"/>
    <w:rsid w:val="000904C8"/>
    <w:rsid w:val="000A14C9"/>
    <w:rsid w:val="000B39BD"/>
    <w:rsid w:val="000B556C"/>
    <w:rsid w:val="000C0FB5"/>
    <w:rsid w:val="000C1D31"/>
    <w:rsid w:val="000C6257"/>
    <w:rsid w:val="000E0D1D"/>
    <w:rsid w:val="000F13F5"/>
    <w:rsid w:val="00106342"/>
    <w:rsid w:val="00111EED"/>
    <w:rsid w:val="00121D84"/>
    <w:rsid w:val="00124D49"/>
    <w:rsid w:val="0013014D"/>
    <w:rsid w:val="00144C7B"/>
    <w:rsid w:val="001622EB"/>
    <w:rsid w:val="00184E70"/>
    <w:rsid w:val="001A020D"/>
    <w:rsid w:val="001C4B82"/>
    <w:rsid w:val="001E1943"/>
    <w:rsid w:val="001E7F54"/>
    <w:rsid w:val="0021641F"/>
    <w:rsid w:val="002261CE"/>
    <w:rsid w:val="002432EE"/>
    <w:rsid w:val="00250C6E"/>
    <w:rsid w:val="00254D71"/>
    <w:rsid w:val="00266481"/>
    <w:rsid w:val="00290BFC"/>
    <w:rsid w:val="0029260D"/>
    <w:rsid w:val="0029498F"/>
    <w:rsid w:val="002A172F"/>
    <w:rsid w:val="002D484A"/>
    <w:rsid w:val="002E1AF7"/>
    <w:rsid w:val="002E2575"/>
    <w:rsid w:val="002F4C51"/>
    <w:rsid w:val="0030030F"/>
    <w:rsid w:val="003004CC"/>
    <w:rsid w:val="00305765"/>
    <w:rsid w:val="00305AF1"/>
    <w:rsid w:val="0032273F"/>
    <w:rsid w:val="00322B5B"/>
    <w:rsid w:val="00327B35"/>
    <w:rsid w:val="003329C9"/>
    <w:rsid w:val="00346AD4"/>
    <w:rsid w:val="0035743C"/>
    <w:rsid w:val="00365FC7"/>
    <w:rsid w:val="00376577"/>
    <w:rsid w:val="00376F08"/>
    <w:rsid w:val="00383B7E"/>
    <w:rsid w:val="00384EF6"/>
    <w:rsid w:val="00386E02"/>
    <w:rsid w:val="00395F0B"/>
    <w:rsid w:val="003B611F"/>
    <w:rsid w:val="003C01CC"/>
    <w:rsid w:val="003C1C53"/>
    <w:rsid w:val="003D05E8"/>
    <w:rsid w:val="003E1E00"/>
    <w:rsid w:val="003E6684"/>
    <w:rsid w:val="003E706A"/>
    <w:rsid w:val="00405F65"/>
    <w:rsid w:val="0041221C"/>
    <w:rsid w:val="00414967"/>
    <w:rsid w:val="00433D5A"/>
    <w:rsid w:val="004370AA"/>
    <w:rsid w:val="00440909"/>
    <w:rsid w:val="004462DD"/>
    <w:rsid w:val="004621A2"/>
    <w:rsid w:val="004776AC"/>
    <w:rsid w:val="0048508B"/>
    <w:rsid w:val="00491D4C"/>
    <w:rsid w:val="004972BE"/>
    <w:rsid w:val="004C44F7"/>
    <w:rsid w:val="004D0033"/>
    <w:rsid w:val="004D63E4"/>
    <w:rsid w:val="004F33A2"/>
    <w:rsid w:val="0050098E"/>
    <w:rsid w:val="0051335B"/>
    <w:rsid w:val="00551004"/>
    <w:rsid w:val="00555C47"/>
    <w:rsid w:val="00556146"/>
    <w:rsid w:val="005751C0"/>
    <w:rsid w:val="005812A9"/>
    <w:rsid w:val="00586DC8"/>
    <w:rsid w:val="005A5F14"/>
    <w:rsid w:val="005B462D"/>
    <w:rsid w:val="005B4A64"/>
    <w:rsid w:val="005C42F0"/>
    <w:rsid w:val="005E6169"/>
    <w:rsid w:val="005E7DDB"/>
    <w:rsid w:val="005F0BA8"/>
    <w:rsid w:val="005F462D"/>
    <w:rsid w:val="005F46F1"/>
    <w:rsid w:val="005F57E7"/>
    <w:rsid w:val="00606429"/>
    <w:rsid w:val="006164BE"/>
    <w:rsid w:val="0061665D"/>
    <w:rsid w:val="00622498"/>
    <w:rsid w:val="006237E6"/>
    <w:rsid w:val="00633404"/>
    <w:rsid w:val="00634508"/>
    <w:rsid w:val="00651FA4"/>
    <w:rsid w:val="006524C3"/>
    <w:rsid w:val="00652D89"/>
    <w:rsid w:val="00656184"/>
    <w:rsid w:val="0066281E"/>
    <w:rsid w:val="006660E9"/>
    <w:rsid w:val="006737B0"/>
    <w:rsid w:val="00683E9C"/>
    <w:rsid w:val="00685860"/>
    <w:rsid w:val="00690978"/>
    <w:rsid w:val="00690E4E"/>
    <w:rsid w:val="006A2F5F"/>
    <w:rsid w:val="006E08C5"/>
    <w:rsid w:val="006F481A"/>
    <w:rsid w:val="007031DD"/>
    <w:rsid w:val="00703C4E"/>
    <w:rsid w:val="00711D22"/>
    <w:rsid w:val="00712DE9"/>
    <w:rsid w:val="0072369F"/>
    <w:rsid w:val="00730819"/>
    <w:rsid w:val="00745F3B"/>
    <w:rsid w:val="00767391"/>
    <w:rsid w:val="00773416"/>
    <w:rsid w:val="00777171"/>
    <w:rsid w:val="007819C7"/>
    <w:rsid w:val="00785C55"/>
    <w:rsid w:val="00785E37"/>
    <w:rsid w:val="007A0C8D"/>
    <w:rsid w:val="007A2389"/>
    <w:rsid w:val="007B280C"/>
    <w:rsid w:val="007B4E6E"/>
    <w:rsid w:val="007D623C"/>
    <w:rsid w:val="007E23F2"/>
    <w:rsid w:val="007F0630"/>
    <w:rsid w:val="007F5C06"/>
    <w:rsid w:val="007F6E7D"/>
    <w:rsid w:val="00815DBD"/>
    <w:rsid w:val="00820F0A"/>
    <w:rsid w:val="00832937"/>
    <w:rsid w:val="00840445"/>
    <w:rsid w:val="00843104"/>
    <w:rsid w:val="00847D82"/>
    <w:rsid w:val="008506E8"/>
    <w:rsid w:val="00852560"/>
    <w:rsid w:val="00864EA1"/>
    <w:rsid w:val="00871A49"/>
    <w:rsid w:val="00874A1E"/>
    <w:rsid w:val="00884348"/>
    <w:rsid w:val="008A1DAE"/>
    <w:rsid w:val="008A59FA"/>
    <w:rsid w:val="008A6915"/>
    <w:rsid w:val="008A6CF2"/>
    <w:rsid w:val="008E00B9"/>
    <w:rsid w:val="008E22C6"/>
    <w:rsid w:val="008E47AB"/>
    <w:rsid w:val="008E597B"/>
    <w:rsid w:val="008E692B"/>
    <w:rsid w:val="008E7DBF"/>
    <w:rsid w:val="008F1A6D"/>
    <w:rsid w:val="008F2FD7"/>
    <w:rsid w:val="008F62D3"/>
    <w:rsid w:val="009014D1"/>
    <w:rsid w:val="00901B12"/>
    <w:rsid w:val="00905077"/>
    <w:rsid w:val="00906DDD"/>
    <w:rsid w:val="0091338D"/>
    <w:rsid w:val="00913842"/>
    <w:rsid w:val="00931CA3"/>
    <w:rsid w:val="00936C12"/>
    <w:rsid w:val="00945CA2"/>
    <w:rsid w:val="0095071C"/>
    <w:rsid w:val="00961287"/>
    <w:rsid w:val="0096237F"/>
    <w:rsid w:val="00970DBB"/>
    <w:rsid w:val="00991CFD"/>
    <w:rsid w:val="009B2EF7"/>
    <w:rsid w:val="009B6B08"/>
    <w:rsid w:val="009B6FAC"/>
    <w:rsid w:val="009D3A50"/>
    <w:rsid w:val="009E2F61"/>
    <w:rsid w:val="009E3A34"/>
    <w:rsid w:val="009F023D"/>
    <w:rsid w:val="009F493F"/>
    <w:rsid w:val="009F63BB"/>
    <w:rsid w:val="00A02327"/>
    <w:rsid w:val="00A06384"/>
    <w:rsid w:val="00A12AA3"/>
    <w:rsid w:val="00A16CAD"/>
    <w:rsid w:val="00A24EB3"/>
    <w:rsid w:val="00A259DD"/>
    <w:rsid w:val="00A30D7B"/>
    <w:rsid w:val="00A515B4"/>
    <w:rsid w:val="00A546EA"/>
    <w:rsid w:val="00A73570"/>
    <w:rsid w:val="00A77316"/>
    <w:rsid w:val="00A8146D"/>
    <w:rsid w:val="00A8295E"/>
    <w:rsid w:val="00A852AA"/>
    <w:rsid w:val="00A97A2F"/>
    <w:rsid w:val="00AA58DC"/>
    <w:rsid w:val="00AB2A63"/>
    <w:rsid w:val="00AB4A8E"/>
    <w:rsid w:val="00AB5B07"/>
    <w:rsid w:val="00AC28EB"/>
    <w:rsid w:val="00AD7BBC"/>
    <w:rsid w:val="00AE14C0"/>
    <w:rsid w:val="00AE2CA6"/>
    <w:rsid w:val="00AF547F"/>
    <w:rsid w:val="00AF5BD4"/>
    <w:rsid w:val="00AF665C"/>
    <w:rsid w:val="00B00788"/>
    <w:rsid w:val="00B071B2"/>
    <w:rsid w:val="00B1298D"/>
    <w:rsid w:val="00B20B74"/>
    <w:rsid w:val="00B3149B"/>
    <w:rsid w:val="00B32E35"/>
    <w:rsid w:val="00B374C3"/>
    <w:rsid w:val="00B4797E"/>
    <w:rsid w:val="00B47A6D"/>
    <w:rsid w:val="00B503A6"/>
    <w:rsid w:val="00B53359"/>
    <w:rsid w:val="00B619E9"/>
    <w:rsid w:val="00B631FE"/>
    <w:rsid w:val="00B70E51"/>
    <w:rsid w:val="00B7207F"/>
    <w:rsid w:val="00B72245"/>
    <w:rsid w:val="00B75BE2"/>
    <w:rsid w:val="00B84F87"/>
    <w:rsid w:val="00B87A3F"/>
    <w:rsid w:val="00BA30EF"/>
    <w:rsid w:val="00BA5289"/>
    <w:rsid w:val="00BD5A80"/>
    <w:rsid w:val="00BE5E9C"/>
    <w:rsid w:val="00BE6132"/>
    <w:rsid w:val="00BE64B1"/>
    <w:rsid w:val="00BF2C36"/>
    <w:rsid w:val="00C009E0"/>
    <w:rsid w:val="00C22EFE"/>
    <w:rsid w:val="00C425D8"/>
    <w:rsid w:val="00C434D9"/>
    <w:rsid w:val="00C61876"/>
    <w:rsid w:val="00C90880"/>
    <w:rsid w:val="00C94E9E"/>
    <w:rsid w:val="00CC22AF"/>
    <w:rsid w:val="00CC5073"/>
    <w:rsid w:val="00CC6878"/>
    <w:rsid w:val="00CD05FF"/>
    <w:rsid w:val="00CD2564"/>
    <w:rsid w:val="00CD324F"/>
    <w:rsid w:val="00CD3254"/>
    <w:rsid w:val="00CD384B"/>
    <w:rsid w:val="00CD6B62"/>
    <w:rsid w:val="00CE2603"/>
    <w:rsid w:val="00CE6F22"/>
    <w:rsid w:val="00CE7CB0"/>
    <w:rsid w:val="00CF3D1D"/>
    <w:rsid w:val="00CF5985"/>
    <w:rsid w:val="00D00B18"/>
    <w:rsid w:val="00D035E1"/>
    <w:rsid w:val="00D22EBF"/>
    <w:rsid w:val="00D2566A"/>
    <w:rsid w:val="00D275E1"/>
    <w:rsid w:val="00D3163E"/>
    <w:rsid w:val="00D344CA"/>
    <w:rsid w:val="00D47281"/>
    <w:rsid w:val="00D506F9"/>
    <w:rsid w:val="00D523DC"/>
    <w:rsid w:val="00D55CCC"/>
    <w:rsid w:val="00D57B32"/>
    <w:rsid w:val="00D61518"/>
    <w:rsid w:val="00D66063"/>
    <w:rsid w:val="00D91BE1"/>
    <w:rsid w:val="00D9377B"/>
    <w:rsid w:val="00DB1E31"/>
    <w:rsid w:val="00DB63DC"/>
    <w:rsid w:val="00DD07C6"/>
    <w:rsid w:val="00DE30E1"/>
    <w:rsid w:val="00DE49A7"/>
    <w:rsid w:val="00DF4F60"/>
    <w:rsid w:val="00E055B7"/>
    <w:rsid w:val="00E07AD4"/>
    <w:rsid w:val="00E25139"/>
    <w:rsid w:val="00E43454"/>
    <w:rsid w:val="00E52820"/>
    <w:rsid w:val="00E6404A"/>
    <w:rsid w:val="00E678ED"/>
    <w:rsid w:val="00E73740"/>
    <w:rsid w:val="00E814B2"/>
    <w:rsid w:val="00E84375"/>
    <w:rsid w:val="00E92E48"/>
    <w:rsid w:val="00EA4728"/>
    <w:rsid w:val="00EA5754"/>
    <w:rsid w:val="00EC4714"/>
    <w:rsid w:val="00EC5F0A"/>
    <w:rsid w:val="00ED1E23"/>
    <w:rsid w:val="00EE00B9"/>
    <w:rsid w:val="00EE34FD"/>
    <w:rsid w:val="00EF7BD7"/>
    <w:rsid w:val="00F14582"/>
    <w:rsid w:val="00F22C81"/>
    <w:rsid w:val="00F306AD"/>
    <w:rsid w:val="00F33884"/>
    <w:rsid w:val="00F35254"/>
    <w:rsid w:val="00F402BB"/>
    <w:rsid w:val="00F47DBE"/>
    <w:rsid w:val="00F5066E"/>
    <w:rsid w:val="00F56F34"/>
    <w:rsid w:val="00F902D5"/>
    <w:rsid w:val="00F910B9"/>
    <w:rsid w:val="00FA3552"/>
    <w:rsid w:val="00FA628F"/>
    <w:rsid w:val="00FA63B6"/>
    <w:rsid w:val="00FB467F"/>
    <w:rsid w:val="00FB4DC5"/>
    <w:rsid w:val="00FB544B"/>
    <w:rsid w:val="00FB6F05"/>
    <w:rsid w:val="00FC5D82"/>
    <w:rsid w:val="00FC7734"/>
    <w:rsid w:val="00FE1645"/>
    <w:rsid w:val="00FE4909"/>
    <w:rsid w:val="00FE51B0"/>
    <w:rsid w:val="00FF6FF1"/>
    <w:rsid w:val="789D78D3"/>
  </w:rsids>
  <m:mathPr>
    <m:mathFont m:val="Cambria Math"/>
    <m:brkBin m:val="before"/>
    <m:brkBinSub m:val="--"/>
    <m:smallFrac m:val="1"/>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Theme="minorHAnsi" w:hAnsiTheme="minorHAnsi" w:eastAsiaTheme="minorHAnsi" w:cstheme="minorBidi"/>
      <w:kern w:val="2"/>
      <w:sz w:val="24"/>
      <w:szCs w:val="24"/>
      <w:lang w:val="en-IN" w:eastAsia="en-US" w:bidi="ar-SA"/>
    </w:rPr>
  </w:style>
  <w:style w:type="paragraph" w:styleId="2">
    <w:name w:val="heading 1"/>
    <w:basedOn w:val="1"/>
    <w:next w:val="1"/>
    <w:link w:val="22"/>
    <w:qFormat/>
    <w:uiPriority w:val="9"/>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3">
    <w:name w:val="heading 2"/>
    <w:basedOn w:val="1"/>
    <w:next w:val="1"/>
    <w:link w:val="23"/>
    <w:semiHidden/>
    <w:unhideWhenUsed/>
    <w:qFormat/>
    <w:uiPriority w:val="9"/>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4">
    <w:name w:val="heading 3"/>
    <w:basedOn w:val="1"/>
    <w:next w:val="1"/>
    <w:link w:val="24"/>
    <w:semiHidden/>
    <w:unhideWhenUsed/>
    <w:qFormat/>
    <w:uiPriority w:val="9"/>
    <w:pPr>
      <w:keepNext/>
      <w:keepLines/>
      <w:spacing w:before="160" w:after="80"/>
      <w:outlineLvl w:val="2"/>
    </w:pPr>
    <w:rPr>
      <w:rFonts w:eastAsiaTheme="majorEastAsia" w:cstheme="majorBidi"/>
      <w:color w:val="2F5496" w:themeColor="accent1" w:themeShade="BF"/>
      <w:sz w:val="28"/>
      <w:szCs w:val="28"/>
    </w:rPr>
  </w:style>
  <w:style w:type="paragraph" w:styleId="5">
    <w:name w:val="heading 4"/>
    <w:basedOn w:val="1"/>
    <w:next w:val="1"/>
    <w:link w:val="25"/>
    <w:semiHidden/>
    <w:unhideWhenUsed/>
    <w:qFormat/>
    <w:uiPriority w:val="9"/>
    <w:pPr>
      <w:keepNext/>
      <w:keepLines/>
      <w:spacing w:before="80" w:after="40"/>
      <w:outlineLvl w:val="3"/>
    </w:pPr>
    <w:rPr>
      <w:rFonts w:eastAsiaTheme="majorEastAsia" w:cstheme="majorBidi"/>
      <w:i/>
      <w:iCs/>
      <w:color w:val="2F5496" w:themeColor="accent1" w:themeShade="BF"/>
    </w:rPr>
  </w:style>
  <w:style w:type="paragraph" w:styleId="6">
    <w:name w:val="heading 5"/>
    <w:basedOn w:val="1"/>
    <w:next w:val="1"/>
    <w:link w:val="26"/>
    <w:semiHidden/>
    <w:unhideWhenUsed/>
    <w:qFormat/>
    <w:uiPriority w:val="9"/>
    <w:pPr>
      <w:keepNext/>
      <w:keepLines/>
      <w:spacing w:before="80" w:after="40"/>
      <w:outlineLvl w:val="4"/>
    </w:pPr>
    <w:rPr>
      <w:rFonts w:eastAsiaTheme="majorEastAsia" w:cstheme="majorBidi"/>
      <w:color w:val="2F5496" w:themeColor="accent1" w:themeShade="BF"/>
    </w:rPr>
  </w:style>
  <w:style w:type="paragraph" w:styleId="7">
    <w:name w:val="heading 6"/>
    <w:basedOn w:val="1"/>
    <w:next w:val="1"/>
    <w:link w:val="27"/>
    <w:semiHidden/>
    <w:unhideWhenUsed/>
    <w:qFormat/>
    <w:uiPriority w:val="9"/>
    <w:pPr>
      <w:keepNext/>
      <w:keepLines/>
      <w:spacing w:before="40" w:after="0"/>
      <w:outlineLvl w:val="5"/>
    </w:pPr>
    <w:rPr>
      <w:rFonts w:eastAsiaTheme="majorEastAsia" w:cstheme="majorBidi"/>
      <w:i/>
      <w:iCs/>
      <w:color w:val="585858" w:themeColor="text1" w:themeTint="A6"/>
    </w:rPr>
  </w:style>
  <w:style w:type="paragraph" w:styleId="8">
    <w:name w:val="heading 7"/>
    <w:basedOn w:val="1"/>
    <w:next w:val="1"/>
    <w:link w:val="28"/>
    <w:semiHidden/>
    <w:unhideWhenUsed/>
    <w:qFormat/>
    <w:uiPriority w:val="9"/>
    <w:pPr>
      <w:keepNext/>
      <w:keepLines/>
      <w:spacing w:before="40" w:after="0"/>
      <w:outlineLvl w:val="6"/>
    </w:pPr>
    <w:rPr>
      <w:rFonts w:eastAsiaTheme="majorEastAsia" w:cstheme="majorBidi"/>
      <w:color w:val="585858" w:themeColor="text1" w:themeTint="A6"/>
    </w:rPr>
  </w:style>
  <w:style w:type="paragraph" w:styleId="9">
    <w:name w:val="heading 8"/>
    <w:basedOn w:val="1"/>
    <w:next w:val="1"/>
    <w:link w:val="29"/>
    <w:semiHidden/>
    <w:unhideWhenUsed/>
    <w:qFormat/>
    <w:uiPriority w:val="9"/>
    <w:pPr>
      <w:keepNext/>
      <w:keepLines/>
      <w:spacing w:after="0"/>
      <w:outlineLvl w:val="7"/>
    </w:pPr>
    <w:rPr>
      <w:rFonts w:eastAsiaTheme="majorEastAsia" w:cstheme="majorBidi"/>
      <w:i/>
      <w:iCs/>
      <w:color w:val="262626" w:themeColor="text1" w:themeTint="D8"/>
    </w:rPr>
  </w:style>
  <w:style w:type="paragraph" w:styleId="10">
    <w:name w:val="heading 9"/>
    <w:basedOn w:val="1"/>
    <w:next w:val="1"/>
    <w:link w:val="30"/>
    <w:semiHidden/>
    <w:unhideWhenUsed/>
    <w:qFormat/>
    <w:uiPriority w:val="9"/>
    <w:pPr>
      <w:keepNext/>
      <w:keepLines/>
      <w:spacing w:after="0"/>
      <w:outlineLvl w:val="8"/>
    </w:pPr>
    <w:rPr>
      <w:rFonts w:eastAsiaTheme="majorEastAsia" w:cstheme="majorBidi"/>
      <w:color w:val="262626" w:themeColor="text1" w:themeTint="D8"/>
    </w:rPr>
  </w:style>
  <w:style w:type="character" w:default="1" w:styleId="11">
    <w:name w:val="Default Paragraph Font"/>
    <w:semiHidden/>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Balloon Text"/>
    <w:basedOn w:val="1"/>
    <w:link w:val="42"/>
    <w:semiHidden/>
    <w:unhideWhenUsed/>
    <w:qFormat/>
    <w:uiPriority w:val="99"/>
    <w:pPr>
      <w:spacing w:after="0" w:line="240" w:lineRule="auto"/>
    </w:pPr>
    <w:rPr>
      <w:rFonts w:ascii="Tahoma" w:hAnsi="Tahoma" w:cs="Tahoma"/>
      <w:sz w:val="16"/>
      <w:szCs w:val="16"/>
    </w:rPr>
  </w:style>
  <w:style w:type="paragraph" w:styleId="14">
    <w:name w:val="caption"/>
    <w:basedOn w:val="1"/>
    <w:next w:val="1"/>
    <w:unhideWhenUsed/>
    <w:qFormat/>
    <w:uiPriority w:val="35"/>
    <w:pPr>
      <w:spacing w:after="200" w:line="240" w:lineRule="auto"/>
    </w:pPr>
    <w:rPr>
      <w:i/>
      <w:iCs/>
      <w:color w:val="44546A" w:themeColor="text2"/>
      <w:sz w:val="18"/>
      <w:szCs w:val="18"/>
    </w:rPr>
  </w:style>
  <w:style w:type="character" w:styleId="15">
    <w:name w:val="Emphasis"/>
    <w:basedOn w:val="11"/>
    <w:qFormat/>
    <w:uiPriority w:val="20"/>
    <w:rPr>
      <w:i/>
      <w:iCs/>
    </w:rPr>
  </w:style>
  <w:style w:type="character" w:styleId="16">
    <w:name w:val="Hyperlink"/>
    <w:basedOn w:val="11"/>
    <w:unhideWhenUsed/>
    <w:qFormat/>
    <w:uiPriority w:val="99"/>
    <w:rPr>
      <w:color w:val="0563C1" w:themeColor="hyperlink"/>
      <w:u w:val="single"/>
    </w:rPr>
  </w:style>
  <w:style w:type="paragraph" w:styleId="17">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kern w:val="0"/>
      <w:lang w:eastAsia="en-IN"/>
    </w:rPr>
  </w:style>
  <w:style w:type="character" w:styleId="18">
    <w:name w:val="Strong"/>
    <w:basedOn w:val="11"/>
    <w:qFormat/>
    <w:uiPriority w:val="22"/>
    <w:rPr>
      <w:b/>
      <w:bCs/>
    </w:rPr>
  </w:style>
  <w:style w:type="paragraph" w:styleId="19">
    <w:name w:val="Subtitle"/>
    <w:basedOn w:val="1"/>
    <w:next w:val="1"/>
    <w:link w:val="32"/>
    <w:qFormat/>
    <w:uiPriority w:val="11"/>
    <w:rPr>
      <w:rFonts w:eastAsiaTheme="majorEastAsia" w:cstheme="majorBidi"/>
      <w:color w:val="585858" w:themeColor="text1" w:themeTint="A6"/>
      <w:spacing w:val="15"/>
      <w:sz w:val="28"/>
      <w:szCs w:val="28"/>
    </w:rPr>
  </w:style>
  <w:style w:type="table" w:styleId="20">
    <w:name w:val="Table Grid"/>
    <w:basedOn w:val="12"/>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21">
    <w:name w:val="Title"/>
    <w:basedOn w:val="1"/>
    <w:next w:val="1"/>
    <w:link w:val="31"/>
    <w:qFormat/>
    <w:uiPriority w:val="10"/>
    <w:pPr>
      <w:spacing w:after="80" w:line="240" w:lineRule="auto"/>
      <w:contextualSpacing/>
    </w:pPr>
    <w:rPr>
      <w:rFonts w:asciiTheme="majorHAnsi" w:hAnsiTheme="majorHAnsi" w:eastAsiaTheme="majorEastAsia" w:cstheme="majorBidi"/>
      <w:spacing w:val="-10"/>
      <w:kern w:val="28"/>
      <w:sz w:val="56"/>
      <w:szCs w:val="56"/>
    </w:rPr>
  </w:style>
  <w:style w:type="character" w:customStyle="1" w:styleId="22">
    <w:name w:val="Heading 1 Char"/>
    <w:basedOn w:val="11"/>
    <w:link w:val="2"/>
    <w:uiPriority w:val="9"/>
    <w:rPr>
      <w:rFonts w:asciiTheme="majorHAnsi" w:hAnsiTheme="majorHAnsi" w:eastAsiaTheme="majorEastAsia" w:cstheme="majorBidi"/>
      <w:color w:val="2F5496" w:themeColor="accent1" w:themeShade="BF"/>
      <w:sz w:val="40"/>
      <w:szCs w:val="40"/>
    </w:rPr>
  </w:style>
  <w:style w:type="character" w:customStyle="1" w:styleId="23">
    <w:name w:val="Heading 2 Char"/>
    <w:basedOn w:val="11"/>
    <w:link w:val="3"/>
    <w:semiHidden/>
    <w:qFormat/>
    <w:uiPriority w:val="9"/>
    <w:rPr>
      <w:rFonts w:asciiTheme="majorHAnsi" w:hAnsiTheme="majorHAnsi" w:eastAsiaTheme="majorEastAsia" w:cstheme="majorBidi"/>
      <w:color w:val="2F5496" w:themeColor="accent1" w:themeShade="BF"/>
      <w:sz w:val="32"/>
      <w:szCs w:val="32"/>
    </w:rPr>
  </w:style>
  <w:style w:type="character" w:customStyle="1" w:styleId="24">
    <w:name w:val="Heading 3 Char"/>
    <w:basedOn w:val="11"/>
    <w:link w:val="4"/>
    <w:semiHidden/>
    <w:qFormat/>
    <w:uiPriority w:val="9"/>
    <w:rPr>
      <w:rFonts w:eastAsiaTheme="majorEastAsia" w:cstheme="majorBidi"/>
      <w:color w:val="2F5496" w:themeColor="accent1" w:themeShade="BF"/>
      <w:sz w:val="28"/>
      <w:szCs w:val="28"/>
    </w:rPr>
  </w:style>
  <w:style w:type="character" w:customStyle="1" w:styleId="25">
    <w:name w:val="Heading 4 Char"/>
    <w:basedOn w:val="11"/>
    <w:link w:val="5"/>
    <w:semiHidden/>
    <w:uiPriority w:val="9"/>
    <w:rPr>
      <w:rFonts w:eastAsiaTheme="majorEastAsia" w:cstheme="majorBidi"/>
      <w:i/>
      <w:iCs/>
      <w:color w:val="2F5496" w:themeColor="accent1" w:themeShade="BF"/>
    </w:rPr>
  </w:style>
  <w:style w:type="character" w:customStyle="1" w:styleId="26">
    <w:name w:val="Heading 5 Char"/>
    <w:basedOn w:val="11"/>
    <w:link w:val="6"/>
    <w:semiHidden/>
    <w:uiPriority w:val="9"/>
    <w:rPr>
      <w:rFonts w:eastAsiaTheme="majorEastAsia" w:cstheme="majorBidi"/>
      <w:color w:val="2F5496" w:themeColor="accent1" w:themeShade="BF"/>
    </w:rPr>
  </w:style>
  <w:style w:type="character" w:customStyle="1" w:styleId="27">
    <w:name w:val="Heading 6 Char"/>
    <w:basedOn w:val="11"/>
    <w:link w:val="7"/>
    <w:semiHidden/>
    <w:qFormat/>
    <w:uiPriority w:val="9"/>
    <w:rPr>
      <w:rFonts w:eastAsiaTheme="majorEastAsia" w:cstheme="majorBidi"/>
      <w:i/>
      <w:iCs/>
      <w:color w:val="585858" w:themeColor="text1" w:themeTint="A6"/>
    </w:rPr>
  </w:style>
  <w:style w:type="character" w:customStyle="1" w:styleId="28">
    <w:name w:val="Heading 7 Char"/>
    <w:basedOn w:val="11"/>
    <w:link w:val="8"/>
    <w:semiHidden/>
    <w:uiPriority w:val="9"/>
    <w:rPr>
      <w:rFonts w:eastAsiaTheme="majorEastAsia" w:cstheme="majorBidi"/>
      <w:color w:val="585858" w:themeColor="text1" w:themeTint="A6"/>
    </w:rPr>
  </w:style>
  <w:style w:type="character" w:customStyle="1" w:styleId="29">
    <w:name w:val="Heading 8 Char"/>
    <w:basedOn w:val="11"/>
    <w:link w:val="9"/>
    <w:semiHidden/>
    <w:uiPriority w:val="9"/>
    <w:rPr>
      <w:rFonts w:eastAsiaTheme="majorEastAsia" w:cstheme="majorBidi"/>
      <w:i/>
      <w:iCs/>
      <w:color w:val="262626" w:themeColor="text1" w:themeTint="D8"/>
    </w:rPr>
  </w:style>
  <w:style w:type="character" w:customStyle="1" w:styleId="30">
    <w:name w:val="Heading 9 Char"/>
    <w:basedOn w:val="11"/>
    <w:link w:val="10"/>
    <w:semiHidden/>
    <w:qFormat/>
    <w:uiPriority w:val="9"/>
    <w:rPr>
      <w:rFonts w:eastAsiaTheme="majorEastAsia" w:cstheme="majorBidi"/>
      <w:color w:val="262626" w:themeColor="text1" w:themeTint="D8"/>
    </w:rPr>
  </w:style>
  <w:style w:type="character" w:customStyle="1" w:styleId="31">
    <w:name w:val="Title Char"/>
    <w:basedOn w:val="11"/>
    <w:link w:val="21"/>
    <w:qFormat/>
    <w:uiPriority w:val="10"/>
    <w:rPr>
      <w:rFonts w:asciiTheme="majorHAnsi" w:hAnsiTheme="majorHAnsi" w:eastAsiaTheme="majorEastAsia" w:cstheme="majorBidi"/>
      <w:spacing w:val="-10"/>
      <w:kern w:val="28"/>
      <w:sz w:val="56"/>
      <w:szCs w:val="56"/>
    </w:rPr>
  </w:style>
  <w:style w:type="character" w:customStyle="1" w:styleId="32">
    <w:name w:val="Subtitle Char"/>
    <w:basedOn w:val="11"/>
    <w:link w:val="19"/>
    <w:qFormat/>
    <w:uiPriority w:val="11"/>
    <w:rPr>
      <w:rFonts w:eastAsiaTheme="majorEastAsia" w:cstheme="majorBidi"/>
      <w:color w:val="585858" w:themeColor="text1" w:themeTint="A6"/>
      <w:spacing w:val="15"/>
      <w:sz w:val="28"/>
      <w:szCs w:val="28"/>
    </w:rPr>
  </w:style>
  <w:style w:type="paragraph" w:styleId="33">
    <w:name w:val="Quote"/>
    <w:basedOn w:val="1"/>
    <w:next w:val="1"/>
    <w:link w:val="34"/>
    <w:qFormat/>
    <w:uiPriority w:val="29"/>
    <w:pPr>
      <w:spacing w:before="160"/>
      <w:jc w:val="center"/>
    </w:pPr>
    <w:rPr>
      <w:i/>
      <w:iCs/>
      <w:color w:val="3F3F3F" w:themeColor="text1" w:themeTint="BF"/>
    </w:rPr>
  </w:style>
  <w:style w:type="character" w:customStyle="1" w:styleId="34">
    <w:name w:val="Quote Char"/>
    <w:basedOn w:val="11"/>
    <w:link w:val="33"/>
    <w:qFormat/>
    <w:uiPriority w:val="29"/>
    <w:rPr>
      <w:i/>
      <w:iCs/>
      <w:color w:val="3F3F3F" w:themeColor="text1" w:themeTint="BF"/>
    </w:rPr>
  </w:style>
  <w:style w:type="paragraph" w:styleId="35">
    <w:name w:val="List Paragraph"/>
    <w:basedOn w:val="1"/>
    <w:qFormat/>
    <w:uiPriority w:val="34"/>
    <w:pPr>
      <w:ind w:left="720"/>
      <w:contextualSpacing/>
    </w:pPr>
  </w:style>
  <w:style w:type="character" w:customStyle="1" w:styleId="36">
    <w:name w:val="Intense Emphasis"/>
    <w:basedOn w:val="11"/>
    <w:qFormat/>
    <w:uiPriority w:val="21"/>
    <w:rPr>
      <w:i/>
      <w:iCs/>
      <w:color w:val="2F5496" w:themeColor="accent1" w:themeShade="BF"/>
    </w:rPr>
  </w:style>
  <w:style w:type="paragraph" w:styleId="37">
    <w:name w:val="Intense Quote"/>
    <w:basedOn w:val="1"/>
    <w:next w:val="1"/>
    <w:link w:val="38"/>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customStyle="1" w:styleId="38">
    <w:name w:val="Intense Quote Char"/>
    <w:basedOn w:val="11"/>
    <w:link w:val="37"/>
    <w:qFormat/>
    <w:uiPriority w:val="30"/>
    <w:rPr>
      <w:i/>
      <w:iCs/>
      <w:color w:val="2F5496" w:themeColor="accent1" w:themeShade="BF"/>
    </w:rPr>
  </w:style>
  <w:style w:type="character" w:customStyle="1" w:styleId="39">
    <w:name w:val="Intense Reference"/>
    <w:basedOn w:val="11"/>
    <w:qFormat/>
    <w:uiPriority w:val="32"/>
    <w:rPr>
      <w:b/>
      <w:bCs/>
      <w:smallCaps/>
      <w:color w:val="2F5496" w:themeColor="accent1" w:themeShade="BF"/>
      <w:spacing w:val="5"/>
    </w:rPr>
  </w:style>
  <w:style w:type="character" w:styleId="40">
    <w:name w:val="Placeholder Text"/>
    <w:basedOn w:val="11"/>
    <w:semiHidden/>
    <w:uiPriority w:val="99"/>
    <w:rPr>
      <w:color w:val="666666"/>
    </w:rPr>
  </w:style>
  <w:style w:type="character" w:customStyle="1" w:styleId="41">
    <w:name w:val="Unresolved Mention"/>
    <w:basedOn w:val="11"/>
    <w:semiHidden/>
    <w:unhideWhenUsed/>
    <w:qFormat/>
    <w:uiPriority w:val="99"/>
    <w:rPr>
      <w:color w:val="605E5C"/>
      <w:shd w:val="clear" w:color="auto" w:fill="E1DFDD"/>
    </w:rPr>
  </w:style>
  <w:style w:type="character" w:customStyle="1" w:styleId="42">
    <w:name w:val="Balloon Text Char"/>
    <w:basedOn w:val="11"/>
    <w:link w:val="13"/>
    <w:semiHidden/>
    <w:qFormat/>
    <w:uiPriority w:val="99"/>
    <w:rPr>
      <w:rFonts w:ascii="Tahoma" w:hAnsi="Tahoma" w:cs="Tahoma"/>
      <w:sz w:val="16"/>
      <w:szCs w:val="16"/>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numbering" Target="numbering.xml"/><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030587-C200-40D3-A9BB-984AE25FFA6C}">
  <ds:schemaRefs/>
</ds:datastoreItem>
</file>

<file path=docProps/app.xml><?xml version="1.0" encoding="utf-8"?>
<Properties xmlns="http://schemas.openxmlformats.org/officeDocument/2006/extended-properties" xmlns:vt="http://schemas.openxmlformats.org/officeDocument/2006/docPropsVTypes">
  <Template>Normal</Template>
  <Pages>41</Pages>
  <Words>11632</Words>
  <Characters>66308</Characters>
  <Lines>552</Lines>
  <Paragraphs>155</Paragraphs>
  <TotalTime>12488</TotalTime>
  <ScaleCrop>false</ScaleCrop>
  <LinksUpToDate>false</LinksUpToDate>
  <CharactersWithSpaces>77785</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2025-09-05T06:49:00Z</dcterms:created>
  <dc:creator>Sumita Biswas</dc:creator>
  <cp:lastModifiedBy>lenovo</cp:lastModifiedBy>
  <dcterms:modified xsi:type="dcterms:W3CDTF">2025-10-21T10:43:03Z</dcterms:modified>
  <cp:revision>105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812f8733-3a31-48f6-aabb-51f3fe9ff8d1</vt:lpwstr>
  </property>
  <property fmtid="{D5CDD505-2E9C-101B-9397-08002B2CF9AE}" pid="3" name="KSOProductBuildVer">
    <vt:lpwstr>1033-12.2.0.22549</vt:lpwstr>
  </property>
  <property fmtid="{D5CDD505-2E9C-101B-9397-08002B2CF9AE}" pid="4" name="ICV">
    <vt:lpwstr>D47962A97E9A46B9BE8D2B3943E4C6F6_12</vt:lpwstr>
  </property>
</Properties>
</file>