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3F16" w:rsidRDefault="00DE5BDE">
      <w:r>
        <w:t xml:space="preserve">Leishmaniasis, a neglected tropical and subtropical disease, affects nearly one billion people across about 100 countries. Caused by </w:t>
      </w:r>
      <w:proofErr w:type="spellStart"/>
      <w:r>
        <w:rPr>
          <w:rStyle w:val="Emphasis"/>
        </w:rPr>
        <w:t>Leishmania</w:t>
      </w:r>
      <w:proofErr w:type="spellEnd"/>
      <w:r>
        <w:t xml:space="preserve"> parasites transmitted by infected female </w:t>
      </w:r>
      <w:proofErr w:type="spellStart"/>
      <w:r>
        <w:t>sandflies</w:t>
      </w:r>
      <w:proofErr w:type="spellEnd"/>
      <w:r>
        <w:t xml:space="preserve"> (</w:t>
      </w:r>
      <w:proofErr w:type="spellStart"/>
      <w:r>
        <w:rPr>
          <w:rStyle w:val="Emphasis"/>
        </w:rPr>
        <w:t>Phlebotomus</w:t>
      </w:r>
      <w:proofErr w:type="spellEnd"/>
      <w:r>
        <w:t xml:space="preserve"> and </w:t>
      </w:r>
      <w:proofErr w:type="spellStart"/>
      <w:r>
        <w:rPr>
          <w:rStyle w:val="Emphasis"/>
        </w:rPr>
        <w:t>Lutzomyia</w:t>
      </w:r>
      <w:proofErr w:type="spellEnd"/>
      <w:r>
        <w:t xml:space="preserve">), it manifests mainly as visceral (VL), cutaneous (CL), and mucocutaneous (MCL) forms. Beyond its clinical impact, leishmaniasis is deeply intertwined with poverty, inequality, and barriers to social sustainability. The disease disproportionately affects impoverished rural populations, reflecting and reinforcing social vulnerabilities through economic burdens, stigma, and gender and geographic inequities. The lack of licensed vaccines, limited effective treatments, and widespread reservoir hosts further complicate control efforts. Public unawareness, weak healthcare infrastructure, and poor diagnostic capacity exacerbate disease persistence and transmission. Climate change, deforestation, migration, and conflict intensify the problem by altering vector habitats, collapsing health systems, and facilitating cross-border spread. Women face unique challenges due to social stigma associated with disfigurement, while economically marginalized households experience catastrophic expenditures, reinforcing poverty cycles. Diagnosis and treatment remain difficult because of inadequate facilities, low test sensitivity, drug toxicity, and emerging resistance. Addressing these multifaceted challenges requires an integrated, </w:t>
      </w:r>
      <w:proofErr w:type="spellStart"/>
      <w:r>
        <w:t>multisectoral</w:t>
      </w:r>
      <w:proofErr w:type="spellEnd"/>
      <w:r>
        <w:t xml:space="preserve"> strategy. Achieving sustainable development goals (SDGs) through leishmaniasis elimination demands political commitment, equitable healthcare access, and substantial investment in research, vector control, diagnostics, and treatment. Governments, international agencies, and research institutions must collaborate to prioritize leishmaniasis within national health programs and ensure equitable healthcare for women, children, indigenous, and migratory populations. Adopting a </w:t>
      </w:r>
      <w:r>
        <w:rPr>
          <w:rStyle w:val="Strong"/>
        </w:rPr>
        <w:t>One Health</w:t>
      </w:r>
      <w:r>
        <w:t xml:space="preserve"> approach that bridges human, animal, and environmental health sectors can enhance surveillance, clinical management, and long-term resilience. Ultimately, sustainable elimination of leishmaniasis depends on comprehensive, coordinated, and inclusive actions that strengthen health systems, promote equity, and protect vulnerable communities from the persistent burden of this neglected disease.</w:t>
      </w:r>
    </w:p>
    <w:sectPr w:rsidR="00833F16" w:rsidSect="00833F16">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20"/>
  <w:characterSpacingControl w:val="doNotCompress"/>
  <w:compat/>
  <w:rsids>
    <w:rsidRoot w:val="00DE5BDE"/>
    <w:rsid w:val="00833F16"/>
    <w:rsid w:val="00DE5BDE"/>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3F1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DE5BDE"/>
    <w:rPr>
      <w:i/>
      <w:iCs/>
    </w:rPr>
  </w:style>
  <w:style w:type="character" w:styleId="Strong">
    <w:name w:val="Strong"/>
    <w:basedOn w:val="DefaultParagraphFont"/>
    <w:uiPriority w:val="22"/>
    <w:qFormat/>
    <w:rsid w:val="00DE5BDE"/>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350</Words>
  <Characters>1998</Characters>
  <Application>Microsoft Office Word</Application>
  <DocSecurity>0</DocSecurity>
  <Lines>16</Lines>
  <Paragraphs>4</Paragraphs>
  <ScaleCrop>false</ScaleCrop>
  <Company>CtrlSoft</Company>
  <LinksUpToDate>false</LinksUpToDate>
  <CharactersWithSpaces>2344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 PC</dc:creator>
  <cp:lastModifiedBy>ADMIN PC</cp:lastModifiedBy>
  <cp:revision>1</cp:revision>
  <dcterms:created xsi:type="dcterms:W3CDTF">2025-10-22T10:33:00Z</dcterms:created>
  <dcterms:modified xsi:type="dcterms:W3CDTF">2025-10-22T10:33:00Z</dcterms:modified>
</cp:coreProperties>
</file>