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165FC" w14:textId="77777777" w:rsidR="00D30DBB" w:rsidRPr="00D30DBB" w:rsidRDefault="00D30DBB" w:rsidP="00D30DBB">
      <w:pPr>
        <w:spacing w:before="100" w:beforeAutospacing="1" w:after="100" w:afterAutospacing="1" w:line="240" w:lineRule="auto"/>
        <w:outlineLvl w:val="0"/>
        <w:rPr>
          <w:rFonts w:ascii="Times New Roman" w:eastAsia="Times New Roman" w:hAnsi="Times New Roman" w:cs="Times New Roman"/>
          <w:b/>
          <w:bCs/>
          <w:kern w:val="36"/>
          <w:sz w:val="48"/>
          <w:szCs w:val="48"/>
          <w:lang w:eastAsia="en-AU"/>
          <w14:ligatures w14:val="none"/>
        </w:rPr>
      </w:pPr>
      <w:r w:rsidRPr="00D30DBB">
        <w:rPr>
          <w:rFonts w:ascii="Times New Roman" w:eastAsia="Times New Roman" w:hAnsi="Times New Roman" w:cs="Times New Roman"/>
          <w:b/>
          <w:bCs/>
          <w:kern w:val="36"/>
          <w:sz w:val="48"/>
          <w:szCs w:val="48"/>
          <w:lang w:eastAsia="en-AU"/>
          <w14:ligatures w14:val="none"/>
        </w:rPr>
        <w:t>TEST ANXIETY AND ACADEMIC PERFORMANCE OF STUDENTS IN A UNIVERSITY LEVEL BUSINESS DEGREE</w:t>
      </w:r>
    </w:p>
    <w:p w14:paraId="0D621A9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Authors:</w:t>
      </w:r>
      <w:r w:rsidRPr="00D30DBB">
        <w:rPr>
          <w:rFonts w:ascii="Times New Roman" w:eastAsia="Times New Roman" w:hAnsi="Times New Roman" w:cs="Times New Roman"/>
          <w:kern w:val="0"/>
          <w:lang w:eastAsia="en-AU"/>
          <w14:ligatures w14:val="none"/>
        </w:rPr>
        <w:t xml:space="preserve"> Rafiuddin </w:t>
      </w:r>
      <w:proofErr w:type="spellStart"/>
      <w:r w:rsidRPr="00D30DBB">
        <w:rPr>
          <w:rFonts w:ascii="Times New Roman" w:eastAsia="Times New Roman" w:hAnsi="Times New Roman" w:cs="Times New Roman"/>
          <w:kern w:val="0"/>
          <w:lang w:eastAsia="en-AU"/>
          <w14:ligatures w14:val="none"/>
        </w:rPr>
        <w:t>Ahmed^a</w:t>
      </w:r>
      <w:proofErr w:type="spellEnd"/>
      <w:r w:rsidRPr="00D30DBB">
        <w:rPr>
          <w:rFonts w:ascii="Times New Roman" w:eastAsia="Times New Roman" w:hAnsi="Times New Roman" w:cs="Times New Roman"/>
          <w:kern w:val="0"/>
          <w:lang w:eastAsia="en-AU"/>
          <w14:ligatures w14:val="none"/>
        </w:rPr>
        <w:t xml:space="preserve">^, Mazibar </w:t>
      </w:r>
      <w:proofErr w:type="spellStart"/>
      <w:r w:rsidRPr="00D30DBB">
        <w:rPr>
          <w:rFonts w:ascii="Times New Roman" w:eastAsia="Times New Roman" w:hAnsi="Times New Roman" w:cs="Times New Roman"/>
          <w:kern w:val="0"/>
          <w:lang w:eastAsia="en-AU"/>
          <w14:ligatures w14:val="none"/>
        </w:rPr>
        <w:t>Rahman^a,b</w:t>
      </w:r>
      <w:proofErr w:type="spellEnd"/>
      <w:r w:rsidRPr="00D30DBB">
        <w:rPr>
          <w:rFonts w:ascii="Times New Roman" w:eastAsia="Times New Roman" w:hAnsi="Times New Roman" w:cs="Times New Roman"/>
          <w:kern w:val="0"/>
          <w:lang w:eastAsia="en-AU"/>
          <w14:ligatures w14:val="none"/>
        </w:rPr>
        <w:t>^</w:t>
      </w:r>
    </w:p>
    <w:p w14:paraId="07A3B70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t>
      </w:r>
      <w:proofErr w:type="spellStart"/>
      <w:r w:rsidRPr="00D30DBB">
        <w:rPr>
          <w:rFonts w:ascii="Times New Roman" w:eastAsia="Times New Roman" w:hAnsi="Times New Roman" w:cs="Times New Roman"/>
          <w:kern w:val="0"/>
          <w:lang w:eastAsia="en-AU"/>
          <w14:ligatures w14:val="none"/>
        </w:rPr>
        <w:t>a^James</w:t>
      </w:r>
      <w:proofErr w:type="spellEnd"/>
      <w:r w:rsidRPr="00D30DBB">
        <w:rPr>
          <w:rFonts w:ascii="Times New Roman" w:eastAsia="Times New Roman" w:hAnsi="Times New Roman" w:cs="Times New Roman"/>
          <w:kern w:val="0"/>
          <w:lang w:eastAsia="en-AU"/>
          <w14:ligatures w14:val="none"/>
        </w:rPr>
        <w:t xml:space="preserve"> Cook University, College of Business, Law and Governance, Douglas, Queensland 4811, Australia</w:t>
      </w:r>
    </w:p>
    <w:p w14:paraId="2EB05D28"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t>
      </w:r>
      <w:proofErr w:type="spellStart"/>
      <w:r w:rsidRPr="00D30DBB">
        <w:rPr>
          <w:rFonts w:ascii="Times New Roman" w:eastAsia="Times New Roman" w:hAnsi="Times New Roman" w:cs="Times New Roman"/>
          <w:kern w:val="0"/>
          <w:lang w:eastAsia="en-AU"/>
          <w14:ligatures w14:val="none"/>
        </w:rPr>
        <w:t>b^Haji</w:t>
      </w:r>
      <w:proofErr w:type="spellEnd"/>
      <w:r w:rsidRPr="00D30DBB">
        <w:rPr>
          <w:rFonts w:ascii="Times New Roman" w:eastAsia="Times New Roman" w:hAnsi="Times New Roman" w:cs="Times New Roman"/>
          <w:kern w:val="0"/>
          <w:lang w:eastAsia="en-AU"/>
          <w14:ligatures w14:val="none"/>
        </w:rPr>
        <w:t xml:space="preserve"> Danesh University of Science and Technology, Dinajpur, Bangladesh</w:t>
      </w:r>
    </w:p>
    <w:p w14:paraId="3EF29F6C"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Abstract</w:t>
      </w:r>
    </w:p>
    <w:p w14:paraId="7CDACE8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Test anxiety is a commonly and widely recognised factor influencing students' academic performance across various educational levels, disciplines, and institutional settings. A negative relationship between anxiety and academic performance is predominant in the extant research, mostly conducted in Western educational institutions. The current study examines this phenomenon in an academic institution with dissimilar attributes to Western institutions, with a student population living in remote parts of the country and from diverse socio-economic backgrounds. By focusing specifically on students in a business degree, this research aims to contribute to the growing body of literature that seeks to understand how anxiety influences performance across different socio-economic and educational backgrounds. A total of 200 students' useable responses to Spielberger's (1980) questionnaire, with additional educational and cultural co-variates, were used for the study. The results were analysed using multiple regressions (ordinary least squares and sub-group regressions), within and between group comparisons of factors affecting academic performance, effect size comparisons, and other commonly used statistical techniques in Stata. The study identified a statistically significant negative relationship between emotionality and academic performance, while total test anxiety and worry showed no significant effects. The results also revealed that female students outperformed their male counterparts, college major and college GPA positively affected course GPA, and location and year of study negatively affected college GPA. Sub-group regression analyses of gender, college major, and age revealed different significant predictors of academic performance within each of these co-variates. These findings affirm the relevance of ecological, subject-specific, and prior academic factors in a business degree context in a developing country setting. Moreover, the research underscores the complex interplay between individual student characteristics and broader educational environments. The study highlights important implications for educators, academic institutions, and students, emphasising the need to address test anxiety for student well-being, to appreciate the intensity of anxiety for mental health policy formulation (accommodations), and to inform curriculum and assessment policies for students affected by test anxiety.</w:t>
      </w:r>
    </w:p>
    <w:p w14:paraId="7132A24E"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Keywords:</w:t>
      </w:r>
      <w:r w:rsidRPr="00D30DBB">
        <w:rPr>
          <w:rFonts w:ascii="Times New Roman" w:eastAsia="Times New Roman" w:hAnsi="Times New Roman" w:cs="Times New Roman"/>
          <w:kern w:val="0"/>
          <w:lang w:eastAsia="en-AU"/>
          <w14:ligatures w14:val="none"/>
        </w:rPr>
        <w:t xml:space="preserve"> TAI inventory, test anxiety, effect size, academic performance, business degree, prior qualifications</w:t>
      </w:r>
    </w:p>
    <w:p w14:paraId="3E897542"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lastRenderedPageBreak/>
        <w:t>Introduction</w:t>
      </w:r>
    </w:p>
    <w:p w14:paraId="3A64469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Test anxiety, as a concern in educational institutions, has been extensively researched across various parts of the world. It is often examined as a significant factor contributing to poor academic performance across different education systems, levels, courses, and degree programs (Hill &amp; Wigfield, 1984; Seipp, 1991). However, it has yet to be widely recognised as a medical condition severe enough to justify poor academic performance or the need to continue studies (Gibson, 2014). The literature broadly agrees on the existence of a relationship between test anxiety and academic performance (Chapell et al., 2005; Hembree, 1988; Zeidner, 1998; Zhang, 2014). At times, test anxiety can be so overwhelming that it hinders students' ability to continue their studies due to poor examination performance (failure) (Gibson, 2014).</w:t>
      </w:r>
    </w:p>
    <w:p w14:paraId="33F59C26"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While test anxiety has typically been explored as a general issue related to examinations, its effects are often worsened when students also fear specific subject content (Brewer, 2002; Brodersen, 2018; Cornell, 2012; Fannin-Carroll, 2014; Georges et al., 2016; Hahn, 2017; Hanna &amp; Dempster, 2009; Macher et al., 2015; O'Leary et al., 2017; Patil &amp; </w:t>
      </w:r>
      <w:proofErr w:type="spellStart"/>
      <w:r w:rsidRPr="00D30DBB">
        <w:rPr>
          <w:rFonts w:ascii="Times New Roman" w:eastAsia="Times New Roman" w:hAnsi="Times New Roman" w:cs="Times New Roman"/>
          <w:kern w:val="0"/>
          <w:lang w:eastAsia="en-AU"/>
          <w14:ligatures w14:val="none"/>
        </w:rPr>
        <w:t>Aithala</w:t>
      </w:r>
      <w:proofErr w:type="spellEnd"/>
      <w:r w:rsidRPr="00D30DBB">
        <w:rPr>
          <w:rFonts w:ascii="Times New Roman" w:eastAsia="Times New Roman" w:hAnsi="Times New Roman" w:cs="Times New Roman"/>
          <w:kern w:val="0"/>
          <w:lang w:eastAsia="en-AU"/>
          <w14:ligatures w14:val="none"/>
        </w:rPr>
        <w:t xml:space="preserve">, 2017; Rehmani et al., 2018; Sajid et al., 2015; Schneider, 2011; Sujatha &amp; </w:t>
      </w:r>
      <w:proofErr w:type="spellStart"/>
      <w:r w:rsidRPr="00D30DBB">
        <w:rPr>
          <w:rFonts w:ascii="Times New Roman" w:eastAsia="Times New Roman" w:hAnsi="Times New Roman" w:cs="Times New Roman"/>
          <w:kern w:val="0"/>
          <w:lang w:eastAsia="en-AU"/>
          <w14:ligatures w14:val="none"/>
        </w:rPr>
        <w:t>Subhalakshmi</w:t>
      </w:r>
      <w:proofErr w:type="spellEnd"/>
      <w:r w:rsidRPr="00D30DBB">
        <w:rPr>
          <w:rFonts w:ascii="Times New Roman" w:eastAsia="Times New Roman" w:hAnsi="Times New Roman" w:cs="Times New Roman"/>
          <w:kern w:val="0"/>
          <w:lang w:eastAsia="en-AU"/>
          <w14:ligatures w14:val="none"/>
        </w:rPr>
        <w:t>, 2016; Vaz et al., 2018; Zhang, 2014). Against this backdrop, the current study addresses an under-researched and less understood issue within a business program at a regional university in Bangladesh.</w:t>
      </w:r>
    </w:p>
    <w:p w14:paraId="7074309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Empirical studies have primarily focused on two dimensions of test anxiety: worry and emotionality (Spielberger, 1980). One group of researchers has concentrated on the emotionality dimension and its negative impact on academic performance (Dawood et al., 2016; Eum, 2011; Monge et al., 2017; Rezazadeh &amp; Tavakoli, 2009; Titilope &amp; </w:t>
      </w:r>
      <w:proofErr w:type="spellStart"/>
      <w:r w:rsidRPr="00D30DBB">
        <w:rPr>
          <w:rFonts w:ascii="Times New Roman" w:eastAsia="Times New Roman" w:hAnsi="Times New Roman" w:cs="Times New Roman"/>
          <w:kern w:val="0"/>
          <w:lang w:eastAsia="en-AU"/>
          <w14:ligatures w14:val="none"/>
        </w:rPr>
        <w:t>Idiong</w:t>
      </w:r>
      <w:proofErr w:type="spellEnd"/>
      <w:r w:rsidRPr="00D30DBB">
        <w:rPr>
          <w:rFonts w:ascii="Times New Roman" w:eastAsia="Times New Roman" w:hAnsi="Times New Roman" w:cs="Times New Roman"/>
          <w:kern w:val="0"/>
          <w:lang w:eastAsia="en-AU"/>
          <w14:ligatures w14:val="none"/>
        </w:rPr>
        <w:t>, 2017). This body of literature argues that emotional factors increase anxiety levels, which in turn harm academic outcomes.</w:t>
      </w:r>
    </w:p>
    <w:p w14:paraId="347952C5"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Another group of studies has examined the worry dimension of anxiety and its direct impact on students' academic performance. Some researchers have explored this dimension alone, while others have investigated its interaction with emotional factors (Balogun et al., 2017; Culler, 1980; </w:t>
      </w:r>
      <w:proofErr w:type="spellStart"/>
      <w:r w:rsidRPr="00D30DBB">
        <w:rPr>
          <w:rFonts w:ascii="Times New Roman" w:eastAsia="Times New Roman" w:hAnsi="Times New Roman" w:cs="Times New Roman"/>
          <w:kern w:val="0"/>
          <w:lang w:eastAsia="en-AU"/>
          <w14:ligatures w14:val="none"/>
        </w:rPr>
        <w:t>Steinmayr</w:t>
      </w:r>
      <w:proofErr w:type="spellEnd"/>
      <w:r w:rsidRPr="00D30DBB">
        <w:rPr>
          <w:rFonts w:ascii="Times New Roman" w:eastAsia="Times New Roman" w:hAnsi="Times New Roman" w:cs="Times New Roman"/>
          <w:kern w:val="0"/>
          <w:lang w:eastAsia="en-AU"/>
          <w14:ligatures w14:val="none"/>
        </w:rPr>
        <w:t xml:space="preserve"> et al., 2016; Tarrasch et al., 2017; Yadav, 2013). Other research has measured total anxiety levels alongside additional variables (</w:t>
      </w:r>
      <w:proofErr w:type="spellStart"/>
      <w:r w:rsidRPr="00D30DBB">
        <w:rPr>
          <w:rFonts w:ascii="Times New Roman" w:eastAsia="Times New Roman" w:hAnsi="Times New Roman" w:cs="Times New Roman"/>
          <w:kern w:val="0"/>
          <w:lang w:eastAsia="en-AU"/>
          <w14:ligatures w14:val="none"/>
        </w:rPr>
        <w:t>Akpur</w:t>
      </w:r>
      <w:proofErr w:type="spellEnd"/>
      <w:r w:rsidRPr="00D30DBB">
        <w:rPr>
          <w:rFonts w:ascii="Times New Roman" w:eastAsia="Times New Roman" w:hAnsi="Times New Roman" w:cs="Times New Roman"/>
          <w:kern w:val="0"/>
          <w:lang w:eastAsia="en-AU"/>
          <w14:ligatures w14:val="none"/>
        </w:rPr>
        <w:t xml:space="preserve">, 2017; Cassady &amp; Johnson, 2002; Daniel &amp; Watermann, 2013; Lusk, 1983; </w:t>
      </w: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1994; Peleg, 2009; Stankov, 2010). These studies have often focused on worry and achievement-related factors to determine their collective impact on academic performance.</w:t>
      </w:r>
    </w:p>
    <w:p w14:paraId="2D692CB4"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Several studies have incorporated all dimensions of anxiety in relation to academic performance. These works treat both anxiety and academic performance as static variables and measure anxiety in various ways. Although limited, research that examines all anxiety dimensions (worry and emotionality) in conjunction with other factors provides more comprehensive insights into the anxiety-performance relationship (Gibson, 2014). Researchers who used all forms of anxiety argue that it offers a complete framework for understanding test anxiety (Chapell et al., 2005; Rana &amp; Mahmood, 2010; Zhang, 2014). This body of research is often supplemented by personal and demographic factors for a better understanding of anxiety-academic performance relations (Grooms &amp; Endler, 1960; Chapell et al., 2005; Rana &amp; Mahmood, 2010; Zhang, 2014). Consistent with these claims and suggestions, this study extends the prior literature by incorporating additional contextual variables such as personal factors (socio-economic status [SES], marital status), self-reported </w:t>
      </w:r>
      <w:r w:rsidRPr="00D30DBB">
        <w:rPr>
          <w:rFonts w:ascii="Times New Roman" w:eastAsia="Times New Roman" w:hAnsi="Times New Roman" w:cs="Times New Roman"/>
          <w:kern w:val="0"/>
          <w:lang w:eastAsia="en-AU"/>
          <w14:ligatures w14:val="none"/>
        </w:rPr>
        <w:lastRenderedPageBreak/>
        <w:t>responses on anxiety, medications for anxiety, and prior educational backgrounds (pre-university academic study majors [college level study majors], educational institutions attended in college, geographical jurisdictions of colleges [Bangladesh's Education Boards]^1^, and college level academic achievements).</w:t>
      </w:r>
    </w:p>
    <w:p w14:paraId="36E4C6C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To date, most empirical research has focused on school-level and university-level studies in diverse academic disciplines such as psychology, statistics, chiropractic, and medical education. However, only a few studies (Chapell et al., 2005; Rana &amp; Mahmood, 2010; Zhang, 2014; Wei, 2024) have utilised the TAI, supplemented by personal and demographic factors, to study test anxiety in a business context. These studies suggest including prior academic abilities and other background factors for a more robust analysis. To add to the growing conversation on anxiety-performance relationships, the following research questions have been framed for this study: </w:t>
      </w:r>
      <w:r w:rsidRPr="00D30DBB">
        <w:rPr>
          <w:rFonts w:ascii="Times New Roman" w:eastAsia="Times New Roman" w:hAnsi="Times New Roman" w:cs="Times New Roman"/>
          <w:i/>
          <w:iCs/>
          <w:kern w:val="0"/>
          <w:lang w:eastAsia="en-AU"/>
          <w14:ligatures w14:val="none"/>
        </w:rPr>
        <w:t>How do test anxiety affect students' academic performance in university studies? (How do worry, emotionality, and additional personal and demographic factors influence the academic performance of business students in a university level business program?)</w:t>
      </w:r>
    </w:p>
    <w:p w14:paraId="01AA0AB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current research contributes to existing knowledge by challenging previous findings that link test anxiety—particularly worry—with academic performance. The findings indicate that worry did not significantly affect academic outcomes, while emotionality had a significant negative impact on students' course GPAs. Additionally, this study identifies that total anxiety, personal factors, and students' prior academic backgrounds significantly influenced their academic performance. Notably, prior college achievements and diverse university-level course experiences positively contributed to course GPAs. The study is also novel in using Cohen's (1988) d to measure the effect sizes of non-significant variables, marking the first application of this approach in business curriculum research related to test anxiety.</w:t>
      </w:r>
    </w:p>
    <w:p w14:paraId="736A138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remainder of the paper is organised as follows: a literature review, followed by the research methodology, results and discussion, and conclusions.</w:t>
      </w:r>
    </w:p>
    <w:p w14:paraId="477CF8D7"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Review of Related Literature</w:t>
      </w:r>
    </w:p>
    <w:p w14:paraId="206335C9"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Theoretical Literature on Anxiety and Its Effects on Academic Performance</w:t>
      </w:r>
    </w:p>
    <w:p w14:paraId="19132628"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Test anxiety has been defined by Dusek (1980) as "an unpleasant feeling or emotional state that has both physiological and behavioural components, and that is experienced in formal testing or other evaluative situations" (Gibson, 2014). The term "test" refers to 'examination' or evaluation of subject content, and anxiety is the psychological state. The relationship is combined to form the concept of 'test anxiety'. In higher education literature, two different models, The Cognitive Interference Model and The Additive Model, are commonly used to explain the inverse relationship between anxiety and academic performance. The Cognitive Interference Model suggests that excessive anxiety triggers intrusive thoughts during tests that hinder students' abilities to concentrate (Naveh-Benjamin, 1991; Schwarzer &amp; Jerusalem, 1992). The Additive Model suggests that test anxiety is a cumulative function of an individual's trait test anxiety and situation-specific variables such as low self-confidence for tasks at hand, exams perceived as highly </w:t>
      </w:r>
      <w:proofErr w:type="gramStart"/>
      <w:r w:rsidRPr="00D30DBB">
        <w:rPr>
          <w:rFonts w:ascii="Times New Roman" w:eastAsia="Times New Roman" w:hAnsi="Times New Roman" w:cs="Times New Roman"/>
          <w:kern w:val="0"/>
          <w:lang w:eastAsia="en-AU"/>
          <w14:ligatures w14:val="none"/>
        </w:rPr>
        <w:t>threatening, or</w:t>
      </w:r>
      <w:proofErr w:type="gramEnd"/>
      <w:r w:rsidRPr="00D30DBB">
        <w:rPr>
          <w:rFonts w:ascii="Times New Roman" w:eastAsia="Times New Roman" w:hAnsi="Times New Roman" w:cs="Times New Roman"/>
          <w:kern w:val="0"/>
          <w:lang w:eastAsia="en-AU"/>
          <w14:ligatures w14:val="none"/>
        </w:rPr>
        <w:t xml:space="preserve"> feeling of unpreparedness for the exam (Cassady &amp; Johnson, 2002; Zohar, 1998). These models supplement each other to explain the anxiety-academic performance relationship (Zhang, 2014).</w:t>
      </w:r>
    </w:p>
    <w:p w14:paraId="0EAB809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In recent times, researchers have used test anxiety as at least a two-dimensional construct with affective and cognitive components (Berk &amp; Nanda, 2006; Cassady &amp; Johnson, 2002; Chapell et al., 2005). The affective dimension (emotionality) refers to behavioural or physical reactions to testing situations, such as fear, nervousness, and physical discomfort (Hancock, 2001; Pintrich &amp; Schunk, 2002; Williams, 1994). This high level of emotionality is evident through physiological responses experienced during evaluative situations (Cassady &amp; Johnson, 2002). The cognitive dimension (worry) refers to cognitive concerns about performance, such as worry about the testing situation or negative performance expectations (</w:t>
      </w:r>
      <w:proofErr w:type="spellStart"/>
      <w:r w:rsidRPr="00D30DBB">
        <w:rPr>
          <w:rFonts w:ascii="Times New Roman" w:eastAsia="Times New Roman" w:hAnsi="Times New Roman" w:cs="Times New Roman"/>
          <w:kern w:val="0"/>
          <w:lang w:eastAsia="en-AU"/>
          <w14:ligatures w14:val="none"/>
        </w:rPr>
        <w:t>Depreeuw</w:t>
      </w:r>
      <w:proofErr w:type="spellEnd"/>
      <w:r w:rsidRPr="00D30DBB">
        <w:rPr>
          <w:rFonts w:ascii="Times New Roman" w:eastAsia="Times New Roman" w:hAnsi="Times New Roman" w:cs="Times New Roman"/>
          <w:kern w:val="0"/>
          <w:lang w:eastAsia="en-AU"/>
          <w14:ligatures w14:val="none"/>
        </w:rPr>
        <w:t>, 1984; Hembree, 1988; Morris et al., 1981). The cognitive aspect of test anxiety has been significantly accounted for declines in the academic achievement of adolescents and postsecondary students (</w:t>
      </w: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xml:space="preserve"> et al., 1995; Hembree, 1988; Williams, 1991). Two types of anxieties, facilitating and debilitating, were also documented by some test anxiety researchers (Breen, 2014). Facilitating anxiety is a type of test anxiety beneficial to students' academic achievements (Alpert, 1960; Yazici, 2017), while the debilitating type of test anxiety is detrimental to students' academic achievements (Alpert, 1960; </w:t>
      </w:r>
      <w:proofErr w:type="spellStart"/>
      <w:r w:rsidRPr="00D30DBB">
        <w:rPr>
          <w:rFonts w:ascii="Times New Roman" w:eastAsia="Times New Roman" w:hAnsi="Times New Roman" w:cs="Times New Roman"/>
          <w:kern w:val="0"/>
          <w:lang w:eastAsia="en-AU"/>
          <w14:ligatures w14:val="none"/>
        </w:rPr>
        <w:t>Khalaila</w:t>
      </w:r>
      <w:proofErr w:type="spellEnd"/>
      <w:r w:rsidRPr="00D30DBB">
        <w:rPr>
          <w:rFonts w:ascii="Times New Roman" w:eastAsia="Times New Roman" w:hAnsi="Times New Roman" w:cs="Times New Roman"/>
          <w:kern w:val="0"/>
          <w:lang w:eastAsia="en-AU"/>
          <w14:ligatures w14:val="none"/>
        </w:rPr>
        <w:t>, 2015). These two types of anxieties are also helpful in an understanding of the anxiety-performance relationship.</w:t>
      </w:r>
    </w:p>
    <w:p w14:paraId="64719D5D"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Empirical Literature on Anxiety and Academic Performance</w:t>
      </w:r>
    </w:p>
    <w:p w14:paraId="75AED79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commonly observed finding is that test anxiety is common in an educational setting (Hembree, 1988). Test anxiety literature is diverse, and it has many explanations about different dimensions of test anxiety and how they affect students' academic performance in different types of educational institutions, subjects, or curriculum levels. In the current paper, we conceptualise test anxiety as a construct comprising both emotionality (affective dimension) and worry (cognitive) components, consistent with the prior works of Chapell et al. (2005).</w:t>
      </w:r>
    </w:p>
    <w:p w14:paraId="4F90CD4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empirical literature on the relationship between anxiety and performance demonstrates no relationship, negative, or positive relationship. Most empirical studies on test anxiety suggest a statistically significant inverse relationship between test anxiety and students' achievement, though other relations are not frequently reported. Nicholson (2009) explored the effects of test anxiety on student achievement of grade 11 students and revealed that anxiety and achievement are related. Several studies reported a negative relationship between test anxiety and academic performance. Gaudry and Spielberger (1971), Chapell et al. (2005), Khalid and Hasan (2009), and Chin et al. (2017) attributed high/low anxiety for poor/good performance at university levels studies. Some meta-analytic studies reinforce the negative relationship (see Hembree, 1988; Schwarzer, 1990; Seipp, 1991). These meta-analytic studies also report a statistically significant -0.21 co-relationship between test anxiety and academic performance.</w:t>
      </w:r>
    </w:p>
    <w:p w14:paraId="011F5949" w14:textId="77777777" w:rsidR="00D30DBB" w:rsidRPr="00D30DBB" w:rsidRDefault="00D30DBB" w:rsidP="00D30DBB">
      <w:pPr>
        <w:spacing w:before="100" w:beforeAutospacing="1" w:after="100" w:afterAutospacing="1" w:line="240" w:lineRule="auto"/>
        <w:outlineLvl w:val="3"/>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Subscales of Test Anxiety: Worry and Emotionality</w:t>
      </w:r>
    </w:p>
    <w:p w14:paraId="2AB1061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Some other authors examined test anxiety subscales, worry and emotionality, and their relationships with academic performance. Worry is widely explored in different subjects in diverse educational settings, either alone or with the emotion dimension along with other personal/demographic variables and their effect on academic performance.</w:t>
      </w:r>
    </w:p>
    <w:p w14:paraId="644429A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Akpur</w:t>
      </w:r>
      <w:proofErr w:type="spellEnd"/>
      <w:r w:rsidRPr="00D30DBB">
        <w:rPr>
          <w:rFonts w:ascii="Times New Roman" w:eastAsia="Times New Roman" w:hAnsi="Times New Roman" w:cs="Times New Roman"/>
          <w:kern w:val="0"/>
          <w:lang w:eastAsia="en-AU"/>
          <w14:ligatures w14:val="none"/>
        </w:rPr>
        <w:t xml:space="preserve"> (2017) examined the explanatory and predictive relationship model involving procrastination, motivation, anxiety, and academic achievement of university students and </w:t>
      </w:r>
      <w:r w:rsidRPr="00D30DBB">
        <w:rPr>
          <w:rFonts w:ascii="Times New Roman" w:eastAsia="Times New Roman" w:hAnsi="Times New Roman" w:cs="Times New Roman"/>
          <w:kern w:val="0"/>
          <w:lang w:eastAsia="en-AU"/>
          <w14:ligatures w14:val="none"/>
        </w:rPr>
        <w:lastRenderedPageBreak/>
        <w:t xml:space="preserve">found no significant relationship between anxiety and academic achievement. Several researchers who observed a negative relationship between worry (or its variants) and academic performance used other variables, learning style, intrinsic motivation to achieve or a lack thereof, and poor study skills for the study of worry-academic performance relationship (Culler, 1980; </w:t>
      </w:r>
      <w:proofErr w:type="spellStart"/>
      <w:r w:rsidRPr="00D30DBB">
        <w:rPr>
          <w:rFonts w:ascii="Times New Roman" w:eastAsia="Times New Roman" w:hAnsi="Times New Roman" w:cs="Times New Roman"/>
          <w:kern w:val="0"/>
          <w:lang w:eastAsia="en-AU"/>
          <w14:ligatures w14:val="none"/>
        </w:rPr>
        <w:t>Khalaila</w:t>
      </w:r>
      <w:proofErr w:type="spellEnd"/>
      <w:r w:rsidRPr="00D30DBB">
        <w:rPr>
          <w:rFonts w:ascii="Times New Roman" w:eastAsia="Times New Roman" w:hAnsi="Times New Roman" w:cs="Times New Roman"/>
          <w:kern w:val="0"/>
          <w:lang w:eastAsia="en-AU"/>
          <w14:ligatures w14:val="none"/>
        </w:rPr>
        <w:t xml:space="preserve">, 2015; Yazici, 2017). Several researchers who observed a positive relationship between worry (or its variants) and academic performance used other variables, achievement motivation, self-efficacy beliefs, perceptions about responsibilities for own success or failure for the study of worry and academic performance relations (Balogun et al., 2017; Lusk, 1983; </w:t>
      </w:r>
      <w:proofErr w:type="spellStart"/>
      <w:r w:rsidRPr="00D30DBB">
        <w:rPr>
          <w:rFonts w:ascii="Times New Roman" w:eastAsia="Times New Roman" w:hAnsi="Times New Roman" w:cs="Times New Roman"/>
          <w:kern w:val="0"/>
          <w:lang w:eastAsia="en-AU"/>
          <w14:ligatures w14:val="none"/>
        </w:rPr>
        <w:t>Pouratashi</w:t>
      </w:r>
      <w:proofErr w:type="spellEnd"/>
      <w:r w:rsidRPr="00D30DBB">
        <w:rPr>
          <w:rFonts w:ascii="Times New Roman" w:eastAsia="Times New Roman" w:hAnsi="Times New Roman" w:cs="Times New Roman"/>
          <w:kern w:val="0"/>
          <w:lang w:eastAsia="en-AU"/>
          <w14:ligatures w14:val="none"/>
        </w:rPr>
        <w:t xml:space="preserve"> et al., 2013).</w:t>
      </w:r>
    </w:p>
    <w:p w14:paraId="25FFBE75"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second strand of the literature on worry levels, with or without other independent (control) variables, examined several worry dimensions, mainly related to achievement concerns that can be perceived as challenges to succeed as a trigger to be proactive. This body of literature has reported many factors together with worry, such as learning ability (as opposed to disability) and facilitating test anxiety as contributing to good academic achievement (Alpert, 1960; Breen, 2014; Peleg, 2009; Prociuk, 1973). However, worry in the presence of other factors such as learning disability and debilitating anxiety was also reported to cause poor academic performance in some studies (Peleg, 2009; Prociuk, 1973). In extremely rare cases, no relationship between different worry dimensions and academic performance was also reported (Grooms &amp; Endler, 1960).</w:t>
      </w:r>
    </w:p>
    <w:p w14:paraId="5F3A602D"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Emotionality and Gender Differences</w:t>
      </w:r>
    </w:p>
    <w:p w14:paraId="5D8877B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second subscale of test anxiety examined emotionality, and the effect of emotion (alone or with other variables) on academic performance. Different elements of emotion (depression, facilitating and debilitating type cognitive anxiety, emotion-focused strategy, and academic buoyancy by anxiety profiles) were examined in diverse educational contexts. Most of these studies examined other factors with the emotional dimension of anxiety and reported a negative effect of these factors on the academic performance of students in higher education institutions (</w:t>
      </w:r>
      <w:proofErr w:type="spellStart"/>
      <w:r w:rsidRPr="00D30DBB">
        <w:rPr>
          <w:rFonts w:ascii="Times New Roman" w:eastAsia="Times New Roman" w:hAnsi="Times New Roman" w:cs="Times New Roman"/>
          <w:kern w:val="0"/>
          <w:lang w:eastAsia="en-AU"/>
          <w14:ligatures w14:val="none"/>
        </w:rPr>
        <w:t>Putwain</w:t>
      </w:r>
      <w:proofErr w:type="spellEnd"/>
      <w:r w:rsidRPr="00D30DBB">
        <w:rPr>
          <w:rFonts w:ascii="Times New Roman" w:eastAsia="Times New Roman" w:hAnsi="Times New Roman" w:cs="Times New Roman"/>
          <w:kern w:val="0"/>
          <w:lang w:eastAsia="en-AU"/>
          <w14:ligatures w14:val="none"/>
        </w:rPr>
        <w:t xml:space="preserve"> et al., 2013; Thomas et al., 2017; Titilope &amp; </w:t>
      </w:r>
      <w:proofErr w:type="spellStart"/>
      <w:r w:rsidRPr="00D30DBB">
        <w:rPr>
          <w:rFonts w:ascii="Times New Roman" w:eastAsia="Times New Roman" w:hAnsi="Times New Roman" w:cs="Times New Roman"/>
          <w:kern w:val="0"/>
          <w:lang w:eastAsia="en-AU"/>
          <w14:ligatures w14:val="none"/>
        </w:rPr>
        <w:t>Idiong</w:t>
      </w:r>
      <w:proofErr w:type="spellEnd"/>
      <w:r w:rsidRPr="00D30DBB">
        <w:rPr>
          <w:rFonts w:ascii="Times New Roman" w:eastAsia="Times New Roman" w:hAnsi="Times New Roman" w:cs="Times New Roman"/>
          <w:kern w:val="0"/>
          <w:lang w:eastAsia="en-AU"/>
          <w14:ligatures w14:val="none"/>
        </w:rPr>
        <w:t>, 2017).</w:t>
      </w:r>
    </w:p>
    <w:p w14:paraId="57665BE2"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While test anxiety is considered the core determinant of academic performance, other explanatory variables were supplemented with test anxiety to explain academic performance. Gender is the most observed explanatory variable widely discussed in different educational contexts such as university, school levels, and subject contexts to explain academic performance. Several researchers explored gender differences for test anxiety and found that female students have higher overall test anxiety levels than male students (Balkis, 2017; </w:t>
      </w: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xml:space="preserve"> et al., 2003; Cassady &amp; Johnson, 2002; Chapell et al., 2005; </w:t>
      </w: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1994a; Pomerantz et al., 2002; Sheard, 2009). However, no significant anxiety difference between gender and no significant relationship between anxiety and performance were also reported (Razak et al., 2017). In addition to anxiety measures, gender, and other gender-related attributes such as study timing (chronotype) and conscientiousness, reported better academic performance of female students than male students (</w:t>
      </w:r>
      <w:proofErr w:type="spellStart"/>
      <w:r w:rsidRPr="00D30DBB">
        <w:rPr>
          <w:rFonts w:ascii="Times New Roman" w:eastAsia="Times New Roman" w:hAnsi="Times New Roman" w:cs="Times New Roman"/>
          <w:kern w:val="0"/>
          <w:lang w:eastAsia="en-AU"/>
          <w14:ligatures w14:val="none"/>
        </w:rPr>
        <w:t>Rahafar</w:t>
      </w:r>
      <w:proofErr w:type="spellEnd"/>
      <w:r w:rsidRPr="00D30DBB">
        <w:rPr>
          <w:rFonts w:ascii="Times New Roman" w:eastAsia="Times New Roman" w:hAnsi="Times New Roman" w:cs="Times New Roman"/>
          <w:kern w:val="0"/>
          <w:lang w:eastAsia="en-AU"/>
          <w14:ligatures w14:val="none"/>
        </w:rPr>
        <w:t xml:space="preserve"> et al., 2016).</w:t>
      </w:r>
    </w:p>
    <w:p w14:paraId="0CDFDF3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Several researchers have examined the role of gender in emotionality and academic performance and found female students to experience more anxiety and higher sensitivity to perceived threats to academic performance compared with males (Culler &amp; Holahan, 1980; Hembree, 1988). Other factors related to anxiety, such as emotional state and high anxiety and stress levels, were found to predict low academic performance (</w:t>
      </w:r>
      <w:proofErr w:type="spellStart"/>
      <w:r w:rsidRPr="00D30DBB">
        <w:rPr>
          <w:rFonts w:ascii="Times New Roman" w:eastAsia="Times New Roman" w:hAnsi="Times New Roman" w:cs="Times New Roman"/>
          <w:kern w:val="0"/>
          <w:lang w:eastAsia="en-AU"/>
          <w14:ligatures w14:val="none"/>
        </w:rPr>
        <w:t>Putwain</w:t>
      </w:r>
      <w:proofErr w:type="spellEnd"/>
      <w:r w:rsidRPr="00D30DBB">
        <w:rPr>
          <w:rFonts w:ascii="Times New Roman" w:eastAsia="Times New Roman" w:hAnsi="Times New Roman" w:cs="Times New Roman"/>
          <w:kern w:val="0"/>
          <w:lang w:eastAsia="en-AU"/>
          <w14:ligatures w14:val="none"/>
        </w:rPr>
        <w:t xml:space="preserve"> et al., 2013; Thomas et al., 2017; Titilope &amp; </w:t>
      </w:r>
      <w:proofErr w:type="spellStart"/>
      <w:r w:rsidRPr="00D30DBB">
        <w:rPr>
          <w:rFonts w:ascii="Times New Roman" w:eastAsia="Times New Roman" w:hAnsi="Times New Roman" w:cs="Times New Roman"/>
          <w:kern w:val="0"/>
          <w:lang w:eastAsia="en-AU"/>
          <w14:ligatures w14:val="none"/>
        </w:rPr>
        <w:t>Idiong</w:t>
      </w:r>
      <w:proofErr w:type="spellEnd"/>
      <w:r w:rsidRPr="00D30DBB">
        <w:rPr>
          <w:rFonts w:ascii="Times New Roman" w:eastAsia="Times New Roman" w:hAnsi="Times New Roman" w:cs="Times New Roman"/>
          <w:kern w:val="0"/>
          <w:lang w:eastAsia="en-AU"/>
          <w14:ligatures w14:val="none"/>
        </w:rPr>
        <w:t>, 2017).</w:t>
      </w:r>
    </w:p>
    <w:p w14:paraId="0383335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In sum, several factors with gender are considered; performance differences are better predicted than when gender alone was used for predicting academic performance. In the context of the current study, the effect of gender on academic performance is expected to be strengthened if other factors are used to predict academic performance or performance gaps between genders.</w:t>
      </w:r>
    </w:p>
    <w:p w14:paraId="5B54B1AC"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Discipline-Specific Studies</w:t>
      </w:r>
    </w:p>
    <w:p w14:paraId="5B30E80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Several studies in recent years have examined the impact of test anxiety on academic performance across disciplines. For instance, medical students often experience high levels of stress and academic workload (Dahlin et al., 2005; Guthrie et al., 1998; Newton et al., 2000; </w:t>
      </w:r>
      <w:proofErr w:type="spellStart"/>
      <w:r w:rsidRPr="00D30DBB">
        <w:rPr>
          <w:rFonts w:ascii="Times New Roman" w:eastAsia="Times New Roman" w:hAnsi="Times New Roman" w:cs="Times New Roman"/>
          <w:kern w:val="0"/>
          <w:lang w:eastAsia="en-AU"/>
          <w14:ligatures w14:val="none"/>
        </w:rPr>
        <w:t>Tyssen</w:t>
      </w:r>
      <w:proofErr w:type="spellEnd"/>
      <w:r w:rsidRPr="00D30DBB">
        <w:rPr>
          <w:rFonts w:ascii="Times New Roman" w:eastAsia="Times New Roman" w:hAnsi="Times New Roman" w:cs="Times New Roman"/>
          <w:kern w:val="0"/>
          <w:lang w:eastAsia="en-AU"/>
          <w14:ligatures w14:val="none"/>
        </w:rPr>
        <w:t xml:space="preserve"> et al., 2001). Chiropractic students also report significant anxiety and performance declines due to various anxieties (Meseke et al., 2010; Schutz et al., 2011). Zhang (2014) studied chiropractic students and found high test anxiety to be a weak predictor of performance, with worry and emotionality being more significant predictors. While research on business students is limited, exploring various subjects within this discipline could offer insights into the anxiety-performance relationship.</w:t>
      </w:r>
    </w:p>
    <w:p w14:paraId="7E41440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review of theoretical and empirical research above on test anxiety suggests several implications for future studies. There is a need for more detailed exploration of the interplay between different anxiety dimensions and their impact on academic performance across diverse educational contexts. The review also suggests the need to isolate specific factors such as study habits, perceived responsibilities, and individual differences to better understand their role in the anxiety-performance relationship. Additionally, examining gender differences in greater depth, particularly how various factors interact with gender to influence performance, could provide valuable insights. Given the limited research on business students, expanding studies in this area could help identify unique aspects of anxiety and performance within different academic disciplines. The current study is a step forward to exploring these unresearched domains of anxiety-performance relationship in a business discipline in a business program at a regional university in Bangladesh.</w:t>
      </w:r>
    </w:p>
    <w:p w14:paraId="28DACBCE"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Research Methodology</w:t>
      </w:r>
    </w:p>
    <w:p w14:paraId="6CC977F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This exploratory study employs a survey technique. This section outlines the sample, research instrument, and data collection procedures.</w:t>
      </w:r>
    </w:p>
    <w:p w14:paraId="080C7902"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Sample</w:t>
      </w:r>
    </w:p>
    <w:p w14:paraId="618AE46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Students from a business major were selected from a business faculty at a regional university in Bangladesh. A total of 200 out of 250 students from third and fourth years in a four-year degree program participated in the survey, yielding a response rate of 80%. Table 1 summarises the breakdown of the useable responses to the survey.</w:t>
      </w:r>
    </w:p>
    <w:p w14:paraId="2869BA8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Table 1: Demographic data for all students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5"/>
        <w:gridCol w:w="1367"/>
        <w:gridCol w:w="420"/>
        <w:gridCol w:w="315"/>
      </w:tblGrid>
      <w:tr w:rsidR="00D30DBB" w:rsidRPr="00D30DBB" w14:paraId="3B7DF7AC" w14:textId="77777777" w:rsidTr="00D30DBB">
        <w:trPr>
          <w:tblHeader/>
          <w:tblCellSpacing w:w="15" w:type="dxa"/>
        </w:trPr>
        <w:tc>
          <w:tcPr>
            <w:tcW w:w="0" w:type="auto"/>
            <w:vAlign w:val="center"/>
            <w:hideMark/>
          </w:tcPr>
          <w:p w14:paraId="7B25CF31"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Demographics</w:t>
            </w:r>
          </w:p>
        </w:tc>
        <w:tc>
          <w:tcPr>
            <w:tcW w:w="0" w:type="auto"/>
            <w:vAlign w:val="center"/>
            <w:hideMark/>
          </w:tcPr>
          <w:p w14:paraId="748A7831"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Groups</w:t>
            </w:r>
          </w:p>
        </w:tc>
        <w:tc>
          <w:tcPr>
            <w:tcW w:w="0" w:type="auto"/>
            <w:vAlign w:val="center"/>
            <w:hideMark/>
          </w:tcPr>
          <w:p w14:paraId="7F31F77E"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N</w:t>
            </w:r>
          </w:p>
        </w:tc>
        <w:tc>
          <w:tcPr>
            <w:tcW w:w="0" w:type="auto"/>
            <w:vAlign w:val="center"/>
            <w:hideMark/>
          </w:tcPr>
          <w:p w14:paraId="3AF09B2E"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w:t>
            </w:r>
          </w:p>
        </w:tc>
      </w:tr>
      <w:tr w:rsidR="00D30DBB" w:rsidRPr="00D30DBB" w14:paraId="7133BBEE" w14:textId="77777777" w:rsidTr="00D30DBB">
        <w:trPr>
          <w:tblCellSpacing w:w="15" w:type="dxa"/>
        </w:trPr>
        <w:tc>
          <w:tcPr>
            <w:tcW w:w="0" w:type="auto"/>
            <w:vAlign w:val="center"/>
            <w:hideMark/>
          </w:tcPr>
          <w:p w14:paraId="6A9351A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Sex</w:t>
            </w:r>
          </w:p>
        </w:tc>
        <w:tc>
          <w:tcPr>
            <w:tcW w:w="0" w:type="auto"/>
            <w:vAlign w:val="center"/>
            <w:hideMark/>
          </w:tcPr>
          <w:p w14:paraId="30B0818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Male</w:t>
            </w:r>
          </w:p>
        </w:tc>
        <w:tc>
          <w:tcPr>
            <w:tcW w:w="0" w:type="auto"/>
            <w:vAlign w:val="center"/>
            <w:hideMark/>
          </w:tcPr>
          <w:p w14:paraId="7E652C2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132</w:t>
            </w:r>
          </w:p>
        </w:tc>
        <w:tc>
          <w:tcPr>
            <w:tcW w:w="0" w:type="auto"/>
            <w:vAlign w:val="center"/>
            <w:hideMark/>
          </w:tcPr>
          <w:p w14:paraId="0A5B7211"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66</w:t>
            </w:r>
          </w:p>
        </w:tc>
      </w:tr>
      <w:tr w:rsidR="00D30DBB" w:rsidRPr="00D30DBB" w14:paraId="59590E30" w14:textId="77777777" w:rsidTr="00D30DBB">
        <w:trPr>
          <w:tblCellSpacing w:w="15" w:type="dxa"/>
        </w:trPr>
        <w:tc>
          <w:tcPr>
            <w:tcW w:w="0" w:type="auto"/>
            <w:vAlign w:val="center"/>
            <w:hideMark/>
          </w:tcPr>
          <w:p w14:paraId="68BD9DC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4D5AF97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Female</w:t>
            </w:r>
          </w:p>
        </w:tc>
        <w:tc>
          <w:tcPr>
            <w:tcW w:w="0" w:type="auto"/>
            <w:vAlign w:val="center"/>
            <w:hideMark/>
          </w:tcPr>
          <w:p w14:paraId="3621351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68</w:t>
            </w:r>
          </w:p>
        </w:tc>
        <w:tc>
          <w:tcPr>
            <w:tcW w:w="0" w:type="auto"/>
            <w:vAlign w:val="center"/>
            <w:hideMark/>
          </w:tcPr>
          <w:p w14:paraId="32FE1AD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34</w:t>
            </w:r>
          </w:p>
        </w:tc>
      </w:tr>
      <w:tr w:rsidR="00D30DBB" w:rsidRPr="00D30DBB" w14:paraId="7EB0066C" w14:textId="77777777" w:rsidTr="00D30DBB">
        <w:trPr>
          <w:tblCellSpacing w:w="15" w:type="dxa"/>
        </w:trPr>
        <w:tc>
          <w:tcPr>
            <w:tcW w:w="0" w:type="auto"/>
            <w:vAlign w:val="center"/>
            <w:hideMark/>
          </w:tcPr>
          <w:p w14:paraId="48821DF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lastRenderedPageBreak/>
              <w:t>College_Major</w:t>
            </w:r>
            <w:proofErr w:type="spellEnd"/>
          </w:p>
        </w:tc>
        <w:tc>
          <w:tcPr>
            <w:tcW w:w="0" w:type="auto"/>
            <w:vAlign w:val="center"/>
            <w:hideMark/>
          </w:tcPr>
          <w:p w14:paraId="42C4F82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Business</w:t>
            </w:r>
          </w:p>
        </w:tc>
        <w:tc>
          <w:tcPr>
            <w:tcW w:w="0" w:type="auto"/>
            <w:vAlign w:val="center"/>
            <w:hideMark/>
          </w:tcPr>
          <w:p w14:paraId="1970E56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130</w:t>
            </w:r>
          </w:p>
        </w:tc>
        <w:tc>
          <w:tcPr>
            <w:tcW w:w="0" w:type="auto"/>
            <w:vAlign w:val="center"/>
            <w:hideMark/>
          </w:tcPr>
          <w:p w14:paraId="1B1E9111"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65</w:t>
            </w:r>
          </w:p>
        </w:tc>
      </w:tr>
      <w:tr w:rsidR="00D30DBB" w:rsidRPr="00D30DBB" w14:paraId="688937D4" w14:textId="77777777" w:rsidTr="00D30DBB">
        <w:trPr>
          <w:tblCellSpacing w:w="15" w:type="dxa"/>
        </w:trPr>
        <w:tc>
          <w:tcPr>
            <w:tcW w:w="0" w:type="auto"/>
            <w:vAlign w:val="center"/>
            <w:hideMark/>
          </w:tcPr>
          <w:p w14:paraId="41F367D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31E3F18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Non-business</w:t>
            </w:r>
          </w:p>
        </w:tc>
        <w:tc>
          <w:tcPr>
            <w:tcW w:w="0" w:type="auto"/>
            <w:vAlign w:val="center"/>
            <w:hideMark/>
          </w:tcPr>
          <w:p w14:paraId="10B5D85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70</w:t>
            </w:r>
          </w:p>
        </w:tc>
        <w:tc>
          <w:tcPr>
            <w:tcW w:w="0" w:type="auto"/>
            <w:vAlign w:val="center"/>
            <w:hideMark/>
          </w:tcPr>
          <w:p w14:paraId="2B39EEC1"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35</w:t>
            </w:r>
          </w:p>
        </w:tc>
      </w:tr>
      <w:tr w:rsidR="00D30DBB" w:rsidRPr="00D30DBB" w14:paraId="6EDC19D2" w14:textId="77777777" w:rsidTr="00D30DBB">
        <w:trPr>
          <w:tblCellSpacing w:w="15" w:type="dxa"/>
        </w:trPr>
        <w:tc>
          <w:tcPr>
            <w:tcW w:w="0" w:type="auto"/>
            <w:vAlign w:val="center"/>
            <w:hideMark/>
          </w:tcPr>
          <w:p w14:paraId="732FB86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Age</w:t>
            </w:r>
          </w:p>
        </w:tc>
        <w:tc>
          <w:tcPr>
            <w:tcW w:w="0" w:type="auto"/>
            <w:vAlign w:val="center"/>
            <w:hideMark/>
          </w:tcPr>
          <w:p w14:paraId="08C3037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&lt;22</w:t>
            </w:r>
          </w:p>
        </w:tc>
        <w:tc>
          <w:tcPr>
            <w:tcW w:w="0" w:type="auto"/>
            <w:vAlign w:val="center"/>
            <w:hideMark/>
          </w:tcPr>
          <w:p w14:paraId="3C68CC5D"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153</w:t>
            </w:r>
          </w:p>
        </w:tc>
        <w:tc>
          <w:tcPr>
            <w:tcW w:w="0" w:type="auto"/>
            <w:vAlign w:val="center"/>
            <w:hideMark/>
          </w:tcPr>
          <w:p w14:paraId="1B74E75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77</w:t>
            </w:r>
          </w:p>
        </w:tc>
      </w:tr>
      <w:tr w:rsidR="00D30DBB" w:rsidRPr="00D30DBB" w14:paraId="2FCCB86D" w14:textId="77777777" w:rsidTr="00D30DBB">
        <w:trPr>
          <w:tblCellSpacing w:w="15" w:type="dxa"/>
        </w:trPr>
        <w:tc>
          <w:tcPr>
            <w:tcW w:w="0" w:type="auto"/>
            <w:vAlign w:val="center"/>
            <w:hideMark/>
          </w:tcPr>
          <w:p w14:paraId="0CD77AFD"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4195EC6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&gt;22</w:t>
            </w:r>
          </w:p>
        </w:tc>
        <w:tc>
          <w:tcPr>
            <w:tcW w:w="0" w:type="auto"/>
            <w:vAlign w:val="center"/>
            <w:hideMark/>
          </w:tcPr>
          <w:p w14:paraId="2F9A7FD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47</w:t>
            </w:r>
          </w:p>
        </w:tc>
        <w:tc>
          <w:tcPr>
            <w:tcW w:w="0" w:type="auto"/>
            <w:vAlign w:val="center"/>
            <w:hideMark/>
          </w:tcPr>
          <w:p w14:paraId="55260CF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24</w:t>
            </w:r>
          </w:p>
        </w:tc>
      </w:tr>
      <w:tr w:rsidR="00D30DBB" w:rsidRPr="00D30DBB" w14:paraId="1738F1C7" w14:textId="77777777" w:rsidTr="00D30DBB">
        <w:trPr>
          <w:tblCellSpacing w:w="15" w:type="dxa"/>
        </w:trPr>
        <w:tc>
          <w:tcPr>
            <w:tcW w:w="0" w:type="auto"/>
            <w:vAlign w:val="center"/>
            <w:hideMark/>
          </w:tcPr>
          <w:p w14:paraId="5BCBECC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SES</w:t>
            </w:r>
          </w:p>
        </w:tc>
        <w:tc>
          <w:tcPr>
            <w:tcW w:w="0" w:type="auto"/>
            <w:vAlign w:val="center"/>
            <w:hideMark/>
          </w:tcPr>
          <w:p w14:paraId="3946D36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Rich</w:t>
            </w:r>
          </w:p>
        </w:tc>
        <w:tc>
          <w:tcPr>
            <w:tcW w:w="0" w:type="auto"/>
            <w:vAlign w:val="center"/>
            <w:hideMark/>
          </w:tcPr>
          <w:p w14:paraId="6D28D2B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5</w:t>
            </w:r>
          </w:p>
        </w:tc>
        <w:tc>
          <w:tcPr>
            <w:tcW w:w="0" w:type="auto"/>
            <w:vAlign w:val="center"/>
            <w:hideMark/>
          </w:tcPr>
          <w:p w14:paraId="5229589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w:t>
            </w:r>
          </w:p>
        </w:tc>
      </w:tr>
      <w:tr w:rsidR="00D30DBB" w:rsidRPr="00D30DBB" w14:paraId="0B968703" w14:textId="77777777" w:rsidTr="00D30DBB">
        <w:trPr>
          <w:tblCellSpacing w:w="15" w:type="dxa"/>
        </w:trPr>
        <w:tc>
          <w:tcPr>
            <w:tcW w:w="0" w:type="auto"/>
            <w:vAlign w:val="center"/>
            <w:hideMark/>
          </w:tcPr>
          <w:p w14:paraId="7EA00CF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5D1F8B3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Poor</w:t>
            </w:r>
          </w:p>
        </w:tc>
        <w:tc>
          <w:tcPr>
            <w:tcW w:w="0" w:type="auto"/>
            <w:vAlign w:val="center"/>
            <w:hideMark/>
          </w:tcPr>
          <w:p w14:paraId="1E2BE10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43</w:t>
            </w:r>
          </w:p>
        </w:tc>
        <w:tc>
          <w:tcPr>
            <w:tcW w:w="0" w:type="auto"/>
            <w:vAlign w:val="center"/>
            <w:hideMark/>
          </w:tcPr>
          <w:p w14:paraId="146541B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22</w:t>
            </w:r>
          </w:p>
        </w:tc>
      </w:tr>
      <w:tr w:rsidR="00D30DBB" w:rsidRPr="00D30DBB" w14:paraId="4E96A32F" w14:textId="77777777" w:rsidTr="00D30DBB">
        <w:trPr>
          <w:tblCellSpacing w:w="15" w:type="dxa"/>
        </w:trPr>
        <w:tc>
          <w:tcPr>
            <w:tcW w:w="0" w:type="auto"/>
            <w:vAlign w:val="center"/>
            <w:hideMark/>
          </w:tcPr>
          <w:p w14:paraId="28C631C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5670F8F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Middle class</w:t>
            </w:r>
          </w:p>
        </w:tc>
        <w:tc>
          <w:tcPr>
            <w:tcW w:w="0" w:type="auto"/>
            <w:vAlign w:val="center"/>
            <w:hideMark/>
          </w:tcPr>
          <w:p w14:paraId="470BC26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152</w:t>
            </w:r>
          </w:p>
        </w:tc>
        <w:tc>
          <w:tcPr>
            <w:tcW w:w="0" w:type="auto"/>
            <w:vAlign w:val="center"/>
            <w:hideMark/>
          </w:tcPr>
          <w:p w14:paraId="292D6C0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76</w:t>
            </w:r>
          </w:p>
        </w:tc>
      </w:tr>
      <w:tr w:rsidR="00D30DBB" w:rsidRPr="00D30DBB" w14:paraId="46E3E5C6" w14:textId="77777777" w:rsidTr="00D30DBB">
        <w:trPr>
          <w:tblCellSpacing w:w="15" w:type="dxa"/>
        </w:trPr>
        <w:tc>
          <w:tcPr>
            <w:tcW w:w="0" w:type="auto"/>
            <w:vAlign w:val="center"/>
            <w:hideMark/>
          </w:tcPr>
          <w:p w14:paraId="03FF1CF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College_location</w:t>
            </w:r>
            <w:proofErr w:type="spellEnd"/>
          </w:p>
        </w:tc>
        <w:tc>
          <w:tcPr>
            <w:tcW w:w="0" w:type="auto"/>
            <w:vAlign w:val="center"/>
            <w:hideMark/>
          </w:tcPr>
          <w:p w14:paraId="6D06EFD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Locals</w:t>
            </w:r>
          </w:p>
        </w:tc>
        <w:tc>
          <w:tcPr>
            <w:tcW w:w="0" w:type="auto"/>
            <w:vAlign w:val="center"/>
            <w:hideMark/>
          </w:tcPr>
          <w:p w14:paraId="3E2D041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85</w:t>
            </w:r>
          </w:p>
        </w:tc>
        <w:tc>
          <w:tcPr>
            <w:tcW w:w="0" w:type="auto"/>
            <w:vAlign w:val="center"/>
            <w:hideMark/>
          </w:tcPr>
          <w:p w14:paraId="6001FA1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43</w:t>
            </w:r>
          </w:p>
        </w:tc>
      </w:tr>
      <w:tr w:rsidR="00D30DBB" w:rsidRPr="00D30DBB" w14:paraId="47E9D4E5" w14:textId="77777777" w:rsidTr="00D30DBB">
        <w:trPr>
          <w:tblCellSpacing w:w="15" w:type="dxa"/>
        </w:trPr>
        <w:tc>
          <w:tcPr>
            <w:tcW w:w="0" w:type="auto"/>
            <w:vAlign w:val="center"/>
            <w:hideMark/>
          </w:tcPr>
          <w:p w14:paraId="2FF2B73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0D6BB47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Outsiders</w:t>
            </w:r>
          </w:p>
        </w:tc>
        <w:tc>
          <w:tcPr>
            <w:tcW w:w="0" w:type="auto"/>
            <w:vAlign w:val="center"/>
            <w:hideMark/>
          </w:tcPr>
          <w:p w14:paraId="77F6F9E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115</w:t>
            </w:r>
          </w:p>
        </w:tc>
        <w:tc>
          <w:tcPr>
            <w:tcW w:w="0" w:type="auto"/>
            <w:vAlign w:val="center"/>
            <w:hideMark/>
          </w:tcPr>
          <w:p w14:paraId="58DD96A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58</w:t>
            </w:r>
          </w:p>
        </w:tc>
      </w:tr>
    </w:tbl>
    <w:p w14:paraId="70992690"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i/>
          <w:iCs/>
          <w:kern w:val="0"/>
          <w:lang w:eastAsia="en-AU"/>
          <w14:ligatures w14:val="none"/>
        </w:rPr>
        <w:t>Source: Own compilation</w:t>
      </w:r>
    </w:p>
    <w:p w14:paraId="3E69463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Table 1 above shows that male students represented 66% and female students represented 34% of the student population, 77% students were regular students (age below 22 years) and the remaining 23% was above 22 years or above. In Bangladesh, universities do not allow mature-age students to enrol unless they reappear for an HSC exam (held two years after completing SSC^2^ qualification). In the current study, the students above 22 years represented returning students after one or more years of leave from studies for personal or family reasons. Majority of the students (65%) represented students from business major (commerce stream) students and the remainder from humanities and science (35%) in their college level studies^3^. The students come from various socio-economic backgrounds (self-reported). Most (77%) are from middle-class families, 21% are from low-income families, and 3% come from wealthy backgrounds.</w:t>
      </w:r>
    </w:p>
    <w:p w14:paraId="67B6A495"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Research Instrument</w:t>
      </w:r>
    </w:p>
    <w:p w14:paraId="64D4DFB6"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Spielberger's (1980) Test Anxiety Inventory (TAI) is a 20-item comprehensive measure of anxiety levels, with four additional items addressing bi-dimensionality (Rana &amp; Mahmood, 2010). Following the approach of Chapell et al. (2005) and Zhang (2014), we utilised the TAI questionnaire from Spielberger (1980), supplemented with additional personal and prior study-related factors (college-level major, categorised as business and non-business, comprising of other majors, college level GPA, location as a proxy for education board, and marital status). The justification for adding these variables is to explore if other factors improve the predictions of university academic performance, considering the very low R² values in prior studies as suggested by Chapell et al. (2005) and Zhang (2014) and Zeidner (1999).</w:t>
      </w:r>
    </w:p>
    <w:p w14:paraId="5597456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Chapell et al. (2005) note that the Test Anxiety Inventory (TAI) is globally used to measure overall test anxiety in students. The scale consists of an 8-item emotionality section, an 8-item worry section, and a 4-item general section, making a total of 20 items. The reliability (Cronbach's alpha) for these sections ranges from 0.85 to 0.91 for emotionality, 0.83 to 0.91 for worry, and 0.92 to 0.96 for the general section (Rana &amp; Mahmood, 2010). However, our results diverged from prior research, with Cronbach's alpha values of 0.58 for emotionality, 0.59 for worry, and 0.56 for total anxiety scores.</w:t>
      </w:r>
    </w:p>
    <w:p w14:paraId="274F2730"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To gather information on demographic variables, we developed a Demographic Variables Information Proforma. This form includes student's gender, college major, year of study, self-</w:t>
      </w:r>
      <w:r w:rsidRPr="00D30DBB">
        <w:rPr>
          <w:rFonts w:ascii="Times New Roman" w:eastAsia="Times New Roman" w:hAnsi="Times New Roman" w:cs="Times New Roman"/>
          <w:kern w:val="0"/>
          <w:lang w:eastAsia="en-AU"/>
          <w14:ligatures w14:val="none"/>
        </w:rPr>
        <w:lastRenderedPageBreak/>
        <w:t>reported overall course GPA, marital status, and self-reported binary response to the presence of anxiety. We used course GPA as a measure of academic performance, following Chapell et al. (2005) and Hartman et al. (2016).</w:t>
      </w:r>
    </w:p>
    <w:p w14:paraId="229F25F2"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Data Collection Procedure</w:t>
      </w:r>
    </w:p>
    <w:p w14:paraId="4E7F6FA8"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Prior to data collection, the authors obtained research ethics approval from the institution where the study was conducted. The second author collected the data personally over a month, as students attended classes at various times throughout the week. A written instruction was provided and read to the students each time data was collected to ensure a standardised procedure and minimise errors, following the guidelines of Rana and Mahmood (2010).</w:t>
      </w:r>
    </w:p>
    <w:p w14:paraId="09EB6975"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We have used SPSS 27 and Stata 16 to analyse the data. Our analysis is divided into two parts: demographic information and inferential analysis (which includes test anxiety scores and course GPA). The inferential part reports students' anxiety scores (and their components) alongside their achievement scores.</w:t>
      </w:r>
    </w:p>
    <w:p w14:paraId="273976C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Table 2 below presents the results of a correlation and simple regression analysis using course GPA as the dependent variable and total anxiety, worry and emotionality scores as the independent variables. This approach was used by Rana and Mahmood (2010) in their study. We have added self-reported test anxiety (binary response) and regressed it on course GPA.</w:t>
      </w:r>
    </w:p>
    <w:p w14:paraId="628EC938"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Table 2: Co-relations between course GPA and test anxiety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67"/>
        <w:gridCol w:w="420"/>
        <w:gridCol w:w="1054"/>
        <w:gridCol w:w="1315"/>
      </w:tblGrid>
      <w:tr w:rsidR="00D30DBB" w:rsidRPr="00D30DBB" w14:paraId="6E36DDB4" w14:textId="77777777" w:rsidTr="00D30DBB">
        <w:trPr>
          <w:tblHeader/>
          <w:tblCellSpacing w:w="15" w:type="dxa"/>
        </w:trPr>
        <w:tc>
          <w:tcPr>
            <w:tcW w:w="0" w:type="auto"/>
            <w:vAlign w:val="center"/>
            <w:hideMark/>
          </w:tcPr>
          <w:p w14:paraId="1ACA5F22"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Dimensions</w:t>
            </w:r>
          </w:p>
        </w:tc>
        <w:tc>
          <w:tcPr>
            <w:tcW w:w="0" w:type="auto"/>
            <w:vAlign w:val="center"/>
            <w:hideMark/>
          </w:tcPr>
          <w:p w14:paraId="60B06381"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N</w:t>
            </w:r>
          </w:p>
        </w:tc>
        <w:tc>
          <w:tcPr>
            <w:tcW w:w="0" w:type="auto"/>
            <w:vAlign w:val="center"/>
            <w:hideMark/>
          </w:tcPr>
          <w:p w14:paraId="69E648FE"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Pearson r</w:t>
            </w:r>
          </w:p>
        </w:tc>
        <w:tc>
          <w:tcPr>
            <w:tcW w:w="0" w:type="auto"/>
            <w:vAlign w:val="center"/>
            <w:hideMark/>
          </w:tcPr>
          <w:p w14:paraId="428B1F26"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Significance</w:t>
            </w:r>
          </w:p>
        </w:tc>
      </w:tr>
      <w:tr w:rsidR="00D30DBB" w:rsidRPr="00D30DBB" w14:paraId="5A97483B" w14:textId="77777777" w:rsidTr="00D30DBB">
        <w:trPr>
          <w:tblCellSpacing w:w="15" w:type="dxa"/>
        </w:trPr>
        <w:tc>
          <w:tcPr>
            <w:tcW w:w="0" w:type="auto"/>
            <w:vAlign w:val="center"/>
            <w:hideMark/>
          </w:tcPr>
          <w:p w14:paraId="49E4279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Total anxiety score (TAI) and course GPA</w:t>
            </w:r>
          </w:p>
        </w:tc>
        <w:tc>
          <w:tcPr>
            <w:tcW w:w="0" w:type="auto"/>
            <w:vAlign w:val="center"/>
            <w:hideMark/>
          </w:tcPr>
          <w:p w14:paraId="50D0C18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200</w:t>
            </w:r>
          </w:p>
        </w:tc>
        <w:tc>
          <w:tcPr>
            <w:tcW w:w="0" w:type="auto"/>
            <w:vAlign w:val="center"/>
            <w:hideMark/>
          </w:tcPr>
          <w:p w14:paraId="739D057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0.0332</w:t>
            </w:r>
          </w:p>
        </w:tc>
        <w:tc>
          <w:tcPr>
            <w:tcW w:w="0" w:type="auto"/>
            <w:vAlign w:val="center"/>
            <w:hideMark/>
          </w:tcPr>
          <w:p w14:paraId="69E6E97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0.6408</w:t>
            </w:r>
          </w:p>
        </w:tc>
      </w:tr>
      <w:tr w:rsidR="00D30DBB" w:rsidRPr="00D30DBB" w14:paraId="5297207E" w14:textId="77777777" w:rsidTr="00D30DBB">
        <w:trPr>
          <w:tblCellSpacing w:w="15" w:type="dxa"/>
        </w:trPr>
        <w:tc>
          <w:tcPr>
            <w:tcW w:w="0" w:type="auto"/>
            <w:vAlign w:val="center"/>
            <w:hideMark/>
          </w:tcPr>
          <w:p w14:paraId="78BADCA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Worry score and course GPA</w:t>
            </w:r>
          </w:p>
        </w:tc>
        <w:tc>
          <w:tcPr>
            <w:tcW w:w="0" w:type="auto"/>
            <w:vAlign w:val="center"/>
            <w:hideMark/>
          </w:tcPr>
          <w:p w14:paraId="33AF7E4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200</w:t>
            </w:r>
          </w:p>
        </w:tc>
        <w:tc>
          <w:tcPr>
            <w:tcW w:w="0" w:type="auto"/>
            <w:vAlign w:val="center"/>
            <w:hideMark/>
          </w:tcPr>
          <w:p w14:paraId="6E8C6FFD"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0.0533</w:t>
            </w:r>
          </w:p>
        </w:tc>
        <w:tc>
          <w:tcPr>
            <w:tcW w:w="0" w:type="auto"/>
            <w:vAlign w:val="center"/>
            <w:hideMark/>
          </w:tcPr>
          <w:p w14:paraId="1CB122F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0.4535</w:t>
            </w:r>
          </w:p>
        </w:tc>
      </w:tr>
      <w:tr w:rsidR="00D30DBB" w:rsidRPr="00D30DBB" w14:paraId="1C5D1FFD" w14:textId="77777777" w:rsidTr="00D30DBB">
        <w:trPr>
          <w:tblCellSpacing w:w="15" w:type="dxa"/>
        </w:trPr>
        <w:tc>
          <w:tcPr>
            <w:tcW w:w="0" w:type="auto"/>
            <w:vAlign w:val="center"/>
            <w:hideMark/>
          </w:tcPr>
          <w:p w14:paraId="0AC6558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Emotion score and course GPA</w:t>
            </w:r>
          </w:p>
        </w:tc>
        <w:tc>
          <w:tcPr>
            <w:tcW w:w="0" w:type="auto"/>
            <w:vAlign w:val="center"/>
            <w:hideMark/>
          </w:tcPr>
          <w:p w14:paraId="75CC922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200</w:t>
            </w:r>
          </w:p>
        </w:tc>
        <w:tc>
          <w:tcPr>
            <w:tcW w:w="0" w:type="auto"/>
            <w:vAlign w:val="center"/>
            <w:hideMark/>
          </w:tcPr>
          <w:p w14:paraId="4410E30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-0.0268</w:t>
            </w:r>
          </w:p>
        </w:tc>
        <w:tc>
          <w:tcPr>
            <w:tcW w:w="0" w:type="auto"/>
            <w:vAlign w:val="center"/>
            <w:hideMark/>
          </w:tcPr>
          <w:p w14:paraId="56E14D3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0.7069</w:t>
            </w:r>
          </w:p>
        </w:tc>
      </w:tr>
      <w:tr w:rsidR="00D30DBB" w:rsidRPr="00D30DBB" w14:paraId="795195D3" w14:textId="77777777" w:rsidTr="00D30DBB">
        <w:trPr>
          <w:tblCellSpacing w:w="15" w:type="dxa"/>
        </w:trPr>
        <w:tc>
          <w:tcPr>
            <w:tcW w:w="0" w:type="auto"/>
            <w:vAlign w:val="center"/>
            <w:hideMark/>
          </w:tcPr>
          <w:p w14:paraId="3BA0E5E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Self-reported anxiety and course GPA</w:t>
            </w:r>
          </w:p>
        </w:tc>
        <w:tc>
          <w:tcPr>
            <w:tcW w:w="0" w:type="auto"/>
            <w:vAlign w:val="center"/>
            <w:hideMark/>
          </w:tcPr>
          <w:p w14:paraId="26A1BE1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200</w:t>
            </w:r>
          </w:p>
        </w:tc>
        <w:tc>
          <w:tcPr>
            <w:tcW w:w="0" w:type="auto"/>
            <w:vAlign w:val="center"/>
            <w:hideMark/>
          </w:tcPr>
          <w:p w14:paraId="26056D8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0.1585**</w:t>
            </w:r>
          </w:p>
        </w:tc>
        <w:tc>
          <w:tcPr>
            <w:tcW w:w="0" w:type="auto"/>
            <w:vAlign w:val="center"/>
            <w:hideMark/>
          </w:tcPr>
          <w:p w14:paraId="3947248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0.0250</w:t>
            </w:r>
          </w:p>
        </w:tc>
      </w:tr>
    </w:tbl>
    <w:p w14:paraId="49EDBBBC"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i/>
          <w:iCs/>
          <w:kern w:val="0"/>
          <w:lang w:eastAsia="en-AU"/>
          <w14:ligatures w14:val="none"/>
        </w:rPr>
        <w:t>*</w:t>
      </w:r>
      <w:proofErr w:type="gramStart"/>
      <w:r w:rsidRPr="00D30DBB">
        <w:rPr>
          <w:rFonts w:ascii="Times New Roman" w:eastAsia="Times New Roman" w:hAnsi="Times New Roman" w:cs="Times New Roman"/>
          <w:i/>
          <w:iCs/>
          <w:kern w:val="0"/>
          <w:lang w:eastAsia="en-AU"/>
          <w14:ligatures w14:val="none"/>
        </w:rPr>
        <w:t>represents</w:t>
      </w:r>
      <w:proofErr w:type="gramEnd"/>
      <w:r w:rsidRPr="00D30DBB">
        <w:rPr>
          <w:rFonts w:ascii="Times New Roman" w:eastAsia="Times New Roman" w:hAnsi="Times New Roman" w:cs="Times New Roman"/>
          <w:i/>
          <w:iCs/>
          <w:kern w:val="0"/>
          <w:lang w:eastAsia="en-AU"/>
          <w14:ligatures w14:val="none"/>
        </w:rPr>
        <w:t xml:space="preserve"> significance at 5% level of statistical significance</w:t>
      </w:r>
    </w:p>
    <w:p w14:paraId="4047ED58"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In Table 2, no measured anxiety scores related to academic performance were significant, but the self-reported anxiety was positively correlated to academic performance (course GPA) at 5% level of significance, considered as a good predictor of academic performance. Total anxiety and worry were positively correlated to academic performance though the correlations and the beta coefficient were insignificant. Only emotionality was negatively correlated to academic performance but without any significance.</w:t>
      </w:r>
    </w:p>
    <w:p w14:paraId="22691ED7"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All these measures of anxiety levels were very poor predictors of academic performance as evidenced by poor R² values. To be able to predict the academic performance, other variables are added in the regression models below. Therefore, we conclude that the academic performance of the sample of students was not adversely affected by any type of anxiety (as measured by the TAI questionnaire). This finding contrasts with the empirical literature, which often shows a significant negative correlation between anxiety and performance (e.g., Rana &amp; Mahmood, 2010). Since no significant correlations were observed, we explored the relationship between these four anxiety measures using a multivariate regression model.</w:t>
      </w:r>
    </w:p>
    <w:p w14:paraId="35D0D7BA"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Table 3 below examines correlations between course GPA, anxiety, personal, and demographic variables to identify significant associations. The results show that course GPA is influenced by several personal and demographic variables (education boards, current level of study, gender, prior academic achievement in college-level exit exams [HSC], current letter grade, and self-reported anxiety levels).</w:t>
      </w:r>
    </w:p>
    <w:p w14:paraId="27F0C83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Table 3: Regression output of academic performance (course GPA) and anxiety types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01"/>
        <w:gridCol w:w="720"/>
        <w:gridCol w:w="767"/>
        <w:gridCol w:w="1300"/>
        <w:gridCol w:w="1715"/>
      </w:tblGrid>
      <w:tr w:rsidR="00D30DBB" w:rsidRPr="00D30DBB" w14:paraId="6743BD53" w14:textId="77777777" w:rsidTr="00D30DBB">
        <w:trPr>
          <w:tblHeader/>
          <w:tblCellSpacing w:w="15" w:type="dxa"/>
        </w:trPr>
        <w:tc>
          <w:tcPr>
            <w:tcW w:w="0" w:type="auto"/>
            <w:vAlign w:val="center"/>
            <w:hideMark/>
          </w:tcPr>
          <w:p w14:paraId="5B3D06E5"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Model</w:t>
            </w:r>
          </w:p>
        </w:tc>
        <w:tc>
          <w:tcPr>
            <w:tcW w:w="0" w:type="auto"/>
            <w:vAlign w:val="center"/>
            <w:hideMark/>
          </w:tcPr>
          <w:p w14:paraId="4F3E6C23"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B</w:t>
            </w:r>
          </w:p>
        </w:tc>
        <w:tc>
          <w:tcPr>
            <w:tcW w:w="0" w:type="auto"/>
            <w:vAlign w:val="center"/>
            <w:hideMark/>
          </w:tcPr>
          <w:p w14:paraId="28C7589A"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t-value</w:t>
            </w:r>
          </w:p>
        </w:tc>
        <w:tc>
          <w:tcPr>
            <w:tcW w:w="0" w:type="auto"/>
            <w:vAlign w:val="center"/>
            <w:hideMark/>
          </w:tcPr>
          <w:p w14:paraId="029ED647"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Significance</w:t>
            </w:r>
          </w:p>
        </w:tc>
        <w:tc>
          <w:tcPr>
            <w:tcW w:w="0" w:type="auto"/>
            <w:vAlign w:val="center"/>
            <w:hideMark/>
          </w:tcPr>
          <w:p w14:paraId="228F1C77"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Model R square</w:t>
            </w:r>
          </w:p>
        </w:tc>
      </w:tr>
      <w:tr w:rsidR="00D30DBB" w:rsidRPr="00D30DBB" w14:paraId="7F404BF5" w14:textId="77777777" w:rsidTr="00D30DBB">
        <w:trPr>
          <w:tblCellSpacing w:w="15" w:type="dxa"/>
        </w:trPr>
        <w:tc>
          <w:tcPr>
            <w:tcW w:w="0" w:type="auto"/>
            <w:vAlign w:val="center"/>
            <w:hideMark/>
          </w:tcPr>
          <w:p w14:paraId="2CC2FD8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Total anxiety scale scores</w:t>
            </w:r>
          </w:p>
        </w:tc>
        <w:tc>
          <w:tcPr>
            <w:tcW w:w="0" w:type="auto"/>
            <w:vAlign w:val="center"/>
            <w:hideMark/>
          </w:tcPr>
          <w:p w14:paraId="4F8619B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0.001</w:t>
            </w:r>
          </w:p>
        </w:tc>
        <w:tc>
          <w:tcPr>
            <w:tcW w:w="0" w:type="auto"/>
            <w:vAlign w:val="center"/>
            <w:hideMark/>
          </w:tcPr>
          <w:p w14:paraId="66952EE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0.47</w:t>
            </w:r>
          </w:p>
        </w:tc>
        <w:tc>
          <w:tcPr>
            <w:tcW w:w="0" w:type="auto"/>
            <w:vAlign w:val="center"/>
            <w:hideMark/>
          </w:tcPr>
          <w:p w14:paraId="0434972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0.641</w:t>
            </w:r>
          </w:p>
        </w:tc>
        <w:tc>
          <w:tcPr>
            <w:tcW w:w="0" w:type="auto"/>
            <w:vAlign w:val="center"/>
            <w:hideMark/>
          </w:tcPr>
          <w:p w14:paraId="7097811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0.0011</w:t>
            </w:r>
          </w:p>
        </w:tc>
      </w:tr>
      <w:tr w:rsidR="00D30DBB" w:rsidRPr="00D30DBB" w14:paraId="5E2D1012" w14:textId="77777777" w:rsidTr="00D30DBB">
        <w:trPr>
          <w:tblCellSpacing w:w="15" w:type="dxa"/>
        </w:trPr>
        <w:tc>
          <w:tcPr>
            <w:tcW w:w="0" w:type="auto"/>
            <w:vAlign w:val="center"/>
            <w:hideMark/>
          </w:tcPr>
          <w:p w14:paraId="60AEF8E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Worry scale scores</w:t>
            </w:r>
          </w:p>
        </w:tc>
        <w:tc>
          <w:tcPr>
            <w:tcW w:w="0" w:type="auto"/>
            <w:vAlign w:val="center"/>
            <w:hideMark/>
          </w:tcPr>
          <w:p w14:paraId="338F9C5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0.004</w:t>
            </w:r>
          </w:p>
        </w:tc>
        <w:tc>
          <w:tcPr>
            <w:tcW w:w="0" w:type="auto"/>
            <w:vAlign w:val="center"/>
            <w:hideMark/>
          </w:tcPr>
          <w:p w14:paraId="276DC16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0.75</w:t>
            </w:r>
          </w:p>
        </w:tc>
        <w:tc>
          <w:tcPr>
            <w:tcW w:w="0" w:type="auto"/>
            <w:vAlign w:val="center"/>
            <w:hideMark/>
          </w:tcPr>
          <w:p w14:paraId="38A223D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0.453</w:t>
            </w:r>
          </w:p>
        </w:tc>
        <w:tc>
          <w:tcPr>
            <w:tcW w:w="0" w:type="auto"/>
            <w:vAlign w:val="center"/>
            <w:hideMark/>
          </w:tcPr>
          <w:p w14:paraId="3F453C7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0.0028</w:t>
            </w:r>
          </w:p>
        </w:tc>
      </w:tr>
      <w:tr w:rsidR="00D30DBB" w:rsidRPr="00D30DBB" w14:paraId="494DCCF2" w14:textId="77777777" w:rsidTr="00D30DBB">
        <w:trPr>
          <w:tblCellSpacing w:w="15" w:type="dxa"/>
        </w:trPr>
        <w:tc>
          <w:tcPr>
            <w:tcW w:w="0" w:type="auto"/>
            <w:vAlign w:val="center"/>
            <w:hideMark/>
          </w:tcPr>
          <w:p w14:paraId="01CE6BE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Emotion scale scores</w:t>
            </w:r>
          </w:p>
        </w:tc>
        <w:tc>
          <w:tcPr>
            <w:tcW w:w="0" w:type="auto"/>
            <w:vAlign w:val="center"/>
            <w:hideMark/>
          </w:tcPr>
          <w:p w14:paraId="670DCC2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-0.002</w:t>
            </w:r>
          </w:p>
        </w:tc>
        <w:tc>
          <w:tcPr>
            <w:tcW w:w="0" w:type="auto"/>
            <w:vAlign w:val="center"/>
            <w:hideMark/>
          </w:tcPr>
          <w:p w14:paraId="175D516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-0.38</w:t>
            </w:r>
          </w:p>
        </w:tc>
        <w:tc>
          <w:tcPr>
            <w:tcW w:w="0" w:type="auto"/>
            <w:vAlign w:val="center"/>
            <w:hideMark/>
          </w:tcPr>
          <w:p w14:paraId="7208C27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0.707</w:t>
            </w:r>
          </w:p>
        </w:tc>
        <w:tc>
          <w:tcPr>
            <w:tcW w:w="0" w:type="auto"/>
            <w:vAlign w:val="center"/>
            <w:hideMark/>
          </w:tcPr>
          <w:p w14:paraId="55195E91"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0.0007</w:t>
            </w:r>
          </w:p>
        </w:tc>
      </w:tr>
      <w:tr w:rsidR="00D30DBB" w:rsidRPr="00D30DBB" w14:paraId="3506F8EA" w14:textId="77777777" w:rsidTr="00D30DBB">
        <w:trPr>
          <w:tblCellSpacing w:w="15" w:type="dxa"/>
        </w:trPr>
        <w:tc>
          <w:tcPr>
            <w:tcW w:w="0" w:type="auto"/>
            <w:vAlign w:val="center"/>
            <w:hideMark/>
          </w:tcPr>
          <w:p w14:paraId="48BC4BD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Self-reported anxiety dummy</w:t>
            </w:r>
          </w:p>
        </w:tc>
        <w:tc>
          <w:tcPr>
            <w:tcW w:w="0" w:type="auto"/>
            <w:vAlign w:val="center"/>
            <w:hideMark/>
          </w:tcPr>
          <w:p w14:paraId="7AB5339D"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0.1089</w:t>
            </w:r>
          </w:p>
        </w:tc>
        <w:tc>
          <w:tcPr>
            <w:tcW w:w="0" w:type="auto"/>
            <w:vAlign w:val="center"/>
            <w:hideMark/>
          </w:tcPr>
          <w:p w14:paraId="148A121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2.26</w:t>
            </w:r>
          </w:p>
        </w:tc>
        <w:tc>
          <w:tcPr>
            <w:tcW w:w="0" w:type="auto"/>
            <w:vAlign w:val="center"/>
            <w:hideMark/>
          </w:tcPr>
          <w:p w14:paraId="0FE3A56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0.025**</w:t>
            </w:r>
          </w:p>
        </w:tc>
        <w:tc>
          <w:tcPr>
            <w:tcW w:w="0" w:type="auto"/>
            <w:vAlign w:val="center"/>
            <w:hideMark/>
          </w:tcPr>
          <w:p w14:paraId="2B4C9BE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0.0251</w:t>
            </w:r>
          </w:p>
        </w:tc>
      </w:tr>
    </w:tbl>
    <w:p w14:paraId="678801B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significant at 5% level of significance (t-tailed)</w:t>
      </w:r>
    </w:p>
    <w:p w14:paraId="67B6F271"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Table 3 shows that only 3.4% of the variance in academic performance is explained by the regression model, indicating that anxiety or its subscales (measured by the TAI questionnaire) had no significant effect on the students' academic performance. However, students' self-reported anxiety levels (presence or absence of anxiety) were negatively correlated with academic performance at a 5% level of significance. As the measured responses (in TAI) did not reveal a statistically significant relationship with academic performance, we used additional variables to check for a significant relationship with course GPA, following the recommendations of Chapell et al. (2005) and Zhang (2014) to enhance the prediction of academic performance.</w:t>
      </w:r>
    </w:p>
    <w:p w14:paraId="707FC9E4"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Interestingly, neither course GPA nor the current letter grade is related to any type of anxiety. However, other demographic, personal, and prior academic factors were associated with university course GPA and current cumulative GPA (CGPA).</w:t>
      </w:r>
    </w:p>
    <w:p w14:paraId="71711ECB" w14:textId="77777777" w:rsidR="00D30DBB" w:rsidRPr="00D30DBB" w:rsidRDefault="00D30DBB" w:rsidP="00D30DBB">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D30DBB">
        <w:rPr>
          <w:rFonts w:ascii="Times New Roman" w:eastAsia="Times New Roman" w:hAnsi="Times New Roman" w:cs="Times New Roman"/>
          <w:b/>
          <w:bCs/>
          <w:kern w:val="0"/>
          <w:sz w:val="27"/>
          <w:szCs w:val="27"/>
          <w:lang w:eastAsia="en-AU"/>
          <w14:ligatures w14:val="none"/>
        </w:rPr>
        <w:t>Overall Test Anxiety Types and Academic Performance with Other Control Variables</w:t>
      </w:r>
    </w:p>
    <w:p w14:paraId="1BB75267"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Following the correlations in Table 3, we used the guidance of Chapell et al. (2005) and Zhang (2014) to include more explanatory variables in our analysis of anxiety-academic performance relationships. We employed three different sets of regression models, incorporating three other measured variables (TAI, worry, and emotionality) while keeping the same control variables in all models.</w:t>
      </w:r>
    </w:p>
    <w:p w14:paraId="62E0E83F"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Table 4: Test anxiety types and academic performance with control variables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07"/>
        <w:gridCol w:w="1661"/>
        <w:gridCol w:w="1662"/>
        <w:gridCol w:w="1662"/>
        <w:gridCol w:w="1834"/>
      </w:tblGrid>
      <w:tr w:rsidR="00D30DBB" w:rsidRPr="00D30DBB" w14:paraId="5436B108" w14:textId="77777777" w:rsidTr="00D30DBB">
        <w:trPr>
          <w:tblHeader/>
          <w:tblCellSpacing w:w="15" w:type="dxa"/>
        </w:trPr>
        <w:tc>
          <w:tcPr>
            <w:tcW w:w="0" w:type="auto"/>
            <w:vAlign w:val="center"/>
            <w:hideMark/>
          </w:tcPr>
          <w:p w14:paraId="693AA6E1"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Variable</w:t>
            </w:r>
          </w:p>
        </w:tc>
        <w:tc>
          <w:tcPr>
            <w:tcW w:w="0" w:type="auto"/>
            <w:vAlign w:val="center"/>
            <w:hideMark/>
          </w:tcPr>
          <w:p w14:paraId="0A20F875"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Total anxiety</w:t>
            </w:r>
          </w:p>
        </w:tc>
        <w:tc>
          <w:tcPr>
            <w:tcW w:w="0" w:type="auto"/>
            <w:vAlign w:val="center"/>
            <w:hideMark/>
          </w:tcPr>
          <w:p w14:paraId="2DE85781"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Worry</w:t>
            </w:r>
          </w:p>
        </w:tc>
        <w:tc>
          <w:tcPr>
            <w:tcW w:w="0" w:type="auto"/>
            <w:vAlign w:val="center"/>
            <w:hideMark/>
          </w:tcPr>
          <w:p w14:paraId="4571AFC7"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Emotionality</w:t>
            </w:r>
          </w:p>
        </w:tc>
        <w:tc>
          <w:tcPr>
            <w:tcW w:w="0" w:type="auto"/>
            <w:vAlign w:val="center"/>
            <w:hideMark/>
          </w:tcPr>
          <w:p w14:paraId="35713CCF" w14:textId="77777777" w:rsidR="00D30DBB" w:rsidRPr="00D30DBB" w:rsidRDefault="00D30DBB" w:rsidP="00D30DBB">
            <w:pPr>
              <w:spacing w:after="0" w:line="240" w:lineRule="auto"/>
              <w:jc w:val="center"/>
              <w:rPr>
                <w:rFonts w:ascii="Times New Roman" w:eastAsia="Times New Roman" w:hAnsi="Times New Roman" w:cs="Times New Roman"/>
                <w:b/>
                <w:bCs/>
                <w:kern w:val="0"/>
                <w:lang w:eastAsia="en-AU"/>
                <w14:ligatures w14:val="none"/>
              </w:rPr>
            </w:pPr>
            <w:r w:rsidRPr="00D30DBB">
              <w:rPr>
                <w:rFonts w:ascii="Times New Roman" w:eastAsia="Times New Roman" w:hAnsi="Times New Roman" w:cs="Times New Roman"/>
                <w:b/>
                <w:bCs/>
                <w:kern w:val="0"/>
                <w:lang w:eastAsia="en-AU"/>
                <w14:ligatures w14:val="none"/>
              </w:rPr>
              <w:t>Difference in Coef. Chi²(p)</w:t>
            </w:r>
          </w:p>
        </w:tc>
      </w:tr>
      <w:tr w:rsidR="00D30DBB" w:rsidRPr="00D30DBB" w14:paraId="1ACFE895" w14:textId="77777777" w:rsidTr="00D30DBB">
        <w:trPr>
          <w:tblCellSpacing w:w="15" w:type="dxa"/>
        </w:trPr>
        <w:tc>
          <w:tcPr>
            <w:tcW w:w="0" w:type="auto"/>
            <w:vAlign w:val="center"/>
            <w:hideMark/>
          </w:tcPr>
          <w:p w14:paraId="513265F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tai_total</w:t>
            </w:r>
            <w:proofErr w:type="spellEnd"/>
          </w:p>
        </w:tc>
        <w:tc>
          <w:tcPr>
            <w:tcW w:w="0" w:type="auto"/>
            <w:vAlign w:val="center"/>
            <w:hideMark/>
          </w:tcPr>
          <w:p w14:paraId="157E50F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-0.004(-1.66)*</w:t>
            </w:r>
          </w:p>
        </w:tc>
        <w:tc>
          <w:tcPr>
            <w:tcW w:w="0" w:type="auto"/>
            <w:vAlign w:val="center"/>
            <w:hideMark/>
          </w:tcPr>
          <w:p w14:paraId="29F5730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484A4562" w14:textId="77777777" w:rsidR="00D30DBB" w:rsidRPr="00D30DBB" w:rsidRDefault="00D30DBB" w:rsidP="00D30DBB">
            <w:pPr>
              <w:spacing w:after="0" w:line="240" w:lineRule="auto"/>
              <w:rPr>
                <w:rFonts w:ascii="Times New Roman" w:eastAsia="Times New Roman" w:hAnsi="Times New Roman" w:cs="Times New Roman"/>
                <w:kern w:val="0"/>
                <w:sz w:val="20"/>
                <w:szCs w:val="20"/>
                <w:lang w:eastAsia="en-AU"/>
                <w14:ligatures w14:val="none"/>
              </w:rPr>
            </w:pPr>
          </w:p>
        </w:tc>
        <w:tc>
          <w:tcPr>
            <w:tcW w:w="0" w:type="auto"/>
            <w:vAlign w:val="center"/>
            <w:hideMark/>
          </w:tcPr>
          <w:p w14:paraId="64548DC7" w14:textId="77777777" w:rsidR="00D30DBB" w:rsidRPr="00D30DBB" w:rsidRDefault="00D30DBB" w:rsidP="00D30DBB">
            <w:pPr>
              <w:spacing w:after="0" w:line="240" w:lineRule="auto"/>
              <w:rPr>
                <w:rFonts w:ascii="Times New Roman" w:eastAsia="Times New Roman" w:hAnsi="Times New Roman" w:cs="Times New Roman"/>
                <w:kern w:val="0"/>
                <w:sz w:val="20"/>
                <w:szCs w:val="20"/>
                <w:lang w:eastAsia="en-AU"/>
                <w14:ligatures w14:val="none"/>
              </w:rPr>
            </w:pPr>
          </w:p>
        </w:tc>
      </w:tr>
      <w:tr w:rsidR="00D30DBB" w:rsidRPr="00D30DBB" w14:paraId="74B08FAB" w14:textId="77777777" w:rsidTr="00D30DBB">
        <w:trPr>
          <w:tblCellSpacing w:w="15" w:type="dxa"/>
        </w:trPr>
        <w:tc>
          <w:tcPr>
            <w:tcW w:w="0" w:type="auto"/>
            <w:vAlign w:val="center"/>
            <w:hideMark/>
          </w:tcPr>
          <w:p w14:paraId="351A551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Worry</w:t>
            </w:r>
          </w:p>
        </w:tc>
        <w:tc>
          <w:tcPr>
            <w:tcW w:w="0" w:type="auto"/>
            <w:vAlign w:val="center"/>
            <w:hideMark/>
          </w:tcPr>
          <w:p w14:paraId="4E3E958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51FBAE9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-0.003(-0.58)</w:t>
            </w:r>
          </w:p>
        </w:tc>
        <w:tc>
          <w:tcPr>
            <w:tcW w:w="0" w:type="auto"/>
            <w:vAlign w:val="center"/>
            <w:hideMark/>
          </w:tcPr>
          <w:p w14:paraId="3F65C06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3D94132E" w14:textId="77777777" w:rsidR="00D30DBB" w:rsidRPr="00D30DBB" w:rsidRDefault="00D30DBB" w:rsidP="00D30DBB">
            <w:pPr>
              <w:spacing w:after="0" w:line="240" w:lineRule="auto"/>
              <w:rPr>
                <w:rFonts w:ascii="Times New Roman" w:eastAsia="Times New Roman" w:hAnsi="Times New Roman" w:cs="Times New Roman"/>
                <w:kern w:val="0"/>
                <w:sz w:val="20"/>
                <w:szCs w:val="20"/>
                <w:lang w:eastAsia="en-AU"/>
                <w14:ligatures w14:val="none"/>
              </w:rPr>
            </w:pPr>
          </w:p>
        </w:tc>
      </w:tr>
      <w:tr w:rsidR="00D30DBB" w:rsidRPr="00D30DBB" w14:paraId="1F702499" w14:textId="77777777" w:rsidTr="00D30DBB">
        <w:trPr>
          <w:tblCellSpacing w:w="15" w:type="dxa"/>
        </w:trPr>
        <w:tc>
          <w:tcPr>
            <w:tcW w:w="0" w:type="auto"/>
            <w:vAlign w:val="center"/>
            <w:hideMark/>
          </w:tcPr>
          <w:p w14:paraId="348489A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Emotion</w:t>
            </w:r>
          </w:p>
        </w:tc>
        <w:tc>
          <w:tcPr>
            <w:tcW w:w="0" w:type="auto"/>
            <w:vAlign w:val="center"/>
            <w:hideMark/>
          </w:tcPr>
          <w:p w14:paraId="5BA1D9A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c>
          <w:tcPr>
            <w:tcW w:w="0" w:type="auto"/>
            <w:vAlign w:val="center"/>
            <w:hideMark/>
          </w:tcPr>
          <w:p w14:paraId="6B27E3E3" w14:textId="77777777" w:rsidR="00D30DBB" w:rsidRPr="00D30DBB" w:rsidRDefault="00D30DBB" w:rsidP="00D30DBB">
            <w:pPr>
              <w:spacing w:after="0" w:line="240" w:lineRule="auto"/>
              <w:rPr>
                <w:rFonts w:ascii="Times New Roman" w:eastAsia="Times New Roman" w:hAnsi="Times New Roman" w:cs="Times New Roman"/>
                <w:kern w:val="0"/>
                <w:sz w:val="20"/>
                <w:szCs w:val="20"/>
                <w:lang w:eastAsia="en-AU"/>
                <w14:ligatures w14:val="none"/>
              </w:rPr>
            </w:pPr>
          </w:p>
        </w:tc>
        <w:tc>
          <w:tcPr>
            <w:tcW w:w="0" w:type="auto"/>
            <w:vAlign w:val="center"/>
            <w:hideMark/>
          </w:tcPr>
          <w:p w14:paraId="745E5DD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-0.011(-1.9)*</w:t>
            </w:r>
          </w:p>
        </w:tc>
        <w:tc>
          <w:tcPr>
            <w:tcW w:w="0" w:type="auto"/>
            <w:vAlign w:val="center"/>
            <w:hideMark/>
          </w:tcPr>
          <w:p w14:paraId="6343145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p>
        </w:tc>
      </w:tr>
      <w:tr w:rsidR="00D30DBB" w:rsidRPr="00D30DBB" w14:paraId="6EFBDC61" w14:textId="77777777" w:rsidTr="00D30DBB">
        <w:trPr>
          <w:tblCellSpacing w:w="15" w:type="dxa"/>
        </w:trPr>
        <w:tc>
          <w:tcPr>
            <w:tcW w:w="0" w:type="auto"/>
            <w:vAlign w:val="center"/>
            <w:hideMark/>
          </w:tcPr>
          <w:p w14:paraId="2C38D70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hscgpa</w:t>
            </w:r>
          </w:p>
        </w:tc>
        <w:tc>
          <w:tcPr>
            <w:tcW w:w="0" w:type="auto"/>
            <w:vAlign w:val="center"/>
            <w:hideMark/>
          </w:tcPr>
          <w:p w14:paraId="1B9CF78A"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0.093(1.85)*</w:t>
            </w:r>
          </w:p>
        </w:tc>
        <w:tc>
          <w:tcPr>
            <w:tcW w:w="0" w:type="auto"/>
            <w:vAlign w:val="center"/>
            <w:hideMark/>
          </w:tcPr>
          <w:p w14:paraId="6FD1291E"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0.093(1.83)*</w:t>
            </w:r>
          </w:p>
        </w:tc>
        <w:tc>
          <w:tcPr>
            <w:tcW w:w="0" w:type="auto"/>
            <w:vAlign w:val="center"/>
            <w:hideMark/>
          </w:tcPr>
          <w:p w14:paraId="462368B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0.098(1.93)*</w:t>
            </w:r>
          </w:p>
        </w:tc>
        <w:tc>
          <w:tcPr>
            <w:tcW w:w="0" w:type="auto"/>
            <w:vAlign w:val="center"/>
            <w:hideMark/>
          </w:tcPr>
          <w:p w14:paraId="5776432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4.72(0.19)</w:t>
            </w:r>
          </w:p>
        </w:tc>
      </w:tr>
      <w:tr w:rsidR="00D30DBB" w:rsidRPr="00D30DBB" w14:paraId="11FFB468" w14:textId="77777777" w:rsidTr="00D30DBB">
        <w:trPr>
          <w:tblCellSpacing w:w="15" w:type="dxa"/>
        </w:trPr>
        <w:tc>
          <w:tcPr>
            <w:tcW w:w="0" w:type="auto"/>
            <w:vAlign w:val="center"/>
            <w:hideMark/>
          </w:tcPr>
          <w:p w14:paraId="4F42569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gendum_new1 (male)</w:t>
            </w:r>
          </w:p>
        </w:tc>
        <w:tc>
          <w:tcPr>
            <w:tcW w:w="0" w:type="auto"/>
            <w:vAlign w:val="center"/>
            <w:hideMark/>
          </w:tcPr>
          <w:p w14:paraId="3EFFF71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-0.191(-4.57)***</w:t>
            </w:r>
          </w:p>
        </w:tc>
        <w:tc>
          <w:tcPr>
            <w:tcW w:w="0" w:type="auto"/>
            <w:vAlign w:val="center"/>
            <w:hideMark/>
          </w:tcPr>
          <w:p w14:paraId="7CB6A48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-0.18(-4.31)***</w:t>
            </w:r>
          </w:p>
        </w:tc>
        <w:tc>
          <w:tcPr>
            <w:tcW w:w="0" w:type="auto"/>
            <w:vAlign w:val="center"/>
            <w:hideMark/>
          </w:tcPr>
          <w:p w14:paraId="05D2252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-0.183(-4.48)***</w:t>
            </w:r>
          </w:p>
        </w:tc>
        <w:tc>
          <w:tcPr>
            <w:tcW w:w="0" w:type="auto"/>
            <w:vAlign w:val="center"/>
            <w:hideMark/>
          </w:tcPr>
          <w:p w14:paraId="69E85B3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21.57(0.00)***</w:t>
            </w:r>
          </w:p>
        </w:tc>
      </w:tr>
      <w:tr w:rsidR="00D30DBB" w:rsidRPr="00D30DBB" w14:paraId="67B546E5" w14:textId="77777777" w:rsidTr="00D30DBB">
        <w:trPr>
          <w:tblCellSpacing w:w="15" w:type="dxa"/>
        </w:trPr>
        <w:tc>
          <w:tcPr>
            <w:tcW w:w="0" w:type="auto"/>
            <w:vAlign w:val="center"/>
            <w:hideMark/>
          </w:tcPr>
          <w:p w14:paraId="19B8BD7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age_dum1(young)</w:t>
            </w:r>
          </w:p>
        </w:tc>
        <w:tc>
          <w:tcPr>
            <w:tcW w:w="0" w:type="auto"/>
            <w:vAlign w:val="center"/>
            <w:hideMark/>
          </w:tcPr>
          <w:p w14:paraId="5F4872B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0.073(1.64)</w:t>
            </w:r>
          </w:p>
        </w:tc>
        <w:tc>
          <w:tcPr>
            <w:tcW w:w="0" w:type="auto"/>
            <w:vAlign w:val="center"/>
            <w:hideMark/>
          </w:tcPr>
          <w:p w14:paraId="7965A81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-0.072(-1.61)</w:t>
            </w:r>
          </w:p>
        </w:tc>
        <w:tc>
          <w:tcPr>
            <w:tcW w:w="0" w:type="auto"/>
            <w:vAlign w:val="center"/>
            <w:hideMark/>
          </w:tcPr>
          <w:p w14:paraId="4BEDD9B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0.07(1.59)</w:t>
            </w:r>
          </w:p>
        </w:tc>
        <w:tc>
          <w:tcPr>
            <w:tcW w:w="0" w:type="auto"/>
            <w:vAlign w:val="center"/>
            <w:hideMark/>
          </w:tcPr>
          <w:p w14:paraId="7EC5074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4.42(0.22)</w:t>
            </w:r>
          </w:p>
        </w:tc>
      </w:tr>
      <w:tr w:rsidR="00D30DBB" w:rsidRPr="00D30DBB" w14:paraId="7F1D301F" w14:textId="77777777" w:rsidTr="00D30DBB">
        <w:trPr>
          <w:tblCellSpacing w:w="15" w:type="dxa"/>
        </w:trPr>
        <w:tc>
          <w:tcPr>
            <w:tcW w:w="0" w:type="auto"/>
            <w:vAlign w:val="center"/>
            <w:hideMark/>
          </w:tcPr>
          <w:p w14:paraId="306DB53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College_major_dum1 (business)</w:t>
            </w:r>
          </w:p>
        </w:tc>
        <w:tc>
          <w:tcPr>
            <w:tcW w:w="0" w:type="auto"/>
            <w:vAlign w:val="center"/>
            <w:hideMark/>
          </w:tcPr>
          <w:p w14:paraId="7BCD68F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0.104(2.57)**</w:t>
            </w:r>
          </w:p>
        </w:tc>
        <w:tc>
          <w:tcPr>
            <w:tcW w:w="0" w:type="auto"/>
            <w:vAlign w:val="center"/>
            <w:hideMark/>
          </w:tcPr>
          <w:p w14:paraId="1240230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0.108(2.66)***</w:t>
            </w:r>
          </w:p>
        </w:tc>
        <w:tc>
          <w:tcPr>
            <w:tcW w:w="0" w:type="auto"/>
            <w:vAlign w:val="center"/>
            <w:hideMark/>
          </w:tcPr>
          <w:p w14:paraId="418D451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0.104(2.58)**</w:t>
            </w:r>
          </w:p>
        </w:tc>
        <w:tc>
          <w:tcPr>
            <w:tcW w:w="0" w:type="auto"/>
            <w:vAlign w:val="center"/>
            <w:hideMark/>
          </w:tcPr>
          <w:p w14:paraId="639FA8D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8.63(0.034)**</w:t>
            </w:r>
          </w:p>
        </w:tc>
      </w:tr>
      <w:tr w:rsidR="00D30DBB" w:rsidRPr="00D30DBB" w14:paraId="6AB90D55" w14:textId="77777777" w:rsidTr="00D30DBB">
        <w:trPr>
          <w:tblCellSpacing w:w="15" w:type="dxa"/>
        </w:trPr>
        <w:tc>
          <w:tcPr>
            <w:tcW w:w="0" w:type="auto"/>
            <w:vAlign w:val="center"/>
            <w:hideMark/>
          </w:tcPr>
          <w:p w14:paraId="1DCC044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year_dum1 (3rd year)</w:t>
            </w:r>
          </w:p>
        </w:tc>
        <w:tc>
          <w:tcPr>
            <w:tcW w:w="0" w:type="auto"/>
            <w:vAlign w:val="center"/>
            <w:hideMark/>
          </w:tcPr>
          <w:p w14:paraId="36CE05AB"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-0.261(-4.07)***</w:t>
            </w:r>
          </w:p>
        </w:tc>
        <w:tc>
          <w:tcPr>
            <w:tcW w:w="0" w:type="auto"/>
            <w:vAlign w:val="center"/>
            <w:hideMark/>
          </w:tcPr>
          <w:p w14:paraId="18BC491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-0.247(-3.87)***</w:t>
            </w:r>
          </w:p>
        </w:tc>
        <w:tc>
          <w:tcPr>
            <w:tcW w:w="0" w:type="auto"/>
            <w:vAlign w:val="center"/>
            <w:hideMark/>
          </w:tcPr>
          <w:p w14:paraId="0A4CB44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-0.261(-4.09)***</w:t>
            </w:r>
          </w:p>
        </w:tc>
        <w:tc>
          <w:tcPr>
            <w:tcW w:w="0" w:type="auto"/>
            <w:vAlign w:val="center"/>
            <w:hideMark/>
          </w:tcPr>
          <w:p w14:paraId="3BACAEC2"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36.16(0.00)***</w:t>
            </w:r>
          </w:p>
        </w:tc>
      </w:tr>
      <w:tr w:rsidR="00D30DBB" w:rsidRPr="00D30DBB" w14:paraId="452C06E8" w14:textId="77777777" w:rsidTr="00D30DBB">
        <w:trPr>
          <w:tblCellSpacing w:w="15" w:type="dxa"/>
        </w:trPr>
        <w:tc>
          <w:tcPr>
            <w:tcW w:w="0" w:type="auto"/>
            <w:vAlign w:val="center"/>
            <w:hideMark/>
          </w:tcPr>
          <w:p w14:paraId="5841734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marry_dum1 (n=10)</w:t>
            </w:r>
          </w:p>
        </w:tc>
        <w:tc>
          <w:tcPr>
            <w:tcW w:w="0" w:type="auto"/>
            <w:vAlign w:val="center"/>
            <w:hideMark/>
          </w:tcPr>
          <w:p w14:paraId="61F17A1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-0.01(-0.12)</w:t>
            </w:r>
          </w:p>
        </w:tc>
        <w:tc>
          <w:tcPr>
            <w:tcW w:w="0" w:type="auto"/>
            <w:vAlign w:val="center"/>
            <w:hideMark/>
          </w:tcPr>
          <w:p w14:paraId="07E5766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-0.004(-0.05)</w:t>
            </w:r>
          </w:p>
        </w:tc>
        <w:tc>
          <w:tcPr>
            <w:tcW w:w="0" w:type="auto"/>
            <w:vAlign w:val="center"/>
            <w:hideMark/>
          </w:tcPr>
          <w:p w14:paraId="08FC5A8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-0.007(-0.08)</w:t>
            </w:r>
          </w:p>
        </w:tc>
        <w:tc>
          <w:tcPr>
            <w:tcW w:w="0" w:type="auto"/>
            <w:vAlign w:val="center"/>
            <w:hideMark/>
          </w:tcPr>
          <w:p w14:paraId="5429083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1.09(0.78)</w:t>
            </w:r>
          </w:p>
        </w:tc>
      </w:tr>
      <w:tr w:rsidR="00D30DBB" w:rsidRPr="00D30DBB" w14:paraId="11E722A6" w14:textId="77777777" w:rsidTr="00D30DBB">
        <w:trPr>
          <w:tblCellSpacing w:w="15" w:type="dxa"/>
        </w:trPr>
        <w:tc>
          <w:tcPr>
            <w:tcW w:w="0" w:type="auto"/>
            <w:vAlign w:val="center"/>
            <w:hideMark/>
          </w:tcPr>
          <w:p w14:paraId="4511DA9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SES_dum2 (poor)</w:t>
            </w:r>
          </w:p>
        </w:tc>
        <w:tc>
          <w:tcPr>
            <w:tcW w:w="0" w:type="auto"/>
            <w:vAlign w:val="center"/>
            <w:hideMark/>
          </w:tcPr>
          <w:p w14:paraId="58FB59F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0.028(0.63)</w:t>
            </w:r>
          </w:p>
        </w:tc>
        <w:tc>
          <w:tcPr>
            <w:tcW w:w="0" w:type="auto"/>
            <w:vAlign w:val="center"/>
            <w:hideMark/>
          </w:tcPr>
          <w:p w14:paraId="3DB7891D"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0.021(0.47)</w:t>
            </w:r>
          </w:p>
        </w:tc>
        <w:tc>
          <w:tcPr>
            <w:tcW w:w="0" w:type="auto"/>
            <w:vAlign w:val="center"/>
            <w:hideMark/>
          </w:tcPr>
          <w:p w14:paraId="4513E75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0.029(0.64)</w:t>
            </w:r>
          </w:p>
        </w:tc>
        <w:tc>
          <w:tcPr>
            <w:tcW w:w="0" w:type="auto"/>
            <w:vAlign w:val="center"/>
            <w:hideMark/>
          </w:tcPr>
          <w:p w14:paraId="279ECB3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2.77(0.43)</w:t>
            </w:r>
          </w:p>
        </w:tc>
      </w:tr>
      <w:tr w:rsidR="00D30DBB" w:rsidRPr="00D30DBB" w14:paraId="7E568F43" w14:textId="77777777" w:rsidTr="00D30DBB">
        <w:trPr>
          <w:tblCellSpacing w:w="15" w:type="dxa"/>
        </w:trPr>
        <w:tc>
          <w:tcPr>
            <w:tcW w:w="0" w:type="auto"/>
            <w:vAlign w:val="center"/>
            <w:hideMark/>
          </w:tcPr>
          <w:p w14:paraId="6B29051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SES_dum3 (rich)</w:t>
            </w:r>
          </w:p>
        </w:tc>
        <w:tc>
          <w:tcPr>
            <w:tcW w:w="0" w:type="auto"/>
            <w:vAlign w:val="center"/>
            <w:hideMark/>
          </w:tcPr>
          <w:p w14:paraId="1FB4DB1C"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0.008(0.07)</w:t>
            </w:r>
          </w:p>
        </w:tc>
        <w:tc>
          <w:tcPr>
            <w:tcW w:w="0" w:type="auto"/>
            <w:vAlign w:val="center"/>
            <w:hideMark/>
          </w:tcPr>
          <w:p w14:paraId="78468AF9"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0.007(0.06)</w:t>
            </w:r>
          </w:p>
        </w:tc>
        <w:tc>
          <w:tcPr>
            <w:tcW w:w="0" w:type="auto"/>
            <w:vAlign w:val="center"/>
            <w:hideMark/>
          </w:tcPr>
          <w:p w14:paraId="454E6F7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0.018(0.16)</w:t>
            </w:r>
          </w:p>
        </w:tc>
        <w:tc>
          <w:tcPr>
            <w:tcW w:w="0" w:type="auto"/>
            <w:vAlign w:val="center"/>
            <w:hideMark/>
          </w:tcPr>
          <w:p w14:paraId="6D15F4A0"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2.26(0.52)</w:t>
            </w:r>
          </w:p>
        </w:tc>
      </w:tr>
      <w:tr w:rsidR="00D30DBB" w:rsidRPr="00D30DBB" w14:paraId="08B33C97" w14:textId="77777777" w:rsidTr="00D30DBB">
        <w:trPr>
          <w:tblCellSpacing w:w="15" w:type="dxa"/>
        </w:trPr>
        <w:tc>
          <w:tcPr>
            <w:tcW w:w="0" w:type="auto"/>
            <w:vAlign w:val="center"/>
            <w:hideMark/>
          </w:tcPr>
          <w:p w14:paraId="59C3085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location_dum1 (remote)</w:t>
            </w:r>
          </w:p>
        </w:tc>
        <w:tc>
          <w:tcPr>
            <w:tcW w:w="0" w:type="auto"/>
            <w:vAlign w:val="center"/>
            <w:hideMark/>
          </w:tcPr>
          <w:p w14:paraId="2A237C9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-0.099(-2.52)**</w:t>
            </w:r>
          </w:p>
        </w:tc>
        <w:tc>
          <w:tcPr>
            <w:tcW w:w="0" w:type="auto"/>
            <w:vAlign w:val="center"/>
            <w:hideMark/>
          </w:tcPr>
          <w:p w14:paraId="2E70AE23"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-0.098(-2.46)**</w:t>
            </w:r>
          </w:p>
        </w:tc>
        <w:tc>
          <w:tcPr>
            <w:tcW w:w="0" w:type="auto"/>
            <w:vAlign w:val="center"/>
            <w:hideMark/>
          </w:tcPr>
          <w:p w14:paraId="33D54E68"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-0.096(-2.46)**</w:t>
            </w:r>
          </w:p>
        </w:tc>
        <w:tc>
          <w:tcPr>
            <w:tcW w:w="0" w:type="auto"/>
            <w:vAlign w:val="center"/>
            <w:hideMark/>
          </w:tcPr>
          <w:p w14:paraId="192DAF8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10.09(0.02)**</w:t>
            </w:r>
          </w:p>
        </w:tc>
      </w:tr>
      <w:tr w:rsidR="00D30DBB" w:rsidRPr="00D30DBB" w14:paraId="521D3022" w14:textId="77777777" w:rsidTr="00D30DBB">
        <w:trPr>
          <w:tblCellSpacing w:w="15" w:type="dxa"/>
        </w:trPr>
        <w:tc>
          <w:tcPr>
            <w:tcW w:w="0" w:type="auto"/>
            <w:vAlign w:val="center"/>
            <w:hideMark/>
          </w:tcPr>
          <w:p w14:paraId="5F2813F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Constant</w:t>
            </w:r>
          </w:p>
        </w:tc>
        <w:tc>
          <w:tcPr>
            <w:tcW w:w="0" w:type="auto"/>
            <w:vAlign w:val="center"/>
            <w:hideMark/>
          </w:tcPr>
          <w:p w14:paraId="1F92E3E4"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3.395(11.07)***</w:t>
            </w:r>
          </w:p>
        </w:tc>
        <w:tc>
          <w:tcPr>
            <w:tcW w:w="0" w:type="auto"/>
            <w:vAlign w:val="center"/>
            <w:hideMark/>
          </w:tcPr>
          <w:p w14:paraId="613D70A7"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3.301(11.07)***</w:t>
            </w:r>
          </w:p>
        </w:tc>
        <w:tc>
          <w:tcPr>
            <w:tcW w:w="0" w:type="auto"/>
            <w:vAlign w:val="center"/>
            <w:hideMark/>
          </w:tcPr>
          <w:p w14:paraId="0D1793CF"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3.384(11.43)***</w:t>
            </w:r>
          </w:p>
        </w:tc>
        <w:tc>
          <w:tcPr>
            <w:tcW w:w="0" w:type="auto"/>
            <w:vAlign w:val="center"/>
            <w:hideMark/>
          </w:tcPr>
          <w:p w14:paraId="5C8E1735"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1240.56(0.00)***</w:t>
            </w:r>
          </w:p>
        </w:tc>
      </w:tr>
    </w:tbl>
    <w:p w14:paraId="44CC6710"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Table 4 presents the multivariate regression results of TAI and other control variables and academic performance. The simple OLS regression has an R² value of 0.2822 or 28.22%. In this regression, TAI (b=-0.004, t=-1.66, p&lt;10%) is a significant negative predictor of students' academic performance. Among the control variables, gender (b=-1.91, t=-4.59, p&lt;1%), year of study (-0.261, t=-4.07, p&lt;1%) and location (b=-0.099, t=-2.52, p&lt;5%) had significant negative effect while college GPA (b=0.093, t=1.85, p&lt;10%) and college major (0.104, t=2.57, p&lt;5%) significant positive effect on students' academic performance. Age and SES backgrounds did not have any statistically significant effect on academic performance in this study.</w:t>
      </w:r>
    </w:p>
    <w:p w14:paraId="709A9B10"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Two subscales of anxiety (worry and emotionality) were regressed on academic performance with the same control variables. When worry was regressed with other control variables, the model showed an R² value of 0.2731 or 27.31%. Worry did not have a statistically significant effect on academic performance. However, gender (β=-0.18, t=-4.31, p&lt;1%), study year (b=-0.247, t=-3.87, p&lt;1%) and location (b=-0.098, t=-2.46, p&lt;5%) had significant negative while college major (b=0.108, t=2.66, p&lt;1%) and college GPA (b=0.093, t=1.83, p&lt;10%) significant positive effect on academic performance.</w:t>
      </w:r>
    </w:p>
    <w:p w14:paraId="763BB53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In Table 4 above, the regression of emotion and other factors on academic performance, had an R² value was 0.2854 or 28.54%. The results of the regression revealed emotion (b=-0.011, t=-1.9, p&lt;10%) had significant negative effect on academic performance. Among the control variables, gender (β=-0.183, t=-4.48, p&lt;1%), study year (b=-0.261, t=-4.09, p&lt;1%) and location (b=-0.096, t=-2.46, p&lt;5%) had significant negative while college major (b=0.104, t=2.58, p&lt;5%) and college GPA (b=0.098, t=1.93, p&lt;10%) significant positive effect on academic performance.</w:t>
      </w:r>
    </w:p>
    <w:p w14:paraId="6BA4CBE2"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To shed further light on the significant anxiety and performance relationship predictors, we have used subgroup regressions of gender, age and SES type college major, and locations to explore if groups share homogeneous variables to predict academic performance. Table 5 below demonstrates the relations between anxiety and performance by gender profiles.</w:t>
      </w:r>
    </w:p>
    <w:p w14:paraId="2C2E9E81"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lastRenderedPageBreak/>
        <w:t>Results and Discussion</w:t>
      </w:r>
    </w:p>
    <w:p w14:paraId="441CA2A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The key aim of this paper was to examine the effect of anxiety on the academic performance of students enrolled in university studies. To explore these relationships, </w:t>
      </w:r>
      <w:proofErr w:type="gramStart"/>
      <w:r w:rsidRPr="00D30DBB">
        <w:rPr>
          <w:rFonts w:ascii="Times New Roman" w:eastAsia="Times New Roman" w:hAnsi="Times New Roman" w:cs="Times New Roman"/>
          <w:kern w:val="0"/>
          <w:lang w:eastAsia="en-AU"/>
          <w14:ligatures w14:val="none"/>
        </w:rPr>
        <w:t>a number of</w:t>
      </w:r>
      <w:proofErr w:type="gramEnd"/>
      <w:r w:rsidRPr="00D30DBB">
        <w:rPr>
          <w:rFonts w:ascii="Times New Roman" w:eastAsia="Times New Roman" w:hAnsi="Times New Roman" w:cs="Times New Roman"/>
          <w:kern w:val="0"/>
          <w:lang w:eastAsia="en-AU"/>
          <w14:ligatures w14:val="none"/>
        </w:rPr>
        <w:t xml:space="preserve"> statistical tests were conducted. The initial analysis of correlations and regressions yielded almost meaningless relations </w:t>
      </w:r>
      <w:proofErr w:type="gramStart"/>
      <w:r w:rsidRPr="00D30DBB">
        <w:rPr>
          <w:rFonts w:ascii="Times New Roman" w:eastAsia="Times New Roman" w:hAnsi="Times New Roman" w:cs="Times New Roman"/>
          <w:kern w:val="0"/>
          <w:lang w:eastAsia="en-AU"/>
          <w14:ligatures w14:val="none"/>
        </w:rPr>
        <w:t>similar to</w:t>
      </w:r>
      <w:proofErr w:type="gramEnd"/>
      <w:r w:rsidRPr="00D30DBB">
        <w:rPr>
          <w:rFonts w:ascii="Times New Roman" w:eastAsia="Times New Roman" w:hAnsi="Times New Roman" w:cs="Times New Roman"/>
          <w:kern w:val="0"/>
          <w:lang w:eastAsia="en-AU"/>
          <w14:ligatures w14:val="none"/>
        </w:rPr>
        <w:t xml:space="preserve"> the findings in Chapell et al. (2005) and Zhang (2014). When more control variables (co-variates) were added to improve the predictive power of the course GPA, results yielded significant improvements.</w:t>
      </w:r>
    </w:p>
    <w:p w14:paraId="1999000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multiple regression analysis was employed to identify the connections between academic performance (a dependent variable measured by students' course GPA) and several independent variables: anxiety (measured by Spielberger's [1980] questionnaire), age, gender, students' socio-economic status (SES), and prior academic backgrounds (college GPA, college major, education boards).</w:t>
      </w:r>
    </w:p>
    <w:p w14:paraId="1DA366E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Three separate regressions with all control variables were used to determine the important factors affecting students' academic performance. The results revealed a negative significant relationship between total anxiety and emotionality with academic performance along with three more significant co-variates (current location of residences, year of study and gender) and two more positive co-variates related to prior academic backgrounds (college level GPA and college major [being business]). However, worry was not found to significantly affect the academic performance of the surveyed students while the negative and positive significant effects of the same co-variates above on academic performance remained the same.</w:t>
      </w:r>
    </w:p>
    <w:p w14:paraId="20AED17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In all instances of total anxiety-academic performance effects along with academic co-variates, students' college level achievements added 9.3% positive values for each point of GPA (out of 5) and business major students had a 10.4% edge over humanities and sciences majors in college studies. The effect size of TAI and its subscales, as indicated by the R² value, suggests a moderate anxiety-performance relationship. This study reported a 25.8% effect of TAI on academic performance, which is notably higher compared to the R² values greater than 10% reported in previous studies (Zhang, 2014). Unlike prior studies, this study found a statistically significant negative effect of TAI scores on academic performance (course GPA) (p = 0.08), indicating that overall anxiety and emotionality has a significant detrimental effect on students' course GPA.</w:t>
      </w:r>
    </w:p>
    <w:p w14:paraId="6DA72C4E"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other two subscales produced varying relationships with academic performance (course GPA). When emotionality was considered as a subscale of TAI, the regression analysis revealed a robust R² value of 26.3%, which is significantly better than previously observed relationships for this subscale. Contrary to prior studies, our findings suggest a statistically significant effect of emotionality on students' course GPA at HSTU (p = 0.07); emotionality has a significant detrimental effect on students' course GPA. Our classification of the emotionality component into low, moderate, and high categories was based on a mean plus one standard deviation, requiring no adjustments, unlike Zhang's (2014) study. This finding contradicts several previous studies (e.g., Chapell et al., 2005; Hembree, 1988; Seipp, 1991) which indicated that emotionality does not affect academic performance.</w:t>
      </w:r>
    </w:p>
    <w:p w14:paraId="415B9742"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In the worry subscale, no statistically significant relationship was found between worry and course GPA, although some demographic, background, and control variables were significantly related to course GPA. The regression analysis of worry and other variables had </w:t>
      </w:r>
      <w:r w:rsidRPr="00D30DBB">
        <w:rPr>
          <w:rFonts w:ascii="Times New Roman" w:eastAsia="Times New Roman" w:hAnsi="Times New Roman" w:cs="Times New Roman"/>
          <w:kern w:val="0"/>
          <w:lang w:eastAsia="en-AU"/>
          <w14:ligatures w14:val="none"/>
        </w:rPr>
        <w:lastRenderedPageBreak/>
        <w:t>an R² value of 26.1%. Unlike prior studies (Chapell et al., 2005; Hembree, 1988; Seipp, 1991) that reported a significant relationship between worry and course GPA, our analysis revealed no significant relationship between these variables (p = 0.67 &gt; 0.10). However, a non-significant negative relationship between worry and academic performance was observed, consistent with Yazici's (2017) findings.</w:t>
      </w:r>
    </w:p>
    <w:p w14:paraId="71C6A09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Unlike prior studies, the current study explores if the effects of different anxiety levels and co-variates are homogenous in their effects on academic performance between male and female students. This analysis is one step forward from prior studies where this relationship is aggregated for all independent and measured variables. To achieve our goal, results of sub-group regressions by gender for all anxiety levels were analysed. Results revealed that emotionality and total anxiety but not worry had significant negative effect on female students' academic performance but for male students, all forms of anxiety had non-significant negative effect on academic performance. Moreover, all significant co-variates had the same negative effect on academic performance of female students and these values were far distant from the same for male students. In all instances of anxiety (total, worry and emotionality) along with the co-variates, female students' academic achievements had significant negative effects for emotionality (-0.18%, p&lt;0.10), total anxiety (-0.7%, p&lt;0.10), age (17.5% to -19.1%, 0.05&lt;p&lt;0.010), year of study (-26.2% to -32.6%, p&lt;0.01), and significant positive effect for current residence (15.1% to 15.7%, p&lt;0.10). For all instances of the same anxiety classes, male students' academic achievements had non-significant negative effects of all forms of anxiety, significant negative effects of year of study (-26.7% to -27%, p&lt;0.05) and college major (11.2% to 11.4%, 0.05&lt;p&lt;0.10). In sum, the sub-group regression revealed different factors affecting male and female students. This new evidence is an outcome of disaggregated analysis of the measured and control variables used in this study.</w:t>
      </w:r>
    </w:p>
    <w:p w14:paraId="6C0C4E25"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Our analysis indicates that female students were significantly more anxious than male students and female students' academic achievement were also significantly better than their male counterparts. The higher anxiety levels in female students than in male students support earlier findings in the literature (Balkis, 2017; </w:t>
      </w: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xml:space="preserve"> et al., 2003; Bin Kassim et al., 2008; Cassady &amp; Johnson, 2002; Chapell et al., 2005; </w:t>
      </w: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1994b; Pomerantz et al., 2002; Razak et al., 2017). The current study also found higher emotionality in female students than in male students, consistent with Zeidner's (1990) findings.</w:t>
      </w:r>
    </w:p>
    <w:p w14:paraId="2F1EDAC0"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Consistent with earlier literature on academic performance and gender relationships, supplemented by demographic and personal variables such as students' socio-economic status (SES), age, prior academic backgrounds (HSC GPA and education board), and different measures of anxiety, this study revealed both similar and dissimilar findings. More women from middle-class families participated in university education compared to male students, suggesting greater family support for higher education. This supports Nazir et al.'s (2018) findings that socio-economic factors influence women's academic performance. In fact, female students in this study had higher HSC GPAs and received their education from the same education board where the university is located. Due to the institutional geographical context, female students may experience fewer coping issues compared to male students, which could contribute to their higher course GPA, supporting </w:t>
      </w:r>
      <w:proofErr w:type="spellStart"/>
      <w:r w:rsidRPr="00D30DBB">
        <w:rPr>
          <w:rFonts w:ascii="Times New Roman" w:eastAsia="Times New Roman" w:hAnsi="Times New Roman" w:cs="Times New Roman"/>
          <w:kern w:val="0"/>
          <w:lang w:eastAsia="en-AU"/>
          <w14:ligatures w14:val="none"/>
        </w:rPr>
        <w:t>Stegers</w:t>
      </w:r>
      <w:proofErr w:type="spellEnd"/>
      <w:r w:rsidRPr="00D30DBB">
        <w:rPr>
          <w:rFonts w:ascii="Times New Roman" w:eastAsia="Times New Roman" w:hAnsi="Times New Roman" w:cs="Times New Roman"/>
          <w:kern w:val="0"/>
          <w:lang w:eastAsia="en-AU"/>
          <w14:ligatures w14:val="none"/>
        </w:rPr>
        <w:t>-Jager et al. (2020) regarding female coping skills. In summary, female students exhibited higher overall anxiety, both in total and across subscales, and had a higher average course GPA compared to male students.</w:t>
      </w:r>
    </w:p>
    <w:p w14:paraId="4DBAD496"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 xml:space="preserve">Most participants in this study live in remote areas and belong to low/middle-class families (self-reported). Female students in Bangladesh who study at the university level are more stressed than male students. Two plausible explanations are the social pressure to marry before the age of 17 and the moral obligation, if coming from poor or middle-class families, to contribute to their parents' families if they delay marriage. Being naturally more anxious and socially stressed than their male counterparts, female students view university studies as an investment in their personal and social lives (Ahmed &amp; McGillivray, 2015, 2019). Survey evidence from Ahmed and McGillivray (2015) indicates that females in Bangladesh are crucial contributors to economic growth, increased female empowerment from further education, increased female workforce participation, and a reduction in the gender pay gap. In line with these findings, we speculate that higher levels of stress and anxiety in Bangladeshi women may contribute to their better performance compared to male students, supporting the views of Bin Kassim et al. (2008) and </w:t>
      </w:r>
      <w:proofErr w:type="spellStart"/>
      <w:r w:rsidRPr="00D30DBB">
        <w:rPr>
          <w:rFonts w:ascii="Times New Roman" w:eastAsia="Times New Roman" w:hAnsi="Times New Roman" w:cs="Times New Roman"/>
          <w:kern w:val="0"/>
          <w:lang w:eastAsia="en-AU"/>
          <w14:ligatures w14:val="none"/>
        </w:rPr>
        <w:t>Stegers</w:t>
      </w:r>
      <w:proofErr w:type="spellEnd"/>
      <w:r w:rsidRPr="00D30DBB">
        <w:rPr>
          <w:rFonts w:ascii="Times New Roman" w:eastAsia="Times New Roman" w:hAnsi="Times New Roman" w:cs="Times New Roman"/>
          <w:kern w:val="0"/>
          <w:lang w:eastAsia="en-AU"/>
          <w14:ligatures w14:val="none"/>
        </w:rPr>
        <w:t>-Jager et al. (2020).</w:t>
      </w:r>
    </w:p>
    <w:p w14:paraId="137A5A5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current study did not reveal any effect of age-anxiety profiles on academic performance, conforming to earlier findings by Dawood et al. (2016). However, comparisons of academic performance by age profiles showed some differences. The low, medium, and high anxiety levels among regular students revealed a U-shaped positive relationship with anxiety. Students with the highest total anxiety in all measures (total, worry, and emotionality scores) had the highest course GPA among the three anxiety groups. Students with the lowest anxiety (across different anxiety types) had the second-highest course GPA, refuting the current belief that young students' anxiety levels facilitate academic achievements. In the mature age category, students with high anxiety (total, worry, and emotionality) had the highest GPA, challenging the existing belief about the anxiety-performance relationship in mature-age students and supporting the notion of facilitating anxiety explaining academic performance.</w:t>
      </w:r>
    </w:p>
    <w:p w14:paraId="57E9230F"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Conversely, the lowest anxiety class students (across all measures) also had the lowest course GPA, suggesting that for good academic achievement at a mature age, low anxiety-level students may experience debilitating anxiety that negatively impacts their performance (course GPA). The high anxiety-high academic achievement in this study supports facilitating anxiety in prior studies (Alpert, 1960; Breen, 2014; Chin et al., 2017; Prociuk, 1973; Yazici, 2017). Facilitating anxiety that ensures good academic achievement can be considered synonymous with achievement motivation (Balogun et al., 2017; </w:t>
      </w:r>
      <w:proofErr w:type="spellStart"/>
      <w:r w:rsidRPr="00D30DBB">
        <w:rPr>
          <w:rFonts w:ascii="Times New Roman" w:eastAsia="Times New Roman" w:hAnsi="Times New Roman" w:cs="Times New Roman"/>
          <w:kern w:val="0"/>
          <w:lang w:eastAsia="en-AU"/>
          <w14:ligatures w14:val="none"/>
        </w:rPr>
        <w:t>Pouratashi</w:t>
      </w:r>
      <w:proofErr w:type="spellEnd"/>
      <w:r w:rsidRPr="00D30DBB">
        <w:rPr>
          <w:rFonts w:ascii="Times New Roman" w:eastAsia="Times New Roman" w:hAnsi="Times New Roman" w:cs="Times New Roman"/>
          <w:kern w:val="0"/>
          <w:lang w:eastAsia="en-AU"/>
          <w14:ligatures w14:val="none"/>
        </w:rPr>
        <w:t xml:space="preserve"> et al., 2013) or intrinsic motivation (</w:t>
      </w:r>
      <w:proofErr w:type="spellStart"/>
      <w:r w:rsidRPr="00D30DBB">
        <w:rPr>
          <w:rFonts w:ascii="Times New Roman" w:eastAsia="Times New Roman" w:hAnsi="Times New Roman" w:cs="Times New Roman"/>
          <w:kern w:val="0"/>
          <w:lang w:eastAsia="en-AU"/>
          <w14:ligatures w14:val="none"/>
        </w:rPr>
        <w:t>Khalaila</w:t>
      </w:r>
      <w:proofErr w:type="spellEnd"/>
      <w:r w:rsidRPr="00D30DBB">
        <w:rPr>
          <w:rFonts w:ascii="Times New Roman" w:eastAsia="Times New Roman" w:hAnsi="Times New Roman" w:cs="Times New Roman"/>
          <w:kern w:val="0"/>
          <w:lang w:eastAsia="en-AU"/>
          <w14:ligatures w14:val="none"/>
        </w:rPr>
        <w:t xml:space="preserve">, 2015). The low anxiety-low GPA (academic performance) by age groups in this study can be attributed to debilitating test anxiety found in previous works (Alpert, 1960; Breen, 2014; </w:t>
      </w:r>
      <w:proofErr w:type="spellStart"/>
      <w:r w:rsidRPr="00D30DBB">
        <w:rPr>
          <w:rFonts w:ascii="Times New Roman" w:eastAsia="Times New Roman" w:hAnsi="Times New Roman" w:cs="Times New Roman"/>
          <w:kern w:val="0"/>
          <w:lang w:eastAsia="en-AU"/>
          <w14:ligatures w14:val="none"/>
        </w:rPr>
        <w:t>Khalaila</w:t>
      </w:r>
      <w:proofErr w:type="spellEnd"/>
      <w:r w:rsidRPr="00D30DBB">
        <w:rPr>
          <w:rFonts w:ascii="Times New Roman" w:eastAsia="Times New Roman" w:hAnsi="Times New Roman" w:cs="Times New Roman"/>
          <w:kern w:val="0"/>
          <w:lang w:eastAsia="en-AU"/>
          <w14:ligatures w14:val="none"/>
        </w:rPr>
        <w:t>, 2015; Prociuk, 1973).</w:t>
      </w:r>
    </w:p>
    <w:p w14:paraId="25F2D3A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Our analysis revealed that students from high SES backgrounds had the highest total anxiety scores, the second-highest worry scores, and the highest emotionality scores, yet they also had the highest course GPA among all SES groups (rich, poor, and middle class). The small number of high-anxiety profile students (rich SES students, n=5) may be outliers. It is possible that these students' social class (being the wealthiest among the groups) and the pressure to perform from their parents contributed to their highest anxiety levels in all measures, leading to facilitating anxiety (Alpert, 1960; Breen, 2014; Chin et al., 2017; Prociuk, 1973; Yazici, 2017) during their university studies, or high levels of achievement motivation (Balogun et al., 2017; </w:t>
      </w:r>
      <w:proofErr w:type="spellStart"/>
      <w:r w:rsidRPr="00D30DBB">
        <w:rPr>
          <w:rFonts w:ascii="Times New Roman" w:eastAsia="Times New Roman" w:hAnsi="Times New Roman" w:cs="Times New Roman"/>
          <w:kern w:val="0"/>
          <w:lang w:eastAsia="en-AU"/>
          <w14:ligatures w14:val="none"/>
        </w:rPr>
        <w:t>Pouratashi</w:t>
      </w:r>
      <w:proofErr w:type="spellEnd"/>
      <w:r w:rsidRPr="00D30DBB">
        <w:rPr>
          <w:rFonts w:ascii="Times New Roman" w:eastAsia="Times New Roman" w:hAnsi="Times New Roman" w:cs="Times New Roman"/>
          <w:kern w:val="0"/>
          <w:lang w:eastAsia="en-AU"/>
          <w14:ligatures w14:val="none"/>
        </w:rPr>
        <w:t xml:space="preserve"> et al., 2013). Students from the middle SES class performed as expected, commensurate with their anxiety levels (lowest among the group). This finding supports the conventional wisdom of low worry-high performance scenarios. The poor SES students' high anxiety-low course GPA is reliable and consistent with earlier findings (</w:t>
      </w: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xml:space="preserve"> et al., 1995; Cassady &amp; Johnson, 2002; Chapell et al., 2005; Hembree, </w:t>
      </w:r>
      <w:r w:rsidRPr="00D30DBB">
        <w:rPr>
          <w:rFonts w:ascii="Times New Roman" w:eastAsia="Times New Roman" w:hAnsi="Times New Roman" w:cs="Times New Roman"/>
          <w:kern w:val="0"/>
          <w:lang w:eastAsia="en-AU"/>
          <w14:ligatures w14:val="none"/>
        </w:rPr>
        <w:lastRenderedPageBreak/>
        <w:t>1988; Seipp, 1991). Though there are slight differences in course GPAs among the three SES groups, the performance differences were statistically insignificant.</w:t>
      </w:r>
    </w:p>
    <w:p w14:paraId="6FAED2B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Our final analysis of students' anxiety profiles in relation to current course grades adds intriguing insights into the anxiety-performance relationship. Students with the lowest total anxiety scores (TAI scores) had the highest academic achievement (course GPA), supporting prior findings that low anxiety leads to high achievement (Cassady &amp; Johnson, 2002; Chapell et al., 2005; Zhang, 2014). The highest TAI score, however, was found among the second-best course GPA recipients, contradicting the conventional wisdom of a negative anxiety-academic performance relationship, and supporting the notion of facilitating anxiety.</w:t>
      </w:r>
    </w:p>
    <w:p w14:paraId="20D7560F"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Limitations</w:t>
      </w:r>
    </w:p>
    <w:p w14:paraId="000D365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current study's findings are generalisable to the extent that the sample and study design represent the overall student population of the surveyed institution and other higher education institutions in Bangladesh. We expect that the students surveyed represent the general characteristics of students studying various business subjects at higher education institutions in Bangladesh and internationally. The study includes students from the third and fourth years of a four-year business degree, taught by different instructors in various subjects within the institution. The students' enrolment in different subjects, their characteristics, or their prior academic abilities may have influenced their responses to the survey questions and, consequently, the findings on the relationship between anxiety and academic performance. The use of overall academic performance (or cumulative grade point average, course GPA) may not fully represent students' academic achievements, as course GPA comprises a mix of strong and weak performances across different subjects in their degree program and the grades received in those subjects.</w:t>
      </w:r>
    </w:p>
    <w:p w14:paraId="15E9BC76"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key purpose of this study was to provide accounting and business educators and researchers with information not previously available. To our knowledge, this is the first systematic study to examine test anxiety and the academic performance of business students. If student or program characteristics are unique to accounting students, studies focused on accounting programmes will be best suited to inform accounting or other business programme educators and researchers. We hope that future studies in other subject areas within the accounting or business programme will be conducted to elucidate the relationships between test anxiety and different measures of academic performance (course grades and various types of assessment items in different subjects). The current survey relies on students' recall of test anxiety throughout their studies at the institution. Therefore, the survey responses may have been affected by the time elapsed since exams were completed and grades were made available to students. Students' experiences in different exams and grades might be more accurately captured if students are surveyed in pre- and post-event (exam) settings across a range of subjects within different degree programmes.</w:t>
      </w:r>
    </w:p>
    <w:p w14:paraId="42EFB816"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Conclusions and Directions for Future Research</w:t>
      </w:r>
    </w:p>
    <w:p w14:paraId="0175F47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The current study examined the effect of test anxiety on undergraduate students' academic achievements at a regional university in Bangladesh. The primary objective was to determine if students' test anxiety, along with demographic and personal factors, could explain performance in a business degree at the university level. In the exploration process, Spielberger's (1980) 20-item questionnaire was supplemented by additional personal, </w:t>
      </w:r>
      <w:r w:rsidRPr="00D30DBB">
        <w:rPr>
          <w:rFonts w:ascii="Times New Roman" w:eastAsia="Times New Roman" w:hAnsi="Times New Roman" w:cs="Times New Roman"/>
          <w:kern w:val="0"/>
          <w:lang w:eastAsia="en-AU"/>
          <w14:ligatures w14:val="none"/>
        </w:rPr>
        <w:lastRenderedPageBreak/>
        <w:t>demographic, and prior study-related variables. The sample of 200 respondents provided some intriguing insights into the well-established body of knowledge on anxiety-performance relationships. The findings suggest that anxiety alone is insufficient to fully understand students' performance in university examinations. Total anxiety was statistically insignificant in the current study; however, when students' self-reported binary responses (yes/no) were used as independent variables, the negative anxiety-performance relationship became statistically significant. Nonetheless, when different anxiety scores (total, worry, and emotion) were examined alongside other personal and demographic factors, total anxiety and emotionality scores were statistically significant (at the 10% level of significance) in explaining the negative test anxiety-academic performance relationship. Gender, prior academic achievements (HSC GPA), students' current enrolments in different subjects, and prior college-level affiliation with educational boards (educational jurisdiction) were significant in explaining the test anxiety and academic performance relationship.</w:t>
      </w:r>
    </w:p>
    <w:p w14:paraId="25310E2B"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Female students performed significantly better than their male counterparts, supporting prior evidence in this area. Students' current level of studies also significantly contributed to their current academic achievements. Students' HSC achievements positively impacted their current achievements, implying that a strong prior academic background was crucial for success at the university level. Students studying fewer challenging subjects (Accounting for Financial Institutions, Auditing, and Costing) perceived anxiety as less influential on their university course GPA. Although some regression variables were statistically insignificant, they were included in the regression equation. To understand the impact of these insignificant variables on academic achievements, we conducted an effect size analysis, consistent with Chapell et al. (2005). Anxiety (in all measures) affected female students more than male students, as evidenced by the d values (0.79-0.82). Anxiety levels (in all measures) among different SES classes of students had non-significant to significant effects on their academic performance (d = 0.21 to 0.63). Finally, anxiety levels matching prior academic achievements in college-level studies (HSC GPA) had non-significant to high effects (d = 0.006 to 0.63) on students' current course performance (university GPA).</w:t>
      </w:r>
    </w:p>
    <w:p w14:paraId="65F94849"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Future research could greatly benefit from broadening the scope of samples to include a diverse range of higher education institutions both within Bangladesh and internationally, thereby enhancing the generalisability of findings and providing a more comprehensive understanding of the anxiety-performance relationship across different educational contexts. Longitudinal studies are needed to track how test anxiety influences academic performance over time, offering insights into whether these effects vary at different stages of students' academic life. Additionally, investigating the impact of test anxiety in various business disciplines and beyond could offer more tailored insights and strategies to explore the underlying causes of anxiety and the need for institutionalised interventions during students' academic lives. Employing real-time data collection methods, such as pre- and post-exam surveys, could reduce recall bias and provide more accurate data on the immediate effects of test anxiety. Comparative studies examining test anxiety across different educational systems and cultures may reveal whether cultural or educational differences influence this relationship. Moreover, exploring how gender and socioeconomic status specifically affect the anxiety-performance relationship could lead to more institutionalised policies to support students during their academic lives. Lastly, complementing quantitative analyses with qualitative research, such as interviews or focus groups, could provide deeper insights into students' personal experiences and need for support mechanisms related to test anxiety.</w:t>
      </w:r>
    </w:p>
    <w:p w14:paraId="2756F47F"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References</w:t>
      </w:r>
    </w:p>
    <w:p w14:paraId="4DEE715F"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lastRenderedPageBreak/>
        <w:t>[NOTE: The following references need to be added to the reference list as they are cited in the text but missing from the reference list]:</w:t>
      </w:r>
    </w:p>
    <w:p w14:paraId="4F801D0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Ahmed, R., &amp; McGillivray, M. (2015). [Full citation needed]</w:t>
      </w:r>
    </w:p>
    <w:p w14:paraId="00E7903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Ahmed, R., &amp; McGillivray, M. (2019). [Full citation needed]</w:t>
      </w:r>
    </w:p>
    <w:p w14:paraId="4E9501B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Akpur</w:t>
      </w:r>
      <w:proofErr w:type="spellEnd"/>
      <w:r w:rsidRPr="00D30DBB">
        <w:rPr>
          <w:rFonts w:ascii="Times New Roman" w:eastAsia="Times New Roman" w:hAnsi="Times New Roman" w:cs="Times New Roman"/>
          <w:kern w:val="0"/>
          <w:lang w:eastAsia="en-AU"/>
          <w14:ligatures w14:val="none"/>
        </w:rPr>
        <w:t>, U. (2017). [Full citation needed]</w:t>
      </w:r>
    </w:p>
    <w:p w14:paraId="456FEB5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Alpert, R. (1960). [Full citation needed]</w:t>
      </w:r>
    </w:p>
    <w:p w14:paraId="71A3C1A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Balogun, A., et al. (2017). [Full citation needed]</w:t>
      </w:r>
    </w:p>
    <w:p w14:paraId="32489F6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Balkis, M. (2017). [Full citation needed]</w:t>
      </w:r>
    </w:p>
    <w:p w14:paraId="2717D86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D. L., Finney, S. J., &amp; Geske, J. A. (2003). [Full citation needed]</w:t>
      </w:r>
    </w:p>
    <w:p w14:paraId="58D5EB2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Bandalos</w:t>
      </w:r>
      <w:proofErr w:type="spellEnd"/>
      <w:r w:rsidRPr="00D30DBB">
        <w:rPr>
          <w:rFonts w:ascii="Times New Roman" w:eastAsia="Times New Roman" w:hAnsi="Times New Roman" w:cs="Times New Roman"/>
          <w:kern w:val="0"/>
          <w:lang w:eastAsia="en-AU"/>
          <w14:ligatures w14:val="none"/>
        </w:rPr>
        <w:t>, D. L., Yates, K., &amp; Thorndike-Christ, T. (1995). [Full citation needed]</w:t>
      </w:r>
    </w:p>
    <w:p w14:paraId="21AAAA5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Berk, R. A., &amp; Nanda, J. (2006). [Full citation needed]</w:t>
      </w:r>
    </w:p>
    <w:p w14:paraId="2B563C9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Bin Kassim, N., Hanafi, S., &amp; Hancock, D. (2008). [Full citation needed]</w:t>
      </w:r>
    </w:p>
    <w:p w14:paraId="265EB33D"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Breen, S. (2014). [Full citation needed]</w:t>
      </w:r>
    </w:p>
    <w:p w14:paraId="1A0EEAD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Brewer, T. M. (2002). [Full citation needed]</w:t>
      </w:r>
    </w:p>
    <w:p w14:paraId="49546FC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Brodersen, R. M. (2018). [Full citation needed]</w:t>
      </w:r>
    </w:p>
    <w:p w14:paraId="47521E0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Cassady, J. C., &amp; Johnson, R. E. (2002). [Full citation needed]</w:t>
      </w:r>
    </w:p>
    <w:p w14:paraId="3456FDD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Chapell, M. S., Blanding, Z. B., Silverstein, M. E., et al. (2005). [Full citation needed]</w:t>
      </w:r>
    </w:p>
    <w:p w14:paraId="0854C7E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Chin, E. C., Williams, M. W., Taylor, B. J., &amp; Harvey, S. T. (2017). [Full citation needed]</w:t>
      </w:r>
    </w:p>
    <w:p w14:paraId="37865FA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Cohen, J. (1988). [Full citation needed]</w:t>
      </w:r>
    </w:p>
    <w:p w14:paraId="39108F57"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Cornell, P. (2012). [Full citation needed]</w:t>
      </w:r>
    </w:p>
    <w:p w14:paraId="4B57D83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Culler, R. E. (1980). [Full citation needed]</w:t>
      </w:r>
    </w:p>
    <w:p w14:paraId="040FA1F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Culler, R. E., &amp; Holahan, C. J. (1980). [Full citation needed]</w:t>
      </w:r>
    </w:p>
    <w:p w14:paraId="66C603C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Dahlin, M., </w:t>
      </w:r>
      <w:proofErr w:type="spellStart"/>
      <w:r w:rsidRPr="00D30DBB">
        <w:rPr>
          <w:rFonts w:ascii="Times New Roman" w:eastAsia="Times New Roman" w:hAnsi="Times New Roman" w:cs="Times New Roman"/>
          <w:kern w:val="0"/>
          <w:lang w:eastAsia="en-AU"/>
          <w14:ligatures w14:val="none"/>
        </w:rPr>
        <w:t>Joneborg</w:t>
      </w:r>
      <w:proofErr w:type="spellEnd"/>
      <w:r w:rsidRPr="00D30DBB">
        <w:rPr>
          <w:rFonts w:ascii="Times New Roman" w:eastAsia="Times New Roman" w:hAnsi="Times New Roman" w:cs="Times New Roman"/>
          <w:kern w:val="0"/>
          <w:lang w:eastAsia="en-AU"/>
          <w14:ligatures w14:val="none"/>
        </w:rPr>
        <w:t>, N., &amp; Runeson, B. (2005). [Full citation needed]</w:t>
      </w:r>
    </w:p>
    <w:p w14:paraId="558B00B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Daniel, E., &amp; Watermann, R. (2013). [Full citation needed]</w:t>
      </w:r>
    </w:p>
    <w:p w14:paraId="50A670A0"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Dawood, E., Ghadeer, H. A., Mitsu, R., </w:t>
      </w:r>
      <w:proofErr w:type="spellStart"/>
      <w:r w:rsidRPr="00D30DBB">
        <w:rPr>
          <w:rFonts w:ascii="Times New Roman" w:eastAsia="Times New Roman" w:hAnsi="Times New Roman" w:cs="Times New Roman"/>
          <w:kern w:val="0"/>
          <w:lang w:eastAsia="en-AU"/>
          <w14:ligatures w14:val="none"/>
        </w:rPr>
        <w:t>Almutary</w:t>
      </w:r>
      <w:proofErr w:type="spellEnd"/>
      <w:r w:rsidRPr="00D30DBB">
        <w:rPr>
          <w:rFonts w:ascii="Times New Roman" w:eastAsia="Times New Roman" w:hAnsi="Times New Roman" w:cs="Times New Roman"/>
          <w:kern w:val="0"/>
          <w:lang w:eastAsia="en-AU"/>
          <w14:ligatures w14:val="none"/>
        </w:rPr>
        <w:t xml:space="preserve">, N., &amp; </w:t>
      </w:r>
      <w:proofErr w:type="spellStart"/>
      <w:r w:rsidRPr="00D30DBB">
        <w:rPr>
          <w:rFonts w:ascii="Times New Roman" w:eastAsia="Times New Roman" w:hAnsi="Times New Roman" w:cs="Times New Roman"/>
          <w:kern w:val="0"/>
          <w:lang w:eastAsia="en-AU"/>
          <w14:ligatures w14:val="none"/>
        </w:rPr>
        <w:t>Alenezi</w:t>
      </w:r>
      <w:proofErr w:type="spellEnd"/>
      <w:r w:rsidRPr="00D30DBB">
        <w:rPr>
          <w:rFonts w:ascii="Times New Roman" w:eastAsia="Times New Roman" w:hAnsi="Times New Roman" w:cs="Times New Roman"/>
          <w:kern w:val="0"/>
          <w:lang w:eastAsia="en-AU"/>
          <w14:ligatures w14:val="none"/>
        </w:rPr>
        <w:t>, B. (2016). [Full citation needed]</w:t>
      </w:r>
    </w:p>
    <w:p w14:paraId="1C3B7A4D"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Depreeuw</w:t>
      </w:r>
      <w:proofErr w:type="spellEnd"/>
      <w:r w:rsidRPr="00D30DBB">
        <w:rPr>
          <w:rFonts w:ascii="Times New Roman" w:eastAsia="Times New Roman" w:hAnsi="Times New Roman" w:cs="Times New Roman"/>
          <w:kern w:val="0"/>
          <w:lang w:eastAsia="en-AU"/>
          <w14:ligatures w14:val="none"/>
        </w:rPr>
        <w:t>, E. (1984). [Full citation needed]</w:t>
      </w:r>
    </w:p>
    <w:p w14:paraId="30CF9D1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Dusek, J. B. (1980). [Full citation needed]</w:t>
      </w:r>
    </w:p>
    <w:p w14:paraId="27CA28E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Eum, K. (2011). [Full citation needed]</w:t>
      </w:r>
    </w:p>
    <w:p w14:paraId="11905D45"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Fannin-Carroll, M. (2014). [Full citation needed]</w:t>
      </w:r>
    </w:p>
    <w:p w14:paraId="6A56E5B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Gaudry, E., &amp; Spielberger, C. D. (1971). [Full citation needed]</w:t>
      </w:r>
    </w:p>
    <w:p w14:paraId="22B8CDB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Georges, A., Hoffmann, D., &amp; Schiltz, C. (2016). [Full citation needed]</w:t>
      </w:r>
    </w:p>
    <w:p w14:paraId="26B9C772"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Gibson, D. C. (2014). [Full citation needed]</w:t>
      </w:r>
    </w:p>
    <w:p w14:paraId="4025169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Grooms, R. R., &amp; Endler, N. S. (1960). [Full citation needed]</w:t>
      </w:r>
    </w:p>
    <w:p w14:paraId="69E05ED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Guthrie, E., Black, D., </w:t>
      </w:r>
      <w:proofErr w:type="spellStart"/>
      <w:r w:rsidRPr="00D30DBB">
        <w:rPr>
          <w:rFonts w:ascii="Times New Roman" w:eastAsia="Times New Roman" w:hAnsi="Times New Roman" w:cs="Times New Roman"/>
          <w:kern w:val="0"/>
          <w:lang w:eastAsia="en-AU"/>
          <w14:ligatures w14:val="none"/>
        </w:rPr>
        <w:t>Bagalkote</w:t>
      </w:r>
      <w:proofErr w:type="spellEnd"/>
      <w:r w:rsidRPr="00D30DBB">
        <w:rPr>
          <w:rFonts w:ascii="Times New Roman" w:eastAsia="Times New Roman" w:hAnsi="Times New Roman" w:cs="Times New Roman"/>
          <w:kern w:val="0"/>
          <w:lang w:eastAsia="en-AU"/>
          <w14:ligatures w14:val="none"/>
        </w:rPr>
        <w:t>, H., Shaw, C., Campbell, M., &amp; Creed, F. (1998). [Full citation needed]</w:t>
      </w:r>
    </w:p>
    <w:p w14:paraId="5FA362F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Hahn, H. (2017). [Full citation needed]</w:t>
      </w:r>
    </w:p>
    <w:p w14:paraId="1A18065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Hancock, D. R. (2001). [Full citation needed]</w:t>
      </w:r>
    </w:p>
    <w:p w14:paraId="26B89120"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Hanna, D., &amp; Dempster, M. (2009). [Full citation needed]</w:t>
      </w:r>
    </w:p>
    <w:p w14:paraId="11A437B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Hartman, A. J., Wasieleski, D. M., &amp; Whatley, M. A. (2016). [Full citation needed]</w:t>
      </w:r>
    </w:p>
    <w:p w14:paraId="63FA3F12"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Hembree, R. (1988). [Full citation needed]</w:t>
      </w:r>
    </w:p>
    <w:p w14:paraId="12527C5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Hill, K. T., &amp; Wigfield, A. (1984). [Full citation needed]</w:t>
      </w:r>
    </w:p>
    <w:p w14:paraId="0178F78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Khalid, R., &amp; Hasan, S. S. (2009). [Full citation needed]</w:t>
      </w:r>
    </w:p>
    <w:p w14:paraId="18BD2C1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Khalaila</w:t>
      </w:r>
      <w:proofErr w:type="spellEnd"/>
      <w:r w:rsidRPr="00D30DBB">
        <w:rPr>
          <w:rFonts w:ascii="Times New Roman" w:eastAsia="Times New Roman" w:hAnsi="Times New Roman" w:cs="Times New Roman"/>
          <w:kern w:val="0"/>
          <w:lang w:eastAsia="en-AU"/>
          <w14:ligatures w14:val="none"/>
        </w:rPr>
        <w:t>, R. (2015). [Full citation needed]</w:t>
      </w:r>
    </w:p>
    <w:p w14:paraId="2C526393"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Lusk, H. M. (1983). [Full citation needed]</w:t>
      </w:r>
    </w:p>
    <w:p w14:paraId="6FC2DA3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Macher, D., et al. (2015). [Full citation needed]</w:t>
      </w:r>
    </w:p>
    <w:p w14:paraId="213AC0C5"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Meseke, C. A., Nafziger, G. V., &amp; Meseke, J. K. (2010). [Full citation needed]</w:t>
      </w:r>
    </w:p>
    <w:p w14:paraId="660211C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Monge, M., et al. (2017). [Full citation needed]</w:t>
      </w:r>
    </w:p>
    <w:p w14:paraId="787081FD"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lastRenderedPageBreak/>
        <w:t>Morris, L. W., Davis, M. A., &amp; Hutchings, C. H. (1981). [Full citation needed]</w:t>
      </w:r>
    </w:p>
    <w:p w14:paraId="0F37B56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T. S. (1994). [Full citation needed]</w:t>
      </w:r>
    </w:p>
    <w:p w14:paraId="673813CD"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T. S. (1994a). [Full citation needed]</w:t>
      </w:r>
    </w:p>
    <w:p w14:paraId="6D5C8D5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Mwamwenda</w:t>
      </w:r>
      <w:proofErr w:type="spellEnd"/>
      <w:r w:rsidRPr="00D30DBB">
        <w:rPr>
          <w:rFonts w:ascii="Times New Roman" w:eastAsia="Times New Roman" w:hAnsi="Times New Roman" w:cs="Times New Roman"/>
          <w:kern w:val="0"/>
          <w:lang w:eastAsia="en-AU"/>
          <w14:ligatures w14:val="none"/>
        </w:rPr>
        <w:t>, T. S. (1994b). [Full citation needed]</w:t>
      </w:r>
    </w:p>
    <w:p w14:paraId="12A64135"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Naveh-Benjamin, M. (1991). [Full citation needed]</w:t>
      </w:r>
    </w:p>
    <w:p w14:paraId="0F204D92"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Nazir, M. S., Al-Ansari, A., &amp; Farooqi, H. (2018). [Full citation needed]</w:t>
      </w:r>
    </w:p>
    <w:p w14:paraId="654CA02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Newton, J., </w:t>
      </w:r>
      <w:proofErr w:type="spellStart"/>
      <w:r w:rsidRPr="00D30DBB">
        <w:rPr>
          <w:rFonts w:ascii="Times New Roman" w:eastAsia="Times New Roman" w:hAnsi="Times New Roman" w:cs="Times New Roman"/>
          <w:kern w:val="0"/>
          <w:lang w:eastAsia="en-AU"/>
          <w14:ligatures w14:val="none"/>
        </w:rPr>
        <w:t>Dooris</w:t>
      </w:r>
      <w:proofErr w:type="spellEnd"/>
      <w:r w:rsidRPr="00D30DBB">
        <w:rPr>
          <w:rFonts w:ascii="Times New Roman" w:eastAsia="Times New Roman" w:hAnsi="Times New Roman" w:cs="Times New Roman"/>
          <w:kern w:val="0"/>
          <w:lang w:eastAsia="en-AU"/>
          <w14:ligatures w14:val="none"/>
        </w:rPr>
        <w:t>, M., &amp; Wills, J. (2000). [Full citation needed]</w:t>
      </w:r>
    </w:p>
    <w:p w14:paraId="47A9926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Nicholson, A. M. (2009). [Full citation needed]</w:t>
      </w:r>
    </w:p>
    <w:p w14:paraId="4F631C4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O'Leary, K., et al. (2017). [Full citation needed]</w:t>
      </w:r>
    </w:p>
    <w:p w14:paraId="284121A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Patil, S., &amp; </w:t>
      </w:r>
      <w:proofErr w:type="spellStart"/>
      <w:r w:rsidRPr="00D30DBB">
        <w:rPr>
          <w:rFonts w:ascii="Times New Roman" w:eastAsia="Times New Roman" w:hAnsi="Times New Roman" w:cs="Times New Roman"/>
          <w:kern w:val="0"/>
          <w:lang w:eastAsia="en-AU"/>
          <w14:ligatures w14:val="none"/>
        </w:rPr>
        <w:t>Aithala</w:t>
      </w:r>
      <w:proofErr w:type="spellEnd"/>
      <w:r w:rsidRPr="00D30DBB">
        <w:rPr>
          <w:rFonts w:ascii="Times New Roman" w:eastAsia="Times New Roman" w:hAnsi="Times New Roman" w:cs="Times New Roman"/>
          <w:kern w:val="0"/>
          <w:lang w:eastAsia="en-AU"/>
          <w14:ligatures w14:val="none"/>
        </w:rPr>
        <w:t>, M. (2017). [Full citation needed]</w:t>
      </w:r>
    </w:p>
    <w:p w14:paraId="65B56E57"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Peleg, O. (2009). [Full citation needed]</w:t>
      </w:r>
    </w:p>
    <w:p w14:paraId="7C56FBE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Pintrich, P. R., &amp; Schunk, D. H. (2002). [Full citation needed]</w:t>
      </w:r>
    </w:p>
    <w:p w14:paraId="300B009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Pomerantz, E. M., Altermatt, E. R., &amp; Saxon, J. L. (2002). [Full citation needed]</w:t>
      </w:r>
    </w:p>
    <w:p w14:paraId="3122B73D"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Pouratashi</w:t>
      </w:r>
      <w:proofErr w:type="spellEnd"/>
      <w:r w:rsidRPr="00D30DBB">
        <w:rPr>
          <w:rFonts w:ascii="Times New Roman" w:eastAsia="Times New Roman" w:hAnsi="Times New Roman" w:cs="Times New Roman"/>
          <w:kern w:val="0"/>
          <w:lang w:eastAsia="en-AU"/>
          <w14:ligatures w14:val="none"/>
        </w:rPr>
        <w:t xml:space="preserve">, M., </w:t>
      </w:r>
      <w:proofErr w:type="spellStart"/>
      <w:r w:rsidRPr="00D30DBB">
        <w:rPr>
          <w:rFonts w:ascii="Times New Roman" w:eastAsia="Times New Roman" w:hAnsi="Times New Roman" w:cs="Times New Roman"/>
          <w:kern w:val="0"/>
          <w:lang w:eastAsia="en-AU"/>
          <w14:ligatures w14:val="none"/>
        </w:rPr>
        <w:t>Zhub</w:t>
      </w:r>
      <w:proofErr w:type="spellEnd"/>
      <w:r w:rsidRPr="00D30DBB">
        <w:rPr>
          <w:rFonts w:ascii="Times New Roman" w:eastAsia="Times New Roman" w:hAnsi="Times New Roman" w:cs="Times New Roman"/>
          <w:kern w:val="0"/>
          <w:lang w:eastAsia="en-AU"/>
          <w14:ligatures w14:val="none"/>
        </w:rPr>
        <w:t xml:space="preserve">, C., Mohammadi, F., </w:t>
      </w:r>
      <w:proofErr w:type="spellStart"/>
      <w:r w:rsidRPr="00D30DBB">
        <w:rPr>
          <w:rFonts w:ascii="Times New Roman" w:eastAsia="Times New Roman" w:hAnsi="Times New Roman" w:cs="Times New Roman"/>
          <w:kern w:val="0"/>
          <w:lang w:eastAsia="en-AU"/>
          <w14:ligatures w14:val="none"/>
        </w:rPr>
        <w:t>Rezvanfara</w:t>
      </w:r>
      <w:proofErr w:type="spellEnd"/>
      <w:r w:rsidRPr="00D30DBB">
        <w:rPr>
          <w:rFonts w:ascii="Times New Roman" w:eastAsia="Times New Roman" w:hAnsi="Times New Roman" w:cs="Times New Roman"/>
          <w:kern w:val="0"/>
          <w:lang w:eastAsia="en-AU"/>
          <w14:ligatures w14:val="none"/>
        </w:rPr>
        <w:t xml:space="preserve">, A., &amp; </w:t>
      </w:r>
      <w:proofErr w:type="spellStart"/>
      <w:r w:rsidRPr="00D30DBB">
        <w:rPr>
          <w:rFonts w:ascii="Times New Roman" w:eastAsia="Times New Roman" w:hAnsi="Times New Roman" w:cs="Times New Roman"/>
          <w:kern w:val="0"/>
          <w:lang w:eastAsia="en-AU"/>
          <w14:ligatures w14:val="none"/>
        </w:rPr>
        <w:t>Hosseinia</w:t>
      </w:r>
      <w:proofErr w:type="spellEnd"/>
      <w:r w:rsidRPr="00D30DBB">
        <w:rPr>
          <w:rFonts w:ascii="Times New Roman" w:eastAsia="Times New Roman" w:hAnsi="Times New Roman" w:cs="Times New Roman"/>
          <w:kern w:val="0"/>
          <w:lang w:eastAsia="en-AU"/>
          <w14:ligatures w14:val="none"/>
        </w:rPr>
        <w:t>, S. M. (2013). [Full citation needed]</w:t>
      </w:r>
    </w:p>
    <w:p w14:paraId="1BDC67D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Prociuk, T. J. (1973). [Full citation needed]</w:t>
      </w:r>
    </w:p>
    <w:p w14:paraId="7188844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Putwain</w:t>
      </w:r>
      <w:proofErr w:type="spellEnd"/>
      <w:r w:rsidRPr="00D30DBB">
        <w:rPr>
          <w:rFonts w:ascii="Times New Roman" w:eastAsia="Times New Roman" w:hAnsi="Times New Roman" w:cs="Times New Roman"/>
          <w:kern w:val="0"/>
          <w:lang w:eastAsia="en-AU"/>
          <w14:ligatures w14:val="none"/>
        </w:rPr>
        <w:t>, D., Sander, P., &amp; Larkin, D. (2013). [Full citation needed]</w:t>
      </w:r>
    </w:p>
    <w:p w14:paraId="1D47D4E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Rahafar</w:t>
      </w:r>
      <w:proofErr w:type="spellEnd"/>
      <w:r w:rsidRPr="00D30DBB">
        <w:rPr>
          <w:rFonts w:ascii="Times New Roman" w:eastAsia="Times New Roman" w:hAnsi="Times New Roman" w:cs="Times New Roman"/>
          <w:kern w:val="0"/>
          <w:lang w:eastAsia="en-AU"/>
          <w14:ligatures w14:val="none"/>
        </w:rPr>
        <w:t xml:space="preserve">, A., </w:t>
      </w:r>
      <w:proofErr w:type="spellStart"/>
      <w:r w:rsidRPr="00D30DBB">
        <w:rPr>
          <w:rFonts w:ascii="Times New Roman" w:eastAsia="Times New Roman" w:hAnsi="Times New Roman" w:cs="Times New Roman"/>
          <w:kern w:val="0"/>
          <w:lang w:eastAsia="en-AU"/>
          <w14:ligatures w14:val="none"/>
        </w:rPr>
        <w:t>Farhangnia</w:t>
      </w:r>
      <w:proofErr w:type="spellEnd"/>
      <w:r w:rsidRPr="00D30DBB">
        <w:rPr>
          <w:rFonts w:ascii="Times New Roman" w:eastAsia="Times New Roman" w:hAnsi="Times New Roman" w:cs="Times New Roman"/>
          <w:kern w:val="0"/>
          <w:lang w:eastAsia="en-AU"/>
          <w14:ligatures w14:val="none"/>
        </w:rPr>
        <w:t>, S., &amp; Vollmer, C. (2016). [Full citation needed]</w:t>
      </w:r>
    </w:p>
    <w:p w14:paraId="67BFDA2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Rana, R. A., &amp; Mahmood, N. (2010). [Full citation needed]</w:t>
      </w:r>
    </w:p>
    <w:p w14:paraId="46217033"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Razak, N. A., Yassin, A. A., &amp; </w:t>
      </w:r>
      <w:proofErr w:type="spellStart"/>
      <w:r w:rsidRPr="00D30DBB">
        <w:rPr>
          <w:rFonts w:ascii="Times New Roman" w:eastAsia="Times New Roman" w:hAnsi="Times New Roman" w:cs="Times New Roman"/>
          <w:kern w:val="0"/>
          <w:lang w:eastAsia="en-AU"/>
          <w14:ligatures w14:val="none"/>
        </w:rPr>
        <w:t>Maasum</w:t>
      </w:r>
      <w:proofErr w:type="spellEnd"/>
      <w:r w:rsidRPr="00D30DBB">
        <w:rPr>
          <w:rFonts w:ascii="Times New Roman" w:eastAsia="Times New Roman" w:hAnsi="Times New Roman" w:cs="Times New Roman"/>
          <w:kern w:val="0"/>
          <w:lang w:eastAsia="en-AU"/>
          <w14:ligatures w14:val="none"/>
        </w:rPr>
        <w:t>, T. N. R. T. M. (2017). [Full citation needed]</w:t>
      </w:r>
    </w:p>
    <w:p w14:paraId="0BDA206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Rehmani, N., et al. (2018). [Full citation needed]</w:t>
      </w:r>
    </w:p>
    <w:p w14:paraId="4A1AF5E0"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Rezazadeh, M., &amp; Tavakoli, M. (2009). [Full citation needed]</w:t>
      </w:r>
    </w:p>
    <w:p w14:paraId="07576B05"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Sajid, M., et al. (2015). [Full citation needed]</w:t>
      </w:r>
    </w:p>
    <w:p w14:paraId="3FB14DB9"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Schneider, M. (2011). [Full citation needed]</w:t>
      </w:r>
    </w:p>
    <w:p w14:paraId="0FFF80C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Schutz, S. M., Gallagher, M. L., &amp; Tepe, R. E. (2011). [Full citation needed]</w:t>
      </w:r>
    </w:p>
    <w:p w14:paraId="57FD4D6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Schwarzer, R. (1990). [Full citation needed]</w:t>
      </w:r>
    </w:p>
    <w:p w14:paraId="2B9052B3"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Schwarzer, R., &amp; Jerusalem, M. (1992). [Full citation needed]</w:t>
      </w:r>
    </w:p>
    <w:p w14:paraId="5AC1596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Seipp, B. (1991). [Full citation needed]</w:t>
      </w:r>
    </w:p>
    <w:p w14:paraId="46904725"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Sheard, M. (2009). [Full citation needed]</w:t>
      </w:r>
    </w:p>
    <w:p w14:paraId="2806382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Spielberger, C. D. (1980). [Full citation needed]</w:t>
      </w:r>
    </w:p>
    <w:p w14:paraId="11A4DE4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Stankov, L. (2010). [Full citation needed]</w:t>
      </w:r>
    </w:p>
    <w:p w14:paraId="7CEF0BE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Stegers</w:t>
      </w:r>
      <w:proofErr w:type="spellEnd"/>
      <w:r w:rsidRPr="00D30DBB">
        <w:rPr>
          <w:rFonts w:ascii="Times New Roman" w:eastAsia="Times New Roman" w:hAnsi="Times New Roman" w:cs="Times New Roman"/>
          <w:kern w:val="0"/>
          <w:lang w:eastAsia="en-AU"/>
          <w14:ligatures w14:val="none"/>
        </w:rPr>
        <w:t>-Jager, K. M., et al. (2020). [Full citation needed]</w:t>
      </w:r>
    </w:p>
    <w:p w14:paraId="79A9524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Steinmayr</w:t>
      </w:r>
      <w:proofErr w:type="spellEnd"/>
      <w:r w:rsidRPr="00D30DBB">
        <w:rPr>
          <w:rFonts w:ascii="Times New Roman" w:eastAsia="Times New Roman" w:hAnsi="Times New Roman" w:cs="Times New Roman"/>
          <w:kern w:val="0"/>
          <w:lang w:eastAsia="en-AU"/>
          <w14:ligatures w14:val="none"/>
        </w:rPr>
        <w:t>, R., et al. (2016). [Full citation needed]</w:t>
      </w:r>
    </w:p>
    <w:p w14:paraId="6FC7074C"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Sujatha, R., &amp; </w:t>
      </w:r>
      <w:proofErr w:type="spellStart"/>
      <w:r w:rsidRPr="00D30DBB">
        <w:rPr>
          <w:rFonts w:ascii="Times New Roman" w:eastAsia="Times New Roman" w:hAnsi="Times New Roman" w:cs="Times New Roman"/>
          <w:kern w:val="0"/>
          <w:lang w:eastAsia="en-AU"/>
          <w14:ligatures w14:val="none"/>
        </w:rPr>
        <w:t>Subhalakshmi</w:t>
      </w:r>
      <w:proofErr w:type="spellEnd"/>
      <w:r w:rsidRPr="00D30DBB">
        <w:rPr>
          <w:rFonts w:ascii="Times New Roman" w:eastAsia="Times New Roman" w:hAnsi="Times New Roman" w:cs="Times New Roman"/>
          <w:kern w:val="0"/>
          <w:lang w:eastAsia="en-AU"/>
          <w14:ligatures w14:val="none"/>
        </w:rPr>
        <w:t>, K. (2016). [Full citation needed]</w:t>
      </w:r>
    </w:p>
    <w:p w14:paraId="416FD8C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Tarrasch, R., et al. (2017). [Full citation needed]</w:t>
      </w:r>
    </w:p>
    <w:p w14:paraId="7ADC595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Thomas, C. L., et al. (2017). [Full citation needed]</w:t>
      </w:r>
    </w:p>
    <w:p w14:paraId="725BE233"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Titilope, A. F., &amp; </w:t>
      </w:r>
      <w:proofErr w:type="spellStart"/>
      <w:r w:rsidRPr="00D30DBB">
        <w:rPr>
          <w:rFonts w:ascii="Times New Roman" w:eastAsia="Times New Roman" w:hAnsi="Times New Roman" w:cs="Times New Roman"/>
          <w:kern w:val="0"/>
          <w:lang w:eastAsia="en-AU"/>
          <w14:ligatures w14:val="none"/>
        </w:rPr>
        <w:t>Idiong</w:t>
      </w:r>
      <w:proofErr w:type="spellEnd"/>
      <w:r w:rsidRPr="00D30DBB">
        <w:rPr>
          <w:rFonts w:ascii="Times New Roman" w:eastAsia="Times New Roman" w:hAnsi="Times New Roman" w:cs="Times New Roman"/>
          <w:kern w:val="0"/>
          <w:lang w:eastAsia="en-AU"/>
          <w14:ligatures w14:val="none"/>
        </w:rPr>
        <w:t>, U. A. (2017). [Full citation needed]</w:t>
      </w:r>
    </w:p>
    <w:p w14:paraId="4A01B3F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proofErr w:type="spellStart"/>
      <w:r w:rsidRPr="00D30DBB">
        <w:rPr>
          <w:rFonts w:ascii="Times New Roman" w:eastAsia="Times New Roman" w:hAnsi="Times New Roman" w:cs="Times New Roman"/>
          <w:kern w:val="0"/>
          <w:lang w:eastAsia="en-AU"/>
          <w14:ligatures w14:val="none"/>
        </w:rPr>
        <w:t>Tyssen</w:t>
      </w:r>
      <w:proofErr w:type="spellEnd"/>
      <w:r w:rsidRPr="00D30DBB">
        <w:rPr>
          <w:rFonts w:ascii="Times New Roman" w:eastAsia="Times New Roman" w:hAnsi="Times New Roman" w:cs="Times New Roman"/>
          <w:kern w:val="0"/>
          <w:lang w:eastAsia="en-AU"/>
          <w14:ligatures w14:val="none"/>
        </w:rPr>
        <w:t xml:space="preserve">, R., </w:t>
      </w:r>
      <w:proofErr w:type="spellStart"/>
      <w:r w:rsidRPr="00D30DBB">
        <w:rPr>
          <w:rFonts w:ascii="Times New Roman" w:eastAsia="Times New Roman" w:hAnsi="Times New Roman" w:cs="Times New Roman"/>
          <w:kern w:val="0"/>
          <w:lang w:eastAsia="en-AU"/>
          <w14:ligatures w14:val="none"/>
        </w:rPr>
        <w:t>Vaglum</w:t>
      </w:r>
      <w:proofErr w:type="spellEnd"/>
      <w:r w:rsidRPr="00D30DBB">
        <w:rPr>
          <w:rFonts w:ascii="Times New Roman" w:eastAsia="Times New Roman" w:hAnsi="Times New Roman" w:cs="Times New Roman"/>
          <w:kern w:val="0"/>
          <w:lang w:eastAsia="en-AU"/>
          <w14:ligatures w14:val="none"/>
        </w:rPr>
        <w:t>, P., Grønvold, N. T., &amp; Ekeberg, Ø. (2001). [Full citation needed]</w:t>
      </w:r>
    </w:p>
    <w:p w14:paraId="3E60F04E"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Vaz, S., et al. (2018). [Full citation needed]</w:t>
      </w:r>
    </w:p>
    <w:p w14:paraId="27EFAC51"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Wei, M. (2024). [Full citation needed]</w:t>
      </w:r>
    </w:p>
    <w:p w14:paraId="30B259F2"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Williams, J. E. (1991). [Full citation needed]</w:t>
      </w:r>
    </w:p>
    <w:p w14:paraId="45316D6F"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Williams, J. E. (1994). [Full citation needed]</w:t>
      </w:r>
    </w:p>
    <w:p w14:paraId="144010F8"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Yadav, P. S. (2013). [Full citation needed]</w:t>
      </w:r>
    </w:p>
    <w:p w14:paraId="78D7C52B"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Yazici, H. (2017). [Full citation needed]</w:t>
      </w:r>
    </w:p>
    <w:p w14:paraId="08B402FA"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Zeidner, M. (1990). [Full citation needed]</w:t>
      </w:r>
    </w:p>
    <w:p w14:paraId="7CE2EA23"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Zeidner, M. (1998). [Full citation needed]</w:t>
      </w:r>
    </w:p>
    <w:p w14:paraId="283D3F32"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Zeidner, M. (1999). [Full citation needed]</w:t>
      </w:r>
    </w:p>
    <w:p w14:paraId="50AE2C04"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Zhang, J. (2014). [Full citation needed]</w:t>
      </w:r>
    </w:p>
    <w:p w14:paraId="44DB80E6" w14:textId="77777777" w:rsidR="00D30DBB" w:rsidRPr="00D30DBB" w:rsidRDefault="00D30DBB" w:rsidP="00D30DBB">
      <w:pPr>
        <w:numPr>
          <w:ilvl w:val="0"/>
          <w:numId w:val="1"/>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Zohar, D. (1998). [Full citation needed]</w:t>
      </w:r>
    </w:p>
    <w:p w14:paraId="33ECE387"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proofErr w:type="spellStart"/>
      <w:r w:rsidRPr="00D30DBB">
        <w:rPr>
          <w:rFonts w:ascii="Times New Roman" w:eastAsia="Times New Roman" w:hAnsi="Times New Roman" w:cs="Times New Roman"/>
          <w:b/>
          <w:bCs/>
          <w:kern w:val="0"/>
          <w:sz w:val="36"/>
          <w:szCs w:val="36"/>
          <w:lang w:eastAsia="en-AU"/>
          <w14:ligatures w14:val="none"/>
        </w:rPr>
        <w:lastRenderedPageBreak/>
        <w:t>CRediT</w:t>
      </w:r>
      <w:proofErr w:type="spellEnd"/>
      <w:r w:rsidRPr="00D30DBB">
        <w:rPr>
          <w:rFonts w:ascii="Times New Roman" w:eastAsia="Times New Roman" w:hAnsi="Times New Roman" w:cs="Times New Roman"/>
          <w:b/>
          <w:bCs/>
          <w:kern w:val="0"/>
          <w:sz w:val="36"/>
          <w:szCs w:val="36"/>
          <w:lang w:eastAsia="en-AU"/>
          <w14:ligatures w14:val="none"/>
        </w:rPr>
        <w:t xml:space="preserve"> Authorship Contribution Statement</w:t>
      </w:r>
    </w:p>
    <w:p w14:paraId="21E18212"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Rafiuddin Ahmed:</w:t>
      </w:r>
      <w:r w:rsidRPr="00D30DBB">
        <w:rPr>
          <w:rFonts w:ascii="Times New Roman" w:eastAsia="Times New Roman" w:hAnsi="Times New Roman" w:cs="Times New Roman"/>
          <w:kern w:val="0"/>
          <w:lang w:eastAsia="en-AU"/>
          <w14:ligatures w14:val="none"/>
        </w:rPr>
        <w:t xml:space="preserve"> Writing – review &amp; editing, Writing – original draft, Methodology, Investigation, Formal analysis, Conceptualization</w:t>
      </w:r>
    </w:p>
    <w:p w14:paraId="63479FB7"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Mazibar Rahman:</w:t>
      </w:r>
      <w:r w:rsidRPr="00D30DBB">
        <w:rPr>
          <w:rFonts w:ascii="Times New Roman" w:eastAsia="Times New Roman" w:hAnsi="Times New Roman" w:cs="Times New Roman"/>
          <w:kern w:val="0"/>
          <w:lang w:eastAsia="en-AU"/>
          <w14:ligatures w14:val="none"/>
        </w:rPr>
        <w:t xml:space="preserve"> Project administration, Investigation, Validation, Drafting and review</w:t>
      </w:r>
    </w:p>
    <w:p w14:paraId="4DC70BA4"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Acknowledgements</w:t>
      </w:r>
    </w:p>
    <w:p w14:paraId="68167C73"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The authors are grateful for the ethics approval provided for the collection of data from the students studying business degrees at the Haji Danesh University of Science and Technology.</w:t>
      </w:r>
    </w:p>
    <w:p w14:paraId="41B13ADE" w14:textId="77777777" w:rsidR="00D30DBB" w:rsidRPr="00D30DBB" w:rsidRDefault="00D30DBB" w:rsidP="00D30DBB">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D30DBB">
        <w:rPr>
          <w:rFonts w:ascii="Times New Roman" w:eastAsia="Times New Roman" w:hAnsi="Times New Roman" w:cs="Times New Roman"/>
          <w:b/>
          <w:bCs/>
          <w:kern w:val="0"/>
          <w:sz w:val="36"/>
          <w:szCs w:val="36"/>
          <w:lang w:eastAsia="en-AU"/>
          <w14:ligatures w14:val="none"/>
        </w:rPr>
        <w:t>Declaration of Generative AI and AI-assisted Technologies in the Writing Process</w:t>
      </w:r>
    </w:p>
    <w:p w14:paraId="472C307D"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During the preparation of this work the author(s) used ChatGPT to check for readability of the manuscript. After using this tool, the author(s) reviewed and edited the content as needed and take(s) full responsibility for the content of this manuscript.</w:t>
      </w:r>
    </w:p>
    <w:p w14:paraId="054CFD16" w14:textId="77777777" w:rsidR="00D30DBB" w:rsidRPr="00D30DBB" w:rsidRDefault="00D30DBB" w:rsidP="00D30DBB">
      <w:pPr>
        <w:spacing w:after="0"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pict w14:anchorId="28833241">
          <v:rect id="_x0000_i1025" style="width:0;height:1.5pt" o:hralign="center" o:hrstd="t" o:hr="t" fillcolor="#a0a0a0" stroked="f"/>
        </w:pict>
      </w:r>
    </w:p>
    <w:p w14:paraId="7595E804" w14:textId="77777777" w:rsidR="00D30DBB" w:rsidRPr="00D30DBB" w:rsidRDefault="00D30DBB" w:rsidP="00D30DBB">
      <w:p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b/>
          <w:bCs/>
          <w:kern w:val="0"/>
          <w:lang w:eastAsia="en-AU"/>
          <w14:ligatures w14:val="none"/>
        </w:rPr>
        <w:t>Footnotes:</w:t>
      </w:r>
    </w:p>
    <w:p w14:paraId="12F2D60B" w14:textId="77777777" w:rsidR="00D30DBB" w:rsidRPr="00D30DBB" w:rsidRDefault="00D30DBB" w:rsidP="00D30DBB">
      <w:pPr>
        <w:numPr>
          <w:ilvl w:val="0"/>
          <w:numId w:val="2"/>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Bangladesh has nine geography-based Education Boards that oversee secondary and higher secondary education administered through schools and colleges throughout the country (Source: </w:t>
      </w:r>
      <w:hyperlink r:id="rId5" w:history="1">
        <w:r w:rsidRPr="00D30DBB">
          <w:rPr>
            <w:rFonts w:ascii="Times New Roman" w:eastAsia="Times New Roman" w:hAnsi="Times New Roman" w:cs="Times New Roman"/>
            <w:color w:val="0000FF"/>
            <w:kern w:val="0"/>
            <w:u w:val="single"/>
            <w:lang w:eastAsia="en-AU"/>
            <w14:ligatures w14:val="none"/>
          </w:rPr>
          <w:t>http://www.educationboard.gov.bd/</w:t>
        </w:r>
      </w:hyperlink>
      <w:r w:rsidRPr="00D30DBB">
        <w:rPr>
          <w:rFonts w:ascii="Times New Roman" w:eastAsia="Times New Roman" w:hAnsi="Times New Roman" w:cs="Times New Roman"/>
          <w:kern w:val="0"/>
          <w:lang w:eastAsia="en-AU"/>
          <w14:ligatures w14:val="none"/>
        </w:rPr>
        <w:t>).</w:t>
      </w:r>
    </w:p>
    <w:p w14:paraId="090A2FC1" w14:textId="77777777" w:rsidR="00D30DBB" w:rsidRPr="00D30DBB" w:rsidRDefault="00D30DBB" w:rsidP="00D30DBB">
      <w:pPr>
        <w:numPr>
          <w:ilvl w:val="0"/>
          <w:numId w:val="2"/>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 xml:space="preserve">SSC is a formal exam in Bangladesh that takes place after 10 years of schooling (source: </w:t>
      </w:r>
      <w:hyperlink r:id="rId6" w:history="1">
        <w:r w:rsidRPr="00D30DBB">
          <w:rPr>
            <w:rFonts w:ascii="Times New Roman" w:eastAsia="Times New Roman" w:hAnsi="Times New Roman" w:cs="Times New Roman"/>
            <w:color w:val="0000FF"/>
            <w:kern w:val="0"/>
            <w:u w:val="single"/>
            <w:lang w:eastAsia="en-AU"/>
            <w14:ligatures w14:val="none"/>
          </w:rPr>
          <w:t>http://www.educationboard.gov.bd/</w:t>
        </w:r>
      </w:hyperlink>
      <w:r w:rsidRPr="00D30DBB">
        <w:rPr>
          <w:rFonts w:ascii="Times New Roman" w:eastAsia="Times New Roman" w:hAnsi="Times New Roman" w:cs="Times New Roman"/>
          <w:kern w:val="0"/>
          <w:lang w:eastAsia="en-AU"/>
          <w14:ligatures w14:val="none"/>
        </w:rPr>
        <w:t>).</w:t>
      </w:r>
    </w:p>
    <w:p w14:paraId="66D6A4BA" w14:textId="77777777" w:rsidR="00D30DBB" w:rsidRPr="00D30DBB" w:rsidRDefault="00D30DBB" w:rsidP="00D30DBB">
      <w:pPr>
        <w:numPr>
          <w:ilvl w:val="0"/>
          <w:numId w:val="2"/>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D30DBB">
        <w:rPr>
          <w:rFonts w:ascii="Times New Roman" w:eastAsia="Times New Roman" w:hAnsi="Times New Roman" w:cs="Times New Roman"/>
          <w:kern w:val="0"/>
          <w:lang w:eastAsia="en-AU"/>
          <w14:ligatures w14:val="none"/>
        </w:rPr>
        <w:t>In Bangladesh, students study in three streams in colleges (years 11-12) before taking the year 12 Higher Secondary Certificate (HSC) exam. The HSC exam performance and study major are important credentials to enter the public university programs.</w:t>
      </w:r>
    </w:p>
    <w:p w14:paraId="19BD0F50" w14:textId="19E58C14" w:rsidR="00776CEA" w:rsidRDefault="00776CEA">
      <w:r>
        <w:br w:type="page"/>
      </w:r>
    </w:p>
    <w:p w14:paraId="5439C792" w14:textId="77777777" w:rsidR="00776CEA" w:rsidRPr="00776CEA" w:rsidRDefault="00776CEA" w:rsidP="00776CEA">
      <w:p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lastRenderedPageBreak/>
        <w:t>I have completed the copyediting of your manuscript. The document has been thoroughly reviewed and formatted according to APA 7th edition style. Here are the key changes and observations:</w:t>
      </w:r>
    </w:p>
    <w:p w14:paraId="47AA0E32" w14:textId="77777777" w:rsidR="00776CEA" w:rsidRPr="00776CEA" w:rsidRDefault="00776CEA" w:rsidP="00776CEA">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776CEA">
        <w:rPr>
          <w:rFonts w:ascii="Times New Roman" w:eastAsia="Times New Roman" w:hAnsi="Times New Roman" w:cs="Times New Roman"/>
          <w:b/>
          <w:bCs/>
          <w:kern w:val="0"/>
          <w:sz w:val="36"/>
          <w:szCs w:val="36"/>
          <w:lang w:eastAsia="en-AU"/>
          <w14:ligatures w14:val="none"/>
        </w:rPr>
        <w:t>Major Issues Identified and Addressed:</w:t>
      </w:r>
    </w:p>
    <w:p w14:paraId="61EF6C0E" w14:textId="77777777" w:rsidR="00776CEA" w:rsidRPr="00776CEA" w:rsidRDefault="00776CEA" w:rsidP="00776CEA">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776CEA">
        <w:rPr>
          <w:rFonts w:ascii="Times New Roman" w:eastAsia="Times New Roman" w:hAnsi="Times New Roman" w:cs="Times New Roman"/>
          <w:b/>
          <w:bCs/>
          <w:kern w:val="0"/>
          <w:sz w:val="27"/>
          <w:szCs w:val="27"/>
          <w:lang w:eastAsia="en-AU"/>
          <w14:ligatures w14:val="none"/>
        </w:rPr>
        <w:t>1. Missing References (Critical Issue)</w:t>
      </w:r>
    </w:p>
    <w:p w14:paraId="39113166" w14:textId="77777777" w:rsidR="00776CEA" w:rsidRPr="00776CEA" w:rsidRDefault="00776CEA" w:rsidP="00776CEA">
      <w:p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The manuscript contains approximately 70+ in-text citations that are missing from the reference list. This is a significant issue that needs to be resolved before journal submission. I have provided a comprehensive list of all missing references that need to be added with full citations.</w:t>
      </w:r>
    </w:p>
    <w:p w14:paraId="63A0E780" w14:textId="77777777" w:rsidR="00776CEA" w:rsidRPr="00776CEA" w:rsidRDefault="00776CEA" w:rsidP="00776CEA">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776CEA">
        <w:rPr>
          <w:rFonts w:ascii="Times New Roman" w:eastAsia="Times New Roman" w:hAnsi="Times New Roman" w:cs="Times New Roman"/>
          <w:b/>
          <w:bCs/>
          <w:kern w:val="0"/>
          <w:sz w:val="27"/>
          <w:szCs w:val="27"/>
          <w:lang w:eastAsia="en-AU"/>
          <w14:ligatures w14:val="none"/>
        </w:rPr>
        <w:t>2. Language and Grammar Corrections</w:t>
      </w:r>
    </w:p>
    <w:p w14:paraId="2EDE0459" w14:textId="77777777" w:rsidR="00776CEA" w:rsidRPr="00776CEA" w:rsidRDefault="00776CEA" w:rsidP="00776CEA">
      <w:pPr>
        <w:numPr>
          <w:ilvl w:val="0"/>
          <w:numId w:val="3"/>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Fixed numerous grammatical errors and improved sentence structure</w:t>
      </w:r>
    </w:p>
    <w:p w14:paraId="1659A4EC" w14:textId="77777777" w:rsidR="00776CEA" w:rsidRPr="00776CEA" w:rsidRDefault="00776CEA" w:rsidP="00776CEA">
      <w:pPr>
        <w:numPr>
          <w:ilvl w:val="0"/>
          <w:numId w:val="3"/>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Corrected punctuation and apostrophe usage throughout</w:t>
      </w:r>
    </w:p>
    <w:p w14:paraId="0818BC5E" w14:textId="77777777" w:rsidR="00776CEA" w:rsidRPr="00776CEA" w:rsidRDefault="00776CEA" w:rsidP="00776CEA">
      <w:pPr>
        <w:numPr>
          <w:ilvl w:val="0"/>
          <w:numId w:val="3"/>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Improved clarity and readability of complex sentences</w:t>
      </w:r>
    </w:p>
    <w:p w14:paraId="37FF1254" w14:textId="77777777" w:rsidR="00776CEA" w:rsidRPr="00776CEA" w:rsidRDefault="00776CEA" w:rsidP="00776CEA">
      <w:pPr>
        <w:numPr>
          <w:ilvl w:val="0"/>
          <w:numId w:val="3"/>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Standardized terminology and maintained consistency</w:t>
      </w:r>
    </w:p>
    <w:p w14:paraId="4F6EF27D" w14:textId="77777777" w:rsidR="00776CEA" w:rsidRPr="00776CEA" w:rsidRDefault="00776CEA" w:rsidP="00776CEA">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776CEA">
        <w:rPr>
          <w:rFonts w:ascii="Times New Roman" w:eastAsia="Times New Roman" w:hAnsi="Times New Roman" w:cs="Times New Roman"/>
          <w:b/>
          <w:bCs/>
          <w:kern w:val="0"/>
          <w:sz w:val="27"/>
          <w:szCs w:val="27"/>
          <w:lang w:eastAsia="en-AU"/>
          <w14:ligatures w14:val="none"/>
        </w:rPr>
        <w:t>3. APA Style Formatting</w:t>
      </w:r>
    </w:p>
    <w:p w14:paraId="6E59744F" w14:textId="77777777" w:rsidR="00776CEA" w:rsidRPr="00776CEA" w:rsidRDefault="00776CEA" w:rsidP="00776CEA">
      <w:pPr>
        <w:numPr>
          <w:ilvl w:val="0"/>
          <w:numId w:val="4"/>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Ensured proper in-text citation format</w:t>
      </w:r>
    </w:p>
    <w:p w14:paraId="78CFDECD" w14:textId="77777777" w:rsidR="00776CEA" w:rsidRPr="00776CEA" w:rsidRDefault="00776CEA" w:rsidP="00776CEA">
      <w:pPr>
        <w:numPr>
          <w:ilvl w:val="0"/>
          <w:numId w:val="4"/>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Corrected heading levels and structure</w:t>
      </w:r>
    </w:p>
    <w:p w14:paraId="59A35216" w14:textId="77777777" w:rsidR="00776CEA" w:rsidRPr="00776CEA" w:rsidRDefault="00776CEA" w:rsidP="00776CEA">
      <w:pPr>
        <w:numPr>
          <w:ilvl w:val="0"/>
          <w:numId w:val="4"/>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Fixed table formatting and numbering</w:t>
      </w:r>
    </w:p>
    <w:p w14:paraId="6990FA52" w14:textId="77777777" w:rsidR="00776CEA" w:rsidRPr="00776CEA" w:rsidRDefault="00776CEA" w:rsidP="00776CEA">
      <w:pPr>
        <w:numPr>
          <w:ilvl w:val="0"/>
          <w:numId w:val="4"/>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Standardized footnote formatting</w:t>
      </w:r>
    </w:p>
    <w:p w14:paraId="79DFFDF1" w14:textId="77777777" w:rsidR="00776CEA" w:rsidRPr="00776CEA" w:rsidRDefault="00776CEA" w:rsidP="00776CEA">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776CEA">
        <w:rPr>
          <w:rFonts w:ascii="Times New Roman" w:eastAsia="Times New Roman" w:hAnsi="Times New Roman" w:cs="Times New Roman"/>
          <w:b/>
          <w:bCs/>
          <w:kern w:val="0"/>
          <w:sz w:val="27"/>
          <w:szCs w:val="27"/>
          <w:lang w:eastAsia="en-AU"/>
          <w14:ligatures w14:val="none"/>
        </w:rPr>
        <w:t>4. Content Organization</w:t>
      </w:r>
    </w:p>
    <w:p w14:paraId="211E04CF" w14:textId="77777777" w:rsidR="00776CEA" w:rsidRPr="00776CEA" w:rsidRDefault="00776CEA" w:rsidP="00776CEA">
      <w:pPr>
        <w:numPr>
          <w:ilvl w:val="0"/>
          <w:numId w:val="5"/>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Improved paragraph flow and transitions</w:t>
      </w:r>
    </w:p>
    <w:p w14:paraId="17AB2F3A" w14:textId="77777777" w:rsidR="00776CEA" w:rsidRPr="00776CEA" w:rsidRDefault="00776CEA" w:rsidP="00776CEA">
      <w:pPr>
        <w:numPr>
          <w:ilvl w:val="0"/>
          <w:numId w:val="5"/>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Clarified unclear statements</w:t>
      </w:r>
    </w:p>
    <w:p w14:paraId="1D3F7620" w14:textId="77777777" w:rsidR="00776CEA" w:rsidRPr="00776CEA" w:rsidRDefault="00776CEA" w:rsidP="00776CEA">
      <w:pPr>
        <w:numPr>
          <w:ilvl w:val="0"/>
          <w:numId w:val="5"/>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Enhanced readability while maintaining academic rigor</w:t>
      </w:r>
    </w:p>
    <w:p w14:paraId="26A369FE" w14:textId="77777777" w:rsidR="00776CEA" w:rsidRPr="00776CEA" w:rsidRDefault="00776CEA" w:rsidP="00776CEA">
      <w:pPr>
        <w:numPr>
          <w:ilvl w:val="0"/>
          <w:numId w:val="5"/>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t>Removed redundant text and improved conciseness</w:t>
      </w:r>
    </w:p>
    <w:p w14:paraId="6625E9DF" w14:textId="77777777" w:rsidR="00776CEA" w:rsidRPr="00776CEA" w:rsidRDefault="00776CEA" w:rsidP="00776CEA">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776CEA">
        <w:rPr>
          <w:rFonts w:ascii="Times New Roman" w:eastAsia="Times New Roman" w:hAnsi="Times New Roman" w:cs="Times New Roman"/>
          <w:b/>
          <w:bCs/>
          <w:kern w:val="0"/>
          <w:sz w:val="36"/>
          <w:szCs w:val="36"/>
          <w:lang w:eastAsia="en-AU"/>
          <w14:ligatures w14:val="none"/>
        </w:rPr>
        <w:t>Critical Action Required:</w:t>
      </w:r>
    </w:p>
    <w:p w14:paraId="5789FD7B" w14:textId="77777777" w:rsidR="00776CEA" w:rsidRPr="00776CEA" w:rsidRDefault="00776CEA" w:rsidP="00776CEA">
      <w:p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b/>
          <w:bCs/>
          <w:kern w:val="0"/>
          <w:lang w:eastAsia="en-AU"/>
          <w14:ligatures w14:val="none"/>
        </w:rPr>
        <w:t>You must add complete APA 7th edition reference entries for all the missing citations listed in the reference section.</w:t>
      </w:r>
      <w:r w:rsidRPr="00776CEA">
        <w:rPr>
          <w:rFonts w:ascii="Times New Roman" w:eastAsia="Times New Roman" w:hAnsi="Times New Roman" w:cs="Times New Roman"/>
          <w:kern w:val="0"/>
          <w:lang w:eastAsia="en-AU"/>
          <w14:ligatures w14:val="none"/>
        </w:rPr>
        <w:t xml:space="preserve"> Without these references, the manuscript cannot be submitted to a peer-reviewed journal.</w:t>
      </w:r>
    </w:p>
    <w:p w14:paraId="63CE3FFB" w14:textId="77777777" w:rsidR="00776CEA" w:rsidRPr="00776CEA" w:rsidRDefault="00776CEA" w:rsidP="00776CEA">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776CEA">
        <w:rPr>
          <w:rFonts w:ascii="Times New Roman" w:eastAsia="Times New Roman" w:hAnsi="Times New Roman" w:cs="Times New Roman"/>
          <w:b/>
          <w:bCs/>
          <w:kern w:val="0"/>
          <w:sz w:val="36"/>
          <w:szCs w:val="36"/>
          <w:lang w:eastAsia="en-AU"/>
          <w14:ligatures w14:val="none"/>
        </w:rPr>
        <w:t>Additional Recommendations:</w:t>
      </w:r>
    </w:p>
    <w:p w14:paraId="7A797A63" w14:textId="77777777" w:rsidR="00776CEA" w:rsidRPr="00776CEA" w:rsidRDefault="00776CEA" w:rsidP="00776CEA">
      <w:pPr>
        <w:numPr>
          <w:ilvl w:val="0"/>
          <w:numId w:val="6"/>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b/>
          <w:bCs/>
          <w:kern w:val="0"/>
          <w:lang w:eastAsia="en-AU"/>
          <w14:ligatures w14:val="none"/>
        </w:rPr>
        <w:t>Tables and Figures</w:t>
      </w:r>
      <w:r w:rsidRPr="00776CEA">
        <w:rPr>
          <w:rFonts w:ascii="Times New Roman" w:eastAsia="Times New Roman" w:hAnsi="Times New Roman" w:cs="Times New Roman"/>
          <w:kern w:val="0"/>
          <w:lang w:eastAsia="en-AU"/>
          <w14:ligatures w14:val="none"/>
        </w:rPr>
        <w:t>: Some tables mentioned in the text appear to be missing or incomplete. Ensure all referenced tables are included and properly formatted.</w:t>
      </w:r>
    </w:p>
    <w:p w14:paraId="215931FC" w14:textId="77777777" w:rsidR="00776CEA" w:rsidRPr="00776CEA" w:rsidRDefault="00776CEA" w:rsidP="00776CEA">
      <w:pPr>
        <w:numPr>
          <w:ilvl w:val="0"/>
          <w:numId w:val="6"/>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b/>
          <w:bCs/>
          <w:kern w:val="0"/>
          <w:lang w:eastAsia="en-AU"/>
          <w14:ligatures w14:val="none"/>
        </w:rPr>
        <w:t>Statistical Reporting</w:t>
      </w:r>
      <w:r w:rsidRPr="00776CEA">
        <w:rPr>
          <w:rFonts w:ascii="Times New Roman" w:eastAsia="Times New Roman" w:hAnsi="Times New Roman" w:cs="Times New Roman"/>
          <w:kern w:val="0"/>
          <w:lang w:eastAsia="en-AU"/>
          <w14:ligatures w14:val="none"/>
        </w:rPr>
        <w:t>: Consider reviewing statistical reporting to ensure all results are clearly presented and interpreted.</w:t>
      </w:r>
    </w:p>
    <w:p w14:paraId="75DF5A80" w14:textId="77777777" w:rsidR="00776CEA" w:rsidRPr="00776CEA" w:rsidRDefault="00776CEA" w:rsidP="00776CEA">
      <w:pPr>
        <w:numPr>
          <w:ilvl w:val="0"/>
          <w:numId w:val="6"/>
        </w:num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b/>
          <w:bCs/>
          <w:kern w:val="0"/>
          <w:lang w:eastAsia="en-AU"/>
          <w14:ligatures w14:val="none"/>
        </w:rPr>
        <w:t>Methodology Section</w:t>
      </w:r>
      <w:r w:rsidRPr="00776CEA">
        <w:rPr>
          <w:rFonts w:ascii="Times New Roman" w:eastAsia="Times New Roman" w:hAnsi="Times New Roman" w:cs="Times New Roman"/>
          <w:kern w:val="0"/>
          <w:lang w:eastAsia="en-AU"/>
          <w14:ligatures w14:val="none"/>
        </w:rPr>
        <w:t>: The methodology could benefit from more detailed descriptions of procedures and data analysis methods.</w:t>
      </w:r>
    </w:p>
    <w:p w14:paraId="149FC50F" w14:textId="77777777" w:rsidR="00776CEA" w:rsidRPr="00776CEA" w:rsidRDefault="00776CEA" w:rsidP="00776CEA">
      <w:pPr>
        <w:spacing w:before="100" w:beforeAutospacing="1" w:after="100" w:afterAutospacing="1" w:line="240" w:lineRule="auto"/>
        <w:rPr>
          <w:rFonts w:ascii="Times New Roman" w:eastAsia="Times New Roman" w:hAnsi="Times New Roman" w:cs="Times New Roman"/>
          <w:kern w:val="0"/>
          <w:lang w:eastAsia="en-AU"/>
          <w14:ligatures w14:val="none"/>
        </w:rPr>
      </w:pPr>
      <w:r w:rsidRPr="00776CEA">
        <w:rPr>
          <w:rFonts w:ascii="Times New Roman" w:eastAsia="Times New Roman" w:hAnsi="Times New Roman" w:cs="Times New Roman"/>
          <w:kern w:val="0"/>
          <w:lang w:eastAsia="en-AU"/>
          <w14:ligatures w14:val="none"/>
        </w:rPr>
        <w:lastRenderedPageBreak/>
        <w:t>The manuscript addresses an important topic in educational psychology and provides valuable insights into test anxiety among business students in Bangladesh. Once the reference list is completed, it should be suitable for submission to an appropriate peer-reviewed journal.</w:t>
      </w:r>
    </w:p>
    <w:p w14:paraId="163BABAB" w14:textId="77777777" w:rsidR="008C00B7" w:rsidRDefault="008C00B7"/>
    <w:sectPr w:rsidR="008C0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DAB"/>
    <w:multiLevelType w:val="multilevel"/>
    <w:tmpl w:val="DDEE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8542A6"/>
    <w:multiLevelType w:val="multilevel"/>
    <w:tmpl w:val="394E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565BBE"/>
    <w:multiLevelType w:val="multilevel"/>
    <w:tmpl w:val="89564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47572B"/>
    <w:multiLevelType w:val="multilevel"/>
    <w:tmpl w:val="A7A8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0731CB"/>
    <w:multiLevelType w:val="multilevel"/>
    <w:tmpl w:val="C5E6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3024FB"/>
    <w:multiLevelType w:val="multilevel"/>
    <w:tmpl w:val="EBD03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196367">
    <w:abstractNumId w:val="0"/>
  </w:num>
  <w:num w:numId="2" w16cid:durableId="1987539721">
    <w:abstractNumId w:val="2"/>
  </w:num>
  <w:num w:numId="3" w16cid:durableId="142739472">
    <w:abstractNumId w:val="1"/>
  </w:num>
  <w:num w:numId="4" w16cid:durableId="9916823">
    <w:abstractNumId w:val="4"/>
  </w:num>
  <w:num w:numId="5" w16cid:durableId="1629160233">
    <w:abstractNumId w:val="3"/>
  </w:num>
  <w:num w:numId="6" w16cid:durableId="15203906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DBB"/>
    <w:rsid w:val="006B1A0A"/>
    <w:rsid w:val="00776CEA"/>
    <w:rsid w:val="008C00B7"/>
    <w:rsid w:val="00D30DBB"/>
    <w:rsid w:val="00EA411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E505F"/>
  <w15:chartTrackingRefBased/>
  <w15:docId w15:val="{8A309BEF-3237-4EF7-93ED-E1D7CD51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D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0D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0D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D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D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D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D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D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D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D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D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D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D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D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D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D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D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DBB"/>
    <w:rPr>
      <w:rFonts w:eastAsiaTheme="majorEastAsia" w:cstheme="majorBidi"/>
      <w:color w:val="272727" w:themeColor="text1" w:themeTint="D8"/>
    </w:rPr>
  </w:style>
  <w:style w:type="paragraph" w:styleId="Title">
    <w:name w:val="Title"/>
    <w:basedOn w:val="Normal"/>
    <w:next w:val="Normal"/>
    <w:link w:val="TitleChar"/>
    <w:uiPriority w:val="10"/>
    <w:qFormat/>
    <w:rsid w:val="00D30D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D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D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D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DBB"/>
    <w:pPr>
      <w:spacing w:before="160"/>
      <w:jc w:val="center"/>
    </w:pPr>
    <w:rPr>
      <w:i/>
      <w:iCs/>
      <w:color w:val="404040" w:themeColor="text1" w:themeTint="BF"/>
    </w:rPr>
  </w:style>
  <w:style w:type="character" w:customStyle="1" w:styleId="QuoteChar">
    <w:name w:val="Quote Char"/>
    <w:basedOn w:val="DefaultParagraphFont"/>
    <w:link w:val="Quote"/>
    <w:uiPriority w:val="29"/>
    <w:rsid w:val="00D30DBB"/>
    <w:rPr>
      <w:i/>
      <w:iCs/>
      <w:color w:val="404040" w:themeColor="text1" w:themeTint="BF"/>
    </w:rPr>
  </w:style>
  <w:style w:type="paragraph" w:styleId="ListParagraph">
    <w:name w:val="List Paragraph"/>
    <w:basedOn w:val="Normal"/>
    <w:uiPriority w:val="34"/>
    <w:qFormat/>
    <w:rsid w:val="00D30DBB"/>
    <w:pPr>
      <w:ind w:left="720"/>
      <w:contextualSpacing/>
    </w:pPr>
  </w:style>
  <w:style w:type="character" w:styleId="IntenseEmphasis">
    <w:name w:val="Intense Emphasis"/>
    <w:basedOn w:val="DefaultParagraphFont"/>
    <w:uiPriority w:val="21"/>
    <w:qFormat/>
    <w:rsid w:val="00D30DBB"/>
    <w:rPr>
      <w:i/>
      <w:iCs/>
      <w:color w:val="0F4761" w:themeColor="accent1" w:themeShade="BF"/>
    </w:rPr>
  </w:style>
  <w:style w:type="paragraph" w:styleId="IntenseQuote">
    <w:name w:val="Intense Quote"/>
    <w:basedOn w:val="Normal"/>
    <w:next w:val="Normal"/>
    <w:link w:val="IntenseQuoteChar"/>
    <w:uiPriority w:val="30"/>
    <w:qFormat/>
    <w:rsid w:val="00D30D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DBB"/>
    <w:rPr>
      <w:i/>
      <w:iCs/>
      <w:color w:val="0F4761" w:themeColor="accent1" w:themeShade="BF"/>
    </w:rPr>
  </w:style>
  <w:style w:type="character" w:styleId="IntenseReference">
    <w:name w:val="Intense Reference"/>
    <w:basedOn w:val="DefaultParagraphFont"/>
    <w:uiPriority w:val="32"/>
    <w:qFormat/>
    <w:rsid w:val="00D30D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506659">
      <w:bodyDiv w:val="1"/>
      <w:marLeft w:val="0"/>
      <w:marRight w:val="0"/>
      <w:marTop w:val="0"/>
      <w:marBottom w:val="0"/>
      <w:divBdr>
        <w:top w:val="none" w:sz="0" w:space="0" w:color="auto"/>
        <w:left w:val="none" w:sz="0" w:space="0" w:color="auto"/>
        <w:bottom w:val="none" w:sz="0" w:space="0" w:color="auto"/>
        <w:right w:val="none" w:sz="0" w:space="0" w:color="auto"/>
      </w:divBdr>
      <w:divsChild>
        <w:div w:id="746850048">
          <w:marLeft w:val="0"/>
          <w:marRight w:val="0"/>
          <w:marTop w:val="0"/>
          <w:marBottom w:val="0"/>
          <w:divBdr>
            <w:top w:val="none" w:sz="0" w:space="0" w:color="auto"/>
            <w:left w:val="none" w:sz="0" w:space="0" w:color="auto"/>
            <w:bottom w:val="none" w:sz="0" w:space="0" w:color="auto"/>
            <w:right w:val="none" w:sz="0" w:space="0" w:color="auto"/>
          </w:divBdr>
          <w:divsChild>
            <w:div w:id="204763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880508">
      <w:bodyDiv w:val="1"/>
      <w:marLeft w:val="0"/>
      <w:marRight w:val="0"/>
      <w:marTop w:val="0"/>
      <w:marBottom w:val="0"/>
      <w:divBdr>
        <w:top w:val="none" w:sz="0" w:space="0" w:color="auto"/>
        <w:left w:val="none" w:sz="0" w:space="0" w:color="auto"/>
        <w:bottom w:val="none" w:sz="0" w:space="0" w:color="auto"/>
        <w:right w:val="none" w:sz="0" w:space="0" w:color="auto"/>
      </w:divBdr>
    </w:div>
    <w:div w:id="185862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ducationboard.gov.bd/" TargetMode="External"/><Relationship Id="rId5" Type="http://schemas.openxmlformats.org/officeDocument/2006/relationships/hyperlink" Target="http://www.educationboard.gov.b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20</Pages>
  <Words>8982</Words>
  <Characters>51204</Characters>
  <Application>Microsoft Office Word</Application>
  <DocSecurity>0</DocSecurity>
  <Lines>426</Lines>
  <Paragraphs>120</Paragraphs>
  <ScaleCrop>false</ScaleCrop>
  <Company/>
  <LinksUpToDate>false</LinksUpToDate>
  <CharactersWithSpaces>60066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Rafiuddin Ahmed</dc:creator>
  <cp:keywords/>
  <dc:description/>
  <cp:lastModifiedBy>Rafiuddin Ahmed</cp:lastModifiedBy>
  <cp:revision>2</cp:revision>
  <dcterms:created xsi:type="dcterms:W3CDTF">2025-09-18T20:01:00Z</dcterms:created>
  <dcterms:modified xsi:type="dcterms:W3CDTF">2025-09-18T20:09:00Z</dcterms:modified>
</cp:coreProperties>
</file>