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4E5D" w14:textId="77777777" w:rsidR="00AC1D1E" w:rsidRPr="00BC5B86" w:rsidRDefault="00AC1D1E" w:rsidP="00AC1D1E">
      <w:pPr>
        <w:spacing w:line="360" w:lineRule="auto"/>
        <w:jc w:val="center"/>
        <w:rPr>
          <w:rFonts w:ascii="Times New Roman" w:hAnsi="Times New Roman" w:cs="Times New Roman"/>
          <w:b/>
          <w:bCs/>
          <w:szCs w:val="24"/>
        </w:rPr>
      </w:pPr>
      <w:r w:rsidRPr="00BC5B86">
        <w:rPr>
          <w:rFonts w:ascii="Times New Roman" w:hAnsi="Times New Roman" w:cs="Times New Roman"/>
          <w:b/>
          <w:bCs/>
          <w:szCs w:val="24"/>
        </w:rPr>
        <w:t>Assessment of Metal Concentrations in Maternal and Cord Blood Samples with or without Preeclampsia in Women</w:t>
      </w:r>
    </w:p>
    <w:p w14:paraId="39A521F3" w14:textId="37E93D08" w:rsidR="00AC1D1E" w:rsidRPr="00F9364E" w:rsidRDefault="00AC1D1E" w:rsidP="00AC1D1E">
      <w:pPr>
        <w:spacing w:line="360" w:lineRule="auto"/>
        <w:jc w:val="center"/>
        <w:rPr>
          <w:rFonts w:ascii="Times New Roman" w:hAnsi="Times New Roman" w:cs="Times New Roman"/>
          <w:sz w:val="22"/>
          <w:szCs w:val="22"/>
        </w:rPr>
      </w:pPr>
      <w:r w:rsidRPr="00F9364E">
        <w:rPr>
          <w:rFonts w:ascii="Times New Roman" w:hAnsi="Times New Roman" w:cs="Times New Roman"/>
          <w:b/>
          <w:bCs/>
          <w:sz w:val="22"/>
          <w:szCs w:val="22"/>
        </w:rPr>
        <w:t>Bhavana Yadav</w:t>
      </w:r>
      <w:r w:rsidR="008236AE">
        <w:rPr>
          <w:rFonts w:ascii="Times New Roman" w:hAnsi="Times New Roman" w:cs="Times New Roman"/>
          <w:b/>
          <w:bCs/>
          <w:sz w:val="22"/>
          <w:szCs w:val="22"/>
          <w:vertAlign w:val="superscript"/>
        </w:rPr>
        <w:t>1</w:t>
      </w:r>
      <w:r w:rsidRPr="00F9364E">
        <w:rPr>
          <w:rFonts w:ascii="Times New Roman" w:hAnsi="Times New Roman" w:cs="Times New Roman"/>
          <w:b/>
          <w:bCs/>
          <w:sz w:val="22"/>
          <w:szCs w:val="22"/>
        </w:rPr>
        <w:t>, Madhu Anand</w:t>
      </w:r>
      <w:r w:rsidR="008126DA">
        <w:rPr>
          <w:rFonts w:ascii="Times New Roman" w:hAnsi="Times New Roman" w:cs="Times New Roman"/>
          <w:b/>
          <w:bCs/>
          <w:sz w:val="22"/>
          <w:szCs w:val="22"/>
          <w:vertAlign w:val="superscript"/>
        </w:rPr>
        <w:t>1</w:t>
      </w:r>
      <w:r w:rsidRPr="00F9364E">
        <w:rPr>
          <w:rFonts w:ascii="Times New Roman" w:hAnsi="Times New Roman" w:cs="Times New Roman"/>
          <w:b/>
          <w:bCs/>
          <w:sz w:val="22"/>
          <w:szCs w:val="22"/>
        </w:rPr>
        <w:t>, Ajay Taneja</w:t>
      </w:r>
      <w:r w:rsidR="008126DA">
        <w:rPr>
          <w:rFonts w:ascii="Times New Roman" w:hAnsi="Times New Roman" w:cs="Times New Roman"/>
          <w:b/>
          <w:bCs/>
          <w:sz w:val="22"/>
          <w:szCs w:val="22"/>
          <w:vertAlign w:val="superscript"/>
        </w:rPr>
        <w:t>1</w:t>
      </w:r>
      <w:r w:rsidR="00911B4C">
        <w:rPr>
          <w:rFonts w:ascii="Times New Roman" w:hAnsi="Times New Roman" w:cs="Times New Roman"/>
          <w:b/>
          <w:bCs/>
          <w:sz w:val="22"/>
          <w:szCs w:val="22"/>
          <w:vertAlign w:val="superscript"/>
        </w:rPr>
        <w:t>*</w:t>
      </w:r>
      <w:r w:rsidRPr="00F9364E">
        <w:rPr>
          <w:rFonts w:ascii="Times New Roman" w:hAnsi="Times New Roman" w:cs="Times New Roman"/>
          <w:b/>
          <w:bCs/>
          <w:sz w:val="22"/>
          <w:szCs w:val="22"/>
        </w:rPr>
        <w:t>, David Daneesh Massey</w:t>
      </w:r>
      <w:r w:rsidR="008126DA">
        <w:rPr>
          <w:rFonts w:ascii="Times New Roman" w:hAnsi="Times New Roman" w:cs="Times New Roman"/>
          <w:b/>
          <w:bCs/>
          <w:sz w:val="22"/>
          <w:szCs w:val="22"/>
          <w:vertAlign w:val="superscript"/>
        </w:rPr>
        <w:t>2</w:t>
      </w:r>
      <w:r w:rsidRPr="00F9364E">
        <w:rPr>
          <w:rFonts w:ascii="Times New Roman" w:hAnsi="Times New Roman" w:cs="Times New Roman"/>
          <w:b/>
          <w:bCs/>
          <w:sz w:val="22"/>
          <w:szCs w:val="22"/>
        </w:rPr>
        <w:t>, Mahima Habil</w:t>
      </w:r>
      <w:r w:rsidR="008126DA">
        <w:rPr>
          <w:rFonts w:ascii="Times New Roman" w:hAnsi="Times New Roman" w:cs="Times New Roman"/>
          <w:b/>
          <w:bCs/>
          <w:sz w:val="22"/>
          <w:szCs w:val="22"/>
          <w:vertAlign w:val="superscript"/>
        </w:rPr>
        <w:t>2</w:t>
      </w:r>
    </w:p>
    <w:p w14:paraId="436D568C" w14:textId="0569B7E0" w:rsidR="008236AE" w:rsidRDefault="008126DA" w:rsidP="008236AE">
      <w:pPr>
        <w:spacing w:line="360" w:lineRule="auto"/>
        <w:jc w:val="center"/>
        <w:rPr>
          <w:rFonts w:ascii="Times New Roman" w:hAnsi="Times New Roman" w:cs="Times New Roman"/>
          <w:sz w:val="22"/>
          <w:szCs w:val="22"/>
        </w:rPr>
      </w:pPr>
      <w:r>
        <w:rPr>
          <w:rFonts w:ascii="Times New Roman" w:hAnsi="Times New Roman" w:cs="Times New Roman"/>
          <w:sz w:val="22"/>
          <w:szCs w:val="22"/>
          <w:vertAlign w:val="superscript"/>
        </w:rPr>
        <w:t>1</w:t>
      </w:r>
      <w:r w:rsidR="008236AE" w:rsidRPr="00F9364E">
        <w:rPr>
          <w:rFonts w:ascii="Times New Roman" w:hAnsi="Times New Roman" w:cs="Times New Roman"/>
          <w:sz w:val="22"/>
          <w:szCs w:val="22"/>
        </w:rPr>
        <w:t>Department of Chemistry, Dr. B</w:t>
      </w:r>
      <w:r w:rsidR="000C2A1B">
        <w:rPr>
          <w:rFonts w:ascii="Times New Roman" w:hAnsi="Times New Roman" w:cs="Times New Roman"/>
          <w:sz w:val="22"/>
          <w:szCs w:val="22"/>
        </w:rPr>
        <w:t>him Rao</w:t>
      </w:r>
      <w:r w:rsidR="008236AE" w:rsidRPr="00F9364E">
        <w:rPr>
          <w:rFonts w:ascii="Times New Roman" w:hAnsi="Times New Roman" w:cs="Times New Roman"/>
          <w:sz w:val="22"/>
          <w:szCs w:val="22"/>
        </w:rPr>
        <w:t xml:space="preserve"> Ambedkar University,</w:t>
      </w:r>
      <w:r w:rsidR="000C2A1B">
        <w:rPr>
          <w:rFonts w:ascii="Times New Roman" w:hAnsi="Times New Roman" w:cs="Times New Roman"/>
          <w:sz w:val="22"/>
          <w:szCs w:val="22"/>
        </w:rPr>
        <w:t xml:space="preserve"> </w:t>
      </w:r>
      <w:r w:rsidR="008236AE" w:rsidRPr="00F9364E">
        <w:rPr>
          <w:rFonts w:ascii="Times New Roman" w:hAnsi="Times New Roman" w:cs="Times New Roman"/>
          <w:sz w:val="22"/>
          <w:szCs w:val="22"/>
        </w:rPr>
        <w:t>Agra,</w:t>
      </w:r>
      <w:r w:rsidR="00D2109C">
        <w:rPr>
          <w:rFonts w:ascii="Times New Roman" w:hAnsi="Times New Roman" w:cs="Times New Roman"/>
          <w:sz w:val="22"/>
          <w:szCs w:val="22"/>
        </w:rPr>
        <w:t xml:space="preserve"> </w:t>
      </w:r>
      <w:r w:rsidR="008236AE" w:rsidRPr="00F9364E">
        <w:rPr>
          <w:rFonts w:ascii="Times New Roman" w:hAnsi="Times New Roman" w:cs="Times New Roman"/>
          <w:sz w:val="22"/>
          <w:szCs w:val="22"/>
        </w:rPr>
        <w:t>U.P, India</w:t>
      </w:r>
    </w:p>
    <w:p w14:paraId="7654BC8A" w14:textId="03356057" w:rsidR="008126DA" w:rsidRDefault="008126DA" w:rsidP="008126DA">
      <w:pPr>
        <w:spacing w:line="360" w:lineRule="auto"/>
        <w:jc w:val="center"/>
        <w:rPr>
          <w:rFonts w:ascii="Times New Roman" w:hAnsi="Times New Roman" w:cs="Times New Roman"/>
          <w:sz w:val="22"/>
          <w:szCs w:val="22"/>
        </w:rPr>
      </w:pPr>
      <w:r>
        <w:rPr>
          <w:rFonts w:ascii="Times New Roman" w:hAnsi="Times New Roman" w:cs="Times New Roman"/>
          <w:sz w:val="22"/>
          <w:szCs w:val="22"/>
          <w:vertAlign w:val="superscript"/>
        </w:rPr>
        <w:t>2</w:t>
      </w:r>
      <w:r w:rsidRPr="00F9364E">
        <w:rPr>
          <w:rFonts w:ascii="Times New Roman" w:hAnsi="Times New Roman" w:cs="Times New Roman"/>
          <w:sz w:val="22"/>
          <w:szCs w:val="22"/>
        </w:rPr>
        <w:t>Department of Chemistry, St. John’s College, Agra</w:t>
      </w:r>
      <w:r>
        <w:rPr>
          <w:rFonts w:ascii="Times New Roman" w:hAnsi="Times New Roman" w:cs="Times New Roman"/>
          <w:sz w:val="22"/>
          <w:szCs w:val="22"/>
        </w:rPr>
        <w:t xml:space="preserve">, </w:t>
      </w:r>
      <w:r w:rsidRPr="00F9364E">
        <w:rPr>
          <w:rFonts w:ascii="Times New Roman" w:hAnsi="Times New Roman" w:cs="Times New Roman"/>
          <w:sz w:val="22"/>
          <w:szCs w:val="22"/>
        </w:rPr>
        <w:t>U.P, India</w:t>
      </w:r>
    </w:p>
    <w:p w14:paraId="6E399002" w14:textId="058FD8B3"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A</w:t>
      </w:r>
      <w:r w:rsidR="00222B33">
        <w:rPr>
          <w:rFonts w:ascii="Times New Roman" w:hAnsi="Times New Roman" w:cs="Times New Roman"/>
          <w:b/>
          <w:bCs/>
          <w:sz w:val="22"/>
          <w:szCs w:val="22"/>
        </w:rPr>
        <w:t>bstract</w:t>
      </w:r>
    </w:p>
    <w:p w14:paraId="315694C3"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Preeclampsia is a significant global factor contributing to perinatal and maternal morbidity and mortality. This study aims to assess concentrations of metals (Mg, Fe, Mn, K, Ni, Pb, Zn, B, Al, Ba, Cd, Ca, Co, Cu, and Cr) in the cord and maternal blood of women with or without preeclampsia. Blood samples were collected from 10 pairs of mothers and children to analyze metal levels by using ICP-OES. The data analysis statistically incorporated factors such as ponderal index, birth weight and height, and head circumference, in addition to the independent variable of metal concentration. A significant difference was noted in the number of children and the height of females. These results imply a correlation between metal exposure and preeclampsia, affecting fetal anthropometric growth with a negligible decrease in birth height, weight, head circumference, and ponderal index. A few factors showed a significant correlation between metals and preeclampsia, meaning that preeclamptic women had higher metal concentrations than the control group did. This underscores the need to mitigate exposure among females of reproductive age due to potential long-term health implications. This research finding represents significant efforts to analyze different metals in maternal and cord blood samples, differentiating between individuals with and without preeclampsia.</w:t>
      </w:r>
    </w:p>
    <w:p w14:paraId="6195D661" w14:textId="77777777" w:rsidR="00AC1D1E" w:rsidRPr="00F9364E" w:rsidRDefault="00AC1D1E" w:rsidP="00AC1D1E">
      <w:pPr>
        <w:spacing w:line="360" w:lineRule="auto"/>
        <w:jc w:val="both"/>
        <w:rPr>
          <w:rFonts w:ascii="Times New Roman" w:hAnsi="Times New Roman" w:cs="Times New Roman"/>
          <w:sz w:val="22"/>
          <w:szCs w:val="22"/>
        </w:rPr>
      </w:pPr>
      <w:r w:rsidRPr="00200B90">
        <w:rPr>
          <w:rFonts w:ascii="Times New Roman" w:hAnsi="Times New Roman" w:cs="Times New Roman"/>
          <w:b/>
          <w:bCs/>
          <w:sz w:val="22"/>
          <w:szCs w:val="22"/>
        </w:rPr>
        <w:t>Keywords</w:t>
      </w:r>
      <w:r w:rsidRPr="00F9364E">
        <w:rPr>
          <w:rFonts w:ascii="Times New Roman" w:hAnsi="Times New Roman" w:cs="Times New Roman"/>
          <w:sz w:val="22"/>
          <w:szCs w:val="22"/>
        </w:rPr>
        <w:t>: Women, Heavy Metals Preeclampsia, Cord blood, Maternal blood, Birth weight</w:t>
      </w:r>
    </w:p>
    <w:p w14:paraId="6517A0AF" w14:textId="77777777" w:rsidR="003D7561" w:rsidRDefault="003D7561" w:rsidP="00AC1D1E">
      <w:pPr>
        <w:spacing w:line="360" w:lineRule="auto"/>
        <w:jc w:val="both"/>
        <w:rPr>
          <w:rFonts w:ascii="Times New Roman" w:hAnsi="Times New Roman" w:cs="Times New Roman"/>
          <w:sz w:val="22"/>
          <w:szCs w:val="22"/>
        </w:rPr>
      </w:pPr>
    </w:p>
    <w:p w14:paraId="76CA2FCC" w14:textId="77777777" w:rsidR="003D7561" w:rsidRDefault="003D7561" w:rsidP="00AC1D1E">
      <w:pPr>
        <w:spacing w:line="360" w:lineRule="auto"/>
        <w:jc w:val="both"/>
        <w:rPr>
          <w:rFonts w:ascii="Times New Roman" w:hAnsi="Times New Roman" w:cs="Times New Roman"/>
          <w:sz w:val="22"/>
          <w:szCs w:val="22"/>
        </w:rPr>
      </w:pPr>
    </w:p>
    <w:p w14:paraId="320223A1" w14:textId="567C3A02" w:rsidR="0084085C" w:rsidRDefault="006A10AD" w:rsidP="00AC1D1E">
      <w:pPr>
        <w:spacing w:line="360" w:lineRule="auto"/>
        <w:jc w:val="both"/>
        <w:rPr>
          <w:rFonts w:ascii="Times New Roman" w:hAnsi="Times New Roman" w:cs="Times New Roman"/>
          <w:sz w:val="22"/>
          <w:szCs w:val="22"/>
        </w:rPr>
      </w:pPr>
      <w:r>
        <w:rPr>
          <w:rFonts w:ascii="Times New Roman" w:hAnsi="Times New Roman" w:cs="Times New Roman"/>
          <w:sz w:val="22"/>
          <w:szCs w:val="22"/>
        </w:rPr>
        <w:t>*</w:t>
      </w:r>
      <w:r w:rsidR="0084085C">
        <w:rPr>
          <w:rFonts w:ascii="Times New Roman" w:hAnsi="Times New Roman" w:cs="Times New Roman"/>
          <w:sz w:val="22"/>
          <w:szCs w:val="22"/>
        </w:rPr>
        <w:t>Corresponding author: Prof. Ajay Taneja</w:t>
      </w:r>
    </w:p>
    <w:p w14:paraId="5AE4D075" w14:textId="60B8F0FE" w:rsidR="00911B4C" w:rsidRPr="0084085C" w:rsidRDefault="0084085C" w:rsidP="00AC1D1E">
      <w:pPr>
        <w:spacing w:line="360" w:lineRule="auto"/>
        <w:jc w:val="both"/>
        <w:rPr>
          <w:rFonts w:ascii="Times New Roman" w:hAnsi="Times New Roman" w:cs="Times New Roman"/>
          <w:sz w:val="22"/>
          <w:szCs w:val="22"/>
        </w:rPr>
      </w:pPr>
      <w:r>
        <w:rPr>
          <w:rFonts w:ascii="Times New Roman" w:hAnsi="Times New Roman" w:cs="Times New Roman"/>
          <w:sz w:val="22"/>
          <w:szCs w:val="22"/>
        </w:rPr>
        <w:t>Email: ataneja5@hotmail.com</w:t>
      </w:r>
    </w:p>
    <w:p w14:paraId="55D6DB8B" w14:textId="77777777" w:rsidR="00911B4C" w:rsidRDefault="00911B4C" w:rsidP="00AC1D1E">
      <w:pPr>
        <w:spacing w:line="360" w:lineRule="auto"/>
        <w:jc w:val="both"/>
        <w:rPr>
          <w:rFonts w:ascii="Times New Roman" w:hAnsi="Times New Roman" w:cs="Times New Roman"/>
          <w:b/>
          <w:bCs/>
          <w:sz w:val="22"/>
          <w:szCs w:val="22"/>
        </w:rPr>
      </w:pPr>
    </w:p>
    <w:p w14:paraId="095E9E98" w14:textId="77777777" w:rsidR="003D7561" w:rsidRDefault="003D7561" w:rsidP="00AC1D1E">
      <w:pPr>
        <w:spacing w:line="360" w:lineRule="auto"/>
        <w:jc w:val="both"/>
        <w:rPr>
          <w:rFonts w:ascii="Times New Roman" w:hAnsi="Times New Roman" w:cs="Times New Roman"/>
          <w:b/>
          <w:bCs/>
          <w:sz w:val="22"/>
          <w:szCs w:val="22"/>
        </w:rPr>
      </w:pPr>
    </w:p>
    <w:p w14:paraId="5192CFCB" w14:textId="77777777" w:rsidR="003D7561" w:rsidRDefault="003D7561" w:rsidP="00AC1D1E">
      <w:pPr>
        <w:spacing w:line="360" w:lineRule="auto"/>
        <w:jc w:val="both"/>
        <w:rPr>
          <w:rFonts w:ascii="Times New Roman" w:hAnsi="Times New Roman" w:cs="Times New Roman"/>
          <w:b/>
          <w:bCs/>
          <w:sz w:val="22"/>
          <w:szCs w:val="22"/>
        </w:rPr>
      </w:pPr>
    </w:p>
    <w:p w14:paraId="4C4E2366" w14:textId="20526844"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lastRenderedPageBreak/>
        <w:t>Introduction</w:t>
      </w:r>
    </w:p>
    <w:p w14:paraId="6CB0E9ED" w14:textId="09DBD2E2"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Pregnancy stands as a crucial and eagerly awaited stage in every woman's life, often marked by dietary adjustments due to rapid growth and cell differentiation resulting from healthy pregnancies (Wang et al. 2018). Certain metals are crucial for sustaining metabolism in the human body; however, they can pose a risk of poisoning due to their tendency to accumulate in biological tissues. The industrial revolution, which has increased the opportunities for women to be exposed to metals at work and in the community, has revealed their negative effects on pregnancy (Daston 1994). In recent studies, researchers have shifted their attention to investigating the health implications of exposure to trace amounts of metals, as these substances might exhibit toxicity, even at concentrations previously believed to be safe for humans</w:t>
      </w:r>
      <w:r w:rsidR="00E22DA6" w:rsidRPr="00F9364E">
        <w:rPr>
          <w:rFonts w:ascii="Times New Roman" w:hAnsi="Times New Roman" w:cs="Times New Roman"/>
          <w:sz w:val="22"/>
          <w:szCs w:val="22"/>
        </w:rPr>
        <w:t xml:space="preserve"> </w:t>
      </w:r>
      <w:r w:rsidR="004354F6" w:rsidRPr="00F9364E">
        <w:rPr>
          <w:rFonts w:ascii="Times New Roman" w:hAnsi="Times New Roman" w:cs="Times New Roman"/>
          <w:sz w:val="22"/>
          <w:szCs w:val="22"/>
        </w:rPr>
        <w:t>(www.healthline.com)</w:t>
      </w:r>
      <w:r w:rsidRPr="00F9364E">
        <w:rPr>
          <w:rFonts w:ascii="Times New Roman" w:hAnsi="Times New Roman" w:cs="Times New Roman"/>
          <w:sz w:val="22"/>
          <w:szCs w:val="22"/>
        </w:rPr>
        <w:t>. Established are predisposing factors contributing to the onset of preeclampsia, where the risk is contingent upon individual elements and the aggregation of related factors (Hu 2002). Preeclampsia is a condition unique to pregnancy marked by high blood pressure and proteinuria, presenting as a multisystem syndrome typically developing after twenty weeks of incubation (Craici et al. 2014</w:t>
      </w:r>
      <w:r w:rsidR="00CA3A15" w:rsidRPr="00F9364E">
        <w:rPr>
          <w:rFonts w:ascii="Times New Roman" w:hAnsi="Times New Roman" w:cs="Times New Roman"/>
          <w:sz w:val="22"/>
          <w:szCs w:val="22"/>
        </w:rPr>
        <w:t>;</w:t>
      </w:r>
      <w:r w:rsidR="004520BC" w:rsidRPr="00F9364E">
        <w:rPr>
          <w:rFonts w:ascii="Times New Roman" w:hAnsi="Times New Roman" w:cs="Times New Roman"/>
          <w:sz w:val="22"/>
          <w:szCs w:val="22"/>
        </w:rPr>
        <w:t xml:space="preserve"> </w:t>
      </w:r>
      <w:hyperlink r:id="rId4" w:history="1">
        <w:r w:rsidR="004520BC" w:rsidRPr="00F9364E">
          <w:rPr>
            <w:rStyle w:val="Hyperlink"/>
            <w:rFonts w:ascii="Times New Roman" w:hAnsi="Times New Roman" w:cs="Times New Roman"/>
            <w:color w:val="auto"/>
            <w:sz w:val="22"/>
            <w:szCs w:val="22"/>
            <w:u w:val="none"/>
          </w:rPr>
          <w:t>www.webmd.com</w:t>
        </w:r>
      </w:hyperlink>
      <w:r w:rsidRPr="00F9364E">
        <w:rPr>
          <w:rFonts w:ascii="Times New Roman" w:hAnsi="Times New Roman" w:cs="Times New Roman"/>
          <w:sz w:val="22"/>
          <w:szCs w:val="22"/>
        </w:rPr>
        <w:t>). It represents a significant public health issue across both developing and developed nations, resulting in perinatal and maternal mortality and morbidity on a global scale (</w:t>
      </w:r>
      <w:proofErr w:type="spellStart"/>
      <w:r w:rsidRPr="00F9364E">
        <w:rPr>
          <w:rFonts w:ascii="Times New Roman" w:hAnsi="Times New Roman" w:cs="Times New Roman"/>
          <w:sz w:val="22"/>
          <w:szCs w:val="22"/>
        </w:rPr>
        <w:t>Osungbade</w:t>
      </w:r>
      <w:proofErr w:type="spellEnd"/>
      <w:r w:rsidRPr="00F9364E">
        <w:rPr>
          <w:rFonts w:ascii="Times New Roman" w:hAnsi="Times New Roman" w:cs="Times New Roman"/>
          <w:sz w:val="22"/>
          <w:szCs w:val="22"/>
        </w:rPr>
        <w:t xml:space="preserve"> and Ige 2011). Preeclampsia is a probable disease with several conjectures and theories, but its etiology remains unknown. The occurrence of this disease might be influenced by environmental factors (Ghaemi et al. 2013). The seasonal variation observed in the prevalence of preeclampsia, peaking during winter months and reaching a minimum in summer, indicates the potential influence of environmental factors on the occurrence of this disease (</w:t>
      </w:r>
      <w:proofErr w:type="spellStart"/>
      <w:r w:rsidRPr="00F9364E">
        <w:rPr>
          <w:rFonts w:ascii="Times New Roman" w:hAnsi="Times New Roman" w:cs="Times New Roman"/>
          <w:sz w:val="22"/>
          <w:szCs w:val="22"/>
        </w:rPr>
        <w:t>Vigeh</w:t>
      </w:r>
      <w:proofErr w:type="spellEnd"/>
      <w:r w:rsidRPr="00F9364E">
        <w:rPr>
          <w:rFonts w:ascii="Times New Roman" w:hAnsi="Times New Roman" w:cs="Times New Roman"/>
          <w:sz w:val="22"/>
          <w:szCs w:val="22"/>
        </w:rPr>
        <w:t xml:space="preserve"> et al. 2006). Cadmium (Cd) and lead (Pb) in preeclampsia have been recently published (Liu et al. 2019). Elevated levels of lead (Pb) and cadmium (Cd) in the blood have been linked to negative pregnancy outcomes, including a higher risk of preeclampsia. Additionally, there are significant (nonlinear or linear) relationships between lead (Pb), selenium (Se), lead, and mercury (Hg) levels and the occurrence of preeclampsia (Hansson et al. 2014). Additionally, exposure to Cd during pregnancy may disturb Ca or Mg metabolism (</w:t>
      </w:r>
      <w:proofErr w:type="spellStart"/>
      <w:r w:rsidRPr="00F9364E">
        <w:rPr>
          <w:rFonts w:ascii="Times New Roman" w:hAnsi="Times New Roman" w:cs="Times New Roman"/>
          <w:sz w:val="22"/>
          <w:szCs w:val="22"/>
        </w:rPr>
        <w:t>Ibrahimou</w:t>
      </w:r>
      <w:proofErr w:type="spellEnd"/>
      <w:r w:rsidRPr="00F9364E">
        <w:rPr>
          <w:rFonts w:ascii="Times New Roman" w:hAnsi="Times New Roman" w:cs="Times New Roman"/>
          <w:sz w:val="22"/>
          <w:szCs w:val="22"/>
        </w:rPr>
        <w:t xml:space="preserve"> et al. 2014). Micronutrient deficiencies such as low levels of selenium (Se), copper (Cu), zinc (Zn), and manganese (Mn) during pregnancy might affect the mother's antioxidant capacity and raise the possibility of unfavorable pregnancy outcomes, such as preeclampsia (Mistry et al. 2015). Magnesium (Mg) and Calcium (Ca) are crucial micronutrients essential for regulating blood pressure. A lack of micronutrients such as calcium (Ca) and magnesium (Mg) is associated with higher absorption of cadmium (Cd) and an elevated risk of preeclampsia (</w:t>
      </w:r>
      <w:proofErr w:type="spellStart"/>
      <w:r w:rsidRPr="00F9364E">
        <w:rPr>
          <w:rFonts w:ascii="Times New Roman" w:hAnsi="Times New Roman" w:cs="Times New Roman"/>
          <w:sz w:val="22"/>
          <w:szCs w:val="22"/>
        </w:rPr>
        <w:t>Dakshinamurti</w:t>
      </w:r>
      <w:proofErr w:type="spellEnd"/>
      <w:r w:rsidRPr="00F9364E">
        <w:rPr>
          <w:rFonts w:ascii="Times New Roman" w:hAnsi="Times New Roman" w:cs="Times New Roman"/>
          <w:sz w:val="22"/>
          <w:szCs w:val="22"/>
        </w:rPr>
        <w:t xml:space="preserve"> and </w:t>
      </w:r>
      <w:proofErr w:type="spellStart"/>
      <w:r w:rsidRPr="00F9364E">
        <w:rPr>
          <w:rFonts w:ascii="Times New Roman" w:hAnsi="Times New Roman" w:cs="Times New Roman"/>
          <w:sz w:val="22"/>
          <w:szCs w:val="22"/>
        </w:rPr>
        <w:t>Dakshinamurti</w:t>
      </w:r>
      <w:proofErr w:type="spellEnd"/>
      <w:r w:rsidRPr="00F9364E">
        <w:rPr>
          <w:rFonts w:ascii="Times New Roman" w:hAnsi="Times New Roman" w:cs="Times New Roman"/>
          <w:sz w:val="22"/>
          <w:szCs w:val="22"/>
        </w:rPr>
        <w:t xml:space="preserve"> 2001). Preeclampsia has detrimental impacts on maternal and perinatal health, which emphasizes the significance of assessing risk factors, especially in low-resource settings where the consequences are thought to be more prominent (Gernand et al. 2016). On the contrary, a different study found no correlation between lead (Pb) levels in cord blood </w:t>
      </w:r>
      <w:r w:rsidRPr="00F9364E">
        <w:rPr>
          <w:rFonts w:ascii="Times New Roman" w:hAnsi="Times New Roman" w:cs="Times New Roman"/>
          <w:sz w:val="22"/>
          <w:szCs w:val="22"/>
        </w:rPr>
        <w:lastRenderedPageBreak/>
        <w:t>and the incidence of preeclampsia (Yazbeck et al. 2009). Factors that increase the likelihood of developing preeclampsia include being a young or old woman over 40 years old, being pregnant for the first time, having pregnancies spaced either less than 2 years apart or more than 10 years apart, having a pregnancy with a new partner instead of the father of previous children, having high blood pressure before pregnancy, a history of preeclampsia, and a history of obesity during multiple pregnancies</w:t>
      </w:r>
      <w:r w:rsidR="00C027FE" w:rsidRPr="00F9364E">
        <w:rPr>
          <w:rFonts w:ascii="Times New Roman" w:hAnsi="Times New Roman" w:cs="Times New Roman"/>
          <w:sz w:val="22"/>
          <w:szCs w:val="22"/>
        </w:rPr>
        <w:t xml:space="preserve"> (South African national HIV prevalence, incidence, </w:t>
      </w:r>
      <w:proofErr w:type="spellStart"/>
      <w:r w:rsidR="00C027FE" w:rsidRPr="00F9364E">
        <w:rPr>
          <w:rFonts w:ascii="Times New Roman" w:hAnsi="Times New Roman" w:cs="Times New Roman"/>
          <w:sz w:val="22"/>
          <w:szCs w:val="22"/>
        </w:rPr>
        <w:t>behaviour</w:t>
      </w:r>
      <w:proofErr w:type="spellEnd"/>
      <w:r w:rsidR="00C027FE" w:rsidRPr="00F9364E">
        <w:rPr>
          <w:rFonts w:ascii="Times New Roman" w:hAnsi="Times New Roman" w:cs="Times New Roman"/>
          <w:sz w:val="22"/>
          <w:szCs w:val="22"/>
        </w:rPr>
        <w:t xml:space="preserve"> and communication survey, 2008; the health of our children</w:t>
      </w:r>
      <w:r w:rsidR="001B0D26">
        <w:rPr>
          <w:rFonts w:ascii="Times New Roman" w:hAnsi="Times New Roman" w:cs="Times New Roman"/>
          <w:sz w:val="22"/>
          <w:szCs w:val="22"/>
        </w:rPr>
        <w:t>, 2010</w:t>
      </w:r>
      <w:r w:rsidR="00153BD5" w:rsidRPr="00F9364E">
        <w:rPr>
          <w:rFonts w:ascii="Times New Roman" w:hAnsi="Times New Roman" w:cs="Times New Roman"/>
          <w:sz w:val="22"/>
          <w:szCs w:val="22"/>
        </w:rPr>
        <w:t>)</w:t>
      </w:r>
      <w:r w:rsidRPr="00F9364E">
        <w:rPr>
          <w:rFonts w:ascii="Times New Roman" w:hAnsi="Times New Roman" w:cs="Times New Roman"/>
          <w:sz w:val="22"/>
          <w:szCs w:val="22"/>
        </w:rPr>
        <w:t>. Over the past decade, there have been studies indicating significant advancements in the understanding of the pathophysiology of preeclampsia (Manten et al. 2007). Theories revolving around endothelial cell dysfunction have been extensively explored. Various factors, such as vascular and angiogenic factors, oxidative stress, insufficient trophoblastic invasion, genetic and immunological elements, and environmental influences, contribute to the validation of these hypotheses (</w:t>
      </w:r>
      <w:proofErr w:type="spellStart"/>
      <w:r w:rsidRPr="00F9364E">
        <w:rPr>
          <w:rFonts w:ascii="Times New Roman" w:hAnsi="Times New Roman" w:cs="Times New Roman"/>
          <w:sz w:val="22"/>
          <w:szCs w:val="22"/>
        </w:rPr>
        <w:t>Cudihy</w:t>
      </w:r>
      <w:proofErr w:type="spellEnd"/>
      <w:r w:rsidRPr="00F9364E">
        <w:rPr>
          <w:rFonts w:ascii="Times New Roman" w:hAnsi="Times New Roman" w:cs="Times New Roman"/>
          <w:sz w:val="22"/>
          <w:szCs w:val="22"/>
        </w:rPr>
        <w:t xml:space="preserve"> and Lee 2009). Worldwide, the occurrence of preeclampsia varies between 2% and 10% of pregnancies. Each year, more than half a million women succumb to pregnancy-related causes, with 99% of these fatalities occurring in developing countries (Duley 2009). However, it is believed that the severity of this condition is more pronounced in developing countries (Selwyn 1990). Research findings have revealed that preeclampsia prevalence in developing nations varies from 1.8% to 16.7%, with at least 16% of maternal fatalities linked to this condition (</w:t>
      </w:r>
      <w:proofErr w:type="spellStart"/>
      <w:r w:rsidRPr="00F9364E">
        <w:rPr>
          <w:rFonts w:ascii="Times New Roman" w:hAnsi="Times New Roman" w:cs="Times New Roman"/>
          <w:sz w:val="22"/>
          <w:szCs w:val="22"/>
        </w:rPr>
        <w:t>Skjaerven</w:t>
      </w:r>
      <w:proofErr w:type="spellEnd"/>
      <w:r w:rsidRPr="00F9364E">
        <w:rPr>
          <w:rFonts w:ascii="Times New Roman" w:hAnsi="Times New Roman" w:cs="Times New Roman"/>
          <w:sz w:val="22"/>
          <w:szCs w:val="22"/>
        </w:rPr>
        <w:t xml:space="preserve"> et al. 2002). The occurrence of preeclampsia is reported to be 8–10% in Canada (Steiner and Lushbaugh 1986). According to another study, 7.8% of the study population in India experienced hypertensive disorders of pregnancy, with preeclampsia occurring in 5.6% of cases (Sharma et al. 2019). Another thesis study reported the prevalence of preeclampsia at 10.7% (Sampada 2017). In one study, 7.8% of pregnant women had hypertensive problems, and 5.4% of the Indian population under investigation had preeclampsia. Despite the adverse impact of preeclampsia on maternal and neonatal outcomes, it remains a significant challenge to understand the etiology and causes of the disorder remains a significant challenge (Sajith et al. 2014). The significance of risk and severity may multiply several times with a prior history of preeclampsia in a previous pregnancy. Women with chronic renal disease have a 20 to 1 chance of developing preeclampsia, whereas women with critical hypertension have a 10 to 1 chance. Predominantly, Agra's economy relies on agriculture, supplemented by small-scale industries, businesses, and trade</w:t>
      </w:r>
      <w:r w:rsidR="008A5AA4" w:rsidRPr="00F9364E">
        <w:rPr>
          <w:rFonts w:ascii="Times New Roman" w:hAnsi="Times New Roman" w:cs="Times New Roman"/>
          <w:sz w:val="22"/>
          <w:szCs w:val="22"/>
        </w:rPr>
        <w:t xml:space="preserve"> (</w:t>
      </w:r>
      <w:r w:rsidR="00AA48A3" w:rsidRPr="00F9364E">
        <w:rPr>
          <w:rFonts w:ascii="Times New Roman" w:hAnsi="Times New Roman" w:cs="Times New Roman"/>
          <w:sz w:val="22"/>
          <w:szCs w:val="22"/>
        </w:rPr>
        <w:t>agra.nic.in)</w:t>
      </w:r>
      <w:r w:rsidRPr="00F9364E">
        <w:rPr>
          <w:rFonts w:ascii="Times New Roman" w:hAnsi="Times New Roman" w:cs="Times New Roman"/>
          <w:sz w:val="22"/>
          <w:szCs w:val="22"/>
        </w:rPr>
        <w:t>. Over recent decades, Agra has experienced industrial growth, leading to an increase in both licensed industrial units and the population. Therefore, anthropogenic causes in the city include emissions from industrial processes, which also lead to the contamination of water resources with toxic metals to water resources (Parveen et al. 2018</w:t>
      </w:r>
      <w:r w:rsidR="007C314B" w:rsidRPr="00F9364E">
        <w:rPr>
          <w:rFonts w:ascii="Times New Roman" w:hAnsi="Times New Roman" w:cs="Times New Roman"/>
          <w:sz w:val="22"/>
          <w:szCs w:val="22"/>
        </w:rPr>
        <w:t>;</w:t>
      </w:r>
      <w:r w:rsidR="001E3900" w:rsidRPr="00F9364E">
        <w:rPr>
          <w:rFonts w:ascii="Times New Roman" w:hAnsi="Times New Roman" w:cs="Times New Roman"/>
          <w:sz w:val="22"/>
          <w:szCs w:val="22"/>
        </w:rPr>
        <w:t xml:space="preserve"> </w:t>
      </w:r>
      <w:proofErr w:type="spellStart"/>
      <w:r w:rsidR="001E3900" w:rsidRPr="00F9364E">
        <w:rPr>
          <w:rFonts w:ascii="Times New Roman" w:hAnsi="Times New Roman" w:cs="Times New Roman"/>
          <w:sz w:val="22"/>
          <w:szCs w:val="22"/>
        </w:rPr>
        <w:t>Daszak</w:t>
      </w:r>
      <w:proofErr w:type="spellEnd"/>
      <w:r w:rsidR="001E3900" w:rsidRPr="00F9364E">
        <w:rPr>
          <w:rFonts w:ascii="Times New Roman" w:hAnsi="Times New Roman" w:cs="Times New Roman"/>
          <w:sz w:val="22"/>
          <w:szCs w:val="22"/>
        </w:rPr>
        <w:t xml:space="preserve"> et al. 2001</w:t>
      </w:r>
      <w:r w:rsidRPr="00F9364E">
        <w:rPr>
          <w:rFonts w:ascii="Times New Roman" w:hAnsi="Times New Roman" w:cs="Times New Roman"/>
          <w:sz w:val="22"/>
          <w:szCs w:val="22"/>
        </w:rPr>
        <w:t xml:space="preserve">). A previous study conducted in the Agra region reported that exposure to metals becomes more adverse for people residing in low-income households and comes with increased exposure to these sources of metal contamination (Paul 2017). Toxic metals should be considered as crucial pollutants </w:t>
      </w:r>
      <w:r w:rsidRPr="00F9364E">
        <w:rPr>
          <w:rFonts w:ascii="Times New Roman" w:hAnsi="Times New Roman" w:cs="Times New Roman"/>
          <w:sz w:val="22"/>
          <w:szCs w:val="22"/>
        </w:rPr>
        <w:lastRenderedPageBreak/>
        <w:t>posing risks during pregnancy, as they are associated with the onset of proteinuria and hypertension typically occurring after the twentieth week of confinement (Ness and Roberts 1996). Toxic metals in the environment, such as nickel, lead, and cadmium, are well-known confounding variables and represent one of the main causes of maternal mortality and morbidity, as well as factors related to pregnancy, such as intrauterine growth restriction, preterm birth, and fetal death (</w:t>
      </w:r>
      <w:r w:rsidR="00F9364E" w:rsidRPr="00F9364E">
        <w:rPr>
          <w:rFonts w:ascii="Times New Roman" w:hAnsi="Times New Roman" w:cs="Times New Roman"/>
          <w:sz w:val="22"/>
          <w:szCs w:val="22"/>
        </w:rPr>
        <w:t>Born Too Soon: The Global Action Report on Preterm Birth. 2012</w:t>
      </w:r>
      <w:r w:rsidRPr="00F9364E">
        <w:rPr>
          <w:rFonts w:ascii="Times New Roman" w:hAnsi="Times New Roman" w:cs="Times New Roman"/>
          <w:sz w:val="22"/>
          <w:szCs w:val="22"/>
        </w:rPr>
        <w:t>). A World Health Organization report showed that India stands at the top of the list among developing nations in terms of preterm deliveries. As far as we are aware, there have been no studies investigating prenatal necessities, exposure to toxic metals, and the likelihood of preeclampsia in the Agra region. There has been a scarcity of research focusing specifically on evaluating metal concentrations in both cord and maternal blood samples of women with or without preeclampsia, as well as identifying the risk factors linked to the development of preeclampsia among pregnant women in developing nations. The aim of this study was to investigate the correlation between the concentrations of metals including Zn, Fe, K, Mn, Mg, Ni, Pb, Al, B, Ca, Ba, Cd, Co, Cu, and Cr, as well as the characteristics of the newborns and the epidemiologic data gathered from the pregnant women using a questionnaire study.</w:t>
      </w:r>
    </w:p>
    <w:p w14:paraId="5A0B1C30" w14:textId="2B0EBECA"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Materials and Methods</w:t>
      </w:r>
    </w:p>
    <w:p w14:paraId="77453746"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The objective of this study was to assess the levels of metals in cord blood and maternal blood samples of pregnant women with and without preeclampsia, aiming to elucidate any potential association between metal concentrations and the presence of this condition. This study was conducted between July 2020 and September 2020. The study population was drawn from and around the Agra region. The general criteria for inclusion of mothers and their infants in the study were residents of the study area and be at least 20 years old at the time of delivery. Exclusion criteria encompass not adhering to any assisted reproduction program, the absence of significant chronic ailments like hypertension, and the occurrence of pregnancy complications potentially impacting fetal growth or development. During the study period, 10 mother-child pairs were monitored after delivery, with the initial aim of investigating chronic exposure to metals in mothers and infants. The candidates selected and willing to contribute to this study were at 28 weeks of gestational age and attended antenatal clinics in different hospitals and medical centers. This study consisted of two groups of subjects: the study group consisted of five females (from rural and urban areas) with preeclampsia, and the control group randomly selected five female subjects from the general population of the study area. Blood samples were collected from pregnant women exhibiting good health status and who did not report any accidental or occupational exposure to pollutants. Before sample collection, consent was obtained after explaining the purpose of the study to all subjects who were interviewed after delivery. The case histories of the participants included details such as maternal age, </w:t>
      </w:r>
      <w:r w:rsidRPr="00F9364E">
        <w:rPr>
          <w:rFonts w:ascii="Times New Roman" w:hAnsi="Times New Roman" w:cs="Times New Roman"/>
          <w:sz w:val="22"/>
          <w:szCs w:val="22"/>
        </w:rPr>
        <w:lastRenderedPageBreak/>
        <w:t>education, occupation, residential area, preeclampsia history, and their connection to the occurrence of both preeclampsia and preterm birth. Additional inquiries delved into socioeconomic status, parity, eating patterns, alcohol consumption, smoking, gestational age, reproductive history, and past illnesses, all of which were documented in the questionnaire database. Neonatal birth weight and sex were documented. Births were categorized as premature if the gestational age of newborns was 36 weeks or less.</w:t>
      </w:r>
    </w:p>
    <w:p w14:paraId="35667077"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Sample selection and collection of cord and maternal blood samples from women with or without preeclampsia were performed. The blood samples were collected after parturition. Approximately 1.0 ml of blood sample was gathered from each subject in pre-heparinized vials, which protected blood clotting, and transported to the laboratory for further analysis. The samples were immediately stored in a deep freezer (Blue Star Model; CHFSD100D) until metal extraction. The analysis was performed using ICP-OES (Inductively coupled plasma-optical emission spectrometry) (Perkin Elmer Optimal CP-OES 5300V) at CIMAP (Central Institute of Medicinal and Aromatic Plants, Lucknow). We adhered to the metal extraction method as outlined by (Singh et al. 2016). In the extraction process, 1 ml of cord or maternal blood was gathered in an Erlenmeyer flask and combined with 5 ml of HNO3. The solution underwent additional digestion on a hot plate at 55-60ºC with concentrated nitric acid until achieving a clear solution. Following digestion, the solution was diluted to 5 ml using 5% HNO3 in decontaminated test tubes and stored at 4º C until analysis. The data obtained were subjected to further statistical analysis. Values are represented as </w:t>
      </w:r>
      <w:proofErr w:type="spellStart"/>
      <w:r w:rsidRPr="00F9364E">
        <w:rPr>
          <w:rFonts w:ascii="Times New Roman" w:hAnsi="Times New Roman" w:cs="Times New Roman"/>
          <w:sz w:val="22"/>
          <w:szCs w:val="22"/>
        </w:rPr>
        <w:t>mean±SD</w:t>
      </w:r>
      <w:proofErr w:type="spellEnd"/>
      <w:r w:rsidRPr="00F9364E">
        <w:rPr>
          <w:rFonts w:ascii="Times New Roman" w:hAnsi="Times New Roman" w:cs="Times New Roman"/>
          <w:sz w:val="22"/>
          <w:szCs w:val="22"/>
        </w:rPr>
        <w:t>. A univariate analysis of continuous data was performed utilizing a 'T' test to compare quantitative variables between the study and control groups. Additionally, the correlation between metals and birth outcomes was calculated for both study and control groups. A significance level of a P value below 0.05 was considered indicative of statistical significance. The analyzed questionnaire survey covered various aspects, such as age, height, weight, BMI, number of children, duration of lactation, weight gain during pregnancy, birth place, hospital of reference, lifestyle, education, eating patterns, and prior health condition. Additionally, the questionnaire survey included crucial inquiries regarding the newborns, encompassing details such as the baby's weight, height, head circumference, ponderal index, and sex.</w:t>
      </w:r>
    </w:p>
    <w:p w14:paraId="35F55EC5" w14:textId="6DA45853"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Results and Discussion</w:t>
      </w:r>
    </w:p>
    <w:p w14:paraId="214187BB" w14:textId="7188D815"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The general features of the subjects in the research work are presented in Tables 1 and 2, which demonstrate the characteristics of all participants categorized as women and infants in both the control group and the study group. In the control group, mothers experienced an average weight gain of 9.8 kg during pregnancy, whereas in the study group, the average weight gain was 11.2 kg. In the control group, 60% of pregnant women were from rural areas and 40% from urban areas, all having completed their education up to 12th grade. In the study group, 20% of rural areas and 80% of urban areas had an </w:t>
      </w:r>
      <w:r w:rsidRPr="00F9364E">
        <w:rPr>
          <w:rFonts w:ascii="Times New Roman" w:hAnsi="Times New Roman" w:cs="Times New Roman"/>
          <w:sz w:val="22"/>
          <w:szCs w:val="22"/>
        </w:rPr>
        <w:lastRenderedPageBreak/>
        <w:t>educational attainment of less than high school. The numbers of male and female babies in this population were 80% and 20%, respectively, in the control group, and 40% male and 60% female were found in the study group. In the control group, the average birth weight of newborns was 2.61 kg, with a range from 1.5 kg to 3.5 kg. In contrast, in the study group, the average birth weight was 2.88 kg, with a range from 2.4 kg to 3.5 kg. There were no statistically significant variances found in the weight, height of newborns, ponderal index, or head circumference between the case and control groups (p &gt; 0.05). The average head circumference was 30 cm in both groups. The range of the ponderal index is 14.44-63.78 kg/m3 and the mean value is 32.53 (kg/m3) in the control group, and the range of the ponderal index is 21.7-35.5 kg/m3 and the mean value is 30.95 (kg/m3) in the study group. These data are in support of previously conducted studies (Singh et al. 20</w:t>
      </w:r>
      <w:r w:rsidR="00CD05B0" w:rsidRPr="00F9364E">
        <w:rPr>
          <w:rFonts w:ascii="Times New Roman" w:hAnsi="Times New Roman" w:cs="Times New Roman"/>
          <w:sz w:val="22"/>
          <w:szCs w:val="22"/>
        </w:rPr>
        <w:t>20</w:t>
      </w:r>
      <w:r w:rsidRPr="00F9364E">
        <w:rPr>
          <w:rFonts w:ascii="Times New Roman" w:hAnsi="Times New Roman" w:cs="Times New Roman"/>
          <w:sz w:val="22"/>
          <w:szCs w:val="22"/>
        </w:rPr>
        <w:t>). The study group exhibited a higher gestational age compared to the control group. Additionally, the body mass index (BMI) was 18.64 kg/m² in the control group and 24.44 kg/m² in the case group. A high maternal body mass index is related with a large quantity of pregnancy-related difficulties, such as preeclampsia and preterm and post-term delivery (Wilson 2018). Numerous studies have indicated that overweight women face an elevated risk of developing preeclampsia, and those with a higher BMI during pregnancy are more prone to hypertension compared to those with lower BMIs (Habibi et al. 2020). We also observed differences in the BMIs of both the groups.</w:t>
      </w:r>
    </w:p>
    <w:p w14:paraId="6A00D471" w14:textId="37DBE54D"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We further investigated and compared metals like K, Fe, Mn, Mg, Pb, Ni, Al, Zn, Ba, B, Ca, Cd, Cr, Co, and Cu levels in the cord blood and maternal blood samples of the study and control group (Table 3). Several studies have described the concentration of toxic metals like cobalt, aluminum, chromium, nickel, cadmium, and lead in the maternal blood and cord blood of women (</w:t>
      </w:r>
      <w:r w:rsidR="00A8300A" w:rsidRPr="00E84895">
        <w:rPr>
          <w:rFonts w:ascii="Times New Roman" w:hAnsi="Times New Roman" w:cs="Times New Roman"/>
        </w:rPr>
        <w:t>Gamelin</w:t>
      </w:r>
      <w:r w:rsidRPr="00F9364E">
        <w:rPr>
          <w:rFonts w:ascii="Times New Roman" w:hAnsi="Times New Roman" w:cs="Times New Roman"/>
          <w:sz w:val="22"/>
          <w:szCs w:val="22"/>
        </w:rPr>
        <w:t xml:space="preserve"> </w:t>
      </w:r>
      <w:r w:rsidR="00CC7A1C">
        <w:rPr>
          <w:rFonts w:ascii="Times New Roman" w:hAnsi="Times New Roman" w:cs="Times New Roman"/>
          <w:sz w:val="22"/>
          <w:szCs w:val="22"/>
        </w:rPr>
        <w:t>et al., 20</w:t>
      </w:r>
      <w:r w:rsidR="00922D4E">
        <w:rPr>
          <w:rFonts w:ascii="Times New Roman" w:hAnsi="Times New Roman" w:cs="Times New Roman"/>
          <w:sz w:val="22"/>
          <w:szCs w:val="22"/>
        </w:rPr>
        <w:t>09</w:t>
      </w:r>
      <w:r w:rsidRPr="00F9364E">
        <w:rPr>
          <w:rFonts w:ascii="Times New Roman" w:hAnsi="Times New Roman" w:cs="Times New Roman"/>
          <w:sz w:val="22"/>
          <w:szCs w:val="22"/>
        </w:rPr>
        <w:t xml:space="preserve">). The metal content in cord blood suggests their passive diffusion through the placenta, potentially contributing to abnormal placental function. This can hinder the proper transfer of essential nutrients to the fetus, crucial for optimal fetal development. Mothers transmit their chemical load to the fetus, so sampling both normal and preeclamptic maternal blood during childbirth enables an assessment of the fetus's varying exposure levels at different stages of growth. The trend obtained in maternal blood concentrations of metals was Ca&gt;K&gt;Fe&gt;Mg&gt;Al&gt;Cr&gt;Zn&gt;Ni&gt;Cu&gt;Mn&gt;Ba&gt;Pb&gt;Cd&gt;Co&gt;B for the control group and K&gt;Fe&gt;Ca&gt;Zn&gt;Cr&gt;Mn&gt;Al&gt;Ni&gt;Cu&gt;Pb&gt;Ba&gt;B&gt;Mg&gt;Co&gt;Cd for the study group, and K&gt;Ca&gt;Fe&gt;Mg&gt;Al&gt;Cr&gt;Zn&gt;Ni&gt;Cu&gt;Ba&gt;Pb&gt;B&gt;Mn&gt;Cd=Co for the control group and K&gt;Fe&gt;Ca&gt;Cr&gt;Al&gt;Mn&gt;Zn&gt;Ni&gt;Cu&gt;Pb&gt;Ba&gt;B&gt;Co&gt;Cd&gt;Mg for the study group. Higher concentrations of metals were found in (study group) preeclamptic females in comparison to (control group) normal females except Ca. Ca deficiency in preeclamptic mothers can be cured by Ca supplementation, which works as an anticipant for preeclampsia, as stated in WHO guidelines (Omotayo et al. 2016). We also observed that blood concentrations of K, Zn, Mn, Pb, Zn, Al, Cr, and Cu were related to preeclampsia and </w:t>
      </w:r>
      <w:r w:rsidRPr="00F9364E">
        <w:rPr>
          <w:rFonts w:ascii="Times New Roman" w:hAnsi="Times New Roman" w:cs="Times New Roman"/>
          <w:sz w:val="22"/>
          <w:szCs w:val="22"/>
        </w:rPr>
        <w:lastRenderedPageBreak/>
        <w:t>birth weight. Certain associations were only evident when examining exposure at specific prenatal time intervals, indicating periods of vulnerability to exposure effects (</w:t>
      </w:r>
      <w:proofErr w:type="spellStart"/>
      <w:r w:rsidRPr="00F9364E">
        <w:rPr>
          <w:rFonts w:ascii="Times New Roman" w:hAnsi="Times New Roman" w:cs="Times New Roman"/>
          <w:sz w:val="22"/>
          <w:szCs w:val="22"/>
        </w:rPr>
        <w:t>Ashrap</w:t>
      </w:r>
      <w:proofErr w:type="spellEnd"/>
      <w:r w:rsidRPr="00F9364E">
        <w:rPr>
          <w:rFonts w:ascii="Times New Roman" w:hAnsi="Times New Roman" w:cs="Times New Roman"/>
          <w:sz w:val="22"/>
          <w:szCs w:val="22"/>
        </w:rPr>
        <w:t xml:space="preserve"> et al. 2020). A reduced head circumference of 30 cm was observed in the control group, and weight loss in newborns was associated with Pb, Mn, and Mg. Therefore, the combined impact of lead (Pb) was identified as the most significant forecaster of preterm birth (Doyle et al. 1989). Similar to the findings of (Luo et al. 2017), Cd was negatively associated with BW (Signes-Pastor et al. 2019). Additionally, all blood samples (maternal and cord blood from both the study and control groups) in this study were found to have </w:t>
      </w:r>
      <w:proofErr w:type="gramStart"/>
      <w:r w:rsidRPr="00F9364E">
        <w:rPr>
          <w:rFonts w:ascii="Times New Roman" w:hAnsi="Times New Roman" w:cs="Times New Roman"/>
          <w:sz w:val="22"/>
          <w:szCs w:val="22"/>
        </w:rPr>
        <w:t>lead</w:t>
      </w:r>
      <w:proofErr w:type="gramEnd"/>
      <w:r w:rsidRPr="00F9364E">
        <w:rPr>
          <w:rFonts w:ascii="Times New Roman" w:hAnsi="Times New Roman" w:cs="Times New Roman"/>
          <w:sz w:val="22"/>
          <w:szCs w:val="22"/>
        </w:rPr>
        <w:t xml:space="preserve"> (Pb) concentrations lower than the threshold of concern set by the Centers for Disease Control and Prevention (CDC) for pregnant women (5μg/dL) (Ettinger and </w:t>
      </w:r>
      <w:proofErr w:type="spellStart"/>
      <w:r w:rsidRPr="00F9364E">
        <w:rPr>
          <w:rFonts w:ascii="Times New Roman" w:hAnsi="Times New Roman" w:cs="Times New Roman"/>
          <w:sz w:val="22"/>
          <w:szCs w:val="22"/>
        </w:rPr>
        <w:t>Wengrovitz</w:t>
      </w:r>
      <w:proofErr w:type="spellEnd"/>
      <w:r w:rsidRPr="00F9364E">
        <w:rPr>
          <w:rFonts w:ascii="Times New Roman" w:hAnsi="Times New Roman" w:cs="Times New Roman"/>
          <w:sz w:val="22"/>
          <w:szCs w:val="22"/>
        </w:rPr>
        <w:t xml:space="preserve"> 2010). There was no notable correlation found between Cd, As, Ba, and B and birth weight. In the control group, the lowest concentration was 0.41 </w:t>
      </w:r>
      <w:proofErr w:type="spellStart"/>
      <w:r w:rsidRPr="00F9364E">
        <w:rPr>
          <w:rFonts w:ascii="Times New Roman" w:hAnsi="Times New Roman" w:cs="Times New Roman"/>
          <w:sz w:val="22"/>
          <w:szCs w:val="22"/>
        </w:rPr>
        <w:t>μg</w:t>
      </w:r>
      <w:proofErr w:type="spellEnd"/>
      <w:r w:rsidRPr="00F9364E">
        <w:rPr>
          <w:rFonts w:ascii="Times New Roman" w:hAnsi="Times New Roman" w:cs="Times New Roman"/>
          <w:sz w:val="22"/>
          <w:szCs w:val="22"/>
        </w:rPr>
        <w:t xml:space="preserve">/dL for copper (Cu) in maternal blood and 0.19 </w:t>
      </w:r>
      <w:proofErr w:type="spellStart"/>
      <w:r w:rsidRPr="00F9364E">
        <w:rPr>
          <w:rFonts w:ascii="Times New Roman" w:hAnsi="Times New Roman" w:cs="Times New Roman"/>
          <w:sz w:val="22"/>
          <w:szCs w:val="22"/>
        </w:rPr>
        <w:t>μg</w:t>
      </w:r>
      <w:proofErr w:type="spellEnd"/>
      <w:r w:rsidRPr="00F9364E">
        <w:rPr>
          <w:rFonts w:ascii="Times New Roman" w:hAnsi="Times New Roman" w:cs="Times New Roman"/>
          <w:sz w:val="22"/>
          <w:szCs w:val="22"/>
        </w:rPr>
        <w:t xml:space="preserve">/dL in cord blood. In contrast, the concentrations were 2.59 </w:t>
      </w:r>
      <w:proofErr w:type="spellStart"/>
      <w:r w:rsidRPr="00F9364E">
        <w:rPr>
          <w:rFonts w:ascii="Times New Roman" w:hAnsi="Times New Roman" w:cs="Times New Roman"/>
          <w:sz w:val="22"/>
          <w:szCs w:val="22"/>
        </w:rPr>
        <w:t>μg</w:t>
      </w:r>
      <w:proofErr w:type="spellEnd"/>
      <w:r w:rsidRPr="00F9364E">
        <w:rPr>
          <w:rFonts w:ascii="Times New Roman" w:hAnsi="Times New Roman" w:cs="Times New Roman"/>
          <w:sz w:val="22"/>
          <w:szCs w:val="22"/>
        </w:rPr>
        <w:t xml:space="preserve">/dL and 2.46 </w:t>
      </w:r>
      <w:proofErr w:type="spellStart"/>
      <w:r w:rsidRPr="00F9364E">
        <w:rPr>
          <w:rFonts w:ascii="Times New Roman" w:hAnsi="Times New Roman" w:cs="Times New Roman"/>
          <w:sz w:val="22"/>
          <w:szCs w:val="22"/>
        </w:rPr>
        <w:t>μg</w:t>
      </w:r>
      <w:proofErr w:type="spellEnd"/>
      <w:r w:rsidRPr="00F9364E">
        <w:rPr>
          <w:rFonts w:ascii="Times New Roman" w:hAnsi="Times New Roman" w:cs="Times New Roman"/>
          <w:sz w:val="22"/>
          <w:szCs w:val="22"/>
        </w:rPr>
        <w:t>/dL in maternal blood and cord blood, respectively, in the study group. Manganese (Mn) is a vital trace element for humans, yet both insufficiency and excessive intake can lead to negative developmental consequences, including reduced birth weight (Eum et al. 2014). We found a significant association between Mn and preeclampsia, which could be responsible for fetal death. The higher values of elemental exposure to Cu and Zn for the study group in comparison with the control group revealed inconsistent results concerning pregnancy outcomes. Figure 1 depicts the combined concentration of metals in both the cord and maternal blood of both normal and preeclamptic females, indicating that maternal metal concentrations surpassed those found in cord blood. In the control group of pregnant women, higher concentrations of essential elements like calcium (Ca) and magnesium (Mg) were observed, likely due to supplementation. Conversely, in the study group of pregnant women addressing preeclampsia, elements such as iron (Fe), manganese (Mn), potassium (K), and zinc (Zn) were administered to manage the condition.</w:t>
      </w:r>
    </w:p>
    <w:p w14:paraId="3CE2E624" w14:textId="7F6C6888"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To understand the relationship and chemical characteristics of various metals and birth weight, the correlation coefficient is explained by using the metal concentration and birth weight data, and their outputs are shown in Figure</w:t>
      </w:r>
      <w:r w:rsidR="00DB1855">
        <w:rPr>
          <w:rFonts w:ascii="Times New Roman" w:hAnsi="Times New Roman" w:cs="Times New Roman"/>
          <w:sz w:val="22"/>
          <w:szCs w:val="22"/>
        </w:rPr>
        <w:t xml:space="preserve"> 2</w:t>
      </w:r>
      <w:r w:rsidR="001C18D0">
        <w:rPr>
          <w:rFonts w:ascii="Times New Roman" w:hAnsi="Times New Roman" w:cs="Times New Roman"/>
          <w:sz w:val="22"/>
          <w:szCs w:val="22"/>
        </w:rPr>
        <w:t xml:space="preserve"> and 3</w:t>
      </w:r>
      <w:r w:rsidRPr="00F9364E">
        <w:rPr>
          <w:rFonts w:ascii="Times New Roman" w:hAnsi="Times New Roman" w:cs="Times New Roman"/>
          <w:sz w:val="22"/>
          <w:szCs w:val="22"/>
        </w:rPr>
        <w:t>. A positive correlation was established for Mn, Cu, Ca, Mg, and Cr (R2 = 0.4733, 0.6690, 0.1917, 0.1522, and 0.0036, p&lt;0.05) in cord blood samples and (R2 = 0.2883, 0.4960, 0.4394, 0.4243, and 0.2201, p&lt;0.05) in maternal blood samples</w:t>
      </w:r>
      <w:r w:rsidR="0084487C">
        <w:rPr>
          <w:rFonts w:ascii="Times New Roman" w:hAnsi="Times New Roman" w:cs="Times New Roman"/>
          <w:sz w:val="22"/>
          <w:szCs w:val="22"/>
        </w:rPr>
        <w:t xml:space="preserve"> (Table 4)</w:t>
      </w:r>
      <w:r w:rsidRPr="00F9364E">
        <w:rPr>
          <w:rFonts w:ascii="Times New Roman" w:hAnsi="Times New Roman" w:cs="Times New Roman"/>
          <w:sz w:val="22"/>
          <w:szCs w:val="22"/>
        </w:rPr>
        <w:t>. There was no notable correlation found between birth weight and the metal levels of Fe, K, Ni, Al, Cd, Pb, Zn, B, Ba, and Cu in the maternal blood and cord blood samples. The findings align with those of previous studies (</w:t>
      </w:r>
      <w:proofErr w:type="spellStart"/>
      <w:r w:rsidRPr="00F9364E">
        <w:rPr>
          <w:rFonts w:ascii="Times New Roman" w:hAnsi="Times New Roman" w:cs="Times New Roman"/>
          <w:sz w:val="22"/>
          <w:szCs w:val="22"/>
        </w:rPr>
        <w:t>Dahiri</w:t>
      </w:r>
      <w:proofErr w:type="spellEnd"/>
      <w:r w:rsidRPr="00F9364E">
        <w:rPr>
          <w:rFonts w:ascii="Times New Roman" w:hAnsi="Times New Roman" w:cs="Times New Roman"/>
          <w:sz w:val="22"/>
          <w:szCs w:val="22"/>
        </w:rPr>
        <w:t xml:space="preserve"> et al. 2023). These values indicated a relatively weak correlation and were notably low (Howe et al. 2022). Suggests that the placenta functions as an obstacle, effectively obstructing the passage of these specific metals. Additionally, the estimation revealed that the correlation between Cu and Mn was comparatively better than that between Ca, Mg, and Cr. This suggests a restricted transplacental passage of Ca, Mg, and </w:t>
      </w:r>
      <w:r w:rsidRPr="00F9364E">
        <w:rPr>
          <w:rFonts w:ascii="Times New Roman" w:hAnsi="Times New Roman" w:cs="Times New Roman"/>
          <w:sz w:val="22"/>
          <w:szCs w:val="22"/>
        </w:rPr>
        <w:lastRenderedPageBreak/>
        <w:t xml:space="preserve">Cr from the mother to the fetus, and that Mn and Cu levels in cord blood might stem from maternal circulation facilitated by the placenta. In summary, our research found that, with the exception of Fe and Zn, which are found in larger concentrations in the maternal matrix than in the cord blood, the average values of the metals examined are very equal for Mg, Mn, Ni, K, Pb, Al, B, Ba, Ca, Cd, Cu, Cr, and Co in maternal and cord blood samples. This finding suggests that the measured metals may traverse the placental barrier, reach the cord blood, and </w:t>
      </w:r>
      <w:proofErr w:type="gramStart"/>
      <w:r w:rsidRPr="00F9364E">
        <w:rPr>
          <w:rFonts w:ascii="Times New Roman" w:hAnsi="Times New Roman" w:cs="Times New Roman"/>
          <w:sz w:val="22"/>
          <w:szCs w:val="22"/>
        </w:rPr>
        <w:t>affecting</w:t>
      </w:r>
      <w:proofErr w:type="gramEnd"/>
      <w:r w:rsidRPr="00F9364E">
        <w:rPr>
          <w:rFonts w:ascii="Times New Roman" w:hAnsi="Times New Roman" w:cs="Times New Roman"/>
          <w:sz w:val="22"/>
          <w:szCs w:val="22"/>
        </w:rPr>
        <w:t xml:space="preserve"> the fetus (Bocca et al. 2019). Notably, potassium (K) is an exception, as its levels are lower in maternal matrices than in the cord blood. These values may also be associated with physiological changes experienced by pregnant women, such as elevated volume of plasma, bone resorption, fat on the body, excretion, and factors such as sociodemographic characteristics and lifestyle habits (Li et al. 2019). It's significant to recognize that the present sample size is insufficient for accurately estimating the risk factors associated with preeclampsia, given the limited number of collected samples. However, this preliminary study underscores the need for detailed and long-term investigation. The findings point to the necessity of doing a more detailed investigation to learn more about the harmful health impacts of these contaminants on fetuses and to examine correlations with other parameters, such as oxidative stress and factors such as the mother's blood levels of supplements taken during her pregnancy, her food, factors related to pollution, and other possible sources that were not considered in our investigation.</w:t>
      </w:r>
    </w:p>
    <w:p w14:paraId="67A3CCEA" w14:textId="30B53417"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Conclusion</w:t>
      </w:r>
      <w:r w:rsidR="00A362D1">
        <w:rPr>
          <w:rFonts w:ascii="Times New Roman" w:hAnsi="Times New Roman" w:cs="Times New Roman"/>
          <w:b/>
          <w:bCs/>
          <w:sz w:val="22"/>
          <w:szCs w:val="22"/>
        </w:rPr>
        <w:t>s</w:t>
      </w:r>
    </w:p>
    <w:p w14:paraId="11F9250C"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Our research has brought to light significant elevations in metal concentrations within both maternal and cord blood samples from women experiencing preeclampsia, marking a stark contrast to levels observed in normal pregnancies. The noteworthy decrease in essential metals circulating in the maternal systems of preeclamptic mothers lends credence to the hypothesis that an insufficiency in these vital elements may be intricately linked to the pathophysiological mechanisms underlying preeclampsia. This discovery underscores the potential relevance of optimizing dietary supplements as a viable intervention strategy. By shedding light on these associations, our study not only provides crucial baseline data but also contributes valuable scientific insights, addressing a current void in investigations. Furthermore, our findings open avenues for future research endeavors. Exploring the nuanced interplay between metal concentrations and the intricate mechanisms of preeclampsia could lead to targeted interventions and preventive measures. This knowledge may not only benefit the affected women and their offspring but also contribute to a broader understanding of maternal-fetal health dynamics. As we move forward, it becomes imperative to delve deeper into the specific metals implicated, their interactions, and their potential implications for therapeutic approaches. This holistic approach will enable a more </w:t>
      </w:r>
      <w:r w:rsidRPr="00F9364E">
        <w:rPr>
          <w:rFonts w:ascii="Times New Roman" w:hAnsi="Times New Roman" w:cs="Times New Roman"/>
          <w:sz w:val="22"/>
          <w:szCs w:val="22"/>
        </w:rPr>
        <w:lastRenderedPageBreak/>
        <w:t>comprehensive understanding of the complex factors influencing preeclampsia, ultimately informing improved healthcare strategies and outcomes for pregnant women.</w:t>
      </w:r>
    </w:p>
    <w:p w14:paraId="713A9C34" w14:textId="77777777"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REFERENCES</w:t>
      </w:r>
    </w:p>
    <w:p w14:paraId="33A100A3"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Ashrap</w:t>
      </w:r>
      <w:proofErr w:type="spellEnd"/>
      <w:r w:rsidRPr="00CD3101">
        <w:rPr>
          <w:rFonts w:ascii="Times New Roman" w:hAnsi="Times New Roman" w:cs="Times New Roman"/>
          <w:sz w:val="22"/>
          <w:szCs w:val="22"/>
        </w:rPr>
        <w:t xml:space="preserve"> P, Watkins DJ, Mukherjee B, Boss J, Richards MJ, Rosario Z, Vélez-Vega CM, </w:t>
      </w:r>
      <w:proofErr w:type="spellStart"/>
      <w:r w:rsidRPr="00CD3101">
        <w:rPr>
          <w:rFonts w:ascii="Times New Roman" w:hAnsi="Times New Roman" w:cs="Times New Roman"/>
          <w:sz w:val="22"/>
          <w:szCs w:val="22"/>
        </w:rPr>
        <w:t>Alshawabkeh</w:t>
      </w:r>
      <w:proofErr w:type="spellEnd"/>
      <w:r w:rsidRPr="00CD3101">
        <w:rPr>
          <w:rFonts w:ascii="Times New Roman" w:hAnsi="Times New Roman" w:cs="Times New Roman"/>
          <w:sz w:val="22"/>
          <w:szCs w:val="22"/>
        </w:rPr>
        <w:t xml:space="preserve"> A, Cordero JF, Meeker JD (2020) Maternal blood metal and metalloid concentrations in association with birth outcomes in Northern Puerto Rico. Environ Int 138:105606. https://doi.org/10.1016/j.envint.2020.105606</w:t>
      </w:r>
    </w:p>
    <w:p w14:paraId="42A236A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Bocca B, Ruggieri F, Pino A, Rovira J, </w:t>
      </w:r>
      <w:proofErr w:type="spellStart"/>
      <w:r w:rsidRPr="00CD3101">
        <w:rPr>
          <w:rFonts w:ascii="Times New Roman" w:hAnsi="Times New Roman" w:cs="Times New Roman"/>
          <w:sz w:val="22"/>
          <w:szCs w:val="22"/>
        </w:rPr>
        <w:t>Calamandrei</w:t>
      </w:r>
      <w:proofErr w:type="spellEnd"/>
      <w:r w:rsidRPr="00CD3101">
        <w:rPr>
          <w:rFonts w:ascii="Times New Roman" w:hAnsi="Times New Roman" w:cs="Times New Roman"/>
          <w:sz w:val="22"/>
          <w:szCs w:val="22"/>
        </w:rPr>
        <w:t xml:space="preserve"> G, Martínez MÁ, Domingo JL, Alimonti A, Schuhmacher M (2019) Human biomonitoring to evaluate exposure to toxic and essential trace elements during pregnancy. Part A. Concentrations in maternal blood, urine and cord blood. Environ Res 177:108599. https://doi.org/10.1016/j.envres.2019.108599</w:t>
      </w:r>
    </w:p>
    <w:p w14:paraId="64173214"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Born Too Soon: The Global Action Report on Preterm Birth. (2012) Global Report. http://www.who.int/pmnch/media/news/2012/201204_borntoosoon-report.pdf.</w:t>
      </w:r>
    </w:p>
    <w:p w14:paraId="68E916CF"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Craici</w:t>
      </w:r>
      <w:proofErr w:type="spellEnd"/>
      <w:r w:rsidRPr="00CD3101">
        <w:rPr>
          <w:rFonts w:ascii="Times New Roman" w:hAnsi="Times New Roman" w:cs="Times New Roman"/>
          <w:sz w:val="22"/>
          <w:szCs w:val="22"/>
        </w:rPr>
        <w:t xml:space="preserve"> IM, Wagner SJ, Weissgerber TL, Grande JP, </w:t>
      </w:r>
      <w:proofErr w:type="spellStart"/>
      <w:r w:rsidRPr="00CD3101">
        <w:rPr>
          <w:rFonts w:ascii="Times New Roman" w:hAnsi="Times New Roman" w:cs="Times New Roman"/>
          <w:sz w:val="22"/>
          <w:szCs w:val="22"/>
        </w:rPr>
        <w:t>Garovic</w:t>
      </w:r>
      <w:proofErr w:type="spellEnd"/>
      <w:r w:rsidRPr="00CD3101">
        <w:rPr>
          <w:rFonts w:ascii="Times New Roman" w:hAnsi="Times New Roman" w:cs="Times New Roman"/>
          <w:sz w:val="22"/>
          <w:szCs w:val="22"/>
        </w:rPr>
        <w:t xml:space="preserve"> VD (2014) Advances in the pathophysiology of preeclampsia and related podocyte injury. Kidney Int 86:275–285. https://doi.org/10.1038/ki.2014.17</w:t>
      </w:r>
    </w:p>
    <w:p w14:paraId="511CF278"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Cudihy</w:t>
      </w:r>
      <w:proofErr w:type="spellEnd"/>
      <w:r w:rsidRPr="00CD3101">
        <w:rPr>
          <w:rFonts w:ascii="Times New Roman" w:hAnsi="Times New Roman" w:cs="Times New Roman"/>
          <w:sz w:val="22"/>
          <w:szCs w:val="22"/>
        </w:rPr>
        <w:t xml:space="preserve"> D, Lee RV (2009) The pathophysiology of pre-eclampsia: current clinical concepts. J </w:t>
      </w:r>
      <w:proofErr w:type="spellStart"/>
      <w:r w:rsidRPr="00CD3101">
        <w:rPr>
          <w:rFonts w:ascii="Times New Roman" w:hAnsi="Times New Roman" w:cs="Times New Roman"/>
          <w:sz w:val="22"/>
          <w:szCs w:val="22"/>
        </w:rPr>
        <w:t>Obstet</w:t>
      </w:r>
      <w:proofErr w:type="spellEnd"/>
      <w:r w:rsidRPr="00CD3101">
        <w:rPr>
          <w:rFonts w:ascii="Times New Roman" w:hAnsi="Times New Roman" w:cs="Times New Roman"/>
          <w:sz w:val="22"/>
          <w:szCs w:val="22"/>
        </w:rPr>
        <w:t xml:space="preserve"> </w:t>
      </w:r>
      <w:proofErr w:type="spellStart"/>
      <w:r w:rsidRPr="00CD3101">
        <w:rPr>
          <w:rFonts w:ascii="Times New Roman" w:hAnsi="Times New Roman" w:cs="Times New Roman"/>
          <w:sz w:val="22"/>
          <w:szCs w:val="22"/>
        </w:rPr>
        <w:t>Gynaecol</w:t>
      </w:r>
      <w:proofErr w:type="spellEnd"/>
      <w:r w:rsidRPr="00CD3101">
        <w:rPr>
          <w:rFonts w:ascii="Times New Roman" w:hAnsi="Times New Roman" w:cs="Times New Roman"/>
          <w:sz w:val="22"/>
          <w:szCs w:val="22"/>
        </w:rPr>
        <w:t xml:space="preserve"> 29:576–582. https://doi.org/10.1080/01443610903061751</w:t>
      </w:r>
    </w:p>
    <w:p w14:paraId="5E8EB551"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Dahiri</w:t>
      </w:r>
      <w:proofErr w:type="spellEnd"/>
      <w:r w:rsidRPr="00CD3101">
        <w:rPr>
          <w:rFonts w:ascii="Times New Roman" w:hAnsi="Times New Roman" w:cs="Times New Roman"/>
          <w:sz w:val="22"/>
          <w:szCs w:val="22"/>
        </w:rPr>
        <w:t xml:space="preserve"> B, Carrasco IM, Aguilar PC, Cerrillos L, Ostos R, </w:t>
      </w:r>
      <w:proofErr w:type="spellStart"/>
      <w:r w:rsidRPr="00CD3101">
        <w:rPr>
          <w:rFonts w:ascii="Times New Roman" w:hAnsi="Times New Roman" w:cs="Times New Roman"/>
          <w:sz w:val="22"/>
          <w:szCs w:val="22"/>
        </w:rPr>
        <w:t>Palacín</w:t>
      </w:r>
      <w:proofErr w:type="spellEnd"/>
      <w:r w:rsidRPr="00CD3101">
        <w:rPr>
          <w:rFonts w:ascii="Times New Roman" w:hAnsi="Times New Roman" w:cs="Times New Roman"/>
          <w:sz w:val="22"/>
          <w:szCs w:val="22"/>
        </w:rPr>
        <w:t xml:space="preserve"> AF, Bautista J, Moreno I (2023) Monitoring of metals and metalloids from maternal and cord blood samples in a population from Seville (Spain). Sci Total Environ 854:158687. https://doi.org/10.1016/j.scitotenv.2022.158687</w:t>
      </w:r>
    </w:p>
    <w:p w14:paraId="23CEC875"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Dakshinamurti</w:t>
      </w:r>
      <w:proofErr w:type="spellEnd"/>
      <w:r w:rsidRPr="00CD3101">
        <w:rPr>
          <w:rFonts w:ascii="Times New Roman" w:hAnsi="Times New Roman" w:cs="Times New Roman"/>
          <w:sz w:val="22"/>
          <w:szCs w:val="22"/>
        </w:rPr>
        <w:t xml:space="preserve"> K, </w:t>
      </w:r>
      <w:proofErr w:type="spellStart"/>
      <w:r w:rsidRPr="00CD3101">
        <w:rPr>
          <w:rFonts w:ascii="Times New Roman" w:hAnsi="Times New Roman" w:cs="Times New Roman"/>
          <w:sz w:val="22"/>
          <w:szCs w:val="22"/>
        </w:rPr>
        <w:t>Dakshinamurti</w:t>
      </w:r>
      <w:proofErr w:type="spellEnd"/>
      <w:r w:rsidRPr="00CD3101">
        <w:rPr>
          <w:rFonts w:ascii="Times New Roman" w:hAnsi="Times New Roman" w:cs="Times New Roman"/>
          <w:sz w:val="22"/>
          <w:szCs w:val="22"/>
        </w:rPr>
        <w:t xml:space="preserve"> S (2001) Blood pressure regulation and micronutrients. </w:t>
      </w:r>
      <w:proofErr w:type="spellStart"/>
      <w:r w:rsidRPr="00CD3101">
        <w:rPr>
          <w:rFonts w:ascii="Times New Roman" w:hAnsi="Times New Roman" w:cs="Times New Roman"/>
          <w:sz w:val="22"/>
          <w:szCs w:val="22"/>
        </w:rPr>
        <w:t>Nutr</w:t>
      </w:r>
      <w:proofErr w:type="spellEnd"/>
      <w:r w:rsidRPr="00CD3101">
        <w:rPr>
          <w:rFonts w:ascii="Times New Roman" w:hAnsi="Times New Roman" w:cs="Times New Roman"/>
          <w:sz w:val="22"/>
          <w:szCs w:val="22"/>
        </w:rPr>
        <w:t xml:space="preserve"> Res Rev 14:3–44. https://doi.org/10.1079/NRR200116</w:t>
      </w:r>
    </w:p>
    <w:p w14:paraId="4EECF6C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Daston GP (1994) Relationships between maternal and developmental toxicity. Dev </w:t>
      </w:r>
      <w:proofErr w:type="spellStart"/>
      <w:r w:rsidRPr="00CD3101">
        <w:rPr>
          <w:rFonts w:ascii="Times New Roman" w:hAnsi="Times New Roman" w:cs="Times New Roman"/>
          <w:sz w:val="22"/>
          <w:szCs w:val="22"/>
        </w:rPr>
        <w:t>Toxicol</w:t>
      </w:r>
      <w:proofErr w:type="spellEnd"/>
      <w:r w:rsidRPr="00CD3101">
        <w:rPr>
          <w:rFonts w:ascii="Times New Roman" w:hAnsi="Times New Roman" w:cs="Times New Roman"/>
          <w:sz w:val="22"/>
          <w:szCs w:val="22"/>
        </w:rPr>
        <w:t xml:space="preserve"> 2:189–212</w:t>
      </w:r>
    </w:p>
    <w:p w14:paraId="73C46564"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Daszak</w:t>
      </w:r>
      <w:proofErr w:type="spellEnd"/>
      <w:r w:rsidRPr="00CD3101">
        <w:rPr>
          <w:rFonts w:ascii="Times New Roman" w:hAnsi="Times New Roman" w:cs="Times New Roman"/>
          <w:sz w:val="22"/>
          <w:szCs w:val="22"/>
        </w:rPr>
        <w:t xml:space="preserve"> P, Cunningham AA, Hyatt AD (2001) Anthropogenic environmental change and the emergence of infectious diseases in wildlife. Acta Trop 78:103–116. https://doi.org/10.1016/S0001-706X(00)00179-0</w:t>
      </w:r>
    </w:p>
    <w:p w14:paraId="5072AE81"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Doyle W, Crawford MA, Wynn AH, Wynn SW (1989) Maternal magnesium intake and pregnancy outcome. Magnes Res 2:205–210</w:t>
      </w:r>
    </w:p>
    <w:p w14:paraId="5A9D6A6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Duley L (2009) The global impact of pre-eclampsia and eclampsia. Semin </w:t>
      </w:r>
      <w:proofErr w:type="spellStart"/>
      <w:r w:rsidRPr="00CD3101">
        <w:rPr>
          <w:rFonts w:ascii="Times New Roman" w:hAnsi="Times New Roman" w:cs="Times New Roman"/>
          <w:sz w:val="22"/>
          <w:szCs w:val="22"/>
        </w:rPr>
        <w:t>Perinatol</w:t>
      </w:r>
      <w:proofErr w:type="spellEnd"/>
      <w:r w:rsidRPr="00CD3101">
        <w:rPr>
          <w:rFonts w:ascii="Times New Roman" w:hAnsi="Times New Roman" w:cs="Times New Roman"/>
          <w:sz w:val="22"/>
          <w:szCs w:val="22"/>
        </w:rPr>
        <w:t xml:space="preserve"> 33:130–137. https://doi.org/10.1053/j.semperi.2009.02.010</w:t>
      </w:r>
    </w:p>
    <w:p w14:paraId="6407953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 xml:space="preserve">Ettinger AS, </w:t>
      </w:r>
      <w:proofErr w:type="spellStart"/>
      <w:r w:rsidRPr="00CD3101">
        <w:rPr>
          <w:rFonts w:ascii="Times New Roman" w:hAnsi="Times New Roman" w:cs="Times New Roman"/>
          <w:sz w:val="22"/>
          <w:szCs w:val="22"/>
        </w:rPr>
        <w:t>Wengrovitz</w:t>
      </w:r>
      <w:proofErr w:type="spellEnd"/>
      <w:r w:rsidRPr="00CD3101">
        <w:rPr>
          <w:rFonts w:ascii="Times New Roman" w:hAnsi="Times New Roman" w:cs="Times New Roman"/>
          <w:sz w:val="22"/>
          <w:szCs w:val="22"/>
        </w:rPr>
        <w:t xml:space="preserve"> AG (2010) Guidelines for the identification and management of lead exposure in pregnant and lactating women. U.S. Department of Health and Human Services, Atlanta, GA</w:t>
      </w:r>
    </w:p>
    <w:p w14:paraId="11F4F1E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Eum JH, Cheong HK, Ha EH, Ha M, Kim Y, Hong YC, Park H, Chang N (2014) Maternal blood manganese level and birth weight: a MOCEH birth cohort study. Environ Health 13:31. https://doi.org/10.1186/1476-069X-13-31</w:t>
      </w:r>
    </w:p>
    <w:p w14:paraId="7CF0A28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Felicia AU (2016) The impact of environmental heavy metal exposures on pregnancy and birth outcomes. Dissertation, University of Ottawa. https://doi.org/10.20381/ruor-516</w:t>
      </w:r>
    </w:p>
    <w:p w14:paraId="3697E1B2"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Gamelin FX, Baquet G, </w:t>
      </w:r>
      <w:proofErr w:type="spellStart"/>
      <w:r w:rsidRPr="00CD3101">
        <w:rPr>
          <w:rFonts w:ascii="Times New Roman" w:hAnsi="Times New Roman" w:cs="Times New Roman"/>
          <w:sz w:val="22"/>
          <w:szCs w:val="22"/>
        </w:rPr>
        <w:t>Berthoin</w:t>
      </w:r>
      <w:proofErr w:type="spellEnd"/>
      <w:r w:rsidRPr="00CD3101">
        <w:rPr>
          <w:rFonts w:ascii="Times New Roman" w:hAnsi="Times New Roman" w:cs="Times New Roman"/>
          <w:sz w:val="22"/>
          <w:szCs w:val="22"/>
        </w:rPr>
        <w:t xml:space="preserve"> S, Thevenet D, </w:t>
      </w:r>
      <w:proofErr w:type="spellStart"/>
      <w:r w:rsidRPr="00CD3101">
        <w:rPr>
          <w:rFonts w:ascii="Times New Roman" w:hAnsi="Times New Roman" w:cs="Times New Roman"/>
          <w:sz w:val="22"/>
          <w:szCs w:val="22"/>
        </w:rPr>
        <w:t>Nourry</w:t>
      </w:r>
      <w:proofErr w:type="spellEnd"/>
      <w:r w:rsidRPr="00CD3101">
        <w:rPr>
          <w:rFonts w:ascii="Times New Roman" w:hAnsi="Times New Roman" w:cs="Times New Roman"/>
          <w:sz w:val="22"/>
          <w:szCs w:val="22"/>
        </w:rPr>
        <w:t xml:space="preserve"> C, Nottin S, Bosquet L (2009) Effect of high intensity intermittent training on heart rate variability in prepubescent children. </w:t>
      </w:r>
      <w:proofErr w:type="spellStart"/>
      <w:r w:rsidRPr="00CD3101">
        <w:rPr>
          <w:rFonts w:ascii="Times New Roman" w:hAnsi="Times New Roman" w:cs="Times New Roman"/>
          <w:sz w:val="22"/>
          <w:szCs w:val="22"/>
        </w:rPr>
        <w:t>Eur</w:t>
      </w:r>
      <w:proofErr w:type="spellEnd"/>
      <w:r w:rsidRPr="00CD3101">
        <w:rPr>
          <w:rFonts w:ascii="Times New Roman" w:hAnsi="Times New Roman" w:cs="Times New Roman"/>
          <w:sz w:val="22"/>
          <w:szCs w:val="22"/>
        </w:rPr>
        <w:t xml:space="preserve"> J Appl </w:t>
      </w:r>
      <w:proofErr w:type="spellStart"/>
      <w:r w:rsidRPr="00CD3101">
        <w:rPr>
          <w:rFonts w:ascii="Times New Roman" w:hAnsi="Times New Roman" w:cs="Times New Roman"/>
          <w:sz w:val="22"/>
          <w:szCs w:val="22"/>
        </w:rPr>
        <w:t>Physiol</w:t>
      </w:r>
      <w:proofErr w:type="spellEnd"/>
      <w:r w:rsidRPr="00CD3101">
        <w:rPr>
          <w:rFonts w:ascii="Times New Roman" w:hAnsi="Times New Roman" w:cs="Times New Roman"/>
          <w:sz w:val="22"/>
          <w:szCs w:val="22"/>
        </w:rPr>
        <w:t xml:space="preserve"> 105:731–738. https://doi.org/10.1007/s00421-008-0955-8</w:t>
      </w:r>
    </w:p>
    <w:p w14:paraId="7BBA3C9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Gernand AD, Schulze KJ, Stewart CP, West Jr KP, Christian P (2016) Micronutrient deficiencies in pregnancy worldwide: health effects and prevention. Nat Rev Endocrinol 12:274–289. https://doi.org/10.1038/nrendo.2016.37</w:t>
      </w:r>
    </w:p>
    <w:p w14:paraId="32B4096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Ghaemi SZ, </w:t>
      </w:r>
      <w:proofErr w:type="spellStart"/>
      <w:r w:rsidRPr="00CD3101">
        <w:rPr>
          <w:rFonts w:ascii="Times New Roman" w:hAnsi="Times New Roman" w:cs="Times New Roman"/>
          <w:sz w:val="22"/>
          <w:szCs w:val="22"/>
        </w:rPr>
        <w:t>Forouhari</w:t>
      </w:r>
      <w:proofErr w:type="spellEnd"/>
      <w:r w:rsidRPr="00CD3101">
        <w:rPr>
          <w:rFonts w:ascii="Times New Roman" w:hAnsi="Times New Roman" w:cs="Times New Roman"/>
          <w:sz w:val="22"/>
          <w:szCs w:val="22"/>
        </w:rPr>
        <w:t xml:space="preserve"> S, </w:t>
      </w:r>
      <w:proofErr w:type="spellStart"/>
      <w:r w:rsidRPr="00CD3101">
        <w:rPr>
          <w:rFonts w:ascii="Times New Roman" w:hAnsi="Times New Roman" w:cs="Times New Roman"/>
          <w:sz w:val="22"/>
          <w:szCs w:val="22"/>
        </w:rPr>
        <w:t>Dabbaghmanesh</w:t>
      </w:r>
      <w:proofErr w:type="spellEnd"/>
      <w:r w:rsidRPr="00CD3101">
        <w:rPr>
          <w:rFonts w:ascii="Times New Roman" w:hAnsi="Times New Roman" w:cs="Times New Roman"/>
          <w:sz w:val="22"/>
          <w:szCs w:val="22"/>
        </w:rPr>
        <w:t xml:space="preserve"> MH, Sayadi M, </w:t>
      </w:r>
      <w:proofErr w:type="spellStart"/>
      <w:r w:rsidRPr="00CD3101">
        <w:rPr>
          <w:rFonts w:ascii="Times New Roman" w:hAnsi="Times New Roman" w:cs="Times New Roman"/>
          <w:sz w:val="22"/>
          <w:szCs w:val="22"/>
        </w:rPr>
        <w:t>Bakhshayeshkaram</w:t>
      </w:r>
      <w:proofErr w:type="spellEnd"/>
      <w:r w:rsidRPr="00CD3101">
        <w:rPr>
          <w:rFonts w:ascii="Times New Roman" w:hAnsi="Times New Roman" w:cs="Times New Roman"/>
          <w:sz w:val="22"/>
          <w:szCs w:val="22"/>
        </w:rPr>
        <w:t xml:space="preserve"> M, Vaziri F, Tavana Z (2013) A prospective study of selenium concentration and risk of preeclampsia in pregnant Iranian women: a nested case–control study. Biol Trace Elem Res 152:174–179. https://doi.org/10.1007/s12011-013-9614-y</w:t>
      </w:r>
    </w:p>
    <w:p w14:paraId="3FDABC5E"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Habibi N, Grieger JA, Miotto TB (2020) A review of the potential interaction of selenium and iodine on placental and child health. Nutrients 12:2678. https://doi.org/10.3390/nu12092678</w:t>
      </w:r>
    </w:p>
    <w:p w14:paraId="4579423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Hansson SR, </w:t>
      </w:r>
      <w:proofErr w:type="spellStart"/>
      <w:r w:rsidRPr="00CD3101">
        <w:rPr>
          <w:rFonts w:ascii="Times New Roman" w:hAnsi="Times New Roman" w:cs="Times New Roman"/>
          <w:sz w:val="22"/>
          <w:szCs w:val="22"/>
        </w:rPr>
        <w:t>Naav</w:t>
      </w:r>
      <w:proofErr w:type="spellEnd"/>
      <w:r w:rsidRPr="00CD3101">
        <w:rPr>
          <w:rFonts w:ascii="Times New Roman" w:hAnsi="Times New Roman" w:cs="Times New Roman"/>
          <w:sz w:val="22"/>
          <w:szCs w:val="22"/>
        </w:rPr>
        <w:t xml:space="preserve"> A, Erlandsson L (2015) Oxidative stress in preeclampsia and the role of free fetal hemoglobin. Front </w:t>
      </w:r>
      <w:proofErr w:type="spellStart"/>
      <w:r w:rsidRPr="00CD3101">
        <w:rPr>
          <w:rFonts w:ascii="Times New Roman" w:hAnsi="Times New Roman" w:cs="Times New Roman"/>
          <w:sz w:val="22"/>
          <w:szCs w:val="22"/>
        </w:rPr>
        <w:t>Physiol</w:t>
      </w:r>
      <w:proofErr w:type="spellEnd"/>
      <w:r w:rsidRPr="00CD3101">
        <w:rPr>
          <w:rFonts w:ascii="Times New Roman" w:hAnsi="Times New Roman" w:cs="Times New Roman"/>
          <w:sz w:val="22"/>
          <w:szCs w:val="22"/>
        </w:rPr>
        <w:t xml:space="preserve"> 5:516. https://doi.org/10.3389/fphys.2014.00516</w:t>
      </w:r>
    </w:p>
    <w:p w14:paraId="57EDBFD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Howe CG, </w:t>
      </w:r>
      <w:proofErr w:type="spellStart"/>
      <w:r w:rsidRPr="00CD3101">
        <w:rPr>
          <w:rFonts w:ascii="Times New Roman" w:hAnsi="Times New Roman" w:cs="Times New Roman"/>
          <w:sz w:val="22"/>
          <w:szCs w:val="22"/>
        </w:rPr>
        <w:t>Nozadi</w:t>
      </w:r>
      <w:proofErr w:type="spellEnd"/>
      <w:r w:rsidRPr="00CD3101">
        <w:rPr>
          <w:rFonts w:ascii="Times New Roman" w:hAnsi="Times New Roman" w:cs="Times New Roman"/>
          <w:sz w:val="22"/>
          <w:szCs w:val="22"/>
        </w:rPr>
        <w:t xml:space="preserve"> SS, Garcia E, Connor TG, Starling AP, Farzan SF, Jackson BP, Madan JC, </w:t>
      </w:r>
      <w:proofErr w:type="spellStart"/>
      <w:r w:rsidRPr="00CD3101">
        <w:rPr>
          <w:rFonts w:ascii="Times New Roman" w:hAnsi="Times New Roman" w:cs="Times New Roman"/>
          <w:sz w:val="22"/>
          <w:szCs w:val="22"/>
        </w:rPr>
        <w:t>Alshawabkeh</w:t>
      </w:r>
      <w:proofErr w:type="spellEnd"/>
      <w:r w:rsidRPr="00CD3101">
        <w:rPr>
          <w:rFonts w:ascii="Times New Roman" w:hAnsi="Times New Roman" w:cs="Times New Roman"/>
          <w:sz w:val="22"/>
          <w:szCs w:val="22"/>
        </w:rPr>
        <w:t xml:space="preserve"> AN, Cordero JF, Bastain TM, Meeker JD, Breton CV, </w:t>
      </w:r>
      <w:proofErr w:type="spellStart"/>
      <w:r w:rsidRPr="00CD3101">
        <w:rPr>
          <w:rFonts w:ascii="Times New Roman" w:hAnsi="Times New Roman" w:cs="Times New Roman"/>
          <w:sz w:val="22"/>
          <w:szCs w:val="22"/>
        </w:rPr>
        <w:t>Karagas</w:t>
      </w:r>
      <w:proofErr w:type="spellEnd"/>
      <w:r w:rsidRPr="00CD3101">
        <w:rPr>
          <w:rFonts w:ascii="Times New Roman" w:hAnsi="Times New Roman" w:cs="Times New Roman"/>
          <w:sz w:val="22"/>
          <w:szCs w:val="22"/>
        </w:rPr>
        <w:t xml:space="preserve"> MR (2022) Prenatal metal(loid) mixtures and birth weight for gestational age: a pooled analysis of three cohorts participating in the ECHO program. Environ Int 161:107102. https://doi.org/10.1016/j.envint.2022.107102</w:t>
      </w:r>
    </w:p>
    <w:p w14:paraId="56E5C471"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Hu H (2002) Human health and heavy metals exposure. In: Life support: the environment and human health. MIT Press, Cambridge, MA, pp 65–81</w:t>
      </w:r>
    </w:p>
    <w:p w14:paraId="47AE105F"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Ibrahimou</w:t>
      </w:r>
      <w:proofErr w:type="spellEnd"/>
      <w:r w:rsidRPr="00CD3101">
        <w:rPr>
          <w:rFonts w:ascii="Times New Roman" w:hAnsi="Times New Roman" w:cs="Times New Roman"/>
          <w:sz w:val="22"/>
          <w:szCs w:val="22"/>
        </w:rPr>
        <w:t xml:space="preserve"> B, Salihu HM, Aliyu MH, Anozie C (2014) Risk of preeclampsia from exposure to particulate matter (PM2.5) speciation chemicals during pregnancy. J </w:t>
      </w:r>
      <w:proofErr w:type="spellStart"/>
      <w:r w:rsidRPr="00CD3101">
        <w:rPr>
          <w:rFonts w:ascii="Times New Roman" w:hAnsi="Times New Roman" w:cs="Times New Roman"/>
          <w:sz w:val="22"/>
          <w:szCs w:val="22"/>
        </w:rPr>
        <w:t>Occup</w:t>
      </w:r>
      <w:proofErr w:type="spellEnd"/>
      <w:r w:rsidRPr="00CD3101">
        <w:rPr>
          <w:rFonts w:ascii="Times New Roman" w:hAnsi="Times New Roman" w:cs="Times New Roman"/>
          <w:sz w:val="22"/>
          <w:szCs w:val="22"/>
        </w:rPr>
        <w:t xml:space="preserve"> Environ Med 56:1228–1234. https://doi.org/10.1097/JOM.0000000000000317</w:t>
      </w:r>
    </w:p>
    <w:p w14:paraId="7BB6E6D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Li A, Zhuang T, Shi J, Liang Y, Song M (2019) Heavy metals in maternal and cord blood in Beijing and their efficiency of placental transfer. J Environ Sci 80:99–106. https://doi.org/10.1016/j.jes.2018.11.004</w:t>
      </w:r>
    </w:p>
    <w:p w14:paraId="32C3FB7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Liu T, Zhang M, </w:t>
      </w:r>
      <w:proofErr w:type="spellStart"/>
      <w:r w:rsidRPr="00CD3101">
        <w:rPr>
          <w:rFonts w:ascii="Times New Roman" w:hAnsi="Times New Roman" w:cs="Times New Roman"/>
          <w:sz w:val="22"/>
          <w:szCs w:val="22"/>
        </w:rPr>
        <w:t>Guallar</w:t>
      </w:r>
      <w:proofErr w:type="spellEnd"/>
      <w:r w:rsidRPr="00CD3101">
        <w:rPr>
          <w:rFonts w:ascii="Times New Roman" w:hAnsi="Times New Roman" w:cs="Times New Roman"/>
          <w:sz w:val="22"/>
          <w:szCs w:val="22"/>
        </w:rPr>
        <w:t xml:space="preserve"> E, Wang G, Hong X, Wang X, Mueller NT (2019) Trace minerals, heavy metals, and preeclampsia: findings from the Boston Birth Cohort. J Am Heart Assoc </w:t>
      </w:r>
      <w:proofErr w:type="gramStart"/>
      <w:r w:rsidRPr="00CD3101">
        <w:rPr>
          <w:rFonts w:ascii="Times New Roman" w:hAnsi="Times New Roman" w:cs="Times New Roman"/>
          <w:sz w:val="22"/>
          <w:szCs w:val="22"/>
        </w:rPr>
        <w:t>8:e</w:t>
      </w:r>
      <w:proofErr w:type="gramEnd"/>
      <w:r w:rsidRPr="00CD3101">
        <w:rPr>
          <w:rFonts w:ascii="Times New Roman" w:hAnsi="Times New Roman" w:cs="Times New Roman"/>
          <w:sz w:val="22"/>
          <w:szCs w:val="22"/>
        </w:rPr>
        <w:t>012436. https://doi.org/10.1161/JAHA.119.012436</w:t>
      </w:r>
    </w:p>
    <w:p w14:paraId="2392C0D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Luo Y, McCullough LE, Tzeng JY, Darrah T, Vengosh A, Maguire RL, Hoyo C (2017) Maternal blood cadmium, lead and arsenic levels, nutrient combinations, and offspring birthweight. BMC Public Health 17:354. https://doi.org/10.1186/s12889-017-4225-8</w:t>
      </w:r>
    </w:p>
    <w:p w14:paraId="4FFD1C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Manten GTR, Sikkema MJ, </w:t>
      </w:r>
      <w:proofErr w:type="spellStart"/>
      <w:r w:rsidRPr="00CD3101">
        <w:rPr>
          <w:rFonts w:ascii="Times New Roman" w:hAnsi="Times New Roman" w:cs="Times New Roman"/>
          <w:sz w:val="22"/>
          <w:szCs w:val="22"/>
        </w:rPr>
        <w:t>Voorbij</w:t>
      </w:r>
      <w:proofErr w:type="spellEnd"/>
      <w:r w:rsidRPr="00CD3101">
        <w:rPr>
          <w:rFonts w:ascii="Times New Roman" w:hAnsi="Times New Roman" w:cs="Times New Roman"/>
          <w:sz w:val="22"/>
          <w:szCs w:val="22"/>
        </w:rPr>
        <w:t xml:space="preserve"> HAM, Visser GHA, Hein W, </w:t>
      </w:r>
      <w:proofErr w:type="spellStart"/>
      <w:r w:rsidRPr="00CD3101">
        <w:rPr>
          <w:rFonts w:ascii="Times New Roman" w:hAnsi="Times New Roman" w:cs="Times New Roman"/>
          <w:sz w:val="22"/>
          <w:szCs w:val="22"/>
        </w:rPr>
        <w:t>Bruinse</w:t>
      </w:r>
      <w:proofErr w:type="spellEnd"/>
      <w:r w:rsidRPr="00CD3101">
        <w:rPr>
          <w:rFonts w:ascii="Times New Roman" w:hAnsi="Times New Roman" w:cs="Times New Roman"/>
          <w:sz w:val="22"/>
          <w:szCs w:val="22"/>
        </w:rPr>
        <w:t xml:space="preserve"> HW, Franx A (2007) Risk factors for cardiovascular disease in women with a history of pregnancy complicated by preeclampsia or intrauterine growth restriction. </w:t>
      </w:r>
      <w:proofErr w:type="spellStart"/>
      <w:r w:rsidRPr="00CD3101">
        <w:rPr>
          <w:rFonts w:ascii="Times New Roman" w:hAnsi="Times New Roman" w:cs="Times New Roman"/>
          <w:sz w:val="22"/>
          <w:szCs w:val="22"/>
        </w:rPr>
        <w:t>Hypertens</w:t>
      </w:r>
      <w:proofErr w:type="spellEnd"/>
      <w:r w:rsidRPr="00CD3101">
        <w:rPr>
          <w:rFonts w:ascii="Times New Roman" w:hAnsi="Times New Roman" w:cs="Times New Roman"/>
          <w:sz w:val="22"/>
          <w:szCs w:val="22"/>
        </w:rPr>
        <w:t xml:space="preserve"> Pregnancy 26:39–50. https://doi.org/10.1080/10641950601146574</w:t>
      </w:r>
    </w:p>
    <w:p w14:paraId="3C40E1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Mistry HD, Gill CA, Lesia O, </w:t>
      </w:r>
      <w:proofErr w:type="spellStart"/>
      <w:r w:rsidRPr="00CD3101">
        <w:rPr>
          <w:rFonts w:ascii="Times New Roman" w:hAnsi="Times New Roman" w:cs="Times New Roman"/>
          <w:sz w:val="22"/>
          <w:szCs w:val="22"/>
        </w:rPr>
        <w:t>Kurlak</w:t>
      </w:r>
      <w:proofErr w:type="spellEnd"/>
      <w:r w:rsidRPr="00CD3101">
        <w:rPr>
          <w:rFonts w:ascii="Times New Roman" w:hAnsi="Times New Roman" w:cs="Times New Roman"/>
          <w:sz w:val="22"/>
          <w:szCs w:val="22"/>
        </w:rPr>
        <w:t xml:space="preserve"> LO, Seed PT, Hesketh JE, </w:t>
      </w:r>
      <w:proofErr w:type="spellStart"/>
      <w:r w:rsidRPr="00CD3101">
        <w:rPr>
          <w:rFonts w:ascii="Times New Roman" w:hAnsi="Times New Roman" w:cs="Times New Roman"/>
          <w:sz w:val="22"/>
          <w:szCs w:val="22"/>
        </w:rPr>
        <w:t>Méplan</w:t>
      </w:r>
      <w:proofErr w:type="spellEnd"/>
      <w:r w:rsidRPr="00CD3101">
        <w:rPr>
          <w:rFonts w:ascii="Times New Roman" w:hAnsi="Times New Roman" w:cs="Times New Roman"/>
          <w:sz w:val="22"/>
          <w:szCs w:val="22"/>
        </w:rPr>
        <w:t xml:space="preserve"> C, Schomburg L, Chappell LC, Morgan L, Poston L, SCOPE Consortium (2015) Association between maternal micronutrient status, oxidative stress, and common genetic variants in antioxidant enzymes at 15 weeks’ gestation in nulliparous women who subsequently develop preeclampsia. Free Radic Biol Med 78:147–155. https://doi.org/10.1016/j.freeradbiomed.2014.10.580</w:t>
      </w:r>
    </w:p>
    <w:p w14:paraId="201D72E0"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Ness RB, Roberts JM (1996) Heterogeneous causes constituting the single syndrome of preeclampsia: a hypothesis and its implications. Am J </w:t>
      </w:r>
      <w:proofErr w:type="spellStart"/>
      <w:r w:rsidRPr="00CD3101">
        <w:rPr>
          <w:rFonts w:ascii="Times New Roman" w:hAnsi="Times New Roman" w:cs="Times New Roman"/>
          <w:sz w:val="22"/>
          <w:szCs w:val="22"/>
        </w:rPr>
        <w:t>Obstet</w:t>
      </w:r>
      <w:proofErr w:type="spellEnd"/>
      <w:r w:rsidRPr="00CD3101">
        <w:rPr>
          <w:rFonts w:ascii="Times New Roman" w:hAnsi="Times New Roman" w:cs="Times New Roman"/>
          <w:sz w:val="22"/>
          <w:szCs w:val="22"/>
        </w:rPr>
        <w:t xml:space="preserve"> </w:t>
      </w:r>
      <w:proofErr w:type="spellStart"/>
      <w:r w:rsidRPr="00CD3101">
        <w:rPr>
          <w:rFonts w:ascii="Times New Roman" w:hAnsi="Times New Roman" w:cs="Times New Roman"/>
          <w:sz w:val="22"/>
          <w:szCs w:val="22"/>
        </w:rPr>
        <w:t>Gynecol</w:t>
      </w:r>
      <w:proofErr w:type="spellEnd"/>
      <w:r w:rsidRPr="00CD3101">
        <w:rPr>
          <w:rFonts w:ascii="Times New Roman" w:hAnsi="Times New Roman" w:cs="Times New Roman"/>
          <w:sz w:val="22"/>
          <w:szCs w:val="22"/>
        </w:rPr>
        <w:t xml:space="preserve"> 175:1365–1370. https://doi.org/10.1016/s0002-9378(96)70056-x</w:t>
      </w:r>
    </w:p>
    <w:p w14:paraId="24CCBF7D"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Omotayo MO, Dickin KL, O’Brien KO, Neufeld LM, De </w:t>
      </w:r>
      <w:proofErr w:type="spellStart"/>
      <w:r w:rsidRPr="00CD3101">
        <w:rPr>
          <w:rFonts w:ascii="Times New Roman" w:hAnsi="Times New Roman" w:cs="Times New Roman"/>
          <w:sz w:val="22"/>
          <w:szCs w:val="22"/>
        </w:rPr>
        <w:t>Regil</w:t>
      </w:r>
      <w:proofErr w:type="spellEnd"/>
      <w:r w:rsidRPr="00CD3101">
        <w:rPr>
          <w:rFonts w:ascii="Times New Roman" w:hAnsi="Times New Roman" w:cs="Times New Roman"/>
          <w:sz w:val="22"/>
          <w:szCs w:val="22"/>
        </w:rPr>
        <w:t xml:space="preserve"> LM, Stoltzfus RJ (2016) Calcium supplementation to prevent preeclampsia: translating guidelines into practice in low-income countries. Adv </w:t>
      </w:r>
      <w:proofErr w:type="spellStart"/>
      <w:r w:rsidRPr="00CD3101">
        <w:rPr>
          <w:rFonts w:ascii="Times New Roman" w:hAnsi="Times New Roman" w:cs="Times New Roman"/>
          <w:sz w:val="22"/>
          <w:szCs w:val="22"/>
        </w:rPr>
        <w:t>Nutr</w:t>
      </w:r>
      <w:proofErr w:type="spellEnd"/>
      <w:r w:rsidRPr="00CD3101">
        <w:rPr>
          <w:rFonts w:ascii="Times New Roman" w:hAnsi="Times New Roman" w:cs="Times New Roman"/>
          <w:sz w:val="22"/>
          <w:szCs w:val="22"/>
        </w:rPr>
        <w:t xml:space="preserve"> 7:275–278. https://doi.org/10.3945/an.115.010736</w:t>
      </w:r>
    </w:p>
    <w:p w14:paraId="5DDAD628"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Osungbade</w:t>
      </w:r>
      <w:proofErr w:type="spellEnd"/>
      <w:r w:rsidRPr="00CD3101">
        <w:rPr>
          <w:rFonts w:ascii="Times New Roman" w:hAnsi="Times New Roman" w:cs="Times New Roman"/>
          <w:sz w:val="22"/>
          <w:szCs w:val="22"/>
        </w:rPr>
        <w:t xml:space="preserve"> KO, Ige OK (2011) Public health perspectives of preeclampsia in developing countries: implication for health system strengthening. J Pregnancy 2011:481095. https://doi.org/10.1155/2011/481095</w:t>
      </w:r>
    </w:p>
    <w:p w14:paraId="2F569BC4"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Parveen R, Saini R, Taneja A (2018) Chemical characterization and health risk assessment of soil and airborne particulates metals and metalloids in populated semiarid region, Agra, India. Environ Geochem Health 40:2021–2035. https://doi.org/10.1007/s10653-016-9822-4</w:t>
      </w:r>
    </w:p>
    <w:p w14:paraId="28A282E0"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 xml:space="preserve">Paul D (2017) Research on heavy metal pollution of river Ganga: a review. Ann </w:t>
      </w:r>
      <w:proofErr w:type="spellStart"/>
      <w:r w:rsidRPr="00CD3101">
        <w:rPr>
          <w:rFonts w:ascii="Times New Roman" w:hAnsi="Times New Roman" w:cs="Times New Roman"/>
          <w:sz w:val="22"/>
          <w:szCs w:val="22"/>
        </w:rPr>
        <w:t>Agrar</w:t>
      </w:r>
      <w:proofErr w:type="spellEnd"/>
      <w:r w:rsidRPr="00CD3101">
        <w:rPr>
          <w:rFonts w:ascii="Times New Roman" w:hAnsi="Times New Roman" w:cs="Times New Roman"/>
          <w:sz w:val="22"/>
          <w:szCs w:val="22"/>
        </w:rPr>
        <w:t xml:space="preserve"> Sci 15:278–286. https://doi.org/10.1016/j.aasci.2017.04.001</w:t>
      </w:r>
    </w:p>
    <w:p w14:paraId="7D83889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Sajith M, Nimbargi V, Modi A, Sumariya R, Pawar A (2014) Incidence of pregnancy induced hypertension and prescription pattern of antihypertensive drugs in pregnancy. Int J Pharm </w:t>
      </w:r>
      <w:proofErr w:type="spellStart"/>
      <w:r w:rsidRPr="00CD3101">
        <w:rPr>
          <w:rFonts w:ascii="Times New Roman" w:hAnsi="Times New Roman" w:cs="Times New Roman"/>
          <w:sz w:val="22"/>
          <w:szCs w:val="22"/>
        </w:rPr>
        <w:t>Pharm</w:t>
      </w:r>
      <w:proofErr w:type="spellEnd"/>
      <w:r w:rsidRPr="00CD3101">
        <w:rPr>
          <w:rFonts w:ascii="Times New Roman" w:hAnsi="Times New Roman" w:cs="Times New Roman"/>
          <w:sz w:val="22"/>
          <w:szCs w:val="22"/>
        </w:rPr>
        <w:t xml:space="preserve"> Sci 23:4</w:t>
      </w:r>
    </w:p>
    <w:p w14:paraId="3A1BF20E"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Sampada A (2017) A study of maternal and perinatal morbidity and mortality in hypertensive disorders complicating pregnancy. Dissertation, Dr. NTR University of Health Sciences</w:t>
      </w:r>
    </w:p>
    <w:p w14:paraId="5D21DDD3"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Selwyn BJ (1990) The epidemiology of acute respiratory tract infection in young children: comparison of findings from several developing countries. Rev Infect Dis </w:t>
      </w:r>
      <w:proofErr w:type="gramStart"/>
      <w:r w:rsidRPr="00CD3101">
        <w:rPr>
          <w:rFonts w:ascii="Times New Roman" w:hAnsi="Times New Roman" w:cs="Times New Roman"/>
          <w:sz w:val="22"/>
          <w:szCs w:val="22"/>
        </w:rPr>
        <w:t>12:S</w:t>
      </w:r>
      <w:proofErr w:type="gramEnd"/>
      <w:r w:rsidRPr="00CD3101">
        <w:rPr>
          <w:rFonts w:ascii="Times New Roman" w:hAnsi="Times New Roman" w:cs="Times New Roman"/>
          <w:sz w:val="22"/>
          <w:szCs w:val="22"/>
        </w:rPr>
        <w:t>870–S888. https://doi.org/10.1093/clinids/12.supplement_s870</w:t>
      </w:r>
    </w:p>
    <w:p w14:paraId="7747C03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Sharma DS, Goyal M, Kumar PK, Ghosh R, Sharma P (2019) Association of raised blood lead levels in pregnant women with preeclampsia: a study at tertiary </w:t>
      </w:r>
      <w:proofErr w:type="spellStart"/>
      <w:r w:rsidRPr="00CD3101">
        <w:rPr>
          <w:rFonts w:ascii="Times New Roman" w:hAnsi="Times New Roman" w:cs="Times New Roman"/>
          <w:sz w:val="22"/>
          <w:szCs w:val="22"/>
        </w:rPr>
        <w:t>centre</w:t>
      </w:r>
      <w:proofErr w:type="spellEnd"/>
      <w:r w:rsidRPr="00CD3101">
        <w:rPr>
          <w:rFonts w:ascii="Times New Roman" w:hAnsi="Times New Roman" w:cs="Times New Roman"/>
          <w:sz w:val="22"/>
          <w:szCs w:val="22"/>
        </w:rPr>
        <w:t xml:space="preserve">. Taiwan J </w:t>
      </w:r>
      <w:proofErr w:type="spellStart"/>
      <w:r w:rsidRPr="00CD3101">
        <w:rPr>
          <w:rFonts w:ascii="Times New Roman" w:hAnsi="Times New Roman" w:cs="Times New Roman"/>
          <w:sz w:val="22"/>
          <w:szCs w:val="22"/>
        </w:rPr>
        <w:t>Obstet</w:t>
      </w:r>
      <w:proofErr w:type="spellEnd"/>
      <w:r w:rsidRPr="00CD3101">
        <w:rPr>
          <w:rFonts w:ascii="Times New Roman" w:hAnsi="Times New Roman" w:cs="Times New Roman"/>
          <w:sz w:val="22"/>
          <w:szCs w:val="22"/>
        </w:rPr>
        <w:t xml:space="preserve"> </w:t>
      </w:r>
      <w:proofErr w:type="spellStart"/>
      <w:r w:rsidRPr="00CD3101">
        <w:rPr>
          <w:rFonts w:ascii="Times New Roman" w:hAnsi="Times New Roman" w:cs="Times New Roman"/>
          <w:sz w:val="22"/>
          <w:szCs w:val="22"/>
        </w:rPr>
        <w:t>Gynecol</w:t>
      </w:r>
      <w:proofErr w:type="spellEnd"/>
      <w:r w:rsidRPr="00CD3101">
        <w:rPr>
          <w:rFonts w:ascii="Times New Roman" w:hAnsi="Times New Roman" w:cs="Times New Roman"/>
          <w:sz w:val="22"/>
          <w:szCs w:val="22"/>
        </w:rPr>
        <w:t xml:space="preserve"> 58:60–63. https://doi.org/10.1016/j.tjog.2018.11.011</w:t>
      </w:r>
    </w:p>
    <w:p w14:paraId="16A5F2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Signes-Pastor AJ, Doherty BT, Romano ME, Gleason KM, Gui J, Baker E, </w:t>
      </w:r>
      <w:proofErr w:type="spellStart"/>
      <w:r w:rsidRPr="00CD3101">
        <w:rPr>
          <w:rFonts w:ascii="Times New Roman" w:hAnsi="Times New Roman" w:cs="Times New Roman"/>
          <w:sz w:val="22"/>
          <w:szCs w:val="22"/>
        </w:rPr>
        <w:t>Karagas</w:t>
      </w:r>
      <w:proofErr w:type="spellEnd"/>
      <w:r w:rsidRPr="00CD3101">
        <w:rPr>
          <w:rFonts w:ascii="Times New Roman" w:hAnsi="Times New Roman" w:cs="Times New Roman"/>
          <w:sz w:val="22"/>
          <w:szCs w:val="22"/>
        </w:rPr>
        <w:t xml:space="preserve"> MR (2019) Prenatal exposure to metal mixture and sex-specific birth outcomes in the New Hampshire Birth Cohort Study. Environ Epidemiol 3:5. https://doi.org/10.1097/EE9.0000000000000068</w:t>
      </w:r>
    </w:p>
    <w:p w14:paraId="775A76B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Singh L, Agarwal P, Anand M, Taneja A (2016) Toxic and essential metals in placenta and its relation with lipid peroxides/glutathione status in pre-term and full-term deliveries. Asian J Med Sci 7:34–39. https://doi.org/10.3126/ajms.v7i1.12808</w:t>
      </w:r>
    </w:p>
    <w:p w14:paraId="6489FF7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Singh L, Anand M, Singh S, Taneja A (2020) Environmental toxic metals in placenta and their effects on preterm delivery-current opinion. Drug Chem </w:t>
      </w:r>
      <w:proofErr w:type="spellStart"/>
      <w:r w:rsidRPr="00CD3101">
        <w:rPr>
          <w:rFonts w:ascii="Times New Roman" w:hAnsi="Times New Roman" w:cs="Times New Roman"/>
          <w:sz w:val="22"/>
          <w:szCs w:val="22"/>
        </w:rPr>
        <w:t>Toxicol</w:t>
      </w:r>
      <w:proofErr w:type="spellEnd"/>
      <w:r w:rsidRPr="00CD3101">
        <w:rPr>
          <w:rFonts w:ascii="Times New Roman" w:hAnsi="Times New Roman" w:cs="Times New Roman"/>
          <w:sz w:val="22"/>
          <w:szCs w:val="22"/>
        </w:rPr>
        <w:t xml:space="preserve"> 43:531–538</w:t>
      </w:r>
    </w:p>
    <w:p w14:paraId="1D1B152F"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t>Skjaerven</w:t>
      </w:r>
      <w:proofErr w:type="spellEnd"/>
      <w:r w:rsidRPr="00CD3101">
        <w:rPr>
          <w:rFonts w:ascii="Times New Roman" w:hAnsi="Times New Roman" w:cs="Times New Roman"/>
          <w:sz w:val="22"/>
          <w:szCs w:val="22"/>
        </w:rPr>
        <w:t xml:space="preserve"> R, Wilcox AJ, Lie RT (2002) The interval between pregnancies and the risk of preeclampsia. N Engl J Med 346:33–38. https://doi.org/10.1056/NEJMoa011379</w:t>
      </w:r>
    </w:p>
    <w:p w14:paraId="33087D73"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South African National HIV Prevalence, Incidence, </w:t>
      </w:r>
      <w:proofErr w:type="spellStart"/>
      <w:r w:rsidRPr="00CD3101">
        <w:rPr>
          <w:rFonts w:ascii="Times New Roman" w:hAnsi="Times New Roman" w:cs="Times New Roman"/>
          <w:sz w:val="22"/>
          <w:szCs w:val="22"/>
        </w:rPr>
        <w:t>Behaviour</w:t>
      </w:r>
      <w:proofErr w:type="spellEnd"/>
      <w:r w:rsidRPr="00CD3101">
        <w:rPr>
          <w:rFonts w:ascii="Times New Roman" w:hAnsi="Times New Roman" w:cs="Times New Roman"/>
          <w:sz w:val="22"/>
          <w:szCs w:val="22"/>
        </w:rPr>
        <w:t xml:space="preserve"> and Communication Survey (2010) The health of our children. HSRC Press, Cape Town</w:t>
      </w:r>
    </w:p>
    <w:p w14:paraId="67C1624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Steiner PE, Lushbaugh CC (1986) Maternal pulmonary embolism by amniotic fluid: as a cause of obstetric shock and unexpected deaths in obstetrics. JAMA 255:2187–2203. https://doi.org/10.1001/jama.255.16.2187</w:t>
      </w:r>
    </w:p>
    <w:p w14:paraId="00E4B5F6" w14:textId="77777777" w:rsidR="00CD3101" w:rsidRPr="00CD3101" w:rsidRDefault="00CD3101" w:rsidP="00CD3101">
      <w:pPr>
        <w:spacing w:line="360" w:lineRule="auto"/>
        <w:jc w:val="both"/>
        <w:rPr>
          <w:rFonts w:ascii="Times New Roman" w:hAnsi="Times New Roman" w:cs="Times New Roman"/>
          <w:sz w:val="22"/>
          <w:szCs w:val="22"/>
        </w:rPr>
      </w:pPr>
      <w:proofErr w:type="spellStart"/>
      <w:r w:rsidRPr="00CD3101">
        <w:rPr>
          <w:rFonts w:ascii="Times New Roman" w:hAnsi="Times New Roman" w:cs="Times New Roman"/>
          <w:sz w:val="22"/>
          <w:szCs w:val="22"/>
        </w:rPr>
        <w:lastRenderedPageBreak/>
        <w:t>Vigeh</w:t>
      </w:r>
      <w:proofErr w:type="spellEnd"/>
      <w:r w:rsidRPr="00CD3101">
        <w:rPr>
          <w:rFonts w:ascii="Times New Roman" w:hAnsi="Times New Roman" w:cs="Times New Roman"/>
          <w:sz w:val="22"/>
          <w:szCs w:val="22"/>
        </w:rPr>
        <w:t xml:space="preserve"> M, Yokoyama K, Ramezanzadeh F, </w:t>
      </w:r>
      <w:proofErr w:type="spellStart"/>
      <w:r w:rsidRPr="00CD3101">
        <w:rPr>
          <w:rFonts w:ascii="Times New Roman" w:hAnsi="Times New Roman" w:cs="Times New Roman"/>
          <w:sz w:val="22"/>
          <w:szCs w:val="22"/>
        </w:rPr>
        <w:t>Dahaghin</w:t>
      </w:r>
      <w:proofErr w:type="spellEnd"/>
      <w:r w:rsidRPr="00CD3101">
        <w:rPr>
          <w:rFonts w:ascii="Times New Roman" w:hAnsi="Times New Roman" w:cs="Times New Roman"/>
          <w:sz w:val="22"/>
          <w:szCs w:val="22"/>
        </w:rPr>
        <w:t xml:space="preserve"> M, Sakai T, Morita Y, Kitamura F, Sato H, Kobayashi Y (2006) Lead and other trace metals in preeclampsia: a case–control study in Tehran. Environ Res 100:268–275. https://doi.org/10.1016/j.envres.2005.05.005</w:t>
      </w:r>
    </w:p>
    <w:p w14:paraId="61254242"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Wang F, Fan F, Wang L, Ye W, Zhang Q, Xie S (2018) Maternal cadmium levels during pregnancy and the relationship with preeclampsia and fetal biometric parameters. Biol Trace Elem Res 186:322–329. https://doi.org/10.1007/s12011-018-1312-3</w:t>
      </w:r>
    </w:p>
    <w:p w14:paraId="6D6BB80A"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Wilson RL (2018) The influence of micronutrients on placental development and pregnancy outcome. Dissertation, The University of Adelaide</w:t>
      </w:r>
    </w:p>
    <w:p w14:paraId="588049A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 xml:space="preserve">Yazbeck C, </w:t>
      </w:r>
      <w:proofErr w:type="spellStart"/>
      <w:r w:rsidRPr="00CD3101">
        <w:rPr>
          <w:rFonts w:ascii="Times New Roman" w:hAnsi="Times New Roman" w:cs="Times New Roman"/>
          <w:sz w:val="22"/>
          <w:szCs w:val="22"/>
        </w:rPr>
        <w:t>Thiebaugeorges</w:t>
      </w:r>
      <w:proofErr w:type="spellEnd"/>
      <w:r w:rsidRPr="00CD3101">
        <w:rPr>
          <w:rFonts w:ascii="Times New Roman" w:hAnsi="Times New Roman" w:cs="Times New Roman"/>
          <w:sz w:val="22"/>
          <w:szCs w:val="22"/>
        </w:rPr>
        <w:t xml:space="preserve"> O, Moreau T, Goua V, </w:t>
      </w:r>
      <w:proofErr w:type="spellStart"/>
      <w:r w:rsidRPr="00CD3101">
        <w:rPr>
          <w:rFonts w:ascii="Times New Roman" w:hAnsi="Times New Roman" w:cs="Times New Roman"/>
          <w:sz w:val="22"/>
          <w:szCs w:val="22"/>
        </w:rPr>
        <w:t>Debotte</w:t>
      </w:r>
      <w:proofErr w:type="spellEnd"/>
      <w:r w:rsidRPr="00CD3101">
        <w:rPr>
          <w:rFonts w:ascii="Times New Roman" w:hAnsi="Times New Roman" w:cs="Times New Roman"/>
          <w:sz w:val="22"/>
          <w:szCs w:val="22"/>
        </w:rPr>
        <w:t xml:space="preserve"> G, </w:t>
      </w:r>
      <w:proofErr w:type="spellStart"/>
      <w:r w:rsidRPr="00CD3101">
        <w:rPr>
          <w:rFonts w:ascii="Times New Roman" w:hAnsi="Times New Roman" w:cs="Times New Roman"/>
          <w:sz w:val="22"/>
          <w:szCs w:val="22"/>
        </w:rPr>
        <w:t>Sahuquillo</w:t>
      </w:r>
      <w:proofErr w:type="spellEnd"/>
      <w:r w:rsidRPr="00CD3101">
        <w:rPr>
          <w:rFonts w:ascii="Times New Roman" w:hAnsi="Times New Roman" w:cs="Times New Roman"/>
          <w:sz w:val="22"/>
          <w:szCs w:val="22"/>
        </w:rPr>
        <w:t xml:space="preserve"> J, Forhan A, </w:t>
      </w:r>
      <w:proofErr w:type="spellStart"/>
      <w:r w:rsidRPr="00CD3101">
        <w:rPr>
          <w:rFonts w:ascii="Times New Roman" w:hAnsi="Times New Roman" w:cs="Times New Roman"/>
          <w:sz w:val="22"/>
          <w:szCs w:val="22"/>
        </w:rPr>
        <w:t>Foliguet</w:t>
      </w:r>
      <w:proofErr w:type="spellEnd"/>
      <w:r w:rsidRPr="00CD3101">
        <w:rPr>
          <w:rFonts w:ascii="Times New Roman" w:hAnsi="Times New Roman" w:cs="Times New Roman"/>
          <w:sz w:val="22"/>
          <w:szCs w:val="22"/>
        </w:rPr>
        <w:t xml:space="preserve"> B, Magnin G, Slama R, Charles MA, Huel G (2009) Maternal blood lead levels and the risk of pregnancy-induced hypertension: the EDEN cohort study. Environ Health </w:t>
      </w:r>
      <w:proofErr w:type="spellStart"/>
      <w:r w:rsidRPr="00CD3101">
        <w:rPr>
          <w:rFonts w:ascii="Times New Roman" w:hAnsi="Times New Roman" w:cs="Times New Roman"/>
          <w:sz w:val="22"/>
          <w:szCs w:val="22"/>
        </w:rPr>
        <w:t>Perspect</w:t>
      </w:r>
      <w:proofErr w:type="spellEnd"/>
      <w:r w:rsidRPr="00CD3101">
        <w:rPr>
          <w:rFonts w:ascii="Times New Roman" w:hAnsi="Times New Roman" w:cs="Times New Roman"/>
          <w:sz w:val="22"/>
          <w:szCs w:val="22"/>
        </w:rPr>
        <w:t xml:space="preserve"> 117:1526–1530. https://doi.org/10.1289/ehp.0800488</w:t>
      </w:r>
    </w:p>
    <w:p w14:paraId="6AEFB8D1" w14:textId="77777777" w:rsidR="00B44B08" w:rsidRDefault="00B44B08" w:rsidP="00FE5B28">
      <w:pPr>
        <w:spacing w:line="360" w:lineRule="auto"/>
        <w:jc w:val="both"/>
        <w:rPr>
          <w:rFonts w:ascii="Times New Roman" w:hAnsi="Times New Roman" w:cs="Times New Roman"/>
          <w:b/>
          <w:bCs/>
          <w:sz w:val="22"/>
          <w:szCs w:val="22"/>
        </w:rPr>
      </w:pPr>
    </w:p>
    <w:p w14:paraId="78841BC0" w14:textId="2BF18107" w:rsidR="00FE5B28" w:rsidRPr="00F9364E" w:rsidRDefault="00FE5B28" w:rsidP="00FE5B28">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Declarations</w:t>
      </w:r>
    </w:p>
    <w:p w14:paraId="7F299480"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Acknowledgements:</w:t>
      </w:r>
      <w:r w:rsidRPr="00F9364E">
        <w:rPr>
          <w:rFonts w:ascii="Times New Roman" w:hAnsi="Times New Roman" w:cs="Times New Roman"/>
          <w:sz w:val="22"/>
          <w:szCs w:val="22"/>
        </w:rPr>
        <w:t xml:space="preserve"> The authors thank the H.O.D. of the Department of Chemistry, Dr. Bhim Rao Ambedkar University, Agra, for their generous support and provision of facilities and the Women Post-Doctoral Fellowship (F.15-1/2016-17 PDFWM-2015-17) awarded by the University Grants Commission, New Delhi, Government of India, to one of the authors.</w:t>
      </w:r>
    </w:p>
    <w:p w14:paraId="30DB090E" w14:textId="77777777" w:rsidR="00FE5B28"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Authors’ Contributions:</w:t>
      </w:r>
      <w:r w:rsidRPr="00F9364E">
        <w:rPr>
          <w:rFonts w:ascii="Times New Roman" w:hAnsi="Times New Roman" w:cs="Times New Roman"/>
          <w:sz w:val="22"/>
          <w:szCs w:val="22"/>
        </w:rPr>
        <w:t xml:space="preserve"> Bhavana Yadav: Conceptualization, methodology, data curation, formal analysis, original manuscript draft. Madhu Anand: Methodology and manuscript review. Ajay Taneja: Conceptualization, manuscript review, and writing the conclusion. David Daneesh Massey: Data analysis, manuscript review and editing. Mahima Habil: Conceptualization, data analysis. All authors read and approved the final manuscript.</w:t>
      </w:r>
    </w:p>
    <w:p w14:paraId="43ECD585" w14:textId="2A2C835B" w:rsidR="00D84615" w:rsidRDefault="00D84615"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Funding:</w:t>
      </w:r>
      <w:r w:rsidRPr="00F9364E">
        <w:rPr>
          <w:rFonts w:ascii="Times New Roman" w:hAnsi="Times New Roman" w:cs="Times New Roman"/>
          <w:sz w:val="22"/>
          <w:szCs w:val="22"/>
        </w:rPr>
        <w:t xml:space="preserve"> </w:t>
      </w:r>
      <w:r w:rsidR="008158E0" w:rsidRPr="008158E0">
        <w:rPr>
          <w:rFonts w:ascii="Times New Roman" w:hAnsi="Times New Roman" w:cs="Times New Roman"/>
          <w:sz w:val="22"/>
          <w:szCs w:val="22"/>
        </w:rPr>
        <w:t>The authors declare that no funds, grants, or other support were received during the preparation of this manuscript</w:t>
      </w:r>
      <w:r w:rsidRPr="00F9364E">
        <w:rPr>
          <w:rFonts w:ascii="Times New Roman" w:hAnsi="Times New Roman" w:cs="Times New Roman"/>
          <w:sz w:val="22"/>
          <w:szCs w:val="22"/>
        </w:rPr>
        <w:t>.</w:t>
      </w:r>
    </w:p>
    <w:p w14:paraId="3B6DDFCB" w14:textId="77777777" w:rsidR="00092785" w:rsidRPr="00F9364E" w:rsidRDefault="00092785" w:rsidP="00092785">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Data Availability Statement:</w:t>
      </w:r>
      <w:r w:rsidRPr="00F9364E">
        <w:rPr>
          <w:rFonts w:ascii="Times New Roman" w:hAnsi="Times New Roman" w:cs="Times New Roman"/>
          <w:sz w:val="22"/>
          <w:szCs w:val="22"/>
        </w:rPr>
        <w:t xml:space="preserve"> Data is provided within the manuscript.</w:t>
      </w:r>
    </w:p>
    <w:p w14:paraId="5DF72CFC"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Ethical Approval:</w:t>
      </w:r>
      <w:r w:rsidRPr="00F9364E">
        <w:rPr>
          <w:rFonts w:ascii="Times New Roman" w:hAnsi="Times New Roman" w:cs="Times New Roman"/>
          <w:sz w:val="22"/>
          <w:szCs w:val="22"/>
        </w:rPr>
        <w:t xml:space="preserve"> For the participants enrolled in this study, their informed consent was obtained, and this study was approved by the Human Ethics Committee of S.N. Medical College, Agra.</w:t>
      </w:r>
    </w:p>
    <w:p w14:paraId="6E85A3A6"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Consent to Participate:</w:t>
      </w:r>
      <w:r w:rsidRPr="00F9364E">
        <w:rPr>
          <w:rFonts w:ascii="Times New Roman" w:hAnsi="Times New Roman" w:cs="Times New Roman"/>
          <w:sz w:val="22"/>
          <w:szCs w:val="22"/>
        </w:rPr>
        <w:t xml:space="preserve"> This is not applicable.</w:t>
      </w:r>
    </w:p>
    <w:p w14:paraId="17E40AEC" w14:textId="77777777" w:rsidR="00FE5B28"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lastRenderedPageBreak/>
        <w:t>Consent to Publish:</w:t>
      </w:r>
      <w:r w:rsidRPr="00F9364E">
        <w:rPr>
          <w:rFonts w:ascii="Times New Roman" w:hAnsi="Times New Roman" w:cs="Times New Roman"/>
          <w:sz w:val="22"/>
          <w:szCs w:val="22"/>
        </w:rPr>
        <w:t xml:space="preserve"> This is not applicable.</w:t>
      </w:r>
    </w:p>
    <w:p w14:paraId="0743072E" w14:textId="0726B525" w:rsidR="00CD0E4C" w:rsidRPr="00CD0E4C" w:rsidRDefault="00CD0E4C" w:rsidP="00FE5B28">
      <w:pPr>
        <w:spacing w:line="360" w:lineRule="auto"/>
        <w:jc w:val="both"/>
        <w:rPr>
          <w:rFonts w:ascii="Times New Roman" w:hAnsi="Times New Roman" w:cs="Times New Roman"/>
          <w:sz w:val="22"/>
          <w:szCs w:val="22"/>
        </w:rPr>
      </w:pPr>
      <w:r w:rsidRPr="00CD0E4C">
        <w:rPr>
          <w:rFonts w:ascii="Times New Roman" w:hAnsi="Times New Roman" w:cs="Times New Roman"/>
          <w:b/>
          <w:bCs/>
          <w:sz w:val="22"/>
          <w:szCs w:val="22"/>
        </w:rPr>
        <w:t xml:space="preserve">Clinical trial number: </w:t>
      </w:r>
      <w:r>
        <w:rPr>
          <w:rFonts w:ascii="Times New Roman" w:hAnsi="Times New Roman" w:cs="Times New Roman"/>
          <w:sz w:val="22"/>
          <w:szCs w:val="22"/>
        </w:rPr>
        <w:t>N</w:t>
      </w:r>
      <w:r w:rsidRPr="00CD0E4C">
        <w:rPr>
          <w:rFonts w:ascii="Times New Roman" w:hAnsi="Times New Roman" w:cs="Times New Roman"/>
          <w:sz w:val="22"/>
          <w:szCs w:val="22"/>
        </w:rPr>
        <w:t>ot applicable</w:t>
      </w:r>
      <w:r>
        <w:rPr>
          <w:rFonts w:ascii="Times New Roman" w:hAnsi="Times New Roman" w:cs="Times New Roman"/>
          <w:sz w:val="22"/>
          <w:szCs w:val="22"/>
        </w:rPr>
        <w:t>.</w:t>
      </w:r>
    </w:p>
    <w:p w14:paraId="2283BDB4"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Competing Interests:</w:t>
      </w:r>
      <w:r w:rsidRPr="00F9364E">
        <w:rPr>
          <w:rFonts w:ascii="Times New Roman" w:hAnsi="Times New Roman" w:cs="Times New Roman"/>
          <w:sz w:val="22"/>
          <w:szCs w:val="22"/>
        </w:rPr>
        <w:t xml:space="preserve"> The authors declare that they have no known competing interests that could have appeared to influence the work reported in this paper.</w:t>
      </w:r>
    </w:p>
    <w:p w14:paraId="371F7826" w14:textId="77777777" w:rsidR="00A65E82" w:rsidRPr="00F9364E" w:rsidRDefault="00A65E82" w:rsidP="00AC1D1E">
      <w:pPr>
        <w:spacing w:line="360" w:lineRule="auto"/>
        <w:jc w:val="both"/>
        <w:rPr>
          <w:rFonts w:ascii="Times New Roman" w:hAnsi="Times New Roman" w:cs="Times New Roman"/>
          <w:sz w:val="22"/>
          <w:szCs w:val="22"/>
        </w:rPr>
      </w:pPr>
    </w:p>
    <w:sectPr w:rsidR="00A65E82" w:rsidRPr="00F936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1D1E"/>
    <w:rsid w:val="00037013"/>
    <w:rsid w:val="00092785"/>
    <w:rsid w:val="000C2A1B"/>
    <w:rsid w:val="000E0428"/>
    <w:rsid w:val="00110B09"/>
    <w:rsid w:val="00153BD5"/>
    <w:rsid w:val="001B0D26"/>
    <w:rsid w:val="001C18D0"/>
    <w:rsid w:val="001E3900"/>
    <w:rsid w:val="001E5B90"/>
    <w:rsid w:val="00200B90"/>
    <w:rsid w:val="00214DB7"/>
    <w:rsid w:val="00222B33"/>
    <w:rsid w:val="002344DA"/>
    <w:rsid w:val="0025356F"/>
    <w:rsid w:val="00282B8A"/>
    <w:rsid w:val="00290C8B"/>
    <w:rsid w:val="002E4D72"/>
    <w:rsid w:val="002F0C32"/>
    <w:rsid w:val="003D7561"/>
    <w:rsid w:val="003F28F8"/>
    <w:rsid w:val="0042682E"/>
    <w:rsid w:val="004354F6"/>
    <w:rsid w:val="004520BC"/>
    <w:rsid w:val="004C6CC5"/>
    <w:rsid w:val="005232D5"/>
    <w:rsid w:val="00546A0E"/>
    <w:rsid w:val="0055313D"/>
    <w:rsid w:val="00577081"/>
    <w:rsid w:val="00591139"/>
    <w:rsid w:val="005925CE"/>
    <w:rsid w:val="005A2266"/>
    <w:rsid w:val="005A3202"/>
    <w:rsid w:val="006179A2"/>
    <w:rsid w:val="006A10AD"/>
    <w:rsid w:val="006A3C30"/>
    <w:rsid w:val="006C66EB"/>
    <w:rsid w:val="006D4236"/>
    <w:rsid w:val="006F34E1"/>
    <w:rsid w:val="007600CC"/>
    <w:rsid w:val="007801D0"/>
    <w:rsid w:val="007C314B"/>
    <w:rsid w:val="007D72CD"/>
    <w:rsid w:val="007F51FF"/>
    <w:rsid w:val="007F64A3"/>
    <w:rsid w:val="00800606"/>
    <w:rsid w:val="00804F05"/>
    <w:rsid w:val="008126DA"/>
    <w:rsid w:val="008158E0"/>
    <w:rsid w:val="008236AE"/>
    <w:rsid w:val="0084085C"/>
    <w:rsid w:val="0084487C"/>
    <w:rsid w:val="00844B1D"/>
    <w:rsid w:val="00882DEF"/>
    <w:rsid w:val="008A5AA4"/>
    <w:rsid w:val="008C056E"/>
    <w:rsid w:val="008E3CDD"/>
    <w:rsid w:val="00901223"/>
    <w:rsid w:val="00911B4C"/>
    <w:rsid w:val="00922D4E"/>
    <w:rsid w:val="00924600"/>
    <w:rsid w:val="00A15FCF"/>
    <w:rsid w:val="00A362D1"/>
    <w:rsid w:val="00A65E82"/>
    <w:rsid w:val="00A8300A"/>
    <w:rsid w:val="00AA48A3"/>
    <w:rsid w:val="00AC1D1E"/>
    <w:rsid w:val="00AF3337"/>
    <w:rsid w:val="00B44B08"/>
    <w:rsid w:val="00B45B18"/>
    <w:rsid w:val="00B852D8"/>
    <w:rsid w:val="00BC5B86"/>
    <w:rsid w:val="00BE2239"/>
    <w:rsid w:val="00C027FE"/>
    <w:rsid w:val="00C207E0"/>
    <w:rsid w:val="00CA3575"/>
    <w:rsid w:val="00CA3A15"/>
    <w:rsid w:val="00CC3041"/>
    <w:rsid w:val="00CC7A1C"/>
    <w:rsid w:val="00CD05B0"/>
    <w:rsid w:val="00CD0E4C"/>
    <w:rsid w:val="00CD3101"/>
    <w:rsid w:val="00CE2673"/>
    <w:rsid w:val="00CF04DF"/>
    <w:rsid w:val="00CF1081"/>
    <w:rsid w:val="00D2109C"/>
    <w:rsid w:val="00D63E64"/>
    <w:rsid w:val="00D84615"/>
    <w:rsid w:val="00DB1855"/>
    <w:rsid w:val="00DC1274"/>
    <w:rsid w:val="00E22DA6"/>
    <w:rsid w:val="00E25B9D"/>
    <w:rsid w:val="00E62CB6"/>
    <w:rsid w:val="00E63518"/>
    <w:rsid w:val="00EB4A85"/>
    <w:rsid w:val="00F05105"/>
    <w:rsid w:val="00F27844"/>
    <w:rsid w:val="00F642C9"/>
    <w:rsid w:val="00F9364E"/>
    <w:rsid w:val="00FD5B3E"/>
    <w:rsid w:val="00FE57E8"/>
    <w:rsid w:val="00FE5B2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9503"/>
  <w15:docId w15:val="{EF98270C-3F47-4EAF-BBE6-7CAD7BBF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D1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AC1D1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AC1D1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AC1D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1D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1D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D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D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D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D1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AC1D1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AC1D1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AC1D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1D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1D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D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D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D1E"/>
    <w:rPr>
      <w:rFonts w:eastAsiaTheme="majorEastAsia" w:cstheme="majorBidi"/>
      <w:color w:val="272727" w:themeColor="text1" w:themeTint="D8"/>
    </w:rPr>
  </w:style>
  <w:style w:type="paragraph" w:styleId="Title">
    <w:name w:val="Title"/>
    <w:basedOn w:val="Normal"/>
    <w:next w:val="Normal"/>
    <w:link w:val="TitleChar"/>
    <w:uiPriority w:val="10"/>
    <w:qFormat/>
    <w:rsid w:val="00AC1D1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C1D1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C1D1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C1D1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C1D1E"/>
    <w:pPr>
      <w:spacing w:before="160"/>
      <w:jc w:val="center"/>
    </w:pPr>
    <w:rPr>
      <w:i/>
      <w:iCs/>
      <w:color w:val="404040" w:themeColor="text1" w:themeTint="BF"/>
    </w:rPr>
  </w:style>
  <w:style w:type="character" w:customStyle="1" w:styleId="QuoteChar">
    <w:name w:val="Quote Char"/>
    <w:basedOn w:val="DefaultParagraphFont"/>
    <w:link w:val="Quote"/>
    <w:uiPriority w:val="29"/>
    <w:rsid w:val="00AC1D1E"/>
    <w:rPr>
      <w:i/>
      <w:iCs/>
      <w:color w:val="404040" w:themeColor="text1" w:themeTint="BF"/>
    </w:rPr>
  </w:style>
  <w:style w:type="paragraph" w:styleId="ListParagraph">
    <w:name w:val="List Paragraph"/>
    <w:basedOn w:val="Normal"/>
    <w:uiPriority w:val="34"/>
    <w:qFormat/>
    <w:rsid w:val="00AC1D1E"/>
    <w:pPr>
      <w:ind w:left="720"/>
      <w:contextualSpacing/>
    </w:pPr>
  </w:style>
  <w:style w:type="character" w:styleId="IntenseEmphasis">
    <w:name w:val="Intense Emphasis"/>
    <w:basedOn w:val="DefaultParagraphFont"/>
    <w:uiPriority w:val="21"/>
    <w:qFormat/>
    <w:rsid w:val="00AC1D1E"/>
    <w:rPr>
      <w:i/>
      <w:iCs/>
      <w:color w:val="2F5496" w:themeColor="accent1" w:themeShade="BF"/>
    </w:rPr>
  </w:style>
  <w:style w:type="paragraph" w:styleId="IntenseQuote">
    <w:name w:val="Intense Quote"/>
    <w:basedOn w:val="Normal"/>
    <w:next w:val="Normal"/>
    <w:link w:val="IntenseQuoteChar"/>
    <w:uiPriority w:val="30"/>
    <w:qFormat/>
    <w:rsid w:val="00AC1D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1D1E"/>
    <w:rPr>
      <w:i/>
      <w:iCs/>
      <w:color w:val="2F5496" w:themeColor="accent1" w:themeShade="BF"/>
    </w:rPr>
  </w:style>
  <w:style w:type="character" w:styleId="IntenseReference">
    <w:name w:val="Intense Reference"/>
    <w:basedOn w:val="DefaultParagraphFont"/>
    <w:uiPriority w:val="32"/>
    <w:qFormat/>
    <w:rsid w:val="00AC1D1E"/>
    <w:rPr>
      <w:b/>
      <w:bCs/>
      <w:smallCaps/>
      <w:color w:val="2F5496" w:themeColor="accent1" w:themeShade="BF"/>
      <w:spacing w:val="5"/>
    </w:rPr>
  </w:style>
  <w:style w:type="character" w:styleId="Hyperlink">
    <w:name w:val="Hyperlink"/>
    <w:basedOn w:val="DefaultParagraphFont"/>
    <w:uiPriority w:val="99"/>
    <w:unhideWhenUsed/>
    <w:rsid w:val="00AC1D1E"/>
    <w:rPr>
      <w:color w:val="0563C1" w:themeColor="hyperlink"/>
      <w:u w:val="single"/>
    </w:rPr>
  </w:style>
  <w:style w:type="character" w:customStyle="1" w:styleId="UnresolvedMention1">
    <w:name w:val="Unresolved Mention1"/>
    <w:basedOn w:val="DefaultParagraphFont"/>
    <w:uiPriority w:val="99"/>
    <w:semiHidden/>
    <w:unhideWhenUsed/>
    <w:rsid w:val="00AC1D1E"/>
    <w:rPr>
      <w:color w:val="605E5C"/>
      <w:shd w:val="clear" w:color="auto" w:fill="E1DFDD"/>
    </w:rPr>
  </w:style>
  <w:style w:type="character" w:styleId="UnresolvedMention">
    <w:name w:val="Unresolved Mention"/>
    <w:basedOn w:val="DefaultParagraphFont"/>
    <w:uiPriority w:val="99"/>
    <w:semiHidden/>
    <w:unhideWhenUsed/>
    <w:rsid w:val="00452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ebm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2827</TotalTime>
  <Pages>14</Pages>
  <Words>5468</Words>
  <Characters>31172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Massey</dc:creator>
  <cp:lastModifiedBy>David Massey</cp:lastModifiedBy>
  <cp:revision>76</cp:revision>
  <dcterms:created xsi:type="dcterms:W3CDTF">2025-08-14T07:58:00Z</dcterms:created>
  <dcterms:modified xsi:type="dcterms:W3CDTF">2025-11-02T08:34:00Z</dcterms:modified>
</cp:coreProperties>
</file>