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D647F" w14:textId="77777777" w:rsidR="00374C4A" w:rsidRPr="00374C4A" w:rsidRDefault="00374C4A" w:rsidP="00374C4A">
      <w:pPr>
        <w:spacing w:line="259" w:lineRule="auto"/>
        <w:rPr>
          <w:i/>
          <w:iCs/>
        </w:rPr>
      </w:pPr>
      <w:r w:rsidRPr="00374C4A">
        <w:rPr>
          <w:i/>
          <w:iCs/>
          <w:sz w:val="48"/>
        </w:rPr>
        <w:t>Automated Fake Image/Video Detection in Social</w:t>
      </w:r>
    </w:p>
    <w:p w14:paraId="0C45468A" w14:textId="77777777" w:rsidR="00374C4A" w:rsidRPr="00374C4A" w:rsidRDefault="00374C4A" w:rsidP="00374C4A">
      <w:pPr>
        <w:spacing w:line="259" w:lineRule="auto"/>
        <w:rPr>
          <w:i/>
          <w:iCs/>
        </w:rPr>
      </w:pPr>
      <w:r w:rsidRPr="00374C4A">
        <w:rPr>
          <w:i/>
          <w:iCs/>
          <w:sz w:val="48"/>
        </w:rPr>
        <w:t>Media</w:t>
      </w:r>
    </w:p>
    <w:p w14:paraId="6D735D00" w14:textId="52FAF136" w:rsidR="00D7522C" w:rsidRPr="00CA4392" w:rsidRDefault="00D7522C" w:rsidP="00CA4392">
      <w:pPr>
        <w:pStyle w:val="Author"/>
        <w:spacing w:before="100" w:beforeAutospacing="1" w:after="100" w:afterAutospacing="1" w:line="120" w:lineRule="auto"/>
        <w:rPr>
          <w:sz w:val="16"/>
          <w:szCs w:val="16"/>
        </w:rPr>
        <w:sectPr w:rsidR="00D7522C" w:rsidRPr="00CA4392" w:rsidSect="001A3B3D">
          <w:footerReference w:type="first" r:id="rId8"/>
          <w:pgSz w:w="12240" w:h="15840" w:code="1"/>
          <w:pgMar w:top="1080" w:right="893" w:bottom="1440" w:left="893" w:header="720" w:footer="720" w:gutter="0"/>
          <w:cols w:space="720"/>
          <w:titlePg/>
          <w:docGrid w:linePitch="360"/>
        </w:sectPr>
      </w:pPr>
    </w:p>
    <w:p w14:paraId="7DC3BD49" w14:textId="621A5813" w:rsidR="00374C4A" w:rsidRPr="00F847A6" w:rsidRDefault="00374C4A" w:rsidP="00374C4A">
      <w:pPr>
        <w:pStyle w:val="Author"/>
        <w:spacing w:before="100" w:beforeAutospacing="1"/>
        <w:rPr>
          <w:sz w:val="18"/>
          <w:szCs w:val="18"/>
        </w:rPr>
      </w:pPr>
      <w:r>
        <w:rPr>
          <w:sz w:val="18"/>
          <w:szCs w:val="18"/>
        </w:rPr>
        <w:t>Sneha Varghese</w:t>
      </w:r>
      <w:r w:rsidR="009303D9" w:rsidRPr="00F847A6">
        <w:rPr>
          <w:sz w:val="18"/>
          <w:szCs w:val="18"/>
        </w:rPr>
        <w:t xml:space="preserve"> </w:t>
      </w:r>
      <w:r w:rsidR="001A3B3D" w:rsidRPr="00F847A6">
        <w:rPr>
          <w:sz w:val="18"/>
          <w:szCs w:val="18"/>
        </w:rPr>
        <w:br/>
      </w:r>
      <w:r>
        <w:rPr>
          <w:sz w:val="18"/>
          <w:szCs w:val="18"/>
        </w:rPr>
        <w:t>Affiliation: Christ (Deemed to be University)</w:t>
      </w:r>
      <w:r w:rsidR="00D72D06" w:rsidRPr="00F847A6">
        <w:rPr>
          <w:sz w:val="18"/>
          <w:szCs w:val="18"/>
        </w:rPr>
        <w:br/>
      </w:r>
      <w:r w:rsidRPr="00374C4A">
        <w:rPr>
          <w:sz w:val="18"/>
          <w:szCs w:val="18"/>
        </w:rPr>
        <w:t>Bangalore, Karnataka</w:t>
      </w:r>
      <w:r w:rsidR="006347CF">
        <w:rPr>
          <w:sz w:val="18"/>
          <w:szCs w:val="18"/>
        </w:rPr>
        <w:br/>
      </w:r>
      <w:r w:rsidR="006347CF">
        <w:rPr>
          <w:sz w:val="18"/>
          <w:szCs w:val="18"/>
        </w:rPr>
        <w:br/>
      </w:r>
    </w:p>
    <w:p w14:paraId="1C0700B3" w14:textId="318E82EE" w:rsidR="00CA4392" w:rsidRDefault="00CA4392" w:rsidP="00374C4A">
      <w:pPr>
        <w:pStyle w:val="Author"/>
        <w:spacing w:before="100" w:beforeAutospacing="1"/>
        <w:contextualSpacing/>
        <w:rPr>
          <w:sz w:val="18"/>
          <w:szCs w:val="18"/>
        </w:rPr>
      </w:pPr>
      <w:r w:rsidRPr="00F847A6">
        <w:rPr>
          <w:sz w:val="18"/>
          <w:szCs w:val="18"/>
        </w:rPr>
        <w:br/>
      </w:r>
    </w:p>
    <w:p w14:paraId="53B284A1" w14:textId="77777777" w:rsidR="00CA4392" w:rsidRDefault="00CA4392" w:rsidP="00CA4392">
      <w:pPr>
        <w:pStyle w:val="Author"/>
        <w:spacing w:before="100" w:beforeAutospacing="1"/>
        <w:contextualSpacing/>
        <w:rPr>
          <w:sz w:val="18"/>
          <w:szCs w:val="18"/>
        </w:rPr>
      </w:pPr>
    </w:p>
    <w:p w14:paraId="0296F7C6" w14:textId="77777777" w:rsidR="00CA4392" w:rsidRDefault="00CA4392" w:rsidP="00CA4392">
      <w:pPr>
        <w:pStyle w:val="Author"/>
        <w:spacing w:before="100" w:beforeAutospacing="1"/>
        <w:contextualSpacing/>
        <w:rPr>
          <w:sz w:val="18"/>
          <w:szCs w:val="18"/>
        </w:rPr>
      </w:pPr>
    </w:p>
    <w:p w14:paraId="74AC0DE4" w14:textId="77777777" w:rsidR="00CA4392" w:rsidRDefault="00CA4392" w:rsidP="00CA4392">
      <w:pPr>
        <w:pStyle w:val="Author"/>
        <w:spacing w:before="100" w:beforeAutospacing="1"/>
        <w:contextualSpacing/>
        <w:rPr>
          <w:sz w:val="18"/>
          <w:szCs w:val="18"/>
        </w:rPr>
      </w:pPr>
    </w:p>
    <w:p w14:paraId="079DCF0E" w14:textId="77777777" w:rsidR="00CA4392" w:rsidRDefault="00CA4392" w:rsidP="00CA4392">
      <w:pPr>
        <w:pStyle w:val="Author"/>
        <w:spacing w:before="100" w:beforeAutospacing="1"/>
        <w:contextualSpacing/>
        <w:rPr>
          <w:sz w:val="18"/>
          <w:szCs w:val="18"/>
        </w:rPr>
      </w:pPr>
    </w:p>
    <w:p w14:paraId="4C1D13CB" w14:textId="77777777" w:rsidR="00CA4392" w:rsidRDefault="00CA4392" w:rsidP="00CA4392">
      <w:pPr>
        <w:pStyle w:val="Author"/>
        <w:spacing w:before="100" w:beforeAutospacing="1"/>
        <w:contextualSpacing/>
        <w:rPr>
          <w:sz w:val="18"/>
          <w:szCs w:val="18"/>
        </w:rPr>
      </w:pPr>
    </w:p>
    <w:p w14:paraId="128D2612" w14:textId="77777777" w:rsidR="00CA4392" w:rsidRPr="00F847A6" w:rsidRDefault="00CA4392" w:rsidP="00CA4392">
      <w:pPr>
        <w:pStyle w:val="Author"/>
        <w:spacing w:before="100" w:beforeAutospacing="1"/>
        <w:rPr>
          <w:sz w:val="16"/>
          <w:szCs w:val="16"/>
        </w:rPr>
        <w:sectPr w:rsidR="00CA4392" w:rsidRPr="00F847A6" w:rsidSect="00F847A6">
          <w:type w:val="continuous"/>
          <w:pgSz w:w="12240" w:h="15840" w:code="1"/>
          <w:pgMar w:top="1080" w:right="893" w:bottom="1440" w:left="893" w:header="720" w:footer="720" w:gutter="0"/>
          <w:cols w:num="4" w:space="216"/>
          <w:docGrid w:linePitch="360"/>
        </w:sectPr>
      </w:pPr>
    </w:p>
    <w:p w14:paraId="4BFA336A" w14:textId="77777777" w:rsidR="006347CF" w:rsidRDefault="006347CF" w:rsidP="00CA4392">
      <w:pPr>
        <w:pStyle w:val="Author"/>
        <w:spacing w:before="100" w:beforeAutospacing="1"/>
        <w:jc w:val="both"/>
        <w:rPr>
          <w:sz w:val="16"/>
          <w:szCs w:val="16"/>
        </w:rPr>
      </w:pPr>
    </w:p>
    <w:p w14:paraId="58935029" w14:textId="77777777" w:rsidR="006347CF" w:rsidRPr="00F847A6" w:rsidRDefault="006347CF" w:rsidP="00CA4392">
      <w:pPr>
        <w:pStyle w:val="Author"/>
        <w:spacing w:before="100" w:beforeAutospacing="1"/>
        <w:jc w:val="both"/>
        <w:rPr>
          <w:sz w:val="16"/>
          <w:szCs w:val="16"/>
        </w:rPr>
        <w:sectPr w:rsidR="006347CF" w:rsidRPr="00F847A6" w:rsidSect="00F847A6">
          <w:type w:val="continuous"/>
          <w:pgSz w:w="12240" w:h="15840" w:code="1"/>
          <w:pgMar w:top="1080" w:right="893" w:bottom="1440" w:left="893" w:header="720" w:footer="720" w:gutter="0"/>
          <w:cols w:num="4" w:space="216"/>
          <w:docGrid w:linePitch="360"/>
        </w:sectPr>
      </w:pPr>
    </w:p>
    <w:p w14:paraId="267708E4" w14:textId="151D43CC" w:rsidR="004D72B5" w:rsidRDefault="009303D9" w:rsidP="00176096">
      <w:pPr>
        <w:pStyle w:val="Abstract"/>
        <w:ind w:right="71"/>
        <w:rPr>
          <w:i/>
          <w:iCs/>
        </w:rPr>
      </w:pPr>
      <w:r>
        <w:rPr>
          <w:i/>
          <w:iCs/>
        </w:rPr>
        <w:t>Abstract</w:t>
      </w:r>
      <w:r>
        <w:t>—</w:t>
      </w:r>
      <w:r w:rsidR="00176096" w:rsidRPr="00176096">
        <w:rPr>
          <w:iCs/>
        </w:rPr>
        <w:t xml:space="preserve">The rapid advancement of deep learning, particularly Generative Adversarial Networks (GANs), has led to the proliferation of highly realistic synthetic media, commonly known as "Deepfakes." This phenomenon poses significant threats to public trust, digital integrity, and national security. This comprehensive literature review synthesizes the contributions of twelve recent research papers, critically analyzing the evolution of Deepfake detection methodologies with a specific focus on model-based research, detailed statistical performance, and the practical challenges of real-world deployment. The review categorizes detection approaches into three primary themes: Artifact-Based </w:t>
      </w:r>
      <w:proofErr w:type="spellStart"/>
      <w:proofErr w:type="gramStart"/>
      <w:r w:rsidR="00176096" w:rsidRPr="00176096">
        <w:rPr>
          <w:iCs/>
        </w:rPr>
        <w:t>Models,Spatio</w:t>
      </w:r>
      <w:proofErr w:type="spellEnd"/>
      <w:proofErr w:type="gramEnd"/>
      <w:r w:rsidR="00176096" w:rsidRPr="00176096">
        <w:rPr>
          <w:iCs/>
        </w:rPr>
        <w:t>-Temporal Frameworks, and Semantic/Physiological Detection. A detailed comparative analysis of the underlying model architectures, data collection methodologies, and reported statistical functions (Accuracy, AUC, Generalization) is provided, highlighting the strengths and weaknesses of each approach. Furthermore, a dedicated section explores the critical issues of adversarial attacks, compression robustness, and the cross-dataset generalization gap. The synthesis concludes that the field is shifting from artifact-specific, shallow models to robust, generalized frameworks that exploit fundamental temporal and physiological inconsistencies, supported by increasingly large and challenging datasets, though significant hurdles remain in achieving reliable, real-time, in-the-wild performance.</w:t>
      </w:r>
    </w:p>
    <w:p w14:paraId="0A0F6F39" w14:textId="3E364E33" w:rsidR="00176096" w:rsidRPr="00176096" w:rsidRDefault="004D72B5" w:rsidP="00176096">
      <w:pPr>
        <w:pStyle w:val="Keywords"/>
        <w:rPr>
          <w:lang w:val="en-IN"/>
        </w:rPr>
      </w:pPr>
      <w:r w:rsidRPr="004D72B5">
        <w:t>Keywords—</w:t>
      </w:r>
      <w:r w:rsidR="00176096" w:rsidRPr="00176096">
        <w:rPr>
          <w:lang w:val="en-IN"/>
        </w:rPr>
        <w:t>Deepfake detection, forensic analysis, convolutional neural networks, temporal coherence, biological signals, machine learning, deep learning, statistical performance, adversarial attacks, generalization gap.</w:t>
      </w:r>
    </w:p>
    <w:p w14:paraId="7FFFA702" w14:textId="00AF4F27" w:rsidR="009303D9" w:rsidRPr="00D632BE" w:rsidRDefault="009303D9" w:rsidP="00176096">
      <w:pPr>
        <w:pStyle w:val="Keywords"/>
      </w:pPr>
      <w:r w:rsidRPr="00D632BE">
        <w:t xml:space="preserve">Introduction </w:t>
      </w:r>
    </w:p>
    <w:p w14:paraId="7BA26407" w14:textId="72D88ACE" w:rsidR="00176096" w:rsidRPr="00176096" w:rsidRDefault="00176096" w:rsidP="00176096">
      <w:pPr>
        <w:pStyle w:val="BodyText"/>
        <w:rPr>
          <w:lang w:val="en-IN"/>
        </w:rPr>
      </w:pPr>
      <w:r w:rsidRPr="00176096">
        <w:rPr>
          <w:lang w:val="en-IN"/>
        </w:rPr>
        <w:t>The integrity of digital media has been fundamentally challenged by the emergence of Deepfake technology. The ease of access to sophisticated generative models has democratized the creation of hyper-realistic manipulated images and videos [7]. These synthetic media blur the line between reality and fabrication, creating an urgent need for robust and generalizable detection mechanisms [1]. The research community has responded with a diverse array of methodologies, ranging from forensic analysis of low-level artifacts to the exploitation of high-level physiological inconsistencies.</w:t>
      </w:r>
    </w:p>
    <w:p w14:paraId="1FE459C7" w14:textId="77777777" w:rsidR="00176096" w:rsidRPr="00176096" w:rsidRDefault="00176096" w:rsidP="00176096">
      <w:pPr>
        <w:pStyle w:val="BodyText"/>
        <w:rPr>
          <w:lang w:val="en-IN"/>
        </w:rPr>
      </w:pPr>
    </w:p>
    <w:p w14:paraId="1654FD3D" w14:textId="77777777" w:rsidR="00176096" w:rsidRPr="00176096" w:rsidRDefault="00176096" w:rsidP="00176096">
      <w:pPr>
        <w:pStyle w:val="BodyText"/>
        <w:rPr>
          <w:lang w:val="en-IN"/>
        </w:rPr>
      </w:pPr>
      <w:r w:rsidRPr="00176096">
        <w:rPr>
          <w:lang w:val="en-IN"/>
        </w:rPr>
        <w:t>This review provides a structured analysis of twelve key papers in the field of Deepfake detection, focusing on the core challenge of distinguishing between authentic and artificially generated content. The analysis is structured to critically evaluate the underlying model architectures, the data collection methodologies, and the statistical functions employed, providing a cohesive understanding of the current state-of-the-</w:t>
      </w:r>
      <w:r w:rsidRPr="00176096">
        <w:rPr>
          <w:lang w:val="en-IN"/>
        </w:rPr>
        <w:t>art and the trajectory of future research in combating digital misinformation. The expansion of this review to 14 pages allows for an unprecedented depth of critical analysis, particularly concerning the model-based research and the practical challenges of real-world deployment, which are often overlooked in shorter reviews.</w:t>
      </w:r>
    </w:p>
    <w:p w14:paraId="2D9C5C88" w14:textId="307D30D4" w:rsidR="0028402D" w:rsidRDefault="0028402D" w:rsidP="0028402D">
      <w:pPr>
        <w:pStyle w:val="BodyText"/>
        <w:ind w:firstLine="0"/>
      </w:pPr>
      <w:r w:rsidRPr="00D219F1">
        <w:t>Digital media forensics is currently characterized by an asymmetric "detection arms race": while, on the one hand, accessible deep learning frameworks and cheap computation allow for the fast democratization of creating synthetic media ("deepfakes"), this sets up the possibility for large-scale forging for various purposes-political manipulation, disinformation campaigns, or even identity fraud.</w:t>
      </w:r>
      <w:r>
        <w:t xml:space="preserve"> </w:t>
      </w:r>
      <w:r w:rsidRPr="00E51CD1">
        <w:t xml:space="preserve">On the other hand, the </w:t>
      </w:r>
      <w:proofErr w:type="spellStart"/>
      <w:r w:rsidRPr="00E51CD1">
        <w:t>defense</w:t>
      </w:r>
      <w:proofErr w:type="spellEnd"/>
      <w:r w:rsidRPr="00E51CD1">
        <w:t xml:space="preserve"> against this threat-automated detection-remains computationally expensive and methodologically brittle. The core threat vector is not the mere existence of fake media, but its high-velocity large-scale dissemination through social media networks. Social media platforms serve as threat multipliers, fundamentally undermining public trust in all digital content. This review </w:t>
      </w:r>
      <w:proofErr w:type="spellStart"/>
      <w:r w:rsidRPr="00E51CD1">
        <w:t>centers</w:t>
      </w:r>
      <w:proofErr w:type="spellEnd"/>
      <w:r w:rsidRPr="00E51CD1">
        <w:t xml:space="preserve"> around a central technical challenge that defines this nexus.</w:t>
      </w:r>
    </w:p>
    <w:p w14:paraId="6EB63E01" w14:textId="45CEE8AB" w:rsidR="0028402D" w:rsidRDefault="0028402D" w:rsidP="0028402D">
      <w:pPr>
        <w:pStyle w:val="BodyText"/>
        <w:ind w:firstLine="0"/>
      </w:pPr>
      <w:r>
        <w:t xml:space="preserve">Digital media forensics is currently in an asymmetric "detection arms race." Pitted against an ever-accelerating democratization of creating synthetic media-hence "deepfakes"-the availability of open deep learning frameworks provides the ability for cheap computation. This allows for the large-scale production of forgeries for a variety of motives such as political manipulation, disinformation campaigns, and identity fraud. The fight against this problem, particularly with automated detection systems, is costly and often fragile. The real danger lies in how quickly and widely fake media spreads through social media platforms, not just in the fact that it exists. These networks amplify the issue, seriously damaging public trust in all digital content at its core. One of the main issues we’re exploring in this review is the significant challenge posed by detection models failing to perform well in real-world situations. A lot of these models may show impressive accuracy when tested in controlled settings, but once they are put into practice, their performance often drops dramatically. This isn’t just a random fluke—it's part of a deeper problem caused by what we call "real-world deformations."  </w:t>
      </w:r>
    </w:p>
    <w:p w14:paraId="3EF35B8D" w14:textId="23A5F38D" w:rsidR="009303D9" w:rsidRPr="006B6B66" w:rsidRDefault="0028402D" w:rsidP="0028402D">
      <w:pPr>
        <w:pStyle w:val="BodyText"/>
        <w:ind w:firstLine="0"/>
      </w:pPr>
      <w:r>
        <w:t>Take social media platforms, for example. They aren’t just passive arenas where videos are shared; they actively alter content through heavy video compression, add background noise, and resize things to give users a better experience. All of these factors can seriously impact how well detection models work in the wild. Compression is the direct cause of the performance gap in effectively destroying the very high-</w:t>
      </w:r>
      <w:r>
        <w:lastRenderedPageBreak/>
        <w:t xml:space="preserve">frequency artifacts, geometric distortions and subtle biological signals that many foundational detectors are trained to find. This failure is empirically validated in the extremely poor performance of established models when benchmarked against datasets like DeeperForensics1.0, which was designed specifically to include these deformations. </w:t>
      </w:r>
      <w:r>
        <w:t xml:space="preserve"> </w:t>
      </w:r>
    </w:p>
    <w:p w14:paraId="3339C2FA" w14:textId="77777777" w:rsidR="000B5AEB" w:rsidRPr="000B5AEB" w:rsidRDefault="000B5AEB" w:rsidP="000B5AEB">
      <w:pPr>
        <w:pStyle w:val="BodyText"/>
        <w:rPr>
          <w:smallCaps/>
          <w:noProof/>
          <w:lang w:val="en-IN"/>
        </w:rPr>
      </w:pPr>
      <w:r w:rsidRPr="000B5AEB">
        <w:rPr>
          <w:smallCaps/>
          <w:noProof/>
          <w:lang w:val="en-IN"/>
        </w:rPr>
        <w:t>II. Model-Based Research and Methodological Nuances</w:t>
      </w:r>
    </w:p>
    <w:p w14:paraId="1B4A4D42" w14:textId="7B3A7F21" w:rsidR="000B5AEB" w:rsidRPr="000B5AEB" w:rsidRDefault="000B5AEB" w:rsidP="000B5AEB">
      <w:pPr>
        <w:pStyle w:val="BodyText"/>
        <w:rPr>
          <w:lang w:val="en-IN"/>
        </w:rPr>
      </w:pPr>
      <w:r w:rsidRPr="000B5AEB">
        <w:rPr>
          <w:lang w:val="en-IN"/>
        </w:rPr>
        <w:t>Deepfake detection strategies are fundamentally defined by the deep learning architectures employed to capture subtle forensic traces. These models can be broadly classified based on the type of inconsistency they seek to exploit, reflecting an ongoing arms race between generative and forensic models.</w:t>
      </w:r>
    </w:p>
    <w:p w14:paraId="2D27694B" w14:textId="490CCD89" w:rsidR="009303D9" w:rsidRPr="000B5AEB" w:rsidRDefault="000B5AEB" w:rsidP="000B5AEB">
      <w:pPr>
        <w:pStyle w:val="Heading2"/>
        <w:numPr>
          <w:ilvl w:val="0"/>
          <w:numId w:val="0"/>
        </w:numPr>
        <w:ind w:left="288" w:hanging="288"/>
        <w:rPr>
          <w:lang w:val="en-IN"/>
        </w:rPr>
      </w:pPr>
      <w:r w:rsidRPr="000B5AEB">
        <w:rPr>
          <w:lang w:val="en-IN"/>
        </w:rPr>
        <w:t>A. Artifact-Based Models: Efficiency and Spatial Inconsistencies</w:t>
      </w:r>
    </w:p>
    <w:p w14:paraId="0782901A" w14:textId="31FD5D28" w:rsidR="000B5AEB" w:rsidRPr="000B5AEB" w:rsidRDefault="000B5AEB" w:rsidP="000B5AEB">
      <w:pPr>
        <w:pStyle w:val="BodyText"/>
        <w:ind w:firstLine="0"/>
        <w:rPr>
          <w:lang w:val="en-IN"/>
        </w:rPr>
      </w:pPr>
      <w:r w:rsidRPr="000B5AEB">
        <w:rPr>
          <w:lang w:val="en-IN"/>
        </w:rPr>
        <w:t>Early and foundational Deepfake detection methods focus on the subtle, often spatial, inconsistencies introduced during the generation and blending process. These artifacts arise because generative models often operate at a fixed, limited resolution, requiring subsequent warping and blending to fit the target video [8].</w:t>
      </w:r>
    </w:p>
    <w:p w14:paraId="216C5978" w14:textId="3FF5AF2F" w:rsidR="000B5AEB" w:rsidRPr="000B5AEB" w:rsidRDefault="000B5AEB" w:rsidP="000B5AEB">
      <w:pPr>
        <w:pStyle w:val="BodyText"/>
        <w:rPr>
          <w:lang w:val="en-IN"/>
        </w:rPr>
      </w:pPr>
      <w:r w:rsidRPr="000B5AEB">
        <w:rPr>
          <w:lang w:val="en-IN"/>
        </w:rPr>
        <w:t xml:space="preserve">1. </w:t>
      </w:r>
      <w:proofErr w:type="spellStart"/>
      <w:r w:rsidRPr="000B5AEB">
        <w:rPr>
          <w:lang w:val="en-IN"/>
        </w:rPr>
        <w:t>MesoNet</w:t>
      </w:r>
      <w:proofErr w:type="spellEnd"/>
      <w:r w:rsidRPr="000B5AEB">
        <w:rPr>
          <w:lang w:val="en-IN"/>
        </w:rPr>
        <w:t xml:space="preserve"> (</w:t>
      </w:r>
      <w:proofErr w:type="spellStart"/>
      <w:r w:rsidRPr="000B5AEB">
        <w:rPr>
          <w:lang w:val="en-IN"/>
        </w:rPr>
        <w:t>Afchar</w:t>
      </w:r>
      <w:proofErr w:type="spellEnd"/>
      <w:r w:rsidRPr="000B5AEB">
        <w:rPr>
          <w:lang w:val="en-IN"/>
        </w:rPr>
        <w:t xml:space="preserve"> et al. [9]): This pioneering work introduced two compact CNNs, Meso-4 and MesoInception-4, designed to operate at a "mesoscopic level" to capture mid-level features robust against video compression. The architecture is intentionally shallow, with Meso-4 consisting of only four convolutional layers, resulting in a very low parameter count (approx. 28k). This compactness is a significant strength, enabling fast, practical deployment. </w:t>
      </w:r>
      <w:proofErr w:type="spellStart"/>
      <w:r w:rsidRPr="000B5AEB">
        <w:rPr>
          <w:lang w:val="en-IN"/>
        </w:rPr>
        <w:t>MesoNet</w:t>
      </w:r>
      <w:proofErr w:type="spellEnd"/>
      <w:r w:rsidRPr="000B5AEB">
        <w:rPr>
          <w:lang w:val="en-IN"/>
        </w:rPr>
        <w:t xml:space="preserve"> achieved a high Detection Rate of over 98% on its custom Deepfake dataset [9]. However, its reliance on a small, custom-collected dataset and its focus on artifacts characteristic of early Deepfake methods limit its generalizability to newer, higher-fidelity forgeries. The use of Inception modules in MesoInception-4 was an early attempt to introduce multi-scale feature extraction, a concept that has since become standard in more complex architectures.</w:t>
      </w:r>
    </w:p>
    <w:p w14:paraId="2900F52A" w14:textId="4F4E8480" w:rsidR="000B5AEB" w:rsidRPr="000B5AEB" w:rsidRDefault="000B5AEB" w:rsidP="000B5AEB">
      <w:pPr>
        <w:pStyle w:val="BodyText"/>
        <w:rPr>
          <w:lang w:val="en-IN"/>
        </w:rPr>
      </w:pPr>
      <w:r w:rsidRPr="000B5AEB">
        <w:rPr>
          <w:lang w:val="en-IN"/>
        </w:rPr>
        <w:t xml:space="preserve">2. Warping Artifact Detection (Li &amp; Lyu [8]): This approach leverages established CNN backbones, VGG16 and </w:t>
      </w:r>
      <w:proofErr w:type="spellStart"/>
      <w:r w:rsidRPr="000B5AEB">
        <w:rPr>
          <w:lang w:val="en-IN"/>
        </w:rPr>
        <w:t>ResNet</w:t>
      </w:r>
      <w:proofErr w:type="spellEnd"/>
      <w:r w:rsidRPr="000B5AEB">
        <w:rPr>
          <w:lang w:val="en-IN"/>
        </w:rPr>
        <w:t>, trained on simulated negative examples. The core methodological strength is the creation of a synthetic negative class by applying Gaussian blurring and affine warping to real faces. This technique efficiently trains the model to recognize the specific artifacts left by the face-swapping process, achieving an impressive 99.8% AUC on the UADFV dataset [8]. The weakness lies in the simulation itself, as these simulated artifacts may not perfectly represent the more complex blending techniques used by modern GANs. The high reported AUC is a testament to the model's ability to detect the specific, simulated artifact, but it raises questions about its zero-shot performance on unseen Deepfake generation methods.</w:t>
      </w:r>
    </w:p>
    <w:p w14:paraId="24CA2161" w14:textId="77777777" w:rsidR="000B5AEB" w:rsidRPr="000B5AEB" w:rsidRDefault="000B5AEB" w:rsidP="000B5AEB">
      <w:pPr>
        <w:pStyle w:val="BodyText"/>
        <w:rPr>
          <w:lang w:val="en-IN"/>
        </w:rPr>
      </w:pPr>
      <w:r w:rsidRPr="000B5AEB">
        <w:rPr>
          <w:lang w:val="en-IN"/>
        </w:rPr>
        <w:t xml:space="preserve">3. Transfer Learning Models (Mishra et al. [2], </w:t>
      </w:r>
      <w:proofErr w:type="spellStart"/>
      <w:r w:rsidRPr="000B5AEB">
        <w:rPr>
          <w:lang w:val="en-IN"/>
        </w:rPr>
        <w:t>AlShariah</w:t>
      </w:r>
      <w:proofErr w:type="spellEnd"/>
      <w:r w:rsidRPr="000B5AEB">
        <w:rPr>
          <w:lang w:val="en-IN"/>
        </w:rPr>
        <w:t xml:space="preserve"> &amp; </w:t>
      </w:r>
      <w:proofErr w:type="spellStart"/>
      <w:r w:rsidRPr="000B5AEB">
        <w:rPr>
          <w:lang w:val="en-IN"/>
        </w:rPr>
        <w:t>Saudagar</w:t>
      </w:r>
      <w:proofErr w:type="spellEnd"/>
      <w:r w:rsidRPr="000B5AEB">
        <w:rPr>
          <w:lang w:val="en-IN"/>
        </w:rPr>
        <w:t xml:space="preserve"> [3]): These models leverage the feature extraction power of pre-trained, large-scale models. Mishra et al. (2025) utilized </w:t>
      </w:r>
      <w:proofErr w:type="spellStart"/>
      <w:r w:rsidRPr="000B5AEB">
        <w:rPr>
          <w:lang w:val="en-IN"/>
        </w:rPr>
        <w:t>XceptionNet</w:t>
      </w:r>
      <w:proofErr w:type="spellEnd"/>
      <w:r w:rsidRPr="000B5AEB">
        <w:rPr>
          <w:lang w:val="en-IN"/>
        </w:rPr>
        <w:t xml:space="preserve"> for its strong performance, achieving 93.8% accuracy on a mixed dataset [2]. </w:t>
      </w:r>
      <w:proofErr w:type="spellStart"/>
      <w:r w:rsidRPr="000B5AEB">
        <w:rPr>
          <w:lang w:val="en-IN"/>
        </w:rPr>
        <w:t>XceptionNet</w:t>
      </w:r>
      <w:proofErr w:type="spellEnd"/>
      <w:r w:rsidRPr="000B5AEB">
        <w:rPr>
          <w:lang w:val="en-IN"/>
        </w:rPr>
        <w:t xml:space="preserve">, known for its </w:t>
      </w:r>
      <w:proofErr w:type="spellStart"/>
      <w:r w:rsidRPr="000B5AEB">
        <w:rPr>
          <w:lang w:val="en-IN"/>
        </w:rPr>
        <w:t>depthwise</w:t>
      </w:r>
      <w:proofErr w:type="spellEnd"/>
      <w:r w:rsidRPr="000B5AEB">
        <w:rPr>
          <w:lang w:val="en-IN"/>
        </w:rPr>
        <w:t xml:space="preserve"> separable convolutions, is highly efficient and effective at learning fine-grained spatial details. </w:t>
      </w:r>
      <w:proofErr w:type="spellStart"/>
      <w:r w:rsidRPr="000B5AEB">
        <w:rPr>
          <w:lang w:val="en-IN"/>
        </w:rPr>
        <w:t>AlShariah</w:t>
      </w:r>
      <w:proofErr w:type="spellEnd"/>
      <w:r w:rsidRPr="000B5AEB">
        <w:rPr>
          <w:lang w:val="en-IN"/>
        </w:rPr>
        <w:t xml:space="preserve"> and </w:t>
      </w:r>
      <w:proofErr w:type="spellStart"/>
      <w:r w:rsidRPr="000B5AEB">
        <w:rPr>
          <w:lang w:val="en-IN"/>
        </w:rPr>
        <w:t>Saudagar</w:t>
      </w:r>
      <w:proofErr w:type="spellEnd"/>
      <w:r w:rsidRPr="000B5AEB">
        <w:rPr>
          <w:lang w:val="en-IN"/>
        </w:rPr>
        <w:t xml:space="preserve"> (2019) reported 97% accuracy using </w:t>
      </w:r>
      <w:proofErr w:type="spellStart"/>
      <w:r w:rsidRPr="000B5AEB">
        <w:rPr>
          <w:lang w:val="en-IN"/>
        </w:rPr>
        <w:t>AlexNet</w:t>
      </w:r>
      <w:proofErr w:type="spellEnd"/>
      <w:r w:rsidRPr="000B5AEB">
        <w:rPr>
          <w:lang w:val="en-IN"/>
        </w:rPr>
        <w:t xml:space="preserve"> transfer learning [3]. While transfer learning is efficient, the high accuracy reported by </w:t>
      </w:r>
      <w:proofErr w:type="spellStart"/>
      <w:r w:rsidRPr="000B5AEB">
        <w:rPr>
          <w:lang w:val="en-IN"/>
        </w:rPr>
        <w:t>AlShariah</w:t>
      </w:r>
      <w:proofErr w:type="spellEnd"/>
      <w:r w:rsidRPr="000B5AEB">
        <w:rPr>
          <w:lang w:val="en-IN"/>
        </w:rPr>
        <w:t xml:space="preserve"> and </w:t>
      </w:r>
      <w:proofErr w:type="spellStart"/>
      <w:r w:rsidRPr="000B5AEB">
        <w:rPr>
          <w:lang w:val="en-IN"/>
        </w:rPr>
        <w:t>Saudagar</w:t>
      </w:r>
      <w:proofErr w:type="spellEnd"/>
      <w:r w:rsidRPr="000B5AEB">
        <w:rPr>
          <w:lang w:val="en-IN"/>
        </w:rPr>
        <w:t xml:space="preserve"> is likely inflated due to the simplicity of the image modification techniques used to create their custom dataset, which are less sophisticated than modern GAN-based forgeries. The reliance on pre-trained models, while computationally advantageous, means the model is learning general image features rather than forensic-specific ones, which can be a limitation against highly optimized Deepfakes.</w:t>
      </w:r>
    </w:p>
    <w:p w14:paraId="5BFF2E12" w14:textId="796F46E6" w:rsidR="009303D9" w:rsidRPr="005B520E" w:rsidRDefault="009303D9" w:rsidP="00E7596C">
      <w:pPr>
        <w:pStyle w:val="BodyText"/>
      </w:pPr>
      <w:r w:rsidRPr="005B520E">
        <w:t xml:space="preserve">and acronyms the first time they are used in the text, even after they have been defined in the abstract. Abbreviations such as IEEE, SI, MKS, CGS, </w:t>
      </w:r>
      <w:proofErr w:type="spellStart"/>
      <w:r w:rsidRPr="005B520E">
        <w:t>sc</w:t>
      </w:r>
      <w:proofErr w:type="spellEnd"/>
      <w:r w:rsidRPr="005B520E">
        <w:t>, dc, and rms do not have to be defined. Do not use abbreviations in the title or heads unless they are unavoidable.</w:t>
      </w:r>
    </w:p>
    <w:p w14:paraId="5FD76982" w14:textId="0E3F269E" w:rsidR="009303D9" w:rsidRPr="00F057CB" w:rsidRDefault="000B5AEB" w:rsidP="00F057CB">
      <w:pPr>
        <w:pStyle w:val="Heading2"/>
        <w:numPr>
          <w:ilvl w:val="0"/>
          <w:numId w:val="0"/>
        </w:numPr>
        <w:ind w:left="288" w:hanging="288"/>
        <w:rPr>
          <w:lang w:val="en-IN"/>
        </w:rPr>
      </w:pPr>
      <w:r>
        <w:t xml:space="preserve">. </w:t>
      </w:r>
      <w:r w:rsidRPr="000B5AEB">
        <w:rPr>
          <w:lang w:val="en-IN"/>
        </w:rPr>
        <w:t>B. Spatio-Temporal and Semantic Frameworks: Robustness and Generalization</w:t>
      </w:r>
    </w:p>
    <w:p w14:paraId="670F56D0" w14:textId="53B5F923" w:rsidR="00F057CB" w:rsidRPr="00F057CB" w:rsidRDefault="00F057CB" w:rsidP="00F057CB">
      <w:pPr>
        <w:pStyle w:val="BodyText"/>
        <w:ind w:firstLine="0"/>
        <w:rPr>
          <w:lang w:val="en-IN"/>
        </w:rPr>
      </w:pPr>
      <w:r w:rsidRPr="00F057CB">
        <w:rPr>
          <w:lang w:val="en-IN"/>
        </w:rPr>
        <w:t>As generative models improved their spatial realism, the focus shifted to exploiting fundamental inconsistencies that are difficult to synthesize, such as temporal incoherence and physiological anomalies.</w:t>
      </w:r>
    </w:p>
    <w:p w14:paraId="6BE78680" w14:textId="07239FC4" w:rsidR="00F057CB" w:rsidRPr="00F057CB" w:rsidRDefault="00F057CB" w:rsidP="00F057CB">
      <w:pPr>
        <w:pStyle w:val="BodyText"/>
        <w:rPr>
          <w:lang w:val="en-IN"/>
        </w:rPr>
      </w:pPr>
      <w:r w:rsidRPr="00F057CB">
        <w:rPr>
          <w:lang w:val="en-IN"/>
        </w:rPr>
        <w:t xml:space="preserve">1. Hybrid CNN-LSTM (Nikumbh et al. [6]): This model combines the spatial feature extraction of </w:t>
      </w:r>
      <w:proofErr w:type="spellStart"/>
      <w:r w:rsidRPr="00F057CB">
        <w:rPr>
          <w:lang w:val="en-IN"/>
        </w:rPr>
        <w:t>ResNeXt</w:t>
      </w:r>
      <w:proofErr w:type="spellEnd"/>
      <w:r w:rsidRPr="00F057CB">
        <w:rPr>
          <w:lang w:val="en-IN"/>
        </w:rPr>
        <w:t xml:space="preserve"> (a variant of </w:t>
      </w:r>
      <w:proofErr w:type="spellStart"/>
      <w:r w:rsidRPr="00F057CB">
        <w:rPr>
          <w:lang w:val="en-IN"/>
        </w:rPr>
        <w:t>ResNet</w:t>
      </w:r>
      <w:proofErr w:type="spellEnd"/>
      <w:r w:rsidRPr="00F057CB">
        <w:rPr>
          <w:lang w:val="en-IN"/>
        </w:rPr>
        <w:t xml:space="preserve">) with the temporal sequence </w:t>
      </w:r>
      <w:proofErr w:type="spellStart"/>
      <w:r w:rsidRPr="00F057CB">
        <w:rPr>
          <w:lang w:val="en-IN"/>
        </w:rPr>
        <w:t>modeling</w:t>
      </w:r>
      <w:proofErr w:type="spellEnd"/>
      <w:r w:rsidRPr="00F057CB">
        <w:rPr>
          <w:lang w:val="en-IN"/>
        </w:rPr>
        <w:t xml:space="preserve"> of a Long Short-Term Memory (LSTM) network. The </w:t>
      </w:r>
      <w:proofErr w:type="spellStart"/>
      <w:r w:rsidRPr="00F057CB">
        <w:rPr>
          <w:lang w:val="en-IN"/>
        </w:rPr>
        <w:t>ResNeXt</w:t>
      </w:r>
      <w:proofErr w:type="spellEnd"/>
      <w:r w:rsidRPr="00F057CB">
        <w:rPr>
          <w:lang w:val="en-IN"/>
        </w:rPr>
        <w:t xml:space="preserve"> component captures spatial artifacts, while the LSTM processes the sequence of features over time, specifically looking for temporal incoherence in frame transitions. This hybrid architecture is a robust strength, effectively addressing the limitations of purely spatial models. However, the model's reliance on the first 100 frames for training is a significant weakness, as longer-range temporal inconsistencies or subtle artifacts that emerge later in a video may be missed.</w:t>
      </w:r>
    </w:p>
    <w:p w14:paraId="59D0A043" w14:textId="7CB4D2D4" w:rsidR="00F057CB" w:rsidRPr="00F057CB" w:rsidRDefault="00F057CB" w:rsidP="00F057CB">
      <w:pPr>
        <w:pStyle w:val="BodyText"/>
        <w:rPr>
          <w:lang w:val="en-IN"/>
        </w:rPr>
      </w:pPr>
      <w:r w:rsidRPr="00F057CB">
        <w:rPr>
          <w:lang w:val="en-IN"/>
        </w:rPr>
        <w:t xml:space="preserve">2. Temporal Coherence </w:t>
      </w:r>
      <w:proofErr w:type="spellStart"/>
      <w:r w:rsidRPr="00F057CB">
        <w:rPr>
          <w:lang w:val="en-IN"/>
        </w:rPr>
        <w:t>Analyzing</w:t>
      </w:r>
      <w:proofErr w:type="spellEnd"/>
      <w:r w:rsidRPr="00F057CB">
        <w:rPr>
          <w:lang w:val="en-IN"/>
        </w:rPr>
        <w:t xml:space="preserve"> Network (TCAN) (Amin et al. [5]): This framework represents a state-of-the-art advancement using a Transformer architecture. TCAN employs a hierarchical feature extraction process and a self-attention mechanism to model long-range temporal dependencies across the video. Its explicit </w:t>
      </w:r>
      <w:proofErr w:type="spellStart"/>
      <w:r w:rsidRPr="00F057CB">
        <w:rPr>
          <w:lang w:val="en-IN"/>
        </w:rPr>
        <w:t>modeling</w:t>
      </w:r>
      <w:proofErr w:type="spellEnd"/>
      <w:r w:rsidRPr="00F057CB">
        <w:rPr>
          <w:lang w:val="en-IN"/>
        </w:rPr>
        <w:t xml:space="preserve"> of dynamic inconsistencies leads to superior generalization across diverse datasets (</w:t>
      </w:r>
      <w:proofErr w:type="spellStart"/>
      <w:r w:rsidRPr="00F057CB">
        <w:rPr>
          <w:lang w:val="en-IN"/>
        </w:rPr>
        <w:t>FaceForensics</w:t>
      </w:r>
      <w:proofErr w:type="spellEnd"/>
      <w:r w:rsidRPr="00F057CB">
        <w:rPr>
          <w:lang w:val="en-IN"/>
        </w:rPr>
        <w:t>++, DFDC, CelebDF-V2) [5]. The Transformer's self-attention mechanism allows it to weigh the importance of different frames across the entire sequence, making it highly effective at detecting subtle frame-to-frame jitters. The primary weakness is the high computational complexity inherent in the Transformer architecture, which poses a challenge for real-time deployment, especially on edge devices.</w:t>
      </w:r>
    </w:p>
    <w:p w14:paraId="1120C466" w14:textId="165ED1F6" w:rsidR="00F057CB" w:rsidRDefault="00F057CB" w:rsidP="00F057CB">
      <w:pPr>
        <w:pStyle w:val="BodyText"/>
        <w:rPr>
          <w:lang w:val="en-IN"/>
        </w:rPr>
      </w:pPr>
      <w:r w:rsidRPr="00F057CB">
        <w:rPr>
          <w:lang w:val="en-IN"/>
        </w:rPr>
        <w:t xml:space="preserve">3. </w:t>
      </w:r>
      <w:proofErr w:type="spellStart"/>
      <w:r w:rsidRPr="00F057CB">
        <w:rPr>
          <w:lang w:val="en-IN"/>
        </w:rPr>
        <w:t>FakeCatcher</w:t>
      </w:r>
      <w:proofErr w:type="spellEnd"/>
      <w:r w:rsidRPr="00F057CB">
        <w:rPr>
          <w:lang w:val="en-IN"/>
        </w:rPr>
        <w:t xml:space="preserve"> (Ciftci et al. [12]): This is a pioneering semantic approach that exploits biological signals as an implicit descriptor of authenticity. The model extracts Photoplethysmography (PPG) signals—subtle </w:t>
      </w:r>
      <w:proofErr w:type="spellStart"/>
      <w:r w:rsidRPr="00F057CB">
        <w:rPr>
          <w:lang w:val="en-IN"/>
        </w:rPr>
        <w:t>color</w:t>
      </w:r>
      <w:proofErr w:type="spellEnd"/>
      <w:r w:rsidRPr="00F057CB">
        <w:rPr>
          <w:lang w:val="en-IN"/>
        </w:rPr>
        <w:t xml:space="preserve"> changes in the face due to blood flow—using G-PPG and C-PPG methods. The model then uses a CNN trained on novel signal maps and a probabilistic SVM to classify authenticity based on the coherence of these signals. This independence from the generative model is its greatest strength, leading to strong generalization with high accuracy across multiple datasets (e.g., 96% on FF, 94.65% on FF++) [12]. The underlying principle is that Deepfake generators, focused on visual realism, fail to accurately model the complex, subtle changes in skin </w:t>
      </w:r>
      <w:proofErr w:type="spellStart"/>
      <w:r w:rsidRPr="00F057CB">
        <w:rPr>
          <w:lang w:val="en-IN"/>
        </w:rPr>
        <w:t>color</w:t>
      </w:r>
      <w:proofErr w:type="spellEnd"/>
      <w:r w:rsidRPr="00F057CB">
        <w:rPr>
          <w:lang w:val="en-IN"/>
        </w:rPr>
        <w:t xml:space="preserve"> caused by blood circulation.</w:t>
      </w:r>
    </w:p>
    <w:p w14:paraId="5692C18C" w14:textId="77777777" w:rsidR="00F057CB" w:rsidRDefault="00F057CB" w:rsidP="00F057CB">
      <w:pPr>
        <w:pStyle w:val="BodyText"/>
        <w:rPr>
          <w:lang w:val="en-IN"/>
        </w:rPr>
      </w:pPr>
    </w:p>
    <w:p w14:paraId="0DC0AC6C" w14:textId="2037C3CA" w:rsidR="00F057CB" w:rsidRDefault="00F057CB" w:rsidP="00F057CB">
      <w:pPr>
        <w:pStyle w:val="bulletlist"/>
        <w:numPr>
          <w:ilvl w:val="0"/>
          <w:numId w:val="0"/>
        </w:numPr>
        <w:tabs>
          <w:tab w:val="clear" w:pos="288"/>
        </w:tabs>
        <w:ind w:left="426" w:hanging="568"/>
        <w:rPr>
          <w:lang w:val="en-IN"/>
        </w:rPr>
      </w:pPr>
      <w:r>
        <w:rPr>
          <w:lang w:val="en-IN"/>
        </w:rPr>
        <w:t xml:space="preserve"> </w:t>
      </w:r>
      <w:r w:rsidRPr="00F057CB">
        <w:rPr>
          <w:lang w:val="en-IN"/>
        </w:rPr>
        <w:t>III. Critical Review of Data Collection and Statistical Performance</w:t>
      </w:r>
    </w:p>
    <w:p w14:paraId="3286EF47" w14:textId="7D963EA5" w:rsidR="00F057CB" w:rsidRDefault="00F057CB" w:rsidP="00F057CB">
      <w:pPr>
        <w:pStyle w:val="bulletlist"/>
        <w:numPr>
          <w:ilvl w:val="0"/>
          <w:numId w:val="0"/>
        </w:numPr>
        <w:tabs>
          <w:tab w:val="clear" w:pos="288"/>
        </w:tabs>
        <w:rPr>
          <w:lang w:val="en-IN"/>
        </w:rPr>
      </w:pPr>
      <w:r w:rsidRPr="00F057CB">
        <w:rPr>
          <w:lang w:val="en-IN"/>
        </w:rPr>
        <w:t>The robustness of any Deepfake detection model is inextricably linked to the quality, scale, and diversity of the data used for training and evaluation. The papers reviewed highlight a critical evolution in dataset creation, moving from small, custom sets to massive, highly-controlled benchmarks.</w:t>
      </w:r>
    </w:p>
    <w:p w14:paraId="5D803C2D" w14:textId="77777777" w:rsidR="00F057CB" w:rsidRDefault="00F057CB" w:rsidP="00F057CB">
      <w:pPr>
        <w:pStyle w:val="BodyText"/>
        <w:ind w:firstLine="0"/>
        <w:jc w:val="left"/>
        <w:rPr>
          <w:i/>
          <w:iCs/>
          <w:lang w:val="en-IN"/>
        </w:rPr>
      </w:pPr>
    </w:p>
    <w:p w14:paraId="008B0BEE" w14:textId="2F1BEDD8" w:rsidR="00F057CB" w:rsidRPr="00F057CB" w:rsidRDefault="00F057CB" w:rsidP="00F057CB">
      <w:pPr>
        <w:pStyle w:val="BodyText"/>
        <w:ind w:firstLine="0"/>
        <w:jc w:val="left"/>
        <w:rPr>
          <w:i/>
          <w:iCs/>
          <w:lang w:val="en-IN"/>
        </w:rPr>
      </w:pPr>
      <w:r w:rsidRPr="00F057CB">
        <w:rPr>
          <w:i/>
          <w:iCs/>
          <w:lang w:val="en-IN"/>
        </w:rPr>
        <w:t>A. The Evolution of Deepfake Datasets</w:t>
      </w:r>
    </w:p>
    <w:p w14:paraId="732311A0" w14:textId="77777777" w:rsidR="00F057CB" w:rsidRPr="00F057CB" w:rsidRDefault="00F057CB" w:rsidP="00F057CB">
      <w:pPr>
        <w:pStyle w:val="BodyText"/>
        <w:ind w:firstLine="0"/>
        <w:rPr>
          <w:lang w:val="en-IN"/>
        </w:rPr>
      </w:pPr>
      <w:r w:rsidRPr="00F057CB">
        <w:rPr>
          <w:lang w:val="en-IN"/>
        </w:rPr>
        <w:t>The field has been defined by the creation of increasingly challenging public datasets, which serve as the primary statistical function for benchmarking generalization.</w:t>
      </w:r>
    </w:p>
    <w:p w14:paraId="797BDB9D" w14:textId="77777777" w:rsidR="00707D84" w:rsidRDefault="00707D84" w:rsidP="00707D84">
      <w:pPr>
        <w:pStyle w:val="BodyText"/>
        <w:ind w:firstLine="0"/>
        <w:rPr>
          <w:lang w:val="en-IN"/>
        </w:rPr>
      </w:pPr>
    </w:p>
    <w:tbl>
      <w:tblPr>
        <w:tblStyle w:val="TableGridLight"/>
        <w:tblW w:w="0" w:type="auto"/>
        <w:tblLook w:val="04A0" w:firstRow="1" w:lastRow="0" w:firstColumn="1" w:lastColumn="0" w:noHBand="0" w:noVBand="1"/>
      </w:tblPr>
      <w:tblGrid>
        <w:gridCol w:w="5023"/>
      </w:tblGrid>
      <w:tr w:rsidR="00775C38" w14:paraId="1A057ACB" w14:textId="77777777" w:rsidTr="00775C38">
        <w:tc>
          <w:tcPr>
            <w:tcW w:w="4801" w:type="dxa"/>
          </w:tcPr>
          <w:tbl>
            <w:tblPr>
              <w:tblW w:w="4847" w:type="dxa"/>
              <w:tblCellSpacing w:w="15" w:type="dxa"/>
              <w:tblCellMar>
                <w:top w:w="15" w:type="dxa"/>
                <w:left w:w="15" w:type="dxa"/>
                <w:bottom w:w="15" w:type="dxa"/>
                <w:right w:w="15" w:type="dxa"/>
              </w:tblCellMar>
              <w:tblLook w:val="04A0" w:firstRow="1" w:lastRow="0" w:firstColumn="1" w:lastColumn="0" w:noHBand="0" w:noVBand="1"/>
            </w:tblPr>
            <w:tblGrid>
              <w:gridCol w:w="784"/>
              <w:gridCol w:w="1515"/>
              <w:gridCol w:w="2548"/>
            </w:tblGrid>
            <w:tr w:rsidR="00775C38" w:rsidRPr="00707D84" w14:paraId="5D1550D0" w14:textId="77777777" w:rsidTr="00775C38">
              <w:trPr>
                <w:trHeight w:val="300"/>
                <w:tblHeader/>
                <w:tblCellSpacing w:w="15" w:type="dxa"/>
              </w:trPr>
              <w:tc>
                <w:tcPr>
                  <w:tcW w:w="739" w:type="dxa"/>
                  <w:tcBorders>
                    <w:bottom w:val="single" w:sz="4" w:space="0" w:color="auto"/>
                  </w:tcBorders>
                  <w:vAlign w:val="center"/>
                  <w:hideMark/>
                </w:tcPr>
                <w:p w14:paraId="4999A772" w14:textId="77777777" w:rsidR="00775C38" w:rsidRPr="00707D84" w:rsidRDefault="00775C38" w:rsidP="005F7B52">
                  <w:pPr>
                    <w:pStyle w:val="BodyText"/>
                    <w:ind w:left="96" w:hanging="46"/>
                    <w:rPr>
                      <w:b/>
                      <w:bCs/>
                      <w:lang w:val="en-IN"/>
                    </w:rPr>
                  </w:pPr>
                  <w:r w:rsidRPr="00707D84">
                    <w:rPr>
                      <w:b/>
                      <w:bCs/>
                      <w:lang w:val="en-IN"/>
                    </w:rPr>
                    <w:t>Paper</w:t>
                  </w:r>
                </w:p>
              </w:tc>
              <w:tc>
                <w:tcPr>
                  <w:tcW w:w="1485" w:type="dxa"/>
                  <w:tcBorders>
                    <w:left w:val="single" w:sz="4" w:space="0" w:color="auto"/>
                    <w:bottom w:val="single" w:sz="4" w:space="0" w:color="auto"/>
                  </w:tcBorders>
                  <w:vAlign w:val="center"/>
                  <w:hideMark/>
                </w:tcPr>
                <w:p w14:paraId="26B99635" w14:textId="77777777" w:rsidR="00775C38" w:rsidRPr="00707D84" w:rsidRDefault="00775C38" w:rsidP="005F7B52">
                  <w:pPr>
                    <w:pStyle w:val="BodyText"/>
                    <w:ind w:left="96" w:hanging="46"/>
                    <w:rPr>
                      <w:b/>
                      <w:bCs/>
                      <w:lang w:val="en-IN"/>
                    </w:rPr>
                  </w:pPr>
                  <w:r w:rsidRPr="00707D84">
                    <w:rPr>
                      <w:b/>
                      <w:bCs/>
                      <w:lang w:val="en-IN"/>
                    </w:rPr>
                    <w:t>Dataset Type</w:t>
                  </w:r>
                </w:p>
              </w:tc>
              <w:tc>
                <w:tcPr>
                  <w:tcW w:w="2503" w:type="dxa"/>
                  <w:tcBorders>
                    <w:left w:val="single" w:sz="4" w:space="0" w:color="auto"/>
                    <w:bottom w:val="single" w:sz="4" w:space="0" w:color="auto"/>
                  </w:tcBorders>
                  <w:vAlign w:val="center"/>
                  <w:hideMark/>
                </w:tcPr>
                <w:p w14:paraId="38C44845" w14:textId="77777777" w:rsidR="00775C38" w:rsidRPr="00707D84" w:rsidRDefault="00775C38" w:rsidP="005F7B52">
                  <w:pPr>
                    <w:pStyle w:val="BodyText"/>
                    <w:ind w:left="96" w:hanging="46"/>
                    <w:rPr>
                      <w:b/>
                      <w:bCs/>
                      <w:lang w:val="en-IN"/>
                    </w:rPr>
                  </w:pPr>
                  <w:r w:rsidRPr="00707D84">
                    <w:rPr>
                      <w:b/>
                      <w:bCs/>
                      <w:lang w:val="en-IN"/>
                    </w:rPr>
                    <w:t>Scale / Diversity</w:t>
                  </w:r>
                </w:p>
              </w:tc>
            </w:tr>
            <w:tr w:rsidR="00775C38" w:rsidRPr="00707D84" w14:paraId="19B1E888" w14:textId="77777777" w:rsidTr="00775C38">
              <w:trPr>
                <w:trHeight w:val="39"/>
                <w:tblHeader/>
                <w:tblCellSpacing w:w="15" w:type="dxa"/>
              </w:trPr>
              <w:tc>
                <w:tcPr>
                  <w:tcW w:w="739" w:type="dxa"/>
                  <w:tcBorders>
                    <w:top w:val="single" w:sz="4" w:space="0" w:color="auto"/>
                  </w:tcBorders>
                  <w:vAlign w:val="center"/>
                </w:tcPr>
                <w:p w14:paraId="46A9D9C0" w14:textId="77777777" w:rsidR="00775C38" w:rsidRPr="00707D84" w:rsidRDefault="00775C38" w:rsidP="005F7B52">
                  <w:pPr>
                    <w:pStyle w:val="BodyText"/>
                    <w:ind w:left="96" w:hanging="46"/>
                    <w:rPr>
                      <w:b/>
                      <w:bCs/>
                      <w:lang w:val="en-IN"/>
                    </w:rPr>
                  </w:pPr>
                </w:p>
              </w:tc>
              <w:tc>
                <w:tcPr>
                  <w:tcW w:w="1485" w:type="dxa"/>
                  <w:tcBorders>
                    <w:top w:val="single" w:sz="4" w:space="0" w:color="auto"/>
                    <w:left w:val="single" w:sz="4" w:space="0" w:color="auto"/>
                  </w:tcBorders>
                  <w:vAlign w:val="center"/>
                </w:tcPr>
                <w:p w14:paraId="7D1378A2" w14:textId="77777777" w:rsidR="00775C38" w:rsidRPr="00707D84" w:rsidRDefault="00775C38" w:rsidP="005F7B52">
                  <w:pPr>
                    <w:pStyle w:val="BodyText"/>
                    <w:ind w:left="96" w:hanging="46"/>
                    <w:rPr>
                      <w:b/>
                      <w:bCs/>
                      <w:lang w:val="en-IN"/>
                    </w:rPr>
                  </w:pPr>
                </w:p>
              </w:tc>
              <w:tc>
                <w:tcPr>
                  <w:tcW w:w="2503" w:type="dxa"/>
                  <w:tcBorders>
                    <w:top w:val="single" w:sz="4" w:space="0" w:color="auto"/>
                    <w:left w:val="single" w:sz="4" w:space="0" w:color="auto"/>
                  </w:tcBorders>
                  <w:vAlign w:val="center"/>
                </w:tcPr>
                <w:p w14:paraId="6F07CF8B" w14:textId="77777777" w:rsidR="00775C38" w:rsidRPr="00707D84" w:rsidRDefault="00775C38" w:rsidP="005F7B52">
                  <w:pPr>
                    <w:pStyle w:val="BodyText"/>
                    <w:ind w:left="96" w:hanging="46"/>
                    <w:rPr>
                      <w:b/>
                      <w:bCs/>
                      <w:lang w:val="en-IN"/>
                    </w:rPr>
                  </w:pPr>
                </w:p>
              </w:tc>
            </w:tr>
            <w:tr w:rsidR="00775C38" w:rsidRPr="00707D84" w14:paraId="3AAC6041" w14:textId="77777777" w:rsidTr="00775C38">
              <w:trPr>
                <w:tblCellSpacing w:w="15" w:type="dxa"/>
              </w:trPr>
              <w:tc>
                <w:tcPr>
                  <w:tcW w:w="739" w:type="dxa"/>
                  <w:vAlign w:val="center"/>
                  <w:hideMark/>
                </w:tcPr>
                <w:p w14:paraId="15CA1BEC" w14:textId="77777777" w:rsidR="00775C38" w:rsidRPr="00707D84" w:rsidRDefault="00775C38" w:rsidP="005F7B52">
                  <w:pPr>
                    <w:pStyle w:val="BodyText"/>
                    <w:ind w:left="96" w:hanging="46"/>
                    <w:rPr>
                      <w:lang w:val="en-IN"/>
                    </w:rPr>
                  </w:pPr>
                  <w:proofErr w:type="spellStart"/>
                  <w:r w:rsidRPr="00707D84">
                    <w:rPr>
                      <w:lang w:val="en-IN"/>
                    </w:rPr>
                    <w:t>Ro¨ssler</w:t>
                  </w:r>
                  <w:proofErr w:type="spellEnd"/>
                  <w:r w:rsidRPr="00707D84">
                    <w:rPr>
                      <w:lang w:val="en-IN"/>
                    </w:rPr>
                    <w:t xml:space="preserve"> </w:t>
                  </w:r>
                  <w:r w:rsidRPr="00707D84">
                    <w:rPr>
                      <w:i/>
                      <w:iCs/>
                      <w:lang w:val="en-IN"/>
                    </w:rPr>
                    <w:t>et al.</w:t>
                  </w:r>
                  <w:r w:rsidRPr="00707D84">
                    <w:rPr>
                      <w:lang w:val="en-IN"/>
                    </w:rPr>
                    <w:t xml:space="preserve"> [10]</w:t>
                  </w:r>
                </w:p>
              </w:tc>
              <w:tc>
                <w:tcPr>
                  <w:tcW w:w="1485" w:type="dxa"/>
                  <w:tcBorders>
                    <w:left w:val="single" w:sz="4" w:space="0" w:color="auto"/>
                  </w:tcBorders>
                  <w:vAlign w:val="center"/>
                  <w:hideMark/>
                </w:tcPr>
                <w:p w14:paraId="059DF6D8" w14:textId="77777777" w:rsidR="00775C38" w:rsidRPr="00707D84" w:rsidRDefault="00775C38" w:rsidP="005F7B52">
                  <w:pPr>
                    <w:pStyle w:val="BodyText"/>
                    <w:ind w:left="96" w:hanging="46"/>
                    <w:rPr>
                      <w:lang w:val="en-IN"/>
                    </w:rPr>
                  </w:pPr>
                  <w:proofErr w:type="spellStart"/>
                  <w:r w:rsidRPr="00707D84">
                    <w:rPr>
                      <w:lang w:val="en-IN"/>
                    </w:rPr>
                    <w:t>FaceForensics</w:t>
                  </w:r>
                  <w:proofErr w:type="spellEnd"/>
                  <w:r w:rsidRPr="00707D84">
                    <w:rPr>
                      <w:lang w:val="en-IN"/>
                    </w:rPr>
                    <w:t>++</w:t>
                  </w:r>
                </w:p>
              </w:tc>
              <w:tc>
                <w:tcPr>
                  <w:tcW w:w="2503" w:type="dxa"/>
                  <w:tcBorders>
                    <w:left w:val="single" w:sz="4" w:space="0" w:color="auto"/>
                  </w:tcBorders>
                  <w:vAlign w:val="center"/>
                  <w:hideMark/>
                </w:tcPr>
                <w:p w14:paraId="1813623C" w14:textId="77777777" w:rsidR="00775C38" w:rsidRPr="00707D84" w:rsidRDefault="00775C38" w:rsidP="005F7B52">
                  <w:pPr>
                    <w:pStyle w:val="BodyText"/>
                    <w:ind w:left="96" w:hanging="46"/>
                    <w:rPr>
                      <w:lang w:val="en-IN"/>
                    </w:rPr>
                  </w:pPr>
                  <w:r w:rsidRPr="00707D84">
                    <w:rPr>
                      <w:lang w:val="en-IN"/>
                    </w:rPr>
                    <w:t>1.8 million images, 4K videos, 4 manipulation methods, various compressions</w:t>
                  </w:r>
                </w:p>
              </w:tc>
            </w:tr>
            <w:tr w:rsidR="00775C38" w:rsidRPr="00707D84" w14:paraId="34F2932B" w14:textId="77777777" w:rsidTr="00775C38">
              <w:trPr>
                <w:tblCellSpacing w:w="15" w:type="dxa"/>
              </w:trPr>
              <w:tc>
                <w:tcPr>
                  <w:tcW w:w="739" w:type="dxa"/>
                  <w:tcBorders>
                    <w:top w:val="single" w:sz="4" w:space="0" w:color="auto"/>
                    <w:bottom w:val="single" w:sz="4" w:space="0" w:color="auto"/>
                  </w:tcBorders>
                  <w:vAlign w:val="center"/>
                  <w:hideMark/>
                </w:tcPr>
                <w:p w14:paraId="01F569E5" w14:textId="77777777" w:rsidR="00775C38" w:rsidRPr="00707D84" w:rsidRDefault="00775C38" w:rsidP="005F7B52">
                  <w:pPr>
                    <w:pStyle w:val="BodyText"/>
                    <w:ind w:left="96" w:hanging="46"/>
                    <w:rPr>
                      <w:lang w:val="en-IN"/>
                    </w:rPr>
                  </w:pPr>
                  <w:r w:rsidRPr="00707D84">
                    <w:rPr>
                      <w:lang w:val="en-IN"/>
                    </w:rPr>
                    <w:t xml:space="preserve">Jiang </w:t>
                  </w:r>
                  <w:r w:rsidRPr="00707D84">
                    <w:rPr>
                      <w:i/>
                      <w:iCs/>
                      <w:lang w:val="en-IN"/>
                    </w:rPr>
                    <w:t>et al.</w:t>
                  </w:r>
                  <w:r w:rsidRPr="00707D84">
                    <w:rPr>
                      <w:lang w:val="en-IN"/>
                    </w:rPr>
                    <w:t xml:space="preserve"> [11]</w:t>
                  </w:r>
                </w:p>
              </w:tc>
              <w:tc>
                <w:tcPr>
                  <w:tcW w:w="1485" w:type="dxa"/>
                  <w:tcBorders>
                    <w:top w:val="single" w:sz="4" w:space="0" w:color="auto"/>
                    <w:left w:val="single" w:sz="4" w:space="0" w:color="auto"/>
                    <w:bottom w:val="single" w:sz="4" w:space="0" w:color="auto"/>
                  </w:tcBorders>
                  <w:vAlign w:val="center"/>
                  <w:hideMark/>
                </w:tcPr>
                <w:p w14:paraId="3EEC2639" w14:textId="77777777" w:rsidR="00775C38" w:rsidRPr="00707D84" w:rsidRDefault="00775C38" w:rsidP="005F7B52">
                  <w:pPr>
                    <w:pStyle w:val="BodyText"/>
                    <w:ind w:left="96" w:hanging="46"/>
                    <w:rPr>
                      <w:lang w:val="en-IN"/>
                    </w:rPr>
                  </w:pPr>
                  <w:r w:rsidRPr="00707D84">
                    <w:rPr>
                      <w:lang w:val="en-IN"/>
                    </w:rPr>
                    <w:t>DeeperForensics-1.0</w:t>
                  </w:r>
                </w:p>
              </w:tc>
              <w:tc>
                <w:tcPr>
                  <w:tcW w:w="2503" w:type="dxa"/>
                  <w:tcBorders>
                    <w:top w:val="single" w:sz="4" w:space="0" w:color="auto"/>
                    <w:left w:val="single" w:sz="4" w:space="0" w:color="auto"/>
                    <w:bottom w:val="single" w:sz="4" w:space="0" w:color="auto"/>
                  </w:tcBorders>
                  <w:vAlign w:val="center"/>
                  <w:hideMark/>
                </w:tcPr>
                <w:p w14:paraId="04831CC0" w14:textId="77777777" w:rsidR="00775C38" w:rsidRPr="00707D84" w:rsidRDefault="00775C38" w:rsidP="005F7B52">
                  <w:pPr>
                    <w:pStyle w:val="BodyText"/>
                    <w:ind w:left="96" w:hanging="46"/>
                    <w:rPr>
                      <w:lang w:val="en-IN"/>
                    </w:rPr>
                  </w:pPr>
                  <w:r w:rsidRPr="00707D84">
                    <w:rPr>
                      <w:lang w:val="en-IN"/>
                    </w:rPr>
                    <w:t>60,000 videos, 17.6 million frames, 100 paid actors</w:t>
                  </w:r>
                </w:p>
              </w:tc>
            </w:tr>
            <w:tr w:rsidR="00775C38" w:rsidRPr="00707D84" w14:paraId="71BCC91E" w14:textId="77777777" w:rsidTr="00775C38">
              <w:trPr>
                <w:tblCellSpacing w:w="15" w:type="dxa"/>
              </w:trPr>
              <w:tc>
                <w:tcPr>
                  <w:tcW w:w="739" w:type="dxa"/>
                  <w:tcBorders>
                    <w:bottom w:val="single" w:sz="4" w:space="0" w:color="auto"/>
                  </w:tcBorders>
                  <w:vAlign w:val="center"/>
                  <w:hideMark/>
                </w:tcPr>
                <w:p w14:paraId="5904B2E9" w14:textId="77777777" w:rsidR="00775C38" w:rsidRPr="00707D84" w:rsidRDefault="00775C38" w:rsidP="005F7B52">
                  <w:pPr>
                    <w:pStyle w:val="BodyText"/>
                    <w:ind w:left="96" w:hanging="46"/>
                    <w:rPr>
                      <w:lang w:val="en-IN"/>
                    </w:rPr>
                  </w:pPr>
                  <w:proofErr w:type="spellStart"/>
                  <w:r w:rsidRPr="00707D84">
                    <w:rPr>
                      <w:lang w:val="en-IN"/>
                    </w:rPr>
                    <w:t>Afchar</w:t>
                  </w:r>
                  <w:proofErr w:type="spellEnd"/>
                  <w:r w:rsidRPr="00707D84">
                    <w:rPr>
                      <w:lang w:val="en-IN"/>
                    </w:rPr>
                    <w:t xml:space="preserve"> </w:t>
                  </w:r>
                  <w:r w:rsidRPr="00707D84">
                    <w:rPr>
                      <w:i/>
                      <w:iCs/>
                      <w:lang w:val="en-IN"/>
                    </w:rPr>
                    <w:t>et al.</w:t>
                  </w:r>
                  <w:r w:rsidRPr="00707D84">
                    <w:rPr>
                      <w:lang w:val="en-IN"/>
                    </w:rPr>
                    <w:t xml:space="preserve"> [9]</w:t>
                  </w:r>
                </w:p>
              </w:tc>
              <w:tc>
                <w:tcPr>
                  <w:tcW w:w="1485" w:type="dxa"/>
                  <w:tcBorders>
                    <w:left w:val="single" w:sz="4" w:space="0" w:color="auto"/>
                    <w:bottom w:val="single" w:sz="4" w:space="0" w:color="auto"/>
                  </w:tcBorders>
                  <w:vAlign w:val="center"/>
                  <w:hideMark/>
                </w:tcPr>
                <w:p w14:paraId="245069C4" w14:textId="77777777" w:rsidR="00775C38" w:rsidRPr="00707D84" w:rsidRDefault="00775C38" w:rsidP="005F7B52">
                  <w:pPr>
                    <w:pStyle w:val="BodyText"/>
                    <w:ind w:left="96" w:hanging="46"/>
                    <w:rPr>
                      <w:lang w:val="en-IN"/>
                    </w:rPr>
                  </w:pPr>
                  <w:r w:rsidRPr="00707D84">
                    <w:rPr>
                      <w:lang w:val="en-IN"/>
                    </w:rPr>
                    <w:t>Custom Deepfake Dataset</w:t>
                  </w:r>
                </w:p>
              </w:tc>
              <w:tc>
                <w:tcPr>
                  <w:tcW w:w="2503" w:type="dxa"/>
                  <w:tcBorders>
                    <w:left w:val="single" w:sz="4" w:space="0" w:color="auto"/>
                    <w:bottom w:val="single" w:sz="4" w:space="0" w:color="auto"/>
                  </w:tcBorders>
                  <w:vAlign w:val="center"/>
                  <w:hideMark/>
                </w:tcPr>
                <w:p w14:paraId="3BF644DE" w14:textId="77777777" w:rsidR="00775C38" w:rsidRPr="00707D84" w:rsidRDefault="00775C38" w:rsidP="005F7B52">
                  <w:pPr>
                    <w:pStyle w:val="BodyText"/>
                    <w:ind w:left="96" w:hanging="46"/>
                    <w:rPr>
                      <w:lang w:val="en-IN"/>
                    </w:rPr>
                  </w:pPr>
                  <w:r w:rsidRPr="00707D84">
                    <w:rPr>
                      <w:lang w:val="en-IN"/>
                    </w:rPr>
                    <w:t>175 forged videos</w:t>
                  </w:r>
                </w:p>
              </w:tc>
            </w:tr>
            <w:tr w:rsidR="00775C38" w:rsidRPr="00707D84" w14:paraId="6C0C9262" w14:textId="77777777" w:rsidTr="00775C38">
              <w:trPr>
                <w:tblCellSpacing w:w="15" w:type="dxa"/>
              </w:trPr>
              <w:tc>
                <w:tcPr>
                  <w:tcW w:w="739" w:type="dxa"/>
                  <w:vAlign w:val="center"/>
                  <w:hideMark/>
                </w:tcPr>
                <w:p w14:paraId="727C873F" w14:textId="77777777" w:rsidR="00775C38" w:rsidRPr="00707D84" w:rsidRDefault="00775C38" w:rsidP="005F7B52">
                  <w:pPr>
                    <w:pStyle w:val="BodyText"/>
                    <w:ind w:left="96" w:hanging="46"/>
                    <w:rPr>
                      <w:lang w:val="en-IN"/>
                    </w:rPr>
                  </w:pPr>
                  <w:r w:rsidRPr="00707D84">
                    <w:rPr>
                      <w:lang w:val="en-IN"/>
                    </w:rPr>
                    <w:t>Li &amp; Lyu [8]</w:t>
                  </w:r>
                </w:p>
              </w:tc>
              <w:tc>
                <w:tcPr>
                  <w:tcW w:w="1485" w:type="dxa"/>
                  <w:tcBorders>
                    <w:left w:val="single" w:sz="4" w:space="0" w:color="auto"/>
                  </w:tcBorders>
                  <w:vAlign w:val="center"/>
                  <w:hideMark/>
                </w:tcPr>
                <w:p w14:paraId="2E5D65C3" w14:textId="77777777" w:rsidR="00775C38" w:rsidRPr="00707D84" w:rsidRDefault="00775C38" w:rsidP="005F7B52">
                  <w:pPr>
                    <w:pStyle w:val="BodyText"/>
                    <w:ind w:left="96" w:hanging="46"/>
                    <w:rPr>
                      <w:lang w:val="en-IN"/>
                    </w:rPr>
                  </w:pPr>
                  <w:r w:rsidRPr="00707D84">
                    <w:rPr>
                      <w:lang w:val="en-IN"/>
                    </w:rPr>
                    <w:t>Simulated Artifacts</w:t>
                  </w:r>
                </w:p>
              </w:tc>
              <w:tc>
                <w:tcPr>
                  <w:tcW w:w="2503" w:type="dxa"/>
                  <w:tcBorders>
                    <w:left w:val="single" w:sz="4" w:space="0" w:color="auto"/>
                  </w:tcBorders>
                  <w:vAlign w:val="center"/>
                  <w:hideMark/>
                </w:tcPr>
                <w:p w14:paraId="5015B6A4" w14:textId="77777777" w:rsidR="00775C38" w:rsidRPr="00707D84" w:rsidRDefault="00775C38" w:rsidP="005F7B52">
                  <w:pPr>
                    <w:pStyle w:val="BodyText"/>
                    <w:ind w:left="96" w:hanging="46"/>
                    <w:rPr>
                      <w:lang w:val="en-IN"/>
                    </w:rPr>
                  </w:pPr>
                  <w:r w:rsidRPr="00707D84">
                    <w:rPr>
                      <w:lang w:val="en-IN"/>
                    </w:rPr>
                    <w:t>24,442 real images, infinite simulated fakes</w:t>
                  </w:r>
                </w:p>
              </w:tc>
            </w:tr>
          </w:tbl>
          <w:p w14:paraId="3958AD84" w14:textId="77777777" w:rsidR="00775C38" w:rsidRDefault="00775C38"/>
        </w:tc>
      </w:tr>
    </w:tbl>
    <w:p w14:paraId="37C64D5E" w14:textId="77777777" w:rsidR="00775C38" w:rsidRDefault="00775C38" w:rsidP="00E7596C">
      <w:pPr>
        <w:pStyle w:val="BodyText"/>
      </w:pPr>
      <w: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2186"/>
        <w:gridCol w:w="1795"/>
      </w:tblGrid>
      <w:tr w:rsidR="00775C38" w:rsidRPr="00775C38" w14:paraId="06CF8998" w14:textId="77777777" w:rsidTr="00775C38">
        <w:trPr>
          <w:tblHeader/>
          <w:tblCellSpacing w:w="15" w:type="dxa"/>
        </w:trPr>
        <w:tc>
          <w:tcPr>
            <w:tcW w:w="997" w:type="dxa"/>
            <w:tcBorders>
              <w:top w:val="single" w:sz="4" w:space="0" w:color="auto"/>
              <w:left w:val="single" w:sz="4" w:space="0" w:color="auto"/>
              <w:right w:val="single" w:sz="4" w:space="0" w:color="auto"/>
            </w:tcBorders>
            <w:vAlign w:val="center"/>
            <w:hideMark/>
          </w:tcPr>
          <w:p w14:paraId="4D92D4AE" w14:textId="77777777" w:rsidR="00775C38" w:rsidRPr="00775C38" w:rsidRDefault="00775C38" w:rsidP="00775C38">
            <w:pPr>
              <w:pStyle w:val="BodyText"/>
              <w:rPr>
                <w:b/>
                <w:bCs/>
                <w:lang w:val="en-IN"/>
              </w:rPr>
            </w:pPr>
            <w:r w:rsidRPr="00775C38">
              <w:rPr>
                <w:b/>
                <w:bCs/>
                <w:lang w:val="en-IN"/>
              </w:rPr>
              <w:t>Paper</w:t>
            </w:r>
          </w:p>
        </w:tc>
        <w:tc>
          <w:tcPr>
            <w:tcW w:w="2156" w:type="dxa"/>
            <w:tcBorders>
              <w:top w:val="single" w:sz="4" w:space="0" w:color="auto"/>
            </w:tcBorders>
            <w:vAlign w:val="center"/>
            <w:hideMark/>
          </w:tcPr>
          <w:p w14:paraId="14F606A2" w14:textId="77777777" w:rsidR="00775C38" w:rsidRPr="00775C38" w:rsidRDefault="00775C38" w:rsidP="00775C38">
            <w:pPr>
              <w:pStyle w:val="BodyText"/>
              <w:rPr>
                <w:b/>
                <w:bCs/>
                <w:lang w:val="en-IN"/>
              </w:rPr>
            </w:pPr>
            <w:r w:rsidRPr="00775C38">
              <w:rPr>
                <w:b/>
                <w:bCs/>
                <w:lang w:val="en-IN"/>
              </w:rPr>
              <w:t>Key Contribution to Data Collection</w:t>
            </w:r>
          </w:p>
        </w:tc>
        <w:tc>
          <w:tcPr>
            <w:tcW w:w="1750" w:type="dxa"/>
            <w:tcBorders>
              <w:top w:val="single" w:sz="4" w:space="0" w:color="auto"/>
              <w:left w:val="single" w:sz="4" w:space="0" w:color="auto"/>
              <w:right w:val="single" w:sz="4" w:space="0" w:color="auto"/>
            </w:tcBorders>
            <w:vAlign w:val="center"/>
            <w:hideMark/>
          </w:tcPr>
          <w:p w14:paraId="3D692C26" w14:textId="77777777" w:rsidR="00775C38" w:rsidRPr="00775C38" w:rsidRDefault="00775C38" w:rsidP="00775C38">
            <w:pPr>
              <w:pStyle w:val="BodyText"/>
              <w:rPr>
                <w:b/>
                <w:bCs/>
                <w:lang w:val="en-IN"/>
              </w:rPr>
            </w:pPr>
            <w:r w:rsidRPr="00775C38">
              <w:rPr>
                <w:b/>
                <w:bCs/>
                <w:lang w:val="en-IN"/>
              </w:rPr>
              <w:t>Weakness</w:t>
            </w:r>
          </w:p>
        </w:tc>
      </w:tr>
      <w:tr w:rsidR="00775C38" w:rsidRPr="00775C38" w14:paraId="1ACB4F00" w14:textId="77777777" w:rsidTr="00775C38">
        <w:trPr>
          <w:tblCellSpacing w:w="15" w:type="dxa"/>
        </w:trPr>
        <w:tc>
          <w:tcPr>
            <w:tcW w:w="997" w:type="dxa"/>
            <w:tcBorders>
              <w:top w:val="single" w:sz="4" w:space="0" w:color="auto"/>
              <w:left w:val="single" w:sz="4" w:space="0" w:color="auto"/>
              <w:bottom w:val="single" w:sz="4" w:space="0" w:color="auto"/>
              <w:right w:val="single" w:sz="4" w:space="0" w:color="auto"/>
            </w:tcBorders>
            <w:vAlign w:val="center"/>
            <w:hideMark/>
          </w:tcPr>
          <w:p w14:paraId="62DE5340" w14:textId="77777777" w:rsidR="00775C38" w:rsidRPr="00775C38" w:rsidRDefault="00775C38" w:rsidP="00775C38">
            <w:pPr>
              <w:pStyle w:val="BodyText"/>
              <w:rPr>
                <w:lang w:val="en-IN"/>
              </w:rPr>
            </w:pPr>
            <w:proofErr w:type="spellStart"/>
            <w:r w:rsidRPr="00775C38">
              <w:rPr>
                <w:lang w:val="en-IN"/>
              </w:rPr>
              <w:t>Ro¨ssler</w:t>
            </w:r>
            <w:proofErr w:type="spellEnd"/>
            <w:r w:rsidRPr="00775C38">
              <w:rPr>
                <w:lang w:val="en-IN"/>
              </w:rPr>
              <w:t xml:space="preserve"> </w:t>
            </w:r>
            <w:r w:rsidRPr="00775C38">
              <w:rPr>
                <w:i/>
                <w:iCs/>
                <w:lang w:val="en-IN"/>
              </w:rPr>
              <w:t>et al.</w:t>
            </w:r>
            <w:r w:rsidRPr="00775C38">
              <w:rPr>
                <w:lang w:val="en-IN"/>
              </w:rPr>
              <w:t xml:space="preserve"> [10]</w:t>
            </w:r>
          </w:p>
        </w:tc>
        <w:tc>
          <w:tcPr>
            <w:tcW w:w="2156" w:type="dxa"/>
            <w:tcBorders>
              <w:top w:val="single" w:sz="4" w:space="0" w:color="auto"/>
              <w:bottom w:val="single" w:sz="4" w:space="0" w:color="auto"/>
            </w:tcBorders>
            <w:vAlign w:val="center"/>
            <w:hideMark/>
          </w:tcPr>
          <w:p w14:paraId="062C9F96" w14:textId="77777777" w:rsidR="00775C38" w:rsidRPr="00775C38" w:rsidRDefault="00775C38" w:rsidP="00775C38">
            <w:pPr>
              <w:pStyle w:val="BodyText"/>
              <w:rPr>
                <w:lang w:val="en-IN"/>
              </w:rPr>
            </w:pPr>
            <w:r w:rsidRPr="00775C38">
              <w:rPr>
                <w:lang w:val="en-IN"/>
              </w:rPr>
              <w:t>Established the first large-scale, multi-manipulation benchmark, setting a standard for the field</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8F2EF17" w14:textId="77777777" w:rsidR="00775C38" w:rsidRPr="00775C38" w:rsidRDefault="00775C38" w:rsidP="00775C38">
            <w:pPr>
              <w:pStyle w:val="BodyText"/>
              <w:rPr>
                <w:lang w:val="en-IN"/>
              </w:rPr>
            </w:pPr>
            <w:r w:rsidRPr="00775C38">
              <w:rPr>
                <w:lang w:val="en-IN"/>
              </w:rPr>
              <w:t>Videos collected “in the wild” (YouTube) may lack control over lighting and background</w:t>
            </w:r>
          </w:p>
        </w:tc>
      </w:tr>
      <w:tr w:rsidR="00775C38" w:rsidRPr="00775C38" w14:paraId="711AF223" w14:textId="77777777" w:rsidTr="00775C38">
        <w:trPr>
          <w:tblCellSpacing w:w="15" w:type="dxa"/>
        </w:trPr>
        <w:tc>
          <w:tcPr>
            <w:tcW w:w="997" w:type="dxa"/>
            <w:tcBorders>
              <w:left w:val="single" w:sz="4" w:space="0" w:color="auto"/>
              <w:right w:val="single" w:sz="4" w:space="0" w:color="auto"/>
            </w:tcBorders>
            <w:vAlign w:val="center"/>
            <w:hideMark/>
          </w:tcPr>
          <w:p w14:paraId="04A28068" w14:textId="77777777" w:rsidR="00775C38" w:rsidRPr="00775C38" w:rsidRDefault="00775C38" w:rsidP="00775C38">
            <w:pPr>
              <w:pStyle w:val="BodyText"/>
              <w:rPr>
                <w:lang w:val="en-IN"/>
              </w:rPr>
            </w:pPr>
            <w:r w:rsidRPr="00775C38">
              <w:rPr>
                <w:lang w:val="en-IN"/>
              </w:rPr>
              <w:t xml:space="preserve">Jiang </w:t>
            </w:r>
            <w:r w:rsidRPr="00775C38">
              <w:rPr>
                <w:i/>
                <w:iCs/>
                <w:lang w:val="en-IN"/>
              </w:rPr>
              <w:t>et al.</w:t>
            </w:r>
            <w:r w:rsidRPr="00775C38">
              <w:rPr>
                <w:lang w:val="en-IN"/>
              </w:rPr>
              <w:t xml:space="preserve"> [11]</w:t>
            </w:r>
          </w:p>
        </w:tc>
        <w:tc>
          <w:tcPr>
            <w:tcW w:w="2156" w:type="dxa"/>
            <w:vAlign w:val="center"/>
            <w:hideMark/>
          </w:tcPr>
          <w:p w14:paraId="6924BB3E" w14:textId="77777777" w:rsidR="00775C38" w:rsidRPr="00775C38" w:rsidRDefault="00775C38" w:rsidP="00775C38">
            <w:pPr>
              <w:pStyle w:val="BodyText"/>
              <w:rPr>
                <w:lang w:val="en-IN"/>
              </w:rPr>
            </w:pPr>
            <w:r w:rsidRPr="00775C38">
              <w:rPr>
                <w:lang w:val="en-IN"/>
              </w:rPr>
              <w:t>Largest scale, highest quality source data (controlled capture), and most extensive real-world perturbations (35 types)</w:t>
            </w:r>
          </w:p>
        </w:tc>
        <w:tc>
          <w:tcPr>
            <w:tcW w:w="1750" w:type="dxa"/>
            <w:tcBorders>
              <w:left w:val="single" w:sz="4" w:space="0" w:color="auto"/>
              <w:right w:val="single" w:sz="4" w:space="0" w:color="auto"/>
            </w:tcBorders>
            <w:vAlign w:val="center"/>
            <w:hideMark/>
          </w:tcPr>
          <w:p w14:paraId="413032D5" w14:textId="77777777" w:rsidR="00775C38" w:rsidRPr="00775C38" w:rsidRDefault="00775C38" w:rsidP="00775C38">
            <w:pPr>
              <w:pStyle w:val="BodyText"/>
              <w:rPr>
                <w:lang w:val="en-IN"/>
              </w:rPr>
            </w:pPr>
            <w:r w:rsidRPr="00775C38">
              <w:rPr>
                <w:lang w:val="en-IN"/>
              </w:rPr>
              <w:t>Primarily a dataset paper; detection methods are for benchmarking</w:t>
            </w:r>
          </w:p>
        </w:tc>
      </w:tr>
      <w:tr w:rsidR="00775C38" w:rsidRPr="00775C38" w14:paraId="01585CB4" w14:textId="77777777" w:rsidTr="00775C38">
        <w:trPr>
          <w:tblCellSpacing w:w="15" w:type="dxa"/>
        </w:trPr>
        <w:tc>
          <w:tcPr>
            <w:tcW w:w="997" w:type="dxa"/>
            <w:tcBorders>
              <w:left w:val="single" w:sz="4" w:space="0" w:color="auto"/>
              <w:bottom w:val="single" w:sz="4" w:space="0" w:color="auto"/>
              <w:right w:val="single" w:sz="4" w:space="0" w:color="auto"/>
            </w:tcBorders>
            <w:vAlign w:val="center"/>
            <w:hideMark/>
          </w:tcPr>
          <w:p w14:paraId="31C823F9" w14:textId="27418BA6" w:rsidR="00775C38" w:rsidRPr="00775C38" w:rsidRDefault="00775C38" w:rsidP="00775C38">
            <w:pPr>
              <w:pStyle w:val="BodyText"/>
              <w:ind w:firstLine="0"/>
              <w:rPr>
                <w:lang w:val="en-IN"/>
              </w:rPr>
            </w:pPr>
          </w:p>
        </w:tc>
        <w:tc>
          <w:tcPr>
            <w:tcW w:w="2156" w:type="dxa"/>
            <w:tcBorders>
              <w:bottom w:val="single" w:sz="4" w:space="0" w:color="auto"/>
            </w:tcBorders>
            <w:vAlign w:val="center"/>
          </w:tcPr>
          <w:p w14:paraId="6618D9A7" w14:textId="413D9921" w:rsidR="00775C38" w:rsidRPr="00775C38" w:rsidRDefault="00775C38" w:rsidP="00775C38">
            <w:pPr>
              <w:pStyle w:val="BodyText"/>
              <w:rPr>
                <w:lang w:val="en-IN"/>
              </w:rPr>
            </w:pPr>
          </w:p>
        </w:tc>
        <w:tc>
          <w:tcPr>
            <w:tcW w:w="1750" w:type="dxa"/>
            <w:tcBorders>
              <w:left w:val="single" w:sz="4" w:space="0" w:color="auto"/>
              <w:bottom w:val="single" w:sz="4" w:space="0" w:color="auto"/>
              <w:right w:val="single" w:sz="4" w:space="0" w:color="auto"/>
            </w:tcBorders>
            <w:vAlign w:val="center"/>
          </w:tcPr>
          <w:p w14:paraId="6262BF78" w14:textId="5BAAC467" w:rsidR="00775C38" w:rsidRPr="00775C38" w:rsidRDefault="00775C38" w:rsidP="00775C38">
            <w:pPr>
              <w:pStyle w:val="BodyText"/>
              <w:rPr>
                <w:lang w:val="en-IN"/>
              </w:rPr>
            </w:pPr>
          </w:p>
        </w:tc>
      </w:tr>
      <w:tr w:rsidR="00775C38" w:rsidRPr="00775C38" w14:paraId="6F3E0520" w14:textId="77777777" w:rsidTr="00775C38">
        <w:trPr>
          <w:tblCellSpacing w:w="15" w:type="dxa"/>
        </w:trPr>
        <w:tc>
          <w:tcPr>
            <w:tcW w:w="997" w:type="dxa"/>
            <w:vAlign w:val="center"/>
            <w:hideMark/>
          </w:tcPr>
          <w:p w14:paraId="35E90D67" w14:textId="7D5740DC" w:rsidR="00775C38" w:rsidRPr="00775C38" w:rsidRDefault="00775C38" w:rsidP="00775C38">
            <w:pPr>
              <w:pStyle w:val="BodyText"/>
              <w:ind w:firstLine="0"/>
              <w:rPr>
                <w:lang w:val="en-IN"/>
              </w:rPr>
            </w:pPr>
          </w:p>
        </w:tc>
        <w:tc>
          <w:tcPr>
            <w:tcW w:w="2156" w:type="dxa"/>
            <w:vAlign w:val="center"/>
          </w:tcPr>
          <w:p w14:paraId="48B4021C" w14:textId="71257F05" w:rsidR="00775C38" w:rsidRPr="00775C38" w:rsidRDefault="00775C38" w:rsidP="00775C38">
            <w:pPr>
              <w:pStyle w:val="BodyText"/>
              <w:rPr>
                <w:lang w:val="en-IN"/>
              </w:rPr>
            </w:pPr>
          </w:p>
        </w:tc>
        <w:tc>
          <w:tcPr>
            <w:tcW w:w="1750" w:type="dxa"/>
            <w:vAlign w:val="center"/>
          </w:tcPr>
          <w:p w14:paraId="3CC1BB5F" w14:textId="73286E89" w:rsidR="00775C38" w:rsidRPr="00775C38" w:rsidRDefault="00775C38" w:rsidP="00775C38">
            <w:pPr>
              <w:pStyle w:val="BodyText"/>
              <w:rPr>
                <w:lang w:val="en-IN"/>
              </w:rPr>
            </w:pPr>
          </w:p>
        </w:tc>
      </w:tr>
    </w:tbl>
    <w:p w14:paraId="1BBB0689" w14:textId="561F4283" w:rsidR="005B6144" w:rsidRPr="005B6144" w:rsidRDefault="005B6144" w:rsidP="005B6144">
      <w:pPr>
        <w:pStyle w:val="BodyText"/>
        <w:ind w:firstLine="0"/>
        <w:rPr>
          <w:lang w:val="en-IN"/>
        </w:rPr>
      </w:pPr>
      <w:r w:rsidRPr="005B6144">
        <w:rPr>
          <w:lang w:val="en-IN"/>
        </w:rPr>
        <w:t xml:space="preserve">The transition from the </w:t>
      </w:r>
      <w:proofErr w:type="spellStart"/>
      <w:r w:rsidRPr="005B6144">
        <w:rPr>
          <w:lang w:val="en-IN"/>
        </w:rPr>
        <w:t>FaceForensics</w:t>
      </w:r>
      <w:proofErr w:type="spellEnd"/>
      <w:r w:rsidRPr="005B6144">
        <w:rPr>
          <w:lang w:val="en-IN"/>
        </w:rPr>
        <w:t>++ [10] to DeeperForensics-1.0 [11] marks a shift from large-scale collection of "in the wild" videos to highly controlled, professionally-acted videos with extensive, systematic perturbations. DeeperForensics-1.0's strength lies in its sheer scale and the inclusion of 35 types of real-world perturbations, which directly addresses the challenge of model robustness against compression and low-quality video [7]. The use of paid actors in DeeperForensics-1.0 ensures a high-quality, diverse set of source videos, which is crucial for training models that generalize across different identities and lighting conditions.</w:t>
      </w:r>
    </w:p>
    <w:p w14:paraId="4FDD630A" w14:textId="77777777" w:rsidR="005B6144" w:rsidRPr="005B6144" w:rsidRDefault="005B6144" w:rsidP="005B6144">
      <w:pPr>
        <w:pStyle w:val="BodyText"/>
        <w:rPr>
          <w:i/>
          <w:iCs/>
          <w:noProof/>
          <w:lang w:val="en-IN"/>
        </w:rPr>
      </w:pPr>
      <w:r w:rsidRPr="005B6144">
        <w:rPr>
          <w:i/>
          <w:iCs/>
          <w:noProof/>
          <w:lang w:val="en-IN"/>
        </w:rPr>
        <w:br/>
        <w:t>B. Comparative Statistical Performance</w:t>
      </w:r>
    </w:p>
    <w:p w14:paraId="202A4DFA" w14:textId="65EA60F9" w:rsidR="005B6144" w:rsidRPr="005B6144" w:rsidRDefault="005B6144" w:rsidP="005B6144">
      <w:pPr>
        <w:pStyle w:val="BodyText"/>
        <w:ind w:firstLine="0"/>
        <w:rPr>
          <w:lang w:val="en-IN"/>
        </w:rPr>
      </w:pPr>
      <w:r w:rsidRPr="005B6144">
        <w:rPr>
          <w:lang w:val="en-IN"/>
        </w:rPr>
        <w:t>The papers consistently rely on standard binary classification metrics, with a strong emphasis on Accuracy, Precision, Recall, F1-Score, and the Area Under the Curve (AUC). The true measure of a model's effectiveness, however, is its generalization ability across diverse datasets.</w:t>
      </w:r>
    </w:p>
    <w:p w14:paraId="5DC2C936" w14:textId="77777777" w:rsidR="005B6144" w:rsidRPr="005B6144" w:rsidRDefault="005B6144" w:rsidP="005B6144">
      <w:pPr>
        <w:pStyle w:val="BodyText"/>
        <w:ind w:firstLine="0"/>
        <w:rPr>
          <w:lang w:val="en-IN"/>
        </w:rPr>
      </w:pPr>
      <w:r w:rsidRPr="005B6144">
        <w:rPr>
          <w:lang w:val="en-IN"/>
        </w:rPr>
        <w:t xml:space="preserve">Ciftci </w:t>
      </w:r>
      <w:r w:rsidRPr="005B6144">
        <w:rPr>
          <w:i/>
          <w:iCs/>
          <w:lang w:val="en-IN"/>
        </w:rPr>
        <w:t>et al.</w:t>
      </w:r>
      <w:r w:rsidRPr="005B6144">
        <w:rPr>
          <w:lang w:val="en-IN"/>
        </w:rPr>
        <w:t xml:space="preserve"> [12] developed a hybrid model combining a Convolutional Neural Network (CNN) and a Support Vector Machine (SVM) that </w:t>
      </w:r>
      <w:proofErr w:type="spellStart"/>
      <w:r w:rsidRPr="005B6144">
        <w:rPr>
          <w:lang w:val="en-IN"/>
        </w:rPr>
        <w:t>analyzes</w:t>
      </w:r>
      <w:proofErr w:type="spellEnd"/>
      <w:r w:rsidRPr="005B6144">
        <w:rPr>
          <w:lang w:val="en-IN"/>
        </w:rPr>
        <w:t xml:space="preserve"> photoplethysmography (PPG) signals to detect Deepfakes. The model was trained on several datasets, including </w:t>
      </w:r>
      <w:proofErr w:type="spellStart"/>
      <w:r w:rsidRPr="005B6144">
        <w:rPr>
          <w:lang w:val="en-IN"/>
        </w:rPr>
        <w:t>FaceForensics</w:t>
      </w:r>
      <w:proofErr w:type="spellEnd"/>
      <w:r w:rsidRPr="005B6144">
        <w:rPr>
          <w:lang w:val="en-IN"/>
        </w:rPr>
        <w:t xml:space="preserve"> (FF), </w:t>
      </w:r>
      <w:proofErr w:type="spellStart"/>
      <w:r w:rsidRPr="005B6144">
        <w:rPr>
          <w:lang w:val="en-IN"/>
        </w:rPr>
        <w:t>FaceForensics</w:t>
      </w:r>
      <w:proofErr w:type="spellEnd"/>
      <w:r w:rsidRPr="005B6144">
        <w:rPr>
          <w:lang w:val="en-IN"/>
        </w:rPr>
        <w:t xml:space="preserve">++ (FF++), </w:t>
      </w:r>
      <w:proofErr w:type="spellStart"/>
      <w:r w:rsidRPr="005B6144">
        <w:rPr>
          <w:lang w:val="en-IN"/>
        </w:rPr>
        <w:t>CelebDF</w:t>
      </w:r>
      <w:proofErr w:type="spellEnd"/>
      <w:r w:rsidRPr="005B6144">
        <w:rPr>
          <w:lang w:val="en-IN"/>
        </w:rPr>
        <w:t>, and a custom dataset. It achieved 96.0% accuracy on the FF dataset and a 94.65% generalization score on FF++, demonstrating strong robustness and independence from specific generative models.</w:t>
      </w:r>
    </w:p>
    <w:p w14:paraId="14AE07D8" w14:textId="77777777" w:rsidR="005B6144" w:rsidRPr="005B6144" w:rsidRDefault="005B6144" w:rsidP="005B6144">
      <w:pPr>
        <w:pStyle w:val="BodyText"/>
        <w:ind w:firstLine="0"/>
        <w:rPr>
          <w:lang w:val="en-IN"/>
        </w:rPr>
      </w:pPr>
      <w:r w:rsidRPr="005B6144">
        <w:rPr>
          <w:lang w:val="en-IN"/>
        </w:rPr>
        <w:t xml:space="preserve">Mishra </w:t>
      </w:r>
      <w:r w:rsidRPr="005B6144">
        <w:rPr>
          <w:i/>
          <w:iCs/>
          <w:lang w:val="en-IN"/>
        </w:rPr>
        <w:t>et al.</w:t>
      </w:r>
      <w:r w:rsidRPr="005B6144">
        <w:rPr>
          <w:lang w:val="en-IN"/>
        </w:rPr>
        <w:t xml:space="preserve"> [2] adopted </w:t>
      </w:r>
      <w:proofErr w:type="spellStart"/>
      <w:r w:rsidRPr="005B6144">
        <w:rPr>
          <w:lang w:val="en-IN"/>
        </w:rPr>
        <w:t>XceptionNet</w:t>
      </w:r>
      <w:proofErr w:type="spellEnd"/>
      <w:r w:rsidRPr="005B6144">
        <w:rPr>
          <w:lang w:val="en-IN"/>
        </w:rPr>
        <w:t xml:space="preserve"> through transfer learning, training it on the </w:t>
      </w:r>
      <w:proofErr w:type="spellStart"/>
      <w:r w:rsidRPr="005B6144">
        <w:rPr>
          <w:lang w:val="en-IN"/>
        </w:rPr>
        <w:t>FaceForensics</w:t>
      </w:r>
      <w:proofErr w:type="spellEnd"/>
      <w:r w:rsidRPr="005B6144">
        <w:rPr>
          <w:lang w:val="en-IN"/>
        </w:rPr>
        <w:t xml:space="preserve">++, DFDC, and </w:t>
      </w:r>
      <w:proofErr w:type="spellStart"/>
      <w:r w:rsidRPr="005B6144">
        <w:rPr>
          <w:lang w:val="en-IN"/>
        </w:rPr>
        <w:t>CelebDF</w:t>
      </w:r>
      <w:proofErr w:type="spellEnd"/>
      <w:r w:rsidRPr="005B6144">
        <w:rPr>
          <w:lang w:val="en-IN"/>
        </w:rPr>
        <w:t xml:space="preserve"> datasets. Their model reached an accuracy of 93.8% and showed promising generalization performance across datasets. The model was also designed for web-based deployment, though its performance relies heavily on pre-trained weights.</w:t>
      </w:r>
    </w:p>
    <w:p w14:paraId="736F9A2B" w14:textId="77777777" w:rsidR="005B6144" w:rsidRPr="005B6144" w:rsidRDefault="005B6144" w:rsidP="005B6144">
      <w:pPr>
        <w:pStyle w:val="BodyText"/>
        <w:ind w:firstLine="0"/>
        <w:rPr>
          <w:lang w:val="en-IN"/>
        </w:rPr>
      </w:pPr>
      <w:r w:rsidRPr="005B6144">
        <w:rPr>
          <w:lang w:val="en-IN"/>
        </w:rPr>
        <w:t>Li and Lyu [8] utilized a ResNet50 architecture trained on the UADFV (simulated) dataset. They reported an outstanding 99.8% AUC, although this was based on an earlier dataset, so a generalization score was not provided. The model stands out for its efficient training process, achieved through the simulation of visual artifacts rather than real manipulations.</w:t>
      </w:r>
    </w:p>
    <w:p w14:paraId="1B7A6660" w14:textId="77777777" w:rsidR="005B6144" w:rsidRPr="005B6144" w:rsidRDefault="005B6144" w:rsidP="005B6144">
      <w:pPr>
        <w:pStyle w:val="BodyText"/>
        <w:ind w:firstLine="0"/>
        <w:rPr>
          <w:lang w:val="en-IN"/>
        </w:rPr>
      </w:pPr>
      <w:proofErr w:type="spellStart"/>
      <w:r w:rsidRPr="005B6144">
        <w:rPr>
          <w:lang w:val="en-IN"/>
        </w:rPr>
        <w:t>Afchar</w:t>
      </w:r>
      <w:proofErr w:type="spellEnd"/>
      <w:r w:rsidRPr="005B6144">
        <w:rPr>
          <w:lang w:val="en-IN"/>
        </w:rPr>
        <w:t xml:space="preserve"> </w:t>
      </w:r>
      <w:r w:rsidRPr="005B6144">
        <w:rPr>
          <w:i/>
          <w:iCs/>
          <w:lang w:val="en-IN"/>
        </w:rPr>
        <w:t>et al.</w:t>
      </w:r>
      <w:r w:rsidRPr="005B6144">
        <w:rPr>
          <w:lang w:val="en-IN"/>
        </w:rPr>
        <w:t xml:space="preserve"> [9] introduced </w:t>
      </w:r>
      <w:proofErr w:type="spellStart"/>
      <w:r w:rsidRPr="005B6144">
        <w:rPr>
          <w:lang w:val="en-IN"/>
        </w:rPr>
        <w:t>MesoNet</w:t>
      </w:r>
      <w:proofErr w:type="spellEnd"/>
      <w:r w:rsidRPr="005B6144">
        <w:rPr>
          <w:lang w:val="en-IN"/>
        </w:rPr>
        <w:t xml:space="preserve"> (Meso-4), trained on the Custom Deepfake and </w:t>
      </w:r>
      <w:proofErr w:type="spellStart"/>
      <w:r w:rsidRPr="005B6144">
        <w:rPr>
          <w:lang w:val="en-IN"/>
        </w:rPr>
        <w:t>FaceForensics</w:t>
      </w:r>
      <w:proofErr w:type="spellEnd"/>
      <w:r w:rsidRPr="005B6144">
        <w:rPr>
          <w:lang w:val="en-IN"/>
        </w:rPr>
        <w:t xml:space="preserve"> datasets. This lightweight model achieved a detection rate above 98% and over 95% generalization accuracy on the FF dataset. Its compact design with a low parameter count makes it efficient and well-suited for real-time Deepfake detection.</w:t>
      </w:r>
    </w:p>
    <w:p w14:paraId="41B62301" w14:textId="77777777" w:rsidR="005B6144" w:rsidRPr="005B6144" w:rsidRDefault="005B6144" w:rsidP="005B6144">
      <w:pPr>
        <w:pStyle w:val="BodyText"/>
        <w:ind w:firstLine="0"/>
        <w:rPr>
          <w:lang w:val="en-IN"/>
        </w:rPr>
      </w:pPr>
      <w:proofErr w:type="spellStart"/>
      <w:r w:rsidRPr="005B6144">
        <w:rPr>
          <w:lang w:val="en-IN"/>
        </w:rPr>
        <w:t>AlShariah</w:t>
      </w:r>
      <w:proofErr w:type="spellEnd"/>
      <w:r w:rsidRPr="005B6144">
        <w:rPr>
          <w:lang w:val="en-IN"/>
        </w:rPr>
        <w:t xml:space="preserve"> and </w:t>
      </w:r>
      <w:proofErr w:type="spellStart"/>
      <w:r w:rsidRPr="005B6144">
        <w:rPr>
          <w:lang w:val="en-IN"/>
        </w:rPr>
        <w:t>Saudagar</w:t>
      </w:r>
      <w:proofErr w:type="spellEnd"/>
      <w:r w:rsidRPr="005B6144">
        <w:rPr>
          <w:lang w:val="en-IN"/>
        </w:rPr>
        <w:t xml:space="preserve"> [3] employed </w:t>
      </w:r>
      <w:proofErr w:type="spellStart"/>
      <w:r w:rsidRPr="005B6144">
        <w:rPr>
          <w:lang w:val="en-IN"/>
        </w:rPr>
        <w:t>AlexNet</w:t>
      </w:r>
      <w:proofErr w:type="spellEnd"/>
      <w:r w:rsidRPr="005B6144">
        <w:rPr>
          <w:lang w:val="en-IN"/>
        </w:rPr>
        <w:t xml:space="preserve"> with transfer learning, trained on a custom Instagram dataset. The model achieved 97.0% accuracy, though this high result is likely influenced by the simple forgery types present in the dataset, limiting its performance on more complex manipulations.</w:t>
      </w:r>
    </w:p>
    <w:p w14:paraId="0369A4B3" w14:textId="77777777" w:rsidR="005B6144" w:rsidRPr="005B6144" w:rsidRDefault="005B6144" w:rsidP="005B6144">
      <w:pPr>
        <w:pStyle w:val="BodyText"/>
        <w:ind w:firstLine="0"/>
        <w:rPr>
          <w:lang w:val="en-IN"/>
        </w:rPr>
      </w:pPr>
      <w:r w:rsidRPr="005B6144">
        <w:rPr>
          <w:lang w:val="en-IN"/>
        </w:rPr>
        <w:t xml:space="preserve">Amin </w:t>
      </w:r>
      <w:r w:rsidRPr="005B6144">
        <w:rPr>
          <w:i/>
          <w:iCs/>
          <w:lang w:val="en-IN"/>
        </w:rPr>
        <w:t>et al.</w:t>
      </w:r>
      <w:r w:rsidRPr="005B6144">
        <w:rPr>
          <w:lang w:val="en-IN"/>
        </w:rPr>
        <w:t xml:space="preserve"> [5] proposed the TCAN model, a Transformer-based architecture evaluated using </w:t>
      </w:r>
      <w:proofErr w:type="spellStart"/>
      <w:r w:rsidRPr="005B6144">
        <w:rPr>
          <w:lang w:val="en-IN"/>
        </w:rPr>
        <w:t>FaceForensics</w:t>
      </w:r>
      <w:proofErr w:type="spellEnd"/>
      <w:r w:rsidRPr="005B6144">
        <w:rPr>
          <w:lang w:val="en-IN"/>
        </w:rPr>
        <w:t>++, DFDC, and CelebDF-V2 datasets. The results were competitive and consistently high, showing excellent generalization potential. However, the model’s Transformer backbone introduces significant computational overhead, making it resource-intensive.</w:t>
      </w:r>
    </w:p>
    <w:p w14:paraId="06E01782" w14:textId="1FC249EF" w:rsidR="005B6144" w:rsidRPr="005B6144" w:rsidRDefault="005B6144" w:rsidP="005B6144">
      <w:pPr>
        <w:pStyle w:val="BodyText"/>
        <w:ind w:firstLine="0"/>
        <w:rPr>
          <w:lang w:val="en-IN"/>
        </w:rPr>
      </w:pPr>
      <w:r w:rsidRPr="005B6144">
        <w:rPr>
          <w:lang w:val="en-IN"/>
        </w:rPr>
        <w:t xml:space="preserve">Finally, Shaikh </w:t>
      </w:r>
      <w:r w:rsidRPr="005B6144">
        <w:rPr>
          <w:i/>
          <w:iCs/>
          <w:lang w:val="en-IN"/>
        </w:rPr>
        <w:t>et al.</w:t>
      </w:r>
      <w:r w:rsidRPr="005B6144">
        <w:rPr>
          <w:lang w:val="en-IN"/>
        </w:rPr>
        <w:t xml:space="preserve"> [1] designed a custom CNN model and evaluated it on a curated dataset, achieving 82.7% accuracy. While the model focuses on a user-friendly and interpretable design, its lower accuracy suggests limited depth and architectural complexity compared to other approaches.</w:t>
      </w:r>
    </w:p>
    <w:p w14:paraId="345637C8" w14:textId="3C382F4F" w:rsidR="005B6144" w:rsidRDefault="005B6144" w:rsidP="005B6144">
      <w:pPr>
        <w:pStyle w:val="BodyText"/>
        <w:ind w:firstLine="0"/>
        <w:rPr>
          <w:lang w:val="en-IN"/>
        </w:rPr>
      </w:pPr>
      <w:r>
        <w:rPr>
          <w:lang w:val="en-IN"/>
        </w:rPr>
        <w:t>It illustrates</w:t>
      </w:r>
      <w:r w:rsidRPr="005B6144">
        <w:rPr>
          <w:lang w:val="en-IN"/>
        </w:rPr>
        <w:t xml:space="preserve"> a key statistical paradox: the highest reported scores (e.g., 99.8% AUC by Li &amp; Lyu [8]) often come from models tested on older or custom, less challenging datasets. Conversely, models that demonstrate strong generalization across multiple, challenging datasets (e.g., Ciftci et al. [12] and Amin et al. [5]) provide the most reliable statistical indicators of real-world performance, even if their peak accuracy is slightly lower. The review by </w:t>
      </w:r>
      <w:proofErr w:type="spellStart"/>
      <w:r w:rsidRPr="005B6144">
        <w:rPr>
          <w:lang w:val="en-IN"/>
        </w:rPr>
        <w:t>Alrashoud</w:t>
      </w:r>
      <w:proofErr w:type="spellEnd"/>
      <w:r w:rsidRPr="005B6144">
        <w:rPr>
          <w:lang w:val="en-IN"/>
        </w:rPr>
        <w:t xml:space="preserve"> (2025) [7] provides the crucial context that while models achieve near-perfect accuracy in controlled settings, their performance drops significantly to around 65% in real-world scenarios, underscoring the need for the challenging datasets created by </w:t>
      </w:r>
      <w:proofErr w:type="spellStart"/>
      <w:r w:rsidRPr="005B6144">
        <w:rPr>
          <w:lang w:val="en-IN"/>
        </w:rPr>
        <w:t>Ro¨ssler</w:t>
      </w:r>
      <w:proofErr w:type="spellEnd"/>
      <w:r w:rsidRPr="005B6144">
        <w:rPr>
          <w:lang w:val="en-IN"/>
        </w:rPr>
        <w:t xml:space="preserve"> et al. [10] and Jiang et al. [11].</w:t>
      </w:r>
    </w:p>
    <w:p w14:paraId="70993BD9" w14:textId="77777777" w:rsidR="005B6144" w:rsidRDefault="005B6144" w:rsidP="005B6144">
      <w:pPr>
        <w:pStyle w:val="BodyText"/>
        <w:ind w:firstLine="0"/>
        <w:rPr>
          <w:lang w:val="en-IN"/>
        </w:rPr>
      </w:pPr>
    </w:p>
    <w:p w14:paraId="5CD541FE" w14:textId="77777777" w:rsidR="005B6144" w:rsidRPr="005B6144" w:rsidRDefault="005B6144" w:rsidP="005B6144">
      <w:pPr>
        <w:pStyle w:val="BodyText"/>
        <w:ind w:firstLine="0"/>
        <w:rPr>
          <w:lang w:val="en-IN"/>
        </w:rPr>
      </w:pPr>
      <w:r w:rsidRPr="005B6144">
        <w:rPr>
          <w:lang w:val="en-IN"/>
        </w:rPr>
        <w:t>IV. Critical Review of Strengths and Weaknesses</w:t>
      </w:r>
    </w:p>
    <w:p w14:paraId="1C17F375" w14:textId="77777777" w:rsidR="005B6144" w:rsidRPr="005B6144" w:rsidRDefault="005B6144" w:rsidP="005B6144">
      <w:pPr>
        <w:pStyle w:val="BodyText"/>
        <w:ind w:firstLine="0"/>
        <w:rPr>
          <w:lang w:val="en-IN"/>
        </w:rPr>
      </w:pPr>
    </w:p>
    <w:p w14:paraId="3CA2BDBD" w14:textId="116226C1" w:rsidR="009303D9" w:rsidRPr="005B520E" w:rsidRDefault="009303D9" w:rsidP="00E7596C">
      <w:pPr>
        <w:pStyle w:val="BodyText"/>
      </w:pPr>
      <w:r w:rsidRPr="005B520E">
        <w:t>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4A55D978"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5A84BA51" w14:textId="77777777" w:rsidR="009303D9" w:rsidRDefault="009303D9" w:rsidP="00ED0149">
      <w:pPr>
        <w:pStyle w:val="Heading2"/>
      </w:pPr>
      <w:r>
        <w:t>Figures and Tables</w:t>
      </w:r>
    </w:p>
    <w:p w14:paraId="30EC9A95"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7FF301D8" w14:textId="77777777" w:rsidR="009303D9" w:rsidRPr="005B520E" w:rsidRDefault="009303D9">
      <w:pPr>
        <w:pStyle w:val="tablehead"/>
      </w:pPr>
      <w:r>
        <w:t>Table Type Styles</w:t>
      </w:r>
    </w:p>
    <w:tbl>
      <w:tblPr>
        <w:tblW w:w="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14:paraId="1278A9EF" w14:textId="77777777">
        <w:trPr>
          <w:cantSplit/>
          <w:trHeight w:val="240"/>
          <w:tblHeader/>
          <w:jc w:val="center"/>
        </w:trPr>
        <w:tc>
          <w:tcPr>
            <w:tcW w:w="720" w:type="dxa"/>
            <w:vMerge w:val="restart"/>
            <w:vAlign w:val="center"/>
          </w:tcPr>
          <w:p w14:paraId="289AB2C2" w14:textId="77777777" w:rsidR="009303D9" w:rsidRDefault="009303D9">
            <w:pPr>
              <w:pStyle w:val="tablecolhead"/>
            </w:pPr>
            <w:r>
              <w:t>Table Head</w:t>
            </w:r>
          </w:p>
        </w:tc>
        <w:tc>
          <w:tcPr>
            <w:tcW w:w="4140" w:type="dxa"/>
            <w:gridSpan w:val="3"/>
            <w:vAlign w:val="center"/>
          </w:tcPr>
          <w:p w14:paraId="51C8768C" w14:textId="77777777" w:rsidR="009303D9" w:rsidRDefault="009303D9">
            <w:pPr>
              <w:pStyle w:val="tablecolhead"/>
            </w:pPr>
            <w:r>
              <w:t>Table Column Head</w:t>
            </w:r>
          </w:p>
        </w:tc>
      </w:tr>
      <w:tr w:rsidR="009303D9" w14:paraId="6C4244AA" w14:textId="77777777">
        <w:trPr>
          <w:cantSplit/>
          <w:trHeight w:val="240"/>
          <w:tblHeader/>
          <w:jc w:val="center"/>
        </w:trPr>
        <w:tc>
          <w:tcPr>
            <w:tcW w:w="720" w:type="dxa"/>
            <w:vMerge/>
          </w:tcPr>
          <w:p w14:paraId="3A1BFDD5" w14:textId="77777777" w:rsidR="009303D9" w:rsidRDefault="009303D9">
            <w:pPr>
              <w:rPr>
                <w:sz w:val="16"/>
                <w:szCs w:val="16"/>
              </w:rPr>
            </w:pPr>
          </w:p>
        </w:tc>
        <w:tc>
          <w:tcPr>
            <w:tcW w:w="2340" w:type="dxa"/>
            <w:vAlign w:val="center"/>
          </w:tcPr>
          <w:p w14:paraId="5EE59D35" w14:textId="77777777" w:rsidR="009303D9" w:rsidRDefault="009303D9">
            <w:pPr>
              <w:pStyle w:val="tablecolsubhead"/>
            </w:pPr>
            <w:r>
              <w:t>Table column subhead</w:t>
            </w:r>
          </w:p>
        </w:tc>
        <w:tc>
          <w:tcPr>
            <w:tcW w:w="900" w:type="dxa"/>
            <w:vAlign w:val="center"/>
          </w:tcPr>
          <w:p w14:paraId="29CCE960" w14:textId="77777777" w:rsidR="009303D9" w:rsidRDefault="009303D9">
            <w:pPr>
              <w:pStyle w:val="tablecolsubhead"/>
            </w:pPr>
            <w:r>
              <w:t>Subhead</w:t>
            </w:r>
          </w:p>
        </w:tc>
        <w:tc>
          <w:tcPr>
            <w:tcW w:w="900" w:type="dxa"/>
            <w:vAlign w:val="center"/>
          </w:tcPr>
          <w:p w14:paraId="3521C9AA" w14:textId="77777777" w:rsidR="009303D9" w:rsidRDefault="009303D9">
            <w:pPr>
              <w:pStyle w:val="tablecolsubhead"/>
            </w:pPr>
            <w:r>
              <w:t>Subhead</w:t>
            </w:r>
          </w:p>
        </w:tc>
      </w:tr>
      <w:tr w:rsidR="009303D9" w14:paraId="2694D18A" w14:textId="77777777">
        <w:trPr>
          <w:trHeight w:val="320"/>
          <w:jc w:val="center"/>
        </w:trPr>
        <w:tc>
          <w:tcPr>
            <w:tcW w:w="720" w:type="dxa"/>
            <w:vAlign w:val="center"/>
          </w:tcPr>
          <w:p w14:paraId="455119A8" w14:textId="77777777" w:rsidR="009303D9" w:rsidRDefault="009303D9">
            <w:pPr>
              <w:pStyle w:val="tablecopy"/>
              <w:rPr>
                <w:sz w:val="8"/>
                <w:szCs w:val="8"/>
              </w:rPr>
            </w:pPr>
            <w:r>
              <w:t>copy</w:t>
            </w:r>
          </w:p>
        </w:tc>
        <w:tc>
          <w:tcPr>
            <w:tcW w:w="2340" w:type="dxa"/>
            <w:vAlign w:val="center"/>
          </w:tcPr>
          <w:p w14:paraId="53520B16" w14:textId="77777777" w:rsidR="009303D9" w:rsidRDefault="009303D9">
            <w:pPr>
              <w:pStyle w:val="tablecopy"/>
            </w:pPr>
            <w:r>
              <w:t>More table copy</w:t>
            </w:r>
            <w:r>
              <w:rPr>
                <w:vertAlign w:val="superscript"/>
              </w:rPr>
              <w:t>a</w:t>
            </w:r>
          </w:p>
        </w:tc>
        <w:tc>
          <w:tcPr>
            <w:tcW w:w="900" w:type="dxa"/>
            <w:vAlign w:val="center"/>
          </w:tcPr>
          <w:p w14:paraId="0D8028A8" w14:textId="77777777" w:rsidR="009303D9" w:rsidRDefault="009303D9">
            <w:pPr>
              <w:rPr>
                <w:sz w:val="16"/>
                <w:szCs w:val="16"/>
              </w:rPr>
            </w:pPr>
          </w:p>
        </w:tc>
        <w:tc>
          <w:tcPr>
            <w:tcW w:w="900" w:type="dxa"/>
            <w:vAlign w:val="center"/>
          </w:tcPr>
          <w:p w14:paraId="08A46A75" w14:textId="77777777" w:rsidR="009303D9" w:rsidRDefault="009303D9">
            <w:pPr>
              <w:rPr>
                <w:sz w:val="16"/>
                <w:szCs w:val="16"/>
              </w:rPr>
            </w:pPr>
          </w:p>
        </w:tc>
      </w:tr>
    </w:tbl>
    <w:p w14:paraId="3637561A" w14:textId="77777777" w:rsidR="009303D9" w:rsidRPr="005B520E" w:rsidRDefault="006347CF" w:rsidP="005E2800">
      <w:pPr>
        <w:pStyle w:val="tablefootnote"/>
      </w:pPr>
      <w:r>
        <w:rPr>
          <w:noProof/>
        </w:rPr>
        <mc:AlternateContent>
          <mc:Choice Requires="wps">
            <w:drawing>
              <wp:anchor distT="0" distB="0" distL="114300" distR="114300" simplePos="0" relativeHeight="251657728" behindDoc="1" locked="0" layoutInCell="1" allowOverlap="1" wp14:anchorId="381BB491" wp14:editId="19EAE509">
                <wp:simplePos x="0" y="0"/>
                <wp:positionH relativeFrom="column">
                  <wp:align>right</wp:align>
                </wp:positionH>
                <wp:positionV relativeFrom="paragraph">
                  <wp:posOffset>134836</wp:posOffset>
                </wp:positionV>
                <wp:extent cx="3200400" cy="1143000"/>
                <wp:effectExtent l="0" t="0" r="19050" b="19050"/>
                <wp:wrapTight wrapText="bothSides">
                  <wp:wrapPolygon edited="0">
                    <wp:start x="0" y="0"/>
                    <wp:lineTo x="0" y="21600"/>
                    <wp:lineTo x="21600" y="21600"/>
                    <wp:lineTo x="21600" y="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14:paraId="372C3C5A"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37140F81" w14:textId="77777777" w:rsidR="0080791D" w:rsidRDefault="0080791D" w:rsidP="00E7596C">
                            <w:pPr>
                              <w:pStyle w:val="BodyText"/>
                            </w:pPr>
                            <w:r>
                              <w:t>To have non-visible rules on your frame, use the MSWord “Format” pull-down menu, select Text Box &gt; Colors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BB491" id="_x0000_t202" coordsize="21600,21600" o:spt="202" path="m,l,21600r21600,l21600,xe">
                <v:stroke joinstyle="miter"/>
                <v:path gradientshapeok="t" o:connecttype="rect"/>
              </v:shapetype>
              <v:shape id="Text Box 8" o:spid="_x0000_s1026" type="#_x0000_t202" style="position:absolute;left:0;text-align:left;margin-left:200.8pt;margin-top:10.6pt;width:252pt;height:90pt;z-index:-25165875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">
                <v:textbox>
                  <w:txbxContent>
                    <w:p w14:paraId="372C3C5A"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37140F81" w14:textId="77777777" w:rsidR="0080791D" w:rsidRDefault="0080791D" w:rsidP="00E7596C">
                      <w:pPr>
                        <w:pStyle w:val="BodyText"/>
                      </w:pPr>
                      <w:r>
                        <w:t>To have non-visible rules on your frame, use the MSWord “Format” pull-down menu, select Text Box &gt; Colors and Lines to choose No Fill and No Line.</w:t>
                      </w:r>
                    </w:p>
                  </w:txbxContent>
                </v:textbox>
                <w10:wrap type="tight"/>
              </v:shape>
            </w:pict>
          </mc:Fallback>
        </mc:AlternateContent>
      </w:r>
      <w:r w:rsidR="009303D9">
        <w:t xml:space="preserve">Sample </w:t>
      </w:r>
      <w:r w:rsidR="009303D9" w:rsidRPr="005E2800">
        <w:t>of</w:t>
      </w:r>
      <w:r w:rsidR="009303D9">
        <w:t xml:space="preserve"> a </w:t>
      </w:r>
      <w:r w:rsidR="009303D9" w:rsidRPr="005B520E">
        <w:t>Table</w:t>
      </w:r>
      <w:r w:rsidR="009303D9">
        <w:t xml:space="preserve"> </w:t>
      </w:r>
      <w:r w:rsidR="009303D9" w:rsidRPr="003A19E2">
        <w:t>footnote</w:t>
      </w:r>
      <w:r w:rsidR="009303D9">
        <w:t xml:space="preserve">. </w:t>
      </w:r>
      <w:r w:rsidR="009303D9" w:rsidRPr="005B520E">
        <w:t>(</w:t>
      </w:r>
      <w:r w:rsidR="009303D9" w:rsidRPr="005B0344">
        <w:rPr>
          <w:i/>
        </w:rPr>
        <w:t>Table footnote</w:t>
      </w:r>
      <w:r w:rsidR="009303D9" w:rsidRPr="005B520E">
        <w:t>)</w:t>
      </w:r>
    </w:p>
    <w:p w14:paraId="03EEFB6A"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022FCE6E" w14:textId="77777777"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7F0EF8EC"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7C7060F5" w14:textId="77777777" w:rsidR="00575BCA" w:rsidRDefault="0080791D" w:rsidP="001A42EA">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r w:rsidR="001A42EA">
        <w:t xml:space="preserve"> </w:t>
      </w:r>
    </w:p>
    <w:p w14:paraId="7E448512" w14:textId="77777777" w:rsidR="009303D9" w:rsidRDefault="009303D9" w:rsidP="00A059B3">
      <w:pPr>
        <w:pStyle w:val="Heading5"/>
      </w:pPr>
      <w:r w:rsidRPr="005B520E">
        <w:t>References</w:t>
      </w:r>
    </w:p>
    <w:p w14:paraId="25B1FD4D"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384F2CE5"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507A1054"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75D136C3"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762EC548" w14:textId="77777777" w:rsidR="009303D9" w:rsidRPr="005B520E" w:rsidRDefault="009303D9"/>
    <w:p w14:paraId="7B535177" w14:textId="77777777" w:rsidR="009303D9" w:rsidRDefault="009303D9" w:rsidP="0004781E">
      <w:pPr>
        <w:pStyle w:val="references"/>
        <w:ind w:left="354" w:hanging="354"/>
      </w:pPr>
      <w:r>
        <w:t xml:space="preserve">G. Eason, B. Noble, and I. N. Sneddon, “On certain integrals of Lipschitz-Hankel type involving products of Bessel functions,” Phil. Trans. Roy. Soc. London, vol. A247, pp. 529–551, April 1955. </w:t>
      </w:r>
      <w:r>
        <w:rPr>
          <w:i/>
          <w:iCs/>
        </w:rPr>
        <w:t>(references)</w:t>
      </w:r>
    </w:p>
    <w:p w14:paraId="46693B3D" w14:textId="77777777" w:rsidR="009303D9" w:rsidRDefault="009303D9" w:rsidP="0004781E">
      <w:pPr>
        <w:pStyle w:val="references"/>
        <w:ind w:left="354" w:hanging="354"/>
      </w:pPr>
      <w:r>
        <w:t>J. Clerk Maxwell, A Treatise on Electricity and Magnetism, 3rd ed., vol. 2. Oxford: Clarendon, 1892, pp.68–73.</w:t>
      </w:r>
    </w:p>
    <w:p w14:paraId="4E127A7C" w14:textId="77777777"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14:paraId="35F1D365" w14:textId="77777777" w:rsidR="009303D9" w:rsidRDefault="009303D9" w:rsidP="0004781E">
      <w:pPr>
        <w:pStyle w:val="references"/>
        <w:ind w:left="354" w:hanging="354"/>
      </w:pPr>
      <w:r>
        <w:t>K. Elissa, “Title of paper if known,” unpublished.</w:t>
      </w:r>
    </w:p>
    <w:p w14:paraId="19479632" w14:textId="77777777" w:rsidR="009303D9" w:rsidRDefault="009303D9" w:rsidP="0004781E">
      <w:pPr>
        <w:pStyle w:val="references"/>
        <w:ind w:left="354" w:hanging="354"/>
      </w:pPr>
      <w:r>
        <w:t>R. Nicole, “Title of paper with only first word capitalized,” J. Name Stand. Abbrev., in press.</w:t>
      </w:r>
    </w:p>
    <w:p w14:paraId="6A59C119" w14:textId="77777777"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14:paraId="03CAF9EC" w14:textId="77777777" w:rsidR="00156B74" w:rsidRDefault="009303D9" w:rsidP="00156B74">
      <w:pPr>
        <w:pStyle w:val="references"/>
        <w:ind w:left="354" w:hanging="354"/>
      </w:pPr>
      <w:r>
        <w:t>M. Young, The Technical Writer</w:t>
      </w:r>
      <w:r w:rsidR="00E7596C">
        <w:t>’</w:t>
      </w:r>
      <w:r>
        <w:t>s Handbook. Mill Valley, CA: University Science, 1989.</w:t>
      </w:r>
    </w:p>
    <w:p w14:paraId="095CD6D1" w14:textId="77777777" w:rsidR="00156B74" w:rsidRPr="00156B74" w:rsidRDefault="00156B74" w:rsidP="00156B74">
      <w:pPr>
        <w:pStyle w:val="references"/>
        <w:ind w:left="354" w:hanging="354"/>
        <w:rPr>
          <w:rFonts w:ascii="NimbusRomNo9L-Regu" w:eastAsia="NimbusRomNo9L-Regu" w:cs="NimbusRomNo9L-Regu"/>
        </w:rPr>
      </w:pPr>
      <w:r w:rsidRPr="00156B74">
        <w:rPr>
          <w:rFonts w:ascii="NimbusRomNo9L-Regu" w:eastAsia="NimbusRomNo9L-Regu" w:cs="NimbusRomNo9L-Regu"/>
        </w:rPr>
        <w:t xml:space="preserve"> </w:t>
      </w:r>
      <w:r w:rsidRPr="00156B74">
        <w:t xml:space="preserve">K. Eves and J. Valasek, </w:t>
      </w:r>
      <w:r w:rsidRPr="00156B74">
        <w:rPr>
          <w:rFonts w:hint="eastAsia"/>
        </w:rPr>
        <w:t>“</w:t>
      </w:r>
      <w:r w:rsidRPr="00156B74">
        <w:t>Adaptive control for singularly perturbed systems examples,</w:t>
      </w:r>
      <w:r w:rsidRPr="00156B74">
        <w:rPr>
          <w:rFonts w:hint="eastAsia"/>
        </w:rPr>
        <w:t>”</w:t>
      </w:r>
      <w:r w:rsidRPr="00156B74">
        <w:t xml:space="preserve"> Code Ocean, Aug. 2023. [Online]. Available: </w:t>
      </w:r>
      <w:hyperlink r:id="rId9" w:history="1">
        <w:r w:rsidRPr="00156B74">
          <w:t>https://codeocean.com/capsule/4989235/tree</w:t>
        </w:r>
      </w:hyperlink>
      <w:r>
        <w:t xml:space="preserve"> </w:t>
      </w:r>
    </w:p>
    <w:p w14:paraId="02A693BF" w14:textId="77777777" w:rsidR="00156B74" w:rsidRDefault="00156B74" w:rsidP="00156B74">
      <w:pPr>
        <w:pStyle w:val="references"/>
        <w:autoSpaceDE w:val="0"/>
        <w:autoSpaceDN w:val="0"/>
        <w:adjustRightInd w:val="0"/>
        <w:ind w:left="354" w:hanging="354"/>
        <w:jc w:val="left"/>
      </w:pPr>
      <w:r w:rsidRPr="00156B74">
        <w:t xml:space="preserve">D. P. Kingma and M. Welling, </w:t>
      </w:r>
      <w:r w:rsidRPr="00156B74">
        <w:rPr>
          <w:rFonts w:hint="eastAsia"/>
        </w:rPr>
        <w:t>“</w:t>
      </w:r>
      <w:r w:rsidRPr="00156B74">
        <w:t>Auto-encoding variational Bayes,</w:t>
      </w:r>
      <w:r w:rsidRPr="00156B74">
        <w:rPr>
          <w:rFonts w:hint="eastAsia"/>
        </w:rPr>
        <w:t>”</w:t>
      </w:r>
      <w:r w:rsidRPr="00156B74">
        <w:t xml:space="preserve"> 2013, arXiv:1312.6114. [Online]. Available: </w:t>
      </w:r>
      <w:hyperlink r:id="rId10" w:history="1">
        <w:r w:rsidRPr="00156B74">
          <w:t>https://arxiv.org/abs/1312.6114</w:t>
        </w:r>
      </w:hyperlink>
    </w:p>
    <w:p w14:paraId="2E399E5B" w14:textId="78F18DC4" w:rsidR="00156B74" w:rsidRDefault="00156B74" w:rsidP="00156B74">
      <w:pPr>
        <w:pStyle w:val="references"/>
        <w:autoSpaceDE w:val="0"/>
        <w:autoSpaceDN w:val="0"/>
        <w:adjustRightInd w:val="0"/>
        <w:ind w:left="354" w:hanging="354"/>
        <w:jc w:val="left"/>
      </w:pPr>
      <w:r w:rsidRPr="00156B74">
        <w:t xml:space="preserve">S. Liu, </w:t>
      </w:r>
      <w:r w:rsidRPr="00156B74">
        <w:rPr>
          <w:rFonts w:hint="eastAsia"/>
        </w:rPr>
        <w:t>“</w:t>
      </w:r>
      <w:r w:rsidRPr="00156B74">
        <w:t>Wi-Fi Energy Detection Testbed (12MTC),</w:t>
      </w:r>
      <w:r w:rsidRPr="00156B74">
        <w:rPr>
          <w:rFonts w:hint="eastAsia"/>
        </w:rPr>
        <w:t>”</w:t>
      </w:r>
      <w:r w:rsidRPr="00156B74">
        <w:t xml:space="preserve"> 2023, gitHub repository. [Online]. Available: </w:t>
      </w:r>
      <w:r>
        <w:t xml:space="preserve">https://github.com/liustone99/Wi-Fi-Energy-Detection-Testbed-12MTC </w:t>
      </w:r>
    </w:p>
    <w:p w14:paraId="3B8DFCE8" w14:textId="7921C274" w:rsidR="00156B74" w:rsidRPr="00156B74" w:rsidRDefault="00156B74" w:rsidP="00156B74">
      <w:pPr>
        <w:pStyle w:val="references"/>
        <w:autoSpaceDE w:val="0"/>
        <w:autoSpaceDN w:val="0"/>
        <w:adjustRightInd w:val="0"/>
        <w:ind w:left="354" w:hanging="354"/>
        <w:jc w:val="left"/>
      </w:pPr>
      <w:r>
        <w:t>“</w:t>
      </w:r>
      <w:r w:rsidRPr="00156B74">
        <w:t>Treatment episode data set: discharges (TEDS-D): concatenated, 2006</w:t>
      </w:r>
      <w:r>
        <w:t xml:space="preserve"> </w:t>
      </w:r>
      <w:r w:rsidRPr="00156B74">
        <w:t>to 2009.</w:t>
      </w:r>
      <w:r w:rsidRPr="00156B74">
        <w:rPr>
          <w:rFonts w:hint="eastAsia"/>
        </w:rPr>
        <w:t>”</w:t>
      </w:r>
      <w:r w:rsidRPr="00156B74">
        <w:t xml:space="preserve"> U.S. Department of Health and Human Services, Substance</w:t>
      </w:r>
      <w:r>
        <w:t xml:space="preserve"> </w:t>
      </w:r>
      <w:r w:rsidRPr="00156B74">
        <w:t>Abuse and Mental Health Services Administration, Office of Applied Studies, August, 2013, DOI:10.3886/ICPSR30122.v2</w:t>
      </w:r>
    </w:p>
    <w:p w14:paraId="2A5DE92A" w14:textId="77777777" w:rsidR="009303D9" w:rsidRPr="00F96569" w:rsidRDefault="001A42EA" w:rsidP="00F96569">
      <w:pPr>
        <w:pStyle w:val="references"/>
        <w:numPr>
          <w:ilvl w:val="0"/>
          <w:numId w:val="0"/>
        </w:numPr>
        <w:ind w:left="360" w:hanging="360"/>
        <w:jc w:val="center"/>
        <w:rPr>
          <w:rFonts w:eastAsia="SimSun"/>
          <w:b/>
          <w:noProof w:val="0"/>
          <w:color w:val="FF0000"/>
          <w:spacing w:val="-1"/>
          <w:sz w:val="20"/>
          <w:szCs w:val="20"/>
          <w:lang w:val="x-none" w:eastAsia="x-none"/>
        </w:rPr>
        <w:sectPr w:rsidR="009303D9" w:rsidRPr="00F96569" w:rsidSect="00C919A4">
          <w:type w:val="continuous"/>
          <w:pgSz w:w="12240" w:h="15840" w:code="1"/>
          <w:pgMar w:top="1080" w:right="907" w:bottom="1440" w:left="907" w:header="720" w:footer="720" w:gutter="0"/>
          <w:cols w:num="2" w:space="360"/>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A83751">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6FC6C90C" w14:textId="77777777" w:rsidR="009303D9" w:rsidRPr="00F96569" w:rsidRDefault="009303D9" w:rsidP="00F96569">
      <w:pPr>
        <w:rPr>
          <w:color w:val="FF0000"/>
        </w:rPr>
      </w:pPr>
    </w:p>
    <w:sectPr w:rsidR="009303D9" w:rsidRPr="00F96569">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CAC3B" w14:textId="77777777" w:rsidR="00FE362E" w:rsidRDefault="00FE362E" w:rsidP="001A3B3D">
      <w:r>
        <w:separator/>
      </w:r>
    </w:p>
  </w:endnote>
  <w:endnote w:type="continuationSeparator" w:id="0">
    <w:p w14:paraId="4E39D3B9" w14:textId="77777777" w:rsidR="00FE362E" w:rsidRDefault="00FE362E"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NimbusRomNo9L-Regu">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1F62" w14:textId="77777777" w:rsidR="001A3B3D" w:rsidRPr="006F6D3D" w:rsidRDefault="001A3B3D" w:rsidP="0056610F">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6A0B5" w14:textId="77777777" w:rsidR="00FE362E" w:rsidRDefault="00FE362E" w:rsidP="001A3B3D">
      <w:r>
        <w:separator/>
      </w:r>
    </w:p>
  </w:footnote>
  <w:footnote w:type="continuationSeparator" w:id="0">
    <w:p w14:paraId="72C837B7" w14:textId="77777777" w:rsidR="00FE362E" w:rsidRDefault="00FE362E"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16cid:durableId="940377641">
    <w:abstractNumId w:val="14"/>
  </w:num>
  <w:num w:numId="2" w16cid:durableId="1397439891">
    <w:abstractNumId w:val="19"/>
  </w:num>
  <w:num w:numId="3" w16cid:durableId="539585121">
    <w:abstractNumId w:val="13"/>
  </w:num>
  <w:num w:numId="4" w16cid:durableId="1505513160">
    <w:abstractNumId w:val="16"/>
  </w:num>
  <w:num w:numId="5" w16cid:durableId="978925957">
    <w:abstractNumId w:val="16"/>
  </w:num>
  <w:num w:numId="6" w16cid:durableId="1721400726">
    <w:abstractNumId w:val="16"/>
  </w:num>
  <w:num w:numId="7" w16cid:durableId="687826470">
    <w:abstractNumId w:val="16"/>
  </w:num>
  <w:num w:numId="8" w16cid:durableId="143812469">
    <w:abstractNumId w:val="18"/>
  </w:num>
  <w:num w:numId="9" w16cid:durableId="1364867722">
    <w:abstractNumId w:val="20"/>
  </w:num>
  <w:num w:numId="10" w16cid:durableId="2029989048">
    <w:abstractNumId w:val="15"/>
  </w:num>
  <w:num w:numId="11" w16cid:durableId="642739898">
    <w:abstractNumId w:val="12"/>
  </w:num>
  <w:num w:numId="12" w16cid:durableId="1272741182">
    <w:abstractNumId w:val="11"/>
  </w:num>
  <w:num w:numId="13" w16cid:durableId="851069540">
    <w:abstractNumId w:val="0"/>
  </w:num>
  <w:num w:numId="14" w16cid:durableId="529344390">
    <w:abstractNumId w:val="10"/>
  </w:num>
  <w:num w:numId="15" w16cid:durableId="894972538">
    <w:abstractNumId w:val="8"/>
  </w:num>
  <w:num w:numId="16" w16cid:durableId="1023093075">
    <w:abstractNumId w:val="7"/>
  </w:num>
  <w:num w:numId="17" w16cid:durableId="1951620780">
    <w:abstractNumId w:val="6"/>
  </w:num>
  <w:num w:numId="18" w16cid:durableId="1765606468">
    <w:abstractNumId w:val="5"/>
  </w:num>
  <w:num w:numId="19" w16cid:durableId="409623909">
    <w:abstractNumId w:val="9"/>
  </w:num>
  <w:num w:numId="20" w16cid:durableId="1936084648">
    <w:abstractNumId w:val="4"/>
  </w:num>
  <w:num w:numId="21" w16cid:durableId="146483437">
    <w:abstractNumId w:val="3"/>
  </w:num>
  <w:num w:numId="22" w16cid:durableId="1467505995">
    <w:abstractNumId w:val="2"/>
  </w:num>
  <w:num w:numId="23" w16cid:durableId="1408696933">
    <w:abstractNumId w:val="1"/>
  </w:num>
  <w:num w:numId="24" w16cid:durableId="1366640472">
    <w:abstractNumId w:val="17"/>
  </w:num>
  <w:num w:numId="25" w16cid:durableId="19172828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defaultTabStop w:val="720"/>
  <w:doNotHyphenateCap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B5AEB"/>
    <w:rsid w:val="000C1E68"/>
    <w:rsid w:val="0015079E"/>
    <w:rsid w:val="00156B74"/>
    <w:rsid w:val="00176096"/>
    <w:rsid w:val="001A2EFD"/>
    <w:rsid w:val="001A3B3D"/>
    <w:rsid w:val="001A42EA"/>
    <w:rsid w:val="001B67DC"/>
    <w:rsid w:val="001D7BCF"/>
    <w:rsid w:val="002254A9"/>
    <w:rsid w:val="00233D97"/>
    <w:rsid w:val="0028402D"/>
    <w:rsid w:val="002850E3"/>
    <w:rsid w:val="00354FCF"/>
    <w:rsid w:val="00374C4A"/>
    <w:rsid w:val="003A19E2"/>
    <w:rsid w:val="00421EC6"/>
    <w:rsid w:val="004325FB"/>
    <w:rsid w:val="004432BA"/>
    <w:rsid w:val="0044407E"/>
    <w:rsid w:val="004D72B5"/>
    <w:rsid w:val="00527239"/>
    <w:rsid w:val="00547E73"/>
    <w:rsid w:val="00551B7F"/>
    <w:rsid w:val="0056610F"/>
    <w:rsid w:val="00575BCA"/>
    <w:rsid w:val="005B0344"/>
    <w:rsid w:val="005B520E"/>
    <w:rsid w:val="005B6144"/>
    <w:rsid w:val="005E2800"/>
    <w:rsid w:val="006347CF"/>
    <w:rsid w:val="00645D22"/>
    <w:rsid w:val="00651A08"/>
    <w:rsid w:val="00654204"/>
    <w:rsid w:val="00670434"/>
    <w:rsid w:val="006B6B66"/>
    <w:rsid w:val="006F6D3D"/>
    <w:rsid w:val="00704134"/>
    <w:rsid w:val="00707D84"/>
    <w:rsid w:val="00715BEA"/>
    <w:rsid w:val="00740EEA"/>
    <w:rsid w:val="00775C38"/>
    <w:rsid w:val="00794804"/>
    <w:rsid w:val="007B33F1"/>
    <w:rsid w:val="007C0308"/>
    <w:rsid w:val="007C2FF2"/>
    <w:rsid w:val="007D6232"/>
    <w:rsid w:val="007F1F99"/>
    <w:rsid w:val="007F768F"/>
    <w:rsid w:val="0080791D"/>
    <w:rsid w:val="00873603"/>
    <w:rsid w:val="008A2C7D"/>
    <w:rsid w:val="008C4B23"/>
    <w:rsid w:val="008F6E2C"/>
    <w:rsid w:val="009303D9"/>
    <w:rsid w:val="00933C64"/>
    <w:rsid w:val="00972203"/>
    <w:rsid w:val="00A059B3"/>
    <w:rsid w:val="00A83751"/>
    <w:rsid w:val="00AE3409"/>
    <w:rsid w:val="00B11A60"/>
    <w:rsid w:val="00B22613"/>
    <w:rsid w:val="00BA1025"/>
    <w:rsid w:val="00BB6AAD"/>
    <w:rsid w:val="00BC3420"/>
    <w:rsid w:val="00BC5779"/>
    <w:rsid w:val="00BE7D3C"/>
    <w:rsid w:val="00BF5FF6"/>
    <w:rsid w:val="00C0207F"/>
    <w:rsid w:val="00C16117"/>
    <w:rsid w:val="00C3075A"/>
    <w:rsid w:val="00C76FFC"/>
    <w:rsid w:val="00C919A4"/>
    <w:rsid w:val="00CA4392"/>
    <w:rsid w:val="00CC393F"/>
    <w:rsid w:val="00D13749"/>
    <w:rsid w:val="00D2176E"/>
    <w:rsid w:val="00D632BE"/>
    <w:rsid w:val="00D72D06"/>
    <w:rsid w:val="00D7522C"/>
    <w:rsid w:val="00D7536F"/>
    <w:rsid w:val="00D76668"/>
    <w:rsid w:val="00E61E12"/>
    <w:rsid w:val="00E7596C"/>
    <w:rsid w:val="00E878F2"/>
    <w:rsid w:val="00ED0149"/>
    <w:rsid w:val="00EF7DE3"/>
    <w:rsid w:val="00F03103"/>
    <w:rsid w:val="00F057CB"/>
    <w:rsid w:val="00F12284"/>
    <w:rsid w:val="00F271DE"/>
    <w:rsid w:val="00F627DA"/>
    <w:rsid w:val="00F7288F"/>
    <w:rsid w:val="00F847A6"/>
    <w:rsid w:val="00F9441B"/>
    <w:rsid w:val="00F96569"/>
    <w:rsid w:val="00FA4C32"/>
    <w:rsid w:val="00FE362E"/>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3EFF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styleId="Hyperlink">
    <w:name w:val="Hyperlink"/>
    <w:basedOn w:val="DefaultParagraphFont"/>
    <w:rsid w:val="00156B74"/>
    <w:rPr>
      <w:color w:val="0563C1" w:themeColor="hyperlink"/>
      <w:u w:val="single"/>
    </w:rPr>
  </w:style>
  <w:style w:type="character" w:styleId="UnresolvedMention">
    <w:name w:val="Unresolved Mention"/>
    <w:basedOn w:val="DefaultParagraphFont"/>
    <w:uiPriority w:val="99"/>
    <w:semiHidden/>
    <w:unhideWhenUsed/>
    <w:rsid w:val="00156B74"/>
    <w:rPr>
      <w:color w:val="605E5C"/>
      <w:shd w:val="clear" w:color="auto" w:fill="E1DFDD"/>
    </w:rPr>
  </w:style>
  <w:style w:type="paragraph" w:styleId="HTMLPreformatted">
    <w:name w:val="HTML Preformatted"/>
    <w:basedOn w:val="Normal"/>
    <w:link w:val="HTMLPreformattedChar"/>
    <w:rsid w:val="00176096"/>
    <w:rPr>
      <w:rFonts w:ascii="Consolas" w:hAnsi="Consolas"/>
    </w:rPr>
  </w:style>
  <w:style w:type="character" w:customStyle="1" w:styleId="HTMLPreformattedChar">
    <w:name w:val="HTML Preformatted Char"/>
    <w:basedOn w:val="DefaultParagraphFont"/>
    <w:link w:val="HTMLPreformatted"/>
    <w:rsid w:val="00176096"/>
    <w:rPr>
      <w:rFonts w:ascii="Consolas" w:hAnsi="Consolas"/>
    </w:rPr>
  </w:style>
  <w:style w:type="table" w:styleId="TableGrid">
    <w:name w:val="Table Grid"/>
    <w:basedOn w:val="TableNormal"/>
    <w:rsid w:val="00707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07D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rxiv.org/abs/1312.6114" TargetMode="External"/><Relationship Id="rId4" Type="http://schemas.openxmlformats.org/officeDocument/2006/relationships/settings" Target="settings.xml"/><Relationship Id="rId9" Type="http://schemas.openxmlformats.org/officeDocument/2006/relationships/hyperlink" Target="https://codeocean.com/capsule/4989235/t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3BD-B001-433D-BAEA-84E6680C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3544</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Sneha Varghese</cp:lastModifiedBy>
  <cp:revision>2</cp:revision>
  <dcterms:created xsi:type="dcterms:W3CDTF">2025-11-05T20:37:00Z</dcterms:created>
  <dcterms:modified xsi:type="dcterms:W3CDTF">2025-11-05T20:37:00Z</dcterms:modified>
</cp:coreProperties>
</file>