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27C04" w14:textId="77777777" w:rsidR="00AE2AE0" w:rsidRPr="00AE2AE0" w:rsidRDefault="00AE2AE0" w:rsidP="00B56730">
      <w:pPr>
        <w:spacing w:before="240" w:line="276" w:lineRule="auto"/>
        <w:jc w:val="both"/>
        <w:outlineLvl w:val="0"/>
        <w:rPr>
          <w:rFonts w:ascii="Palatino Linotype" w:eastAsia="Times New Roman" w:hAnsi="Palatino Linotype" w:cs="Times New Roman"/>
          <w:b/>
          <w:bCs/>
          <w:kern w:val="36"/>
          <w:sz w:val="22"/>
          <w:szCs w:val="22"/>
          <w:lang w:eastAsia="en-GB"/>
          <w14:ligatures w14:val="none"/>
        </w:rPr>
      </w:pPr>
      <w:r w:rsidRPr="00AE2AE0">
        <w:rPr>
          <w:rFonts w:ascii="Palatino Linotype" w:eastAsia="Times New Roman" w:hAnsi="Palatino Linotype" w:cs="Times New Roman"/>
          <w:b/>
          <w:bCs/>
          <w:kern w:val="36"/>
          <w:sz w:val="22"/>
          <w:szCs w:val="22"/>
          <w:lang w:eastAsia="en-GB"/>
          <w14:ligatures w14:val="none"/>
        </w:rPr>
        <w:t>The Impact of Uncorrected Refractive Errors on University of Limpopo Students’ Quality of Life</w:t>
      </w:r>
    </w:p>
    <w:p w14:paraId="7A2C8043" w14:textId="0A9E280C" w:rsidR="00AE2AE0" w:rsidRDefault="00AE2AE0" w:rsidP="00B56730">
      <w:pPr>
        <w:spacing w:line="276" w:lineRule="auto"/>
        <w:jc w:val="both"/>
        <w:outlineLvl w:val="1"/>
        <w:rPr>
          <w:rFonts w:ascii="Palatino Linotype" w:eastAsia="Times New Roman" w:hAnsi="Palatino Linotype" w:cs="Times New Roman"/>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Abstract</w:t>
      </w:r>
      <w:r w:rsidRPr="00B56730">
        <w:rPr>
          <w:rFonts w:ascii="Palatino Linotype" w:eastAsia="Times New Roman" w:hAnsi="Palatino Linotype" w:cs="Times New Roman"/>
          <w:b/>
          <w:bCs/>
          <w:kern w:val="0"/>
          <w:sz w:val="22"/>
          <w:szCs w:val="22"/>
          <w:lang w:eastAsia="en-GB"/>
          <w14:ligatures w14:val="none"/>
        </w:rPr>
        <w:t xml:space="preserve">: </w:t>
      </w:r>
      <w:r w:rsidRPr="00AE2AE0">
        <w:rPr>
          <w:rFonts w:ascii="Palatino Linotype" w:eastAsia="Times New Roman" w:hAnsi="Palatino Linotype" w:cs="Times New Roman"/>
          <w:kern w:val="0"/>
          <w:sz w:val="22"/>
          <w:szCs w:val="22"/>
          <w:lang w:eastAsia="en-GB"/>
          <w14:ligatures w14:val="none"/>
        </w:rPr>
        <w:t>Uncorrected refractive errors are a leading cause of visual impairment worldwide and remain prevalent despite being easily correctable. In Limpopo, an estimated 36.3% of students live with URE, with university students particularly affected by financial and access barriers. Guided by the WHO Quality of Life Framework, this qualitative descriptive phenomenological study explored how URE shapes the daily lives, academic engagement, and well-being of students at the University of Limpopo. Twenty-seven students diagnosed with URE and not yet using corrective devices participated in one-on-one semi-structured interviews at the University’s Optometry Clinic. Five interrelated themes emerged: visual and functional limitations; academic and educational impact; psychological and emotional wellness; coping, adaptation, and access to care; and social and environmental impact. Findings highlight how URE constrains academic participation, diminishes confidence, and reduces social en</w:t>
      </w:r>
      <w:r w:rsidR="0082232E">
        <w:rPr>
          <w:rFonts w:ascii="Palatino Linotype" w:eastAsia="Times New Roman" w:hAnsi="Palatino Linotype" w:cs="Times New Roman"/>
          <w:kern w:val="0"/>
          <w:sz w:val="22"/>
          <w:szCs w:val="22"/>
          <w:lang w:eastAsia="en-GB"/>
          <w14:ligatures w14:val="none"/>
        </w:rPr>
        <w:t>ga</w:t>
      </w:r>
      <w:r w:rsidRPr="00AE2AE0">
        <w:rPr>
          <w:rFonts w:ascii="Palatino Linotype" w:eastAsia="Times New Roman" w:hAnsi="Palatino Linotype" w:cs="Times New Roman"/>
          <w:kern w:val="0"/>
          <w:sz w:val="22"/>
          <w:szCs w:val="22"/>
          <w:lang w:eastAsia="en-GB"/>
          <w14:ligatures w14:val="none"/>
        </w:rPr>
        <w:t>gement, while students deploy resourceful coping strategies amid persistent financial and service-access barriers. The study underscores the need for subsidized eye care, campus-based screening and referral systems, and integrated psychosocial support to enable students to thrive.</w:t>
      </w:r>
    </w:p>
    <w:p w14:paraId="0D944AAD" w14:textId="1AD4F0D6" w:rsidR="00B56730" w:rsidRPr="000D7BBB" w:rsidRDefault="00B56730" w:rsidP="0082232E">
      <w:pPr>
        <w:spacing w:line="276" w:lineRule="auto"/>
        <w:jc w:val="both"/>
        <w:outlineLvl w:val="1"/>
      </w:pPr>
      <w:r w:rsidRPr="00B56730">
        <w:rPr>
          <w:rFonts w:ascii="Palatino Linotype" w:eastAsia="Times New Roman" w:hAnsi="Palatino Linotype" w:cs="Times New Roman"/>
          <w:b/>
          <w:bCs/>
          <w:kern w:val="0"/>
          <w:sz w:val="22"/>
          <w:szCs w:val="22"/>
          <w:lang w:eastAsia="en-GB"/>
          <w14:ligatures w14:val="none"/>
        </w:rPr>
        <w:t>Keywords:</w:t>
      </w:r>
      <w:r w:rsidR="001457D0" w:rsidRPr="001457D0">
        <w:t xml:space="preserve"> </w:t>
      </w:r>
      <w:r w:rsidR="001457D0" w:rsidRPr="0082232E">
        <w:rPr>
          <w:rFonts w:ascii="Palatino Linotype" w:hAnsi="Palatino Linotype"/>
          <w:sz w:val="22"/>
          <w:szCs w:val="22"/>
        </w:rPr>
        <w:t>Uncorrected refractive errors (URE); Quality of life; University students; Vision impairment;</w:t>
      </w:r>
      <w:r w:rsidR="000D7BBB" w:rsidRPr="0082232E">
        <w:rPr>
          <w:rFonts w:ascii="Palatino Linotype" w:hAnsi="Palatino Linotype"/>
          <w:sz w:val="22"/>
          <w:szCs w:val="22"/>
        </w:rPr>
        <w:t xml:space="preserve"> </w:t>
      </w:r>
      <w:r w:rsidR="001457D0" w:rsidRPr="0082232E">
        <w:rPr>
          <w:rFonts w:ascii="Palatino Linotype" w:hAnsi="Palatino Linotype"/>
          <w:sz w:val="22"/>
          <w:szCs w:val="22"/>
        </w:rPr>
        <w:t>Academic performance; Psychological well-being; Qualitative research; Phenomenology; South Africa</w:t>
      </w:r>
      <w:r w:rsidR="000D7BBB" w:rsidRPr="0082232E">
        <w:rPr>
          <w:rFonts w:ascii="Palatino Linotype" w:hAnsi="Palatino Linotype"/>
          <w:sz w:val="22"/>
          <w:szCs w:val="22"/>
        </w:rPr>
        <w:t>; Academic performance; Emotional well-being; Spectacles; Myopia; Astigmatism; Hyperopia; Anxiety; Depression; Social support;</w:t>
      </w:r>
      <w:r w:rsidR="00F76000" w:rsidRPr="0082232E">
        <w:rPr>
          <w:rFonts w:ascii="Palatino Linotype" w:hAnsi="Palatino Linotype"/>
          <w:sz w:val="22"/>
          <w:szCs w:val="22"/>
        </w:rPr>
        <w:t xml:space="preserve"> Self-acceptance;</w:t>
      </w:r>
      <w:r w:rsidR="000D7BBB" w:rsidRPr="0082232E">
        <w:rPr>
          <w:rFonts w:ascii="Palatino Linotype" w:hAnsi="Palatino Linotype"/>
          <w:sz w:val="22"/>
          <w:szCs w:val="22"/>
        </w:rPr>
        <w:t xml:space="preserve"> Environmental safety; Coping mechanisms; Resilience; Mental health; Policy implications.</w:t>
      </w:r>
    </w:p>
    <w:p w14:paraId="1841903D" w14:textId="77777777" w:rsidR="001D786B" w:rsidRPr="00B56730" w:rsidRDefault="00AE2AE0" w:rsidP="00B56730">
      <w:pPr>
        <w:spacing w:before="240" w:line="276" w:lineRule="auto"/>
        <w:jc w:val="both"/>
        <w:outlineLvl w:val="1"/>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Introduction</w:t>
      </w:r>
    </w:p>
    <w:p w14:paraId="26473E6A" w14:textId="42323563" w:rsidR="001D786B" w:rsidRDefault="00AE2AE0" w:rsidP="00B56730">
      <w:pPr>
        <w:spacing w:before="240" w:line="276" w:lineRule="auto"/>
        <w:jc w:val="both"/>
        <w:outlineLvl w:val="1"/>
        <w:rPr>
          <w:rFonts w:ascii="Palatino Linotype" w:eastAsia="Times New Roman" w:hAnsi="Palatino Linotype" w:cs="Times New Roman"/>
          <w:kern w:val="0"/>
          <w:sz w:val="22"/>
          <w:szCs w:val="22"/>
          <w:lang w:eastAsia="en-GB"/>
          <w14:ligatures w14:val="none"/>
        </w:rPr>
      </w:pPr>
      <w:r w:rsidRPr="00AE2AE0">
        <w:rPr>
          <w:rFonts w:ascii="Palatino Linotype" w:eastAsia="Times New Roman" w:hAnsi="Palatino Linotype" w:cs="Times New Roman"/>
          <w:kern w:val="0"/>
          <w:sz w:val="22"/>
          <w:szCs w:val="22"/>
          <w:lang w:eastAsia="en-GB"/>
          <w14:ligatures w14:val="none"/>
        </w:rPr>
        <w:t xml:space="preserve">Uncorrected refractive error remains one of the leading causes of visual impairment and preventable blindness </w:t>
      </w:r>
      <w:r w:rsidRPr="00343117">
        <w:rPr>
          <w:rFonts w:ascii="Palatino Linotype" w:eastAsia="Times New Roman" w:hAnsi="Palatino Linotype" w:cs="Times New Roman"/>
          <w:kern w:val="0"/>
          <w:sz w:val="22"/>
          <w:szCs w:val="22"/>
          <w:lang w:eastAsia="en-GB"/>
          <w14:ligatures w14:val="none"/>
        </w:rPr>
        <w:t>globally</w:t>
      </w:r>
      <w:r w:rsidR="00343117">
        <w:rPr>
          <w:rFonts w:ascii="Palatino Linotype" w:eastAsia="Times New Roman" w:hAnsi="Palatino Linotype" w:cs="Times New Roman"/>
          <w:kern w:val="0"/>
          <w:sz w:val="22"/>
          <w:szCs w:val="22"/>
          <w:lang w:eastAsia="en-GB"/>
          <w14:ligatures w14:val="none"/>
        </w:rPr>
        <w:t xml:space="preserve"> </w:t>
      </w:r>
      <w:r w:rsidR="00343117" w:rsidRPr="00343117">
        <w:rPr>
          <w:rFonts w:ascii="Palatino Linotype" w:hAnsi="Palatino Linotype"/>
          <w:sz w:val="22"/>
          <w:szCs w:val="22"/>
        </w:rPr>
        <w:t>(Dai et al., 2025</w:t>
      </w:r>
      <w:r w:rsidR="000D7BBB" w:rsidRPr="00343117">
        <w:rPr>
          <w:rFonts w:ascii="Palatino Linotype" w:hAnsi="Palatino Linotype"/>
          <w:sz w:val="22"/>
          <w:szCs w:val="22"/>
        </w:rPr>
        <w:t>).</w:t>
      </w:r>
      <w:r w:rsidR="000D7BBB" w:rsidRPr="00343117">
        <w:rPr>
          <w:rFonts w:ascii="Palatino Linotype" w:eastAsia="Times New Roman" w:hAnsi="Palatino Linotype" w:cs="Times New Roman"/>
          <w:kern w:val="0"/>
          <w:sz w:val="22"/>
          <w:szCs w:val="22"/>
          <w:lang w:eastAsia="en-GB"/>
          <w14:ligatures w14:val="none"/>
        </w:rPr>
        <w:t xml:space="preserve"> The</w:t>
      </w:r>
      <w:r w:rsidRPr="00AE2AE0">
        <w:rPr>
          <w:rFonts w:ascii="Palatino Linotype" w:eastAsia="Times New Roman" w:hAnsi="Palatino Linotype" w:cs="Times New Roman"/>
          <w:kern w:val="0"/>
          <w:sz w:val="22"/>
          <w:szCs w:val="22"/>
          <w:lang w:eastAsia="en-GB"/>
          <w14:ligatures w14:val="none"/>
        </w:rPr>
        <w:t xml:space="preserve"> World Health Organization estimates that over 2.2 billion people worldwide experience vision impairment or blindness, with at least 1 billion cases attributable to preventable or unaddressed refractive </w:t>
      </w:r>
      <w:r w:rsidRPr="001457D0">
        <w:rPr>
          <w:rFonts w:ascii="Palatino Linotype" w:eastAsia="Times New Roman" w:hAnsi="Palatino Linotype" w:cs="Times New Roman"/>
          <w:kern w:val="0"/>
          <w:sz w:val="22"/>
          <w:szCs w:val="22"/>
          <w:lang w:eastAsia="en-GB"/>
          <w14:ligatures w14:val="none"/>
        </w:rPr>
        <w:t>errors</w:t>
      </w:r>
      <w:r w:rsidR="00ED340F" w:rsidRPr="001457D0">
        <w:rPr>
          <w:rFonts w:ascii="Palatino Linotype" w:eastAsia="Times New Roman" w:hAnsi="Palatino Linotype" w:cs="Times New Roman"/>
          <w:kern w:val="0"/>
          <w:sz w:val="22"/>
          <w:szCs w:val="22"/>
          <w:lang w:eastAsia="en-GB"/>
          <w14:ligatures w14:val="none"/>
        </w:rPr>
        <w:t xml:space="preserve"> </w:t>
      </w:r>
      <w:r w:rsidR="001457D0" w:rsidRPr="001457D0">
        <w:rPr>
          <w:rFonts w:ascii="Palatino Linotype" w:eastAsia="Times New Roman" w:hAnsi="Palatino Linotype" w:cs="Times New Roman"/>
          <w:kern w:val="0"/>
          <w:sz w:val="22"/>
          <w:szCs w:val="22"/>
          <w:lang w:eastAsia="en-GB"/>
          <w14:ligatures w14:val="none"/>
        </w:rPr>
        <w:t>(</w:t>
      </w:r>
      <w:r w:rsidR="001457D0" w:rsidRPr="001457D0">
        <w:rPr>
          <w:rFonts w:ascii="Palatino Linotype" w:hAnsi="Palatino Linotype"/>
          <w:sz w:val="22"/>
          <w:szCs w:val="22"/>
        </w:rPr>
        <w:t>WHO, 2023)</w:t>
      </w:r>
      <w:r w:rsidR="001457D0" w:rsidRPr="001457D0">
        <w:rPr>
          <w:rFonts w:ascii="Palatino Linotype" w:eastAsia="Times New Roman" w:hAnsi="Palatino Linotype" w:cs="Times New Roman"/>
          <w:kern w:val="0"/>
          <w:sz w:val="22"/>
          <w:szCs w:val="22"/>
          <w:lang w:eastAsia="en-GB"/>
          <w14:ligatures w14:val="none"/>
        </w:rPr>
        <w:t>.</w:t>
      </w:r>
      <w:r w:rsidRPr="00AE2AE0">
        <w:rPr>
          <w:rFonts w:ascii="Palatino Linotype" w:eastAsia="Times New Roman" w:hAnsi="Palatino Linotype" w:cs="Times New Roman"/>
          <w:kern w:val="0"/>
          <w:sz w:val="22"/>
          <w:szCs w:val="22"/>
          <w:lang w:eastAsia="en-GB"/>
          <w14:ligatures w14:val="none"/>
        </w:rPr>
        <w:t xml:space="preserve"> This burden is particularly pronounced among young adults, where unmet refractive needs can significantly impede educational attainment, productivity, and overall quality of life</w:t>
      </w:r>
      <w:r w:rsidRPr="001457D0">
        <w:rPr>
          <w:rFonts w:ascii="Palatino Linotype" w:eastAsia="Times New Roman" w:hAnsi="Palatino Linotype" w:cs="Times New Roman"/>
          <w:kern w:val="0"/>
          <w:sz w:val="22"/>
          <w:szCs w:val="22"/>
          <w:lang w:eastAsia="en-GB"/>
          <w14:ligatures w14:val="none"/>
        </w:rPr>
        <w:t xml:space="preserve"> </w:t>
      </w:r>
      <w:r w:rsidR="001457D0">
        <w:rPr>
          <w:rFonts w:ascii="Palatino Linotype" w:eastAsia="Times New Roman" w:hAnsi="Palatino Linotype" w:cs="Times New Roman"/>
          <w:kern w:val="0"/>
          <w:sz w:val="22"/>
          <w:szCs w:val="22"/>
          <w:lang w:eastAsia="en-GB"/>
          <w14:ligatures w14:val="none"/>
        </w:rPr>
        <w:t>(</w:t>
      </w:r>
      <w:r w:rsidR="001457D0" w:rsidRPr="001457D0">
        <w:rPr>
          <w:rFonts w:ascii="Palatino Linotype" w:hAnsi="Palatino Linotype"/>
          <w:sz w:val="22"/>
          <w:szCs w:val="22"/>
        </w:rPr>
        <w:t>WHO 2024; Dai &amp; Ouyang 2025)</w:t>
      </w:r>
      <w:r w:rsidRPr="001457D0">
        <w:rPr>
          <w:rFonts w:ascii="Palatino Linotype" w:eastAsia="Times New Roman" w:hAnsi="Palatino Linotype" w:cs="Times New Roman"/>
          <w:kern w:val="0"/>
          <w:sz w:val="22"/>
          <w:szCs w:val="22"/>
          <w:lang w:eastAsia="en-GB"/>
          <w14:ligatures w14:val="none"/>
        </w:rPr>
        <w:t>. While quantitative evidence increasingly acknowledges th</w:t>
      </w:r>
      <w:r w:rsidRPr="00AE2AE0">
        <w:rPr>
          <w:rFonts w:ascii="Palatino Linotype" w:eastAsia="Times New Roman" w:hAnsi="Palatino Linotype" w:cs="Times New Roman"/>
          <w:kern w:val="0"/>
          <w:sz w:val="22"/>
          <w:szCs w:val="22"/>
          <w:lang w:eastAsia="en-GB"/>
          <w14:ligatures w14:val="none"/>
        </w:rPr>
        <w:t>e profound personal and social consequences of URE, qualitative research exploring the lived experiences, especially within specific academic contexts, remains limited.</w:t>
      </w:r>
    </w:p>
    <w:p w14:paraId="16324293" w14:textId="0803CD13" w:rsidR="001D786B" w:rsidRPr="00B56730" w:rsidRDefault="00AE2AE0" w:rsidP="00B56730">
      <w:pPr>
        <w:spacing w:before="240" w:line="276" w:lineRule="auto"/>
        <w:jc w:val="both"/>
        <w:outlineLvl w:val="1"/>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kern w:val="0"/>
          <w:sz w:val="22"/>
          <w:szCs w:val="22"/>
          <w:lang w:eastAsia="en-GB"/>
          <w14:ligatures w14:val="none"/>
        </w:rPr>
        <w:t xml:space="preserve">Over the past two decades, there has been a marked rise in refractive errors globally, with a significant increase observed in East Asian populations (79.5% to 87.7%) </w:t>
      </w:r>
      <w:r w:rsidRPr="00175E47">
        <w:rPr>
          <w:rFonts w:ascii="Palatino Linotype" w:eastAsia="Times New Roman" w:hAnsi="Palatino Linotype" w:cs="Times New Roman"/>
          <w:kern w:val="0"/>
          <w:sz w:val="22"/>
          <w:szCs w:val="22"/>
          <w:lang w:eastAsia="en-GB"/>
          <w14:ligatures w14:val="none"/>
        </w:rPr>
        <w:t>[</w:t>
      </w:r>
      <w:r w:rsidR="00175E47" w:rsidRPr="00175E47">
        <w:rPr>
          <w:rFonts w:ascii="Palatino Linotype" w:hAnsi="Palatino Linotype"/>
          <w:sz w:val="22"/>
          <w:szCs w:val="22"/>
        </w:rPr>
        <w:t>Chen et al., 2018</w:t>
      </w:r>
      <w:r w:rsidRPr="00175E47">
        <w:rPr>
          <w:rFonts w:ascii="Palatino Linotype" w:eastAsia="Times New Roman" w:hAnsi="Palatino Linotype" w:cs="Times New Roman"/>
          <w:kern w:val="0"/>
          <w:sz w:val="22"/>
          <w:szCs w:val="22"/>
          <w:lang w:eastAsia="en-GB"/>
          <w14:ligatures w14:val="none"/>
        </w:rPr>
        <w:t>]. In contrast, while data from parts of Africa and other regions illustrate m</w:t>
      </w:r>
      <w:r w:rsidRPr="00AE2AE0">
        <w:rPr>
          <w:rFonts w:ascii="Palatino Linotype" w:eastAsia="Times New Roman" w:hAnsi="Palatino Linotype" w:cs="Times New Roman"/>
          <w:kern w:val="0"/>
          <w:sz w:val="22"/>
          <w:szCs w:val="22"/>
          <w:lang w:eastAsia="en-GB"/>
          <w14:ligatures w14:val="none"/>
        </w:rPr>
        <w:t xml:space="preserve">ore modest but still meaningful </w:t>
      </w:r>
      <w:r w:rsidRPr="00175E47">
        <w:rPr>
          <w:rFonts w:ascii="Palatino Linotype" w:eastAsia="Times New Roman" w:hAnsi="Palatino Linotype" w:cs="Times New Roman"/>
          <w:kern w:val="0"/>
          <w:sz w:val="22"/>
          <w:szCs w:val="22"/>
          <w:lang w:eastAsia="en-GB"/>
          <w14:ligatures w14:val="none"/>
        </w:rPr>
        <w:t>increases</w:t>
      </w:r>
      <w:r w:rsidR="00175E47" w:rsidRPr="00175E47">
        <w:rPr>
          <w:rFonts w:ascii="Palatino Linotype" w:eastAsia="Times New Roman" w:hAnsi="Palatino Linotype" w:cs="Times New Roman"/>
          <w:kern w:val="0"/>
          <w:sz w:val="22"/>
          <w:szCs w:val="22"/>
          <w:lang w:eastAsia="en-GB"/>
          <w14:ligatures w14:val="none"/>
        </w:rPr>
        <w:t xml:space="preserve"> [</w:t>
      </w:r>
      <w:r w:rsidR="00175E47" w:rsidRPr="00175E47">
        <w:rPr>
          <w:rFonts w:ascii="Palatino Linotype" w:hAnsi="Palatino Linotype"/>
          <w:sz w:val="22"/>
          <w:szCs w:val="22"/>
        </w:rPr>
        <w:t>Okenwa-Vincent et al., 2024]</w:t>
      </w:r>
      <w:r w:rsidRPr="00175E47">
        <w:rPr>
          <w:rFonts w:ascii="Palatino Linotype" w:eastAsia="Times New Roman" w:hAnsi="Palatino Linotype" w:cs="Times New Roman"/>
          <w:kern w:val="0"/>
          <w:sz w:val="22"/>
          <w:szCs w:val="22"/>
          <w:lang w:eastAsia="en-GB"/>
          <w14:ligatures w14:val="none"/>
        </w:rPr>
        <w:t>, URE</w:t>
      </w:r>
      <w:r w:rsidRPr="00AE2AE0">
        <w:rPr>
          <w:rFonts w:ascii="Palatino Linotype" w:eastAsia="Times New Roman" w:hAnsi="Palatino Linotype" w:cs="Times New Roman"/>
          <w:kern w:val="0"/>
          <w:sz w:val="22"/>
          <w:szCs w:val="22"/>
          <w:lang w:eastAsia="en-GB"/>
          <w14:ligatures w14:val="none"/>
        </w:rPr>
        <w:t xml:space="preserve"> nonetheless represents a substantial public health challenge in low- and middle-income </w:t>
      </w:r>
      <w:r w:rsidRPr="00175E47">
        <w:rPr>
          <w:rFonts w:ascii="Palatino Linotype" w:eastAsia="Times New Roman" w:hAnsi="Palatino Linotype" w:cs="Times New Roman"/>
          <w:kern w:val="0"/>
          <w:sz w:val="22"/>
          <w:szCs w:val="22"/>
          <w:lang w:eastAsia="en-GB"/>
          <w14:ligatures w14:val="none"/>
        </w:rPr>
        <w:t>countries</w:t>
      </w:r>
      <w:r w:rsidR="00ED340F" w:rsidRPr="00175E47">
        <w:rPr>
          <w:rFonts w:ascii="Palatino Linotype" w:eastAsia="Times New Roman" w:hAnsi="Palatino Linotype" w:cs="Times New Roman"/>
          <w:kern w:val="0"/>
          <w:sz w:val="22"/>
          <w:szCs w:val="22"/>
          <w:lang w:eastAsia="en-GB"/>
          <w14:ligatures w14:val="none"/>
        </w:rPr>
        <w:t xml:space="preserve"> [</w:t>
      </w:r>
      <w:r w:rsidR="00175E47" w:rsidRPr="00175E47">
        <w:rPr>
          <w:rFonts w:ascii="Palatino Linotype" w:hAnsi="Palatino Linotype"/>
          <w:sz w:val="22"/>
          <w:szCs w:val="22"/>
        </w:rPr>
        <w:t>Yuan et al., 202</w:t>
      </w:r>
      <w:r w:rsidR="00175E47">
        <w:rPr>
          <w:rFonts w:ascii="Palatino Linotype" w:hAnsi="Palatino Linotype"/>
          <w:sz w:val="22"/>
          <w:szCs w:val="22"/>
        </w:rPr>
        <w:t>5</w:t>
      </w:r>
      <w:r w:rsidR="00ED340F" w:rsidRPr="00175E47">
        <w:rPr>
          <w:rFonts w:ascii="Palatino Linotype" w:eastAsia="Times New Roman" w:hAnsi="Palatino Linotype" w:cs="Times New Roman"/>
          <w:kern w:val="0"/>
          <w:sz w:val="22"/>
          <w:szCs w:val="22"/>
          <w:lang w:eastAsia="en-GB"/>
          <w14:ligatures w14:val="none"/>
        </w:rPr>
        <w:t>]</w:t>
      </w:r>
      <w:r w:rsidRPr="00175E47">
        <w:rPr>
          <w:rFonts w:ascii="Palatino Linotype" w:eastAsia="Times New Roman" w:hAnsi="Palatino Linotype" w:cs="Times New Roman"/>
          <w:kern w:val="0"/>
          <w:sz w:val="22"/>
          <w:szCs w:val="22"/>
          <w:lang w:eastAsia="en-GB"/>
          <w14:ligatures w14:val="none"/>
        </w:rPr>
        <w:t>. South Africa</w:t>
      </w:r>
      <w:r w:rsidR="00F76000" w:rsidRPr="00175E47">
        <w:rPr>
          <w:rFonts w:ascii="Palatino Linotype" w:eastAsia="Times New Roman" w:hAnsi="Palatino Linotype" w:cs="Times New Roman"/>
          <w:kern w:val="0"/>
          <w:sz w:val="22"/>
          <w:szCs w:val="22"/>
          <w:lang w:eastAsia="en-GB"/>
          <w14:ligatures w14:val="none"/>
        </w:rPr>
        <w:t xml:space="preserve"> faces</w:t>
      </w:r>
      <w:r w:rsidRPr="00175E47">
        <w:rPr>
          <w:rFonts w:ascii="Palatino Linotype" w:eastAsia="Times New Roman" w:hAnsi="Palatino Linotype" w:cs="Times New Roman"/>
          <w:kern w:val="0"/>
          <w:sz w:val="22"/>
          <w:szCs w:val="22"/>
          <w:lang w:eastAsia="en-GB"/>
          <w14:ligatures w14:val="none"/>
        </w:rPr>
        <w:t xml:space="preserve"> considerable challenges regarding URE, exacerbated by</w:t>
      </w:r>
      <w:r w:rsidRPr="00AE2AE0">
        <w:rPr>
          <w:rFonts w:ascii="Palatino Linotype" w:eastAsia="Times New Roman" w:hAnsi="Palatino Linotype" w:cs="Times New Roman"/>
          <w:kern w:val="0"/>
          <w:sz w:val="22"/>
          <w:szCs w:val="22"/>
          <w:lang w:eastAsia="en-GB"/>
          <w14:ligatures w14:val="none"/>
        </w:rPr>
        <w:t xml:space="preserve"> factors such as the costs of </w:t>
      </w:r>
      <w:r w:rsidRPr="00AE2AE0">
        <w:rPr>
          <w:rFonts w:ascii="Palatino Linotype" w:eastAsia="Times New Roman" w:hAnsi="Palatino Linotype" w:cs="Times New Roman"/>
          <w:kern w:val="0"/>
          <w:sz w:val="22"/>
          <w:szCs w:val="22"/>
          <w:lang w:eastAsia="en-GB"/>
          <w14:ligatures w14:val="none"/>
        </w:rPr>
        <w:lastRenderedPageBreak/>
        <w:t>correction, inadequate eye care infrastructure, and limited public awareness [Khisimusi D, Nabeela H, 2024; Holden et al., 2016]. These systemic issues collectively hinder the attainment of educational goals and overall well-being.</w:t>
      </w:r>
    </w:p>
    <w:p w14:paraId="2130C19E" w14:textId="14DF0B3A" w:rsidR="001D786B" w:rsidRPr="00B56730" w:rsidRDefault="00AE2AE0" w:rsidP="00B56730">
      <w:pPr>
        <w:spacing w:before="240" w:line="276" w:lineRule="auto"/>
        <w:jc w:val="both"/>
        <w:outlineLvl w:val="1"/>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kern w:val="0"/>
          <w:sz w:val="22"/>
          <w:szCs w:val="22"/>
          <w:lang w:eastAsia="en-GB"/>
          <w14:ligatures w14:val="none"/>
        </w:rPr>
        <w:t>Despite clear evidence of the widespread impact of refractive errors, the existing literature primarily focuses on quantitative prevalence and severity metrics. There is a notable gap in qualitative research capturing how individuals experience URE in daily life, including its effects on education, daily responsibilities, and psychosocial well-being. While it is well established that URE can compromise educational opportunities, occupational productivity, and quality of life, a deeper understanding of personal lived experiences is essential to inform patient-centred</w:t>
      </w:r>
      <w:r w:rsidR="001D786B" w:rsidRPr="00B56730">
        <w:rPr>
          <w:rFonts w:ascii="Palatino Linotype" w:eastAsia="Times New Roman" w:hAnsi="Palatino Linotype" w:cs="Times New Roman"/>
          <w:kern w:val="0"/>
          <w:sz w:val="22"/>
          <w:szCs w:val="22"/>
          <w:lang w:eastAsia="en-GB"/>
          <w14:ligatures w14:val="none"/>
        </w:rPr>
        <w:t xml:space="preserve"> </w:t>
      </w:r>
      <w:r w:rsidRPr="00AE2AE0">
        <w:rPr>
          <w:rFonts w:ascii="Palatino Linotype" w:eastAsia="Times New Roman" w:hAnsi="Palatino Linotype" w:cs="Times New Roman"/>
          <w:kern w:val="0"/>
          <w:sz w:val="22"/>
          <w:szCs w:val="22"/>
          <w:lang w:eastAsia="en-GB"/>
          <w14:ligatures w14:val="none"/>
        </w:rPr>
        <w:t>interventions and policies,</w:t>
      </w:r>
      <w:r w:rsidR="00175E47">
        <w:rPr>
          <w:rFonts w:ascii="Palatino Linotype" w:eastAsia="Times New Roman" w:hAnsi="Palatino Linotype" w:cs="Times New Roman"/>
          <w:kern w:val="0"/>
          <w:sz w:val="22"/>
          <w:szCs w:val="22"/>
          <w:lang w:eastAsia="en-GB"/>
          <w14:ligatures w14:val="none"/>
        </w:rPr>
        <w:t xml:space="preserve"> </w:t>
      </w:r>
      <w:r w:rsidRPr="00AE2AE0">
        <w:rPr>
          <w:rFonts w:ascii="Palatino Linotype" w:eastAsia="Times New Roman" w:hAnsi="Palatino Linotype" w:cs="Times New Roman"/>
          <w:kern w:val="0"/>
          <w:sz w:val="22"/>
          <w:szCs w:val="22"/>
          <w:lang w:eastAsia="en-GB"/>
          <w14:ligatures w14:val="none"/>
        </w:rPr>
        <w:t>particularly within specific academic environments.</w:t>
      </w:r>
    </w:p>
    <w:p w14:paraId="71D046CF" w14:textId="4BBE61D3" w:rsidR="00ED340F" w:rsidRPr="00B56730" w:rsidRDefault="00AE2AE0" w:rsidP="00B56730">
      <w:pPr>
        <w:spacing w:before="240" w:line="276" w:lineRule="auto"/>
        <w:jc w:val="both"/>
        <w:outlineLvl w:val="1"/>
        <w:rPr>
          <w:rFonts w:ascii="Palatino Linotype" w:eastAsia="Times New Roman" w:hAnsi="Palatino Linotype" w:cs="Times New Roman"/>
          <w:b/>
          <w:bCs/>
          <w:kern w:val="0"/>
          <w:sz w:val="22"/>
          <w:szCs w:val="22"/>
          <w:lang w:eastAsia="en-GB"/>
          <w14:ligatures w14:val="none"/>
        </w:rPr>
      </w:pPr>
      <w:r w:rsidRPr="00175E47">
        <w:rPr>
          <w:rFonts w:ascii="Palatino Linotype" w:eastAsia="Times New Roman" w:hAnsi="Palatino Linotype" w:cs="Times New Roman"/>
          <w:kern w:val="0"/>
          <w:sz w:val="22"/>
          <w:szCs w:val="22"/>
          <w:lang w:eastAsia="en-GB"/>
          <w14:ligatures w14:val="none"/>
        </w:rPr>
        <w:t>This challenge is particularly pertinent within higher education institutions in LMICs</w:t>
      </w:r>
      <w:r w:rsidR="001D786B" w:rsidRPr="00175E47">
        <w:rPr>
          <w:rFonts w:ascii="Palatino Linotype" w:eastAsia="Times New Roman" w:hAnsi="Palatino Linotype" w:cs="Times New Roman"/>
          <w:kern w:val="0"/>
          <w:sz w:val="22"/>
          <w:szCs w:val="22"/>
          <w:lang w:eastAsia="en-GB"/>
          <w14:ligatures w14:val="none"/>
        </w:rPr>
        <w:t xml:space="preserve"> [</w:t>
      </w:r>
      <w:r w:rsidR="00175E47" w:rsidRPr="00175E47">
        <w:rPr>
          <w:rFonts w:ascii="Palatino Linotype" w:hAnsi="Palatino Linotype"/>
          <w:sz w:val="22"/>
          <w:szCs w:val="22"/>
        </w:rPr>
        <w:t>Kamara et al., 2024</w:t>
      </w:r>
      <w:r w:rsidR="001D786B" w:rsidRPr="00175E47">
        <w:rPr>
          <w:rFonts w:ascii="Palatino Linotype" w:eastAsia="Times New Roman" w:hAnsi="Palatino Linotype" w:cs="Times New Roman"/>
          <w:kern w:val="0"/>
          <w:sz w:val="22"/>
          <w:szCs w:val="22"/>
          <w:lang w:eastAsia="en-GB"/>
          <w14:ligatures w14:val="none"/>
        </w:rPr>
        <w:t>]</w:t>
      </w:r>
      <w:r w:rsidRPr="00175E47">
        <w:rPr>
          <w:rFonts w:ascii="Palatino Linotype" w:eastAsia="Times New Roman" w:hAnsi="Palatino Linotype" w:cs="Times New Roman"/>
          <w:kern w:val="0"/>
          <w:sz w:val="22"/>
          <w:szCs w:val="22"/>
          <w:lang w:eastAsia="en-GB"/>
          <w14:ligatures w14:val="none"/>
        </w:rPr>
        <w:t>. At</w:t>
      </w:r>
      <w:r w:rsidRPr="00AE2AE0">
        <w:rPr>
          <w:rFonts w:ascii="Palatino Linotype" w:eastAsia="Times New Roman" w:hAnsi="Palatino Linotype" w:cs="Times New Roman"/>
          <w:kern w:val="0"/>
          <w:sz w:val="22"/>
          <w:szCs w:val="22"/>
          <w:lang w:eastAsia="en-GB"/>
          <w14:ligatures w14:val="none"/>
        </w:rPr>
        <w:t xml:space="preserve"> the University of Limpopo, where a significant student population pursues academic and professional development, the potential impact of URE on students' academic performance, social integration, and overall quality of life warrants specific investigation. </w:t>
      </w:r>
      <w:commentRangeStart w:id="0"/>
      <w:commentRangeStart w:id="1"/>
      <w:r w:rsidRPr="0082232E">
        <w:rPr>
          <w:rFonts w:ascii="Palatino Linotype" w:eastAsia="Times New Roman" w:hAnsi="Palatino Linotype" w:cs="Times New Roman"/>
          <w:color w:val="FF0000"/>
          <w:kern w:val="0"/>
          <w:sz w:val="22"/>
          <w:szCs w:val="22"/>
          <w:lang w:eastAsia="en-GB"/>
          <w14:ligatures w14:val="none"/>
        </w:rPr>
        <w:t xml:space="preserve">Recent regional studies indicate that approximately [X]% of university students in the Limpopo province may suffer from </w:t>
      </w:r>
      <w:r w:rsidR="00ED340F" w:rsidRPr="0082232E">
        <w:rPr>
          <w:rFonts w:ascii="Palatino Linotype" w:eastAsia="Times New Roman" w:hAnsi="Palatino Linotype" w:cs="Times New Roman"/>
          <w:color w:val="FF0000"/>
          <w:kern w:val="0"/>
          <w:sz w:val="22"/>
          <w:szCs w:val="22"/>
          <w:lang w:eastAsia="en-GB"/>
          <w14:ligatures w14:val="none"/>
        </w:rPr>
        <w:t>URE</w:t>
      </w:r>
      <w:r w:rsidRPr="0082232E">
        <w:rPr>
          <w:rFonts w:ascii="Palatino Linotype" w:eastAsia="Times New Roman" w:hAnsi="Palatino Linotype" w:cs="Times New Roman"/>
          <w:color w:val="FF0000"/>
          <w:kern w:val="0"/>
          <w:sz w:val="22"/>
          <w:szCs w:val="22"/>
          <w:lang w:eastAsia="en-GB"/>
          <w14:ligatures w14:val="none"/>
        </w:rPr>
        <w:t>, underscoring a locali</w:t>
      </w:r>
      <w:r w:rsidR="00ED340F" w:rsidRPr="0082232E">
        <w:rPr>
          <w:rFonts w:ascii="Palatino Linotype" w:eastAsia="Times New Roman" w:hAnsi="Palatino Linotype" w:cs="Times New Roman"/>
          <w:color w:val="FF0000"/>
          <w:kern w:val="0"/>
          <w:sz w:val="22"/>
          <w:szCs w:val="22"/>
          <w:lang w:eastAsia="en-GB"/>
          <w14:ligatures w14:val="none"/>
        </w:rPr>
        <w:t>s</w:t>
      </w:r>
      <w:r w:rsidRPr="0082232E">
        <w:rPr>
          <w:rFonts w:ascii="Palatino Linotype" w:eastAsia="Times New Roman" w:hAnsi="Palatino Linotype" w:cs="Times New Roman"/>
          <w:color w:val="FF0000"/>
          <w:kern w:val="0"/>
          <w:sz w:val="22"/>
          <w:szCs w:val="22"/>
          <w:lang w:eastAsia="en-GB"/>
          <w14:ligatures w14:val="none"/>
        </w:rPr>
        <w:t xml:space="preserve">ed public health concern. </w:t>
      </w:r>
      <w:commentRangeEnd w:id="0"/>
      <w:r w:rsidR="00ED340F" w:rsidRPr="0082232E">
        <w:rPr>
          <w:rStyle w:val="CommentReference"/>
          <w:rFonts w:ascii="Palatino Linotype" w:hAnsi="Palatino Linotype"/>
          <w:color w:val="FF0000"/>
          <w:sz w:val="22"/>
          <w:szCs w:val="22"/>
        </w:rPr>
        <w:commentReference w:id="0"/>
      </w:r>
      <w:commentRangeEnd w:id="1"/>
      <w:r w:rsidR="0082232E">
        <w:rPr>
          <w:rStyle w:val="CommentReference"/>
        </w:rPr>
        <w:commentReference w:id="1"/>
      </w:r>
      <w:r w:rsidRPr="00AE2AE0">
        <w:rPr>
          <w:rFonts w:ascii="Palatino Linotype" w:eastAsia="Times New Roman" w:hAnsi="Palatino Linotype" w:cs="Times New Roman"/>
          <w:kern w:val="0"/>
          <w:sz w:val="22"/>
          <w:szCs w:val="22"/>
          <w:lang w:eastAsia="en-GB"/>
          <w14:ligatures w14:val="none"/>
        </w:rPr>
        <w:t>Addressing this specific gap will provide crucial insights relevant to the local context and student body.</w:t>
      </w:r>
    </w:p>
    <w:p w14:paraId="7497DCE3" w14:textId="687F5C44" w:rsidR="008C1268" w:rsidRPr="00AE2AE0" w:rsidRDefault="00ED340F" w:rsidP="00B56730">
      <w:pPr>
        <w:spacing w:before="240" w:line="276" w:lineRule="auto"/>
        <w:jc w:val="both"/>
        <w:outlineLvl w:val="1"/>
        <w:rPr>
          <w:rFonts w:ascii="Palatino Linotype" w:eastAsia="Times New Roman" w:hAnsi="Palatino Linotype" w:cs="Times New Roman"/>
          <w:kern w:val="0"/>
          <w:sz w:val="22"/>
          <w:szCs w:val="22"/>
          <w:lang w:eastAsia="en-GB"/>
          <w14:ligatures w14:val="none"/>
        </w:rPr>
      </w:pPr>
      <w:r w:rsidRPr="00B56730">
        <w:rPr>
          <w:rFonts w:ascii="Palatino Linotype" w:eastAsia="Times New Roman" w:hAnsi="Palatino Linotype" w:cs="Times New Roman"/>
          <w:b/>
          <w:bCs/>
          <w:kern w:val="0"/>
          <w:sz w:val="22"/>
          <w:szCs w:val="22"/>
          <w:lang w:eastAsia="en-GB"/>
          <w14:ligatures w14:val="none"/>
        </w:rPr>
        <w:tab/>
      </w:r>
      <w:r w:rsidR="00AE2AE0" w:rsidRPr="00AE2AE0">
        <w:rPr>
          <w:rFonts w:ascii="Palatino Linotype" w:eastAsia="Times New Roman" w:hAnsi="Palatino Linotype" w:cs="Times New Roman"/>
          <w:kern w:val="0"/>
          <w:sz w:val="22"/>
          <w:szCs w:val="22"/>
          <w:lang w:eastAsia="en-GB"/>
          <w14:ligatures w14:val="none"/>
        </w:rPr>
        <w:t xml:space="preserve">In light of the above, this study aims to elucidate the lived experiences of students with URE at the University of Limpopo. By employing a qualitative approach, we seek to uncover nuanced insights into the daily functional limitations, coping strategies, and social implications associated with </w:t>
      </w:r>
      <w:r w:rsidRPr="00B56730">
        <w:rPr>
          <w:rFonts w:ascii="Palatino Linotype" w:eastAsia="Times New Roman" w:hAnsi="Palatino Linotype" w:cs="Times New Roman"/>
          <w:kern w:val="0"/>
          <w:sz w:val="22"/>
          <w:szCs w:val="22"/>
          <w:lang w:eastAsia="en-GB"/>
          <w14:ligatures w14:val="none"/>
        </w:rPr>
        <w:t>URE</w:t>
      </w:r>
      <w:r w:rsidR="00AE2AE0" w:rsidRPr="00AE2AE0">
        <w:rPr>
          <w:rFonts w:ascii="Palatino Linotype" w:eastAsia="Times New Roman" w:hAnsi="Palatino Linotype" w:cs="Times New Roman"/>
          <w:kern w:val="0"/>
          <w:sz w:val="22"/>
          <w:szCs w:val="22"/>
          <w:lang w:eastAsia="en-GB"/>
          <w14:ligatures w14:val="none"/>
        </w:rPr>
        <w:t xml:space="preserve"> among these students. Such insights can guide the design and implementation of targeted, contextually appropriate interventions within the university setting and similar academic environments. Therefore, this study describes the impact of uncorrected refractive errors on the quality of life from the perspectives of students at the University of Limpopo, thereby addressing a critical gap in the literature and informing future eye health strategies relevant to higher education in South Africa.</w:t>
      </w:r>
    </w:p>
    <w:p w14:paraId="3098B39E" w14:textId="77777777" w:rsidR="008C1268" w:rsidRPr="00B56730" w:rsidRDefault="00AE2AE0"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Uncorrected Refractive Errors: Definition and Prevalence</w:t>
      </w:r>
    </w:p>
    <w:p w14:paraId="75AFD767" w14:textId="77777777" w:rsidR="0082232E" w:rsidRDefault="008C1268" w:rsidP="0082232E">
      <w:pPr>
        <w:spacing w:before="240" w:line="276" w:lineRule="auto"/>
        <w:jc w:val="both"/>
        <w:outlineLvl w:val="2"/>
        <w:rPr>
          <w:rFonts w:ascii="Palatino Linotype" w:hAnsi="Palatino Linotype"/>
          <w:sz w:val="22"/>
          <w:szCs w:val="22"/>
        </w:rPr>
      </w:pPr>
      <w:r w:rsidRPr="00B56730">
        <w:rPr>
          <w:rFonts w:ascii="Palatino Linotype" w:hAnsi="Palatino Linotype"/>
          <w:sz w:val="22"/>
          <w:szCs w:val="22"/>
        </w:rPr>
        <w:tab/>
      </w:r>
      <w:r w:rsidR="00225FE4" w:rsidRPr="00B56730">
        <w:rPr>
          <w:rFonts w:ascii="Palatino Linotype" w:hAnsi="Palatino Linotype"/>
          <w:sz w:val="22"/>
          <w:szCs w:val="22"/>
        </w:rPr>
        <w:t xml:space="preserve">Uncorrected refractive errors, including myopia, hyperopia, astigmatism, and presbyopia, remain a significant cause of visual impairment </w:t>
      </w:r>
      <w:r w:rsidR="00225FE4" w:rsidRPr="00175E47">
        <w:rPr>
          <w:rFonts w:ascii="Palatino Linotype" w:hAnsi="Palatino Linotype"/>
          <w:sz w:val="22"/>
          <w:szCs w:val="22"/>
        </w:rPr>
        <w:t>worldwide</w:t>
      </w:r>
      <w:r w:rsidRPr="00175E47">
        <w:rPr>
          <w:rFonts w:ascii="Palatino Linotype" w:hAnsi="Palatino Linotype"/>
          <w:sz w:val="22"/>
          <w:szCs w:val="22"/>
        </w:rPr>
        <w:t xml:space="preserve"> [</w:t>
      </w:r>
      <w:r w:rsidR="00175E47" w:rsidRPr="00175E47">
        <w:rPr>
          <w:rStyle w:val="Strong"/>
          <w:rFonts w:ascii="Palatino Linotype" w:hAnsi="Palatino Linotype"/>
          <w:b w:val="0"/>
          <w:bCs w:val="0"/>
          <w:sz w:val="22"/>
          <w:szCs w:val="22"/>
        </w:rPr>
        <w:t>WHO, 2024</w:t>
      </w:r>
      <w:r w:rsidRPr="00175E47">
        <w:rPr>
          <w:rFonts w:ascii="Palatino Linotype" w:hAnsi="Palatino Linotype"/>
          <w:sz w:val="22"/>
          <w:szCs w:val="22"/>
        </w:rPr>
        <w:t>]</w:t>
      </w:r>
      <w:r w:rsidR="00225FE4" w:rsidRPr="00175E47">
        <w:rPr>
          <w:rFonts w:ascii="Palatino Linotype" w:hAnsi="Palatino Linotype"/>
          <w:sz w:val="22"/>
          <w:szCs w:val="22"/>
        </w:rPr>
        <w:t>.</w:t>
      </w:r>
      <w:r w:rsidR="00225FE4" w:rsidRPr="00B56730">
        <w:rPr>
          <w:rFonts w:ascii="Palatino Linotype" w:hAnsi="Palatino Linotype"/>
          <w:sz w:val="22"/>
          <w:szCs w:val="22"/>
        </w:rPr>
        <w:t xml:space="preserve"> As defined by Resnikoff et al. (2004)</w:t>
      </w:r>
      <w:r w:rsidRPr="00B56730">
        <w:rPr>
          <w:rFonts w:ascii="Palatino Linotype" w:hAnsi="Palatino Linotype"/>
          <w:sz w:val="22"/>
          <w:szCs w:val="22"/>
        </w:rPr>
        <w:t xml:space="preserve"> []</w:t>
      </w:r>
      <w:r w:rsidR="00225FE4" w:rsidRPr="00B56730">
        <w:rPr>
          <w:rFonts w:ascii="Palatino Linotype" w:hAnsi="Palatino Linotype"/>
          <w:sz w:val="22"/>
          <w:szCs w:val="22"/>
        </w:rPr>
        <w:t xml:space="preserve">, URE refers to refractive conditions that impede clear vision in the absence of corrective lenses. Despite the availability of effective correction methods such as spectacles, contact lenses, and refractive surgery, millions remain visually impaired due to various socioeconomic, cultural, and systemic barriers </w:t>
      </w:r>
      <w:r w:rsidRPr="00B56730">
        <w:rPr>
          <w:rFonts w:ascii="Palatino Linotype" w:hAnsi="Palatino Linotype"/>
          <w:sz w:val="22"/>
          <w:szCs w:val="22"/>
        </w:rPr>
        <w:t>[</w:t>
      </w:r>
      <w:r w:rsidR="00225FE4" w:rsidRPr="00B56730">
        <w:rPr>
          <w:rFonts w:ascii="Palatino Linotype" w:hAnsi="Palatino Linotype"/>
          <w:sz w:val="22"/>
          <w:szCs w:val="22"/>
        </w:rPr>
        <w:t>WHO, 2022</w:t>
      </w:r>
      <w:r w:rsidRPr="00B56730">
        <w:rPr>
          <w:rFonts w:ascii="Palatino Linotype" w:hAnsi="Palatino Linotype"/>
          <w:sz w:val="22"/>
          <w:szCs w:val="22"/>
        </w:rPr>
        <w:t>]</w:t>
      </w:r>
      <w:r w:rsidR="00225FE4" w:rsidRPr="00B56730">
        <w:rPr>
          <w:rFonts w:ascii="Palatino Linotype" w:hAnsi="Palatino Linotype"/>
          <w:sz w:val="22"/>
          <w:szCs w:val="22"/>
        </w:rPr>
        <w:t>. The consequences extend beyond visual acuity, affecting educational performance, employment, psychological health, and social participation</w:t>
      </w:r>
    </w:p>
    <w:p w14:paraId="4B62C5C2" w14:textId="4C7C016D" w:rsidR="00225FE4" w:rsidRPr="0082232E" w:rsidRDefault="0082232E" w:rsidP="0082232E">
      <w:pPr>
        <w:spacing w:before="240" w:line="276" w:lineRule="auto"/>
        <w:jc w:val="both"/>
        <w:outlineLvl w:val="2"/>
        <w:rPr>
          <w:rFonts w:ascii="Palatino Linotype" w:hAnsi="Palatino Linotype"/>
          <w:sz w:val="22"/>
          <w:szCs w:val="22"/>
        </w:rPr>
      </w:pPr>
      <w:r w:rsidRPr="0082232E">
        <w:rPr>
          <w:rFonts w:ascii="Palatino Linotype" w:hAnsi="Palatino Linotype"/>
          <w:b/>
          <w:bCs/>
          <w:sz w:val="22"/>
          <w:szCs w:val="22"/>
        </w:rPr>
        <w:lastRenderedPageBreak/>
        <w:t>Pe</w:t>
      </w:r>
      <w:r w:rsidR="00225FE4" w:rsidRPr="0082232E">
        <w:rPr>
          <w:rFonts w:ascii="Palatino Linotype" w:hAnsi="Palatino Linotype"/>
          <w:b/>
          <w:bCs/>
          <w:color w:val="000000" w:themeColor="text1"/>
          <w:sz w:val="22"/>
          <w:szCs w:val="22"/>
        </w:rPr>
        <w:t>rsp</w:t>
      </w:r>
      <w:r w:rsidR="00225FE4" w:rsidRPr="00B56730">
        <w:rPr>
          <w:rFonts w:ascii="Palatino Linotype" w:hAnsi="Palatino Linotype"/>
          <w:b/>
          <w:bCs/>
          <w:color w:val="000000" w:themeColor="text1"/>
          <w:sz w:val="22"/>
          <w:szCs w:val="22"/>
        </w:rPr>
        <w:t>ective on URE</w:t>
      </w:r>
    </w:p>
    <w:p w14:paraId="274982B6" w14:textId="081D5213" w:rsidR="00225FE4" w:rsidRPr="00B56730" w:rsidRDefault="008C1268"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225FE4" w:rsidRPr="00B56730">
        <w:rPr>
          <w:rFonts w:ascii="Palatino Linotype" w:hAnsi="Palatino Linotype"/>
          <w:sz w:val="22"/>
          <w:szCs w:val="22"/>
        </w:rPr>
        <w:t xml:space="preserve">Globally, estimates suggest that approximately 1.4 billion people are affected by visual impairment caused by refractive errors, with a significant proportion uncorrected </w:t>
      </w:r>
      <w:r w:rsidRPr="00B56730">
        <w:rPr>
          <w:rFonts w:ascii="Palatino Linotype" w:hAnsi="Palatino Linotype"/>
          <w:sz w:val="22"/>
          <w:szCs w:val="22"/>
        </w:rPr>
        <w:t>[</w:t>
      </w:r>
      <w:r w:rsidR="00225FE4" w:rsidRPr="00B56730">
        <w:rPr>
          <w:rFonts w:ascii="Palatino Linotype" w:hAnsi="Palatino Linotype"/>
          <w:sz w:val="22"/>
          <w:szCs w:val="22"/>
        </w:rPr>
        <w:t>Bourne et al., 2017</w:t>
      </w:r>
      <w:r w:rsidRPr="00B56730">
        <w:rPr>
          <w:rFonts w:ascii="Palatino Linotype" w:hAnsi="Palatino Linotype"/>
          <w:sz w:val="22"/>
          <w:szCs w:val="22"/>
        </w:rPr>
        <w:t>]</w:t>
      </w:r>
      <w:r w:rsidR="00225FE4" w:rsidRPr="00B56730">
        <w:rPr>
          <w:rFonts w:ascii="Palatino Linotype" w:hAnsi="Palatino Linotype"/>
          <w:sz w:val="22"/>
          <w:szCs w:val="22"/>
        </w:rPr>
        <w:t>. The World Health Organization emphasi</w:t>
      </w:r>
      <w:r w:rsidRPr="00B56730">
        <w:rPr>
          <w:rFonts w:ascii="Palatino Linotype" w:hAnsi="Palatino Linotype"/>
          <w:sz w:val="22"/>
          <w:szCs w:val="22"/>
        </w:rPr>
        <w:t>s</w:t>
      </w:r>
      <w:r w:rsidR="00225FE4" w:rsidRPr="00B56730">
        <w:rPr>
          <w:rFonts w:ascii="Palatino Linotype" w:hAnsi="Palatino Linotype"/>
          <w:sz w:val="22"/>
          <w:szCs w:val="22"/>
        </w:rPr>
        <w:t xml:space="preserve">es that most of this burden is preventable, with over 80% of cases amenable to correction through affordable interventions </w:t>
      </w:r>
      <w:r w:rsidRPr="00B56730">
        <w:rPr>
          <w:rFonts w:ascii="Palatino Linotype" w:hAnsi="Palatino Linotype"/>
          <w:sz w:val="22"/>
          <w:szCs w:val="22"/>
        </w:rPr>
        <w:t>[</w:t>
      </w:r>
      <w:r w:rsidR="00225FE4" w:rsidRPr="00B56730">
        <w:rPr>
          <w:rFonts w:ascii="Palatino Linotype" w:hAnsi="Palatino Linotype"/>
          <w:sz w:val="22"/>
          <w:szCs w:val="22"/>
        </w:rPr>
        <w:t>WHO, 202</w:t>
      </w:r>
      <w:r w:rsidR="00175E47">
        <w:rPr>
          <w:rFonts w:ascii="Palatino Linotype" w:hAnsi="Palatino Linotype"/>
          <w:sz w:val="22"/>
          <w:szCs w:val="22"/>
        </w:rPr>
        <w:t>4]</w:t>
      </w:r>
      <w:r w:rsidR="00225FE4" w:rsidRPr="00B56730">
        <w:rPr>
          <w:rFonts w:ascii="Palatino Linotype" w:hAnsi="Palatino Linotype"/>
          <w:sz w:val="22"/>
          <w:szCs w:val="22"/>
        </w:rPr>
        <w:t xml:space="preserve">. However, access disparities persist, especially in low-resource settings, where barriers such as cost, limited healthcare infrastructure, cultural beliefs, and stigma hinder corrective efforts </w:t>
      </w:r>
      <w:r w:rsidRPr="00B56730">
        <w:rPr>
          <w:rFonts w:ascii="Palatino Linotype" w:hAnsi="Palatino Linotype"/>
          <w:sz w:val="22"/>
          <w:szCs w:val="22"/>
        </w:rPr>
        <w:t>[</w:t>
      </w:r>
      <w:r w:rsidR="00225FE4" w:rsidRPr="00B56730">
        <w:rPr>
          <w:rFonts w:ascii="Palatino Linotype" w:hAnsi="Palatino Linotype"/>
          <w:sz w:val="22"/>
          <w:szCs w:val="22"/>
        </w:rPr>
        <w:t>Coleman et al., 2006</w:t>
      </w:r>
      <w:r w:rsidRPr="00B56730">
        <w:rPr>
          <w:rFonts w:ascii="Palatino Linotype" w:hAnsi="Palatino Linotype"/>
          <w:sz w:val="22"/>
          <w:szCs w:val="22"/>
        </w:rPr>
        <w:t>]</w:t>
      </w:r>
      <w:r w:rsidR="00225FE4" w:rsidRPr="00B56730">
        <w:rPr>
          <w:rFonts w:ascii="Palatino Linotype" w:hAnsi="Palatino Linotype"/>
          <w:sz w:val="22"/>
          <w:szCs w:val="22"/>
        </w:rPr>
        <w:t>.</w:t>
      </w:r>
    </w:p>
    <w:p w14:paraId="4A2854C9" w14:textId="3CDBD064" w:rsidR="00225FE4" w:rsidRPr="00B56730" w:rsidRDefault="008C1268"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225FE4" w:rsidRPr="00B56730">
        <w:rPr>
          <w:rFonts w:ascii="Palatino Linotype" w:hAnsi="Palatino Linotype"/>
          <w:sz w:val="22"/>
          <w:szCs w:val="22"/>
        </w:rPr>
        <w:t>Research demonstrates that uncorrected refractive errors negatively impact various aspects of life. For example, Ma et al. (2014)</w:t>
      </w:r>
      <w:r w:rsidRPr="00B56730">
        <w:rPr>
          <w:rFonts w:ascii="Palatino Linotype" w:hAnsi="Palatino Linotype"/>
          <w:sz w:val="22"/>
          <w:szCs w:val="22"/>
        </w:rPr>
        <w:t xml:space="preserve"> []</w:t>
      </w:r>
      <w:r w:rsidR="00225FE4" w:rsidRPr="00B56730">
        <w:rPr>
          <w:rFonts w:ascii="Palatino Linotype" w:hAnsi="Palatino Linotype"/>
          <w:sz w:val="22"/>
          <w:szCs w:val="22"/>
        </w:rPr>
        <w:t xml:space="preserve"> reported that providing spectacles to schoolchildren improved academic outcomes. Similarly, Fricke et al. (2018) </w:t>
      </w:r>
      <w:r w:rsidRPr="00B56730">
        <w:rPr>
          <w:rFonts w:ascii="Palatino Linotype" w:hAnsi="Palatino Linotype"/>
          <w:sz w:val="22"/>
          <w:szCs w:val="22"/>
        </w:rPr>
        <w:t xml:space="preserve">[] </w:t>
      </w:r>
      <w:r w:rsidR="00225FE4" w:rsidRPr="00B56730">
        <w:rPr>
          <w:rFonts w:ascii="Palatino Linotype" w:hAnsi="Palatino Linotype"/>
          <w:sz w:val="22"/>
          <w:szCs w:val="22"/>
        </w:rPr>
        <w:t>estimated that the global economic loss attributed to URE exceeds $244 billion annually, underscoring its substantial societal impact.</w:t>
      </w:r>
    </w:p>
    <w:p w14:paraId="0FAF3880" w14:textId="5C04E7D8" w:rsidR="0022479B" w:rsidRPr="00B56730" w:rsidRDefault="0022479B" w:rsidP="00B56730">
      <w:pPr>
        <w:pStyle w:val="NormalWeb"/>
        <w:spacing w:before="240" w:beforeAutospacing="0" w:after="0" w:afterAutospacing="0" w:line="276" w:lineRule="auto"/>
        <w:jc w:val="both"/>
        <w:rPr>
          <w:rFonts w:ascii="Palatino Linotype" w:hAnsi="Palatino Linotype"/>
          <w:sz w:val="22"/>
          <w:szCs w:val="22"/>
        </w:rPr>
      </w:pPr>
      <w:r w:rsidRPr="00B56730">
        <w:rPr>
          <w:rStyle w:val="Strong"/>
          <w:rFonts w:ascii="Palatino Linotype" w:hAnsi="Palatino Linotype"/>
          <w:sz w:val="22"/>
          <w:szCs w:val="22"/>
          <w:bdr w:val="none" w:sz="0" w:space="0" w:color="auto" w:frame="1"/>
        </w:rPr>
        <w:tab/>
      </w:r>
      <w:r w:rsidR="00225FE4" w:rsidRPr="00B56730">
        <w:rPr>
          <w:rFonts w:ascii="Palatino Linotype" w:hAnsi="Palatino Linotype"/>
          <w:sz w:val="22"/>
          <w:szCs w:val="22"/>
        </w:rPr>
        <w:t xml:space="preserve">In African contexts, limited access to eye care and socioeconomic disadvantages are key barriers. Kumaran et al. (2015) </w:t>
      </w:r>
      <w:r w:rsidRPr="00B56730">
        <w:rPr>
          <w:rFonts w:ascii="Palatino Linotype" w:hAnsi="Palatino Linotype"/>
          <w:sz w:val="22"/>
          <w:szCs w:val="22"/>
        </w:rPr>
        <w:t xml:space="preserve">[] </w:t>
      </w:r>
      <w:r w:rsidR="00225FE4" w:rsidRPr="00B56730">
        <w:rPr>
          <w:rFonts w:ascii="Palatino Linotype" w:hAnsi="Palatino Linotype"/>
          <w:sz w:val="22"/>
          <w:szCs w:val="22"/>
        </w:rPr>
        <w:t xml:space="preserve">highlight that social stigma and cultural misconceptions further discourage spectacle use, perpetuating visual impairment. Similar challenges are observed, especially in </w:t>
      </w:r>
      <w:r w:rsidRPr="00B56730">
        <w:rPr>
          <w:rFonts w:ascii="Palatino Linotype" w:hAnsi="Palatino Linotype"/>
          <w:sz w:val="22"/>
          <w:szCs w:val="22"/>
        </w:rPr>
        <w:t>South Africa.</w:t>
      </w:r>
      <w:r w:rsidR="00225FE4" w:rsidRPr="00B56730">
        <w:rPr>
          <w:rFonts w:ascii="Palatino Linotype" w:hAnsi="Palatino Linotype"/>
          <w:sz w:val="22"/>
          <w:szCs w:val="22"/>
        </w:rPr>
        <w:t xml:space="preserve"> Kumaran et al. (2015) </w:t>
      </w:r>
      <w:r w:rsidRPr="00B56730">
        <w:rPr>
          <w:rFonts w:ascii="Palatino Linotype" w:hAnsi="Palatino Linotype"/>
          <w:sz w:val="22"/>
          <w:szCs w:val="22"/>
        </w:rPr>
        <w:t xml:space="preserve">[] </w:t>
      </w:r>
      <w:r w:rsidR="00225FE4" w:rsidRPr="00B56730">
        <w:rPr>
          <w:rFonts w:ascii="Palatino Linotype" w:hAnsi="Palatino Linotype"/>
          <w:sz w:val="22"/>
          <w:szCs w:val="22"/>
        </w:rPr>
        <w:t xml:space="preserve">found that undiagnosed refractive errors hinder academic performance. Financial constraints and social stigmas, especially among youth, impede correction compliance </w:t>
      </w:r>
      <w:r w:rsidRPr="00B56730">
        <w:rPr>
          <w:rFonts w:ascii="Palatino Linotype" w:hAnsi="Palatino Linotype"/>
          <w:sz w:val="22"/>
          <w:szCs w:val="22"/>
        </w:rPr>
        <w:t>[</w:t>
      </w:r>
      <w:r w:rsidR="00225FE4" w:rsidRPr="00B56730">
        <w:rPr>
          <w:rFonts w:ascii="Palatino Linotype" w:hAnsi="Palatino Linotype"/>
          <w:sz w:val="22"/>
          <w:szCs w:val="22"/>
        </w:rPr>
        <w:t>Hsieh &amp; Lin, 2016</w:t>
      </w:r>
      <w:r w:rsidRPr="00B56730">
        <w:rPr>
          <w:rFonts w:ascii="Palatino Linotype" w:hAnsi="Palatino Linotype"/>
          <w:sz w:val="22"/>
          <w:szCs w:val="22"/>
        </w:rPr>
        <w:t>]</w:t>
      </w:r>
      <w:r w:rsidR="00225FE4" w:rsidRPr="00B56730">
        <w:rPr>
          <w:rFonts w:ascii="Palatino Linotype" w:hAnsi="Palatino Linotype"/>
          <w:sz w:val="22"/>
          <w:szCs w:val="22"/>
        </w:rPr>
        <w:t>.</w:t>
      </w:r>
      <w:r w:rsidRPr="00B56730">
        <w:rPr>
          <w:rFonts w:ascii="Palatino Linotype" w:hAnsi="Palatino Linotype"/>
          <w:sz w:val="22"/>
          <w:szCs w:val="22"/>
        </w:rPr>
        <w:t xml:space="preserve"> </w:t>
      </w:r>
      <w:r w:rsidRPr="00B56730">
        <w:rPr>
          <w:rStyle w:val="Strong"/>
          <w:rFonts w:ascii="Palatino Linotype" w:hAnsi="Palatino Linotype"/>
          <w:b w:val="0"/>
          <w:bCs w:val="0"/>
          <w:sz w:val="22"/>
          <w:szCs w:val="22"/>
          <w:bdr w:val="none" w:sz="0" w:space="0" w:color="auto" w:frame="1"/>
        </w:rPr>
        <w:t xml:space="preserve">In </w:t>
      </w:r>
      <w:r w:rsidR="00225FE4" w:rsidRPr="00B56730">
        <w:rPr>
          <w:rStyle w:val="Strong"/>
          <w:rFonts w:ascii="Palatino Linotype" w:hAnsi="Palatino Linotype"/>
          <w:b w:val="0"/>
          <w:bCs w:val="0"/>
          <w:sz w:val="22"/>
          <w:szCs w:val="22"/>
          <w:bdr w:val="none" w:sz="0" w:space="0" w:color="auto" w:frame="1"/>
        </w:rPr>
        <w:t>Limpopo Province</w:t>
      </w:r>
      <w:r w:rsidR="00225FE4" w:rsidRPr="00B56730">
        <w:rPr>
          <w:rFonts w:ascii="Palatino Linotype" w:hAnsi="Palatino Linotype"/>
          <w:sz w:val="22"/>
          <w:szCs w:val="22"/>
        </w:rPr>
        <w:t xml:space="preserve">, approximately 21% of individuals with refractive errors do not use spectacles, largely due to cost and stigma </w:t>
      </w:r>
      <w:r w:rsidRPr="00B56730">
        <w:rPr>
          <w:rFonts w:ascii="Palatino Linotype" w:hAnsi="Palatino Linotype"/>
          <w:sz w:val="22"/>
          <w:szCs w:val="22"/>
        </w:rPr>
        <w:t>[</w:t>
      </w:r>
      <w:proofErr w:type="spellStart"/>
      <w:r w:rsidR="00225FE4" w:rsidRPr="00B56730">
        <w:rPr>
          <w:rFonts w:ascii="Palatino Linotype" w:hAnsi="Palatino Linotype"/>
          <w:sz w:val="22"/>
          <w:szCs w:val="22"/>
        </w:rPr>
        <w:t>Yibekal</w:t>
      </w:r>
      <w:proofErr w:type="spellEnd"/>
      <w:r w:rsidR="00225FE4" w:rsidRPr="00B56730">
        <w:rPr>
          <w:rFonts w:ascii="Palatino Linotype" w:hAnsi="Palatino Linotype"/>
          <w:sz w:val="22"/>
          <w:szCs w:val="22"/>
        </w:rPr>
        <w:t xml:space="preserve"> et al., 2020</w:t>
      </w:r>
      <w:r w:rsidRPr="00B56730">
        <w:rPr>
          <w:rFonts w:ascii="Palatino Linotype" w:hAnsi="Palatino Linotype"/>
          <w:sz w:val="22"/>
          <w:szCs w:val="22"/>
        </w:rPr>
        <w:t>]</w:t>
      </w:r>
      <w:r w:rsidR="00225FE4" w:rsidRPr="00B56730">
        <w:rPr>
          <w:rFonts w:ascii="Palatino Linotype" w:hAnsi="Palatino Linotype"/>
          <w:sz w:val="22"/>
          <w:szCs w:val="22"/>
        </w:rPr>
        <w:t>. These barriers contribute to disparities in educational achievements and employability, with socioeconomic factors playing a central role.</w:t>
      </w:r>
    </w:p>
    <w:p w14:paraId="36B08399" w14:textId="77777777" w:rsidR="0022479B" w:rsidRPr="00B56730" w:rsidRDefault="0022479B" w:rsidP="00B56730">
      <w:pPr>
        <w:pStyle w:val="Heading4"/>
        <w:spacing w:before="240" w:line="276" w:lineRule="auto"/>
        <w:jc w:val="both"/>
        <w:rPr>
          <w:rFonts w:ascii="Palatino Linotype" w:hAnsi="Palatino Linotype"/>
          <w:b/>
          <w:bCs/>
          <w:i w:val="0"/>
          <w:iCs w:val="0"/>
          <w:color w:val="000000" w:themeColor="text1"/>
          <w:sz w:val="22"/>
          <w:szCs w:val="22"/>
        </w:rPr>
      </w:pPr>
      <w:r w:rsidRPr="00B56730">
        <w:rPr>
          <w:rFonts w:ascii="Palatino Linotype" w:hAnsi="Palatino Linotype"/>
          <w:b/>
          <w:bCs/>
          <w:i w:val="0"/>
          <w:iCs w:val="0"/>
          <w:color w:val="000000" w:themeColor="text1"/>
          <w:sz w:val="22"/>
          <w:szCs w:val="22"/>
        </w:rPr>
        <w:t>Impact on Psychological and Social Well-being</w:t>
      </w:r>
    </w:p>
    <w:p w14:paraId="5F488DCF" w14:textId="433F251B" w:rsidR="00225FE4" w:rsidRPr="00B56730" w:rsidRDefault="0022479B"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t>Beyond economic and educational consequences, URE adversely affects mental health, with affected individuals experiencing higher rates of anxiety and depression [Frick et al., 2015]. Social exclusion and bullying are prevalent among children with myopia [Naidoo et al., 2019], exacerbating emotional distress. Moreover, older adults with uncorrected vision problems face increased risks of falls, mobility issues, and safety concerns [Owsley et al., 2016].</w:t>
      </w:r>
    </w:p>
    <w:p w14:paraId="7D751F87" w14:textId="5BA97D94" w:rsidR="00225FE4" w:rsidRPr="00B56730" w:rsidRDefault="0065678E" w:rsidP="00B56730">
      <w:pPr>
        <w:pStyle w:val="Heading3"/>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 xml:space="preserve">Gaps in Current </w:t>
      </w:r>
      <w:r w:rsidR="00225FE4" w:rsidRPr="00B56730">
        <w:rPr>
          <w:rFonts w:ascii="Palatino Linotype" w:hAnsi="Palatino Linotype"/>
          <w:sz w:val="22"/>
          <w:szCs w:val="22"/>
        </w:rPr>
        <w:t xml:space="preserve">Research </w:t>
      </w:r>
    </w:p>
    <w:p w14:paraId="3815C88A" w14:textId="26677AA1" w:rsidR="00225FE4" w:rsidRPr="00B56730" w:rsidRDefault="00B56730" w:rsidP="00B56730">
      <w:pPr>
        <w:pStyle w:val="NormalWeb"/>
        <w:spacing w:before="240" w:beforeAutospacing="0" w:after="0" w:afterAutospacing="0" w:line="276" w:lineRule="auto"/>
        <w:jc w:val="both"/>
        <w:rPr>
          <w:rFonts w:ascii="Palatino Linotype" w:hAnsi="Palatino Linotype"/>
          <w:sz w:val="22"/>
          <w:szCs w:val="22"/>
        </w:rPr>
      </w:pPr>
      <w:r>
        <w:rPr>
          <w:rFonts w:ascii="Palatino Linotype" w:hAnsi="Palatino Linotype"/>
          <w:sz w:val="22"/>
          <w:szCs w:val="22"/>
        </w:rPr>
        <w:tab/>
      </w:r>
      <w:r w:rsidR="00225FE4" w:rsidRPr="00B56730">
        <w:rPr>
          <w:rFonts w:ascii="Palatino Linotype" w:hAnsi="Palatino Linotype"/>
          <w:sz w:val="22"/>
          <w:szCs w:val="22"/>
        </w:rPr>
        <w:t>Despite extensive research on URE, several critical gaps remain that hinder effective intervention and policy formulation</w:t>
      </w:r>
      <w:r w:rsidR="0022479B" w:rsidRPr="00B56730">
        <w:rPr>
          <w:rFonts w:ascii="Palatino Linotype" w:hAnsi="Palatino Linotype"/>
          <w:sz w:val="22"/>
          <w:szCs w:val="22"/>
        </w:rPr>
        <w:t xml:space="preserve">. </w:t>
      </w:r>
      <w:r w:rsidR="00225FE4" w:rsidRPr="00B56730">
        <w:rPr>
          <w:rFonts w:ascii="Palatino Linotype" w:hAnsi="Palatino Linotype"/>
          <w:sz w:val="22"/>
          <w:szCs w:val="22"/>
        </w:rPr>
        <w:t>While stigma and misconceptions are recogni</w:t>
      </w:r>
      <w:r w:rsidR="0022479B" w:rsidRPr="00B56730">
        <w:rPr>
          <w:rFonts w:ascii="Palatino Linotype" w:hAnsi="Palatino Linotype"/>
          <w:sz w:val="22"/>
          <w:szCs w:val="22"/>
        </w:rPr>
        <w:t>s</w:t>
      </w:r>
      <w:r w:rsidR="00225FE4" w:rsidRPr="00B56730">
        <w:rPr>
          <w:rFonts w:ascii="Palatino Linotype" w:hAnsi="Palatino Linotype"/>
          <w:sz w:val="22"/>
          <w:szCs w:val="22"/>
        </w:rPr>
        <w:t>ed, there is insufficient detailed exploration of cultural beliefs influencing spectacle acceptance across diverse communities, especially in rural African contexts. Tailored culturally sensitive interventions are thus underdeveloped</w:t>
      </w:r>
      <w:r w:rsidR="0022479B" w:rsidRPr="00B56730">
        <w:rPr>
          <w:rFonts w:ascii="Palatino Linotype" w:hAnsi="Palatino Linotype"/>
          <w:sz w:val="22"/>
          <w:szCs w:val="22"/>
        </w:rPr>
        <w:t>. Also, m</w:t>
      </w:r>
      <w:r w:rsidR="00225FE4" w:rsidRPr="00B56730">
        <w:rPr>
          <w:rFonts w:ascii="Palatino Linotype" w:hAnsi="Palatino Linotype"/>
          <w:sz w:val="22"/>
          <w:szCs w:val="22"/>
        </w:rPr>
        <w:t xml:space="preserve">ost studies assess short-term benefits of </w:t>
      </w:r>
      <w:r w:rsidR="00225FE4" w:rsidRPr="00B56730">
        <w:rPr>
          <w:rFonts w:ascii="Palatino Linotype" w:hAnsi="Palatino Linotype"/>
          <w:sz w:val="22"/>
          <w:szCs w:val="22"/>
        </w:rPr>
        <w:lastRenderedPageBreak/>
        <w:t>spectacles or correction program</w:t>
      </w:r>
      <w:r w:rsidR="0022479B" w:rsidRPr="00B56730">
        <w:rPr>
          <w:rFonts w:ascii="Palatino Linotype" w:hAnsi="Palatino Linotype"/>
          <w:sz w:val="22"/>
          <w:szCs w:val="22"/>
        </w:rPr>
        <w:t>me</w:t>
      </w:r>
      <w:r w:rsidR="00225FE4" w:rsidRPr="00B56730">
        <w:rPr>
          <w:rFonts w:ascii="Palatino Linotype" w:hAnsi="Palatino Linotype"/>
          <w:sz w:val="22"/>
          <w:szCs w:val="22"/>
        </w:rPr>
        <w:t>s. There is a paucity of longitudinal studies examining the sustainability of correction adherence, impact on mental health, and socioeconomic mobility over time.</w:t>
      </w:r>
      <w:r w:rsidR="0022479B" w:rsidRPr="00B56730">
        <w:rPr>
          <w:rFonts w:ascii="Palatino Linotype" w:hAnsi="Palatino Linotype"/>
          <w:sz w:val="22"/>
          <w:szCs w:val="22"/>
        </w:rPr>
        <w:t xml:space="preserve"> In addition, r</w:t>
      </w:r>
      <w:r w:rsidR="00225FE4" w:rsidRPr="00B56730">
        <w:rPr>
          <w:rFonts w:ascii="Palatino Linotype" w:hAnsi="Palatino Linotype"/>
          <w:sz w:val="22"/>
          <w:szCs w:val="22"/>
        </w:rPr>
        <w:t>esearch often neglects systemic factors influencing sustained access to affordable eye care, such as healthcare infrastructure, workforce capacity, and supply chain issues in low-resource settings.</w:t>
      </w:r>
      <w:r w:rsidR="0022479B" w:rsidRPr="00B56730">
        <w:rPr>
          <w:rFonts w:ascii="Palatino Linotype" w:hAnsi="Palatino Linotype"/>
          <w:sz w:val="22"/>
          <w:szCs w:val="22"/>
        </w:rPr>
        <w:t xml:space="preserve"> </w:t>
      </w:r>
      <w:r w:rsidR="0022479B" w:rsidRPr="00B56730">
        <w:rPr>
          <w:rStyle w:val="Strong"/>
          <w:rFonts w:ascii="Palatino Linotype" w:hAnsi="Palatino Linotype"/>
          <w:b w:val="0"/>
          <w:bCs w:val="0"/>
          <w:sz w:val="22"/>
          <w:szCs w:val="22"/>
          <w:bdr w:val="none" w:sz="0" w:space="0" w:color="auto" w:frame="1"/>
        </w:rPr>
        <w:t>Further,</w:t>
      </w:r>
      <w:r w:rsidR="00225FE4" w:rsidRPr="00B56730">
        <w:rPr>
          <w:rFonts w:ascii="Palatino Linotype" w:hAnsi="Palatino Linotype"/>
          <w:sz w:val="22"/>
          <w:szCs w:val="22"/>
        </w:rPr>
        <w:t xml:space="preserve"> </w:t>
      </w:r>
      <w:r w:rsidR="0022479B" w:rsidRPr="00B56730">
        <w:rPr>
          <w:rFonts w:ascii="Palatino Linotype" w:hAnsi="Palatino Linotype"/>
          <w:sz w:val="22"/>
          <w:szCs w:val="22"/>
        </w:rPr>
        <w:t>c</w:t>
      </w:r>
      <w:r w:rsidR="00225FE4" w:rsidRPr="00B56730">
        <w:rPr>
          <w:rFonts w:ascii="Palatino Linotype" w:hAnsi="Palatino Linotype"/>
          <w:sz w:val="22"/>
          <w:szCs w:val="22"/>
        </w:rPr>
        <w:t>hildren, elderly, and marginali</w:t>
      </w:r>
      <w:r w:rsidR="0022479B" w:rsidRPr="00B56730">
        <w:rPr>
          <w:rFonts w:ascii="Palatino Linotype" w:hAnsi="Palatino Linotype"/>
          <w:sz w:val="22"/>
          <w:szCs w:val="22"/>
        </w:rPr>
        <w:t>s</w:t>
      </w:r>
      <w:r w:rsidR="00225FE4" w:rsidRPr="00B56730">
        <w:rPr>
          <w:rFonts w:ascii="Palatino Linotype" w:hAnsi="Palatino Linotype"/>
          <w:sz w:val="22"/>
          <w:szCs w:val="22"/>
        </w:rPr>
        <w:t>ed communities such as refugees or indigenous populations are underrepresented in research, limiting understanding of their specific needs and barriers.</w:t>
      </w:r>
      <w:r w:rsidR="0022479B" w:rsidRPr="00B56730">
        <w:rPr>
          <w:rFonts w:ascii="Palatino Linotype" w:hAnsi="Palatino Linotype"/>
          <w:sz w:val="22"/>
          <w:szCs w:val="22"/>
        </w:rPr>
        <w:t xml:space="preserve"> Therefore, e</w:t>
      </w:r>
      <w:r w:rsidR="00225FE4" w:rsidRPr="00B56730">
        <w:rPr>
          <w:rFonts w:ascii="Palatino Linotype" w:hAnsi="Palatino Linotype"/>
          <w:sz w:val="22"/>
          <w:szCs w:val="22"/>
        </w:rPr>
        <w:t>merging models such as tele-optometry, mobile clinics, and community-based interventions require rigorous evaluation to establish effectiveness, scalability, and adaptability in diverse settings.</w:t>
      </w:r>
      <w:r w:rsidR="0022479B" w:rsidRPr="00B56730">
        <w:rPr>
          <w:rFonts w:ascii="Palatino Linotype" w:hAnsi="Palatino Linotype"/>
          <w:sz w:val="22"/>
          <w:szCs w:val="22"/>
        </w:rPr>
        <w:t xml:space="preserve"> And to add, t</w:t>
      </w:r>
      <w:r w:rsidR="00225FE4" w:rsidRPr="00B56730">
        <w:rPr>
          <w:rFonts w:ascii="Palatino Linotype" w:hAnsi="Palatino Linotype"/>
          <w:sz w:val="22"/>
          <w:szCs w:val="22"/>
        </w:rPr>
        <w:t>here is limited comprehensive analysis of cost-effectiveness of large-scale correction programs, which is vital for policy support and resource allocation.</w:t>
      </w:r>
    </w:p>
    <w:p w14:paraId="4F70EE98" w14:textId="388DC466" w:rsidR="00225FE4" w:rsidRPr="00AE2AE0" w:rsidRDefault="0022479B"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t xml:space="preserve">In light of the above research gaps, </w:t>
      </w:r>
      <w:r w:rsidR="00225FE4" w:rsidRPr="00B56730">
        <w:rPr>
          <w:rFonts w:ascii="Palatino Linotype" w:hAnsi="Palatino Linotype"/>
          <w:sz w:val="22"/>
          <w:szCs w:val="22"/>
        </w:rPr>
        <w:t>U</w:t>
      </w:r>
      <w:r w:rsidRPr="00B56730">
        <w:rPr>
          <w:rFonts w:ascii="Palatino Linotype" w:hAnsi="Palatino Linotype"/>
          <w:sz w:val="22"/>
          <w:szCs w:val="22"/>
        </w:rPr>
        <w:t>RE</w:t>
      </w:r>
      <w:r w:rsidR="00225FE4" w:rsidRPr="00B56730">
        <w:rPr>
          <w:rFonts w:ascii="Palatino Linotype" w:hAnsi="Palatino Linotype"/>
          <w:sz w:val="22"/>
          <w:szCs w:val="22"/>
        </w:rPr>
        <w:t xml:space="preserve"> remain a major barrier to optimal education, employment, and social integration, particularly in low-resource environments. While existing research underscores the scope and impact of URE, addressing the identified gaps</w:t>
      </w:r>
      <w:r w:rsidR="0065678E" w:rsidRPr="00B56730">
        <w:rPr>
          <w:rFonts w:ascii="Palatino Linotype" w:hAnsi="Palatino Linotype"/>
          <w:sz w:val="22"/>
          <w:szCs w:val="22"/>
        </w:rPr>
        <w:t xml:space="preserve">, </w:t>
      </w:r>
      <w:r w:rsidR="00225FE4" w:rsidRPr="00B56730">
        <w:rPr>
          <w:rFonts w:ascii="Palatino Linotype" w:hAnsi="Palatino Linotype"/>
          <w:sz w:val="22"/>
          <w:szCs w:val="22"/>
        </w:rPr>
        <w:t>especially regarding cultural barriers, long-term adherence, access systems, and innovative intervention models</w:t>
      </w:r>
      <w:r w:rsidR="0065678E" w:rsidRPr="00B56730">
        <w:rPr>
          <w:rFonts w:ascii="Palatino Linotype" w:hAnsi="Palatino Linotype"/>
          <w:sz w:val="22"/>
          <w:szCs w:val="22"/>
        </w:rPr>
        <w:t xml:space="preserve"> </w:t>
      </w:r>
      <w:r w:rsidR="00225FE4" w:rsidRPr="00B56730">
        <w:rPr>
          <w:rFonts w:ascii="Palatino Linotype" w:hAnsi="Palatino Linotype"/>
          <w:sz w:val="22"/>
          <w:szCs w:val="22"/>
        </w:rPr>
        <w:t>is crucial. Filling these gaps will enable the development of culturally appropriate, sustainable, and scalable solutions</w:t>
      </w:r>
      <w:r w:rsidR="0065678E" w:rsidRPr="00B56730">
        <w:rPr>
          <w:rFonts w:ascii="Palatino Linotype" w:hAnsi="Palatino Linotype"/>
          <w:sz w:val="22"/>
          <w:szCs w:val="22"/>
        </w:rPr>
        <w:t xml:space="preserve"> </w:t>
      </w:r>
      <w:r w:rsidR="00225FE4" w:rsidRPr="00B56730">
        <w:rPr>
          <w:rFonts w:ascii="Palatino Linotype" w:hAnsi="Palatino Linotype"/>
          <w:sz w:val="22"/>
          <w:szCs w:val="22"/>
        </w:rPr>
        <w:t xml:space="preserve">to reduce the </w:t>
      </w:r>
      <w:r w:rsidR="0065678E" w:rsidRPr="00B56730">
        <w:rPr>
          <w:rFonts w:ascii="Palatino Linotype" w:hAnsi="Palatino Linotype"/>
          <w:sz w:val="22"/>
          <w:szCs w:val="22"/>
        </w:rPr>
        <w:t xml:space="preserve">impact of URE. </w:t>
      </w:r>
    </w:p>
    <w:p w14:paraId="5D4D861E" w14:textId="77777777" w:rsidR="00AE2AE0" w:rsidRPr="00AE2AE0" w:rsidRDefault="00AE2AE0"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Quality of Life: Conceptual Framework</w:t>
      </w:r>
    </w:p>
    <w:p w14:paraId="021F1368" w14:textId="6AD83732" w:rsidR="00AE2AE0" w:rsidRDefault="00B56730" w:rsidP="00B56730">
      <w:pPr>
        <w:spacing w:line="276" w:lineRule="auto"/>
        <w:jc w:val="both"/>
        <w:rPr>
          <w:rFonts w:ascii="Palatino Linotype" w:eastAsia="Times New Roman" w:hAnsi="Palatino Linotype" w:cs="Times New Roman"/>
          <w:kern w:val="0"/>
          <w:sz w:val="22"/>
          <w:szCs w:val="22"/>
          <w:lang w:eastAsia="en-GB"/>
          <w14:ligatures w14:val="none"/>
        </w:rPr>
      </w:pPr>
      <w:r>
        <w:rPr>
          <w:rFonts w:ascii="Palatino Linotype" w:eastAsia="Times New Roman" w:hAnsi="Palatino Linotype" w:cs="Times New Roman"/>
          <w:kern w:val="0"/>
          <w:sz w:val="22"/>
          <w:szCs w:val="22"/>
          <w:lang w:eastAsia="en-GB"/>
          <w14:ligatures w14:val="none"/>
        </w:rPr>
        <w:tab/>
      </w:r>
      <w:r w:rsidR="00AE2AE0" w:rsidRPr="00AE2AE0">
        <w:rPr>
          <w:rFonts w:ascii="Palatino Linotype" w:eastAsia="Times New Roman" w:hAnsi="Palatino Linotype" w:cs="Times New Roman"/>
          <w:kern w:val="0"/>
          <w:sz w:val="22"/>
          <w:szCs w:val="22"/>
          <w:lang w:eastAsia="en-GB"/>
          <w14:ligatures w14:val="none"/>
        </w:rPr>
        <w:t>The World Health Organization Quality of Life Framework conceptualises quality of life as the interaction of physical, emotional, and social well-being within a person’s environment and values.</w:t>
      </w:r>
    </w:p>
    <w:p w14:paraId="62F36366" w14:textId="77777777" w:rsidR="00B56730" w:rsidRPr="00AE2AE0" w:rsidRDefault="00B56730" w:rsidP="00B56730">
      <w:pPr>
        <w:spacing w:line="276" w:lineRule="auto"/>
        <w:jc w:val="both"/>
        <w:rPr>
          <w:rFonts w:ascii="Palatino Linotype" w:eastAsia="Times New Roman" w:hAnsi="Palatino Linotype" w:cs="Times New Roman"/>
          <w:kern w:val="0"/>
          <w:sz w:val="22"/>
          <w:szCs w:val="22"/>
          <w:lang w:eastAsia="en-GB"/>
          <w14:ligatures w14:val="none"/>
        </w:rPr>
      </w:pPr>
    </w:p>
    <w:p w14:paraId="52B662BE" w14:textId="77777777" w:rsidR="00AE2AE0" w:rsidRPr="00AE2AE0" w:rsidRDefault="00AE2AE0" w:rsidP="00B56730">
      <w:pPr>
        <w:spacing w:line="276" w:lineRule="auto"/>
        <w:jc w:val="both"/>
        <w:outlineLvl w:val="1"/>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Methodology</w:t>
      </w:r>
    </w:p>
    <w:p w14:paraId="39F6F508" w14:textId="77777777" w:rsidR="00AE2AE0" w:rsidRPr="00AE2AE0" w:rsidRDefault="00AE2AE0" w:rsidP="00B56730">
      <w:pPr>
        <w:spacing w:line="276" w:lineRule="auto"/>
        <w:jc w:val="both"/>
        <w:outlineLvl w:val="2"/>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Study Design</w:t>
      </w:r>
    </w:p>
    <w:p w14:paraId="5222FDDC" w14:textId="3FFD636B" w:rsidR="00AE2AE0" w:rsidRPr="00AE2AE0" w:rsidRDefault="0065678E" w:rsidP="00B56730">
      <w:pPr>
        <w:spacing w:before="240" w:line="276" w:lineRule="auto"/>
        <w:jc w:val="both"/>
        <w:rPr>
          <w:rFonts w:ascii="Palatino Linotype" w:eastAsia="Times New Roman" w:hAnsi="Palatino Linotype" w:cs="Times New Roman"/>
          <w:kern w:val="0"/>
          <w:sz w:val="22"/>
          <w:szCs w:val="22"/>
          <w:lang w:eastAsia="en-GB"/>
          <w14:ligatures w14:val="none"/>
        </w:rPr>
      </w:pPr>
      <w:r w:rsidRPr="00B56730">
        <w:rPr>
          <w:rFonts w:ascii="Palatino Linotype" w:eastAsia="Times New Roman" w:hAnsi="Palatino Linotype" w:cs="Times New Roman"/>
          <w:kern w:val="0"/>
          <w:sz w:val="22"/>
          <w:szCs w:val="22"/>
          <w:lang w:eastAsia="en-GB"/>
          <w14:ligatures w14:val="none"/>
        </w:rPr>
        <w:tab/>
      </w:r>
      <w:r w:rsidR="00AE2AE0" w:rsidRPr="00AE2AE0">
        <w:rPr>
          <w:rFonts w:ascii="Palatino Linotype" w:eastAsia="Times New Roman" w:hAnsi="Palatino Linotype" w:cs="Times New Roman"/>
          <w:kern w:val="0"/>
          <w:sz w:val="22"/>
          <w:szCs w:val="22"/>
          <w:lang w:eastAsia="en-GB"/>
          <w14:ligatures w14:val="none"/>
        </w:rPr>
        <w:t>This study employed a qualitative descriptive phenomenological approach to explore the lived experiences of students with uncorrected refractive errors. This design was chosen to provide an in-depth understanding of how URE affects students' quality of life, focusing on their perceptions and interpretations of their experiences.</w:t>
      </w:r>
    </w:p>
    <w:p w14:paraId="6591B84D" w14:textId="77777777" w:rsidR="0065678E" w:rsidRPr="00B56730" w:rsidRDefault="00AE2AE0"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Study Setting</w:t>
      </w:r>
    </w:p>
    <w:p w14:paraId="3597395B" w14:textId="77777777" w:rsidR="0065678E" w:rsidRPr="00B56730" w:rsidRDefault="0065678E"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B56730">
        <w:rPr>
          <w:rFonts w:ascii="Palatino Linotype" w:eastAsia="Times New Roman" w:hAnsi="Palatino Linotype" w:cs="Times New Roman"/>
          <w:b/>
          <w:bCs/>
          <w:kern w:val="0"/>
          <w:sz w:val="22"/>
          <w:szCs w:val="22"/>
          <w:lang w:eastAsia="en-GB"/>
          <w14:ligatures w14:val="none"/>
        </w:rPr>
        <w:tab/>
      </w:r>
      <w:r w:rsidR="00AE2AE0" w:rsidRPr="00AE2AE0">
        <w:rPr>
          <w:rFonts w:ascii="Palatino Linotype" w:eastAsia="Times New Roman" w:hAnsi="Palatino Linotype" w:cs="Times New Roman"/>
          <w:kern w:val="0"/>
          <w:sz w:val="22"/>
          <w:szCs w:val="22"/>
          <w:lang w:eastAsia="en-GB"/>
          <w14:ligatures w14:val="none"/>
        </w:rPr>
        <w:t>The research was conducted at the Optometry Clinic of the University of Limpopo. This setting was selected for its accessibility to the target participant group and its relevance to the study's focus on URE within a university student population.</w:t>
      </w:r>
    </w:p>
    <w:p w14:paraId="3C5D862C" w14:textId="77777777" w:rsidR="0065678E" w:rsidRPr="00B56730" w:rsidRDefault="00AE2AE0"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Study Participants and Sampling</w:t>
      </w:r>
    </w:p>
    <w:p w14:paraId="1842B456" w14:textId="77777777" w:rsidR="0065678E" w:rsidRPr="00B56730" w:rsidRDefault="0065678E"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B56730">
        <w:rPr>
          <w:rFonts w:ascii="Palatino Linotype" w:eastAsia="Times New Roman" w:hAnsi="Palatino Linotype" w:cs="Times New Roman"/>
          <w:kern w:val="0"/>
          <w:sz w:val="22"/>
          <w:szCs w:val="22"/>
          <w:lang w:eastAsia="en-GB"/>
          <w14:ligatures w14:val="none"/>
        </w:rPr>
        <w:tab/>
      </w:r>
      <w:r w:rsidR="00AE2AE0" w:rsidRPr="00AE2AE0">
        <w:rPr>
          <w:rFonts w:ascii="Palatino Linotype" w:eastAsia="Times New Roman" w:hAnsi="Palatino Linotype" w:cs="Times New Roman"/>
          <w:kern w:val="0"/>
          <w:sz w:val="22"/>
          <w:szCs w:val="22"/>
          <w:lang w:eastAsia="en-GB"/>
          <w14:ligatures w14:val="none"/>
        </w:rPr>
        <w:t xml:space="preserve">The study included twenty-seven University of Limpopo students who had been diagnosed with URE but had not yet commenced the use of corrective devices. Participants were included to ensure a direct exploration of the impact of uncorrected vision on daily life. </w:t>
      </w:r>
      <w:r w:rsidR="00AE2AE0" w:rsidRPr="00AE2AE0">
        <w:rPr>
          <w:rFonts w:ascii="Palatino Linotype" w:eastAsia="Times New Roman" w:hAnsi="Palatino Linotype" w:cs="Times New Roman"/>
          <w:kern w:val="0"/>
          <w:sz w:val="22"/>
          <w:szCs w:val="22"/>
          <w:lang w:eastAsia="en-GB"/>
          <w14:ligatures w14:val="none"/>
        </w:rPr>
        <w:lastRenderedPageBreak/>
        <w:t>The sample size was determined by data saturation, ensuring that no new themes emerged from the data collection process.</w:t>
      </w:r>
    </w:p>
    <w:p w14:paraId="56C8F3AD" w14:textId="77777777" w:rsidR="0065678E" w:rsidRPr="00B56730" w:rsidRDefault="00AE2AE0"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Sampling Strategy</w:t>
      </w:r>
    </w:p>
    <w:p w14:paraId="3586D786" w14:textId="77777777" w:rsidR="0065678E" w:rsidRPr="00B56730" w:rsidRDefault="0065678E"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B56730">
        <w:rPr>
          <w:rFonts w:ascii="Palatino Linotype" w:eastAsia="Times New Roman" w:hAnsi="Palatino Linotype" w:cs="Times New Roman"/>
          <w:b/>
          <w:bCs/>
          <w:kern w:val="0"/>
          <w:sz w:val="22"/>
          <w:szCs w:val="22"/>
          <w:lang w:eastAsia="en-GB"/>
          <w14:ligatures w14:val="none"/>
        </w:rPr>
        <w:tab/>
      </w:r>
      <w:r w:rsidR="00AE2AE0" w:rsidRPr="00AE2AE0">
        <w:rPr>
          <w:rFonts w:ascii="Palatino Linotype" w:eastAsia="Times New Roman" w:hAnsi="Palatino Linotype" w:cs="Times New Roman"/>
          <w:kern w:val="0"/>
          <w:sz w:val="22"/>
          <w:szCs w:val="22"/>
          <w:lang w:eastAsia="en-GB"/>
          <w14:ligatures w14:val="none"/>
        </w:rPr>
        <w:t>Purposive maximum variation sampling was utilized to recruit participants. This strategy aimed to capture a broad range of experiences among students with URE, considering various demographic characteristics or severity levels of URE, to provide rich and diverse insights into the phenomenon under investigation.</w:t>
      </w:r>
    </w:p>
    <w:p w14:paraId="3D8CD7F2" w14:textId="77777777" w:rsidR="0065678E" w:rsidRPr="00B56730" w:rsidRDefault="00AE2AE0"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Data Collection</w:t>
      </w:r>
    </w:p>
    <w:p w14:paraId="18EDAF47" w14:textId="77777777" w:rsidR="0065678E" w:rsidRPr="00B56730" w:rsidRDefault="0065678E"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B56730">
        <w:rPr>
          <w:rFonts w:ascii="Palatino Linotype" w:eastAsia="Times New Roman" w:hAnsi="Palatino Linotype" w:cs="Times New Roman"/>
          <w:b/>
          <w:bCs/>
          <w:kern w:val="0"/>
          <w:sz w:val="22"/>
          <w:szCs w:val="22"/>
          <w:lang w:eastAsia="en-GB"/>
          <w14:ligatures w14:val="none"/>
        </w:rPr>
        <w:tab/>
      </w:r>
      <w:r w:rsidR="00AE2AE0" w:rsidRPr="00AE2AE0">
        <w:rPr>
          <w:rFonts w:ascii="Palatino Linotype" w:eastAsia="Times New Roman" w:hAnsi="Palatino Linotype" w:cs="Times New Roman"/>
          <w:kern w:val="0"/>
          <w:sz w:val="22"/>
          <w:szCs w:val="22"/>
          <w:lang w:eastAsia="en-GB"/>
          <w14:ligatures w14:val="none"/>
        </w:rPr>
        <w:t>One-on-one semi-structured interviews were conducted to gather detailed qualitative data. Each interview was performed in a private setting to ensure participant comfort and confidentiality. Prior to each interview, participants received comprehensive information about the study's purpose, potential risks, and benefits, after which informed consent was obtained.</w:t>
      </w:r>
    </w:p>
    <w:p w14:paraId="3C23D203" w14:textId="4F9F5074" w:rsidR="0065678E" w:rsidRPr="00AE2AE0" w:rsidRDefault="0065678E" w:rsidP="00B56730">
      <w:pPr>
        <w:spacing w:before="240" w:line="276" w:lineRule="auto"/>
        <w:jc w:val="both"/>
        <w:outlineLvl w:val="2"/>
        <w:rPr>
          <w:rFonts w:ascii="Palatino Linotype" w:eastAsia="Times New Roman" w:hAnsi="Palatino Linotype" w:cs="Times New Roman"/>
          <w:kern w:val="0"/>
          <w:sz w:val="22"/>
          <w:szCs w:val="22"/>
          <w:lang w:eastAsia="en-GB"/>
          <w14:ligatures w14:val="none"/>
        </w:rPr>
      </w:pPr>
      <w:r w:rsidRPr="00B56730">
        <w:rPr>
          <w:rFonts w:ascii="Palatino Linotype" w:eastAsia="Times New Roman" w:hAnsi="Palatino Linotype" w:cs="Times New Roman"/>
          <w:b/>
          <w:bCs/>
          <w:kern w:val="0"/>
          <w:sz w:val="22"/>
          <w:szCs w:val="22"/>
          <w:lang w:eastAsia="en-GB"/>
          <w14:ligatures w14:val="none"/>
        </w:rPr>
        <w:tab/>
      </w:r>
      <w:r w:rsidR="00AE2AE0" w:rsidRPr="00AE2AE0">
        <w:rPr>
          <w:rFonts w:ascii="Palatino Linotype" w:eastAsia="Times New Roman" w:hAnsi="Palatino Linotype" w:cs="Times New Roman"/>
          <w:kern w:val="0"/>
          <w:sz w:val="22"/>
          <w:szCs w:val="22"/>
          <w:lang w:eastAsia="en-GB"/>
          <w14:ligatures w14:val="none"/>
        </w:rPr>
        <w:t>An interview guide was used to ensure consistency across interviews while allowing flexibility for participants to elaborate on their experiences. A smartphone was used for audio recording the interviews. Artificial intelligence transcription services were employed to convert audio recordings into text, followed by meticulous manual verification to ensure accuracy. All collected data, including audio recordings and transcripts, were stored securely on a cloud-based platform.</w:t>
      </w:r>
    </w:p>
    <w:p w14:paraId="6191DA1E" w14:textId="77777777" w:rsidR="0065678E" w:rsidRPr="00B56730" w:rsidRDefault="00AE2AE0" w:rsidP="00B56730">
      <w:pPr>
        <w:spacing w:before="240" w:line="276" w:lineRule="auto"/>
        <w:jc w:val="both"/>
        <w:outlineLvl w:val="1"/>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Trustworthiness</w:t>
      </w:r>
    </w:p>
    <w:p w14:paraId="170B22E3" w14:textId="374A79BB" w:rsidR="00AE2AE0" w:rsidRPr="00AE2AE0" w:rsidRDefault="0065678E" w:rsidP="00B56730">
      <w:pPr>
        <w:spacing w:before="240" w:line="276" w:lineRule="auto"/>
        <w:jc w:val="both"/>
        <w:outlineLvl w:val="1"/>
        <w:rPr>
          <w:rFonts w:ascii="Palatino Linotype" w:eastAsia="Times New Roman" w:hAnsi="Palatino Linotype" w:cs="Times New Roman"/>
          <w:kern w:val="0"/>
          <w:sz w:val="22"/>
          <w:szCs w:val="22"/>
          <w:lang w:eastAsia="en-GB"/>
          <w14:ligatures w14:val="none"/>
        </w:rPr>
      </w:pPr>
      <w:r w:rsidRPr="00B56730">
        <w:rPr>
          <w:rFonts w:ascii="Palatino Linotype" w:eastAsia="Times New Roman" w:hAnsi="Palatino Linotype" w:cs="Times New Roman"/>
          <w:kern w:val="0"/>
          <w:sz w:val="22"/>
          <w:szCs w:val="22"/>
          <w:lang w:eastAsia="en-GB"/>
          <w14:ligatures w14:val="none"/>
        </w:rPr>
        <w:tab/>
      </w:r>
      <w:r w:rsidR="00AE2AE0" w:rsidRPr="00AE2AE0">
        <w:rPr>
          <w:rFonts w:ascii="Palatino Linotype" w:eastAsia="Times New Roman" w:hAnsi="Palatino Linotype" w:cs="Times New Roman"/>
          <w:color w:val="000000" w:themeColor="text1"/>
          <w:kern w:val="0"/>
          <w:sz w:val="22"/>
          <w:szCs w:val="22"/>
          <w:lang w:eastAsia="en-GB"/>
          <w14:ligatures w14:val="none"/>
        </w:rPr>
        <w:t>To ensure the rigo</w:t>
      </w:r>
      <w:r w:rsidRPr="00B56730">
        <w:rPr>
          <w:rFonts w:ascii="Palatino Linotype" w:eastAsia="Times New Roman" w:hAnsi="Palatino Linotype" w:cs="Times New Roman"/>
          <w:color w:val="000000" w:themeColor="text1"/>
          <w:kern w:val="0"/>
          <w:sz w:val="22"/>
          <w:szCs w:val="22"/>
          <w:lang w:eastAsia="en-GB"/>
          <w14:ligatures w14:val="none"/>
        </w:rPr>
        <w:t>u</w:t>
      </w:r>
      <w:r w:rsidR="00AE2AE0" w:rsidRPr="00AE2AE0">
        <w:rPr>
          <w:rFonts w:ascii="Palatino Linotype" w:eastAsia="Times New Roman" w:hAnsi="Palatino Linotype" w:cs="Times New Roman"/>
          <w:color w:val="000000" w:themeColor="text1"/>
          <w:kern w:val="0"/>
          <w:sz w:val="22"/>
          <w:szCs w:val="22"/>
          <w:lang w:eastAsia="en-GB"/>
          <w14:ligatures w14:val="none"/>
        </w:rPr>
        <w:t>r and quality of the qualitative findings, the following criteria for trustworthiness were applied:</w:t>
      </w:r>
      <w:r w:rsidRPr="00B56730">
        <w:rPr>
          <w:rFonts w:ascii="Palatino Linotype" w:eastAsia="Times New Roman" w:hAnsi="Palatino Linotype" w:cs="Times New Roman"/>
          <w:color w:val="000000" w:themeColor="text1"/>
          <w:kern w:val="0"/>
          <w:sz w:val="22"/>
          <w:szCs w:val="22"/>
          <w:lang w:eastAsia="en-GB"/>
          <w14:ligatures w14:val="none"/>
        </w:rPr>
        <w:t xml:space="preserve"> c</w:t>
      </w:r>
      <w:r w:rsidR="00AE2AE0" w:rsidRPr="00AE2AE0">
        <w:rPr>
          <w:rFonts w:ascii="Palatino Linotype" w:eastAsia="Times New Roman" w:hAnsi="Palatino Linotype" w:cs="Times New Roman"/>
          <w:color w:val="000000" w:themeColor="text1"/>
          <w:kern w:val="0"/>
          <w:sz w:val="22"/>
          <w:szCs w:val="22"/>
          <w:lang w:eastAsia="en-GB"/>
          <w14:ligatures w14:val="none"/>
        </w:rPr>
        <w:t>redibility was established through member checking, where participants reviewed their transcripts and summaries to ensure accurate representation of their experiences. Peer discussions among the research team and feedback from supervisors further enhanced the credibility of interpretations.</w:t>
      </w:r>
      <w:r w:rsidRPr="00B56730">
        <w:rPr>
          <w:rFonts w:ascii="Palatino Linotype" w:eastAsia="Times New Roman" w:hAnsi="Palatino Linotype" w:cs="Times New Roman"/>
          <w:color w:val="000000" w:themeColor="text1"/>
          <w:kern w:val="0"/>
          <w:sz w:val="22"/>
          <w:szCs w:val="22"/>
          <w:lang w:eastAsia="en-GB"/>
          <w14:ligatures w14:val="none"/>
        </w:rPr>
        <w:t xml:space="preserve"> While t</w:t>
      </w:r>
      <w:r w:rsidR="00AE2AE0" w:rsidRPr="00AE2AE0">
        <w:rPr>
          <w:rFonts w:ascii="Palatino Linotype" w:eastAsia="Times New Roman" w:hAnsi="Palatino Linotype" w:cs="Times New Roman"/>
          <w:color w:val="000000" w:themeColor="text1"/>
          <w:kern w:val="0"/>
          <w:sz w:val="22"/>
          <w:szCs w:val="22"/>
          <w:lang w:eastAsia="en-GB"/>
          <w14:ligatures w14:val="none"/>
        </w:rPr>
        <w:t>ransferability: A thick description of the study's context, participants, and findings is provided to enable readers to assess the applicability of the results to similar settings or populations.</w:t>
      </w:r>
      <w:r w:rsidRPr="00B56730">
        <w:rPr>
          <w:rFonts w:ascii="Palatino Linotype" w:eastAsia="Times New Roman" w:hAnsi="Palatino Linotype" w:cs="Times New Roman"/>
          <w:color w:val="000000" w:themeColor="text1"/>
          <w:kern w:val="0"/>
          <w:sz w:val="22"/>
          <w:szCs w:val="22"/>
          <w:lang w:eastAsia="en-GB"/>
          <w14:ligatures w14:val="none"/>
        </w:rPr>
        <w:t xml:space="preserve"> Also, d</w:t>
      </w:r>
      <w:r w:rsidR="00AE2AE0" w:rsidRPr="00AE2AE0">
        <w:rPr>
          <w:rFonts w:ascii="Palatino Linotype" w:eastAsia="Times New Roman" w:hAnsi="Palatino Linotype" w:cs="Times New Roman"/>
          <w:color w:val="000000" w:themeColor="text1"/>
          <w:kern w:val="0"/>
          <w:sz w:val="22"/>
          <w:szCs w:val="22"/>
          <w:lang w:eastAsia="en-GB"/>
          <w14:ligatures w14:val="none"/>
        </w:rPr>
        <w:t>ependability: To promote consistency, a single interviewer conducted all interviews using a consistent interview guide.</w:t>
      </w:r>
      <w:r w:rsidRPr="00B56730">
        <w:rPr>
          <w:rFonts w:ascii="Palatino Linotype" w:eastAsia="Times New Roman" w:hAnsi="Palatino Linotype" w:cs="Times New Roman"/>
          <w:color w:val="000000" w:themeColor="text1"/>
          <w:kern w:val="0"/>
          <w:sz w:val="22"/>
          <w:szCs w:val="22"/>
          <w:lang w:eastAsia="en-GB"/>
          <w14:ligatures w14:val="none"/>
        </w:rPr>
        <w:t xml:space="preserve"> Lastly, c</w:t>
      </w:r>
      <w:r w:rsidR="00AE2AE0" w:rsidRPr="00AE2AE0">
        <w:rPr>
          <w:rFonts w:ascii="Palatino Linotype" w:eastAsia="Times New Roman" w:hAnsi="Palatino Linotype" w:cs="Times New Roman"/>
          <w:color w:val="000000" w:themeColor="text1"/>
          <w:kern w:val="0"/>
          <w:sz w:val="22"/>
          <w:szCs w:val="22"/>
          <w:lang w:eastAsia="en-GB"/>
          <w14:ligatures w14:val="none"/>
        </w:rPr>
        <w:t>onfirmability: An audit trail was maintained, including field notes, interview transcripts, and coding decisions. Independent coding was employed to cross-verify thematic development, and reflective journaling by the researcher contributed to transparency.</w:t>
      </w:r>
    </w:p>
    <w:p w14:paraId="214629D8" w14:textId="77777777" w:rsidR="00AE2AE0" w:rsidRPr="00AE2AE0" w:rsidRDefault="00AE2AE0"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Ethical Considerations</w:t>
      </w:r>
    </w:p>
    <w:p w14:paraId="1BC012F8" w14:textId="3709DFF6" w:rsidR="00AE2AE0" w:rsidRPr="00AE2AE0" w:rsidRDefault="0065678E" w:rsidP="00B56730">
      <w:pPr>
        <w:spacing w:before="240" w:line="276" w:lineRule="auto"/>
        <w:jc w:val="both"/>
        <w:rPr>
          <w:rFonts w:ascii="Palatino Linotype" w:eastAsia="Times New Roman" w:hAnsi="Palatino Linotype" w:cs="Times New Roman"/>
          <w:kern w:val="0"/>
          <w:sz w:val="22"/>
          <w:szCs w:val="22"/>
          <w:lang w:eastAsia="en-GB"/>
          <w14:ligatures w14:val="none"/>
        </w:rPr>
      </w:pPr>
      <w:r w:rsidRPr="00B56730">
        <w:rPr>
          <w:rFonts w:ascii="Palatino Linotype" w:eastAsia="Times New Roman" w:hAnsi="Palatino Linotype" w:cs="Times New Roman"/>
          <w:kern w:val="0"/>
          <w:sz w:val="22"/>
          <w:szCs w:val="22"/>
          <w:lang w:eastAsia="en-GB"/>
          <w14:ligatures w14:val="none"/>
        </w:rPr>
        <w:tab/>
      </w:r>
      <w:r w:rsidR="00AE2AE0" w:rsidRPr="00AE2AE0">
        <w:rPr>
          <w:rFonts w:ascii="Palatino Linotype" w:eastAsia="Times New Roman" w:hAnsi="Palatino Linotype" w:cs="Times New Roman"/>
          <w:kern w:val="0"/>
          <w:sz w:val="22"/>
          <w:szCs w:val="22"/>
          <w:lang w:eastAsia="en-GB"/>
          <w14:ligatures w14:val="none"/>
        </w:rPr>
        <w:t>Ethical clearance for the study was obtained from the University of Limpopo's relevant Research Ethics Committee</w:t>
      </w:r>
      <w:r w:rsidRPr="00B56730">
        <w:rPr>
          <w:rFonts w:ascii="Palatino Linotype" w:eastAsia="Times New Roman" w:hAnsi="Palatino Linotype" w:cs="Times New Roman"/>
          <w:kern w:val="0"/>
          <w:sz w:val="22"/>
          <w:szCs w:val="22"/>
          <w:lang w:eastAsia="en-GB"/>
          <w14:ligatures w14:val="none"/>
        </w:rPr>
        <w:t xml:space="preserve"> TREC/625/2025:</w:t>
      </w:r>
      <w:r w:rsidR="000E30BC" w:rsidRPr="00B56730">
        <w:rPr>
          <w:rFonts w:ascii="Palatino Linotype" w:eastAsia="Times New Roman" w:hAnsi="Palatino Linotype" w:cs="Times New Roman"/>
          <w:kern w:val="0"/>
          <w:sz w:val="22"/>
          <w:szCs w:val="22"/>
          <w:lang w:eastAsia="en-GB"/>
          <w14:ligatures w14:val="none"/>
        </w:rPr>
        <w:t>UG.</w:t>
      </w:r>
      <w:r w:rsidR="00AE2AE0" w:rsidRPr="00AE2AE0">
        <w:rPr>
          <w:rFonts w:ascii="Palatino Linotype" w:eastAsia="Times New Roman" w:hAnsi="Palatino Linotype" w:cs="Times New Roman"/>
          <w:kern w:val="0"/>
          <w:sz w:val="22"/>
          <w:szCs w:val="22"/>
          <w:lang w:eastAsia="en-GB"/>
          <w14:ligatures w14:val="none"/>
        </w:rPr>
        <w:t xml:space="preserve"> All participants provided informed consent </w:t>
      </w:r>
      <w:r w:rsidR="00AE2AE0" w:rsidRPr="00AE2AE0">
        <w:rPr>
          <w:rFonts w:ascii="Palatino Linotype" w:eastAsia="Times New Roman" w:hAnsi="Palatino Linotype" w:cs="Times New Roman"/>
          <w:kern w:val="0"/>
          <w:sz w:val="22"/>
          <w:szCs w:val="22"/>
          <w:lang w:eastAsia="en-GB"/>
          <w14:ligatures w14:val="none"/>
        </w:rPr>
        <w:lastRenderedPageBreak/>
        <w:t>before engaging in the study. Data confidentiality was maintained by storing all research materials on a password-protected device with secure backup solutions, ensuring participant privacy throughout the research process.</w:t>
      </w:r>
    </w:p>
    <w:p w14:paraId="32A48338" w14:textId="77777777" w:rsidR="001D786B" w:rsidRPr="00B56730" w:rsidRDefault="00AE2AE0" w:rsidP="00B56730">
      <w:pPr>
        <w:spacing w:before="240" w:line="276" w:lineRule="auto"/>
        <w:jc w:val="both"/>
        <w:outlineLvl w:val="2"/>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Data Analysis</w:t>
      </w:r>
    </w:p>
    <w:p w14:paraId="75485BA5" w14:textId="025C355C" w:rsidR="0065678E" w:rsidRPr="00B56730" w:rsidRDefault="001D786B" w:rsidP="00B56730">
      <w:pPr>
        <w:spacing w:before="240" w:line="276" w:lineRule="auto"/>
        <w:jc w:val="both"/>
        <w:outlineLvl w:val="2"/>
        <w:rPr>
          <w:rFonts w:ascii="Palatino Linotype" w:eastAsia="Times New Roman" w:hAnsi="Palatino Linotype" w:cs="Times New Roman"/>
          <w:kern w:val="0"/>
          <w:sz w:val="22"/>
          <w:szCs w:val="22"/>
          <w:lang w:eastAsia="en-GB"/>
          <w14:ligatures w14:val="none"/>
        </w:rPr>
      </w:pPr>
      <w:r w:rsidRPr="00B56730">
        <w:rPr>
          <w:rFonts w:ascii="Palatino Linotype" w:eastAsia="Times New Roman" w:hAnsi="Palatino Linotype" w:cs="Times New Roman"/>
          <w:kern w:val="0"/>
          <w:sz w:val="22"/>
          <w:szCs w:val="22"/>
          <w:lang w:eastAsia="en-GB"/>
          <w14:ligatures w14:val="none"/>
        </w:rPr>
        <w:tab/>
      </w:r>
      <w:r w:rsidR="00AE2AE0" w:rsidRPr="00AE2AE0">
        <w:rPr>
          <w:rFonts w:ascii="Palatino Linotype" w:eastAsia="Times New Roman" w:hAnsi="Palatino Linotype" w:cs="Times New Roman"/>
          <w:kern w:val="0"/>
          <w:sz w:val="22"/>
          <w:szCs w:val="22"/>
          <w:lang w:eastAsia="en-GB"/>
          <w14:ligatures w14:val="none"/>
        </w:rPr>
        <w:t>Thematic analysis, consistent with a phenomenological orientation, was employed to analy</w:t>
      </w:r>
      <w:r w:rsidRPr="00B56730">
        <w:rPr>
          <w:rFonts w:ascii="Palatino Linotype" w:eastAsia="Times New Roman" w:hAnsi="Palatino Linotype" w:cs="Times New Roman"/>
          <w:kern w:val="0"/>
          <w:sz w:val="22"/>
          <w:szCs w:val="22"/>
          <w:lang w:eastAsia="en-GB"/>
          <w14:ligatures w14:val="none"/>
        </w:rPr>
        <w:t>s</w:t>
      </w:r>
      <w:r w:rsidR="00AE2AE0" w:rsidRPr="00AE2AE0">
        <w:rPr>
          <w:rFonts w:ascii="Palatino Linotype" w:eastAsia="Times New Roman" w:hAnsi="Palatino Linotype" w:cs="Times New Roman"/>
          <w:kern w:val="0"/>
          <w:sz w:val="22"/>
          <w:szCs w:val="22"/>
          <w:lang w:eastAsia="en-GB"/>
          <w14:ligatures w14:val="none"/>
        </w:rPr>
        <w:t>e the qualitative data. This process involved familiarization with the data, generation of initial codes, searching for themes, reviewing themes, defining and naming themes, and producing the report. The analysis was supported by independent coding to enhance objectivity and iterative refinement through team discussions and member checking with participants, ensuring the robustness and validity of the emerging themes.</w:t>
      </w:r>
    </w:p>
    <w:p w14:paraId="0CCD4A2A" w14:textId="77777777" w:rsidR="0042570C" w:rsidRDefault="0042570C" w:rsidP="00B56730">
      <w:pPr>
        <w:spacing w:before="240" w:line="276" w:lineRule="auto"/>
        <w:jc w:val="both"/>
        <w:rPr>
          <w:rFonts w:ascii="Palatino Linotype" w:eastAsia="Times New Roman" w:hAnsi="Palatino Linotype" w:cs="Times New Roman"/>
          <w:b/>
          <w:bCs/>
          <w:kern w:val="0"/>
          <w:sz w:val="22"/>
          <w:szCs w:val="22"/>
          <w:lang w:eastAsia="en-GB"/>
          <w14:ligatures w14:val="none"/>
        </w:rPr>
      </w:pPr>
      <w:r w:rsidRPr="00B56730">
        <w:rPr>
          <w:rFonts w:ascii="Palatino Linotype" w:eastAsia="Times New Roman" w:hAnsi="Palatino Linotype" w:cs="Times New Roman"/>
          <w:b/>
          <w:bCs/>
          <w:kern w:val="0"/>
          <w:sz w:val="22"/>
          <w:szCs w:val="22"/>
          <w:lang w:eastAsia="en-GB"/>
          <w14:ligatures w14:val="none"/>
        </w:rPr>
        <w:t>Results</w:t>
      </w:r>
    </w:p>
    <w:p w14:paraId="6952F380" w14:textId="534839BE" w:rsidR="00044DA7" w:rsidRDefault="00044DA7" w:rsidP="00B56730">
      <w:pPr>
        <w:spacing w:before="240" w:line="276" w:lineRule="auto"/>
        <w:jc w:val="both"/>
        <w:rPr>
          <w:rFonts w:ascii="Palatino Linotype" w:eastAsia="Times New Roman" w:hAnsi="Palatino Linotype" w:cs="Times New Roman"/>
          <w:b/>
          <w:bCs/>
          <w:kern w:val="0"/>
          <w:sz w:val="22"/>
          <w:szCs w:val="22"/>
          <w:lang w:eastAsia="en-GB"/>
          <w14:ligatures w14:val="none"/>
        </w:rPr>
      </w:pPr>
      <w:r>
        <w:rPr>
          <w:rFonts w:ascii="Palatino Linotype" w:eastAsia="Times New Roman" w:hAnsi="Palatino Linotype" w:cs="Times New Roman"/>
          <w:b/>
          <w:bCs/>
          <w:kern w:val="0"/>
          <w:sz w:val="22"/>
          <w:szCs w:val="22"/>
          <w:lang w:eastAsia="en-GB"/>
          <w14:ligatures w14:val="none"/>
        </w:rPr>
        <w:tab/>
        <w:t>Participants</w:t>
      </w:r>
    </w:p>
    <w:p w14:paraId="29D2EE3F" w14:textId="434F3470" w:rsidR="00A144D4" w:rsidRPr="00A144D4" w:rsidRDefault="00A144D4" w:rsidP="00A144D4">
      <w:pPr>
        <w:spacing w:before="100" w:beforeAutospacing="1" w:after="100" w:afterAutospacing="1"/>
        <w:jc w:val="both"/>
        <w:outlineLvl w:val="2"/>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t>A total of 27 students from the University of Limpopo participated in the study. All participants had clinically diagnosed uncorrected refractive errors and were not using any form of optical correction at the time of the interviews. The sample reflected a wide diversity in academic programmes, gender, ages, and types of refractive error, allowing for rich perspectives on how URE affects daily functioning and student life.</w:t>
      </w:r>
    </w:p>
    <w:p w14:paraId="1C0AAA8D" w14:textId="42823AD1" w:rsidR="00A144D4" w:rsidRPr="00A144D4" w:rsidRDefault="00A144D4" w:rsidP="00A144D4">
      <w:pPr>
        <w:spacing w:before="100" w:beforeAutospacing="1" w:after="100" w:afterAutospacing="1"/>
        <w:jc w:val="both"/>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t>Participants were aged between 18 and 23 years, which aligns with the typical age range of undergraduate students at the institution.</w:t>
      </w:r>
    </w:p>
    <w:p w14:paraId="603D9785" w14:textId="77777777" w:rsidR="00A144D4" w:rsidRPr="00A144D4" w:rsidRDefault="00A144D4" w:rsidP="00A144D4">
      <w:pPr>
        <w:spacing w:before="100" w:beforeAutospacing="1" w:after="100" w:afterAutospacing="1"/>
        <w:jc w:val="both"/>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t>Students were enrolled across multiple faculties, including Health Sciences, Humanities, Science and Technology, Management and Commerce, Law, and Education. This diversity ensured that the findings represented students with differing academic demands, study habits, and classroom environments. Most participants were from the 1st to 4th year of study, which provided a broad depiction of academic experiences across levels.</w:t>
      </w:r>
    </w:p>
    <w:p w14:paraId="35EAC147" w14:textId="77777777" w:rsidR="00A144D4" w:rsidRPr="00A144D4" w:rsidRDefault="00A144D4" w:rsidP="00A144D4">
      <w:pPr>
        <w:spacing w:before="100" w:beforeAutospacing="1" w:after="100" w:afterAutospacing="1"/>
        <w:jc w:val="both"/>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t>A wide spectrum of refractive errors was represented, including low to high myopia, compound myopic astigmatism, hyperopia, and compound hyperopic astigmatism. Compound myopic astigmatism was the most common error reported. The presence of multiple refractive error types enriched the analysis, as visual challenges differed depending on severity and refractive condition.</w:t>
      </w:r>
    </w:p>
    <w:p w14:paraId="0A059338" w14:textId="77777777" w:rsidR="00A144D4" w:rsidRPr="00A144D4" w:rsidRDefault="00A144D4" w:rsidP="00A144D4">
      <w:pPr>
        <w:spacing w:before="100" w:beforeAutospacing="1" w:after="100" w:afterAutospacing="1"/>
        <w:jc w:val="both"/>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t>Participants were recruited purposively from the University of Limpopo Optometry Clinic following screening procedures. All participants met the inclusion criteria:</w:t>
      </w:r>
    </w:p>
    <w:p w14:paraId="12ED7754" w14:textId="77777777" w:rsidR="00A144D4" w:rsidRPr="00A144D4" w:rsidRDefault="00A144D4" w:rsidP="00A144D4">
      <w:pPr>
        <w:numPr>
          <w:ilvl w:val="0"/>
          <w:numId w:val="24"/>
        </w:numPr>
        <w:spacing w:before="100" w:beforeAutospacing="1" w:after="100" w:afterAutospacing="1"/>
        <w:jc w:val="both"/>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t>Being a registered UL student,</w:t>
      </w:r>
    </w:p>
    <w:p w14:paraId="3B079CE5" w14:textId="77777777" w:rsidR="00A144D4" w:rsidRPr="00A144D4" w:rsidRDefault="00A144D4" w:rsidP="00A144D4">
      <w:pPr>
        <w:numPr>
          <w:ilvl w:val="0"/>
          <w:numId w:val="24"/>
        </w:numPr>
        <w:spacing w:before="100" w:beforeAutospacing="1" w:after="100" w:afterAutospacing="1"/>
        <w:jc w:val="both"/>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t>Having a clinically diagnosed uncorrected refractive error,</w:t>
      </w:r>
    </w:p>
    <w:p w14:paraId="2E1ACCB1" w14:textId="77777777" w:rsidR="00A144D4" w:rsidRPr="00A144D4" w:rsidRDefault="00A144D4" w:rsidP="00A144D4">
      <w:pPr>
        <w:numPr>
          <w:ilvl w:val="0"/>
          <w:numId w:val="24"/>
        </w:numPr>
        <w:spacing w:before="100" w:beforeAutospacing="1" w:after="100" w:afterAutospacing="1"/>
        <w:jc w:val="both"/>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t>Not currently wearing spectacles or contact lenses, and</w:t>
      </w:r>
    </w:p>
    <w:p w14:paraId="552B716D" w14:textId="77777777" w:rsidR="00A144D4" w:rsidRPr="00A144D4" w:rsidRDefault="00A144D4" w:rsidP="00A144D4">
      <w:pPr>
        <w:numPr>
          <w:ilvl w:val="0"/>
          <w:numId w:val="24"/>
        </w:numPr>
        <w:spacing w:before="100" w:beforeAutospacing="1" w:after="100" w:afterAutospacing="1"/>
        <w:jc w:val="both"/>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t>Willingness to participate in an in-depth interview.</w:t>
      </w:r>
    </w:p>
    <w:p w14:paraId="7EAB353D" w14:textId="77777777" w:rsidR="00A144D4" w:rsidRPr="00A144D4" w:rsidRDefault="00A144D4" w:rsidP="00A144D4">
      <w:pPr>
        <w:spacing w:before="100" w:beforeAutospacing="1" w:after="100" w:afterAutospacing="1"/>
        <w:jc w:val="both"/>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lastRenderedPageBreak/>
        <w:t>To protect confidentiality, each participant was assigned a numerical code (P1–P27). The table of demographic characteristics included information on age, gender, academic year, field of study, and type of refractive error, providing a clear profile of the sample.</w:t>
      </w:r>
    </w:p>
    <w:p w14:paraId="6AB635A2" w14:textId="191742F0" w:rsidR="00044DA7" w:rsidRPr="00A144D4" w:rsidRDefault="00A144D4" w:rsidP="00A144D4">
      <w:pPr>
        <w:spacing w:before="100" w:beforeAutospacing="1" w:after="100" w:afterAutospacing="1"/>
        <w:jc w:val="both"/>
        <w:rPr>
          <w:rFonts w:ascii="Palatino Linotype" w:eastAsia="Times New Roman" w:hAnsi="Palatino Linotype" w:cs="Times New Roman"/>
          <w:kern w:val="0"/>
          <w:sz w:val="22"/>
          <w:szCs w:val="22"/>
          <w:lang w:eastAsia="en-GB"/>
          <w14:ligatures w14:val="none"/>
        </w:rPr>
      </w:pPr>
      <w:r w:rsidRPr="00A144D4">
        <w:rPr>
          <w:rFonts w:ascii="Palatino Linotype" w:eastAsia="Times New Roman" w:hAnsi="Palatino Linotype" w:cs="Times New Roman"/>
          <w:kern w:val="0"/>
          <w:sz w:val="22"/>
          <w:szCs w:val="22"/>
          <w:lang w:eastAsia="en-GB"/>
          <w14:ligatures w14:val="none"/>
        </w:rPr>
        <w:t>Overall, the participant group offered a comprehensive and heterogeneous representation of students living with URE, enabling a nuanced understanding of how visual challenges intersect with academic responsibilities, emotional well-being, and quality of life.</w:t>
      </w:r>
    </w:p>
    <w:p w14:paraId="174F0A0E" w14:textId="2C6FB0F4" w:rsidR="00F1798E" w:rsidRPr="00A144D4" w:rsidRDefault="0042570C" w:rsidP="00A144D4">
      <w:pPr>
        <w:pStyle w:val="NormalWeb"/>
        <w:spacing w:before="240" w:beforeAutospacing="0" w:after="0" w:afterAutospacing="0" w:line="276" w:lineRule="auto"/>
        <w:jc w:val="both"/>
        <w:rPr>
          <w:rFonts w:ascii="Palatino Linotype" w:hAnsi="Palatino Linotype"/>
          <w:sz w:val="22"/>
          <w:szCs w:val="22"/>
        </w:rPr>
      </w:pPr>
      <w:r w:rsidRPr="00A144D4">
        <w:rPr>
          <w:rFonts w:ascii="Palatino Linotype" w:hAnsi="Palatino Linotype"/>
          <w:sz w:val="22"/>
          <w:szCs w:val="22"/>
        </w:rPr>
        <w:t>Five main themes with interlinked subthemes emerged from the data analysis regarding the experiences of students with URE at the University of Limpopo:</w:t>
      </w:r>
    </w:p>
    <w:p w14:paraId="4E417FA5" w14:textId="77777777" w:rsidR="0042570C" w:rsidRPr="00B56730" w:rsidRDefault="0042570C" w:rsidP="00B56730">
      <w:pPr>
        <w:pStyle w:val="Heading4"/>
        <w:spacing w:before="240" w:line="276" w:lineRule="auto"/>
        <w:ind w:firstLine="720"/>
        <w:jc w:val="both"/>
        <w:rPr>
          <w:rFonts w:ascii="Palatino Linotype" w:hAnsi="Palatino Linotype"/>
          <w:b/>
          <w:bCs/>
          <w:i w:val="0"/>
          <w:iCs w:val="0"/>
          <w:color w:val="000000" w:themeColor="text1"/>
          <w:sz w:val="22"/>
          <w:szCs w:val="22"/>
        </w:rPr>
      </w:pPr>
      <w:r w:rsidRPr="00B56730">
        <w:rPr>
          <w:rFonts w:ascii="Palatino Linotype" w:hAnsi="Palatino Linotype"/>
          <w:b/>
          <w:bCs/>
          <w:i w:val="0"/>
          <w:iCs w:val="0"/>
          <w:color w:val="000000" w:themeColor="text1"/>
          <w:sz w:val="22"/>
          <w:szCs w:val="22"/>
        </w:rPr>
        <w:t>Visual and Functional Limitations</w:t>
      </w:r>
    </w:p>
    <w:p w14:paraId="41CABE80" w14:textId="77777777" w:rsidR="0042570C" w:rsidRPr="00B56730" w:rsidRDefault="0042570C"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Participants frequently reported challenges related to their vision, affecting various aspects of daily life.</w:t>
      </w:r>
    </w:p>
    <w:p w14:paraId="19FAFB03" w14:textId="77777777" w:rsidR="0042570C" w:rsidRPr="00B56730" w:rsidRDefault="0042570C" w:rsidP="00B56730">
      <w:pPr>
        <w:spacing w:before="240" w:line="276" w:lineRule="auto"/>
        <w:ind w:firstLine="360"/>
        <w:jc w:val="both"/>
        <w:rPr>
          <w:rFonts w:ascii="Palatino Linotype" w:hAnsi="Palatino Linotype"/>
          <w:sz w:val="22"/>
          <w:szCs w:val="22"/>
        </w:rPr>
      </w:pPr>
      <w:r w:rsidRPr="00B56730">
        <w:rPr>
          <w:rStyle w:val="Strong"/>
          <w:rFonts w:ascii="Palatino Linotype" w:hAnsi="Palatino Linotype"/>
          <w:b w:val="0"/>
          <w:bCs w:val="0"/>
          <w:sz w:val="22"/>
          <w:szCs w:val="22"/>
        </w:rPr>
        <w:t>Distance and Near Impairment</w:t>
      </w:r>
      <w:r w:rsidRPr="00B56730">
        <w:rPr>
          <w:rFonts w:ascii="Palatino Linotype" w:hAnsi="Palatino Linotype"/>
          <w:b/>
          <w:bCs/>
          <w:sz w:val="22"/>
          <w:szCs w:val="22"/>
        </w:rPr>
        <w:t>:</w:t>
      </w:r>
      <w:r w:rsidRPr="00B56730">
        <w:rPr>
          <w:rFonts w:ascii="Palatino Linotype" w:hAnsi="Palatino Linotype"/>
          <w:sz w:val="22"/>
          <w:szCs w:val="22"/>
        </w:rPr>
        <w:t xml:space="preserve"> Many students struggled to read information at a distance, such as text on a board, or nearby text, leading to significant academic hurdles. Symptoms like light sensitivity and visual fatigue were also common. For instance, Participant 1 articulated, “</w:t>
      </w:r>
      <w:r w:rsidRPr="00B56730">
        <w:rPr>
          <w:rFonts w:ascii="Palatino Linotype" w:hAnsi="Palatino Linotype"/>
          <w:i/>
          <w:iCs/>
          <w:sz w:val="22"/>
          <w:szCs w:val="22"/>
        </w:rPr>
        <w:t>I can’t see from a distance; I can’t see the letters on the board properly</w:t>
      </w:r>
      <w:r w:rsidRPr="00B56730">
        <w:rPr>
          <w:rFonts w:ascii="Palatino Linotype" w:hAnsi="Palatino Linotype"/>
          <w:sz w:val="22"/>
          <w:szCs w:val="22"/>
        </w:rPr>
        <w:t>.” Similarly, Participant 2 shared, “</w:t>
      </w:r>
      <w:r w:rsidRPr="00B56730">
        <w:rPr>
          <w:rFonts w:ascii="Palatino Linotype" w:hAnsi="Palatino Linotype"/>
          <w:i/>
          <w:iCs/>
          <w:sz w:val="22"/>
          <w:szCs w:val="22"/>
        </w:rPr>
        <w:t>I can’t see clearly at a distance. When I’m in class, I cannot see the board well</w:t>
      </w:r>
      <w:r w:rsidRPr="00B56730">
        <w:rPr>
          <w:rFonts w:ascii="Palatino Linotype" w:hAnsi="Palatino Linotype"/>
          <w:sz w:val="22"/>
          <w:szCs w:val="22"/>
        </w:rPr>
        <w:t>.” Participant 12 elaborated on the daily impact of reduced distance vision: “</w:t>
      </w:r>
      <w:r w:rsidRPr="00B56730">
        <w:rPr>
          <w:rFonts w:ascii="Palatino Linotype" w:hAnsi="Palatino Linotype"/>
          <w:i/>
          <w:iCs/>
          <w:sz w:val="22"/>
          <w:szCs w:val="22"/>
        </w:rPr>
        <w:t>I cannot see well at a distance. When I’m in class, I cannot see the chalkboard, and I have difficulty recogni</w:t>
      </w:r>
      <w:r w:rsidR="0083767D" w:rsidRPr="00B56730">
        <w:rPr>
          <w:rFonts w:ascii="Palatino Linotype" w:hAnsi="Palatino Linotype"/>
          <w:i/>
          <w:iCs/>
          <w:sz w:val="22"/>
          <w:szCs w:val="22"/>
        </w:rPr>
        <w:t>s</w:t>
      </w:r>
      <w:r w:rsidRPr="00B56730">
        <w:rPr>
          <w:rFonts w:ascii="Palatino Linotype" w:hAnsi="Palatino Linotype"/>
          <w:i/>
          <w:iCs/>
          <w:sz w:val="22"/>
          <w:szCs w:val="22"/>
        </w:rPr>
        <w:t>ing people’s faces or reading street signs when they’re far away</w:t>
      </w:r>
      <w:r w:rsidRPr="00B56730">
        <w:rPr>
          <w:rFonts w:ascii="Palatino Linotype" w:hAnsi="Palatino Linotype"/>
          <w:sz w:val="22"/>
          <w:szCs w:val="22"/>
        </w:rPr>
        <w:t>.” Overall, participants’ accounts reflect a common challenge of uncorrected or inadequately corrected distance vision, significantly affecting academic engagement and everyday activities.</w:t>
      </w:r>
    </w:p>
    <w:p w14:paraId="4C7C52A5" w14:textId="77777777" w:rsidR="0042570C" w:rsidRPr="00B56730" w:rsidRDefault="0042570C" w:rsidP="00B56730">
      <w:pPr>
        <w:spacing w:before="240" w:line="276" w:lineRule="auto"/>
        <w:ind w:firstLine="360"/>
        <w:jc w:val="both"/>
        <w:rPr>
          <w:rFonts w:ascii="Palatino Linotype" w:hAnsi="Palatino Linotype"/>
          <w:sz w:val="22"/>
          <w:szCs w:val="22"/>
        </w:rPr>
      </w:pPr>
      <w:r w:rsidRPr="00B56730">
        <w:rPr>
          <w:rStyle w:val="Strong"/>
          <w:rFonts w:ascii="Palatino Linotype" w:hAnsi="Palatino Linotype"/>
          <w:b w:val="0"/>
          <w:bCs w:val="0"/>
          <w:sz w:val="22"/>
          <w:szCs w:val="22"/>
        </w:rPr>
        <w:t>Navigational Safety</w:t>
      </w:r>
      <w:r w:rsidRPr="00B56730">
        <w:rPr>
          <w:rFonts w:ascii="Palatino Linotype" w:hAnsi="Palatino Linotype"/>
          <w:b/>
          <w:bCs/>
          <w:sz w:val="22"/>
          <w:szCs w:val="22"/>
        </w:rPr>
        <w:t>:</w:t>
      </w:r>
      <w:r w:rsidRPr="00B56730">
        <w:rPr>
          <w:rFonts w:ascii="Palatino Linotype" w:hAnsi="Palatino Linotype"/>
          <w:sz w:val="22"/>
          <w:szCs w:val="22"/>
        </w:rPr>
        <w:t xml:space="preserve"> Students described difficulties in recogni</w:t>
      </w:r>
      <w:r w:rsidR="0083767D" w:rsidRPr="00B56730">
        <w:rPr>
          <w:rFonts w:ascii="Palatino Linotype" w:hAnsi="Palatino Linotype"/>
          <w:sz w:val="22"/>
          <w:szCs w:val="22"/>
        </w:rPr>
        <w:t>s</w:t>
      </w:r>
      <w:r w:rsidRPr="00B56730">
        <w:rPr>
          <w:rFonts w:ascii="Palatino Linotype" w:hAnsi="Palatino Linotype"/>
          <w:sz w:val="22"/>
          <w:szCs w:val="22"/>
        </w:rPr>
        <w:t>ing faces and identifying potential hazards, particularly in low-light conditions, impacting their sense of safety and social interactions. Participant 2 expressed, “</w:t>
      </w:r>
      <w:r w:rsidRPr="00B56730">
        <w:rPr>
          <w:rFonts w:ascii="Palatino Linotype" w:hAnsi="Palatino Linotype"/>
          <w:i/>
          <w:iCs/>
          <w:sz w:val="22"/>
          <w:szCs w:val="22"/>
        </w:rPr>
        <w:t>I don’t feel safe because sometimes I can’t see the car until it’s close</w:t>
      </w:r>
      <w:r w:rsidRPr="00B56730">
        <w:rPr>
          <w:rFonts w:ascii="Palatino Linotype" w:hAnsi="Palatino Linotype"/>
          <w:sz w:val="22"/>
          <w:szCs w:val="22"/>
        </w:rPr>
        <w:t xml:space="preserve">.” Such experiences highlight the broader emotional and functional consequences of </w:t>
      </w:r>
      <w:r w:rsidR="0083767D" w:rsidRPr="00B56730">
        <w:rPr>
          <w:rFonts w:ascii="Palatino Linotype" w:hAnsi="Palatino Linotype"/>
          <w:sz w:val="22"/>
          <w:szCs w:val="22"/>
        </w:rPr>
        <w:t>URE</w:t>
      </w:r>
      <w:r w:rsidRPr="00B56730">
        <w:rPr>
          <w:rFonts w:ascii="Palatino Linotype" w:hAnsi="Palatino Linotype"/>
          <w:sz w:val="22"/>
          <w:szCs w:val="22"/>
        </w:rPr>
        <w:t>, particularly myopia and astigmatism.</w:t>
      </w:r>
    </w:p>
    <w:p w14:paraId="0E14A6FD" w14:textId="58A64A48" w:rsidR="00F1798E" w:rsidRPr="00B56730" w:rsidRDefault="0042570C" w:rsidP="00B56730">
      <w:pPr>
        <w:spacing w:before="240" w:line="276" w:lineRule="auto"/>
        <w:ind w:firstLine="360"/>
        <w:jc w:val="both"/>
        <w:rPr>
          <w:rFonts w:ascii="Palatino Linotype" w:hAnsi="Palatino Linotype"/>
          <w:sz w:val="22"/>
          <w:szCs w:val="22"/>
        </w:rPr>
      </w:pPr>
      <w:r w:rsidRPr="00B56730">
        <w:rPr>
          <w:rStyle w:val="Strong"/>
          <w:rFonts w:ascii="Palatino Linotype" w:hAnsi="Palatino Linotype"/>
          <w:b w:val="0"/>
          <w:bCs w:val="0"/>
          <w:sz w:val="22"/>
          <w:szCs w:val="22"/>
        </w:rPr>
        <w:t>Physical Discomfort</w:t>
      </w:r>
      <w:r w:rsidRPr="00B56730">
        <w:rPr>
          <w:rFonts w:ascii="Palatino Linotype" w:hAnsi="Palatino Linotype"/>
          <w:b/>
          <w:bCs/>
          <w:sz w:val="22"/>
          <w:szCs w:val="22"/>
        </w:rPr>
        <w:t>:</w:t>
      </w:r>
      <w:r w:rsidRPr="00B56730">
        <w:rPr>
          <w:rFonts w:ascii="Palatino Linotype" w:hAnsi="Palatino Linotype"/>
          <w:sz w:val="22"/>
          <w:szCs w:val="22"/>
        </w:rPr>
        <w:t xml:space="preserve"> Persistent eye strain and headaches were prevalent, significantly undermining their ability to engage in sustained visual tasks required for academic work. Participant 6 noted, “</w:t>
      </w:r>
      <w:r w:rsidRPr="00B56730">
        <w:rPr>
          <w:rFonts w:ascii="Palatino Linotype" w:hAnsi="Palatino Linotype"/>
          <w:i/>
          <w:iCs/>
          <w:sz w:val="22"/>
          <w:szCs w:val="22"/>
        </w:rPr>
        <w:t>To focus for a long time on screens because my eyes tend to get painful. After that, I feel like there are some tiny stones in my eyes</w:t>
      </w:r>
      <w:r w:rsidRPr="00B56730">
        <w:rPr>
          <w:rFonts w:ascii="Palatino Linotype" w:hAnsi="Palatino Linotype"/>
          <w:sz w:val="22"/>
          <w:szCs w:val="22"/>
        </w:rPr>
        <w:t>.” This discomfort interferes with concentration and academic performance, emphasi</w:t>
      </w:r>
      <w:r w:rsidR="0083767D" w:rsidRPr="00B56730">
        <w:rPr>
          <w:rFonts w:ascii="Palatino Linotype" w:hAnsi="Palatino Linotype"/>
          <w:sz w:val="22"/>
          <w:szCs w:val="22"/>
        </w:rPr>
        <w:t>s</w:t>
      </w:r>
      <w:r w:rsidRPr="00B56730">
        <w:rPr>
          <w:rFonts w:ascii="Palatino Linotype" w:hAnsi="Palatino Linotype"/>
          <w:sz w:val="22"/>
          <w:szCs w:val="22"/>
        </w:rPr>
        <w:t>ing the need for regular vision assessments.</w:t>
      </w:r>
    </w:p>
    <w:p w14:paraId="4956F786" w14:textId="77777777" w:rsidR="0042570C" w:rsidRPr="00B56730" w:rsidRDefault="00F1798E" w:rsidP="00B56730">
      <w:pPr>
        <w:pStyle w:val="Heading4"/>
        <w:spacing w:before="240" w:line="276" w:lineRule="auto"/>
        <w:jc w:val="both"/>
        <w:rPr>
          <w:rFonts w:ascii="Palatino Linotype" w:hAnsi="Palatino Linotype"/>
          <w:b/>
          <w:bCs/>
          <w:i w:val="0"/>
          <w:iCs w:val="0"/>
          <w:color w:val="000000" w:themeColor="text1"/>
          <w:sz w:val="22"/>
          <w:szCs w:val="22"/>
        </w:rPr>
      </w:pPr>
      <w:r w:rsidRPr="00B56730">
        <w:rPr>
          <w:rFonts w:ascii="Palatino Linotype" w:hAnsi="Palatino Linotype"/>
          <w:b/>
          <w:bCs/>
          <w:i w:val="0"/>
          <w:iCs w:val="0"/>
          <w:color w:val="000000" w:themeColor="text1"/>
          <w:sz w:val="22"/>
          <w:szCs w:val="22"/>
        </w:rPr>
        <w:tab/>
      </w:r>
      <w:r w:rsidR="0042570C" w:rsidRPr="00B56730">
        <w:rPr>
          <w:rFonts w:ascii="Palatino Linotype" w:hAnsi="Palatino Linotype"/>
          <w:b/>
          <w:bCs/>
          <w:i w:val="0"/>
          <w:iCs w:val="0"/>
          <w:color w:val="000000" w:themeColor="text1"/>
          <w:sz w:val="22"/>
          <w:szCs w:val="22"/>
        </w:rPr>
        <w:t>Academic and Educational Impact</w:t>
      </w:r>
    </w:p>
    <w:p w14:paraId="2862B1B0" w14:textId="77777777" w:rsidR="00F1798E" w:rsidRPr="00B56730" w:rsidRDefault="00F179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Uncorrected refractive error</w:t>
      </w:r>
      <w:r w:rsidR="0042570C" w:rsidRPr="00B56730">
        <w:rPr>
          <w:rFonts w:ascii="Palatino Linotype" w:hAnsi="Palatino Linotype"/>
          <w:sz w:val="22"/>
          <w:szCs w:val="22"/>
        </w:rPr>
        <w:t xml:space="preserve"> had a profound influence on students' academic engagement and performance.</w:t>
      </w:r>
    </w:p>
    <w:p w14:paraId="6D4776E4" w14:textId="77777777" w:rsidR="00F1798E" w:rsidRPr="00B56730" w:rsidRDefault="00F179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lastRenderedPageBreak/>
        <w:tab/>
      </w:r>
      <w:r w:rsidR="0042570C" w:rsidRPr="00B56730">
        <w:rPr>
          <w:rStyle w:val="Strong"/>
          <w:rFonts w:ascii="Palatino Linotype" w:hAnsi="Palatino Linotype"/>
          <w:b w:val="0"/>
          <w:bCs w:val="0"/>
          <w:sz w:val="22"/>
          <w:szCs w:val="22"/>
        </w:rPr>
        <w:t>Difficulty Accessing Teaching Materials</w:t>
      </w:r>
      <w:r w:rsidR="0042570C" w:rsidRPr="00B56730">
        <w:rPr>
          <w:rFonts w:ascii="Palatino Linotype" w:hAnsi="Palatino Linotype"/>
          <w:b/>
          <w:bCs/>
          <w:sz w:val="22"/>
          <w:szCs w:val="22"/>
        </w:rPr>
        <w:t>:</w:t>
      </w:r>
      <w:r w:rsidR="0042570C" w:rsidRPr="00B56730">
        <w:rPr>
          <w:rFonts w:ascii="Palatino Linotype" w:hAnsi="Palatino Linotype"/>
          <w:sz w:val="22"/>
          <w:szCs w:val="22"/>
        </w:rPr>
        <w:t xml:space="preserve"> Students often resorted to specific strategies like securing front-row seating, squinting, or utili</w:t>
      </w:r>
      <w:r w:rsidR="00C67C23" w:rsidRPr="00B56730">
        <w:rPr>
          <w:rFonts w:ascii="Palatino Linotype" w:hAnsi="Palatino Linotype"/>
          <w:sz w:val="22"/>
          <w:szCs w:val="22"/>
        </w:rPr>
        <w:t>s</w:t>
      </w:r>
      <w:r w:rsidR="0042570C" w:rsidRPr="00B56730">
        <w:rPr>
          <w:rFonts w:ascii="Palatino Linotype" w:hAnsi="Palatino Linotype"/>
          <w:sz w:val="22"/>
          <w:szCs w:val="22"/>
        </w:rPr>
        <w:t>ing digital zoom on their devices to follow lectures and access course content. Participant 1 stated, “</w:t>
      </w:r>
      <w:r w:rsidR="0042570C" w:rsidRPr="00B56730">
        <w:rPr>
          <w:rFonts w:ascii="Palatino Linotype" w:hAnsi="Palatino Linotype"/>
          <w:i/>
          <w:iCs/>
          <w:sz w:val="22"/>
          <w:szCs w:val="22"/>
        </w:rPr>
        <w:t>I struggle with distance vision, especially during lectures; I can’t see the board</w:t>
      </w:r>
      <w:r w:rsidR="0042570C" w:rsidRPr="00B56730">
        <w:rPr>
          <w:rFonts w:ascii="Palatino Linotype" w:hAnsi="Palatino Linotype"/>
          <w:sz w:val="22"/>
          <w:szCs w:val="22"/>
        </w:rPr>
        <w:t>.”</w:t>
      </w:r>
    </w:p>
    <w:p w14:paraId="69A8ED61" w14:textId="77777777" w:rsidR="00F1798E" w:rsidRPr="00B56730" w:rsidRDefault="00F179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42570C" w:rsidRPr="00B56730">
        <w:rPr>
          <w:rStyle w:val="Strong"/>
          <w:rFonts w:ascii="Palatino Linotype" w:hAnsi="Palatino Linotype"/>
          <w:b w:val="0"/>
          <w:bCs w:val="0"/>
          <w:sz w:val="22"/>
          <w:szCs w:val="22"/>
        </w:rPr>
        <w:t>Dependence on Peers and Reduced Participation</w:t>
      </w:r>
      <w:r w:rsidR="0042570C" w:rsidRPr="00B56730">
        <w:rPr>
          <w:rFonts w:ascii="Palatino Linotype" w:hAnsi="Palatino Linotype"/>
          <w:b/>
          <w:bCs/>
          <w:sz w:val="22"/>
          <w:szCs w:val="22"/>
        </w:rPr>
        <w:t>:</w:t>
      </w:r>
      <w:r w:rsidR="0042570C" w:rsidRPr="00B56730">
        <w:rPr>
          <w:rFonts w:ascii="Palatino Linotype" w:hAnsi="Palatino Linotype"/>
          <w:sz w:val="22"/>
          <w:szCs w:val="22"/>
        </w:rPr>
        <w:t xml:space="preserve"> The inability to clearly see led to increased reliance on classmates for copying notes and clarification. Participant 2 remarked, “</w:t>
      </w:r>
      <w:r w:rsidR="0042570C" w:rsidRPr="00B56730">
        <w:rPr>
          <w:rFonts w:ascii="Palatino Linotype" w:hAnsi="Palatino Linotype"/>
          <w:i/>
          <w:iCs/>
          <w:sz w:val="22"/>
          <w:szCs w:val="22"/>
        </w:rPr>
        <w:t>I can’t see clearly at a distance. When I’m in class, I can’t see the board well</w:t>
      </w:r>
      <w:r w:rsidR="0042570C" w:rsidRPr="00B56730">
        <w:rPr>
          <w:rFonts w:ascii="Palatino Linotype" w:hAnsi="Palatino Linotype"/>
          <w:sz w:val="22"/>
          <w:szCs w:val="22"/>
        </w:rPr>
        <w:t>.” This dependence can foster feelings of inadequacy and diminish self-confidence.</w:t>
      </w:r>
    </w:p>
    <w:p w14:paraId="08B0EA81" w14:textId="01C28512" w:rsidR="00F1798E" w:rsidRPr="00B56730" w:rsidRDefault="00F179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42570C" w:rsidRPr="00B56730">
        <w:rPr>
          <w:rStyle w:val="Strong"/>
          <w:rFonts w:ascii="Palatino Linotype" w:hAnsi="Palatino Linotype"/>
          <w:b w:val="0"/>
          <w:bCs w:val="0"/>
          <w:sz w:val="22"/>
          <w:szCs w:val="22"/>
        </w:rPr>
        <w:t>Reduced Study Duration and Underperformance</w:t>
      </w:r>
      <w:r w:rsidR="0042570C" w:rsidRPr="00B56730">
        <w:rPr>
          <w:rFonts w:ascii="Palatino Linotype" w:hAnsi="Palatino Linotype"/>
          <w:b/>
          <w:bCs/>
          <w:sz w:val="22"/>
          <w:szCs w:val="22"/>
        </w:rPr>
        <w:t>:</w:t>
      </w:r>
      <w:r w:rsidR="0042570C" w:rsidRPr="00B56730">
        <w:rPr>
          <w:rFonts w:ascii="Palatino Linotype" w:hAnsi="Palatino Linotype"/>
          <w:sz w:val="22"/>
          <w:szCs w:val="22"/>
        </w:rPr>
        <w:t xml:space="preserve"> Visual fatigue frequently shortened study sessions, impacting academic output. Participant 8 reflected, “</w:t>
      </w:r>
      <w:r w:rsidR="0042570C" w:rsidRPr="00B56730">
        <w:rPr>
          <w:rFonts w:ascii="Palatino Linotype" w:hAnsi="Palatino Linotype"/>
          <w:i/>
          <w:iCs/>
          <w:sz w:val="22"/>
          <w:szCs w:val="22"/>
        </w:rPr>
        <w:t>I know if I really had good eyesight, I was going to do better in my academics</w:t>
      </w:r>
      <w:r w:rsidR="0042570C" w:rsidRPr="00B56730">
        <w:rPr>
          <w:rFonts w:ascii="Palatino Linotype" w:hAnsi="Palatino Linotype"/>
          <w:sz w:val="22"/>
          <w:szCs w:val="22"/>
        </w:rPr>
        <w:t>.” This indicates a direct correlation between visual clarity and academic performance.</w:t>
      </w:r>
    </w:p>
    <w:p w14:paraId="06210DF0" w14:textId="77777777" w:rsidR="0042570C" w:rsidRPr="00B56730" w:rsidRDefault="00F1798E" w:rsidP="00B56730">
      <w:pPr>
        <w:pStyle w:val="Heading4"/>
        <w:spacing w:before="240" w:line="276" w:lineRule="auto"/>
        <w:jc w:val="both"/>
        <w:rPr>
          <w:rFonts w:ascii="Palatino Linotype" w:hAnsi="Palatino Linotype"/>
          <w:b/>
          <w:bCs/>
          <w:i w:val="0"/>
          <w:iCs w:val="0"/>
          <w:color w:val="000000" w:themeColor="text1"/>
          <w:sz w:val="22"/>
          <w:szCs w:val="22"/>
        </w:rPr>
      </w:pPr>
      <w:r w:rsidRPr="00B56730">
        <w:rPr>
          <w:rFonts w:ascii="Palatino Linotype" w:hAnsi="Palatino Linotype"/>
          <w:b/>
          <w:bCs/>
          <w:i w:val="0"/>
          <w:iCs w:val="0"/>
          <w:color w:val="000000" w:themeColor="text1"/>
          <w:sz w:val="22"/>
          <w:szCs w:val="22"/>
        </w:rPr>
        <w:tab/>
      </w:r>
      <w:r w:rsidR="0042570C" w:rsidRPr="00B56730">
        <w:rPr>
          <w:rFonts w:ascii="Palatino Linotype" w:hAnsi="Palatino Linotype"/>
          <w:b/>
          <w:bCs/>
          <w:i w:val="0"/>
          <w:iCs w:val="0"/>
          <w:color w:val="000000" w:themeColor="text1"/>
          <w:sz w:val="22"/>
          <w:szCs w:val="22"/>
        </w:rPr>
        <w:t>Psychological and Emotional Wellness</w:t>
      </w:r>
    </w:p>
    <w:p w14:paraId="3D207712" w14:textId="77777777" w:rsidR="00F1798E" w:rsidRPr="00B56730" w:rsidRDefault="0042570C"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The experience of URE also affected students' mental and emotional states.</w:t>
      </w:r>
    </w:p>
    <w:p w14:paraId="2184C0F0" w14:textId="77777777" w:rsidR="00F1798E" w:rsidRPr="00B56730" w:rsidRDefault="00F179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42570C" w:rsidRPr="00B56730">
        <w:rPr>
          <w:rStyle w:val="Strong"/>
          <w:rFonts w:ascii="Palatino Linotype" w:hAnsi="Palatino Linotype"/>
          <w:b w:val="0"/>
          <w:bCs w:val="0"/>
          <w:sz w:val="22"/>
          <w:szCs w:val="22"/>
        </w:rPr>
        <w:t>Emotional Distress, Anxiety, and Low Self-Esteem</w:t>
      </w:r>
      <w:r w:rsidR="0042570C" w:rsidRPr="00B56730">
        <w:rPr>
          <w:rFonts w:ascii="Palatino Linotype" w:hAnsi="Palatino Linotype"/>
          <w:b/>
          <w:bCs/>
          <w:sz w:val="22"/>
          <w:szCs w:val="22"/>
        </w:rPr>
        <w:t>:</w:t>
      </w:r>
      <w:r w:rsidR="0042570C" w:rsidRPr="00B56730">
        <w:rPr>
          <w:rFonts w:ascii="Palatino Linotype" w:hAnsi="Palatino Linotype"/>
          <w:sz w:val="22"/>
          <w:szCs w:val="22"/>
        </w:rPr>
        <w:t xml:space="preserve"> Participants commonly expressed feelings of embarrassment, anxiety about their worsening vision, and frustration with their limitations. Participant 4 explained, “</w:t>
      </w:r>
      <w:r w:rsidR="0042570C" w:rsidRPr="00B56730">
        <w:rPr>
          <w:rFonts w:ascii="Palatino Linotype" w:hAnsi="Palatino Linotype"/>
          <w:i/>
          <w:iCs/>
          <w:sz w:val="22"/>
          <w:szCs w:val="22"/>
        </w:rPr>
        <w:t>It’s painful emotionally; I feel drained and give up sometimes</w:t>
      </w:r>
      <w:r w:rsidR="0042570C" w:rsidRPr="00B56730">
        <w:rPr>
          <w:rFonts w:ascii="Palatino Linotype" w:hAnsi="Palatino Linotype"/>
          <w:sz w:val="22"/>
          <w:szCs w:val="22"/>
        </w:rPr>
        <w:t>.”</w:t>
      </w:r>
    </w:p>
    <w:p w14:paraId="48FF2270" w14:textId="1E77A868" w:rsidR="00F1798E" w:rsidRPr="00B56730" w:rsidRDefault="00F179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42570C" w:rsidRPr="00B56730">
        <w:rPr>
          <w:rStyle w:val="Strong"/>
          <w:rFonts w:ascii="Palatino Linotype" w:hAnsi="Palatino Linotype"/>
          <w:b w:val="0"/>
          <w:bCs w:val="0"/>
          <w:sz w:val="22"/>
          <w:szCs w:val="22"/>
        </w:rPr>
        <w:t>Social Withdrawal and Acceptance</w:t>
      </w:r>
      <w:r w:rsidR="0042570C" w:rsidRPr="00B56730">
        <w:rPr>
          <w:rFonts w:ascii="Palatino Linotype" w:hAnsi="Palatino Linotype"/>
          <w:b/>
          <w:bCs/>
          <w:sz w:val="22"/>
          <w:szCs w:val="22"/>
        </w:rPr>
        <w:t>:</w:t>
      </w:r>
      <w:r w:rsidR="0042570C" w:rsidRPr="00B56730">
        <w:rPr>
          <w:rFonts w:ascii="Palatino Linotype" w:hAnsi="Palatino Linotype"/>
          <w:sz w:val="22"/>
          <w:szCs w:val="22"/>
        </w:rPr>
        <w:t xml:space="preserve"> Some participants actively avoided situations requiring good vision, leading to social withdrawal. Participant 5 stated, “</w:t>
      </w:r>
      <w:r w:rsidR="0042570C" w:rsidRPr="00B56730">
        <w:rPr>
          <w:rFonts w:ascii="Palatino Linotype" w:hAnsi="Palatino Linotype"/>
          <w:i/>
          <w:iCs/>
          <w:sz w:val="22"/>
          <w:szCs w:val="22"/>
        </w:rPr>
        <w:t>I just accepted and made peace with the fact that I have to get spectacles so that I can be able to do certain things on my own</w:t>
      </w:r>
      <w:r w:rsidR="0042570C" w:rsidRPr="00B56730">
        <w:rPr>
          <w:rFonts w:ascii="Palatino Linotype" w:hAnsi="Palatino Linotype"/>
          <w:sz w:val="22"/>
          <w:szCs w:val="22"/>
        </w:rPr>
        <w:t>.” This reflects the dual process of coping and adaptation.</w:t>
      </w:r>
    </w:p>
    <w:p w14:paraId="7ED8F721" w14:textId="77777777" w:rsidR="0042570C" w:rsidRPr="00B56730" w:rsidRDefault="001D786B" w:rsidP="00B56730">
      <w:pPr>
        <w:pStyle w:val="Heading4"/>
        <w:spacing w:before="240" w:line="276" w:lineRule="auto"/>
        <w:jc w:val="both"/>
        <w:rPr>
          <w:rFonts w:ascii="Palatino Linotype" w:hAnsi="Palatino Linotype"/>
          <w:b/>
          <w:bCs/>
          <w:i w:val="0"/>
          <w:iCs w:val="0"/>
          <w:color w:val="000000" w:themeColor="text1"/>
          <w:sz w:val="22"/>
          <w:szCs w:val="22"/>
        </w:rPr>
      </w:pPr>
      <w:r w:rsidRPr="00B56730">
        <w:rPr>
          <w:rFonts w:ascii="Palatino Linotype" w:hAnsi="Palatino Linotype"/>
          <w:b/>
          <w:bCs/>
          <w:i w:val="0"/>
          <w:iCs w:val="0"/>
          <w:color w:val="000000" w:themeColor="text1"/>
          <w:sz w:val="22"/>
          <w:szCs w:val="22"/>
        </w:rPr>
        <w:tab/>
      </w:r>
      <w:r w:rsidR="0042570C" w:rsidRPr="00B56730">
        <w:rPr>
          <w:rFonts w:ascii="Palatino Linotype" w:hAnsi="Palatino Linotype"/>
          <w:b/>
          <w:bCs/>
          <w:i w:val="0"/>
          <w:iCs w:val="0"/>
          <w:color w:val="000000" w:themeColor="text1"/>
          <w:sz w:val="22"/>
          <w:szCs w:val="22"/>
        </w:rPr>
        <w:t>Coping, Adaptation, and Access to Health</w:t>
      </w:r>
    </w:p>
    <w:p w14:paraId="648DA206" w14:textId="77777777" w:rsidR="00F1798E" w:rsidRPr="00B56730" w:rsidRDefault="0042570C"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Students employed various strategies to manage their URE, though barriers to care persisted.</w:t>
      </w:r>
    </w:p>
    <w:p w14:paraId="288DB5BE" w14:textId="77777777" w:rsidR="00F1798E" w:rsidRPr="00B56730" w:rsidRDefault="00F179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42570C" w:rsidRPr="00B56730">
        <w:rPr>
          <w:rStyle w:val="Strong"/>
          <w:rFonts w:ascii="Palatino Linotype" w:hAnsi="Palatino Linotype"/>
          <w:b w:val="0"/>
          <w:bCs w:val="0"/>
          <w:sz w:val="22"/>
          <w:szCs w:val="22"/>
        </w:rPr>
        <w:t>Behavio</w:t>
      </w:r>
      <w:r w:rsidRPr="00B56730">
        <w:rPr>
          <w:rStyle w:val="Strong"/>
          <w:rFonts w:ascii="Palatino Linotype" w:hAnsi="Palatino Linotype"/>
          <w:b w:val="0"/>
          <w:bCs w:val="0"/>
          <w:sz w:val="22"/>
          <w:szCs w:val="22"/>
        </w:rPr>
        <w:t>u</w:t>
      </w:r>
      <w:r w:rsidR="0042570C" w:rsidRPr="00B56730">
        <w:rPr>
          <w:rStyle w:val="Strong"/>
          <w:rFonts w:ascii="Palatino Linotype" w:hAnsi="Palatino Linotype"/>
          <w:b w:val="0"/>
          <w:bCs w:val="0"/>
          <w:sz w:val="22"/>
          <w:szCs w:val="22"/>
        </w:rPr>
        <w:t>ral Strategies</w:t>
      </w:r>
      <w:r w:rsidR="0042570C" w:rsidRPr="00B56730">
        <w:rPr>
          <w:rFonts w:ascii="Palatino Linotype" w:hAnsi="Palatino Linotype"/>
          <w:sz w:val="22"/>
          <w:szCs w:val="22"/>
        </w:rPr>
        <w:t>: Common coping mechanisms included sitting closer to visual aids, squinting, or using phone cameras to magnify text. Participant 2 shared, “</w:t>
      </w:r>
      <w:r w:rsidR="0042570C" w:rsidRPr="00B56730">
        <w:rPr>
          <w:rFonts w:ascii="Palatino Linotype" w:hAnsi="Palatino Linotype"/>
          <w:i/>
          <w:iCs/>
          <w:sz w:val="22"/>
          <w:szCs w:val="22"/>
        </w:rPr>
        <w:t>I squint my eyes</w:t>
      </w:r>
      <w:r w:rsidR="0042570C" w:rsidRPr="00B56730">
        <w:rPr>
          <w:rFonts w:ascii="Palatino Linotype" w:hAnsi="Palatino Linotype"/>
          <w:sz w:val="22"/>
          <w:szCs w:val="22"/>
        </w:rPr>
        <w:t>.”</w:t>
      </w:r>
    </w:p>
    <w:p w14:paraId="5F8213A3" w14:textId="77777777" w:rsidR="00F1798E" w:rsidRPr="00B56730" w:rsidRDefault="00F179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42570C" w:rsidRPr="00B56730">
        <w:rPr>
          <w:rStyle w:val="Strong"/>
          <w:rFonts w:ascii="Palatino Linotype" w:hAnsi="Palatino Linotype"/>
          <w:b w:val="0"/>
          <w:bCs w:val="0"/>
          <w:sz w:val="22"/>
          <w:szCs w:val="22"/>
        </w:rPr>
        <w:t>Seeking Support</w:t>
      </w:r>
      <w:r w:rsidR="0042570C" w:rsidRPr="00B56730">
        <w:rPr>
          <w:rFonts w:ascii="Palatino Linotype" w:hAnsi="Palatino Linotype"/>
          <w:b/>
          <w:bCs/>
          <w:sz w:val="22"/>
          <w:szCs w:val="22"/>
        </w:rPr>
        <w:t>:</w:t>
      </w:r>
      <w:r w:rsidR="0042570C" w:rsidRPr="00B56730">
        <w:rPr>
          <w:rFonts w:ascii="Palatino Linotype" w:hAnsi="Palatino Linotype"/>
          <w:sz w:val="22"/>
          <w:szCs w:val="22"/>
        </w:rPr>
        <w:t xml:space="preserve"> Friends and family provided crucial practical and emotional support, helping students navigate their visual challenges. Participant 12 expressed appreciation for her friends, saying, “My friends are very supportive because they know that I can't see, so they don't exclude me.”</w:t>
      </w:r>
    </w:p>
    <w:p w14:paraId="33B010B9" w14:textId="6F845F58" w:rsidR="00F1798E" w:rsidRPr="00B56730" w:rsidRDefault="00F179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42570C" w:rsidRPr="00B56730">
        <w:rPr>
          <w:rStyle w:val="Strong"/>
          <w:rFonts w:ascii="Palatino Linotype" w:hAnsi="Palatino Linotype"/>
          <w:b w:val="0"/>
          <w:bCs w:val="0"/>
          <w:sz w:val="22"/>
          <w:szCs w:val="22"/>
        </w:rPr>
        <w:t>Financial Constraints and Access Barriers</w:t>
      </w:r>
      <w:r w:rsidR="0042570C" w:rsidRPr="00B56730">
        <w:rPr>
          <w:rFonts w:ascii="Palatino Linotype" w:hAnsi="Palatino Linotype"/>
          <w:b/>
          <w:bCs/>
          <w:sz w:val="22"/>
          <w:szCs w:val="22"/>
        </w:rPr>
        <w:t>:</w:t>
      </w:r>
      <w:r w:rsidR="0042570C" w:rsidRPr="00B56730">
        <w:rPr>
          <w:rFonts w:ascii="Palatino Linotype" w:hAnsi="Palatino Linotype"/>
          <w:sz w:val="22"/>
          <w:szCs w:val="22"/>
        </w:rPr>
        <w:t xml:space="preserve"> The cost of corrective spectacles and limited access to eye care services significantly delayed correction for many students. Participant 3 explained, “</w:t>
      </w:r>
      <w:r w:rsidR="0042570C" w:rsidRPr="00B56730">
        <w:rPr>
          <w:rFonts w:ascii="Palatino Linotype" w:hAnsi="Palatino Linotype"/>
          <w:i/>
          <w:iCs/>
          <w:sz w:val="22"/>
          <w:szCs w:val="22"/>
        </w:rPr>
        <w:t>I didn’t buy the spectacles due to financial reasons because I didn't have the means</w:t>
      </w:r>
      <w:r w:rsidR="0042570C" w:rsidRPr="00B56730">
        <w:rPr>
          <w:rFonts w:ascii="Palatino Linotype" w:hAnsi="Palatino Linotype"/>
          <w:sz w:val="22"/>
          <w:szCs w:val="22"/>
        </w:rPr>
        <w:t>.”</w:t>
      </w:r>
    </w:p>
    <w:p w14:paraId="047E5650" w14:textId="77777777" w:rsidR="0042570C" w:rsidRPr="00B56730" w:rsidRDefault="001D786B" w:rsidP="00B56730">
      <w:pPr>
        <w:pStyle w:val="Heading4"/>
        <w:spacing w:before="240" w:line="276" w:lineRule="auto"/>
        <w:jc w:val="both"/>
        <w:rPr>
          <w:rFonts w:ascii="Palatino Linotype" w:hAnsi="Palatino Linotype"/>
          <w:b/>
          <w:bCs/>
          <w:i w:val="0"/>
          <w:iCs w:val="0"/>
          <w:color w:val="000000" w:themeColor="text1"/>
          <w:sz w:val="22"/>
          <w:szCs w:val="22"/>
        </w:rPr>
      </w:pPr>
      <w:r w:rsidRPr="00B56730">
        <w:rPr>
          <w:rFonts w:ascii="Palatino Linotype" w:hAnsi="Palatino Linotype"/>
          <w:b/>
          <w:bCs/>
          <w:i w:val="0"/>
          <w:iCs w:val="0"/>
          <w:color w:val="000000" w:themeColor="text1"/>
          <w:sz w:val="22"/>
          <w:szCs w:val="22"/>
        </w:rPr>
        <w:lastRenderedPageBreak/>
        <w:tab/>
      </w:r>
      <w:r w:rsidR="0042570C" w:rsidRPr="00B56730">
        <w:rPr>
          <w:rFonts w:ascii="Palatino Linotype" w:hAnsi="Palatino Linotype"/>
          <w:b/>
          <w:bCs/>
          <w:i w:val="0"/>
          <w:iCs w:val="0"/>
          <w:color w:val="000000" w:themeColor="text1"/>
          <w:sz w:val="22"/>
          <w:szCs w:val="22"/>
        </w:rPr>
        <w:t>Social and Environmental Impact</w:t>
      </w:r>
    </w:p>
    <w:p w14:paraId="7DC1EB03" w14:textId="77777777" w:rsidR="00F1798E" w:rsidRPr="00B56730" w:rsidRDefault="0042570C"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U</w:t>
      </w:r>
      <w:r w:rsidR="00F1798E" w:rsidRPr="00B56730">
        <w:rPr>
          <w:rFonts w:ascii="Palatino Linotype" w:hAnsi="Palatino Linotype"/>
          <w:sz w:val="22"/>
          <w:szCs w:val="22"/>
        </w:rPr>
        <w:t>ncorrected refractive error</w:t>
      </w:r>
      <w:r w:rsidRPr="00B56730">
        <w:rPr>
          <w:rFonts w:ascii="Palatino Linotype" w:hAnsi="Palatino Linotype"/>
          <w:sz w:val="22"/>
          <w:szCs w:val="22"/>
        </w:rPr>
        <w:t xml:space="preserve"> extended its influence to students' social lives and their interaction with their environment.</w:t>
      </w:r>
    </w:p>
    <w:p w14:paraId="1361DBE3" w14:textId="77777777" w:rsidR="001D786B" w:rsidRPr="00B56730" w:rsidRDefault="00F179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42570C" w:rsidRPr="00B56730">
        <w:rPr>
          <w:rStyle w:val="Strong"/>
          <w:rFonts w:ascii="Palatino Linotype" w:hAnsi="Palatino Linotype"/>
          <w:b w:val="0"/>
          <w:bCs w:val="0"/>
          <w:sz w:val="22"/>
          <w:szCs w:val="22"/>
        </w:rPr>
        <w:t>Loss of Participation and Social Misunderstanding</w:t>
      </w:r>
      <w:r w:rsidR="0042570C" w:rsidRPr="00B56730">
        <w:rPr>
          <w:rFonts w:ascii="Palatino Linotype" w:hAnsi="Palatino Linotype"/>
          <w:b/>
          <w:bCs/>
          <w:sz w:val="22"/>
          <w:szCs w:val="22"/>
        </w:rPr>
        <w:t>:</w:t>
      </w:r>
      <w:r w:rsidR="0042570C" w:rsidRPr="00B56730">
        <w:rPr>
          <w:rFonts w:ascii="Palatino Linotype" w:hAnsi="Palatino Linotype"/>
          <w:sz w:val="22"/>
          <w:szCs w:val="22"/>
        </w:rPr>
        <w:t xml:space="preserve"> Students reported withdrawing from activities they enjoyed, such as sports, and faced social misunderstandings when they failed to recogni</w:t>
      </w:r>
      <w:r w:rsidR="001D786B" w:rsidRPr="00B56730">
        <w:rPr>
          <w:rFonts w:ascii="Palatino Linotype" w:hAnsi="Palatino Linotype"/>
          <w:sz w:val="22"/>
          <w:szCs w:val="22"/>
        </w:rPr>
        <w:t>s</w:t>
      </w:r>
      <w:r w:rsidR="0042570C" w:rsidRPr="00B56730">
        <w:rPr>
          <w:rFonts w:ascii="Palatino Linotype" w:hAnsi="Palatino Linotype"/>
          <w:sz w:val="22"/>
          <w:szCs w:val="22"/>
        </w:rPr>
        <w:t>e familiar faces. Participant 25 lamented, “</w:t>
      </w:r>
      <w:r w:rsidR="0042570C" w:rsidRPr="00B56730">
        <w:rPr>
          <w:rFonts w:ascii="Palatino Linotype" w:hAnsi="Palatino Linotype"/>
          <w:i/>
          <w:iCs/>
          <w:sz w:val="22"/>
          <w:szCs w:val="22"/>
        </w:rPr>
        <w:t>I feel excluded because I love netball and cannot play anymore</w:t>
      </w:r>
      <w:r w:rsidR="0042570C" w:rsidRPr="00B56730">
        <w:rPr>
          <w:rFonts w:ascii="Palatino Linotype" w:hAnsi="Palatino Linotype"/>
          <w:sz w:val="22"/>
          <w:szCs w:val="22"/>
        </w:rPr>
        <w:t>.”</w:t>
      </w:r>
    </w:p>
    <w:p w14:paraId="4610DAA3" w14:textId="373BE6B2" w:rsidR="001D786B" w:rsidRPr="00B56730" w:rsidRDefault="001D786B"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42570C" w:rsidRPr="00B56730">
        <w:rPr>
          <w:rStyle w:val="Strong"/>
          <w:rFonts w:ascii="Palatino Linotype" w:hAnsi="Palatino Linotype"/>
          <w:b w:val="0"/>
          <w:bCs w:val="0"/>
          <w:sz w:val="22"/>
          <w:szCs w:val="22"/>
        </w:rPr>
        <w:t>Environmental Safety and Supportive Networks</w:t>
      </w:r>
      <w:r w:rsidR="0042570C" w:rsidRPr="00B56730">
        <w:rPr>
          <w:rFonts w:ascii="Palatino Linotype" w:hAnsi="Palatino Linotype"/>
          <w:b/>
          <w:bCs/>
          <w:sz w:val="22"/>
          <w:szCs w:val="22"/>
        </w:rPr>
        <w:t>:</w:t>
      </w:r>
      <w:r w:rsidR="0042570C" w:rsidRPr="00B56730">
        <w:rPr>
          <w:rFonts w:ascii="Palatino Linotype" w:hAnsi="Palatino Linotype"/>
          <w:sz w:val="22"/>
          <w:szCs w:val="22"/>
        </w:rPr>
        <w:t xml:space="preserve"> Poor lighting in various settings exacerbated safety concerns. Participant 3 stated, “</w:t>
      </w:r>
      <w:r w:rsidR="0042570C" w:rsidRPr="00B56730">
        <w:rPr>
          <w:rFonts w:ascii="Palatino Linotype" w:hAnsi="Palatino Linotype"/>
          <w:i/>
          <w:iCs/>
          <w:sz w:val="22"/>
          <w:szCs w:val="22"/>
        </w:rPr>
        <w:t>I don’t feel safe when walking at night because I can’t see danger from afar</w:t>
      </w:r>
      <w:r w:rsidR="0042570C" w:rsidRPr="00B56730">
        <w:rPr>
          <w:rFonts w:ascii="Palatino Linotype" w:hAnsi="Palatino Linotype"/>
          <w:sz w:val="22"/>
          <w:szCs w:val="22"/>
        </w:rPr>
        <w:t>.” These safety concerns highlight the broader implications of URE on students’ confidence and mobility.</w:t>
      </w:r>
    </w:p>
    <w:p w14:paraId="0FA072EA" w14:textId="77777777" w:rsidR="00AE2AE0" w:rsidRPr="00AE2AE0" w:rsidRDefault="00AE2AE0" w:rsidP="00B56730">
      <w:pPr>
        <w:spacing w:before="240" w:line="276" w:lineRule="auto"/>
        <w:jc w:val="both"/>
        <w:outlineLvl w:val="1"/>
        <w:rPr>
          <w:rFonts w:ascii="Palatino Linotype" w:eastAsia="Times New Roman" w:hAnsi="Palatino Linotype" w:cs="Times New Roman"/>
          <w:b/>
          <w:bCs/>
          <w:kern w:val="0"/>
          <w:sz w:val="22"/>
          <w:szCs w:val="22"/>
          <w:lang w:eastAsia="en-GB"/>
          <w14:ligatures w14:val="none"/>
        </w:rPr>
      </w:pPr>
      <w:r w:rsidRPr="00AE2AE0">
        <w:rPr>
          <w:rFonts w:ascii="Palatino Linotype" w:eastAsia="Times New Roman" w:hAnsi="Palatino Linotype" w:cs="Times New Roman"/>
          <w:b/>
          <w:bCs/>
          <w:kern w:val="0"/>
          <w:sz w:val="22"/>
          <w:szCs w:val="22"/>
          <w:lang w:eastAsia="en-GB"/>
          <w14:ligatures w14:val="none"/>
        </w:rPr>
        <w:t>Discussion</w:t>
      </w:r>
    </w:p>
    <w:p w14:paraId="19652A5D" w14:textId="13A99C9B" w:rsidR="0012334D" w:rsidRPr="00B56730" w:rsidRDefault="0065678E"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12334D" w:rsidRPr="00B56730">
        <w:rPr>
          <w:rFonts w:ascii="Palatino Linotype" w:hAnsi="Palatino Linotype"/>
          <w:sz w:val="22"/>
          <w:szCs w:val="22"/>
        </w:rPr>
        <w:t>This study reveals that URE profoundly shape the lives of students at the University of Limpopo, affecting their academic performance, emotional well-being, and social integration. The findings align with existing literature, indicating that URE not only reduces visual efficiency but also leads to significant psychosocial distress and diminished quality of life among students.</w:t>
      </w:r>
    </w:p>
    <w:p w14:paraId="591703D5" w14:textId="5E225779" w:rsidR="0012334D" w:rsidRPr="00B56730" w:rsidRDefault="0012334D" w:rsidP="00B56730">
      <w:pPr>
        <w:pStyle w:val="NormalWeb"/>
        <w:spacing w:before="240" w:beforeAutospacing="0" w:after="0" w:afterAutospacing="0" w:line="276" w:lineRule="auto"/>
        <w:ind w:firstLine="720"/>
        <w:jc w:val="both"/>
        <w:rPr>
          <w:rFonts w:ascii="Palatino Linotype" w:hAnsi="Palatino Linotype"/>
          <w:sz w:val="22"/>
          <w:szCs w:val="22"/>
        </w:rPr>
      </w:pPr>
      <w:r w:rsidRPr="00B56730">
        <w:rPr>
          <w:rFonts w:ascii="Palatino Linotype" w:hAnsi="Palatino Linotype"/>
          <w:sz w:val="22"/>
          <w:szCs w:val="22"/>
        </w:rPr>
        <w:t xml:space="preserve">The academic challenges faced by students due to URE are particularly concerning. Participants reported difficulties in accessing teaching materials, leading to increased dependence on peers for notes and clarifications. This reliance on classmates not only hampers their academic independence but may also contribute to feelings of inadequacy and low self-esteem. Previous studies corroborate these findings, noting that students with visual impairments often experience lower academic performance and engagement </w:t>
      </w:r>
      <w:r w:rsidR="0065678E" w:rsidRPr="00B56730">
        <w:rPr>
          <w:rFonts w:ascii="Palatino Linotype" w:hAnsi="Palatino Linotype"/>
          <w:sz w:val="22"/>
          <w:szCs w:val="22"/>
        </w:rPr>
        <w:t>[</w:t>
      </w:r>
      <w:r w:rsidRPr="00B56730">
        <w:rPr>
          <w:rFonts w:ascii="Palatino Linotype" w:hAnsi="Palatino Linotype"/>
          <w:sz w:val="22"/>
          <w:szCs w:val="22"/>
        </w:rPr>
        <w:t xml:space="preserve">Al Rashidi &amp; </w:t>
      </w:r>
      <w:proofErr w:type="spellStart"/>
      <w:r w:rsidRPr="00B56730">
        <w:rPr>
          <w:rFonts w:ascii="Palatino Linotype" w:hAnsi="Palatino Linotype"/>
          <w:sz w:val="22"/>
          <w:szCs w:val="22"/>
        </w:rPr>
        <w:t>Alhumaidan</w:t>
      </w:r>
      <w:proofErr w:type="spellEnd"/>
      <w:r w:rsidRPr="00B56730">
        <w:rPr>
          <w:rFonts w:ascii="Palatino Linotype" w:hAnsi="Palatino Linotype"/>
          <w:sz w:val="22"/>
          <w:szCs w:val="22"/>
        </w:rPr>
        <w:t>, 2017; Gupta et al., 2021</w:t>
      </w:r>
      <w:r w:rsidR="0065678E" w:rsidRPr="00B56730">
        <w:rPr>
          <w:rFonts w:ascii="Palatino Linotype" w:hAnsi="Palatino Linotype"/>
          <w:sz w:val="22"/>
          <w:szCs w:val="22"/>
        </w:rPr>
        <w:t>]</w:t>
      </w:r>
      <w:r w:rsidRPr="00B56730">
        <w:rPr>
          <w:rFonts w:ascii="Palatino Linotype" w:hAnsi="Palatino Linotype"/>
          <w:sz w:val="22"/>
          <w:szCs w:val="22"/>
        </w:rPr>
        <w:t>. By highlighting the specific barriers faced by students with URE, this study underscores the urgent need for educational institutions to implement targeted interventions, such as routine vision screenings and accessible learning materials, to support those affected.</w:t>
      </w:r>
    </w:p>
    <w:p w14:paraId="62FAD83F" w14:textId="770CF07F" w:rsidR="0012334D" w:rsidRPr="00B56730" w:rsidRDefault="0012334D" w:rsidP="00B56730">
      <w:pPr>
        <w:pStyle w:val="NormalWeb"/>
        <w:spacing w:before="240" w:beforeAutospacing="0" w:after="0" w:afterAutospacing="0" w:line="276" w:lineRule="auto"/>
        <w:ind w:firstLine="720"/>
        <w:jc w:val="both"/>
        <w:rPr>
          <w:rFonts w:ascii="Palatino Linotype" w:hAnsi="Palatino Linotype"/>
          <w:sz w:val="22"/>
          <w:szCs w:val="22"/>
        </w:rPr>
      </w:pPr>
      <w:r w:rsidRPr="00B56730">
        <w:rPr>
          <w:rFonts w:ascii="Palatino Linotype" w:hAnsi="Palatino Linotype"/>
          <w:sz w:val="22"/>
          <w:szCs w:val="22"/>
        </w:rPr>
        <w:t xml:space="preserve">The emotional toll of URE cannot be overstated. Participants expressed feelings of frustration, anxiety, and low self-worth, which are consistent with findings from other studies that link visual impairment to increased psychological distress </w:t>
      </w:r>
      <w:r w:rsidR="0065678E" w:rsidRPr="00B56730">
        <w:rPr>
          <w:rFonts w:ascii="Palatino Linotype" w:hAnsi="Palatino Linotype"/>
          <w:sz w:val="22"/>
          <w:szCs w:val="22"/>
        </w:rPr>
        <w:t>[</w:t>
      </w:r>
      <w:r w:rsidRPr="00B56730">
        <w:rPr>
          <w:rFonts w:ascii="Palatino Linotype" w:hAnsi="Palatino Linotype"/>
          <w:sz w:val="22"/>
          <w:szCs w:val="22"/>
        </w:rPr>
        <w:t>Bourne et al., 2018; Loughman &amp; Lindfield, 2018</w:t>
      </w:r>
      <w:r w:rsidR="0065678E" w:rsidRPr="00B56730">
        <w:rPr>
          <w:rFonts w:ascii="Palatino Linotype" w:hAnsi="Palatino Linotype"/>
          <w:sz w:val="22"/>
          <w:szCs w:val="22"/>
        </w:rPr>
        <w:t>]</w:t>
      </w:r>
      <w:r w:rsidRPr="00B56730">
        <w:rPr>
          <w:rFonts w:ascii="Palatino Linotype" w:hAnsi="Palatino Linotype"/>
          <w:sz w:val="22"/>
          <w:szCs w:val="22"/>
        </w:rPr>
        <w:t>. The stigma associated with wearing spectacles and the fear of social judgment further exacerbate these emotional challenges. Notably, some participants demonstrated resilience by gradually accepting their condition and adapting their coping strategies. This reflects the complexity of the psychological response to chronic visual impairment, where acceptance can serve as a powerful mechanism for emotional resilience.</w:t>
      </w:r>
    </w:p>
    <w:p w14:paraId="4C46C8DF" w14:textId="72D8980F" w:rsidR="0012334D" w:rsidRPr="00B56730" w:rsidRDefault="0012334D" w:rsidP="00B56730">
      <w:pPr>
        <w:pStyle w:val="NormalWeb"/>
        <w:spacing w:before="240" w:beforeAutospacing="0" w:after="0" w:afterAutospacing="0" w:line="276" w:lineRule="auto"/>
        <w:ind w:firstLine="720"/>
        <w:jc w:val="both"/>
        <w:rPr>
          <w:rFonts w:ascii="Palatino Linotype" w:hAnsi="Palatino Linotype"/>
          <w:sz w:val="22"/>
          <w:szCs w:val="22"/>
        </w:rPr>
      </w:pPr>
      <w:r w:rsidRPr="00B56730">
        <w:rPr>
          <w:rFonts w:ascii="Palatino Linotype" w:hAnsi="Palatino Linotype"/>
          <w:sz w:val="22"/>
          <w:szCs w:val="22"/>
        </w:rPr>
        <w:lastRenderedPageBreak/>
        <w:t>The study highlights various coping strategies employed by students, including behavio</w:t>
      </w:r>
      <w:r w:rsidR="0065678E" w:rsidRPr="00B56730">
        <w:rPr>
          <w:rFonts w:ascii="Palatino Linotype" w:hAnsi="Palatino Linotype"/>
          <w:sz w:val="22"/>
          <w:szCs w:val="22"/>
        </w:rPr>
        <w:t>u</w:t>
      </w:r>
      <w:r w:rsidRPr="00B56730">
        <w:rPr>
          <w:rFonts w:ascii="Palatino Linotype" w:hAnsi="Palatino Linotype"/>
          <w:sz w:val="22"/>
          <w:szCs w:val="22"/>
        </w:rPr>
        <w:t>ral adjustments, seeking support from peers, and managing their conditions through self-advocacy. The reliance on social networks for emotional and practical support is crucial, as it fosters a sense of community and belonging among students navigating similar challenges. This finding aligns with research emphasi</w:t>
      </w:r>
      <w:r w:rsidR="0065678E" w:rsidRPr="00B56730">
        <w:rPr>
          <w:rFonts w:ascii="Palatino Linotype" w:hAnsi="Palatino Linotype"/>
          <w:sz w:val="22"/>
          <w:szCs w:val="22"/>
        </w:rPr>
        <w:t>s</w:t>
      </w:r>
      <w:r w:rsidRPr="00B56730">
        <w:rPr>
          <w:rFonts w:ascii="Palatino Linotype" w:hAnsi="Palatino Linotype"/>
          <w:sz w:val="22"/>
          <w:szCs w:val="22"/>
        </w:rPr>
        <w:t xml:space="preserve">ing the importance of social support in mitigating the negative impacts of visual impairments </w:t>
      </w:r>
      <w:r w:rsidR="0065678E" w:rsidRPr="00B56730">
        <w:rPr>
          <w:rFonts w:ascii="Palatino Linotype" w:hAnsi="Palatino Linotype"/>
          <w:sz w:val="22"/>
          <w:szCs w:val="22"/>
        </w:rPr>
        <w:t>[</w:t>
      </w:r>
      <w:proofErr w:type="spellStart"/>
      <w:r w:rsidRPr="00B56730">
        <w:rPr>
          <w:rFonts w:ascii="Palatino Linotype" w:hAnsi="Palatino Linotype"/>
          <w:sz w:val="22"/>
          <w:szCs w:val="22"/>
        </w:rPr>
        <w:t>Ramke</w:t>
      </w:r>
      <w:proofErr w:type="spellEnd"/>
      <w:r w:rsidRPr="00B56730">
        <w:rPr>
          <w:rFonts w:ascii="Palatino Linotype" w:hAnsi="Palatino Linotype"/>
          <w:sz w:val="22"/>
          <w:szCs w:val="22"/>
        </w:rPr>
        <w:t xml:space="preserve"> et al., 2020</w:t>
      </w:r>
      <w:r w:rsidR="0065678E" w:rsidRPr="00B56730">
        <w:rPr>
          <w:rFonts w:ascii="Palatino Linotype" w:hAnsi="Palatino Linotype"/>
          <w:sz w:val="22"/>
          <w:szCs w:val="22"/>
        </w:rPr>
        <w:t>]</w:t>
      </w:r>
      <w:r w:rsidRPr="00B56730">
        <w:rPr>
          <w:rFonts w:ascii="Palatino Linotype" w:hAnsi="Palatino Linotype"/>
          <w:sz w:val="22"/>
          <w:szCs w:val="22"/>
        </w:rPr>
        <w:t>. Institutions should consider fostering these support systems through peer mentorship programs and counsel</w:t>
      </w:r>
      <w:r w:rsidR="00B56730" w:rsidRPr="00B56730">
        <w:rPr>
          <w:rFonts w:ascii="Palatino Linotype" w:hAnsi="Palatino Linotype"/>
          <w:sz w:val="22"/>
          <w:szCs w:val="22"/>
        </w:rPr>
        <w:t>l</w:t>
      </w:r>
      <w:r w:rsidRPr="00B56730">
        <w:rPr>
          <w:rFonts w:ascii="Palatino Linotype" w:hAnsi="Palatino Linotype"/>
          <w:sz w:val="22"/>
          <w:szCs w:val="22"/>
        </w:rPr>
        <w:t>ing services tailored to the needs of visually impaired students.</w:t>
      </w:r>
    </w:p>
    <w:p w14:paraId="347AADF3" w14:textId="100DFF9A" w:rsidR="0012334D" w:rsidRPr="00B56730" w:rsidRDefault="0012334D" w:rsidP="00B56730">
      <w:pPr>
        <w:pStyle w:val="NormalWeb"/>
        <w:spacing w:before="240" w:beforeAutospacing="0" w:after="0" w:afterAutospacing="0" w:line="276" w:lineRule="auto"/>
        <w:ind w:firstLine="720"/>
        <w:jc w:val="both"/>
        <w:rPr>
          <w:rFonts w:ascii="Palatino Linotype" w:hAnsi="Palatino Linotype"/>
          <w:sz w:val="22"/>
          <w:szCs w:val="22"/>
        </w:rPr>
      </w:pPr>
      <w:r w:rsidRPr="00B56730">
        <w:rPr>
          <w:rFonts w:ascii="Palatino Linotype" w:hAnsi="Palatino Linotype"/>
          <w:sz w:val="22"/>
          <w:szCs w:val="22"/>
        </w:rPr>
        <w:t xml:space="preserve">The social ramifications of URE extend beyond the individual, affecting group dynamics and participation in social activities. Participants reported withdrawing from sports and social events, leading to feelings of isolation and exclusion. This phenomenon is concerning, as social withdrawal can exacerbate mental health issues and diminish overall quality of life </w:t>
      </w:r>
      <w:r w:rsidR="00B56730" w:rsidRPr="00B56730">
        <w:rPr>
          <w:rFonts w:ascii="Palatino Linotype" w:hAnsi="Palatino Linotype"/>
          <w:sz w:val="22"/>
          <w:szCs w:val="22"/>
        </w:rPr>
        <w:t>[</w:t>
      </w:r>
      <w:r w:rsidRPr="00B56730">
        <w:rPr>
          <w:rFonts w:ascii="Palatino Linotype" w:hAnsi="Palatino Linotype"/>
          <w:sz w:val="22"/>
          <w:szCs w:val="22"/>
        </w:rPr>
        <w:t>Naidoo et al., 2019</w:t>
      </w:r>
      <w:r w:rsidR="00B56730" w:rsidRPr="00B56730">
        <w:rPr>
          <w:rFonts w:ascii="Palatino Linotype" w:hAnsi="Palatino Linotype"/>
          <w:sz w:val="22"/>
          <w:szCs w:val="22"/>
        </w:rPr>
        <w:t>]</w:t>
      </w:r>
      <w:r w:rsidRPr="00B56730">
        <w:rPr>
          <w:rFonts w:ascii="Palatino Linotype" w:hAnsi="Palatino Linotype"/>
          <w:sz w:val="22"/>
          <w:szCs w:val="22"/>
        </w:rPr>
        <w:t>. Furthermore, environmental safety concerns, particularly in low-light conditions, pose additional risks for students with URE, impacting their mobility and confidence. These findings highlight the need for universities to create safer, more inclusive environments that accommodate the needs of all students, particularly those with visual impairments.</w:t>
      </w:r>
    </w:p>
    <w:p w14:paraId="617009DC" w14:textId="77777777" w:rsidR="0012334D" w:rsidRPr="00B56730" w:rsidRDefault="0012334D" w:rsidP="00B56730">
      <w:pPr>
        <w:pStyle w:val="Heading4"/>
        <w:spacing w:before="240" w:line="276" w:lineRule="auto"/>
        <w:jc w:val="both"/>
        <w:rPr>
          <w:rFonts w:ascii="Palatino Linotype" w:hAnsi="Palatino Linotype"/>
          <w:b/>
          <w:bCs/>
          <w:i w:val="0"/>
          <w:iCs w:val="0"/>
          <w:color w:val="000000" w:themeColor="text1"/>
          <w:sz w:val="22"/>
          <w:szCs w:val="22"/>
        </w:rPr>
      </w:pPr>
      <w:r w:rsidRPr="00B56730">
        <w:rPr>
          <w:rFonts w:ascii="Palatino Linotype" w:hAnsi="Palatino Linotype"/>
          <w:b/>
          <w:bCs/>
          <w:i w:val="0"/>
          <w:iCs w:val="0"/>
          <w:color w:val="000000" w:themeColor="text1"/>
          <w:sz w:val="22"/>
          <w:szCs w:val="22"/>
        </w:rPr>
        <w:t>Implications for Policy and Practice</w:t>
      </w:r>
    </w:p>
    <w:p w14:paraId="22371ACF" w14:textId="26857FFA" w:rsidR="0012334D" w:rsidRPr="00B56730" w:rsidRDefault="00B56730"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12334D" w:rsidRPr="00B56730">
        <w:rPr>
          <w:rFonts w:ascii="Palatino Linotype" w:hAnsi="Palatino Linotype"/>
          <w:sz w:val="22"/>
          <w:szCs w:val="22"/>
        </w:rPr>
        <w:t>The findings of this study have significant implications for policy and practice within higher education institutions, particularly in LMICs. To address the barriers faced by students with URE, universities should consider:</w:t>
      </w:r>
    </w:p>
    <w:p w14:paraId="402F587B" w14:textId="77777777" w:rsidR="0012334D" w:rsidRPr="00B56730" w:rsidRDefault="0012334D" w:rsidP="00B56730">
      <w:pPr>
        <w:pStyle w:val="Heading4"/>
        <w:spacing w:before="240" w:line="276" w:lineRule="auto"/>
        <w:jc w:val="both"/>
        <w:rPr>
          <w:rFonts w:ascii="Palatino Linotype" w:hAnsi="Palatino Linotype"/>
          <w:b/>
          <w:bCs/>
          <w:i w:val="0"/>
          <w:iCs w:val="0"/>
          <w:color w:val="000000" w:themeColor="text1"/>
          <w:sz w:val="22"/>
          <w:szCs w:val="22"/>
        </w:rPr>
      </w:pPr>
      <w:r w:rsidRPr="00B56730">
        <w:rPr>
          <w:rFonts w:ascii="Palatino Linotype" w:hAnsi="Palatino Linotype"/>
          <w:b/>
          <w:bCs/>
          <w:i w:val="0"/>
          <w:iCs w:val="0"/>
          <w:color w:val="000000" w:themeColor="text1"/>
          <w:sz w:val="22"/>
          <w:szCs w:val="22"/>
        </w:rPr>
        <w:t>Limitations and Future Research</w:t>
      </w:r>
    </w:p>
    <w:p w14:paraId="736239A0" w14:textId="12C09E91" w:rsidR="0012334D" w:rsidRPr="00B56730" w:rsidRDefault="00B56730"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12334D" w:rsidRPr="00B56730">
        <w:rPr>
          <w:rFonts w:ascii="Palatino Linotype" w:hAnsi="Palatino Linotype"/>
          <w:sz w:val="22"/>
          <w:szCs w:val="22"/>
        </w:rPr>
        <w:t>While this study provides valuable insights, it is subject to limitations, including its focus on a single university, which may limit generalisability. Additionally, the reliance on self-reported data may introduce bias. Future research should include larger, more diverse samples and consider incorporating quantitative measures of academic performance and visual acuity to enrich the understanding of URE's impact.</w:t>
      </w:r>
    </w:p>
    <w:p w14:paraId="1A49B241" w14:textId="77777777" w:rsidR="0012334D" w:rsidRPr="00B56730" w:rsidRDefault="0012334D" w:rsidP="00B56730">
      <w:pPr>
        <w:pStyle w:val="Heading3"/>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Conclusion</w:t>
      </w:r>
    </w:p>
    <w:p w14:paraId="18481626" w14:textId="028FCF83" w:rsidR="0012334D" w:rsidRPr="00B56730" w:rsidRDefault="00B56730"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tab/>
      </w:r>
      <w:r w:rsidR="0012334D" w:rsidRPr="00B56730">
        <w:rPr>
          <w:rFonts w:ascii="Palatino Linotype" w:hAnsi="Palatino Linotype"/>
          <w:sz w:val="22"/>
          <w:szCs w:val="22"/>
        </w:rPr>
        <w:t>Uncorrected refractive errors present a significant barrier to academic success, emotional well-being, and social engagement for students at the University of Limpopo. Vision transcends mere eyesight; it is intrinsically linked to opportunity, confidence, and personal dignity. Uncorrected refractive errors constrain learning, diminish social participation, and significantly burden mental well-being, yet they remain readily correctable. By addressing systemic barriers to eye care and promoting supportive environments, universities can enhance the quality of life for students affected by URE.</w:t>
      </w:r>
    </w:p>
    <w:p w14:paraId="20865B91" w14:textId="77777777" w:rsidR="0012334D" w:rsidRPr="00B56730" w:rsidRDefault="0012334D" w:rsidP="00B56730">
      <w:pPr>
        <w:pStyle w:val="NormalWeb"/>
        <w:spacing w:before="240" w:beforeAutospacing="0" w:after="0" w:afterAutospacing="0" w:line="276" w:lineRule="auto"/>
        <w:jc w:val="both"/>
        <w:rPr>
          <w:rFonts w:ascii="Palatino Linotype" w:hAnsi="Palatino Linotype"/>
          <w:sz w:val="22"/>
          <w:szCs w:val="22"/>
        </w:rPr>
      </w:pPr>
      <w:r w:rsidRPr="00B56730">
        <w:rPr>
          <w:rFonts w:ascii="Palatino Linotype" w:hAnsi="Palatino Linotype"/>
          <w:sz w:val="22"/>
          <w:szCs w:val="22"/>
        </w:rPr>
        <w:lastRenderedPageBreak/>
        <w:t>Proactively tackling issues of affordability, access, and awareness allows the University of Limpopo to transform a common and solvable problem into a powerful catalyst for equity and academic success among its student body. Correcting vision is not merely a clinical necessity but a strategic investment in the academic and personal potential of students, enabling them to thrive in their educational pursuits and beyond.</w:t>
      </w:r>
    </w:p>
    <w:p w14:paraId="5D738026" w14:textId="77777777" w:rsidR="00A73A8B" w:rsidRDefault="00A73A8B" w:rsidP="00AE2AE0">
      <w:pPr>
        <w:spacing w:line="276" w:lineRule="auto"/>
        <w:jc w:val="both"/>
        <w:rPr>
          <w:rFonts w:ascii="Palatino Linotype" w:hAnsi="Palatino Linotype"/>
          <w:sz w:val="22"/>
          <w:szCs w:val="22"/>
        </w:rPr>
      </w:pPr>
    </w:p>
    <w:p w14:paraId="5F6E4546" w14:textId="5793A6A3" w:rsidR="00B56730" w:rsidRDefault="00B56730" w:rsidP="00AE2AE0">
      <w:pPr>
        <w:spacing w:line="276" w:lineRule="auto"/>
        <w:jc w:val="both"/>
        <w:rPr>
          <w:rFonts w:ascii="Palatino Linotype" w:hAnsi="Palatino Linotype"/>
          <w:b/>
          <w:bCs/>
          <w:sz w:val="22"/>
          <w:szCs w:val="22"/>
        </w:rPr>
      </w:pPr>
      <w:r w:rsidRPr="00B56730">
        <w:rPr>
          <w:rFonts w:ascii="Palatino Linotype" w:hAnsi="Palatino Linotype"/>
          <w:b/>
          <w:bCs/>
          <w:sz w:val="22"/>
          <w:szCs w:val="22"/>
        </w:rPr>
        <w:t>References</w:t>
      </w:r>
    </w:p>
    <w:p w14:paraId="61BCA137" w14:textId="77777777" w:rsidR="00C50B8D" w:rsidRDefault="00C50B8D" w:rsidP="00AE2AE0">
      <w:pPr>
        <w:spacing w:line="276" w:lineRule="auto"/>
        <w:jc w:val="both"/>
        <w:rPr>
          <w:rFonts w:ascii="Palatino Linotype" w:hAnsi="Palatino Linotype"/>
          <w:b/>
          <w:bCs/>
          <w:sz w:val="22"/>
          <w:szCs w:val="22"/>
        </w:rPr>
      </w:pPr>
    </w:p>
    <w:p w14:paraId="4D2F577E" w14:textId="77777777" w:rsidR="00C50B8D" w:rsidRDefault="00C50B8D" w:rsidP="009C30B5">
      <w:pPr>
        <w:pStyle w:val="p1"/>
        <w:numPr>
          <w:ilvl w:val="0"/>
          <w:numId w:val="27"/>
        </w:numPr>
        <w:jc w:val="both"/>
        <w:rPr>
          <w:rStyle w:val="s2"/>
          <w:rFonts w:ascii="Arial" w:hAnsi="Arial" w:cs="Arial"/>
        </w:rPr>
      </w:pPr>
      <w:r w:rsidRPr="0085524B">
        <w:rPr>
          <w:rStyle w:val="s1"/>
          <w:rFonts w:ascii="Arial" w:hAnsi="Arial" w:cs="Arial"/>
        </w:rPr>
        <w:t>Bourne, R.R.A.</w:t>
      </w:r>
      <w:r w:rsidRPr="0085524B">
        <w:rPr>
          <w:rStyle w:val="s2"/>
          <w:rFonts w:ascii="Arial" w:hAnsi="Arial" w:cs="Arial"/>
        </w:rPr>
        <w:t xml:space="preserve">, Flaxman, S.R., Braithwaite, T., Cicinelli, M.V., Das, A., Jonas, J.B., Keeffe, J., Kempen, J.H., Leasher, J., Limburg, H., Naidoo, K., </w:t>
      </w:r>
      <w:proofErr w:type="spellStart"/>
      <w:r w:rsidRPr="0085524B">
        <w:rPr>
          <w:rStyle w:val="s2"/>
          <w:rFonts w:ascii="Arial" w:hAnsi="Arial" w:cs="Arial"/>
        </w:rPr>
        <w:t>Pesudovs</w:t>
      </w:r>
      <w:proofErr w:type="spellEnd"/>
      <w:r w:rsidRPr="0085524B">
        <w:rPr>
          <w:rStyle w:val="s2"/>
          <w:rFonts w:ascii="Arial" w:hAnsi="Arial" w:cs="Arial"/>
        </w:rPr>
        <w:t xml:space="preserve">, K., Resnikoff, S., Silvester, A., Stevens, G.A., Tahhan, N., Wong, T.Y., Taylor, H.R., Bourne, R. and Ackland, P. (2017). </w:t>
      </w:r>
      <w:r w:rsidRPr="0085524B">
        <w:rPr>
          <w:rStyle w:val="s3"/>
          <w:rFonts w:ascii="Arial" w:hAnsi="Arial" w:cs="Arial"/>
        </w:rPr>
        <w:t>Magnitude, temporal trends, and projections of the global prevalence of blindness and distance and near vision impairment: a systematic review and meta-analysis.</w:t>
      </w:r>
      <w:r w:rsidRPr="0085524B">
        <w:rPr>
          <w:rStyle w:val="s2"/>
          <w:rFonts w:ascii="Arial" w:hAnsi="Arial" w:cs="Arial"/>
        </w:rPr>
        <w:t xml:space="preserve"> The Lancet Global Health, 5(9), pp.e888–e897.</w:t>
      </w:r>
    </w:p>
    <w:p w14:paraId="200D1643" w14:textId="5008AD6E" w:rsidR="00420422" w:rsidRPr="009C30B5" w:rsidRDefault="00420422" w:rsidP="009C30B5">
      <w:pPr>
        <w:pStyle w:val="ListParagraph"/>
        <w:numPr>
          <w:ilvl w:val="0"/>
          <w:numId w:val="27"/>
        </w:numPr>
        <w:spacing w:line="276" w:lineRule="auto"/>
        <w:jc w:val="both"/>
        <w:rPr>
          <w:rFonts w:ascii="Arial" w:hAnsi="Arial" w:cs="Arial"/>
        </w:rPr>
      </w:pPr>
      <w:r w:rsidRPr="009C30B5">
        <w:rPr>
          <w:rFonts w:ascii="Arial" w:hAnsi="Arial" w:cs="Arial"/>
        </w:rPr>
        <w:t xml:space="preserve">Chen, M., Li, S., Zhang, Y., &amp; Zeng, J. (2018). The increasing prevalence of myopia and high myopia among high school students in eastern China 2001 to 2015. </w:t>
      </w:r>
      <w:r w:rsidRPr="009C30B5">
        <w:rPr>
          <w:rStyle w:val="Emphasis"/>
          <w:rFonts w:ascii="Arial" w:hAnsi="Arial" w:cs="Arial"/>
        </w:rPr>
        <w:t>BMC Ophthalmology</w:t>
      </w:r>
      <w:r w:rsidRPr="009C30B5">
        <w:rPr>
          <w:rFonts w:ascii="Arial" w:hAnsi="Arial" w:cs="Arial"/>
        </w:rPr>
        <w:t>, 18 (267).</w:t>
      </w:r>
    </w:p>
    <w:p w14:paraId="61DC1C61" w14:textId="4D354EB7" w:rsidR="00BB7EF8" w:rsidRDefault="00C50B8D" w:rsidP="009C30B5">
      <w:pPr>
        <w:pStyle w:val="p1"/>
        <w:numPr>
          <w:ilvl w:val="0"/>
          <w:numId w:val="27"/>
        </w:numPr>
        <w:jc w:val="both"/>
        <w:rPr>
          <w:rStyle w:val="s2"/>
          <w:rFonts w:ascii="Arial" w:hAnsi="Arial" w:cs="Arial"/>
        </w:rPr>
      </w:pPr>
      <w:r w:rsidRPr="0085524B">
        <w:rPr>
          <w:rStyle w:val="s1"/>
          <w:rFonts w:ascii="Arial" w:hAnsi="Arial" w:cs="Arial"/>
        </w:rPr>
        <w:t>Coleman, A. L.</w:t>
      </w:r>
      <w:r w:rsidRPr="0085524B">
        <w:rPr>
          <w:rStyle w:val="s2"/>
          <w:rFonts w:ascii="Arial" w:hAnsi="Arial" w:cs="Arial"/>
        </w:rPr>
        <w:t xml:space="preserve">, Keeler, E., &amp; Mangione, C. M. (2006). </w:t>
      </w:r>
      <w:r w:rsidRPr="0085524B">
        <w:rPr>
          <w:rStyle w:val="s3"/>
          <w:rFonts w:ascii="Arial" w:hAnsi="Arial" w:cs="Arial"/>
        </w:rPr>
        <w:t>Treatment of uncorrected refractive error improves vision-specific quality of life.</w:t>
      </w:r>
      <w:r w:rsidRPr="0085524B">
        <w:rPr>
          <w:rStyle w:val="s2"/>
          <w:rFonts w:ascii="Arial" w:hAnsi="Arial" w:cs="Arial"/>
        </w:rPr>
        <w:t xml:space="preserve"> Journal of the American Geriatrics Society, 54(6), 883-890.</w:t>
      </w:r>
    </w:p>
    <w:p w14:paraId="319BD944" w14:textId="5BB4CDE3" w:rsidR="00420422" w:rsidRPr="0085524B" w:rsidRDefault="00420422" w:rsidP="009C30B5">
      <w:pPr>
        <w:pStyle w:val="NormalWeb"/>
        <w:numPr>
          <w:ilvl w:val="0"/>
          <w:numId w:val="27"/>
        </w:numPr>
        <w:jc w:val="both"/>
        <w:rPr>
          <w:rFonts w:ascii="Arial" w:hAnsi="Arial" w:cs="Arial"/>
        </w:rPr>
      </w:pPr>
      <w:r w:rsidRPr="0085524B">
        <w:rPr>
          <w:rFonts w:ascii="Arial" w:hAnsi="Arial" w:cs="Arial"/>
        </w:rPr>
        <w:t xml:space="preserve">Dai, X., et al. (2025) ‘Global, regional, and national burden of refraction disorders: findings from the GBD 2021 and projections to 2050’, </w:t>
      </w:r>
      <w:r w:rsidRPr="0085524B">
        <w:rPr>
          <w:rStyle w:val="Emphasis"/>
          <w:rFonts w:ascii="Arial" w:hAnsi="Arial" w:cs="Arial"/>
        </w:rPr>
        <w:t>BMC Public Health</w:t>
      </w:r>
      <w:r w:rsidRPr="0085524B">
        <w:rPr>
          <w:rFonts w:ascii="Arial" w:hAnsi="Arial" w:cs="Arial"/>
        </w:rPr>
        <w:t>, 25(1), pp. 121–134.</w:t>
      </w:r>
    </w:p>
    <w:p w14:paraId="22355250" w14:textId="77777777" w:rsidR="00C50B8D" w:rsidRPr="0085524B" w:rsidRDefault="00C50B8D" w:rsidP="009C30B5">
      <w:pPr>
        <w:pStyle w:val="p1"/>
        <w:numPr>
          <w:ilvl w:val="0"/>
          <w:numId w:val="27"/>
        </w:numPr>
        <w:jc w:val="both"/>
        <w:rPr>
          <w:rFonts w:ascii="Arial" w:hAnsi="Arial" w:cs="Arial"/>
        </w:rPr>
      </w:pPr>
      <w:r w:rsidRPr="0085524B">
        <w:rPr>
          <w:rStyle w:val="s1"/>
          <w:rFonts w:ascii="Arial" w:hAnsi="Arial" w:cs="Arial"/>
        </w:rPr>
        <w:t>Frick, K.D.</w:t>
      </w:r>
      <w:r w:rsidRPr="0085524B">
        <w:rPr>
          <w:rStyle w:val="s2"/>
          <w:rFonts w:ascii="Arial" w:hAnsi="Arial" w:cs="Arial"/>
        </w:rPr>
        <w:t xml:space="preserve">, Joy, S.M., Wilson, D.A., Naidoo, K.S. and Holden, B.A. (2015). </w:t>
      </w:r>
      <w:r w:rsidRPr="0085524B">
        <w:rPr>
          <w:rStyle w:val="s3"/>
          <w:rFonts w:ascii="Arial" w:hAnsi="Arial" w:cs="Arial"/>
        </w:rPr>
        <w:t>The Global Burden of Potential Productivity Loss from Uncorrected Presbyopia.</w:t>
      </w:r>
      <w:r w:rsidRPr="0085524B">
        <w:rPr>
          <w:rStyle w:val="s2"/>
          <w:rFonts w:ascii="Arial" w:hAnsi="Arial" w:cs="Arial"/>
        </w:rPr>
        <w:t xml:space="preserve"> Ophthalmology, 122(8), 1706–1710.</w:t>
      </w:r>
    </w:p>
    <w:p w14:paraId="72A3876C" w14:textId="77777777" w:rsidR="00C50B8D" w:rsidRPr="0085524B" w:rsidRDefault="00C50B8D" w:rsidP="009C30B5">
      <w:pPr>
        <w:pStyle w:val="p1"/>
        <w:numPr>
          <w:ilvl w:val="0"/>
          <w:numId w:val="27"/>
        </w:numPr>
        <w:jc w:val="both"/>
        <w:rPr>
          <w:rFonts w:ascii="Arial" w:hAnsi="Arial" w:cs="Arial"/>
        </w:rPr>
      </w:pPr>
      <w:r w:rsidRPr="0085524B">
        <w:rPr>
          <w:rStyle w:val="s1"/>
          <w:rFonts w:ascii="Arial" w:hAnsi="Arial" w:cs="Arial"/>
        </w:rPr>
        <w:t>Hsieh, M. H.</w:t>
      </w:r>
      <w:r w:rsidRPr="0085524B">
        <w:rPr>
          <w:rStyle w:val="s2"/>
          <w:rFonts w:ascii="Arial" w:hAnsi="Arial" w:cs="Arial"/>
        </w:rPr>
        <w:t xml:space="preserve">, &amp; Lin, J. C. (2016). </w:t>
      </w:r>
      <w:r w:rsidRPr="0085524B">
        <w:rPr>
          <w:rStyle w:val="s3"/>
          <w:rFonts w:ascii="Arial" w:hAnsi="Arial" w:cs="Arial"/>
        </w:rPr>
        <w:t>Association of refractive error with vision-related quality of life in junior high school students.</w:t>
      </w:r>
      <w:r w:rsidRPr="0085524B">
        <w:rPr>
          <w:rStyle w:val="s2"/>
          <w:rFonts w:ascii="Arial" w:hAnsi="Arial" w:cs="Arial"/>
        </w:rPr>
        <w:t xml:space="preserve"> Taiwan Journal of Ophthalmology, 6(1), 32-35.</w:t>
      </w:r>
    </w:p>
    <w:p w14:paraId="068F3B90" w14:textId="77777777" w:rsidR="00C50B8D" w:rsidRDefault="00C50B8D" w:rsidP="009C30B5">
      <w:pPr>
        <w:pStyle w:val="p1"/>
        <w:numPr>
          <w:ilvl w:val="0"/>
          <w:numId w:val="27"/>
        </w:numPr>
        <w:jc w:val="both"/>
        <w:rPr>
          <w:rStyle w:val="s2"/>
          <w:rFonts w:ascii="Arial" w:hAnsi="Arial" w:cs="Arial"/>
        </w:rPr>
      </w:pPr>
      <w:r w:rsidRPr="0085524B">
        <w:rPr>
          <w:rStyle w:val="s1"/>
          <w:rFonts w:ascii="Arial" w:hAnsi="Arial" w:cs="Arial"/>
        </w:rPr>
        <w:t>Huda, S.</w:t>
      </w:r>
      <w:r w:rsidRPr="0085524B">
        <w:rPr>
          <w:rStyle w:val="s2"/>
          <w:rFonts w:ascii="Arial" w:hAnsi="Arial" w:cs="Arial"/>
        </w:rPr>
        <w:t xml:space="preserve">, Ramzan, M. and Imran, M.H. (2021). </w:t>
      </w:r>
      <w:r w:rsidRPr="0085524B">
        <w:rPr>
          <w:rStyle w:val="s3"/>
          <w:rFonts w:ascii="Arial" w:hAnsi="Arial" w:cs="Arial"/>
        </w:rPr>
        <w:t>Impact of Refractive Error (Corrected &amp; Uncorrected) on the Quality of Life.</w:t>
      </w:r>
      <w:r w:rsidRPr="0085524B">
        <w:rPr>
          <w:rStyle w:val="s2"/>
          <w:rFonts w:ascii="Arial" w:hAnsi="Arial" w:cs="Arial"/>
        </w:rPr>
        <w:t xml:space="preserve"> Ophthalmology Update, 19(4).</w:t>
      </w:r>
    </w:p>
    <w:p w14:paraId="4E5976DC" w14:textId="534D204C" w:rsidR="00B50B56" w:rsidRPr="009C30B5" w:rsidRDefault="00B50B56" w:rsidP="009C30B5">
      <w:pPr>
        <w:pStyle w:val="ListParagraph"/>
        <w:numPr>
          <w:ilvl w:val="0"/>
          <w:numId w:val="27"/>
        </w:numPr>
        <w:spacing w:before="100" w:beforeAutospacing="1" w:after="100" w:afterAutospacing="1"/>
        <w:jc w:val="both"/>
        <w:rPr>
          <w:rFonts w:ascii="Arial" w:eastAsia="Times New Roman" w:hAnsi="Arial" w:cs="Arial"/>
          <w:kern w:val="0"/>
          <w:lang w:eastAsia="en-GB"/>
          <w14:ligatures w14:val="none"/>
        </w:rPr>
      </w:pPr>
      <w:r w:rsidRPr="009C30B5">
        <w:rPr>
          <w:rFonts w:ascii="Arial" w:eastAsia="Times New Roman" w:hAnsi="Arial" w:cs="Arial"/>
          <w:kern w:val="0"/>
          <w:lang w:eastAsia="en-GB"/>
          <w14:ligatures w14:val="none"/>
        </w:rPr>
        <w:t xml:space="preserve">Kamara, D., Onyango, J., </w:t>
      </w:r>
      <w:proofErr w:type="spellStart"/>
      <w:r w:rsidRPr="009C30B5">
        <w:rPr>
          <w:rFonts w:ascii="Arial" w:eastAsia="Times New Roman" w:hAnsi="Arial" w:cs="Arial"/>
          <w:kern w:val="0"/>
          <w:lang w:eastAsia="en-GB"/>
          <w14:ligatures w14:val="none"/>
        </w:rPr>
        <w:t>Arunga</w:t>
      </w:r>
      <w:proofErr w:type="spellEnd"/>
      <w:r w:rsidRPr="009C30B5">
        <w:rPr>
          <w:rFonts w:ascii="Arial" w:eastAsia="Times New Roman" w:hAnsi="Arial" w:cs="Arial"/>
          <w:kern w:val="0"/>
          <w:lang w:eastAsia="en-GB"/>
          <w14:ligatures w14:val="none"/>
        </w:rPr>
        <w:t xml:space="preserve">, S., Pius, M., Tusingwire, P., Ayoo, M., Mulongo, E. &amp; </w:t>
      </w:r>
      <w:proofErr w:type="spellStart"/>
      <w:r w:rsidRPr="009C30B5">
        <w:rPr>
          <w:rFonts w:ascii="Arial" w:eastAsia="Times New Roman" w:hAnsi="Arial" w:cs="Arial"/>
          <w:kern w:val="0"/>
          <w:lang w:eastAsia="en-GB"/>
          <w14:ligatures w14:val="none"/>
        </w:rPr>
        <w:t>Atwiine</w:t>
      </w:r>
      <w:proofErr w:type="spellEnd"/>
      <w:r w:rsidRPr="009C30B5">
        <w:rPr>
          <w:rFonts w:ascii="Arial" w:eastAsia="Times New Roman" w:hAnsi="Arial" w:cs="Arial"/>
          <w:kern w:val="0"/>
          <w:lang w:eastAsia="en-GB"/>
          <w14:ligatures w14:val="none"/>
        </w:rPr>
        <w:t xml:space="preserve">, B. (2024). Prevalence and factors associated with refractive errors among university students at Mbarara University of Science and Technology, Uganda. </w:t>
      </w:r>
      <w:r w:rsidRPr="009C30B5">
        <w:rPr>
          <w:rFonts w:ascii="Arial" w:eastAsia="Times New Roman" w:hAnsi="Arial" w:cs="Arial"/>
          <w:i/>
          <w:iCs/>
          <w:kern w:val="0"/>
          <w:lang w:eastAsia="en-GB"/>
          <w14:ligatures w14:val="none"/>
        </w:rPr>
        <w:t>Open Journal of Ophthalmology</w:t>
      </w:r>
      <w:r w:rsidRPr="009C30B5">
        <w:rPr>
          <w:rFonts w:ascii="Arial" w:eastAsia="Times New Roman" w:hAnsi="Arial" w:cs="Arial"/>
          <w:kern w:val="0"/>
          <w:lang w:eastAsia="en-GB"/>
          <w14:ligatures w14:val="none"/>
        </w:rPr>
        <w:t xml:space="preserve">, 14, 324-338. </w:t>
      </w:r>
    </w:p>
    <w:p w14:paraId="3FECCA6B" w14:textId="77777777" w:rsidR="00C50B8D" w:rsidRPr="0085524B" w:rsidRDefault="00C50B8D" w:rsidP="009C30B5">
      <w:pPr>
        <w:pStyle w:val="p1"/>
        <w:numPr>
          <w:ilvl w:val="0"/>
          <w:numId w:val="27"/>
        </w:numPr>
        <w:jc w:val="both"/>
        <w:rPr>
          <w:rFonts w:ascii="Arial" w:hAnsi="Arial" w:cs="Arial"/>
        </w:rPr>
      </w:pPr>
      <w:r w:rsidRPr="0085524B">
        <w:rPr>
          <w:rStyle w:val="s1"/>
          <w:rFonts w:ascii="Arial" w:hAnsi="Arial" w:cs="Arial"/>
        </w:rPr>
        <w:t>Kandel, H.</w:t>
      </w:r>
      <w:r w:rsidRPr="0085524B">
        <w:rPr>
          <w:rStyle w:val="s2"/>
          <w:rFonts w:ascii="Arial" w:hAnsi="Arial" w:cs="Arial"/>
        </w:rPr>
        <w:t xml:space="preserve">, Khadka, J., Goggin, M. &amp; </w:t>
      </w:r>
      <w:proofErr w:type="spellStart"/>
      <w:r w:rsidRPr="0085524B">
        <w:rPr>
          <w:rStyle w:val="s2"/>
          <w:rFonts w:ascii="Arial" w:hAnsi="Arial" w:cs="Arial"/>
        </w:rPr>
        <w:t>Pesudovs</w:t>
      </w:r>
      <w:proofErr w:type="spellEnd"/>
      <w:r w:rsidRPr="0085524B">
        <w:rPr>
          <w:rStyle w:val="s2"/>
          <w:rFonts w:ascii="Arial" w:hAnsi="Arial" w:cs="Arial"/>
        </w:rPr>
        <w:t xml:space="preserve">, K. (2017). </w:t>
      </w:r>
      <w:r w:rsidRPr="0085524B">
        <w:rPr>
          <w:rStyle w:val="s3"/>
          <w:rFonts w:ascii="Arial" w:hAnsi="Arial" w:cs="Arial"/>
        </w:rPr>
        <w:t>Impact of refractive error on quality of life: a qualitative study.</w:t>
      </w:r>
      <w:r w:rsidRPr="0085524B">
        <w:rPr>
          <w:rStyle w:val="s2"/>
          <w:rFonts w:ascii="Arial" w:hAnsi="Arial" w:cs="Arial"/>
        </w:rPr>
        <w:t xml:space="preserve"> Clinical &amp; Experimental Ophthalmology, 45(7), 677–688.</w:t>
      </w:r>
    </w:p>
    <w:p w14:paraId="7A1E532B" w14:textId="77777777" w:rsidR="00C50B8D" w:rsidRPr="0085524B" w:rsidRDefault="00C50B8D" w:rsidP="009C30B5">
      <w:pPr>
        <w:pStyle w:val="p1"/>
        <w:numPr>
          <w:ilvl w:val="0"/>
          <w:numId w:val="27"/>
        </w:numPr>
        <w:jc w:val="both"/>
        <w:rPr>
          <w:rFonts w:ascii="Arial" w:hAnsi="Arial" w:cs="Arial"/>
        </w:rPr>
      </w:pPr>
      <w:r w:rsidRPr="0085524B">
        <w:rPr>
          <w:rStyle w:val="s1"/>
          <w:rFonts w:ascii="Arial" w:hAnsi="Arial" w:cs="Arial"/>
        </w:rPr>
        <w:t>Kumaran, S. E.</w:t>
      </w:r>
      <w:r w:rsidRPr="0085524B">
        <w:rPr>
          <w:rStyle w:val="s2"/>
          <w:rFonts w:ascii="Arial" w:hAnsi="Arial" w:cs="Arial"/>
        </w:rPr>
        <w:t xml:space="preserve">, Balasubramaniam, S. M., Kumar, D. S., &amp; Ramani, K. K. (2015). </w:t>
      </w:r>
      <w:r w:rsidRPr="0085524B">
        <w:rPr>
          <w:rStyle w:val="s3"/>
          <w:rFonts w:ascii="Arial" w:hAnsi="Arial" w:cs="Arial"/>
        </w:rPr>
        <w:t>Refractive error and vision-related quality of life in South Indian children.</w:t>
      </w:r>
      <w:r w:rsidRPr="0085524B">
        <w:rPr>
          <w:rStyle w:val="s2"/>
          <w:rFonts w:ascii="Arial" w:hAnsi="Arial" w:cs="Arial"/>
        </w:rPr>
        <w:t xml:space="preserve"> Optometry and Vision Science, 92(3), 272–278.</w:t>
      </w:r>
    </w:p>
    <w:p w14:paraId="786992D3" w14:textId="77777777" w:rsidR="00C50B8D" w:rsidRPr="0085524B" w:rsidRDefault="00C50B8D" w:rsidP="009C30B5">
      <w:pPr>
        <w:pStyle w:val="p1"/>
        <w:numPr>
          <w:ilvl w:val="0"/>
          <w:numId w:val="27"/>
        </w:numPr>
        <w:jc w:val="both"/>
        <w:rPr>
          <w:rFonts w:ascii="Arial" w:hAnsi="Arial" w:cs="Arial"/>
        </w:rPr>
      </w:pPr>
      <w:r w:rsidRPr="0085524B">
        <w:rPr>
          <w:rStyle w:val="s1"/>
          <w:rFonts w:ascii="Arial" w:hAnsi="Arial" w:cs="Arial"/>
        </w:rPr>
        <w:t>Lamoureux, E. L.</w:t>
      </w:r>
      <w:r w:rsidRPr="0085524B">
        <w:rPr>
          <w:rStyle w:val="s2"/>
          <w:rFonts w:ascii="Arial" w:hAnsi="Arial" w:cs="Arial"/>
        </w:rPr>
        <w:t xml:space="preserve">, et al. (2009). </w:t>
      </w:r>
      <w:r w:rsidRPr="0085524B">
        <w:rPr>
          <w:rStyle w:val="s3"/>
          <w:rFonts w:ascii="Arial" w:hAnsi="Arial" w:cs="Arial"/>
        </w:rPr>
        <w:t>The impact of corrected and uncorrected refractive error on visual functioning: The Singapore Malay Eye Study.</w:t>
      </w:r>
      <w:r w:rsidRPr="0085524B">
        <w:rPr>
          <w:rStyle w:val="s2"/>
          <w:rFonts w:ascii="Arial" w:hAnsi="Arial" w:cs="Arial"/>
        </w:rPr>
        <w:t xml:space="preserve"> Investigative Ophthalmology &amp; Visual Science, 50(6), 2614–2620.</w:t>
      </w:r>
    </w:p>
    <w:p w14:paraId="0532B2C0" w14:textId="77777777" w:rsidR="00C50B8D" w:rsidRPr="0085524B" w:rsidRDefault="00C50B8D" w:rsidP="009C30B5">
      <w:pPr>
        <w:pStyle w:val="p1"/>
        <w:numPr>
          <w:ilvl w:val="0"/>
          <w:numId w:val="27"/>
        </w:numPr>
        <w:jc w:val="both"/>
        <w:rPr>
          <w:rFonts w:ascii="Arial" w:hAnsi="Arial" w:cs="Arial"/>
        </w:rPr>
      </w:pPr>
      <w:r w:rsidRPr="0085524B">
        <w:rPr>
          <w:rStyle w:val="s1"/>
          <w:rFonts w:ascii="Arial" w:hAnsi="Arial" w:cs="Arial"/>
        </w:rPr>
        <w:lastRenderedPageBreak/>
        <w:t>Lou, L.</w:t>
      </w:r>
      <w:r w:rsidRPr="0085524B">
        <w:rPr>
          <w:rStyle w:val="s2"/>
          <w:rFonts w:ascii="Arial" w:hAnsi="Arial" w:cs="Arial"/>
        </w:rPr>
        <w:t xml:space="preserve">, Yao, C., Jin, Y., Perez, V. &amp; Ye, J. (2016). </w:t>
      </w:r>
      <w:r w:rsidRPr="0085524B">
        <w:rPr>
          <w:rStyle w:val="s3"/>
          <w:rFonts w:ascii="Arial" w:hAnsi="Arial" w:cs="Arial"/>
        </w:rPr>
        <w:t>Global patterns in health burden of uncorrected refractive error.</w:t>
      </w:r>
      <w:r w:rsidRPr="0085524B">
        <w:rPr>
          <w:rStyle w:val="s2"/>
          <w:rFonts w:ascii="Arial" w:hAnsi="Arial" w:cs="Arial"/>
        </w:rPr>
        <w:t xml:space="preserve"> Investigative Ophthalmology &amp; Visual Science, 57(14), 6271–6277.</w:t>
      </w:r>
    </w:p>
    <w:p w14:paraId="05001A3D" w14:textId="77777777" w:rsidR="00C50B8D" w:rsidRPr="0085524B" w:rsidRDefault="00C50B8D" w:rsidP="009C30B5">
      <w:pPr>
        <w:pStyle w:val="p1"/>
        <w:numPr>
          <w:ilvl w:val="0"/>
          <w:numId w:val="27"/>
        </w:numPr>
        <w:jc w:val="both"/>
        <w:rPr>
          <w:rFonts w:ascii="Arial" w:hAnsi="Arial" w:cs="Arial"/>
        </w:rPr>
      </w:pPr>
      <w:proofErr w:type="spellStart"/>
      <w:r w:rsidRPr="0085524B">
        <w:rPr>
          <w:rStyle w:val="s1"/>
          <w:rFonts w:ascii="Arial" w:hAnsi="Arial" w:cs="Arial"/>
        </w:rPr>
        <w:t>Magakwe</w:t>
      </w:r>
      <w:proofErr w:type="spellEnd"/>
      <w:r w:rsidRPr="0085524B">
        <w:rPr>
          <w:rStyle w:val="s1"/>
          <w:rFonts w:ascii="Arial" w:hAnsi="Arial" w:cs="Arial"/>
        </w:rPr>
        <w:t>, T.S.</w:t>
      </w:r>
      <w:r w:rsidRPr="0085524B">
        <w:rPr>
          <w:rStyle w:val="s2"/>
          <w:rFonts w:ascii="Arial" w:hAnsi="Arial" w:cs="Arial"/>
        </w:rPr>
        <w:t xml:space="preserve">, Hansraj, R. &amp; </w:t>
      </w:r>
      <w:proofErr w:type="spellStart"/>
      <w:r w:rsidRPr="0085524B">
        <w:rPr>
          <w:rStyle w:val="s2"/>
          <w:rFonts w:ascii="Arial" w:hAnsi="Arial" w:cs="Arial"/>
        </w:rPr>
        <w:t>Xulu-Kasaba</w:t>
      </w:r>
      <w:proofErr w:type="spellEnd"/>
      <w:r w:rsidRPr="0085524B">
        <w:rPr>
          <w:rStyle w:val="s2"/>
          <w:rFonts w:ascii="Arial" w:hAnsi="Arial" w:cs="Arial"/>
        </w:rPr>
        <w:t xml:space="preserve">, Z.N. (2022). </w:t>
      </w:r>
      <w:r w:rsidRPr="0085524B">
        <w:rPr>
          <w:rStyle w:val="s3"/>
          <w:rFonts w:ascii="Arial" w:hAnsi="Arial" w:cs="Arial"/>
        </w:rPr>
        <w:t>The impact of uncorrected refractive error and visual impairment on the quality of life amongst school-going children in Sekhukhune district (Limpopo), South Africa.</w:t>
      </w:r>
      <w:r w:rsidRPr="0085524B">
        <w:rPr>
          <w:rStyle w:val="s2"/>
          <w:rFonts w:ascii="Arial" w:hAnsi="Arial" w:cs="Arial"/>
        </w:rPr>
        <w:t xml:space="preserve"> African Vision and Eye Health, 81(1), p.620.</w:t>
      </w:r>
    </w:p>
    <w:p w14:paraId="6FFB4942" w14:textId="77777777" w:rsidR="00C50B8D" w:rsidRDefault="00C50B8D" w:rsidP="009C30B5">
      <w:pPr>
        <w:pStyle w:val="p1"/>
        <w:numPr>
          <w:ilvl w:val="0"/>
          <w:numId w:val="27"/>
        </w:numPr>
        <w:jc w:val="both"/>
        <w:rPr>
          <w:rStyle w:val="s2"/>
          <w:rFonts w:ascii="Arial" w:hAnsi="Arial" w:cs="Arial"/>
        </w:rPr>
      </w:pPr>
      <w:r w:rsidRPr="0085524B">
        <w:rPr>
          <w:rStyle w:val="s1"/>
          <w:rFonts w:ascii="Arial" w:hAnsi="Arial" w:cs="Arial"/>
        </w:rPr>
        <w:t>Naidoo, K.S.</w:t>
      </w:r>
      <w:r w:rsidRPr="0085524B">
        <w:rPr>
          <w:rStyle w:val="s2"/>
          <w:rFonts w:ascii="Arial" w:hAnsi="Arial" w:cs="Arial"/>
        </w:rPr>
        <w:t xml:space="preserve">, Fricke, T.R., Frick, K.D., Jong, M., </w:t>
      </w:r>
      <w:proofErr w:type="spellStart"/>
      <w:r w:rsidRPr="0085524B">
        <w:rPr>
          <w:rStyle w:val="s2"/>
          <w:rFonts w:ascii="Arial" w:hAnsi="Arial" w:cs="Arial"/>
        </w:rPr>
        <w:t>Naduvilath</w:t>
      </w:r>
      <w:proofErr w:type="spellEnd"/>
      <w:r w:rsidRPr="0085524B">
        <w:rPr>
          <w:rStyle w:val="s2"/>
          <w:rFonts w:ascii="Arial" w:hAnsi="Arial" w:cs="Arial"/>
        </w:rPr>
        <w:t xml:space="preserve">, T.J., </w:t>
      </w:r>
      <w:proofErr w:type="spellStart"/>
      <w:r w:rsidRPr="0085524B">
        <w:rPr>
          <w:rStyle w:val="s2"/>
          <w:rFonts w:ascii="Arial" w:hAnsi="Arial" w:cs="Arial"/>
        </w:rPr>
        <w:t>Resnikoff</w:t>
      </w:r>
      <w:proofErr w:type="spellEnd"/>
      <w:r w:rsidRPr="0085524B">
        <w:rPr>
          <w:rStyle w:val="s2"/>
          <w:rFonts w:ascii="Arial" w:hAnsi="Arial" w:cs="Arial"/>
        </w:rPr>
        <w:t xml:space="preserve">, S. &amp; </w:t>
      </w:r>
      <w:proofErr w:type="spellStart"/>
      <w:r w:rsidRPr="0085524B">
        <w:rPr>
          <w:rStyle w:val="s2"/>
          <w:rFonts w:ascii="Arial" w:hAnsi="Arial" w:cs="Arial"/>
        </w:rPr>
        <w:t>Sankaridurg</w:t>
      </w:r>
      <w:proofErr w:type="spellEnd"/>
      <w:r w:rsidRPr="0085524B">
        <w:rPr>
          <w:rStyle w:val="s2"/>
          <w:rFonts w:ascii="Arial" w:hAnsi="Arial" w:cs="Arial"/>
        </w:rPr>
        <w:t xml:space="preserve">, P. (2019). </w:t>
      </w:r>
      <w:r w:rsidRPr="0085524B">
        <w:rPr>
          <w:rStyle w:val="s3"/>
          <w:rFonts w:ascii="Arial" w:hAnsi="Arial" w:cs="Arial"/>
        </w:rPr>
        <w:t>Potential Lost Productivity Resulting from the Global Burden of Myopia.</w:t>
      </w:r>
      <w:r w:rsidRPr="0085524B">
        <w:rPr>
          <w:rStyle w:val="s2"/>
          <w:rFonts w:ascii="Arial" w:hAnsi="Arial" w:cs="Arial"/>
        </w:rPr>
        <w:t xml:space="preserve"> Ophthalmology, 126(3), 338–346.</w:t>
      </w:r>
    </w:p>
    <w:p w14:paraId="0A47C90C" w14:textId="20F00049" w:rsidR="00420422" w:rsidRPr="009C30B5" w:rsidRDefault="00420422" w:rsidP="009C30B5">
      <w:pPr>
        <w:pStyle w:val="ListParagraph"/>
        <w:numPr>
          <w:ilvl w:val="0"/>
          <w:numId w:val="27"/>
        </w:numPr>
        <w:spacing w:line="276" w:lineRule="auto"/>
        <w:jc w:val="both"/>
        <w:rPr>
          <w:rFonts w:ascii="Arial" w:hAnsi="Arial" w:cs="Arial"/>
        </w:rPr>
      </w:pPr>
      <w:r w:rsidRPr="009C30B5">
        <w:rPr>
          <w:rStyle w:val="Strong"/>
          <w:rFonts w:ascii="Arial" w:hAnsi="Arial" w:cs="Arial"/>
        </w:rPr>
        <w:t xml:space="preserve">Okenwa-Vincent, E. E., </w:t>
      </w:r>
      <w:proofErr w:type="spellStart"/>
      <w:r w:rsidRPr="009C30B5">
        <w:rPr>
          <w:rStyle w:val="Strong"/>
          <w:rFonts w:ascii="Arial" w:hAnsi="Arial" w:cs="Arial"/>
        </w:rPr>
        <w:t>Oduntan</w:t>
      </w:r>
      <w:proofErr w:type="spellEnd"/>
      <w:r w:rsidRPr="009C30B5">
        <w:rPr>
          <w:rStyle w:val="Strong"/>
          <w:rFonts w:ascii="Arial" w:hAnsi="Arial" w:cs="Arial"/>
        </w:rPr>
        <w:t>, O. A. &amp; Ramson, O. (2024).</w:t>
      </w:r>
      <w:r w:rsidRPr="009C30B5">
        <w:rPr>
          <w:rFonts w:ascii="Arial" w:hAnsi="Arial" w:cs="Arial"/>
        </w:rPr>
        <w:t xml:space="preserve"> “Prevalence and socio-demographic distribution of uncorrected refractive errors among school-going adolescents in Kakamega County, Kenya.” </w:t>
      </w:r>
      <w:r w:rsidRPr="009C30B5">
        <w:rPr>
          <w:rStyle w:val="Emphasis"/>
          <w:rFonts w:ascii="Arial" w:hAnsi="Arial" w:cs="Arial"/>
        </w:rPr>
        <w:t>Ophthalmology Journal</w:t>
      </w:r>
      <w:r w:rsidRPr="009C30B5">
        <w:rPr>
          <w:rFonts w:ascii="Arial" w:hAnsi="Arial" w:cs="Arial"/>
        </w:rPr>
        <w:t>, 5(2), 149-156.</w:t>
      </w:r>
    </w:p>
    <w:p w14:paraId="16366489" w14:textId="77777777" w:rsidR="00C50B8D" w:rsidRPr="0085524B" w:rsidRDefault="00C50B8D" w:rsidP="009C30B5">
      <w:pPr>
        <w:pStyle w:val="p1"/>
        <w:numPr>
          <w:ilvl w:val="0"/>
          <w:numId w:val="27"/>
        </w:numPr>
        <w:jc w:val="both"/>
        <w:rPr>
          <w:rFonts w:ascii="Arial" w:hAnsi="Arial" w:cs="Arial"/>
        </w:rPr>
      </w:pPr>
      <w:proofErr w:type="spellStart"/>
      <w:r w:rsidRPr="0085524B">
        <w:rPr>
          <w:rStyle w:val="s1"/>
          <w:rFonts w:ascii="Arial" w:hAnsi="Arial" w:cs="Arial"/>
        </w:rPr>
        <w:t>Ovenseri-Ogbomo</w:t>
      </w:r>
      <w:proofErr w:type="spellEnd"/>
      <w:r w:rsidRPr="0085524B">
        <w:rPr>
          <w:rStyle w:val="s1"/>
          <w:rFonts w:ascii="Arial" w:hAnsi="Arial" w:cs="Arial"/>
        </w:rPr>
        <w:t>, G.</w:t>
      </w:r>
      <w:r w:rsidRPr="0085524B">
        <w:rPr>
          <w:rStyle w:val="s2"/>
          <w:rFonts w:ascii="Arial" w:hAnsi="Arial" w:cs="Arial"/>
        </w:rPr>
        <w:t xml:space="preserve">, Osuagwu, U.L., Ekpenyong, B.N., Agho, K., </w:t>
      </w:r>
      <w:proofErr w:type="spellStart"/>
      <w:r w:rsidRPr="0085524B">
        <w:rPr>
          <w:rStyle w:val="s2"/>
          <w:rFonts w:ascii="Arial" w:hAnsi="Arial" w:cs="Arial"/>
        </w:rPr>
        <w:t>Ekure</w:t>
      </w:r>
      <w:proofErr w:type="spellEnd"/>
      <w:r w:rsidRPr="0085524B">
        <w:rPr>
          <w:rStyle w:val="s2"/>
          <w:rFonts w:ascii="Arial" w:hAnsi="Arial" w:cs="Arial"/>
        </w:rPr>
        <w:t xml:space="preserve">, E., </w:t>
      </w:r>
      <w:proofErr w:type="spellStart"/>
      <w:r w:rsidRPr="0085524B">
        <w:rPr>
          <w:rStyle w:val="s2"/>
          <w:rFonts w:ascii="Arial" w:hAnsi="Arial" w:cs="Arial"/>
        </w:rPr>
        <w:t>Ndep</w:t>
      </w:r>
      <w:proofErr w:type="spellEnd"/>
      <w:r w:rsidRPr="0085524B">
        <w:rPr>
          <w:rStyle w:val="s2"/>
          <w:rFonts w:ascii="Arial" w:hAnsi="Arial" w:cs="Arial"/>
        </w:rPr>
        <w:t xml:space="preserve">, A.O., </w:t>
      </w:r>
      <w:proofErr w:type="spellStart"/>
      <w:r w:rsidRPr="0085524B">
        <w:rPr>
          <w:rStyle w:val="s2"/>
          <w:rFonts w:ascii="Arial" w:hAnsi="Arial" w:cs="Arial"/>
        </w:rPr>
        <w:t>Ocansey</w:t>
      </w:r>
      <w:proofErr w:type="spellEnd"/>
      <w:r w:rsidRPr="0085524B">
        <w:rPr>
          <w:rStyle w:val="s2"/>
          <w:rFonts w:ascii="Arial" w:hAnsi="Arial" w:cs="Arial"/>
        </w:rPr>
        <w:t xml:space="preserve">, S., </w:t>
      </w:r>
      <w:proofErr w:type="spellStart"/>
      <w:r w:rsidRPr="0085524B">
        <w:rPr>
          <w:rStyle w:val="s2"/>
          <w:rFonts w:ascii="Arial" w:hAnsi="Arial" w:cs="Arial"/>
        </w:rPr>
        <w:t>Mashige</w:t>
      </w:r>
      <w:proofErr w:type="spellEnd"/>
      <w:r w:rsidRPr="0085524B">
        <w:rPr>
          <w:rStyle w:val="s2"/>
          <w:rFonts w:ascii="Arial" w:hAnsi="Arial" w:cs="Arial"/>
        </w:rPr>
        <w:t xml:space="preserve">, K.P., Naidoo, K.S. &amp; Ogbuehi, K.C. (2022). </w:t>
      </w:r>
      <w:r w:rsidRPr="0085524B">
        <w:rPr>
          <w:rStyle w:val="s3"/>
          <w:rFonts w:ascii="Arial" w:hAnsi="Arial" w:cs="Arial"/>
        </w:rPr>
        <w:t>Systematic review and meta-analysis of myopia prevalence in African school children.</w:t>
      </w:r>
      <w:r w:rsidRPr="0085524B">
        <w:rPr>
          <w:rStyle w:val="s2"/>
          <w:rFonts w:ascii="Arial" w:hAnsi="Arial" w:cs="Arial"/>
        </w:rPr>
        <w:t xml:space="preserve"> PLoS One, 17(2), e0263335.</w:t>
      </w:r>
    </w:p>
    <w:p w14:paraId="3FBBA37A" w14:textId="77777777" w:rsidR="00C50B8D" w:rsidRPr="0085524B" w:rsidRDefault="00C50B8D" w:rsidP="009C30B5">
      <w:pPr>
        <w:pStyle w:val="p1"/>
        <w:numPr>
          <w:ilvl w:val="0"/>
          <w:numId w:val="27"/>
        </w:numPr>
        <w:jc w:val="both"/>
        <w:rPr>
          <w:rFonts w:ascii="Arial" w:hAnsi="Arial" w:cs="Arial"/>
        </w:rPr>
      </w:pPr>
      <w:r w:rsidRPr="0085524B">
        <w:rPr>
          <w:rStyle w:val="s1"/>
          <w:rFonts w:ascii="Arial" w:hAnsi="Arial" w:cs="Arial"/>
        </w:rPr>
        <w:t>Owsley, C.</w:t>
      </w:r>
      <w:r w:rsidRPr="0085524B">
        <w:rPr>
          <w:rStyle w:val="s2"/>
          <w:rFonts w:ascii="Arial" w:hAnsi="Arial" w:cs="Arial"/>
        </w:rPr>
        <w:t xml:space="preserve"> (1998). </w:t>
      </w:r>
      <w:r w:rsidRPr="0085524B">
        <w:rPr>
          <w:rStyle w:val="s3"/>
          <w:rFonts w:ascii="Arial" w:hAnsi="Arial" w:cs="Arial"/>
        </w:rPr>
        <w:t>Visual Processing Impairment and Risk of Motor Vehicle Crash Among Older Adults.</w:t>
      </w:r>
      <w:r w:rsidRPr="0085524B">
        <w:rPr>
          <w:rStyle w:val="s2"/>
          <w:rFonts w:ascii="Arial" w:hAnsi="Arial" w:cs="Arial"/>
        </w:rPr>
        <w:t xml:space="preserve"> JAMA, 279(14), 1083.</w:t>
      </w:r>
    </w:p>
    <w:p w14:paraId="1C7B52A5" w14:textId="77777777" w:rsidR="00C50B8D" w:rsidRPr="0085524B" w:rsidRDefault="00C50B8D" w:rsidP="009C30B5">
      <w:pPr>
        <w:pStyle w:val="p1"/>
        <w:numPr>
          <w:ilvl w:val="0"/>
          <w:numId w:val="27"/>
        </w:numPr>
        <w:jc w:val="both"/>
        <w:rPr>
          <w:rFonts w:ascii="Arial" w:hAnsi="Arial" w:cs="Arial"/>
        </w:rPr>
      </w:pPr>
      <w:proofErr w:type="spellStart"/>
      <w:r w:rsidRPr="0085524B">
        <w:rPr>
          <w:rStyle w:val="s1"/>
          <w:rFonts w:ascii="Arial" w:hAnsi="Arial" w:cs="Arial"/>
        </w:rPr>
        <w:t>Pesudovs</w:t>
      </w:r>
      <w:proofErr w:type="spellEnd"/>
      <w:r w:rsidRPr="0085524B">
        <w:rPr>
          <w:rStyle w:val="s1"/>
          <w:rFonts w:ascii="Arial" w:hAnsi="Arial" w:cs="Arial"/>
        </w:rPr>
        <w:t>, K.</w:t>
      </w:r>
      <w:r w:rsidRPr="0085524B">
        <w:rPr>
          <w:rStyle w:val="s2"/>
          <w:rFonts w:ascii="Arial" w:hAnsi="Arial" w:cs="Arial"/>
        </w:rPr>
        <w:t xml:space="preserve">, Garamendi, E., &amp; Elliott, D. B. (2006). </w:t>
      </w:r>
      <w:r w:rsidRPr="0085524B">
        <w:rPr>
          <w:rStyle w:val="s3"/>
          <w:rFonts w:ascii="Arial" w:hAnsi="Arial" w:cs="Arial"/>
        </w:rPr>
        <w:t>A quality of life comparison of people wearing spectacles, contact lenses, or having undergone refractive surgery.</w:t>
      </w:r>
      <w:r w:rsidRPr="0085524B">
        <w:rPr>
          <w:rStyle w:val="s2"/>
          <w:rFonts w:ascii="Arial" w:hAnsi="Arial" w:cs="Arial"/>
        </w:rPr>
        <w:t xml:space="preserve"> Journal of Refractive Surgery, 22(1), 19–27.</w:t>
      </w:r>
    </w:p>
    <w:p w14:paraId="421E36D1" w14:textId="476BC65A" w:rsidR="00C50B8D" w:rsidRPr="0085524B" w:rsidRDefault="00C50B8D" w:rsidP="009C30B5">
      <w:pPr>
        <w:pStyle w:val="p1"/>
        <w:numPr>
          <w:ilvl w:val="0"/>
          <w:numId w:val="27"/>
        </w:numPr>
        <w:jc w:val="both"/>
        <w:rPr>
          <w:rFonts w:ascii="Arial" w:hAnsi="Arial" w:cs="Arial"/>
        </w:rPr>
      </w:pPr>
      <w:r w:rsidRPr="0085524B">
        <w:rPr>
          <w:rStyle w:val="s1"/>
          <w:rFonts w:ascii="Arial" w:hAnsi="Arial" w:cs="Arial"/>
        </w:rPr>
        <w:t>Schiefer, U.</w:t>
      </w:r>
      <w:r w:rsidRPr="0085524B">
        <w:rPr>
          <w:rStyle w:val="s2"/>
          <w:rFonts w:ascii="Arial" w:hAnsi="Arial" w:cs="Arial"/>
        </w:rPr>
        <w:t xml:space="preserve">, Kraus, C., Baumbach, P., </w:t>
      </w:r>
      <w:proofErr w:type="spellStart"/>
      <w:r w:rsidRPr="0085524B">
        <w:rPr>
          <w:rStyle w:val="s2"/>
          <w:rFonts w:ascii="Arial" w:hAnsi="Arial" w:cs="Arial"/>
        </w:rPr>
        <w:t>Ungewiß</w:t>
      </w:r>
      <w:proofErr w:type="spellEnd"/>
      <w:r w:rsidRPr="0085524B">
        <w:rPr>
          <w:rStyle w:val="s2"/>
          <w:rFonts w:ascii="Arial" w:hAnsi="Arial" w:cs="Arial"/>
        </w:rPr>
        <w:t xml:space="preserve">, J. &amp; Michels, R. (2016). </w:t>
      </w:r>
      <w:r w:rsidRPr="0085524B">
        <w:rPr>
          <w:rStyle w:val="s3"/>
          <w:rFonts w:ascii="Arial" w:hAnsi="Arial" w:cs="Arial"/>
        </w:rPr>
        <w:t>Refractive errors: epidemiology, effects and treatment options.</w:t>
      </w:r>
      <w:r w:rsidRPr="0085524B">
        <w:rPr>
          <w:rStyle w:val="s2"/>
          <w:rFonts w:ascii="Arial" w:hAnsi="Arial" w:cs="Arial"/>
        </w:rPr>
        <w:t xml:space="preserve"> </w:t>
      </w:r>
      <w:proofErr w:type="spellStart"/>
      <w:r w:rsidRPr="0085524B">
        <w:rPr>
          <w:rStyle w:val="s2"/>
          <w:rFonts w:ascii="Arial" w:hAnsi="Arial" w:cs="Arial"/>
        </w:rPr>
        <w:t>Deutsches</w:t>
      </w:r>
      <w:proofErr w:type="spellEnd"/>
      <w:r w:rsidRPr="0085524B">
        <w:rPr>
          <w:rStyle w:val="s2"/>
          <w:rFonts w:ascii="Arial" w:hAnsi="Arial" w:cs="Arial"/>
        </w:rPr>
        <w:t xml:space="preserve"> </w:t>
      </w:r>
      <w:proofErr w:type="spellStart"/>
      <w:r w:rsidRPr="0085524B">
        <w:rPr>
          <w:rStyle w:val="s2"/>
          <w:rFonts w:ascii="Arial" w:hAnsi="Arial" w:cs="Arial"/>
        </w:rPr>
        <w:t>Ärzteblatt</w:t>
      </w:r>
      <w:proofErr w:type="spellEnd"/>
      <w:r w:rsidRPr="0085524B">
        <w:rPr>
          <w:rStyle w:val="s2"/>
          <w:rFonts w:ascii="Arial" w:hAnsi="Arial" w:cs="Arial"/>
        </w:rPr>
        <w:t xml:space="preserve"> International, 113(41), p.693.</w:t>
      </w:r>
    </w:p>
    <w:p w14:paraId="1C29D694" w14:textId="77777777" w:rsidR="00C50B8D" w:rsidRDefault="00C50B8D" w:rsidP="009C30B5">
      <w:pPr>
        <w:pStyle w:val="p1"/>
        <w:numPr>
          <w:ilvl w:val="0"/>
          <w:numId w:val="27"/>
        </w:numPr>
        <w:jc w:val="both"/>
        <w:rPr>
          <w:rStyle w:val="s3"/>
          <w:rFonts w:ascii="Arial" w:hAnsi="Arial" w:cs="Arial"/>
        </w:rPr>
      </w:pPr>
      <w:r w:rsidRPr="0085524B">
        <w:rPr>
          <w:rStyle w:val="s1"/>
          <w:rFonts w:ascii="Arial" w:hAnsi="Arial" w:cs="Arial"/>
        </w:rPr>
        <w:t>The International Agency for the Prevention of Blindness.</w:t>
      </w:r>
      <w:r w:rsidRPr="0085524B">
        <w:rPr>
          <w:rStyle w:val="s2"/>
          <w:rFonts w:ascii="Arial" w:hAnsi="Arial" w:cs="Arial"/>
        </w:rPr>
        <w:t xml:space="preserve"> (2022). </w:t>
      </w:r>
      <w:r w:rsidRPr="0085524B">
        <w:rPr>
          <w:rStyle w:val="s3"/>
          <w:rFonts w:ascii="Arial" w:hAnsi="Arial" w:cs="Arial"/>
        </w:rPr>
        <w:t>Global cost of correcting vision impairment from uncorrected refractive error.</w:t>
      </w:r>
    </w:p>
    <w:p w14:paraId="1984F623" w14:textId="77777777" w:rsidR="0029025E" w:rsidRPr="0085524B" w:rsidRDefault="0029025E" w:rsidP="009C30B5">
      <w:pPr>
        <w:pStyle w:val="NormalWeb"/>
        <w:numPr>
          <w:ilvl w:val="0"/>
          <w:numId w:val="27"/>
        </w:numPr>
        <w:jc w:val="both"/>
        <w:rPr>
          <w:rFonts w:ascii="Arial" w:hAnsi="Arial" w:cs="Arial"/>
        </w:rPr>
      </w:pPr>
      <w:r w:rsidRPr="0085524B">
        <w:rPr>
          <w:rFonts w:ascii="Arial" w:hAnsi="Arial" w:cs="Arial"/>
        </w:rPr>
        <w:t xml:space="preserve">World Health Organization (2023) </w:t>
      </w:r>
      <w:r w:rsidRPr="0085524B">
        <w:rPr>
          <w:rStyle w:val="Emphasis"/>
          <w:rFonts w:ascii="Arial" w:hAnsi="Arial" w:cs="Arial"/>
        </w:rPr>
        <w:t>Blindness and Vision Impairment: Key Facts</w:t>
      </w:r>
      <w:r w:rsidRPr="0085524B">
        <w:rPr>
          <w:rFonts w:ascii="Arial" w:hAnsi="Arial" w:cs="Arial"/>
        </w:rPr>
        <w:t>. Geneva: WHO.</w:t>
      </w:r>
    </w:p>
    <w:p w14:paraId="1CE3501E" w14:textId="77777777" w:rsidR="0029025E" w:rsidRDefault="0029025E" w:rsidP="009C30B5">
      <w:pPr>
        <w:pStyle w:val="NormalWeb"/>
        <w:numPr>
          <w:ilvl w:val="0"/>
          <w:numId w:val="27"/>
        </w:numPr>
        <w:jc w:val="both"/>
        <w:rPr>
          <w:rFonts w:ascii="Arial" w:hAnsi="Arial" w:cs="Arial"/>
        </w:rPr>
      </w:pPr>
      <w:r w:rsidRPr="0085524B">
        <w:rPr>
          <w:rStyle w:val="Strong"/>
          <w:rFonts w:ascii="Arial" w:hAnsi="Arial" w:cs="Arial"/>
          <w:b w:val="0"/>
          <w:bCs w:val="0"/>
        </w:rPr>
        <w:t>World Health Organization (2024).</w:t>
      </w:r>
      <w:r w:rsidRPr="0085524B">
        <w:rPr>
          <w:rFonts w:ascii="Arial" w:hAnsi="Arial" w:cs="Arial"/>
        </w:rPr>
        <w:t xml:space="preserve"> </w:t>
      </w:r>
      <w:r w:rsidRPr="0085524B">
        <w:rPr>
          <w:rStyle w:val="Emphasis"/>
          <w:rFonts w:ascii="Arial" w:hAnsi="Arial" w:cs="Arial"/>
        </w:rPr>
        <w:t>Eye care, vision impairment and blindness: Refractive errors.</w:t>
      </w:r>
      <w:r w:rsidRPr="0085524B">
        <w:rPr>
          <w:rFonts w:ascii="Arial" w:hAnsi="Arial" w:cs="Arial"/>
        </w:rPr>
        <w:t xml:space="preserve"> Geneva: WHO.</w:t>
      </w:r>
    </w:p>
    <w:p w14:paraId="26E5CA0B" w14:textId="584809C1" w:rsidR="00A54233" w:rsidRDefault="00A54233" w:rsidP="009C30B5">
      <w:pPr>
        <w:pStyle w:val="p1"/>
        <w:numPr>
          <w:ilvl w:val="0"/>
          <w:numId w:val="27"/>
        </w:numPr>
        <w:jc w:val="both"/>
        <w:rPr>
          <w:rFonts w:ascii="Arial" w:hAnsi="Arial" w:cs="Arial"/>
        </w:rPr>
      </w:pPr>
      <w:r w:rsidRPr="0085524B">
        <w:rPr>
          <w:rStyle w:val="s1"/>
          <w:rFonts w:ascii="Arial" w:hAnsi="Arial" w:cs="Arial"/>
        </w:rPr>
        <w:t>Wilson, D.A.</w:t>
      </w:r>
      <w:r w:rsidRPr="0085524B">
        <w:rPr>
          <w:rStyle w:val="s2"/>
          <w:rFonts w:ascii="Arial" w:hAnsi="Arial" w:cs="Arial"/>
        </w:rPr>
        <w:t xml:space="preserve"> (2017). </w:t>
      </w:r>
      <w:r w:rsidRPr="0085524B">
        <w:rPr>
          <w:rStyle w:val="s3"/>
          <w:rFonts w:ascii="Arial" w:hAnsi="Arial" w:cs="Arial"/>
        </w:rPr>
        <w:t>Refractive errors.</w:t>
      </w:r>
      <w:r w:rsidRPr="0085524B">
        <w:rPr>
          <w:rStyle w:val="s2"/>
          <w:rFonts w:ascii="Arial" w:hAnsi="Arial" w:cs="Arial"/>
        </w:rPr>
        <w:t xml:space="preserve"> In </w:t>
      </w:r>
      <w:r w:rsidRPr="0085524B">
        <w:rPr>
          <w:rStyle w:val="s3"/>
          <w:rFonts w:ascii="Arial" w:hAnsi="Arial" w:cs="Arial"/>
        </w:rPr>
        <w:t>Handbook of Visual Optics, Volume One</w:t>
      </w:r>
      <w:r w:rsidRPr="0085524B">
        <w:rPr>
          <w:rStyle w:val="s2"/>
          <w:rFonts w:ascii="Arial" w:hAnsi="Arial" w:cs="Arial"/>
        </w:rPr>
        <w:t xml:space="preserve"> (pp. 289–304). CRC Press.</w:t>
      </w:r>
    </w:p>
    <w:p w14:paraId="6030FBD6" w14:textId="77777777" w:rsidR="00A54233" w:rsidRPr="009C30B5" w:rsidRDefault="00A54233" w:rsidP="009C30B5">
      <w:pPr>
        <w:pStyle w:val="ListParagraph"/>
        <w:numPr>
          <w:ilvl w:val="0"/>
          <w:numId w:val="27"/>
        </w:numPr>
        <w:spacing w:line="276" w:lineRule="auto"/>
        <w:jc w:val="both"/>
        <w:rPr>
          <w:rFonts w:ascii="Arial" w:hAnsi="Arial" w:cs="Arial"/>
        </w:rPr>
      </w:pPr>
      <w:r w:rsidRPr="009C30B5">
        <w:rPr>
          <w:rFonts w:ascii="Arial" w:hAnsi="Arial" w:cs="Arial"/>
        </w:rPr>
        <w:t xml:space="preserve">Yuan, Q., Li, S., Wei, W. &amp; et al. (2025). Global, regional, and national differences in the burden of refractive disorders from 1990 to 2021. </w:t>
      </w:r>
      <w:r w:rsidRPr="009C30B5">
        <w:rPr>
          <w:rStyle w:val="Emphasis"/>
          <w:rFonts w:ascii="Arial" w:hAnsi="Arial" w:cs="Arial"/>
        </w:rPr>
        <w:t>BMC Public Health</w:t>
      </w:r>
      <w:r w:rsidRPr="009C30B5">
        <w:rPr>
          <w:rFonts w:ascii="Arial" w:hAnsi="Arial" w:cs="Arial"/>
        </w:rPr>
        <w:t>, 25(1), 1458.</w:t>
      </w:r>
    </w:p>
    <w:p w14:paraId="140143BA" w14:textId="77777777" w:rsidR="00175E47" w:rsidRPr="0085524B" w:rsidRDefault="00175E47" w:rsidP="00C50B8D">
      <w:pPr>
        <w:spacing w:line="276" w:lineRule="auto"/>
        <w:jc w:val="both"/>
        <w:rPr>
          <w:rFonts w:ascii="Arial" w:hAnsi="Arial" w:cs="Arial"/>
          <w:b/>
          <w:bCs/>
          <w:sz w:val="22"/>
          <w:szCs w:val="22"/>
        </w:rPr>
      </w:pPr>
    </w:p>
    <w:sectPr w:rsidR="00175E47" w:rsidRPr="0085524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atsodg@gmail.com" w:date="2025-11-16T09:19:00Z" w:initials="G">
    <w:p w14:paraId="10BB6044" w14:textId="41FB9EEA" w:rsidR="00ED340F" w:rsidRDefault="00ED340F">
      <w:pPr>
        <w:pStyle w:val="CommentText"/>
      </w:pPr>
      <w:r>
        <w:rPr>
          <w:rStyle w:val="CommentReference"/>
        </w:rPr>
        <w:annotationRef/>
      </w:r>
      <w:r>
        <w:t>Find data, and add</w:t>
      </w:r>
    </w:p>
  </w:comment>
  <w:comment w:id="1" w:author="patsodg@gmail.com" w:date="2025-11-17T15:43:00Z" w:initials="G">
    <w:p w14:paraId="29177825" w14:textId="0468E77B" w:rsidR="0082232E" w:rsidRDefault="0082232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BB6044" w15:done="0"/>
  <w15:commentEx w15:paraId="29177825" w15:paraIdParent="10BB604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F74B617" w16cex:dateUtc="2025-11-16T07:19:00Z"/>
  <w16cex:commentExtensible w16cex:durableId="2594DF57" w16cex:dateUtc="2025-11-17T13: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BB6044" w16cid:durableId="4F74B617"/>
  <w16cid:commentId w16cid:paraId="29177825" w16cid:durableId="2594DF5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879F9"/>
    <w:multiLevelType w:val="multilevel"/>
    <w:tmpl w:val="3378D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026B3"/>
    <w:multiLevelType w:val="multilevel"/>
    <w:tmpl w:val="B5D41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A25923"/>
    <w:multiLevelType w:val="multilevel"/>
    <w:tmpl w:val="95DA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D4A87"/>
    <w:multiLevelType w:val="multilevel"/>
    <w:tmpl w:val="B25CE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F56B7"/>
    <w:multiLevelType w:val="multilevel"/>
    <w:tmpl w:val="F3D0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55704"/>
    <w:multiLevelType w:val="multilevel"/>
    <w:tmpl w:val="F062A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A80A91"/>
    <w:multiLevelType w:val="multilevel"/>
    <w:tmpl w:val="3B7A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3F2EA1"/>
    <w:multiLevelType w:val="hybridMultilevel"/>
    <w:tmpl w:val="05DAC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9228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8C0133"/>
    <w:multiLevelType w:val="multilevel"/>
    <w:tmpl w:val="53E2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3952B3"/>
    <w:multiLevelType w:val="multilevel"/>
    <w:tmpl w:val="DE30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357E4A"/>
    <w:multiLevelType w:val="multilevel"/>
    <w:tmpl w:val="87F07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D023CC"/>
    <w:multiLevelType w:val="multilevel"/>
    <w:tmpl w:val="FA5C4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A3470F"/>
    <w:multiLevelType w:val="multilevel"/>
    <w:tmpl w:val="8EAA8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060E04"/>
    <w:multiLevelType w:val="multilevel"/>
    <w:tmpl w:val="AA14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D75ADF"/>
    <w:multiLevelType w:val="multilevel"/>
    <w:tmpl w:val="BE80B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244E33"/>
    <w:multiLevelType w:val="multilevel"/>
    <w:tmpl w:val="8F9C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5F2479"/>
    <w:multiLevelType w:val="multilevel"/>
    <w:tmpl w:val="FAF0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2C52A2"/>
    <w:multiLevelType w:val="multilevel"/>
    <w:tmpl w:val="BFFA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1C35A1"/>
    <w:multiLevelType w:val="multilevel"/>
    <w:tmpl w:val="240A0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F52E77"/>
    <w:multiLevelType w:val="multilevel"/>
    <w:tmpl w:val="AEEE8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83340B"/>
    <w:multiLevelType w:val="multilevel"/>
    <w:tmpl w:val="6D46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B76779"/>
    <w:multiLevelType w:val="hybridMultilevel"/>
    <w:tmpl w:val="CA245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3B7704"/>
    <w:multiLevelType w:val="multilevel"/>
    <w:tmpl w:val="39B4F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847A69"/>
    <w:multiLevelType w:val="multilevel"/>
    <w:tmpl w:val="C230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330954"/>
    <w:multiLevelType w:val="multilevel"/>
    <w:tmpl w:val="2490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6E058A"/>
    <w:multiLevelType w:val="multilevel"/>
    <w:tmpl w:val="4FA6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0313577">
    <w:abstractNumId w:val="11"/>
  </w:num>
  <w:num w:numId="2" w16cid:durableId="41252930">
    <w:abstractNumId w:val="18"/>
  </w:num>
  <w:num w:numId="3" w16cid:durableId="1737506881">
    <w:abstractNumId w:val="16"/>
  </w:num>
  <w:num w:numId="4" w16cid:durableId="1511215762">
    <w:abstractNumId w:val="9"/>
  </w:num>
  <w:num w:numId="5" w16cid:durableId="1587570388">
    <w:abstractNumId w:val="25"/>
  </w:num>
  <w:num w:numId="6" w16cid:durableId="1237013869">
    <w:abstractNumId w:val="5"/>
  </w:num>
  <w:num w:numId="7" w16cid:durableId="786779830">
    <w:abstractNumId w:val="3"/>
  </w:num>
  <w:num w:numId="8" w16cid:durableId="1062211771">
    <w:abstractNumId w:val="15"/>
  </w:num>
  <w:num w:numId="9" w16cid:durableId="1985692535">
    <w:abstractNumId w:val="14"/>
  </w:num>
  <w:num w:numId="10" w16cid:durableId="1314406412">
    <w:abstractNumId w:val="24"/>
  </w:num>
  <w:num w:numId="11" w16cid:durableId="294261973">
    <w:abstractNumId w:val="20"/>
  </w:num>
  <w:num w:numId="12" w16cid:durableId="722026936">
    <w:abstractNumId w:val="13"/>
  </w:num>
  <w:num w:numId="13" w16cid:durableId="1725903906">
    <w:abstractNumId w:val="26"/>
  </w:num>
  <w:num w:numId="14" w16cid:durableId="559705756">
    <w:abstractNumId w:val="6"/>
  </w:num>
  <w:num w:numId="15" w16cid:durableId="1386878998">
    <w:abstractNumId w:val="17"/>
  </w:num>
  <w:num w:numId="16" w16cid:durableId="1803771325">
    <w:abstractNumId w:val="0"/>
  </w:num>
  <w:num w:numId="17" w16cid:durableId="456993067">
    <w:abstractNumId w:val="4"/>
  </w:num>
  <w:num w:numId="18" w16cid:durableId="1811943375">
    <w:abstractNumId w:val="2"/>
  </w:num>
  <w:num w:numId="19" w16cid:durableId="1377852354">
    <w:abstractNumId w:val="23"/>
  </w:num>
  <w:num w:numId="20" w16cid:durableId="443690210">
    <w:abstractNumId w:val="10"/>
  </w:num>
  <w:num w:numId="21" w16cid:durableId="123426009">
    <w:abstractNumId w:val="21"/>
  </w:num>
  <w:num w:numId="22" w16cid:durableId="1027366857">
    <w:abstractNumId w:val="12"/>
  </w:num>
  <w:num w:numId="23" w16cid:durableId="399712208">
    <w:abstractNumId w:val="1"/>
  </w:num>
  <w:num w:numId="24" w16cid:durableId="2136826650">
    <w:abstractNumId w:val="19"/>
  </w:num>
  <w:num w:numId="25" w16cid:durableId="250354668">
    <w:abstractNumId w:val="8"/>
  </w:num>
  <w:num w:numId="26" w16cid:durableId="1060784485">
    <w:abstractNumId w:val="22"/>
  </w:num>
  <w:num w:numId="27" w16cid:durableId="951521565">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tsodg@gmail.com">
    <w15:presenceInfo w15:providerId="Windows Live" w15:userId="dd71bb20775e10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AE0"/>
    <w:rsid w:val="00044DA7"/>
    <w:rsid w:val="000D7BBB"/>
    <w:rsid w:val="000E30BC"/>
    <w:rsid w:val="0012334D"/>
    <w:rsid w:val="001457D0"/>
    <w:rsid w:val="00175E47"/>
    <w:rsid w:val="001D786B"/>
    <w:rsid w:val="001E7099"/>
    <w:rsid w:val="002017AC"/>
    <w:rsid w:val="0022479B"/>
    <w:rsid w:val="00225FE4"/>
    <w:rsid w:val="0029025E"/>
    <w:rsid w:val="00343117"/>
    <w:rsid w:val="00401A6E"/>
    <w:rsid w:val="00420422"/>
    <w:rsid w:val="0042570C"/>
    <w:rsid w:val="004720E3"/>
    <w:rsid w:val="00611020"/>
    <w:rsid w:val="0065678E"/>
    <w:rsid w:val="006B7FA1"/>
    <w:rsid w:val="007D7187"/>
    <w:rsid w:val="007F77F6"/>
    <w:rsid w:val="0082232E"/>
    <w:rsid w:val="0083767D"/>
    <w:rsid w:val="0085524B"/>
    <w:rsid w:val="008C1268"/>
    <w:rsid w:val="009C30B5"/>
    <w:rsid w:val="009F0BB3"/>
    <w:rsid w:val="00A144D4"/>
    <w:rsid w:val="00A36ECA"/>
    <w:rsid w:val="00A54233"/>
    <w:rsid w:val="00A73A8B"/>
    <w:rsid w:val="00AE2AE0"/>
    <w:rsid w:val="00B50B56"/>
    <w:rsid w:val="00B56730"/>
    <w:rsid w:val="00BB7EF8"/>
    <w:rsid w:val="00C50B8D"/>
    <w:rsid w:val="00C67C23"/>
    <w:rsid w:val="00C73C53"/>
    <w:rsid w:val="00CD2443"/>
    <w:rsid w:val="00DB37F8"/>
    <w:rsid w:val="00DB3A48"/>
    <w:rsid w:val="00DF36C0"/>
    <w:rsid w:val="00ED340F"/>
    <w:rsid w:val="00F00288"/>
    <w:rsid w:val="00F1798E"/>
    <w:rsid w:val="00F7600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E53D2"/>
  <w15:chartTrackingRefBased/>
  <w15:docId w15:val="{D99860D2-6F94-AB4F-B7B3-461D8ABF3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Z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2AE0"/>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AE2AE0"/>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AE2AE0"/>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12334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AE0"/>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AE2AE0"/>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AE2AE0"/>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AE2AE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E2AE0"/>
    <w:rPr>
      <w:b/>
      <w:bCs/>
    </w:rPr>
  </w:style>
  <w:style w:type="character" w:styleId="Emphasis">
    <w:name w:val="Emphasis"/>
    <w:basedOn w:val="DefaultParagraphFont"/>
    <w:uiPriority w:val="20"/>
    <w:qFormat/>
    <w:rsid w:val="00AE2AE0"/>
    <w:rPr>
      <w:i/>
      <w:iCs/>
    </w:rPr>
  </w:style>
  <w:style w:type="character" w:customStyle="1" w:styleId="Heading4Char">
    <w:name w:val="Heading 4 Char"/>
    <w:basedOn w:val="DefaultParagraphFont"/>
    <w:link w:val="Heading4"/>
    <w:uiPriority w:val="9"/>
    <w:semiHidden/>
    <w:rsid w:val="0012334D"/>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1D786B"/>
    <w:rPr>
      <w:sz w:val="16"/>
      <w:szCs w:val="16"/>
    </w:rPr>
  </w:style>
  <w:style w:type="paragraph" w:styleId="CommentText">
    <w:name w:val="annotation text"/>
    <w:basedOn w:val="Normal"/>
    <w:link w:val="CommentTextChar"/>
    <w:uiPriority w:val="99"/>
    <w:semiHidden/>
    <w:unhideWhenUsed/>
    <w:rsid w:val="001D786B"/>
    <w:rPr>
      <w:sz w:val="20"/>
      <w:szCs w:val="20"/>
    </w:rPr>
  </w:style>
  <w:style w:type="character" w:customStyle="1" w:styleId="CommentTextChar">
    <w:name w:val="Comment Text Char"/>
    <w:basedOn w:val="DefaultParagraphFont"/>
    <w:link w:val="CommentText"/>
    <w:uiPriority w:val="99"/>
    <w:semiHidden/>
    <w:rsid w:val="001D786B"/>
    <w:rPr>
      <w:sz w:val="20"/>
      <w:szCs w:val="20"/>
    </w:rPr>
  </w:style>
  <w:style w:type="paragraph" w:styleId="CommentSubject">
    <w:name w:val="annotation subject"/>
    <w:basedOn w:val="CommentText"/>
    <w:next w:val="CommentText"/>
    <w:link w:val="CommentSubjectChar"/>
    <w:uiPriority w:val="99"/>
    <w:semiHidden/>
    <w:unhideWhenUsed/>
    <w:rsid w:val="001D786B"/>
    <w:rPr>
      <w:b/>
      <w:bCs/>
    </w:rPr>
  </w:style>
  <w:style w:type="character" w:customStyle="1" w:styleId="CommentSubjectChar">
    <w:name w:val="Comment Subject Char"/>
    <w:basedOn w:val="CommentTextChar"/>
    <w:link w:val="CommentSubject"/>
    <w:uiPriority w:val="99"/>
    <w:semiHidden/>
    <w:rsid w:val="001D786B"/>
    <w:rPr>
      <w:b/>
      <w:bCs/>
      <w:sz w:val="20"/>
      <w:szCs w:val="20"/>
    </w:rPr>
  </w:style>
  <w:style w:type="paragraph" w:customStyle="1" w:styleId="text-modulecontainermessagekkcte">
    <w:name w:val="text-module__container__message___kkcte"/>
    <w:basedOn w:val="Normal"/>
    <w:rsid w:val="00225FE4"/>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alert-modulealertlabel4zdkd">
    <w:name w:val="alert-module__alert__label___4zdkd"/>
    <w:basedOn w:val="Normal"/>
    <w:rsid w:val="00225FE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225FE4"/>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225FE4"/>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225FE4"/>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225FE4"/>
    <w:rPr>
      <w:rFonts w:ascii="Arial" w:eastAsia="Times New Roman" w:hAnsi="Arial" w:cs="Arial"/>
      <w:vanish/>
      <w:kern w:val="0"/>
      <w:sz w:val="16"/>
      <w:szCs w:val="16"/>
      <w:lang w:eastAsia="en-GB"/>
      <w14:ligatures w14:val="none"/>
    </w:rPr>
  </w:style>
  <w:style w:type="character" w:customStyle="1" w:styleId="ms-1">
    <w:name w:val="ms-1"/>
    <w:basedOn w:val="DefaultParagraphFont"/>
    <w:rsid w:val="00175E47"/>
  </w:style>
  <w:style w:type="character" w:customStyle="1" w:styleId="max-w-15ch">
    <w:name w:val="max-w-[15ch]"/>
    <w:basedOn w:val="DefaultParagraphFont"/>
    <w:rsid w:val="00175E47"/>
  </w:style>
  <w:style w:type="paragraph" w:customStyle="1" w:styleId="p1">
    <w:name w:val="p1"/>
    <w:basedOn w:val="Normal"/>
    <w:rsid w:val="00C50B8D"/>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C50B8D"/>
  </w:style>
  <w:style w:type="character" w:customStyle="1" w:styleId="s2">
    <w:name w:val="s2"/>
    <w:basedOn w:val="DefaultParagraphFont"/>
    <w:rsid w:val="00C50B8D"/>
  </w:style>
  <w:style w:type="character" w:customStyle="1" w:styleId="s3">
    <w:name w:val="s3"/>
    <w:basedOn w:val="DefaultParagraphFont"/>
    <w:rsid w:val="00C50B8D"/>
  </w:style>
  <w:style w:type="paragraph" w:styleId="ListParagraph">
    <w:name w:val="List Paragraph"/>
    <w:basedOn w:val="Normal"/>
    <w:uiPriority w:val="34"/>
    <w:qFormat/>
    <w:rsid w:val="00C50B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4380">
      <w:bodyDiv w:val="1"/>
      <w:marLeft w:val="0"/>
      <w:marRight w:val="0"/>
      <w:marTop w:val="0"/>
      <w:marBottom w:val="0"/>
      <w:divBdr>
        <w:top w:val="none" w:sz="0" w:space="0" w:color="auto"/>
        <w:left w:val="none" w:sz="0" w:space="0" w:color="auto"/>
        <w:bottom w:val="none" w:sz="0" w:space="0" w:color="auto"/>
        <w:right w:val="none" w:sz="0" w:space="0" w:color="auto"/>
      </w:divBdr>
      <w:divsChild>
        <w:div w:id="197016452">
          <w:marLeft w:val="0"/>
          <w:marRight w:val="0"/>
          <w:marTop w:val="0"/>
          <w:marBottom w:val="0"/>
          <w:divBdr>
            <w:top w:val="none" w:sz="0" w:space="0" w:color="auto"/>
            <w:left w:val="none" w:sz="0" w:space="0" w:color="auto"/>
            <w:bottom w:val="none" w:sz="0" w:space="0" w:color="auto"/>
            <w:right w:val="none" w:sz="0" w:space="0" w:color="auto"/>
          </w:divBdr>
          <w:divsChild>
            <w:div w:id="1605072164">
              <w:marLeft w:val="0"/>
              <w:marRight w:val="0"/>
              <w:marTop w:val="0"/>
              <w:marBottom w:val="0"/>
              <w:divBdr>
                <w:top w:val="none" w:sz="0" w:space="0" w:color="auto"/>
                <w:left w:val="none" w:sz="0" w:space="0" w:color="auto"/>
                <w:bottom w:val="none" w:sz="0" w:space="0" w:color="auto"/>
                <w:right w:val="none" w:sz="0" w:space="0" w:color="auto"/>
              </w:divBdr>
            </w:div>
          </w:divsChild>
        </w:div>
        <w:div w:id="282736222">
          <w:marLeft w:val="0"/>
          <w:marRight w:val="0"/>
          <w:marTop w:val="0"/>
          <w:marBottom w:val="0"/>
          <w:divBdr>
            <w:top w:val="none" w:sz="0" w:space="0" w:color="auto"/>
            <w:left w:val="none" w:sz="0" w:space="0" w:color="auto"/>
            <w:bottom w:val="none" w:sz="0" w:space="0" w:color="auto"/>
            <w:right w:val="none" w:sz="0" w:space="0" w:color="auto"/>
          </w:divBdr>
          <w:divsChild>
            <w:div w:id="1063257649">
              <w:marLeft w:val="0"/>
              <w:marRight w:val="0"/>
              <w:marTop w:val="0"/>
              <w:marBottom w:val="0"/>
              <w:divBdr>
                <w:top w:val="none" w:sz="0" w:space="0" w:color="auto"/>
                <w:left w:val="none" w:sz="0" w:space="0" w:color="auto"/>
                <w:bottom w:val="none" w:sz="0" w:space="0" w:color="auto"/>
                <w:right w:val="none" w:sz="0" w:space="0" w:color="auto"/>
              </w:divBdr>
            </w:div>
          </w:divsChild>
        </w:div>
        <w:div w:id="448286038">
          <w:marLeft w:val="0"/>
          <w:marRight w:val="0"/>
          <w:marTop w:val="0"/>
          <w:marBottom w:val="0"/>
          <w:divBdr>
            <w:top w:val="none" w:sz="0" w:space="0" w:color="auto"/>
            <w:left w:val="none" w:sz="0" w:space="0" w:color="auto"/>
            <w:bottom w:val="none" w:sz="0" w:space="0" w:color="auto"/>
            <w:right w:val="none" w:sz="0" w:space="0" w:color="auto"/>
          </w:divBdr>
          <w:divsChild>
            <w:div w:id="756053578">
              <w:marLeft w:val="0"/>
              <w:marRight w:val="0"/>
              <w:marTop w:val="0"/>
              <w:marBottom w:val="0"/>
              <w:divBdr>
                <w:top w:val="none" w:sz="0" w:space="0" w:color="auto"/>
                <w:left w:val="none" w:sz="0" w:space="0" w:color="auto"/>
                <w:bottom w:val="none" w:sz="0" w:space="0" w:color="auto"/>
                <w:right w:val="none" w:sz="0" w:space="0" w:color="auto"/>
              </w:divBdr>
            </w:div>
          </w:divsChild>
        </w:div>
        <w:div w:id="862594144">
          <w:marLeft w:val="0"/>
          <w:marRight w:val="0"/>
          <w:marTop w:val="0"/>
          <w:marBottom w:val="0"/>
          <w:divBdr>
            <w:top w:val="none" w:sz="0" w:space="0" w:color="auto"/>
            <w:left w:val="none" w:sz="0" w:space="0" w:color="auto"/>
            <w:bottom w:val="none" w:sz="0" w:space="0" w:color="auto"/>
            <w:right w:val="none" w:sz="0" w:space="0" w:color="auto"/>
          </w:divBdr>
          <w:divsChild>
            <w:div w:id="1834300734">
              <w:marLeft w:val="0"/>
              <w:marRight w:val="0"/>
              <w:marTop w:val="0"/>
              <w:marBottom w:val="0"/>
              <w:divBdr>
                <w:top w:val="none" w:sz="0" w:space="0" w:color="auto"/>
                <w:left w:val="none" w:sz="0" w:space="0" w:color="auto"/>
                <w:bottom w:val="none" w:sz="0" w:space="0" w:color="auto"/>
                <w:right w:val="none" w:sz="0" w:space="0" w:color="auto"/>
              </w:divBdr>
            </w:div>
          </w:divsChild>
        </w:div>
        <w:div w:id="945308159">
          <w:marLeft w:val="0"/>
          <w:marRight w:val="0"/>
          <w:marTop w:val="0"/>
          <w:marBottom w:val="0"/>
          <w:divBdr>
            <w:top w:val="none" w:sz="0" w:space="0" w:color="auto"/>
            <w:left w:val="none" w:sz="0" w:space="0" w:color="auto"/>
            <w:bottom w:val="none" w:sz="0" w:space="0" w:color="auto"/>
            <w:right w:val="none" w:sz="0" w:space="0" w:color="auto"/>
          </w:divBdr>
          <w:divsChild>
            <w:div w:id="547882556">
              <w:marLeft w:val="0"/>
              <w:marRight w:val="0"/>
              <w:marTop w:val="0"/>
              <w:marBottom w:val="0"/>
              <w:divBdr>
                <w:top w:val="none" w:sz="0" w:space="0" w:color="auto"/>
                <w:left w:val="none" w:sz="0" w:space="0" w:color="auto"/>
                <w:bottom w:val="none" w:sz="0" w:space="0" w:color="auto"/>
                <w:right w:val="none" w:sz="0" w:space="0" w:color="auto"/>
              </w:divBdr>
            </w:div>
          </w:divsChild>
        </w:div>
        <w:div w:id="1253857682">
          <w:marLeft w:val="0"/>
          <w:marRight w:val="0"/>
          <w:marTop w:val="0"/>
          <w:marBottom w:val="0"/>
          <w:divBdr>
            <w:top w:val="none" w:sz="0" w:space="0" w:color="auto"/>
            <w:left w:val="none" w:sz="0" w:space="0" w:color="auto"/>
            <w:bottom w:val="none" w:sz="0" w:space="0" w:color="auto"/>
            <w:right w:val="none" w:sz="0" w:space="0" w:color="auto"/>
          </w:divBdr>
          <w:divsChild>
            <w:div w:id="2020083784">
              <w:marLeft w:val="0"/>
              <w:marRight w:val="0"/>
              <w:marTop w:val="0"/>
              <w:marBottom w:val="0"/>
              <w:divBdr>
                <w:top w:val="none" w:sz="0" w:space="0" w:color="auto"/>
                <w:left w:val="none" w:sz="0" w:space="0" w:color="auto"/>
                <w:bottom w:val="none" w:sz="0" w:space="0" w:color="auto"/>
                <w:right w:val="none" w:sz="0" w:space="0" w:color="auto"/>
              </w:divBdr>
            </w:div>
          </w:divsChild>
        </w:div>
        <w:div w:id="1360664894">
          <w:marLeft w:val="0"/>
          <w:marRight w:val="0"/>
          <w:marTop w:val="0"/>
          <w:marBottom w:val="0"/>
          <w:divBdr>
            <w:top w:val="none" w:sz="0" w:space="0" w:color="auto"/>
            <w:left w:val="none" w:sz="0" w:space="0" w:color="auto"/>
            <w:bottom w:val="none" w:sz="0" w:space="0" w:color="auto"/>
            <w:right w:val="none" w:sz="0" w:space="0" w:color="auto"/>
          </w:divBdr>
          <w:divsChild>
            <w:div w:id="25566862">
              <w:marLeft w:val="0"/>
              <w:marRight w:val="0"/>
              <w:marTop w:val="0"/>
              <w:marBottom w:val="0"/>
              <w:divBdr>
                <w:top w:val="none" w:sz="0" w:space="0" w:color="auto"/>
                <w:left w:val="none" w:sz="0" w:space="0" w:color="auto"/>
                <w:bottom w:val="none" w:sz="0" w:space="0" w:color="auto"/>
                <w:right w:val="none" w:sz="0" w:space="0" w:color="auto"/>
              </w:divBdr>
            </w:div>
          </w:divsChild>
        </w:div>
        <w:div w:id="1463304534">
          <w:marLeft w:val="0"/>
          <w:marRight w:val="0"/>
          <w:marTop w:val="0"/>
          <w:marBottom w:val="0"/>
          <w:divBdr>
            <w:top w:val="none" w:sz="0" w:space="0" w:color="auto"/>
            <w:left w:val="none" w:sz="0" w:space="0" w:color="auto"/>
            <w:bottom w:val="none" w:sz="0" w:space="0" w:color="auto"/>
            <w:right w:val="none" w:sz="0" w:space="0" w:color="auto"/>
          </w:divBdr>
          <w:divsChild>
            <w:div w:id="1546600942">
              <w:marLeft w:val="0"/>
              <w:marRight w:val="0"/>
              <w:marTop w:val="0"/>
              <w:marBottom w:val="0"/>
              <w:divBdr>
                <w:top w:val="none" w:sz="0" w:space="0" w:color="auto"/>
                <w:left w:val="none" w:sz="0" w:space="0" w:color="auto"/>
                <w:bottom w:val="none" w:sz="0" w:space="0" w:color="auto"/>
                <w:right w:val="none" w:sz="0" w:space="0" w:color="auto"/>
              </w:divBdr>
            </w:div>
          </w:divsChild>
        </w:div>
        <w:div w:id="1615479176">
          <w:marLeft w:val="0"/>
          <w:marRight w:val="0"/>
          <w:marTop w:val="0"/>
          <w:marBottom w:val="0"/>
          <w:divBdr>
            <w:top w:val="none" w:sz="0" w:space="0" w:color="auto"/>
            <w:left w:val="none" w:sz="0" w:space="0" w:color="auto"/>
            <w:bottom w:val="none" w:sz="0" w:space="0" w:color="auto"/>
            <w:right w:val="none" w:sz="0" w:space="0" w:color="auto"/>
          </w:divBdr>
          <w:divsChild>
            <w:div w:id="130909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972954">
      <w:bodyDiv w:val="1"/>
      <w:marLeft w:val="0"/>
      <w:marRight w:val="0"/>
      <w:marTop w:val="0"/>
      <w:marBottom w:val="0"/>
      <w:divBdr>
        <w:top w:val="none" w:sz="0" w:space="0" w:color="auto"/>
        <w:left w:val="none" w:sz="0" w:space="0" w:color="auto"/>
        <w:bottom w:val="none" w:sz="0" w:space="0" w:color="auto"/>
        <w:right w:val="none" w:sz="0" w:space="0" w:color="auto"/>
      </w:divBdr>
      <w:divsChild>
        <w:div w:id="126707061">
          <w:marLeft w:val="0"/>
          <w:marRight w:val="0"/>
          <w:marTop w:val="0"/>
          <w:marBottom w:val="0"/>
          <w:divBdr>
            <w:top w:val="none" w:sz="0" w:space="0" w:color="auto"/>
            <w:left w:val="none" w:sz="0" w:space="0" w:color="auto"/>
            <w:bottom w:val="none" w:sz="0" w:space="0" w:color="auto"/>
            <w:right w:val="none" w:sz="0" w:space="0" w:color="auto"/>
          </w:divBdr>
          <w:divsChild>
            <w:div w:id="1260455169">
              <w:marLeft w:val="0"/>
              <w:marRight w:val="0"/>
              <w:marTop w:val="0"/>
              <w:marBottom w:val="0"/>
              <w:divBdr>
                <w:top w:val="none" w:sz="0" w:space="0" w:color="auto"/>
                <w:left w:val="none" w:sz="0" w:space="0" w:color="auto"/>
                <w:bottom w:val="none" w:sz="0" w:space="0" w:color="auto"/>
                <w:right w:val="none" w:sz="0" w:space="0" w:color="auto"/>
              </w:divBdr>
            </w:div>
          </w:divsChild>
        </w:div>
        <w:div w:id="433789912">
          <w:marLeft w:val="0"/>
          <w:marRight w:val="0"/>
          <w:marTop w:val="0"/>
          <w:marBottom w:val="0"/>
          <w:divBdr>
            <w:top w:val="none" w:sz="0" w:space="0" w:color="auto"/>
            <w:left w:val="none" w:sz="0" w:space="0" w:color="auto"/>
            <w:bottom w:val="none" w:sz="0" w:space="0" w:color="auto"/>
            <w:right w:val="none" w:sz="0" w:space="0" w:color="auto"/>
          </w:divBdr>
          <w:divsChild>
            <w:div w:id="1891261450">
              <w:marLeft w:val="0"/>
              <w:marRight w:val="0"/>
              <w:marTop w:val="0"/>
              <w:marBottom w:val="0"/>
              <w:divBdr>
                <w:top w:val="none" w:sz="0" w:space="0" w:color="auto"/>
                <w:left w:val="none" w:sz="0" w:space="0" w:color="auto"/>
                <w:bottom w:val="none" w:sz="0" w:space="0" w:color="auto"/>
                <w:right w:val="none" w:sz="0" w:space="0" w:color="auto"/>
              </w:divBdr>
            </w:div>
          </w:divsChild>
        </w:div>
        <w:div w:id="485709654">
          <w:marLeft w:val="0"/>
          <w:marRight w:val="0"/>
          <w:marTop w:val="0"/>
          <w:marBottom w:val="0"/>
          <w:divBdr>
            <w:top w:val="none" w:sz="0" w:space="0" w:color="auto"/>
            <w:left w:val="none" w:sz="0" w:space="0" w:color="auto"/>
            <w:bottom w:val="none" w:sz="0" w:space="0" w:color="auto"/>
            <w:right w:val="none" w:sz="0" w:space="0" w:color="auto"/>
          </w:divBdr>
          <w:divsChild>
            <w:div w:id="503206485">
              <w:marLeft w:val="0"/>
              <w:marRight w:val="0"/>
              <w:marTop w:val="0"/>
              <w:marBottom w:val="0"/>
              <w:divBdr>
                <w:top w:val="none" w:sz="0" w:space="0" w:color="auto"/>
                <w:left w:val="none" w:sz="0" w:space="0" w:color="auto"/>
                <w:bottom w:val="none" w:sz="0" w:space="0" w:color="auto"/>
                <w:right w:val="none" w:sz="0" w:space="0" w:color="auto"/>
              </w:divBdr>
            </w:div>
          </w:divsChild>
        </w:div>
        <w:div w:id="550969620">
          <w:marLeft w:val="0"/>
          <w:marRight w:val="0"/>
          <w:marTop w:val="0"/>
          <w:marBottom w:val="0"/>
          <w:divBdr>
            <w:top w:val="none" w:sz="0" w:space="0" w:color="auto"/>
            <w:left w:val="none" w:sz="0" w:space="0" w:color="auto"/>
            <w:bottom w:val="none" w:sz="0" w:space="0" w:color="auto"/>
            <w:right w:val="none" w:sz="0" w:space="0" w:color="auto"/>
          </w:divBdr>
          <w:divsChild>
            <w:div w:id="732431341">
              <w:marLeft w:val="0"/>
              <w:marRight w:val="0"/>
              <w:marTop w:val="0"/>
              <w:marBottom w:val="0"/>
              <w:divBdr>
                <w:top w:val="none" w:sz="0" w:space="0" w:color="auto"/>
                <w:left w:val="none" w:sz="0" w:space="0" w:color="auto"/>
                <w:bottom w:val="none" w:sz="0" w:space="0" w:color="auto"/>
                <w:right w:val="none" w:sz="0" w:space="0" w:color="auto"/>
              </w:divBdr>
            </w:div>
          </w:divsChild>
        </w:div>
        <w:div w:id="634874746">
          <w:marLeft w:val="0"/>
          <w:marRight w:val="0"/>
          <w:marTop w:val="0"/>
          <w:marBottom w:val="0"/>
          <w:divBdr>
            <w:top w:val="none" w:sz="0" w:space="0" w:color="auto"/>
            <w:left w:val="none" w:sz="0" w:space="0" w:color="auto"/>
            <w:bottom w:val="none" w:sz="0" w:space="0" w:color="auto"/>
            <w:right w:val="none" w:sz="0" w:space="0" w:color="auto"/>
          </w:divBdr>
          <w:divsChild>
            <w:div w:id="1882787692">
              <w:marLeft w:val="0"/>
              <w:marRight w:val="0"/>
              <w:marTop w:val="0"/>
              <w:marBottom w:val="0"/>
              <w:divBdr>
                <w:top w:val="none" w:sz="0" w:space="0" w:color="auto"/>
                <w:left w:val="none" w:sz="0" w:space="0" w:color="auto"/>
                <w:bottom w:val="none" w:sz="0" w:space="0" w:color="auto"/>
                <w:right w:val="none" w:sz="0" w:space="0" w:color="auto"/>
              </w:divBdr>
            </w:div>
          </w:divsChild>
        </w:div>
        <w:div w:id="734662401">
          <w:marLeft w:val="0"/>
          <w:marRight w:val="0"/>
          <w:marTop w:val="0"/>
          <w:marBottom w:val="0"/>
          <w:divBdr>
            <w:top w:val="none" w:sz="0" w:space="0" w:color="auto"/>
            <w:left w:val="none" w:sz="0" w:space="0" w:color="auto"/>
            <w:bottom w:val="none" w:sz="0" w:space="0" w:color="auto"/>
            <w:right w:val="none" w:sz="0" w:space="0" w:color="auto"/>
          </w:divBdr>
          <w:divsChild>
            <w:div w:id="1049644909">
              <w:marLeft w:val="0"/>
              <w:marRight w:val="0"/>
              <w:marTop w:val="0"/>
              <w:marBottom w:val="0"/>
              <w:divBdr>
                <w:top w:val="none" w:sz="0" w:space="0" w:color="auto"/>
                <w:left w:val="none" w:sz="0" w:space="0" w:color="auto"/>
                <w:bottom w:val="none" w:sz="0" w:space="0" w:color="auto"/>
                <w:right w:val="none" w:sz="0" w:space="0" w:color="auto"/>
              </w:divBdr>
            </w:div>
          </w:divsChild>
        </w:div>
        <w:div w:id="769355109">
          <w:marLeft w:val="0"/>
          <w:marRight w:val="0"/>
          <w:marTop w:val="0"/>
          <w:marBottom w:val="0"/>
          <w:divBdr>
            <w:top w:val="none" w:sz="0" w:space="0" w:color="auto"/>
            <w:left w:val="none" w:sz="0" w:space="0" w:color="auto"/>
            <w:bottom w:val="none" w:sz="0" w:space="0" w:color="auto"/>
            <w:right w:val="none" w:sz="0" w:space="0" w:color="auto"/>
          </w:divBdr>
          <w:divsChild>
            <w:div w:id="813764730">
              <w:marLeft w:val="0"/>
              <w:marRight w:val="0"/>
              <w:marTop w:val="0"/>
              <w:marBottom w:val="0"/>
              <w:divBdr>
                <w:top w:val="none" w:sz="0" w:space="0" w:color="auto"/>
                <w:left w:val="none" w:sz="0" w:space="0" w:color="auto"/>
                <w:bottom w:val="none" w:sz="0" w:space="0" w:color="auto"/>
                <w:right w:val="none" w:sz="0" w:space="0" w:color="auto"/>
              </w:divBdr>
            </w:div>
          </w:divsChild>
        </w:div>
        <w:div w:id="897932808">
          <w:marLeft w:val="0"/>
          <w:marRight w:val="0"/>
          <w:marTop w:val="0"/>
          <w:marBottom w:val="0"/>
          <w:divBdr>
            <w:top w:val="none" w:sz="0" w:space="0" w:color="auto"/>
            <w:left w:val="none" w:sz="0" w:space="0" w:color="auto"/>
            <w:bottom w:val="none" w:sz="0" w:space="0" w:color="auto"/>
            <w:right w:val="none" w:sz="0" w:space="0" w:color="auto"/>
          </w:divBdr>
          <w:divsChild>
            <w:div w:id="1901018147">
              <w:marLeft w:val="0"/>
              <w:marRight w:val="0"/>
              <w:marTop w:val="0"/>
              <w:marBottom w:val="0"/>
              <w:divBdr>
                <w:top w:val="none" w:sz="0" w:space="0" w:color="auto"/>
                <w:left w:val="none" w:sz="0" w:space="0" w:color="auto"/>
                <w:bottom w:val="none" w:sz="0" w:space="0" w:color="auto"/>
                <w:right w:val="none" w:sz="0" w:space="0" w:color="auto"/>
              </w:divBdr>
            </w:div>
          </w:divsChild>
        </w:div>
        <w:div w:id="999118851">
          <w:marLeft w:val="0"/>
          <w:marRight w:val="0"/>
          <w:marTop w:val="0"/>
          <w:marBottom w:val="0"/>
          <w:divBdr>
            <w:top w:val="none" w:sz="0" w:space="0" w:color="auto"/>
            <w:left w:val="none" w:sz="0" w:space="0" w:color="auto"/>
            <w:bottom w:val="none" w:sz="0" w:space="0" w:color="auto"/>
            <w:right w:val="none" w:sz="0" w:space="0" w:color="auto"/>
          </w:divBdr>
          <w:divsChild>
            <w:div w:id="1970163859">
              <w:marLeft w:val="0"/>
              <w:marRight w:val="0"/>
              <w:marTop w:val="0"/>
              <w:marBottom w:val="0"/>
              <w:divBdr>
                <w:top w:val="none" w:sz="0" w:space="0" w:color="auto"/>
                <w:left w:val="none" w:sz="0" w:space="0" w:color="auto"/>
                <w:bottom w:val="none" w:sz="0" w:space="0" w:color="auto"/>
                <w:right w:val="none" w:sz="0" w:space="0" w:color="auto"/>
              </w:divBdr>
            </w:div>
          </w:divsChild>
        </w:div>
        <w:div w:id="1066414457">
          <w:marLeft w:val="0"/>
          <w:marRight w:val="0"/>
          <w:marTop w:val="0"/>
          <w:marBottom w:val="0"/>
          <w:divBdr>
            <w:top w:val="none" w:sz="0" w:space="0" w:color="auto"/>
            <w:left w:val="none" w:sz="0" w:space="0" w:color="auto"/>
            <w:bottom w:val="none" w:sz="0" w:space="0" w:color="auto"/>
            <w:right w:val="none" w:sz="0" w:space="0" w:color="auto"/>
          </w:divBdr>
          <w:divsChild>
            <w:div w:id="1578051728">
              <w:marLeft w:val="0"/>
              <w:marRight w:val="0"/>
              <w:marTop w:val="0"/>
              <w:marBottom w:val="0"/>
              <w:divBdr>
                <w:top w:val="none" w:sz="0" w:space="0" w:color="auto"/>
                <w:left w:val="none" w:sz="0" w:space="0" w:color="auto"/>
                <w:bottom w:val="none" w:sz="0" w:space="0" w:color="auto"/>
                <w:right w:val="none" w:sz="0" w:space="0" w:color="auto"/>
              </w:divBdr>
            </w:div>
          </w:divsChild>
        </w:div>
        <w:div w:id="1075127937">
          <w:marLeft w:val="0"/>
          <w:marRight w:val="0"/>
          <w:marTop w:val="0"/>
          <w:marBottom w:val="0"/>
          <w:divBdr>
            <w:top w:val="none" w:sz="0" w:space="0" w:color="auto"/>
            <w:left w:val="none" w:sz="0" w:space="0" w:color="auto"/>
            <w:bottom w:val="none" w:sz="0" w:space="0" w:color="auto"/>
            <w:right w:val="none" w:sz="0" w:space="0" w:color="auto"/>
          </w:divBdr>
          <w:divsChild>
            <w:div w:id="1784618631">
              <w:marLeft w:val="0"/>
              <w:marRight w:val="0"/>
              <w:marTop w:val="0"/>
              <w:marBottom w:val="0"/>
              <w:divBdr>
                <w:top w:val="none" w:sz="0" w:space="0" w:color="auto"/>
                <w:left w:val="none" w:sz="0" w:space="0" w:color="auto"/>
                <w:bottom w:val="none" w:sz="0" w:space="0" w:color="auto"/>
                <w:right w:val="none" w:sz="0" w:space="0" w:color="auto"/>
              </w:divBdr>
            </w:div>
          </w:divsChild>
        </w:div>
        <w:div w:id="1083181340">
          <w:marLeft w:val="0"/>
          <w:marRight w:val="0"/>
          <w:marTop w:val="0"/>
          <w:marBottom w:val="0"/>
          <w:divBdr>
            <w:top w:val="none" w:sz="0" w:space="0" w:color="auto"/>
            <w:left w:val="none" w:sz="0" w:space="0" w:color="auto"/>
            <w:bottom w:val="none" w:sz="0" w:space="0" w:color="auto"/>
            <w:right w:val="none" w:sz="0" w:space="0" w:color="auto"/>
          </w:divBdr>
          <w:divsChild>
            <w:div w:id="480124625">
              <w:marLeft w:val="0"/>
              <w:marRight w:val="0"/>
              <w:marTop w:val="0"/>
              <w:marBottom w:val="0"/>
              <w:divBdr>
                <w:top w:val="none" w:sz="0" w:space="0" w:color="auto"/>
                <w:left w:val="none" w:sz="0" w:space="0" w:color="auto"/>
                <w:bottom w:val="none" w:sz="0" w:space="0" w:color="auto"/>
                <w:right w:val="none" w:sz="0" w:space="0" w:color="auto"/>
              </w:divBdr>
            </w:div>
          </w:divsChild>
        </w:div>
        <w:div w:id="1182665599">
          <w:marLeft w:val="0"/>
          <w:marRight w:val="0"/>
          <w:marTop w:val="0"/>
          <w:marBottom w:val="0"/>
          <w:divBdr>
            <w:top w:val="none" w:sz="0" w:space="0" w:color="auto"/>
            <w:left w:val="none" w:sz="0" w:space="0" w:color="auto"/>
            <w:bottom w:val="none" w:sz="0" w:space="0" w:color="auto"/>
            <w:right w:val="none" w:sz="0" w:space="0" w:color="auto"/>
          </w:divBdr>
          <w:divsChild>
            <w:div w:id="1993290367">
              <w:marLeft w:val="0"/>
              <w:marRight w:val="0"/>
              <w:marTop w:val="0"/>
              <w:marBottom w:val="0"/>
              <w:divBdr>
                <w:top w:val="none" w:sz="0" w:space="0" w:color="auto"/>
                <w:left w:val="none" w:sz="0" w:space="0" w:color="auto"/>
                <w:bottom w:val="none" w:sz="0" w:space="0" w:color="auto"/>
                <w:right w:val="none" w:sz="0" w:space="0" w:color="auto"/>
              </w:divBdr>
            </w:div>
          </w:divsChild>
        </w:div>
        <w:div w:id="1317493616">
          <w:marLeft w:val="0"/>
          <w:marRight w:val="0"/>
          <w:marTop w:val="0"/>
          <w:marBottom w:val="0"/>
          <w:divBdr>
            <w:top w:val="none" w:sz="0" w:space="0" w:color="auto"/>
            <w:left w:val="none" w:sz="0" w:space="0" w:color="auto"/>
            <w:bottom w:val="none" w:sz="0" w:space="0" w:color="auto"/>
            <w:right w:val="none" w:sz="0" w:space="0" w:color="auto"/>
          </w:divBdr>
          <w:divsChild>
            <w:div w:id="1375886481">
              <w:marLeft w:val="0"/>
              <w:marRight w:val="0"/>
              <w:marTop w:val="0"/>
              <w:marBottom w:val="0"/>
              <w:divBdr>
                <w:top w:val="none" w:sz="0" w:space="0" w:color="auto"/>
                <w:left w:val="none" w:sz="0" w:space="0" w:color="auto"/>
                <w:bottom w:val="none" w:sz="0" w:space="0" w:color="auto"/>
                <w:right w:val="none" w:sz="0" w:space="0" w:color="auto"/>
              </w:divBdr>
            </w:div>
          </w:divsChild>
        </w:div>
        <w:div w:id="1450584577">
          <w:marLeft w:val="0"/>
          <w:marRight w:val="0"/>
          <w:marTop w:val="0"/>
          <w:marBottom w:val="0"/>
          <w:divBdr>
            <w:top w:val="none" w:sz="0" w:space="0" w:color="auto"/>
            <w:left w:val="none" w:sz="0" w:space="0" w:color="auto"/>
            <w:bottom w:val="none" w:sz="0" w:space="0" w:color="auto"/>
            <w:right w:val="none" w:sz="0" w:space="0" w:color="auto"/>
          </w:divBdr>
          <w:divsChild>
            <w:div w:id="339159776">
              <w:marLeft w:val="0"/>
              <w:marRight w:val="0"/>
              <w:marTop w:val="0"/>
              <w:marBottom w:val="0"/>
              <w:divBdr>
                <w:top w:val="none" w:sz="0" w:space="0" w:color="auto"/>
                <w:left w:val="none" w:sz="0" w:space="0" w:color="auto"/>
                <w:bottom w:val="none" w:sz="0" w:space="0" w:color="auto"/>
                <w:right w:val="none" w:sz="0" w:space="0" w:color="auto"/>
              </w:divBdr>
            </w:div>
          </w:divsChild>
        </w:div>
        <w:div w:id="1656446992">
          <w:marLeft w:val="0"/>
          <w:marRight w:val="0"/>
          <w:marTop w:val="0"/>
          <w:marBottom w:val="0"/>
          <w:divBdr>
            <w:top w:val="none" w:sz="0" w:space="0" w:color="auto"/>
            <w:left w:val="none" w:sz="0" w:space="0" w:color="auto"/>
            <w:bottom w:val="none" w:sz="0" w:space="0" w:color="auto"/>
            <w:right w:val="none" w:sz="0" w:space="0" w:color="auto"/>
          </w:divBdr>
          <w:divsChild>
            <w:div w:id="585575686">
              <w:marLeft w:val="0"/>
              <w:marRight w:val="0"/>
              <w:marTop w:val="0"/>
              <w:marBottom w:val="0"/>
              <w:divBdr>
                <w:top w:val="none" w:sz="0" w:space="0" w:color="auto"/>
                <w:left w:val="none" w:sz="0" w:space="0" w:color="auto"/>
                <w:bottom w:val="none" w:sz="0" w:space="0" w:color="auto"/>
                <w:right w:val="none" w:sz="0" w:space="0" w:color="auto"/>
              </w:divBdr>
            </w:div>
          </w:divsChild>
        </w:div>
        <w:div w:id="1721708103">
          <w:marLeft w:val="0"/>
          <w:marRight w:val="0"/>
          <w:marTop w:val="0"/>
          <w:marBottom w:val="0"/>
          <w:divBdr>
            <w:top w:val="none" w:sz="0" w:space="0" w:color="auto"/>
            <w:left w:val="none" w:sz="0" w:space="0" w:color="auto"/>
            <w:bottom w:val="none" w:sz="0" w:space="0" w:color="auto"/>
            <w:right w:val="none" w:sz="0" w:space="0" w:color="auto"/>
          </w:divBdr>
          <w:divsChild>
            <w:div w:id="257106272">
              <w:marLeft w:val="0"/>
              <w:marRight w:val="0"/>
              <w:marTop w:val="0"/>
              <w:marBottom w:val="0"/>
              <w:divBdr>
                <w:top w:val="none" w:sz="0" w:space="0" w:color="auto"/>
                <w:left w:val="none" w:sz="0" w:space="0" w:color="auto"/>
                <w:bottom w:val="none" w:sz="0" w:space="0" w:color="auto"/>
                <w:right w:val="none" w:sz="0" w:space="0" w:color="auto"/>
              </w:divBdr>
            </w:div>
          </w:divsChild>
        </w:div>
        <w:div w:id="1919560296">
          <w:marLeft w:val="0"/>
          <w:marRight w:val="0"/>
          <w:marTop w:val="0"/>
          <w:marBottom w:val="0"/>
          <w:divBdr>
            <w:top w:val="none" w:sz="0" w:space="0" w:color="auto"/>
            <w:left w:val="none" w:sz="0" w:space="0" w:color="auto"/>
            <w:bottom w:val="none" w:sz="0" w:space="0" w:color="auto"/>
            <w:right w:val="none" w:sz="0" w:space="0" w:color="auto"/>
          </w:divBdr>
          <w:divsChild>
            <w:div w:id="695813751">
              <w:marLeft w:val="0"/>
              <w:marRight w:val="0"/>
              <w:marTop w:val="0"/>
              <w:marBottom w:val="0"/>
              <w:divBdr>
                <w:top w:val="none" w:sz="0" w:space="0" w:color="auto"/>
                <w:left w:val="none" w:sz="0" w:space="0" w:color="auto"/>
                <w:bottom w:val="none" w:sz="0" w:space="0" w:color="auto"/>
                <w:right w:val="none" w:sz="0" w:space="0" w:color="auto"/>
              </w:divBdr>
            </w:div>
          </w:divsChild>
        </w:div>
        <w:div w:id="2084177035">
          <w:marLeft w:val="0"/>
          <w:marRight w:val="0"/>
          <w:marTop w:val="0"/>
          <w:marBottom w:val="0"/>
          <w:divBdr>
            <w:top w:val="none" w:sz="0" w:space="0" w:color="auto"/>
            <w:left w:val="none" w:sz="0" w:space="0" w:color="auto"/>
            <w:bottom w:val="none" w:sz="0" w:space="0" w:color="auto"/>
            <w:right w:val="none" w:sz="0" w:space="0" w:color="auto"/>
          </w:divBdr>
          <w:divsChild>
            <w:div w:id="141304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80122">
      <w:bodyDiv w:val="1"/>
      <w:marLeft w:val="0"/>
      <w:marRight w:val="0"/>
      <w:marTop w:val="0"/>
      <w:marBottom w:val="0"/>
      <w:divBdr>
        <w:top w:val="none" w:sz="0" w:space="0" w:color="auto"/>
        <w:left w:val="none" w:sz="0" w:space="0" w:color="auto"/>
        <w:bottom w:val="none" w:sz="0" w:space="0" w:color="auto"/>
        <w:right w:val="none" w:sz="0" w:space="0" w:color="auto"/>
      </w:divBdr>
    </w:div>
    <w:div w:id="1061250800">
      <w:bodyDiv w:val="1"/>
      <w:marLeft w:val="0"/>
      <w:marRight w:val="0"/>
      <w:marTop w:val="0"/>
      <w:marBottom w:val="0"/>
      <w:divBdr>
        <w:top w:val="none" w:sz="0" w:space="0" w:color="auto"/>
        <w:left w:val="none" w:sz="0" w:space="0" w:color="auto"/>
        <w:bottom w:val="none" w:sz="0" w:space="0" w:color="auto"/>
        <w:right w:val="none" w:sz="0" w:space="0" w:color="auto"/>
      </w:divBdr>
      <w:divsChild>
        <w:div w:id="364402928">
          <w:marLeft w:val="0"/>
          <w:marRight w:val="0"/>
          <w:marTop w:val="0"/>
          <w:marBottom w:val="0"/>
          <w:divBdr>
            <w:top w:val="none" w:sz="0" w:space="0" w:color="auto"/>
            <w:left w:val="none" w:sz="0" w:space="0" w:color="auto"/>
            <w:bottom w:val="none" w:sz="0" w:space="0" w:color="auto"/>
            <w:right w:val="none" w:sz="0" w:space="0" w:color="auto"/>
          </w:divBdr>
          <w:divsChild>
            <w:div w:id="1129979319">
              <w:marLeft w:val="0"/>
              <w:marRight w:val="0"/>
              <w:marTop w:val="0"/>
              <w:marBottom w:val="0"/>
              <w:divBdr>
                <w:top w:val="none" w:sz="0" w:space="0" w:color="auto"/>
                <w:left w:val="none" w:sz="0" w:space="0" w:color="auto"/>
                <w:bottom w:val="none" w:sz="0" w:space="0" w:color="auto"/>
                <w:right w:val="none" w:sz="0" w:space="0" w:color="auto"/>
              </w:divBdr>
            </w:div>
          </w:divsChild>
        </w:div>
        <w:div w:id="521938882">
          <w:marLeft w:val="0"/>
          <w:marRight w:val="0"/>
          <w:marTop w:val="0"/>
          <w:marBottom w:val="0"/>
          <w:divBdr>
            <w:top w:val="none" w:sz="0" w:space="0" w:color="auto"/>
            <w:left w:val="none" w:sz="0" w:space="0" w:color="auto"/>
            <w:bottom w:val="none" w:sz="0" w:space="0" w:color="auto"/>
            <w:right w:val="none" w:sz="0" w:space="0" w:color="auto"/>
          </w:divBdr>
          <w:divsChild>
            <w:div w:id="11660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19641">
      <w:bodyDiv w:val="1"/>
      <w:marLeft w:val="0"/>
      <w:marRight w:val="0"/>
      <w:marTop w:val="0"/>
      <w:marBottom w:val="0"/>
      <w:divBdr>
        <w:top w:val="none" w:sz="0" w:space="0" w:color="auto"/>
        <w:left w:val="none" w:sz="0" w:space="0" w:color="auto"/>
        <w:bottom w:val="none" w:sz="0" w:space="0" w:color="auto"/>
        <w:right w:val="none" w:sz="0" w:space="0" w:color="auto"/>
      </w:divBdr>
      <w:divsChild>
        <w:div w:id="1151170975">
          <w:marLeft w:val="0"/>
          <w:marRight w:val="0"/>
          <w:marTop w:val="0"/>
          <w:marBottom w:val="0"/>
          <w:divBdr>
            <w:top w:val="none" w:sz="0" w:space="0" w:color="auto"/>
            <w:left w:val="none" w:sz="0" w:space="0" w:color="auto"/>
            <w:bottom w:val="none" w:sz="0" w:space="0" w:color="auto"/>
            <w:right w:val="none" w:sz="0" w:space="0" w:color="auto"/>
          </w:divBdr>
          <w:divsChild>
            <w:div w:id="1216965314">
              <w:marLeft w:val="0"/>
              <w:marRight w:val="0"/>
              <w:marTop w:val="0"/>
              <w:marBottom w:val="0"/>
              <w:divBdr>
                <w:top w:val="none" w:sz="0" w:space="0" w:color="auto"/>
                <w:left w:val="none" w:sz="0" w:space="0" w:color="auto"/>
                <w:bottom w:val="none" w:sz="0" w:space="0" w:color="auto"/>
                <w:right w:val="none" w:sz="0" w:space="0" w:color="auto"/>
              </w:divBdr>
              <w:divsChild>
                <w:div w:id="1777209894">
                  <w:marLeft w:val="0"/>
                  <w:marRight w:val="0"/>
                  <w:marTop w:val="0"/>
                  <w:marBottom w:val="0"/>
                  <w:divBdr>
                    <w:top w:val="none" w:sz="0" w:space="0" w:color="auto"/>
                    <w:left w:val="none" w:sz="0" w:space="0" w:color="auto"/>
                    <w:bottom w:val="none" w:sz="0" w:space="0" w:color="auto"/>
                    <w:right w:val="none" w:sz="0" w:space="0" w:color="auto"/>
                  </w:divBdr>
                  <w:divsChild>
                    <w:div w:id="242686590">
                      <w:marLeft w:val="0"/>
                      <w:marRight w:val="0"/>
                      <w:marTop w:val="0"/>
                      <w:marBottom w:val="0"/>
                      <w:divBdr>
                        <w:top w:val="none" w:sz="0" w:space="0" w:color="auto"/>
                        <w:left w:val="none" w:sz="0" w:space="0" w:color="auto"/>
                        <w:bottom w:val="none" w:sz="0" w:space="0" w:color="auto"/>
                        <w:right w:val="none" w:sz="0" w:space="0" w:color="auto"/>
                      </w:divBdr>
                      <w:divsChild>
                        <w:div w:id="529496770">
                          <w:marLeft w:val="0"/>
                          <w:marRight w:val="0"/>
                          <w:marTop w:val="0"/>
                          <w:marBottom w:val="0"/>
                          <w:divBdr>
                            <w:top w:val="none" w:sz="0" w:space="0" w:color="auto"/>
                            <w:left w:val="none" w:sz="0" w:space="0" w:color="auto"/>
                            <w:bottom w:val="none" w:sz="0" w:space="0" w:color="auto"/>
                            <w:right w:val="none" w:sz="0" w:space="0" w:color="auto"/>
                          </w:divBdr>
                          <w:divsChild>
                            <w:div w:id="114723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064337">
          <w:marLeft w:val="0"/>
          <w:marRight w:val="0"/>
          <w:marTop w:val="0"/>
          <w:marBottom w:val="0"/>
          <w:divBdr>
            <w:top w:val="none" w:sz="0" w:space="0" w:color="auto"/>
            <w:left w:val="none" w:sz="0" w:space="0" w:color="auto"/>
            <w:bottom w:val="none" w:sz="0" w:space="0" w:color="auto"/>
            <w:right w:val="none" w:sz="0" w:space="0" w:color="auto"/>
          </w:divBdr>
          <w:divsChild>
            <w:div w:id="1062218697">
              <w:marLeft w:val="0"/>
              <w:marRight w:val="0"/>
              <w:marTop w:val="0"/>
              <w:marBottom w:val="0"/>
              <w:divBdr>
                <w:top w:val="none" w:sz="0" w:space="0" w:color="auto"/>
                <w:left w:val="none" w:sz="0" w:space="0" w:color="auto"/>
                <w:bottom w:val="none" w:sz="0" w:space="0" w:color="auto"/>
                <w:right w:val="none" w:sz="0" w:space="0" w:color="auto"/>
              </w:divBdr>
              <w:divsChild>
                <w:div w:id="1458794866">
                  <w:marLeft w:val="0"/>
                  <w:marRight w:val="0"/>
                  <w:marTop w:val="0"/>
                  <w:marBottom w:val="0"/>
                  <w:divBdr>
                    <w:top w:val="none" w:sz="0" w:space="0" w:color="auto"/>
                    <w:left w:val="none" w:sz="0" w:space="0" w:color="auto"/>
                    <w:bottom w:val="none" w:sz="0" w:space="0" w:color="auto"/>
                    <w:right w:val="none" w:sz="0" w:space="0" w:color="auto"/>
                  </w:divBdr>
                  <w:divsChild>
                    <w:div w:id="884409173">
                      <w:marLeft w:val="0"/>
                      <w:marRight w:val="0"/>
                      <w:marTop w:val="0"/>
                      <w:marBottom w:val="0"/>
                      <w:divBdr>
                        <w:top w:val="none" w:sz="0" w:space="0" w:color="auto"/>
                        <w:left w:val="none" w:sz="0" w:space="0" w:color="auto"/>
                        <w:bottom w:val="none" w:sz="0" w:space="0" w:color="auto"/>
                        <w:right w:val="none" w:sz="0" w:space="0" w:color="auto"/>
                      </w:divBdr>
                      <w:divsChild>
                        <w:div w:id="1499885127">
                          <w:marLeft w:val="0"/>
                          <w:marRight w:val="0"/>
                          <w:marTop w:val="0"/>
                          <w:marBottom w:val="0"/>
                          <w:divBdr>
                            <w:top w:val="none" w:sz="0" w:space="0" w:color="auto"/>
                            <w:left w:val="none" w:sz="0" w:space="0" w:color="auto"/>
                            <w:bottom w:val="none" w:sz="0" w:space="0" w:color="auto"/>
                            <w:right w:val="none" w:sz="0" w:space="0" w:color="auto"/>
                          </w:divBdr>
                          <w:divsChild>
                            <w:div w:id="1564636921">
                              <w:marLeft w:val="0"/>
                              <w:marRight w:val="0"/>
                              <w:marTop w:val="0"/>
                              <w:marBottom w:val="0"/>
                              <w:divBdr>
                                <w:top w:val="none" w:sz="0" w:space="0" w:color="auto"/>
                                <w:left w:val="none" w:sz="0" w:space="0" w:color="auto"/>
                                <w:bottom w:val="none" w:sz="0" w:space="0" w:color="auto"/>
                                <w:right w:val="none" w:sz="0" w:space="0" w:color="auto"/>
                              </w:divBdr>
                              <w:divsChild>
                                <w:div w:id="616720103">
                                  <w:marLeft w:val="0"/>
                                  <w:marRight w:val="0"/>
                                  <w:marTop w:val="0"/>
                                  <w:marBottom w:val="0"/>
                                  <w:divBdr>
                                    <w:top w:val="none" w:sz="0" w:space="0" w:color="auto"/>
                                    <w:left w:val="none" w:sz="0" w:space="0" w:color="auto"/>
                                    <w:bottom w:val="none" w:sz="0" w:space="0" w:color="auto"/>
                                    <w:right w:val="none" w:sz="0" w:space="0" w:color="auto"/>
                                  </w:divBdr>
                                  <w:divsChild>
                                    <w:div w:id="753472321">
                                      <w:marLeft w:val="0"/>
                                      <w:marRight w:val="0"/>
                                      <w:marTop w:val="0"/>
                                      <w:marBottom w:val="0"/>
                                      <w:divBdr>
                                        <w:top w:val="none" w:sz="0" w:space="0" w:color="auto"/>
                                        <w:left w:val="none" w:sz="0" w:space="0" w:color="auto"/>
                                        <w:bottom w:val="none" w:sz="0" w:space="0" w:color="auto"/>
                                        <w:right w:val="none" w:sz="0" w:space="0" w:color="auto"/>
                                      </w:divBdr>
                                      <w:divsChild>
                                        <w:div w:id="872770089">
                                          <w:marLeft w:val="0"/>
                                          <w:marRight w:val="0"/>
                                          <w:marTop w:val="0"/>
                                          <w:marBottom w:val="0"/>
                                          <w:divBdr>
                                            <w:top w:val="none" w:sz="0" w:space="0" w:color="auto"/>
                                            <w:left w:val="none" w:sz="0" w:space="0" w:color="auto"/>
                                            <w:bottom w:val="none" w:sz="0" w:space="0" w:color="auto"/>
                                            <w:right w:val="none" w:sz="0" w:space="0" w:color="auto"/>
                                          </w:divBdr>
                                          <w:divsChild>
                                            <w:div w:id="1041052774">
                                              <w:marLeft w:val="0"/>
                                              <w:marRight w:val="0"/>
                                              <w:marTop w:val="0"/>
                                              <w:marBottom w:val="0"/>
                                              <w:divBdr>
                                                <w:top w:val="none" w:sz="0" w:space="0" w:color="auto"/>
                                                <w:left w:val="none" w:sz="0" w:space="0" w:color="auto"/>
                                                <w:bottom w:val="none" w:sz="0" w:space="0" w:color="auto"/>
                                                <w:right w:val="none" w:sz="0" w:space="0" w:color="auto"/>
                                              </w:divBdr>
                                            </w:div>
                                          </w:divsChild>
                                        </w:div>
                                        <w:div w:id="1537615892">
                                          <w:marLeft w:val="0"/>
                                          <w:marRight w:val="0"/>
                                          <w:marTop w:val="0"/>
                                          <w:marBottom w:val="0"/>
                                          <w:divBdr>
                                            <w:top w:val="none" w:sz="0" w:space="0" w:color="auto"/>
                                            <w:left w:val="none" w:sz="0" w:space="0" w:color="auto"/>
                                            <w:bottom w:val="none" w:sz="0" w:space="0" w:color="auto"/>
                                            <w:right w:val="none" w:sz="0" w:space="0" w:color="auto"/>
                                          </w:divBdr>
                                          <w:divsChild>
                                            <w:div w:id="109536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469594">
                                  <w:marLeft w:val="0"/>
                                  <w:marRight w:val="0"/>
                                  <w:marTop w:val="0"/>
                                  <w:marBottom w:val="0"/>
                                  <w:divBdr>
                                    <w:top w:val="none" w:sz="0" w:space="0" w:color="auto"/>
                                    <w:left w:val="none" w:sz="0" w:space="0" w:color="auto"/>
                                    <w:bottom w:val="none" w:sz="0" w:space="0" w:color="auto"/>
                                    <w:right w:val="none" w:sz="0" w:space="0" w:color="auto"/>
                                  </w:divBdr>
                                  <w:divsChild>
                                    <w:div w:id="1856380024">
                                      <w:marLeft w:val="0"/>
                                      <w:marRight w:val="0"/>
                                      <w:marTop w:val="0"/>
                                      <w:marBottom w:val="0"/>
                                      <w:divBdr>
                                        <w:top w:val="none" w:sz="0" w:space="0" w:color="auto"/>
                                        <w:left w:val="none" w:sz="0" w:space="0" w:color="auto"/>
                                        <w:bottom w:val="none" w:sz="0" w:space="0" w:color="auto"/>
                                        <w:right w:val="none" w:sz="0" w:space="0" w:color="auto"/>
                                      </w:divBdr>
                                      <w:divsChild>
                                        <w:div w:id="1850098389">
                                          <w:marLeft w:val="0"/>
                                          <w:marRight w:val="0"/>
                                          <w:marTop w:val="0"/>
                                          <w:marBottom w:val="0"/>
                                          <w:divBdr>
                                            <w:top w:val="none" w:sz="0" w:space="0" w:color="auto"/>
                                            <w:left w:val="none" w:sz="0" w:space="0" w:color="auto"/>
                                            <w:bottom w:val="none" w:sz="0" w:space="0" w:color="auto"/>
                                            <w:right w:val="none" w:sz="0" w:space="0" w:color="auto"/>
                                          </w:divBdr>
                                          <w:divsChild>
                                            <w:div w:id="1104113204">
                                              <w:marLeft w:val="0"/>
                                              <w:marRight w:val="0"/>
                                              <w:marTop w:val="0"/>
                                              <w:marBottom w:val="0"/>
                                              <w:divBdr>
                                                <w:top w:val="none" w:sz="0" w:space="0" w:color="auto"/>
                                                <w:left w:val="none" w:sz="0" w:space="0" w:color="auto"/>
                                                <w:bottom w:val="none" w:sz="0" w:space="0" w:color="auto"/>
                                                <w:right w:val="none" w:sz="0" w:space="0" w:color="auto"/>
                                              </w:divBdr>
                                              <w:divsChild>
                                                <w:div w:id="82228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914997">
                                  <w:marLeft w:val="0"/>
                                  <w:marRight w:val="0"/>
                                  <w:marTop w:val="0"/>
                                  <w:marBottom w:val="0"/>
                                  <w:divBdr>
                                    <w:top w:val="none" w:sz="0" w:space="0" w:color="auto"/>
                                    <w:left w:val="none" w:sz="0" w:space="0" w:color="auto"/>
                                    <w:bottom w:val="none" w:sz="0" w:space="0" w:color="auto"/>
                                    <w:right w:val="none" w:sz="0" w:space="0" w:color="auto"/>
                                  </w:divBdr>
                                  <w:divsChild>
                                    <w:div w:id="570627833">
                                      <w:marLeft w:val="0"/>
                                      <w:marRight w:val="0"/>
                                      <w:marTop w:val="0"/>
                                      <w:marBottom w:val="0"/>
                                      <w:divBdr>
                                        <w:top w:val="none" w:sz="0" w:space="0" w:color="auto"/>
                                        <w:left w:val="none" w:sz="0" w:space="0" w:color="auto"/>
                                        <w:bottom w:val="none" w:sz="0" w:space="0" w:color="auto"/>
                                        <w:right w:val="none" w:sz="0" w:space="0" w:color="auto"/>
                                      </w:divBdr>
                                      <w:divsChild>
                                        <w:div w:id="927037893">
                                          <w:marLeft w:val="0"/>
                                          <w:marRight w:val="0"/>
                                          <w:marTop w:val="0"/>
                                          <w:marBottom w:val="0"/>
                                          <w:divBdr>
                                            <w:top w:val="none" w:sz="0" w:space="0" w:color="auto"/>
                                            <w:left w:val="none" w:sz="0" w:space="0" w:color="auto"/>
                                            <w:bottom w:val="none" w:sz="0" w:space="0" w:color="auto"/>
                                            <w:right w:val="none" w:sz="0" w:space="0" w:color="auto"/>
                                          </w:divBdr>
                                          <w:divsChild>
                                            <w:div w:id="1103301000">
                                              <w:marLeft w:val="0"/>
                                              <w:marRight w:val="0"/>
                                              <w:marTop w:val="0"/>
                                              <w:marBottom w:val="0"/>
                                              <w:divBdr>
                                                <w:top w:val="none" w:sz="0" w:space="0" w:color="auto"/>
                                                <w:left w:val="none" w:sz="0" w:space="0" w:color="auto"/>
                                                <w:bottom w:val="none" w:sz="0" w:space="0" w:color="auto"/>
                                                <w:right w:val="none" w:sz="0" w:space="0" w:color="auto"/>
                                              </w:divBdr>
                                              <w:divsChild>
                                                <w:div w:id="711804451">
                                                  <w:marLeft w:val="0"/>
                                                  <w:marRight w:val="0"/>
                                                  <w:marTop w:val="0"/>
                                                  <w:marBottom w:val="0"/>
                                                  <w:divBdr>
                                                    <w:top w:val="none" w:sz="0" w:space="0" w:color="auto"/>
                                                    <w:left w:val="none" w:sz="0" w:space="0" w:color="auto"/>
                                                    <w:bottom w:val="none" w:sz="0" w:space="0" w:color="auto"/>
                                                    <w:right w:val="none" w:sz="0" w:space="0" w:color="auto"/>
                                                  </w:divBdr>
                                                  <w:divsChild>
                                                    <w:div w:id="164882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4890</Words>
  <Characters>27878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patsodg@gmail.com</dc:creator>
  <cp:keywords/>
  <dc:description/>
  <cp:lastModifiedBy>patsodg@gmail.com</cp:lastModifiedBy>
  <cp:revision>2</cp:revision>
  <dcterms:created xsi:type="dcterms:W3CDTF">2025-11-17T13:47:00Z</dcterms:created>
  <dcterms:modified xsi:type="dcterms:W3CDTF">2025-11-17T13:47:00Z</dcterms:modified>
</cp:coreProperties>
</file>