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7A492B" w14:textId="7DB95F52" w:rsidR="00953C72" w:rsidRDefault="00953C72">
      <w:pPr>
        <w:rPr>
          <w:rFonts w:ascii="Calibri" w:hAnsi="Calibri" w:cs="Calibri"/>
          <w:b/>
          <w:bCs/>
          <w:sz w:val="28"/>
          <w:szCs w:val="28"/>
        </w:rPr>
      </w:pPr>
      <w:r w:rsidRPr="00953C72">
        <w:rPr>
          <w:rFonts w:ascii="Calibri" w:hAnsi="Calibri" w:cs="Calibri"/>
          <w:b/>
          <w:bCs/>
          <w:sz w:val="28"/>
          <w:szCs w:val="28"/>
        </w:rPr>
        <w:t>Navigating the Oral Frontier: Mechanistic Insights, Formulation Strategies, and Regulatory Pathways for Oral Peptide Delivery with a Focus on GLP</w:t>
      </w:r>
      <w:r w:rsidRPr="00953C72">
        <w:rPr>
          <w:rFonts w:ascii="Calibri" w:hAnsi="Calibri" w:cs="Calibri"/>
          <w:b/>
          <w:bCs/>
          <w:sz w:val="28"/>
          <w:szCs w:val="28"/>
        </w:rPr>
        <w:noBreakHyphen/>
        <w:t>1 Receptor Agonists</w:t>
      </w:r>
    </w:p>
    <w:p w14:paraId="7CFF4236" w14:textId="77777777" w:rsidR="00953C72" w:rsidRPr="00953C72" w:rsidRDefault="00953C72" w:rsidP="00953C72">
      <w:pPr>
        <w:rPr>
          <w:rFonts w:ascii="Times New Roman" w:hAnsi="Times New Roman" w:cs="Times New Roman"/>
          <w:b/>
          <w:bCs/>
        </w:rPr>
      </w:pPr>
      <w:r w:rsidRPr="00953C72">
        <w:rPr>
          <w:rFonts w:ascii="Times New Roman" w:hAnsi="Times New Roman" w:cs="Times New Roman"/>
          <w:b/>
          <w:bCs/>
        </w:rPr>
        <w:t>1. Introduction and Clinical Context</w:t>
      </w:r>
    </w:p>
    <w:p w14:paraId="679C0980" w14:textId="77777777" w:rsidR="00953C72" w:rsidRPr="00953C72" w:rsidRDefault="00953C72" w:rsidP="00953C72">
      <w:pPr>
        <w:numPr>
          <w:ilvl w:val="0"/>
          <w:numId w:val="11"/>
        </w:numPr>
        <w:rPr>
          <w:rFonts w:ascii="Times New Roman" w:hAnsi="Times New Roman" w:cs="Times New Roman"/>
        </w:rPr>
      </w:pPr>
      <w:r w:rsidRPr="00953C72">
        <w:rPr>
          <w:rFonts w:ascii="Times New Roman" w:hAnsi="Times New Roman" w:cs="Times New Roman"/>
        </w:rPr>
        <w:t>Global burden of type 2 diabetes and obesity; need for long</w:t>
      </w:r>
      <w:r w:rsidRPr="00953C72">
        <w:rPr>
          <w:rFonts w:ascii="Times New Roman" w:hAnsi="Times New Roman" w:cs="Times New Roman"/>
        </w:rPr>
        <w:noBreakHyphen/>
        <w:t>term incretin</w:t>
      </w:r>
      <w:r w:rsidRPr="00953C72">
        <w:rPr>
          <w:rFonts w:ascii="Times New Roman" w:hAnsi="Times New Roman" w:cs="Times New Roman"/>
        </w:rPr>
        <w:noBreakHyphen/>
        <w:t>based therapy.</w:t>
      </w:r>
    </w:p>
    <w:p w14:paraId="68256550" w14:textId="77777777" w:rsidR="00953C72" w:rsidRPr="00953C72" w:rsidRDefault="00953C72" w:rsidP="00953C72">
      <w:pPr>
        <w:numPr>
          <w:ilvl w:val="0"/>
          <w:numId w:val="11"/>
        </w:numPr>
        <w:rPr>
          <w:rFonts w:ascii="Times New Roman" w:hAnsi="Times New Roman" w:cs="Times New Roman"/>
        </w:rPr>
      </w:pPr>
      <w:r w:rsidRPr="00953C72">
        <w:rPr>
          <w:rFonts w:ascii="Times New Roman" w:hAnsi="Times New Roman" w:cs="Times New Roman"/>
        </w:rPr>
        <w:t>Evolution from injectable GLP</w:t>
      </w:r>
      <w:r w:rsidRPr="00953C72">
        <w:rPr>
          <w:rFonts w:ascii="Times New Roman" w:hAnsi="Times New Roman" w:cs="Times New Roman"/>
        </w:rPr>
        <w:noBreakHyphen/>
        <w:t>1 RAs to oral peptide therapies; patient and health</w:t>
      </w:r>
      <w:r w:rsidRPr="00953C72">
        <w:rPr>
          <w:rFonts w:ascii="Times New Roman" w:hAnsi="Times New Roman" w:cs="Times New Roman"/>
        </w:rPr>
        <w:noBreakHyphen/>
        <w:t>system drivers for oral dosage forms.</w:t>
      </w:r>
    </w:p>
    <w:p w14:paraId="7DACAAE4" w14:textId="77777777" w:rsidR="00953C72" w:rsidRPr="00953C72" w:rsidRDefault="00953C72" w:rsidP="00953C72">
      <w:pPr>
        <w:rPr>
          <w:rFonts w:ascii="Times New Roman" w:hAnsi="Times New Roman" w:cs="Times New Roman"/>
          <w:b/>
          <w:bCs/>
        </w:rPr>
      </w:pPr>
      <w:r w:rsidRPr="00953C72">
        <w:rPr>
          <w:rFonts w:ascii="Times New Roman" w:hAnsi="Times New Roman" w:cs="Times New Roman"/>
          <w:b/>
          <w:bCs/>
        </w:rPr>
        <w:t>2. GLP</w:t>
      </w:r>
      <w:r w:rsidRPr="00953C72">
        <w:rPr>
          <w:rFonts w:ascii="Times New Roman" w:hAnsi="Times New Roman" w:cs="Times New Roman"/>
          <w:b/>
          <w:bCs/>
        </w:rPr>
        <w:noBreakHyphen/>
        <w:t>1 Biology, Analogues, and Mechanism of Action</w:t>
      </w:r>
    </w:p>
    <w:p w14:paraId="6424DE31" w14:textId="77777777" w:rsidR="00953C72" w:rsidRPr="00953C72" w:rsidRDefault="00953C72" w:rsidP="00953C72">
      <w:pPr>
        <w:numPr>
          <w:ilvl w:val="0"/>
          <w:numId w:val="12"/>
        </w:numPr>
        <w:rPr>
          <w:rFonts w:ascii="Times New Roman" w:hAnsi="Times New Roman" w:cs="Times New Roman"/>
        </w:rPr>
      </w:pPr>
      <w:r w:rsidRPr="00953C72">
        <w:rPr>
          <w:rFonts w:ascii="Times New Roman" w:hAnsi="Times New Roman" w:cs="Times New Roman"/>
        </w:rPr>
        <w:t>Native GLP</w:t>
      </w:r>
      <w:r w:rsidRPr="00953C72">
        <w:rPr>
          <w:rFonts w:ascii="Times New Roman" w:hAnsi="Times New Roman" w:cs="Times New Roman"/>
        </w:rPr>
        <w:noBreakHyphen/>
        <w:t>1 physiology, receptor distribution, and rapid degradation (DPP</w:t>
      </w:r>
      <w:r w:rsidRPr="00953C72">
        <w:rPr>
          <w:rFonts w:ascii="Times New Roman" w:hAnsi="Times New Roman" w:cs="Times New Roman"/>
        </w:rPr>
        <w:noBreakHyphen/>
        <w:t>4, renal clearance).</w:t>
      </w:r>
    </w:p>
    <w:p w14:paraId="756CF742" w14:textId="77777777" w:rsidR="00953C72" w:rsidRPr="00953C72" w:rsidRDefault="00953C72" w:rsidP="00953C72">
      <w:pPr>
        <w:numPr>
          <w:ilvl w:val="0"/>
          <w:numId w:val="12"/>
        </w:numPr>
        <w:rPr>
          <w:rFonts w:ascii="Times New Roman" w:hAnsi="Times New Roman" w:cs="Times New Roman"/>
        </w:rPr>
      </w:pPr>
      <w:r w:rsidRPr="00953C72">
        <w:rPr>
          <w:rFonts w:ascii="Times New Roman" w:hAnsi="Times New Roman" w:cs="Times New Roman"/>
        </w:rPr>
        <w:t>Key GLP</w:t>
      </w:r>
      <w:r w:rsidRPr="00953C72">
        <w:rPr>
          <w:rFonts w:ascii="Times New Roman" w:hAnsi="Times New Roman" w:cs="Times New Roman"/>
        </w:rPr>
        <w:noBreakHyphen/>
        <w:t>1 analogues and related incretin agonists (liraglutide, semaglutide, tirzepatide, triple agonists) and their structural modifications (lipidation, backbone changes).</w:t>
      </w:r>
    </w:p>
    <w:p w14:paraId="705689AC" w14:textId="77777777" w:rsidR="00953C72" w:rsidRPr="00953C72" w:rsidRDefault="00953C72" w:rsidP="00953C72">
      <w:pPr>
        <w:numPr>
          <w:ilvl w:val="0"/>
          <w:numId w:val="12"/>
        </w:numPr>
        <w:rPr>
          <w:rFonts w:ascii="Times New Roman" w:hAnsi="Times New Roman" w:cs="Times New Roman"/>
        </w:rPr>
      </w:pPr>
      <w:r w:rsidRPr="00953C72">
        <w:rPr>
          <w:rFonts w:ascii="Times New Roman" w:hAnsi="Times New Roman" w:cs="Times New Roman"/>
        </w:rPr>
        <w:t>GLP</w:t>
      </w:r>
      <w:r w:rsidRPr="00953C72">
        <w:rPr>
          <w:rFonts w:ascii="Times New Roman" w:hAnsi="Times New Roman" w:cs="Times New Roman"/>
        </w:rPr>
        <w:noBreakHyphen/>
        <w:t xml:space="preserve">1 receptor </w:t>
      </w:r>
      <w:proofErr w:type="gramStart"/>
      <w:r w:rsidRPr="00953C72">
        <w:rPr>
          <w:rFonts w:ascii="Times New Roman" w:hAnsi="Times New Roman" w:cs="Times New Roman"/>
        </w:rPr>
        <w:t>signaling:</w:t>
      </w:r>
      <w:proofErr w:type="gramEnd"/>
      <w:r w:rsidRPr="00953C72">
        <w:rPr>
          <w:rFonts w:ascii="Times New Roman" w:hAnsi="Times New Roman" w:cs="Times New Roman"/>
        </w:rPr>
        <w:t xml:space="preserve"> effects on insulin/glucagon, gastric emptying, appetite, and extra</w:t>
      </w:r>
      <w:r w:rsidRPr="00953C72">
        <w:rPr>
          <w:rFonts w:ascii="Times New Roman" w:hAnsi="Times New Roman" w:cs="Times New Roman"/>
        </w:rPr>
        <w:noBreakHyphen/>
        <w:t>glycemic (CV, renal, neuro) benefits.</w:t>
      </w:r>
    </w:p>
    <w:p w14:paraId="42EC7E80" w14:textId="77777777" w:rsidR="00953C72" w:rsidRPr="00953C72" w:rsidRDefault="00953C72" w:rsidP="00953C72">
      <w:pPr>
        <w:rPr>
          <w:rFonts w:ascii="Times New Roman" w:hAnsi="Times New Roman" w:cs="Times New Roman"/>
          <w:b/>
          <w:bCs/>
        </w:rPr>
      </w:pPr>
      <w:r w:rsidRPr="00953C72">
        <w:rPr>
          <w:rFonts w:ascii="Times New Roman" w:hAnsi="Times New Roman" w:cs="Times New Roman"/>
          <w:b/>
          <w:bCs/>
        </w:rPr>
        <w:t>3. Biological Barriers and Delivery Challenges for Oral Peptides</w:t>
      </w:r>
    </w:p>
    <w:p w14:paraId="05BDC773" w14:textId="77777777" w:rsidR="00953C72" w:rsidRPr="00953C72" w:rsidRDefault="00953C72" w:rsidP="00953C72">
      <w:pPr>
        <w:numPr>
          <w:ilvl w:val="0"/>
          <w:numId w:val="13"/>
        </w:numPr>
        <w:rPr>
          <w:rFonts w:ascii="Times New Roman" w:hAnsi="Times New Roman" w:cs="Times New Roman"/>
        </w:rPr>
      </w:pPr>
      <w:r w:rsidRPr="00953C72">
        <w:rPr>
          <w:rFonts w:ascii="Times New Roman" w:hAnsi="Times New Roman" w:cs="Times New Roman"/>
        </w:rPr>
        <w:t>Gastrointestinal barriers: luminal pH, proteases, mucus, epithelial tight junctions, first</w:t>
      </w:r>
      <w:r w:rsidRPr="00953C72">
        <w:rPr>
          <w:rFonts w:ascii="Times New Roman" w:hAnsi="Times New Roman" w:cs="Times New Roman"/>
        </w:rPr>
        <w:noBreakHyphen/>
        <w:t>pass metabolism, and food effects.</w:t>
      </w:r>
    </w:p>
    <w:p w14:paraId="5C993D2D" w14:textId="77777777" w:rsidR="00953C72" w:rsidRPr="00953C72" w:rsidRDefault="00953C72" w:rsidP="00953C72">
      <w:pPr>
        <w:numPr>
          <w:ilvl w:val="0"/>
          <w:numId w:val="13"/>
        </w:numPr>
        <w:rPr>
          <w:rFonts w:ascii="Times New Roman" w:hAnsi="Times New Roman" w:cs="Times New Roman"/>
        </w:rPr>
      </w:pPr>
      <w:r w:rsidRPr="00953C72">
        <w:rPr>
          <w:rFonts w:ascii="Times New Roman" w:hAnsi="Times New Roman" w:cs="Times New Roman"/>
        </w:rPr>
        <w:t>Peptide</w:t>
      </w:r>
      <w:r w:rsidRPr="00953C72">
        <w:rPr>
          <w:rFonts w:ascii="Times New Roman" w:hAnsi="Times New Roman" w:cs="Times New Roman"/>
        </w:rPr>
        <w:noBreakHyphen/>
        <w:t>specific issues: size, charge, conformational stability, aggregation, low passive permeability, and variability in absorption.</w:t>
      </w:r>
    </w:p>
    <w:p w14:paraId="7DCCBC3D" w14:textId="77777777" w:rsidR="00953C72" w:rsidRPr="00953C72" w:rsidRDefault="00953C72" w:rsidP="00953C72">
      <w:pPr>
        <w:rPr>
          <w:rFonts w:ascii="Times New Roman" w:hAnsi="Times New Roman" w:cs="Times New Roman"/>
          <w:b/>
          <w:bCs/>
        </w:rPr>
      </w:pPr>
      <w:r w:rsidRPr="00953C72">
        <w:rPr>
          <w:rFonts w:ascii="Times New Roman" w:hAnsi="Times New Roman" w:cs="Times New Roman"/>
          <w:b/>
          <w:bCs/>
        </w:rPr>
        <w:t>4. Mechanistic Insights and Transport Pathways</w:t>
      </w:r>
    </w:p>
    <w:p w14:paraId="325E68A5" w14:textId="77777777" w:rsidR="00953C72" w:rsidRPr="00953C72" w:rsidRDefault="00953C72" w:rsidP="00953C72">
      <w:pPr>
        <w:numPr>
          <w:ilvl w:val="0"/>
          <w:numId w:val="14"/>
        </w:numPr>
        <w:rPr>
          <w:rFonts w:ascii="Times New Roman" w:hAnsi="Times New Roman" w:cs="Times New Roman"/>
        </w:rPr>
      </w:pPr>
      <w:r w:rsidRPr="00953C72">
        <w:rPr>
          <w:rFonts w:ascii="Times New Roman" w:hAnsi="Times New Roman" w:cs="Times New Roman"/>
        </w:rPr>
        <w:t>Physicochemical determinants of oral peptide uptake (hydrophobicity, charge distribution, secondary structure).</w:t>
      </w:r>
    </w:p>
    <w:p w14:paraId="6AE15EC6" w14:textId="77777777" w:rsidR="00953C72" w:rsidRPr="00953C72" w:rsidRDefault="00953C72" w:rsidP="00953C72">
      <w:pPr>
        <w:numPr>
          <w:ilvl w:val="0"/>
          <w:numId w:val="14"/>
        </w:numPr>
        <w:rPr>
          <w:rFonts w:ascii="Times New Roman" w:hAnsi="Times New Roman" w:cs="Times New Roman"/>
        </w:rPr>
      </w:pPr>
      <w:r w:rsidRPr="00953C72">
        <w:rPr>
          <w:rFonts w:ascii="Times New Roman" w:hAnsi="Times New Roman" w:cs="Times New Roman"/>
        </w:rPr>
        <w:t>Transcellular vs paracellular transport; receptor</w:t>
      </w:r>
      <w:r w:rsidRPr="00953C72">
        <w:rPr>
          <w:rFonts w:ascii="Times New Roman" w:hAnsi="Times New Roman" w:cs="Times New Roman"/>
        </w:rPr>
        <w:noBreakHyphen/>
        <w:t>/transporter</w:t>
      </w:r>
      <w:r w:rsidRPr="00953C72">
        <w:rPr>
          <w:rFonts w:ascii="Times New Roman" w:hAnsi="Times New Roman" w:cs="Times New Roman"/>
        </w:rPr>
        <w:noBreakHyphen/>
        <w:t>mediated uptake and potential for lymphatic transport.</w:t>
      </w:r>
    </w:p>
    <w:p w14:paraId="62FDD427" w14:textId="77777777" w:rsidR="00953C72" w:rsidRPr="00953C72" w:rsidRDefault="00953C72" w:rsidP="00953C72">
      <w:pPr>
        <w:numPr>
          <w:ilvl w:val="0"/>
          <w:numId w:val="14"/>
        </w:numPr>
        <w:rPr>
          <w:rFonts w:ascii="Times New Roman" w:hAnsi="Times New Roman" w:cs="Times New Roman"/>
        </w:rPr>
      </w:pPr>
      <w:r w:rsidRPr="00953C72">
        <w:rPr>
          <w:rFonts w:ascii="Times New Roman" w:hAnsi="Times New Roman" w:cs="Times New Roman"/>
        </w:rPr>
        <w:t>Region</w:t>
      </w:r>
      <w:r w:rsidRPr="00953C72">
        <w:rPr>
          <w:rFonts w:ascii="Times New Roman" w:hAnsi="Times New Roman" w:cs="Times New Roman"/>
        </w:rPr>
        <w:noBreakHyphen/>
        <w:t>specific absorption: stomach vs duodenum/jejunum vs distal intestine and implications for dosage form design.</w:t>
      </w:r>
    </w:p>
    <w:p w14:paraId="3EC0D0AF" w14:textId="77777777" w:rsidR="00953C72" w:rsidRPr="00953C72" w:rsidRDefault="00953C72" w:rsidP="00953C72">
      <w:pPr>
        <w:rPr>
          <w:rFonts w:ascii="Times New Roman" w:hAnsi="Times New Roman" w:cs="Times New Roman"/>
          <w:b/>
          <w:bCs/>
        </w:rPr>
      </w:pPr>
      <w:r w:rsidRPr="00953C72">
        <w:rPr>
          <w:rFonts w:ascii="Times New Roman" w:hAnsi="Times New Roman" w:cs="Times New Roman"/>
          <w:b/>
          <w:bCs/>
        </w:rPr>
        <w:t>5. Formulation and Dosage</w:t>
      </w:r>
      <w:r w:rsidRPr="00953C72">
        <w:rPr>
          <w:rFonts w:ascii="Times New Roman" w:hAnsi="Times New Roman" w:cs="Times New Roman"/>
          <w:b/>
          <w:bCs/>
        </w:rPr>
        <w:noBreakHyphen/>
        <w:t>Form Strategies: From Bench to Clinic</w:t>
      </w:r>
    </w:p>
    <w:p w14:paraId="06128E5D" w14:textId="77777777" w:rsidR="00953C72" w:rsidRPr="00953C72" w:rsidRDefault="00953C72" w:rsidP="00953C72">
      <w:pPr>
        <w:numPr>
          <w:ilvl w:val="0"/>
          <w:numId w:val="15"/>
        </w:numPr>
        <w:rPr>
          <w:rFonts w:ascii="Times New Roman" w:hAnsi="Times New Roman" w:cs="Times New Roman"/>
        </w:rPr>
      </w:pPr>
      <w:r w:rsidRPr="00953C72">
        <w:rPr>
          <w:rFonts w:ascii="Times New Roman" w:hAnsi="Times New Roman" w:cs="Times New Roman"/>
        </w:rPr>
        <w:t xml:space="preserve">Conventional oral peptide approaches: enteric coatings, protease inhibitors, mucoadhesive and </w:t>
      </w:r>
      <w:proofErr w:type="spellStart"/>
      <w:r w:rsidRPr="00953C72">
        <w:rPr>
          <w:rFonts w:ascii="Times New Roman" w:hAnsi="Times New Roman" w:cs="Times New Roman"/>
        </w:rPr>
        <w:t>gastroretentive</w:t>
      </w:r>
      <w:proofErr w:type="spellEnd"/>
      <w:r w:rsidRPr="00953C72">
        <w:rPr>
          <w:rFonts w:ascii="Times New Roman" w:hAnsi="Times New Roman" w:cs="Times New Roman"/>
        </w:rPr>
        <w:t xml:space="preserve"> systems.</w:t>
      </w:r>
    </w:p>
    <w:p w14:paraId="10EC2F86" w14:textId="77777777" w:rsidR="00953C72" w:rsidRPr="00953C72" w:rsidRDefault="00953C72" w:rsidP="00953C72">
      <w:pPr>
        <w:numPr>
          <w:ilvl w:val="0"/>
          <w:numId w:val="15"/>
        </w:numPr>
        <w:rPr>
          <w:rFonts w:ascii="Times New Roman" w:hAnsi="Times New Roman" w:cs="Times New Roman"/>
        </w:rPr>
      </w:pPr>
      <w:r w:rsidRPr="00953C72">
        <w:rPr>
          <w:rFonts w:ascii="Times New Roman" w:hAnsi="Times New Roman" w:cs="Times New Roman"/>
        </w:rPr>
        <w:t>Advanced platforms: lipid</w:t>
      </w:r>
      <w:r w:rsidRPr="00953C72">
        <w:rPr>
          <w:rFonts w:ascii="Times New Roman" w:hAnsi="Times New Roman" w:cs="Times New Roman"/>
        </w:rPr>
        <w:noBreakHyphen/>
        <w:t>based systems, polymeric nanoparticles and nano</w:t>
      </w:r>
      <w:r w:rsidRPr="00953C72">
        <w:rPr>
          <w:rFonts w:ascii="Times New Roman" w:hAnsi="Times New Roman" w:cs="Times New Roman"/>
        </w:rPr>
        <w:noBreakHyphen/>
        <w:t>in</w:t>
      </w:r>
      <w:r w:rsidRPr="00953C72">
        <w:rPr>
          <w:rFonts w:ascii="Times New Roman" w:hAnsi="Times New Roman" w:cs="Times New Roman"/>
        </w:rPr>
        <w:noBreakHyphen/>
        <w:t>micro, self</w:t>
      </w:r>
      <w:r w:rsidRPr="00953C72">
        <w:rPr>
          <w:rFonts w:ascii="Times New Roman" w:hAnsi="Times New Roman" w:cs="Times New Roman"/>
        </w:rPr>
        <w:noBreakHyphen/>
        <w:t>orienting and intestinal patch/needle devices.</w:t>
      </w:r>
    </w:p>
    <w:p w14:paraId="4FE7E1D3" w14:textId="77777777" w:rsidR="00953C72" w:rsidRPr="00953C72" w:rsidRDefault="00953C72" w:rsidP="00953C72">
      <w:pPr>
        <w:numPr>
          <w:ilvl w:val="0"/>
          <w:numId w:val="15"/>
        </w:numPr>
        <w:rPr>
          <w:rFonts w:ascii="Times New Roman" w:hAnsi="Times New Roman" w:cs="Times New Roman"/>
        </w:rPr>
      </w:pPr>
      <w:r w:rsidRPr="00953C72">
        <w:rPr>
          <w:rFonts w:ascii="Times New Roman" w:hAnsi="Times New Roman" w:cs="Times New Roman"/>
        </w:rPr>
        <w:lastRenderedPageBreak/>
        <w:t>Translational aspects: scale</w:t>
      </w:r>
      <w:r w:rsidRPr="00953C72">
        <w:rPr>
          <w:rFonts w:ascii="Times New Roman" w:hAnsi="Times New Roman" w:cs="Times New Roman"/>
        </w:rPr>
        <w:noBreakHyphen/>
        <w:t xml:space="preserve">up, manufacturability, stability (chemical and physical), and integration of PK/PD modeling and </w:t>
      </w:r>
      <w:proofErr w:type="spellStart"/>
      <w:r w:rsidRPr="00953C72">
        <w:rPr>
          <w:rFonts w:ascii="Times New Roman" w:hAnsi="Times New Roman" w:cs="Times New Roman"/>
        </w:rPr>
        <w:t>QbD</w:t>
      </w:r>
      <w:proofErr w:type="spellEnd"/>
      <w:r w:rsidRPr="00953C72">
        <w:rPr>
          <w:rFonts w:ascii="Times New Roman" w:hAnsi="Times New Roman" w:cs="Times New Roman"/>
        </w:rPr>
        <w:t xml:space="preserve"> principles.</w:t>
      </w:r>
    </w:p>
    <w:p w14:paraId="0DCF33B2" w14:textId="77777777" w:rsidR="00953C72" w:rsidRPr="00953C72" w:rsidRDefault="00953C72" w:rsidP="00953C72">
      <w:pPr>
        <w:rPr>
          <w:rFonts w:ascii="Times New Roman" w:hAnsi="Times New Roman" w:cs="Times New Roman"/>
          <w:b/>
          <w:bCs/>
        </w:rPr>
      </w:pPr>
      <w:r w:rsidRPr="00953C72">
        <w:rPr>
          <w:rFonts w:ascii="Times New Roman" w:hAnsi="Times New Roman" w:cs="Times New Roman"/>
          <w:b/>
          <w:bCs/>
        </w:rPr>
        <w:t>6. Permeation Enhancer Technologies</w:t>
      </w:r>
    </w:p>
    <w:p w14:paraId="60FEF78C" w14:textId="77777777" w:rsidR="00953C72" w:rsidRPr="00953C72" w:rsidRDefault="00953C72" w:rsidP="00953C72">
      <w:pPr>
        <w:numPr>
          <w:ilvl w:val="0"/>
          <w:numId w:val="16"/>
        </w:numPr>
        <w:rPr>
          <w:rFonts w:ascii="Times New Roman" w:hAnsi="Times New Roman" w:cs="Times New Roman"/>
        </w:rPr>
      </w:pPr>
      <w:r w:rsidRPr="00953C72">
        <w:rPr>
          <w:rFonts w:ascii="Times New Roman" w:hAnsi="Times New Roman" w:cs="Times New Roman"/>
        </w:rPr>
        <w:t>Major enhancer classes: SNAC, medium</w:t>
      </w:r>
      <w:r w:rsidRPr="00953C72">
        <w:rPr>
          <w:rFonts w:ascii="Times New Roman" w:hAnsi="Times New Roman" w:cs="Times New Roman"/>
        </w:rPr>
        <w:noBreakHyphen/>
        <w:t>chain fatty acids (e.g., C10), bile salts, surfactants, ionic liquids and deep eutectic systems.</w:t>
      </w:r>
    </w:p>
    <w:p w14:paraId="306BA56E" w14:textId="77777777" w:rsidR="00953C72" w:rsidRPr="00953C72" w:rsidRDefault="00953C72" w:rsidP="00953C72">
      <w:pPr>
        <w:numPr>
          <w:ilvl w:val="0"/>
          <w:numId w:val="16"/>
        </w:numPr>
        <w:rPr>
          <w:rFonts w:ascii="Times New Roman" w:hAnsi="Times New Roman" w:cs="Times New Roman"/>
        </w:rPr>
      </w:pPr>
      <w:r w:rsidRPr="00953C72">
        <w:rPr>
          <w:rFonts w:ascii="Times New Roman" w:hAnsi="Times New Roman" w:cs="Times New Roman"/>
        </w:rPr>
        <w:t>Mechanisms: membrane fluidization, tight</w:t>
      </w:r>
      <w:r w:rsidRPr="00953C72">
        <w:rPr>
          <w:rFonts w:ascii="Times New Roman" w:hAnsi="Times New Roman" w:cs="Times New Roman"/>
        </w:rPr>
        <w:noBreakHyphen/>
        <w:t>junction modulation, local pH effects, enzyme inhibition, ion</w:t>
      </w:r>
      <w:r w:rsidRPr="00953C72">
        <w:rPr>
          <w:rFonts w:ascii="Times New Roman" w:hAnsi="Times New Roman" w:cs="Times New Roman"/>
        </w:rPr>
        <w:noBreakHyphen/>
        <w:t>pairing.</w:t>
      </w:r>
    </w:p>
    <w:p w14:paraId="2CB63232" w14:textId="77777777" w:rsidR="00953C72" w:rsidRPr="00953C72" w:rsidRDefault="00953C72" w:rsidP="00953C72">
      <w:pPr>
        <w:numPr>
          <w:ilvl w:val="0"/>
          <w:numId w:val="16"/>
        </w:numPr>
        <w:rPr>
          <w:rFonts w:ascii="Times New Roman" w:hAnsi="Times New Roman" w:cs="Times New Roman"/>
        </w:rPr>
      </w:pPr>
      <w:r w:rsidRPr="00953C72">
        <w:rPr>
          <w:rFonts w:ascii="Times New Roman" w:hAnsi="Times New Roman" w:cs="Times New Roman"/>
        </w:rPr>
        <w:t>Design principles: local vs systemic action, reversibility and safety margins, chronic use considerations.</w:t>
      </w:r>
    </w:p>
    <w:p w14:paraId="64B07BB5" w14:textId="77777777" w:rsidR="00953C72" w:rsidRPr="00953C72" w:rsidRDefault="00953C72" w:rsidP="00953C72">
      <w:pPr>
        <w:rPr>
          <w:rFonts w:ascii="Times New Roman" w:hAnsi="Times New Roman" w:cs="Times New Roman"/>
          <w:b/>
          <w:bCs/>
        </w:rPr>
      </w:pPr>
      <w:r w:rsidRPr="00953C72">
        <w:rPr>
          <w:rFonts w:ascii="Times New Roman" w:hAnsi="Times New Roman" w:cs="Times New Roman"/>
          <w:b/>
          <w:bCs/>
        </w:rPr>
        <w:t>7. GLP</w:t>
      </w:r>
      <w:r w:rsidRPr="00953C72">
        <w:rPr>
          <w:rFonts w:ascii="Times New Roman" w:hAnsi="Times New Roman" w:cs="Times New Roman"/>
          <w:b/>
          <w:bCs/>
        </w:rPr>
        <w:noBreakHyphen/>
        <w:t>1 Receptor Agonists as a Case Study in Oral Delivery</w:t>
      </w:r>
    </w:p>
    <w:p w14:paraId="6186BCE6" w14:textId="77777777" w:rsidR="00953C72" w:rsidRPr="00953C72" w:rsidRDefault="00953C72" w:rsidP="00953C72">
      <w:pPr>
        <w:numPr>
          <w:ilvl w:val="0"/>
          <w:numId w:val="17"/>
        </w:numPr>
        <w:rPr>
          <w:rFonts w:ascii="Times New Roman" w:hAnsi="Times New Roman" w:cs="Times New Roman"/>
        </w:rPr>
      </w:pPr>
      <w:r w:rsidRPr="00953C72">
        <w:rPr>
          <w:rFonts w:ascii="Times New Roman" w:hAnsi="Times New Roman" w:cs="Times New Roman"/>
        </w:rPr>
        <w:t>Structural features of GLP</w:t>
      </w:r>
      <w:r w:rsidRPr="00953C72">
        <w:rPr>
          <w:rFonts w:ascii="Times New Roman" w:hAnsi="Times New Roman" w:cs="Times New Roman"/>
        </w:rPr>
        <w:noBreakHyphen/>
        <w:t>1 RAs that favor oral development (potency, half</w:t>
      </w:r>
      <w:r w:rsidRPr="00953C72">
        <w:rPr>
          <w:rFonts w:ascii="Times New Roman" w:hAnsi="Times New Roman" w:cs="Times New Roman"/>
        </w:rPr>
        <w:noBreakHyphen/>
        <w:t>life extension, stability).</w:t>
      </w:r>
    </w:p>
    <w:p w14:paraId="09099DD9" w14:textId="77777777" w:rsidR="00953C72" w:rsidRPr="00953C72" w:rsidRDefault="00953C72" w:rsidP="00953C72">
      <w:pPr>
        <w:numPr>
          <w:ilvl w:val="0"/>
          <w:numId w:val="17"/>
        </w:numPr>
        <w:rPr>
          <w:rFonts w:ascii="Times New Roman" w:hAnsi="Times New Roman" w:cs="Times New Roman"/>
        </w:rPr>
      </w:pPr>
      <w:r w:rsidRPr="00953C72">
        <w:rPr>
          <w:rFonts w:ascii="Times New Roman" w:hAnsi="Times New Roman" w:cs="Times New Roman"/>
        </w:rPr>
        <w:t>Oral semaglutide: tablet design, SNAC mechanism, gastric absorption window, PK/PD profile and clinical performance vs injectable GLP</w:t>
      </w:r>
      <w:r w:rsidRPr="00953C72">
        <w:rPr>
          <w:rFonts w:ascii="Times New Roman" w:hAnsi="Times New Roman" w:cs="Times New Roman"/>
        </w:rPr>
        <w:noBreakHyphen/>
        <w:t>1 RAs.</w:t>
      </w:r>
    </w:p>
    <w:p w14:paraId="50F93C96" w14:textId="77777777" w:rsidR="00953C72" w:rsidRPr="00953C72" w:rsidRDefault="00953C72" w:rsidP="00953C72">
      <w:pPr>
        <w:numPr>
          <w:ilvl w:val="0"/>
          <w:numId w:val="17"/>
        </w:numPr>
        <w:rPr>
          <w:rFonts w:ascii="Times New Roman" w:hAnsi="Times New Roman" w:cs="Times New Roman"/>
        </w:rPr>
      </w:pPr>
      <w:r w:rsidRPr="00953C72">
        <w:rPr>
          <w:rFonts w:ascii="Times New Roman" w:hAnsi="Times New Roman" w:cs="Times New Roman"/>
        </w:rPr>
        <w:t>Lessons from oral semaglutide for future oral incretin and peptide programs.</w:t>
      </w:r>
    </w:p>
    <w:p w14:paraId="04962D86" w14:textId="77777777" w:rsidR="00953C72" w:rsidRPr="00953C72" w:rsidRDefault="00953C72" w:rsidP="00953C72">
      <w:pPr>
        <w:rPr>
          <w:rFonts w:ascii="Times New Roman" w:hAnsi="Times New Roman" w:cs="Times New Roman"/>
          <w:b/>
          <w:bCs/>
        </w:rPr>
      </w:pPr>
      <w:r w:rsidRPr="00953C72">
        <w:rPr>
          <w:rFonts w:ascii="Times New Roman" w:hAnsi="Times New Roman" w:cs="Times New Roman"/>
          <w:b/>
          <w:bCs/>
        </w:rPr>
        <w:t>8. Clinical Trials of Oral GLP</w:t>
      </w:r>
      <w:r w:rsidRPr="00953C72">
        <w:rPr>
          <w:rFonts w:ascii="Times New Roman" w:hAnsi="Times New Roman" w:cs="Times New Roman"/>
          <w:b/>
          <w:bCs/>
        </w:rPr>
        <w:noBreakHyphen/>
        <w:t>1 Therapies</w:t>
      </w:r>
    </w:p>
    <w:p w14:paraId="105D17CB" w14:textId="77777777" w:rsidR="00953C72" w:rsidRPr="00953C72" w:rsidRDefault="00953C72" w:rsidP="00953C72">
      <w:pPr>
        <w:numPr>
          <w:ilvl w:val="0"/>
          <w:numId w:val="18"/>
        </w:numPr>
        <w:rPr>
          <w:rFonts w:ascii="Times New Roman" w:hAnsi="Times New Roman" w:cs="Times New Roman"/>
        </w:rPr>
      </w:pPr>
      <w:r w:rsidRPr="00953C72">
        <w:rPr>
          <w:rFonts w:ascii="Times New Roman" w:hAnsi="Times New Roman" w:cs="Times New Roman"/>
        </w:rPr>
        <w:t>Overview of pivotal phase II/III trials (e.g., PIONEER program): efficacy in glycemic control, weight loss, and CV/renal outcomes.</w:t>
      </w:r>
    </w:p>
    <w:p w14:paraId="5E667D5E" w14:textId="77777777" w:rsidR="00953C72" w:rsidRPr="00953C72" w:rsidRDefault="00953C72" w:rsidP="00953C72">
      <w:pPr>
        <w:numPr>
          <w:ilvl w:val="0"/>
          <w:numId w:val="18"/>
        </w:numPr>
        <w:rPr>
          <w:rFonts w:ascii="Times New Roman" w:hAnsi="Times New Roman" w:cs="Times New Roman"/>
        </w:rPr>
      </w:pPr>
      <w:r w:rsidRPr="00953C72">
        <w:rPr>
          <w:rFonts w:ascii="Times New Roman" w:hAnsi="Times New Roman" w:cs="Times New Roman"/>
        </w:rPr>
        <w:t>Safety and tolerability profile, including GI adverse events and adherence compared with injectables and other antidiabetic/anti</w:t>
      </w:r>
      <w:r w:rsidRPr="00953C72">
        <w:rPr>
          <w:rFonts w:ascii="Times New Roman" w:hAnsi="Times New Roman" w:cs="Times New Roman"/>
        </w:rPr>
        <w:noBreakHyphen/>
        <w:t>obesity agents.</w:t>
      </w:r>
    </w:p>
    <w:p w14:paraId="1CE468F3" w14:textId="77777777" w:rsidR="00953C72" w:rsidRPr="00953C72" w:rsidRDefault="00953C72" w:rsidP="00953C72">
      <w:pPr>
        <w:rPr>
          <w:rFonts w:ascii="Times New Roman" w:hAnsi="Times New Roman" w:cs="Times New Roman"/>
          <w:b/>
          <w:bCs/>
        </w:rPr>
      </w:pPr>
      <w:r w:rsidRPr="00953C72">
        <w:rPr>
          <w:rFonts w:ascii="Times New Roman" w:hAnsi="Times New Roman" w:cs="Times New Roman"/>
          <w:b/>
          <w:bCs/>
        </w:rPr>
        <w:t>9. Regulatory and Manufacturability Perspectives</w:t>
      </w:r>
    </w:p>
    <w:p w14:paraId="019AF80A" w14:textId="77777777" w:rsidR="00953C72" w:rsidRPr="00953C72" w:rsidRDefault="00953C72" w:rsidP="00953C72">
      <w:pPr>
        <w:numPr>
          <w:ilvl w:val="0"/>
          <w:numId w:val="19"/>
        </w:numPr>
        <w:rPr>
          <w:rFonts w:ascii="Times New Roman" w:hAnsi="Times New Roman" w:cs="Times New Roman"/>
        </w:rPr>
      </w:pPr>
      <w:r w:rsidRPr="00953C72">
        <w:rPr>
          <w:rFonts w:ascii="Times New Roman" w:hAnsi="Times New Roman" w:cs="Times New Roman"/>
        </w:rPr>
        <w:t>Regulatory expectations for oral peptide/enhancer products: GI safety, immunogenicity, variability, bioequivalence and exposure–response.</w:t>
      </w:r>
    </w:p>
    <w:p w14:paraId="312A4F3B" w14:textId="77777777" w:rsidR="00953C72" w:rsidRPr="00953C72" w:rsidRDefault="00953C72" w:rsidP="00953C72">
      <w:pPr>
        <w:numPr>
          <w:ilvl w:val="0"/>
          <w:numId w:val="19"/>
        </w:numPr>
        <w:rPr>
          <w:rFonts w:ascii="Times New Roman" w:hAnsi="Times New Roman" w:cs="Times New Roman"/>
        </w:rPr>
      </w:pPr>
      <w:r w:rsidRPr="00953C72">
        <w:rPr>
          <w:rFonts w:ascii="Times New Roman" w:hAnsi="Times New Roman" w:cs="Times New Roman"/>
        </w:rPr>
        <w:t>CMC and stability challenges for high</w:t>
      </w:r>
      <w:r w:rsidRPr="00953C72">
        <w:rPr>
          <w:rFonts w:ascii="Times New Roman" w:hAnsi="Times New Roman" w:cs="Times New Roman"/>
        </w:rPr>
        <w:noBreakHyphen/>
        <w:t>load peptide tablets with enhancers; control strategy and post</w:t>
      </w:r>
      <w:r w:rsidRPr="00953C72">
        <w:rPr>
          <w:rFonts w:ascii="Times New Roman" w:hAnsi="Times New Roman" w:cs="Times New Roman"/>
        </w:rPr>
        <w:noBreakHyphen/>
        <w:t>approval change management.</w:t>
      </w:r>
    </w:p>
    <w:p w14:paraId="3F2E5BBB" w14:textId="77777777" w:rsidR="00953C72" w:rsidRPr="00953C72" w:rsidRDefault="00953C72" w:rsidP="00953C72">
      <w:pPr>
        <w:rPr>
          <w:rFonts w:ascii="Times New Roman" w:hAnsi="Times New Roman" w:cs="Times New Roman"/>
          <w:b/>
          <w:bCs/>
        </w:rPr>
      </w:pPr>
      <w:r w:rsidRPr="00953C72">
        <w:rPr>
          <w:rFonts w:ascii="Times New Roman" w:hAnsi="Times New Roman" w:cs="Times New Roman"/>
          <w:b/>
          <w:bCs/>
        </w:rPr>
        <w:t>10. Safety, Tolerability, and Long</w:t>
      </w:r>
      <w:r w:rsidRPr="00953C72">
        <w:rPr>
          <w:rFonts w:ascii="Times New Roman" w:hAnsi="Times New Roman" w:cs="Times New Roman"/>
          <w:b/>
          <w:bCs/>
        </w:rPr>
        <w:noBreakHyphen/>
        <w:t>Term Use</w:t>
      </w:r>
    </w:p>
    <w:p w14:paraId="7081FD58" w14:textId="77777777" w:rsidR="00953C72" w:rsidRPr="00953C72" w:rsidRDefault="00953C72" w:rsidP="00953C72">
      <w:pPr>
        <w:numPr>
          <w:ilvl w:val="0"/>
          <w:numId w:val="20"/>
        </w:numPr>
        <w:rPr>
          <w:rFonts w:ascii="Times New Roman" w:hAnsi="Times New Roman" w:cs="Times New Roman"/>
        </w:rPr>
      </w:pPr>
      <w:r w:rsidRPr="00953C72">
        <w:rPr>
          <w:rFonts w:ascii="Times New Roman" w:hAnsi="Times New Roman" w:cs="Times New Roman"/>
        </w:rPr>
        <w:t>Local GI effects of permeation enhancers and high peptide doses: histology, barrier biomarkers, microbiome considerations.</w:t>
      </w:r>
    </w:p>
    <w:p w14:paraId="45E10A69" w14:textId="77777777" w:rsidR="00953C72" w:rsidRPr="00953C72" w:rsidRDefault="00953C72" w:rsidP="00953C72">
      <w:pPr>
        <w:numPr>
          <w:ilvl w:val="0"/>
          <w:numId w:val="20"/>
        </w:numPr>
        <w:rPr>
          <w:rFonts w:ascii="Times New Roman" w:hAnsi="Times New Roman" w:cs="Times New Roman"/>
        </w:rPr>
      </w:pPr>
      <w:r w:rsidRPr="00953C72">
        <w:rPr>
          <w:rFonts w:ascii="Times New Roman" w:hAnsi="Times New Roman" w:cs="Times New Roman"/>
        </w:rPr>
        <w:t>Immunogenicity and off</w:t>
      </w:r>
      <w:r w:rsidRPr="00953C72">
        <w:rPr>
          <w:rFonts w:ascii="Times New Roman" w:hAnsi="Times New Roman" w:cs="Times New Roman"/>
        </w:rPr>
        <w:noBreakHyphen/>
        <w:t>target barrier modulation with chronic therapy; risk–benefit thinking in metabolic disease populations.</w:t>
      </w:r>
    </w:p>
    <w:p w14:paraId="65593848" w14:textId="77777777" w:rsidR="00953C72" w:rsidRPr="00953C72" w:rsidRDefault="00953C72" w:rsidP="00953C72">
      <w:pPr>
        <w:rPr>
          <w:rFonts w:ascii="Times New Roman" w:hAnsi="Times New Roman" w:cs="Times New Roman"/>
          <w:b/>
          <w:bCs/>
        </w:rPr>
      </w:pPr>
      <w:r w:rsidRPr="00953C72">
        <w:rPr>
          <w:rFonts w:ascii="Times New Roman" w:hAnsi="Times New Roman" w:cs="Times New Roman"/>
          <w:b/>
          <w:bCs/>
        </w:rPr>
        <w:t>11. Emerging Tools and Future Prospects</w:t>
      </w:r>
    </w:p>
    <w:p w14:paraId="2AD10FB4" w14:textId="77777777" w:rsidR="00953C72" w:rsidRPr="00953C72" w:rsidRDefault="00953C72" w:rsidP="00953C72">
      <w:pPr>
        <w:numPr>
          <w:ilvl w:val="0"/>
          <w:numId w:val="21"/>
        </w:numPr>
        <w:rPr>
          <w:rFonts w:ascii="Times New Roman" w:hAnsi="Times New Roman" w:cs="Times New Roman"/>
        </w:rPr>
      </w:pPr>
      <w:r w:rsidRPr="00953C72">
        <w:rPr>
          <w:rFonts w:ascii="Times New Roman" w:hAnsi="Times New Roman" w:cs="Times New Roman"/>
        </w:rPr>
        <w:lastRenderedPageBreak/>
        <w:t>Next</w:t>
      </w:r>
      <w:r w:rsidRPr="00953C72">
        <w:rPr>
          <w:rFonts w:ascii="Times New Roman" w:hAnsi="Times New Roman" w:cs="Times New Roman"/>
        </w:rPr>
        <w:noBreakHyphen/>
        <w:t>generation oral GLP</w:t>
      </w:r>
      <w:r w:rsidRPr="00953C72">
        <w:rPr>
          <w:rFonts w:ascii="Times New Roman" w:hAnsi="Times New Roman" w:cs="Times New Roman"/>
        </w:rPr>
        <w:noBreakHyphen/>
        <w:t>1 platforms: dual/triple agonists, fixed</w:t>
      </w:r>
      <w:r w:rsidRPr="00953C72">
        <w:rPr>
          <w:rFonts w:ascii="Times New Roman" w:hAnsi="Times New Roman" w:cs="Times New Roman"/>
        </w:rPr>
        <w:noBreakHyphen/>
        <w:t>dose combinations, extended</w:t>
      </w:r>
      <w:r w:rsidRPr="00953C72">
        <w:rPr>
          <w:rFonts w:ascii="Times New Roman" w:hAnsi="Times New Roman" w:cs="Times New Roman"/>
        </w:rPr>
        <w:noBreakHyphen/>
        <w:t>release oral concepts.</w:t>
      </w:r>
    </w:p>
    <w:p w14:paraId="3154354C" w14:textId="77777777" w:rsidR="00953C72" w:rsidRPr="00953C72" w:rsidRDefault="00953C72" w:rsidP="00953C72">
      <w:pPr>
        <w:numPr>
          <w:ilvl w:val="0"/>
          <w:numId w:val="21"/>
        </w:numPr>
        <w:rPr>
          <w:rFonts w:ascii="Times New Roman" w:hAnsi="Times New Roman" w:cs="Times New Roman"/>
        </w:rPr>
      </w:pPr>
      <w:r w:rsidRPr="00953C72">
        <w:rPr>
          <w:rFonts w:ascii="Times New Roman" w:hAnsi="Times New Roman" w:cs="Times New Roman"/>
        </w:rPr>
        <w:t>Emerging technologies: AI/ML</w:t>
      </w:r>
      <w:r w:rsidRPr="00953C72">
        <w:rPr>
          <w:rFonts w:ascii="Times New Roman" w:hAnsi="Times New Roman" w:cs="Times New Roman"/>
        </w:rPr>
        <w:noBreakHyphen/>
        <w:t>guided formulation design, in silico and organ</w:t>
      </w:r>
      <w:r w:rsidRPr="00953C72">
        <w:rPr>
          <w:rFonts w:ascii="Times New Roman" w:hAnsi="Times New Roman" w:cs="Times New Roman"/>
        </w:rPr>
        <w:noBreakHyphen/>
        <w:t>on</w:t>
      </w:r>
      <w:r w:rsidRPr="00953C72">
        <w:rPr>
          <w:rFonts w:ascii="Times New Roman" w:hAnsi="Times New Roman" w:cs="Times New Roman"/>
        </w:rPr>
        <w:noBreakHyphen/>
        <w:t>chip models, microbiome</w:t>
      </w:r>
      <w:r w:rsidRPr="00953C72">
        <w:rPr>
          <w:rFonts w:ascii="Times New Roman" w:hAnsi="Times New Roman" w:cs="Times New Roman"/>
        </w:rPr>
        <w:noBreakHyphen/>
        <w:t>assisted delivery, smart oral devices.</w:t>
      </w:r>
    </w:p>
    <w:p w14:paraId="068D7456" w14:textId="77777777" w:rsidR="00953C72" w:rsidRDefault="00953C72" w:rsidP="00953C72">
      <w:pPr>
        <w:numPr>
          <w:ilvl w:val="0"/>
          <w:numId w:val="21"/>
        </w:numPr>
        <w:rPr>
          <w:rFonts w:ascii="Times New Roman" w:hAnsi="Times New Roman" w:cs="Times New Roman"/>
        </w:rPr>
      </w:pPr>
      <w:r w:rsidRPr="00953C72">
        <w:rPr>
          <w:rFonts w:ascii="Times New Roman" w:hAnsi="Times New Roman" w:cs="Times New Roman"/>
        </w:rPr>
        <w:t>Vision for personalized oral peptide therapy and how GLP</w:t>
      </w:r>
      <w:r w:rsidRPr="00953C72">
        <w:rPr>
          <w:rFonts w:ascii="Times New Roman" w:hAnsi="Times New Roman" w:cs="Times New Roman"/>
        </w:rPr>
        <w:noBreakHyphen/>
        <w:t>1 RAs may shape the broader oral biologics landscape.</w:t>
      </w:r>
    </w:p>
    <w:p w14:paraId="10C4A2A0" w14:textId="77777777" w:rsidR="00953C72" w:rsidRPr="00953C72" w:rsidRDefault="00953C72" w:rsidP="00953C72">
      <w:pPr>
        <w:ind w:left="720"/>
        <w:rPr>
          <w:rFonts w:ascii="Times New Roman" w:hAnsi="Times New Roman" w:cs="Times New Roman"/>
        </w:rPr>
      </w:pPr>
    </w:p>
    <w:p w14:paraId="1FD3D42D" w14:textId="77777777" w:rsidR="00953C72" w:rsidRPr="00953C72" w:rsidRDefault="00953C72">
      <w:pPr>
        <w:rPr>
          <w:rFonts w:ascii="Calibri" w:hAnsi="Calibri" w:cs="Calibri"/>
          <w:b/>
          <w:bCs/>
          <w:sz w:val="28"/>
          <w:szCs w:val="28"/>
        </w:rPr>
      </w:pPr>
    </w:p>
    <w:sectPr w:rsidR="00953C72" w:rsidRPr="00953C7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64FDE"/>
    <w:multiLevelType w:val="multilevel"/>
    <w:tmpl w:val="59163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6587BA1"/>
    <w:multiLevelType w:val="multilevel"/>
    <w:tmpl w:val="421ED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6BA2E24"/>
    <w:multiLevelType w:val="multilevel"/>
    <w:tmpl w:val="C0505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0F7133F"/>
    <w:multiLevelType w:val="multilevel"/>
    <w:tmpl w:val="2A3CC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1A52657"/>
    <w:multiLevelType w:val="multilevel"/>
    <w:tmpl w:val="E294D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3081E41"/>
    <w:multiLevelType w:val="multilevel"/>
    <w:tmpl w:val="AA68F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39C6179"/>
    <w:multiLevelType w:val="multilevel"/>
    <w:tmpl w:val="36FE1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44400AC"/>
    <w:multiLevelType w:val="multilevel"/>
    <w:tmpl w:val="E396B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71A397A"/>
    <w:multiLevelType w:val="multilevel"/>
    <w:tmpl w:val="89145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B0D4F1A"/>
    <w:multiLevelType w:val="multilevel"/>
    <w:tmpl w:val="CA662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B592790"/>
    <w:multiLevelType w:val="multilevel"/>
    <w:tmpl w:val="F1E46E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8097456"/>
    <w:multiLevelType w:val="multilevel"/>
    <w:tmpl w:val="B5DE8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3B6597F"/>
    <w:multiLevelType w:val="multilevel"/>
    <w:tmpl w:val="6700C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4B59639D"/>
    <w:multiLevelType w:val="multilevel"/>
    <w:tmpl w:val="ACDE6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238684A"/>
    <w:multiLevelType w:val="multilevel"/>
    <w:tmpl w:val="45A40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56F24770"/>
    <w:multiLevelType w:val="multilevel"/>
    <w:tmpl w:val="C0144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616D4E4C"/>
    <w:multiLevelType w:val="multilevel"/>
    <w:tmpl w:val="1F988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640B456D"/>
    <w:multiLevelType w:val="multilevel"/>
    <w:tmpl w:val="5E068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6C960776"/>
    <w:multiLevelType w:val="multilevel"/>
    <w:tmpl w:val="E2F67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71C55AD8"/>
    <w:multiLevelType w:val="multilevel"/>
    <w:tmpl w:val="B434A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77DA2537"/>
    <w:multiLevelType w:val="multilevel"/>
    <w:tmpl w:val="CB32F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345790238">
    <w:abstractNumId w:val="3"/>
  </w:num>
  <w:num w:numId="2" w16cid:durableId="958684047">
    <w:abstractNumId w:val="10"/>
  </w:num>
  <w:num w:numId="3" w16cid:durableId="1539582918">
    <w:abstractNumId w:val="13"/>
  </w:num>
  <w:num w:numId="4" w16cid:durableId="1290669598">
    <w:abstractNumId w:val="2"/>
  </w:num>
  <w:num w:numId="5" w16cid:durableId="259148655">
    <w:abstractNumId w:val="14"/>
  </w:num>
  <w:num w:numId="6" w16cid:durableId="805856086">
    <w:abstractNumId w:val="5"/>
  </w:num>
  <w:num w:numId="7" w16cid:durableId="491071521">
    <w:abstractNumId w:val="9"/>
  </w:num>
  <w:num w:numId="8" w16cid:durableId="2068646865">
    <w:abstractNumId w:val="12"/>
  </w:num>
  <w:num w:numId="9" w16cid:durableId="1854026437">
    <w:abstractNumId w:val="20"/>
  </w:num>
  <w:num w:numId="10" w16cid:durableId="319115721">
    <w:abstractNumId w:val="17"/>
  </w:num>
  <w:num w:numId="11" w16cid:durableId="128599073">
    <w:abstractNumId w:val="15"/>
  </w:num>
  <w:num w:numId="12" w16cid:durableId="1103573896">
    <w:abstractNumId w:val="16"/>
  </w:num>
  <w:num w:numId="13" w16cid:durableId="309794576">
    <w:abstractNumId w:val="8"/>
  </w:num>
  <w:num w:numId="14" w16cid:durableId="1787889896">
    <w:abstractNumId w:val="1"/>
  </w:num>
  <w:num w:numId="15" w16cid:durableId="1571771103">
    <w:abstractNumId w:val="18"/>
  </w:num>
  <w:num w:numId="16" w16cid:durableId="21057138">
    <w:abstractNumId w:val="19"/>
  </w:num>
  <w:num w:numId="17" w16cid:durableId="1888838729">
    <w:abstractNumId w:val="11"/>
  </w:num>
  <w:num w:numId="18" w16cid:durableId="874002695">
    <w:abstractNumId w:val="6"/>
  </w:num>
  <w:num w:numId="19" w16cid:durableId="1248659737">
    <w:abstractNumId w:val="0"/>
  </w:num>
  <w:num w:numId="20" w16cid:durableId="1249343706">
    <w:abstractNumId w:val="7"/>
  </w:num>
  <w:num w:numId="21" w16cid:durableId="10461049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3C72"/>
    <w:rsid w:val="00294FBF"/>
    <w:rsid w:val="00953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4916FF"/>
  <w15:chartTrackingRefBased/>
  <w15:docId w15:val="{E04A5BFA-D750-41FF-895E-03642E804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53C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53C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53C7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53C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53C7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53C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53C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53C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53C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53C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53C7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53C7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53C7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53C7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53C7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53C7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53C7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53C7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53C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53C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53C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53C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53C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53C7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53C7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53C7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53C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53C7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53C7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620</Words>
  <Characters>3537</Characters>
  <Application>Microsoft Office Word</Application>
  <DocSecurity>0</DocSecurity>
  <Lines>29</Lines>
  <Paragraphs>8</Paragraphs>
  <ScaleCrop>false</ScaleCrop>
  <Company/>
  <LinksUpToDate>false</LinksUpToDate>
  <CharactersWithSpaces>4149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Thirupathi reddy Anekalla Anekalla</dc:creator>
  <cp:keywords/>
  <dc:description/>
  <cp:lastModifiedBy>Thirupathi reddy Anekalla Anekalla</cp:lastModifiedBy>
  <cp:revision>2</cp:revision>
  <dcterms:created xsi:type="dcterms:W3CDTF">2025-12-04T21:20:00Z</dcterms:created>
  <dcterms:modified xsi:type="dcterms:W3CDTF">2025-12-04T21:30:00Z</dcterms:modified>
</cp:coreProperties>
</file>