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center"/>
        <w:rPr>
          <w:rFonts w:ascii="Times New Roman" w:cs="Times New Roman" w:eastAsia="Times New Roman" w:hAnsi="Times New Roman"/>
          <w:b w:val="1"/>
          <w:bCs w:val="1"/>
          <w:sz w:val="28"/>
          <w:szCs w:val="28"/>
        </w:rPr>
      </w:pPr>
      <w:bookmarkStart w:colFirst="0" w:colLast="0" w:name="_2adql7ty1fek" w:id="0"/>
      <w:bookmarkEnd w:id="0"/>
      <w:r w:rsidDel="00000000" w:rsidR="00000000" w:rsidRPr="00000000">
        <w:rPr>
          <w:rFonts w:ascii="Times New Roman" w:cs="Times New Roman" w:eastAsia="Times New Roman" w:hAnsi="Times New Roman"/>
          <w:b w:val="1"/>
          <w:bCs w:val="1"/>
          <w:sz w:val="28"/>
          <w:szCs w:val="28"/>
          <w:rtl w:val="0"/>
        </w:rPr>
        <w:t xml:space="preserve">Generative Life Agents: A Novel Framework for Persistent, Evolving Personas with Traceable Personality Drift</w:t>
      </w:r>
    </w:p>
    <w:p w:rsidR="00000000" w:rsidDel="00000000" w:rsidP="00000000" w:rsidRDefault="00000000" w:rsidRPr="00000000" w14:paraId="00000002">
      <w:pPr>
        <w:spacing w:after="240" w:before="24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Eeman Majumder</w:t>
      </w:r>
      <w:r w:rsidDel="00000000" w:rsidR="00000000" w:rsidRPr="00000000">
        <w:rPr>
          <w:rFonts w:ascii="Times New Roman" w:cs="Times New Roman" w:eastAsia="Times New Roman" w:hAnsi="Times New Roman"/>
          <w:rtl w:val="0"/>
        </w:rPr>
        <w:br w:type="textWrapping"/>
        <w:t xml:space="preserve"> </w:t>
      </w:r>
      <w:hyperlink r:id="rId6">
        <w:r w:rsidDel="00000000" w:rsidR="00000000" w:rsidRPr="00000000">
          <w:rPr>
            <w:rFonts w:ascii="Times New Roman" w:cs="Times New Roman" w:eastAsia="Times New Roman" w:hAnsi="Times New Roman"/>
            <w:i w:val="1"/>
            <w:iCs w:val="1"/>
            <w:color w:val="1155cc"/>
            <w:u w:val="single"/>
            <w:rtl w:val="0"/>
          </w:rPr>
          <w:t xml:space="preserve">Manuscripts.ai</w:t>
        </w:r>
      </w:hyperlink>
      <w:r w:rsidDel="00000000" w:rsidR="00000000" w:rsidRPr="00000000">
        <w:rPr>
          <w:rFonts w:ascii="Times New Roman" w:cs="Times New Roman" w:eastAsia="Times New Roman" w:hAnsi="Times New Roman"/>
          <w:i w:val="1"/>
          <w:iCs w:val="1"/>
          <w:rtl w:val="0"/>
        </w:rPr>
        <w:t xml:space="preserve"> </w:t>
      </w:r>
      <w:r w:rsidDel="00000000" w:rsidR="00000000" w:rsidRPr="00000000">
        <w:rPr>
          <w:rFonts w:ascii="Times New Roman" w:cs="Times New Roman" w:eastAsia="Times New Roman" w:hAnsi="Times New Roman"/>
          <w:rtl w:val="0"/>
        </w:rPr>
        <w:t xml:space="preserve"> </w:t>
      </w:r>
      <w:hyperlink r:id="rId7">
        <w:r w:rsidDel="00000000" w:rsidR="00000000" w:rsidRPr="00000000">
          <w:rPr>
            <w:rFonts w:ascii="Times New Roman" w:cs="Times New Roman" w:eastAsia="Times New Roman" w:hAnsi="Times New Roman"/>
            <w:color w:val="1155cc"/>
            <w:u w:val="single"/>
            <w:rtl w:val="0"/>
          </w:rPr>
          <w:t xml:space="preserve">eemanwithai@gmail.com</w:t>
        </w:r>
      </w:hyperlink>
      <w:r w:rsidDel="00000000" w:rsidR="00000000" w:rsidRPr="00000000">
        <w:rPr>
          <w:rtl w:val="0"/>
        </w:rPr>
      </w:r>
    </w:p>
    <w:p w:rsidR="00000000" w:rsidDel="00000000" w:rsidP="00000000" w:rsidRDefault="00000000" w:rsidRPr="00000000" w14:paraId="0000000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Abstract</w:t>
      </w:r>
      <w:r w:rsidDel="00000000" w:rsidR="00000000" w:rsidRPr="00000000">
        <w:rPr>
          <w:rFonts w:ascii="Times New Roman" w:cs="Times New Roman" w:eastAsia="Times New Roman" w:hAnsi="Times New Roman"/>
          <w:rtl w:val="0"/>
        </w:rPr>
        <w:t xml:space="preserve"> - The development of artificial agents with persistent, coherent identities that evolve believably over extended interactions remains a fundamental challenge in artificial intelligence. This paper introduces the Generative Life Agent (GLA) framework, a novel architecture addressing limitations in current generative agent systems. The GLA integrates a continuous operational cycle with an innovative "Reflect-Evolve" engine that provides explicit, traceable personality development through structured JSON updates. Built on a local-first technology stack using Ollama and ChromaDB, the framework prioritizes privacy, data sovereignty, and accessibility while grounding its design in Conway's Self-Memory System theory. A qualitative case study of "Sira," a simulated research student, demonstrates the framework's capacity for experience-driven evolution with transparent audit trails. The GLA advances artificial agent research by combining structured personality drift mechanisms, privacy-preserving architecture, and cognitive grounding to enable more dynamic, believable, and explainable artificial personas.</w:t>
      </w:r>
    </w:p>
    <w:p w:rsidR="00000000" w:rsidDel="00000000" w:rsidP="00000000" w:rsidRDefault="00000000" w:rsidRPr="00000000" w14:paraId="00000004">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Index Terms</w:t>
      </w:r>
      <w:r w:rsidDel="00000000" w:rsidR="00000000" w:rsidRPr="00000000">
        <w:rPr>
          <w:rFonts w:ascii="Times New Roman" w:cs="Times New Roman" w:eastAsia="Times New Roman" w:hAnsi="Times New Roman"/>
          <w:rtl w:val="0"/>
        </w:rPr>
        <w:t xml:space="preserve"> - Generative agents, local-first AI, personality computing, Self-Memory System</w:t>
      </w:r>
    </w:p>
    <w:p w:rsidR="00000000" w:rsidDel="00000000" w:rsidP="00000000" w:rsidRDefault="00000000" w:rsidRPr="00000000" w14:paraId="00000005">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3xgrzntbb4k8" w:id="1"/>
      <w:bookmarkEnd w:id="1"/>
      <w:r w:rsidDel="00000000" w:rsidR="00000000" w:rsidRPr="00000000">
        <w:rPr>
          <w:rFonts w:ascii="Times New Roman" w:cs="Times New Roman" w:eastAsia="Times New Roman" w:hAnsi="Times New Roman"/>
          <w:b w:val="1"/>
          <w:bCs w:val="1"/>
          <w:sz w:val="34"/>
          <w:szCs w:val="34"/>
          <w:rtl w:val="0"/>
        </w:rPr>
        <w:t xml:space="preserve">Introduction</w:t>
      </w:r>
    </w:p>
    <w:p w:rsidR="00000000" w:rsidDel="00000000" w:rsidP="00000000" w:rsidRDefault="00000000" w:rsidRPr="00000000" w14:paraId="0000000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Existing generative artificial agents often struggle with maintaining persistent, coherent identities and exhibiting believable evolution over long-term interactions. While Park et al.'s landmark work on Generative Agents demonstrated that Large Language Models could power simulacra with complex behaviors, these systems primarily excel at short-term interactions and lack structured mechanisms for deep, traceable personality development [1]. Many current models suffer from memory decay that undermines identity persistence, implicit evolution patterns that resist auditing, and static personas that fail to capture the dynamic nature of human psychological development.</w:t>
      </w:r>
    </w:p>
    <w:p w:rsidR="00000000" w:rsidDel="00000000" w:rsidP="00000000" w:rsidRDefault="00000000" w:rsidRPr="00000000" w14:paraId="0000000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research addresses these limitations by introducing the Generative Life Agent (GLA) framework, a novel architecture designed to create artificial agents with persistent identities and dynamically evolving personas. The framework makes three core contributions: </w:t>
      </w:r>
    </w:p>
    <w:p w:rsidR="00000000" w:rsidDel="00000000" w:rsidP="00000000" w:rsidRDefault="00000000" w:rsidRPr="00000000" w14:paraId="00000008">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a novel "Reflect-Evolve" engine providing explicit, traceable personality modification, </w:t>
        <w:br w:type="textWrapping"/>
        <w:t xml:space="preserve">(2) a local-first technology stack prioritizing privacy and accessibility, and </w:t>
        <w:br w:type="textWrapping"/>
        <w:t xml:space="preserve">(3) theoretical grounding in established cognitive science principles, particularly Conway's Self-Memory System [2].</w:t>
      </w:r>
    </w:p>
    <w:p w:rsidR="00000000" w:rsidDel="00000000" w:rsidP="00000000" w:rsidRDefault="00000000" w:rsidRPr="00000000" w14:paraId="00000009">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kw8ca9nrbbc2" w:id="2"/>
      <w:bookmarkEnd w:id="2"/>
      <w:r w:rsidDel="00000000" w:rsidR="00000000" w:rsidRPr="00000000">
        <w:rPr>
          <w:rFonts w:ascii="Times New Roman" w:cs="Times New Roman" w:eastAsia="Times New Roman" w:hAnsi="Times New Roman"/>
          <w:b w:val="1"/>
          <w:bCs w:val="1"/>
          <w:sz w:val="34"/>
          <w:szCs w:val="34"/>
          <w:rtl w:val="0"/>
        </w:rPr>
        <w:t xml:space="preserve">The Reflect-Evolve Engine: Core Innovation</w:t>
      </w:r>
    </w:p>
    <w:p w:rsidR="00000000" w:rsidDel="00000000" w:rsidP="00000000" w:rsidRDefault="00000000" w:rsidRPr="00000000" w14:paraId="0000000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primary innovation of the GLA framework is its dual-process "Reflect-Evolve" engine that fundamentally reimagines how artificial agents develop over time. This mechanism explicitly separates the synthesis of experiences into insights from the modification of core personality characteristics, creating a transparent and traceable pathway for persona evolution.</w:t>
      </w:r>
    </w:p>
    <w:p w:rsidR="00000000" w:rsidDel="00000000" w:rsidP="00000000" w:rsidRDefault="00000000" w:rsidRPr="00000000" w14:paraId="0000000B">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Reflect process operates periodically after a defined number of interaction cycles, synthesizing recent memories into higher-level insights analogous to human autobiographical memory consolidation. Following Conway's Self-Memory System theory, this reflection distills specific experiential knowledge into broader understanding, creating conceptual bridges between discrete events and personality-level changes [2]. When triggered, the agent reviews its accumulated memories and generates narrative summaries capturing emerging patterns, persistent challenges, evolving preferences, and significant learning moments.</w:t>
      </w:r>
    </w:p>
    <w:p w:rsidR="00000000" w:rsidDel="00000000" w:rsidP="00000000" w:rsidRDefault="00000000" w:rsidRPr="00000000" w14:paraId="0000000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Evolve mechanism represents the framework's most distinctive innovation. Operating as a meta-cognitive layer, this process employs a separate LLM instance functioning as an "AI analyzer" that parses reflections and generates structured JSON objects containing concrete modifications to the agent's core state. Unlike prior systems where personality drift occurs implicitly through memory accumulation, the GLA ensures changes are explicitly documented and traceable. The analyzer examines reflection content for indicators of genuine interest development, goal evolution, trait emergence, and shifting priorities, then outputs a structured update specification containing reasoning justification and specific state modifications to the agent's goals, interests, and personality traits.</w:t>
      </w:r>
    </w:p>
    <w:p w:rsidR="00000000" w:rsidDel="00000000" w:rsidP="00000000" w:rsidRDefault="00000000" w:rsidRPr="00000000" w14:paraId="0000000D">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kf2nrag0zs79" w:id="3"/>
      <w:bookmarkEnd w:id="3"/>
      <w:r w:rsidDel="00000000" w:rsidR="00000000" w:rsidRPr="00000000">
        <w:rPr>
          <w:rFonts w:ascii="Times New Roman" w:cs="Times New Roman" w:eastAsia="Times New Roman" w:hAnsi="Times New Roman"/>
          <w:b w:val="1"/>
          <w:bCs w:val="1"/>
          <w:sz w:val="34"/>
          <w:szCs w:val="34"/>
          <w:rtl w:val="0"/>
        </w:rPr>
        <w:t xml:space="preserve">Transparency and Explainability Mechanisms</w:t>
      </w:r>
    </w:p>
    <w:p w:rsidR="00000000" w:rsidDel="00000000" w:rsidP="00000000" w:rsidRDefault="00000000" w:rsidRPr="00000000" w14:paraId="0000000E">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Addressing critical concerns regarding the explainability of evolution steps, the framework implements multiple transparency mechanisms to transform traditionally opaque LLM-driven personality development into an interpretable system.</w:t>
      </w:r>
    </w:p>
    <w:p w:rsidR="00000000" w:rsidDel="00000000" w:rsidP="00000000" w:rsidRDefault="00000000" w:rsidRPr="00000000" w14:paraId="0000000F">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First, the AI analyzer generates explicit reasoning statements justifying each proposed change, creating a natural language audit trail linking state modifications to underlying experiences. These reasoning statements explain why specific changes are suggested based on reflection content, providing insight into the analyzer's interpretation of the agent's development.</w:t>
      </w:r>
    </w:p>
    <w:p w:rsidR="00000000" w:rsidDel="00000000" w:rsidP="00000000" w:rsidRDefault="00000000" w:rsidRPr="00000000" w14:paraId="00000010">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Second, the JSON output structure provides granular attribution, specifying whether changes represent additions, removals, or modifications to specific personality dimensions. This structured format enables systematic analysis of evolution patterns and facilitates debugging of unexpected behavioral shifts.</w:t>
      </w:r>
    </w:p>
    <w:p w:rsidR="00000000" w:rsidDel="00000000" w:rsidP="00000000" w:rsidRDefault="00000000" w:rsidRPr="00000000" w14:paraId="00000011">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Third, the system maintains a complete evolution log tracking the causal chain from base memories through reflections to state updates. This log enables retrospective analysis of developmental pathways, allowing researchers to trace any personality change back to its experiential origins. For instance, if an agent develops interest in "naval history," the log reveals which specific search activities, reflections, and analyzer decisions produced this evolution.</w:t>
      </w:r>
    </w:p>
    <w:p w:rsidR="00000000" w:rsidDel="00000000" w:rsidP="00000000" w:rsidRDefault="00000000" w:rsidRPr="00000000" w14:paraId="00000012">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validate the meaningfulness of these evolution steps, we propose a multi-layered evaluation approach. Quantitative tracking measures the magnitude, frequency, and diversity of state changes across extended simulation runs, identifying patterns of genuine development versus random drift. Manual audit trail analysis for selected evolution events confirms that changes trace back logically to specific experiential triggers. Human evaluators assess whether evolution appears psychologically plausible given the agent's history, rating coherence and believability on established scales [3]. Additionally, counterfactual analysis examines whether similar experiences consistently produce comparable evolution patterns, testing the mechanism's reliability.</w:t>
      </w:r>
    </w:p>
    <w:p w:rsidR="00000000" w:rsidDel="00000000" w:rsidP="00000000" w:rsidRDefault="00000000" w:rsidRPr="00000000" w14:paraId="00000013">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framework's explainability extends beyond individual evolution events to encompass systemic transparency. Users can query the agent about its current state, inspect the memory retrieval process to understand which past experiences inform present decisions, and examine reflection summaries to preview potential evolution trajectories before they manifest in state changes.</w:t>
      </w:r>
    </w:p>
    <w:p w:rsidR="00000000" w:rsidDel="00000000" w:rsidP="00000000" w:rsidRDefault="00000000" w:rsidRPr="00000000" w14:paraId="00000014">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6606ucf4tqf1" w:id="4"/>
      <w:bookmarkEnd w:id="4"/>
      <w:r w:rsidDel="00000000" w:rsidR="00000000" w:rsidRPr="00000000">
        <w:rPr>
          <w:rFonts w:ascii="Times New Roman" w:cs="Times New Roman" w:eastAsia="Times New Roman" w:hAnsi="Times New Roman"/>
          <w:b w:val="1"/>
          <w:bCs w:val="1"/>
          <w:sz w:val="34"/>
          <w:szCs w:val="34"/>
          <w:rtl w:val="0"/>
        </w:rPr>
        <w:t xml:space="preserve">Local-First Architecture: Privacy and Accessibility</w:t>
      </w:r>
    </w:p>
    <w:p w:rsidR="00000000" w:rsidDel="00000000" w:rsidP="00000000" w:rsidRDefault="00000000" w:rsidRPr="00000000" w14:paraId="00000015">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GLA framework's commitment to local-first implementation represents both a technical innovation and an ethical stance. By utilizing Ollama for local LLM execution and ChromaDB for persistent vector storage, the architecture ensures complete data sovereignty [4]. All memories, reflections, personality traits, and evolution history remain exclusively on the user's machine, eliminating privacy risks inherent in cloud-based AI services.</w:t>
      </w:r>
    </w:p>
    <w:p w:rsidR="00000000" w:rsidDel="00000000" w:rsidP="00000000" w:rsidRDefault="00000000" w:rsidRPr="00000000" w14:paraId="00000016">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design enables continuous operation independent of network connectivity, persistent storage without recurring costs, and complete user control over agent data lifecycle. The technology stack prioritizes accessibility and modularity. Ollama's support for running models like Gemma 3:12B on consumer hardware democratizes agent research, removing barriers associated with proprietary APIs or expensive infrastructure. ChromaDB provides efficient semantic search through vector embeddings, enabling sophisticated memory retrieval without specialized hardware [5]. LangChain orchestrates the complex workflow, managing prompt sequences and tool integration while maintaining clean abstraction layers.</w:t>
      </w:r>
    </w:p>
    <w:p w:rsidR="00000000" w:rsidDel="00000000" w:rsidP="00000000" w:rsidRDefault="00000000" w:rsidRPr="00000000" w14:paraId="00000017">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local-first approach addresses critical challenges in longitudinal agent research. Cloud-based systems face sustainability concerns regarding long-term data hosting, potential service discontinuation, and evolving privacy regulations. Local implementations ensure research continuity, enable offline experimentation, and provide researchers complete control over model selection, prompt engineering, and architectural modifications.</w:t>
      </w:r>
    </w:p>
    <w:p w:rsidR="00000000" w:rsidDel="00000000" w:rsidP="00000000" w:rsidRDefault="00000000" w:rsidRPr="00000000" w14:paraId="00000018">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ags5eqigp3se" w:id="5"/>
      <w:bookmarkEnd w:id="5"/>
      <w:r w:rsidDel="00000000" w:rsidR="00000000" w:rsidRPr="00000000">
        <w:rPr>
          <w:rFonts w:ascii="Times New Roman" w:cs="Times New Roman" w:eastAsia="Times New Roman" w:hAnsi="Times New Roman"/>
          <w:b w:val="1"/>
          <w:bCs w:val="1"/>
          <w:sz w:val="34"/>
          <w:szCs w:val="34"/>
          <w:rtl w:val="0"/>
        </w:rPr>
        <w:t xml:space="preserve">Cognitive Grounding and Case Study</w:t>
      </w:r>
    </w:p>
    <w:p w:rsidR="00000000" w:rsidDel="00000000" w:rsidP="00000000" w:rsidRDefault="00000000" w:rsidRPr="00000000" w14:paraId="00000019">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GLA architecture draws substantial inspiration from Conway's Self-Memory System, which conceptualizes autobiographical memory as a dynamic construction integrating experiential knowledge with current goals [2]. The Memory Stream implements this knowledge base, storing experiences as semantically searchable vectors that can be retrieved based on contextual relevance. The hierarchical organization implicit in vector similarity mirrors Conway's structure of lifetime periods, general events, and event-specific knowledge.</w:t>
      </w:r>
    </w:p>
    <w:p w:rsidR="00000000" w:rsidDel="00000000" w:rsidP="00000000" w:rsidRDefault="00000000" w:rsidRPr="00000000" w14:paraId="0000001A">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qualitative case study of "Sira," a simulated research student, demonstrates the framework's capabilities through concrete examples. Sira's evolution from a student focused on Punic Wars research to one developing genuine interest in naval history and ancient engineering illustrates how instrumental tool use (web search for paper research) can catalyze authentic interest development when mediated through reflection and evolution processes. This transformation is documented through explicit state changes traceable to specific reflections: after accumulating multiple "learning" events about Roman naval technology through web searches, Sira's reflection noted genuine fascination with engineering aspects, prompting the analyzer to add "naval history" and "ancient engineering" to her interests list with clear reasoning documentation.</w:t>
      </w:r>
    </w:p>
    <w:p w:rsidR="00000000" w:rsidDel="00000000" w:rsidP="00000000" w:rsidRDefault="00000000" w:rsidRPr="00000000" w14:paraId="0000001B">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nqhd718qu3fk" w:id="6"/>
      <w:bookmarkEnd w:id="6"/>
      <w:r w:rsidDel="00000000" w:rsidR="00000000" w:rsidRPr="00000000">
        <w:rPr>
          <w:rFonts w:ascii="Times New Roman" w:cs="Times New Roman" w:eastAsia="Times New Roman" w:hAnsi="Times New Roman"/>
          <w:b w:val="1"/>
          <w:bCs w:val="1"/>
          <w:sz w:val="34"/>
          <w:szCs w:val="34"/>
          <w:rtl w:val="0"/>
        </w:rPr>
        <w:t xml:space="preserve">Conclusion</w:t>
      </w:r>
    </w:p>
    <w:p w:rsidR="00000000" w:rsidDel="00000000" w:rsidP="00000000" w:rsidRDefault="00000000" w:rsidRPr="00000000" w14:paraId="0000001C">
      <w:pPr>
        <w:spacing w:after="240" w:before="24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Generative Life Agent framework advances artificial agent research by providing a structured, transparent, and theoretically grounded approach to personality development. Its innovations in traceable evolution, privacy-preserving architecture, and cognitive grounding collectively address critical limitations in existing systems. The explicit Reflect-Evolve mechanism transforms implicit personality drift into an auditable process with clear causal chains from experiences to personality changes. The local-first design democratizes access to agent research while maintaining rigorous privacy standards and enabling sustainable long-term studies. By grounding the architecture in established cognitive theory, the framework bridges artificial intelligence research with psychological principles of memory and identity formation. Future work will focus on longitudinal validation studies, enhanced explainability of the AI analyzer's reasoning, and scaling to multi-agent ecosystems. The GLA framework does not claim to create consciousness but rather explores computational mechanisms through which agents can build coherent, evolving identities from simulated experiences, contributing to the broader quest for more autonomous, understandable, and human-like artificial beings.</w:t>
      </w:r>
    </w:p>
    <w:p w:rsidR="00000000" w:rsidDel="00000000" w:rsidP="00000000" w:rsidRDefault="00000000" w:rsidRPr="00000000" w14:paraId="0000001D">
      <w:pPr>
        <w:pStyle w:val="Heading2"/>
        <w:keepNext w:val="0"/>
        <w:keepLines w:val="0"/>
        <w:spacing w:after="80" w:lineRule="auto"/>
        <w:rPr>
          <w:rFonts w:ascii="Times New Roman" w:cs="Times New Roman" w:eastAsia="Times New Roman" w:hAnsi="Times New Roman"/>
          <w:b w:val="1"/>
          <w:bCs w:val="1"/>
          <w:sz w:val="34"/>
          <w:szCs w:val="34"/>
        </w:rPr>
      </w:pPr>
      <w:bookmarkStart w:colFirst="0" w:colLast="0" w:name="_5eq8refi29bt" w:id="7"/>
      <w:bookmarkEnd w:id="7"/>
      <w:r w:rsidDel="00000000" w:rsidR="00000000" w:rsidRPr="00000000">
        <w:rPr>
          <w:rFonts w:ascii="Times New Roman" w:cs="Times New Roman" w:eastAsia="Times New Roman" w:hAnsi="Times New Roman"/>
          <w:b w:val="1"/>
          <w:bCs w:val="1"/>
          <w:sz w:val="34"/>
          <w:szCs w:val="34"/>
          <w:rtl w:val="0"/>
        </w:rPr>
        <w:t xml:space="preserve">References</w:t>
      </w:r>
    </w:p>
    <w:p w:rsidR="00000000" w:rsidDel="00000000" w:rsidP="00000000" w:rsidRDefault="00000000" w:rsidRPr="00000000" w14:paraId="0000001E">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[1] J. S. Park et al., "Generative agents: Interactive simulacra of human behavior," in </w:t>
      </w:r>
      <w:r w:rsidDel="00000000" w:rsidR="00000000" w:rsidRPr="00000000">
        <w:rPr>
          <w:rFonts w:ascii="Times New Roman" w:cs="Times New Roman" w:eastAsia="Times New Roman" w:hAnsi="Times New Roman"/>
          <w:i w:val="1"/>
          <w:iCs w:val="1"/>
          <w:rtl w:val="0"/>
        </w:rPr>
        <w:t xml:space="preserve">Proc. 36th Annu. ACM Symp. User Interface Softw. Technol.</w:t>
      </w:r>
      <w:r w:rsidDel="00000000" w:rsidR="00000000" w:rsidRPr="00000000">
        <w:rPr>
          <w:rFonts w:ascii="Times New Roman" w:cs="Times New Roman" w:eastAsia="Times New Roman" w:hAnsi="Times New Roman"/>
          <w:rtl w:val="0"/>
        </w:rPr>
        <w:t xml:space="preserve">, 2023, pp. 1-22. [Online]. Available:</w:t>
      </w:r>
      <w:hyperlink r:id="rId8">
        <w:r w:rsidDel="00000000" w:rsidR="00000000" w:rsidRPr="00000000">
          <w:rPr>
            <w:rFonts w:ascii="Times New Roman" w:cs="Times New Roman" w:eastAsia="Times New Roman" w:hAnsi="Times New Roman"/>
            <w:rtl w:val="0"/>
          </w:rPr>
          <w:t xml:space="preserve"> </w:t>
        </w:r>
      </w:hyperlink>
      <w:hyperlink r:id="rId9">
        <w:r w:rsidDel="00000000" w:rsidR="00000000" w:rsidRPr="00000000">
          <w:rPr>
            <w:rFonts w:ascii="Times New Roman" w:cs="Times New Roman" w:eastAsia="Times New Roman" w:hAnsi="Times New Roman"/>
            <w:color w:val="1155cc"/>
            <w:u w:val="single"/>
            <w:rtl w:val="0"/>
          </w:rPr>
          <w:t xml:space="preserve">https://dl.acm.org/doi/10.1145/3586183.3606763</w:t>
        </w:r>
      </w:hyperlink>
      <w:r w:rsidDel="00000000" w:rsidR="00000000" w:rsidRPr="00000000">
        <w:rPr>
          <w:rtl w:val="0"/>
        </w:rPr>
      </w:r>
    </w:p>
    <w:p w:rsidR="00000000" w:rsidDel="00000000" w:rsidP="00000000" w:rsidRDefault="00000000" w:rsidRPr="00000000" w14:paraId="0000001F">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[2] M. A. Conway and C. W. Pleydell-Pearce, "The construction of autobiographical memories in the self-memory system," </w:t>
      </w:r>
      <w:r w:rsidDel="00000000" w:rsidR="00000000" w:rsidRPr="00000000">
        <w:rPr>
          <w:rFonts w:ascii="Times New Roman" w:cs="Times New Roman" w:eastAsia="Times New Roman" w:hAnsi="Times New Roman"/>
          <w:i w:val="1"/>
          <w:iCs w:val="1"/>
          <w:rtl w:val="0"/>
        </w:rPr>
        <w:t xml:space="preserve">Psychol. Rev.</w:t>
      </w:r>
      <w:r w:rsidDel="00000000" w:rsidR="00000000" w:rsidRPr="00000000">
        <w:rPr>
          <w:rFonts w:ascii="Times New Roman" w:cs="Times New Roman" w:eastAsia="Times New Roman" w:hAnsi="Times New Roman"/>
          <w:rtl w:val="0"/>
        </w:rPr>
        <w:t xml:space="preserve">, vol. 107, no. 2, pp. 261-288, 2000. [Online]. Available:</w:t>
      </w:r>
      <w:hyperlink r:id="rId10">
        <w:r w:rsidDel="00000000" w:rsidR="00000000" w:rsidRPr="00000000">
          <w:rPr>
            <w:rFonts w:ascii="Times New Roman" w:cs="Times New Roman" w:eastAsia="Times New Roman" w:hAnsi="Times New Roman"/>
            <w:rtl w:val="0"/>
          </w:rPr>
          <w:t xml:space="preserve"> </w:t>
        </w:r>
      </w:hyperlink>
      <w:hyperlink r:id="rId11">
        <w:r w:rsidDel="00000000" w:rsidR="00000000" w:rsidRPr="00000000">
          <w:rPr>
            <w:rFonts w:ascii="Times New Roman" w:cs="Times New Roman" w:eastAsia="Times New Roman" w:hAnsi="Times New Roman"/>
            <w:color w:val="1155cc"/>
            <w:u w:val="single"/>
            <w:rtl w:val="0"/>
          </w:rPr>
          <w:t xml:space="preserve">https://www.researchgate.net/publication/12528554_The_Construction_of_Autobiographical_Memories_in_the_Self-Memory_System</w:t>
        </w:r>
      </w:hyperlink>
      <w:r w:rsidDel="00000000" w:rsidR="00000000" w:rsidRPr="00000000">
        <w:rPr>
          <w:rtl w:val="0"/>
        </w:rPr>
      </w:r>
    </w:p>
    <w:p w:rsidR="00000000" w:rsidDel="00000000" w:rsidP="00000000" w:rsidRDefault="00000000" w:rsidRPr="00000000" w14:paraId="00000020">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[3] G. Aher et al., "How far are we from believable AI agents? A framework for evaluating the believability of human behavior simulation," </w:t>
      </w:r>
      <w:r w:rsidDel="00000000" w:rsidR="00000000" w:rsidRPr="00000000">
        <w:rPr>
          <w:rFonts w:ascii="Times New Roman" w:cs="Times New Roman" w:eastAsia="Times New Roman" w:hAnsi="Times New Roman"/>
          <w:i w:val="1"/>
          <w:iCs w:val="1"/>
          <w:rtl w:val="0"/>
        </w:rPr>
        <w:t xml:space="preserve">arXiv preprint arXiv:2312.17115</w:t>
      </w:r>
      <w:r w:rsidDel="00000000" w:rsidR="00000000" w:rsidRPr="00000000">
        <w:rPr>
          <w:rFonts w:ascii="Times New Roman" w:cs="Times New Roman" w:eastAsia="Times New Roman" w:hAnsi="Times New Roman"/>
          <w:rtl w:val="0"/>
        </w:rPr>
        <w:t xml:space="preserve">, 2023. [Online]. Available:</w:t>
      </w:r>
      <w:hyperlink r:id="rId12">
        <w:r w:rsidDel="00000000" w:rsidR="00000000" w:rsidRPr="00000000">
          <w:rPr>
            <w:rFonts w:ascii="Times New Roman" w:cs="Times New Roman" w:eastAsia="Times New Roman" w:hAnsi="Times New Roman"/>
            <w:rtl w:val="0"/>
          </w:rPr>
          <w:t xml:space="preserve"> </w:t>
        </w:r>
      </w:hyperlink>
      <w:hyperlink r:id="rId13">
        <w:r w:rsidDel="00000000" w:rsidR="00000000" w:rsidRPr="00000000">
          <w:rPr>
            <w:rFonts w:ascii="Times New Roman" w:cs="Times New Roman" w:eastAsia="Times New Roman" w:hAnsi="Times New Roman"/>
            <w:color w:val="1155cc"/>
            <w:u w:val="single"/>
            <w:rtl w:val="0"/>
          </w:rPr>
          <w:t xml:space="preserve">https://arxiv.org/abs/2312.17115</w:t>
        </w:r>
      </w:hyperlink>
      <w:r w:rsidDel="00000000" w:rsidR="00000000" w:rsidRPr="00000000">
        <w:rPr>
          <w:rtl w:val="0"/>
        </w:rPr>
      </w:r>
    </w:p>
    <w:p w:rsidR="00000000" w:rsidDel="00000000" w:rsidP="00000000" w:rsidRDefault="00000000" w:rsidRPr="00000000" w14:paraId="00000021">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[4] BytePlus. (2025). Top 10 LLM tools to run models locally.</w:t>
      </w:r>
      <w:hyperlink r:id="rId14">
        <w:r w:rsidDel="00000000" w:rsidR="00000000" w:rsidRPr="00000000">
          <w:rPr>
            <w:rFonts w:ascii="Times New Roman" w:cs="Times New Roman" w:eastAsia="Times New Roman" w:hAnsi="Times New Roman"/>
            <w:rtl w:val="0"/>
          </w:rPr>
          <w:t xml:space="preserve"> </w:t>
        </w:r>
      </w:hyperlink>
      <w:hyperlink r:id="rId15">
        <w:r w:rsidDel="00000000" w:rsidR="00000000" w:rsidRPr="00000000">
          <w:rPr>
            <w:rFonts w:ascii="Times New Roman" w:cs="Times New Roman" w:eastAsia="Times New Roman" w:hAnsi="Times New Roman"/>
            <w:color w:val="1155cc"/>
            <w:u w:val="single"/>
            <w:rtl w:val="0"/>
          </w:rPr>
          <w:t xml:space="preserve">https://www.byteplus.com</w:t>
        </w:r>
      </w:hyperlink>
      <w:r w:rsidDel="00000000" w:rsidR="00000000" w:rsidRPr="00000000">
        <w:rPr>
          <w:rtl w:val="0"/>
        </w:rPr>
      </w:r>
    </w:p>
    <w:p w:rsidR="00000000" w:rsidDel="00000000" w:rsidP="00000000" w:rsidRDefault="00000000" w:rsidRPr="00000000" w14:paraId="00000022">
      <w:pPr>
        <w:spacing w:after="240" w:before="240" w:lineRule="auto"/>
        <w:rPr>
          <w:rFonts w:ascii="Times New Roman" w:cs="Times New Roman" w:eastAsia="Times New Roman" w:hAnsi="Times New Roman"/>
          <w:color w:val="1155cc"/>
          <w:u w:val="single"/>
        </w:rPr>
      </w:pPr>
      <w:r w:rsidDel="00000000" w:rsidR="00000000" w:rsidRPr="00000000">
        <w:rPr>
          <w:rFonts w:ascii="Times New Roman" w:cs="Times New Roman" w:eastAsia="Times New Roman" w:hAnsi="Times New Roman"/>
          <w:rtl w:val="0"/>
        </w:rPr>
        <w:t xml:space="preserve">[5] Chroma. (2025). Chroma documentation. [Online]. Available:</w:t>
      </w:r>
      <w:hyperlink r:id="rId16">
        <w:r w:rsidDel="00000000" w:rsidR="00000000" w:rsidRPr="00000000">
          <w:rPr>
            <w:rFonts w:ascii="Times New Roman" w:cs="Times New Roman" w:eastAsia="Times New Roman" w:hAnsi="Times New Roman"/>
            <w:rtl w:val="0"/>
          </w:rPr>
          <w:t xml:space="preserve"> </w:t>
        </w:r>
      </w:hyperlink>
      <w:hyperlink r:id="rId17">
        <w:r w:rsidDel="00000000" w:rsidR="00000000" w:rsidRPr="00000000">
          <w:rPr>
            <w:rFonts w:ascii="Times New Roman" w:cs="Times New Roman" w:eastAsia="Times New Roman" w:hAnsi="Times New Roman"/>
            <w:color w:val="1155cc"/>
            <w:u w:val="single"/>
            <w:rtl w:val="0"/>
          </w:rPr>
          <w:t xml:space="preserve">https://www.trychroma.com</w:t>
        </w:r>
      </w:hyperlink>
      <w:r w:rsidDel="00000000" w:rsidR="00000000" w:rsidRPr="00000000">
        <w:rPr>
          <w:rtl w:val="0"/>
        </w:rPr>
      </w:r>
    </w:p>
    <w:p w:rsidR="00000000" w:rsidDel="00000000" w:rsidP="00000000" w:rsidRDefault="00000000" w:rsidRPr="00000000" w14:paraId="00000023">
      <w:pPr>
        <w:spacing w:after="240" w:befor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4">
      <w:pPr>
        <w:rPr>
          <w:rFonts w:ascii="Times New Roman" w:cs="Times New Roman" w:eastAsia="Times New Roman" w:hAnsi="Times New Roman"/>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researchgate.net/publication/12528554_The_Construction_of_Autobiographical_Memories_in_the_Self-Memory_System" TargetMode="External"/><Relationship Id="rId10" Type="http://schemas.openxmlformats.org/officeDocument/2006/relationships/hyperlink" Target="https://www.researchgate.net/publication/12528554_The_Construction_of_Autobiographical_Memories_in_the_Self-Memory_System" TargetMode="External"/><Relationship Id="rId13" Type="http://schemas.openxmlformats.org/officeDocument/2006/relationships/hyperlink" Target="https://arxiv.org/abs/2312.17115" TargetMode="External"/><Relationship Id="rId12" Type="http://schemas.openxmlformats.org/officeDocument/2006/relationships/hyperlink" Target="https://arxiv.org/abs/2312.1711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l.acm.org/doi/10.1145/3586183.3606763" TargetMode="External"/><Relationship Id="rId15" Type="http://schemas.openxmlformats.org/officeDocument/2006/relationships/hyperlink" Target="https://www.byteplus.com" TargetMode="External"/><Relationship Id="rId14" Type="http://schemas.openxmlformats.org/officeDocument/2006/relationships/hyperlink" Target="https://www.byteplus.com" TargetMode="External"/><Relationship Id="rId17" Type="http://schemas.openxmlformats.org/officeDocument/2006/relationships/hyperlink" Target="https://www.trychroma.com" TargetMode="External"/><Relationship Id="rId16" Type="http://schemas.openxmlformats.org/officeDocument/2006/relationships/hyperlink" Target="https://www.trychroma.com" TargetMode="External"/><Relationship Id="rId5" Type="http://schemas.openxmlformats.org/officeDocument/2006/relationships/styles" Target="styles.xml"/><Relationship Id="rId6" Type="http://schemas.openxmlformats.org/officeDocument/2006/relationships/hyperlink" Target="http://manuscripts.ai" TargetMode="External"/><Relationship Id="rId7" Type="http://schemas.openxmlformats.org/officeDocument/2006/relationships/hyperlink" Target="mailto:eemanwithai@gmail.com" TargetMode="External"/><Relationship Id="rId8" Type="http://schemas.openxmlformats.org/officeDocument/2006/relationships/hyperlink" Target="https://dl.acm.org/doi/10.1145/3586183.36067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