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17BB7" w14:textId="77777777" w:rsidR="0066299D" w:rsidRPr="005D5AAC" w:rsidRDefault="0066299D" w:rsidP="0066299D">
      <w:pPr>
        <w:spacing w:line="360" w:lineRule="auto"/>
        <w:jc w:val="both"/>
        <w:rPr>
          <w:rFonts w:ascii="Times New Roman" w:hAnsi="Times New Roman" w:cs="Times New Roman"/>
          <w:b/>
          <w:bCs/>
          <w:sz w:val="24"/>
          <w:szCs w:val="24"/>
        </w:rPr>
      </w:pPr>
      <w:r w:rsidRPr="005D5AAC">
        <w:rPr>
          <w:rFonts w:ascii="Times New Roman" w:hAnsi="Times New Roman" w:cs="Times New Roman"/>
          <w:b/>
          <w:bCs/>
          <w:sz w:val="24"/>
          <w:szCs w:val="24"/>
        </w:rPr>
        <w:t xml:space="preserve">Chapter V: Women and Gender Lens </w:t>
      </w:r>
    </w:p>
    <w:p w14:paraId="0F0407C1" w14:textId="77777777" w:rsidR="0066299D" w:rsidRPr="005D5AAC" w:rsidRDefault="0066299D" w:rsidP="0066299D">
      <w:pPr>
        <w:spacing w:line="360" w:lineRule="auto"/>
        <w:jc w:val="both"/>
        <w:rPr>
          <w:rFonts w:ascii="Times New Roman" w:hAnsi="Times New Roman" w:cs="Times New Roman"/>
          <w:b/>
          <w:bCs/>
          <w:sz w:val="24"/>
          <w:szCs w:val="24"/>
        </w:rPr>
      </w:pPr>
      <w:r w:rsidRPr="005D5AAC">
        <w:rPr>
          <w:rFonts w:ascii="Times New Roman" w:hAnsi="Times New Roman" w:cs="Times New Roman"/>
          <w:b/>
          <w:bCs/>
          <w:sz w:val="24"/>
          <w:szCs w:val="24"/>
        </w:rPr>
        <w:t>Introduction</w:t>
      </w:r>
    </w:p>
    <w:p w14:paraId="28AA3CA6" w14:textId="77777777" w:rsidR="0066299D" w:rsidRPr="00F2299D" w:rsidRDefault="0066299D" w:rsidP="0066299D">
      <w:pPr>
        <w:spacing w:line="360" w:lineRule="auto"/>
        <w:jc w:val="both"/>
        <w:rPr>
          <w:rFonts w:ascii="Times New Roman" w:hAnsi="Times New Roman" w:cs="Times New Roman"/>
          <w:sz w:val="24"/>
          <w:szCs w:val="24"/>
          <w:highlight w:val="yellow"/>
        </w:rPr>
      </w:pPr>
      <w:r w:rsidRPr="00F2299D">
        <w:rPr>
          <w:rFonts w:ascii="Times New Roman" w:hAnsi="Times New Roman" w:cs="Times New Roman"/>
          <w:sz w:val="24"/>
          <w:szCs w:val="24"/>
          <w:highlight w:val="yellow"/>
        </w:rPr>
        <w:t xml:space="preserve">The Government of India's Women and Child Development is one of the powerful arms of the government, working to empower young women and safeguard children’s rights. Its programmes focus on enabling and protecting women across multiple dimensions. This chapter examines various state-led interventions, focusing on rights, accessibility, and exclusion issues through a gender lens. </w:t>
      </w:r>
    </w:p>
    <w:tbl>
      <w:tblPr>
        <w:tblStyle w:val="TableGrid"/>
        <w:tblW w:w="0" w:type="auto"/>
        <w:tblLook w:val="04A0" w:firstRow="1" w:lastRow="0" w:firstColumn="1" w:lastColumn="0" w:noHBand="0" w:noVBand="1"/>
      </w:tblPr>
      <w:tblGrid>
        <w:gridCol w:w="9016"/>
      </w:tblGrid>
      <w:tr w:rsidR="0066299D" w:rsidRPr="00F2299D" w14:paraId="6ED42814" w14:textId="77777777" w:rsidTr="009B3C28">
        <w:tc>
          <w:tcPr>
            <w:tcW w:w="9016" w:type="dxa"/>
          </w:tcPr>
          <w:p w14:paraId="25E5755D" w14:textId="77777777" w:rsidR="0066299D" w:rsidRPr="00F2299D" w:rsidRDefault="0066299D" w:rsidP="009B3C28">
            <w:pPr>
              <w:pStyle w:val="Caption"/>
              <w:rPr>
                <w:rFonts w:ascii="Times New Roman" w:hAnsi="Times New Roman" w:cs="Times New Roman"/>
                <w:b/>
                <w:bCs/>
                <w:i w:val="0"/>
                <w:iCs w:val="0"/>
                <w:sz w:val="24"/>
                <w:szCs w:val="24"/>
                <w:highlight w:val="yellow"/>
              </w:rPr>
            </w:pPr>
            <w:bookmarkStart w:id="0" w:name="_Toc208786711"/>
            <w:r w:rsidRPr="00F2299D">
              <w:rPr>
                <w:rFonts w:ascii="Times New Roman" w:hAnsi="Times New Roman" w:cs="Times New Roman"/>
                <w:b/>
                <w:bCs/>
                <w:i w:val="0"/>
                <w:iCs w:val="0"/>
                <w:sz w:val="24"/>
                <w:szCs w:val="24"/>
                <w:highlight w:val="yellow"/>
              </w:rPr>
              <w:t xml:space="preserve">Figure </w:t>
            </w:r>
            <w:r w:rsidRPr="00F2299D">
              <w:rPr>
                <w:rFonts w:ascii="Times New Roman" w:hAnsi="Times New Roman" w:cs="Times New Roman"/>
                <w:b/>
                <w:bCs/>
                <w:i w:val="0"/>
                <w:iCs w:val="0"/>
                <w:sz w:val="24"/>
                <w:szCs w:val="24"/>
                <w:highlight w:val="yellow"/>
              </w:rPr>
              <w:fldChar w:fldCharType="begin"/>
            </w:r>
            <w:r w:rsidRPr="00F2299D">
              <w:rPr>
                <w:rFonts w:ascii="Times New Roman" w:hAnsi="Times New Roman" w:cs="Times New Roman"/>
                <w:b/>
                <w:bCs/>
                <w:i w:val="0"/>
                <w:iCs w:val="0"/>
                <w:sz w:val="24"/>
                <w:szCs w:val="24"/>
                <w:highlight w:val="yellow"/>
              </w:rPr>
              <w:instrText xml:space="preserve"> SEQ Figure \* ARABIC </w:instrText>
            </w:r>
            <w:r w:rsidRPr="00F2299D">
              <w:rPr>
                <w:rFonts w:ascii="Times New Roman" w:hAnsi="Times New Roman" w:cs="Times New Roman"/>
                <w:b/>
                <w:bCs/>
                <w:i w:val="0"/>
                <w:iCs w:val="0"/>
                <w:sz w:val="24"/>
                <w:szCs w:val="24"/>
                <w:highlight w:val="yellow"/>
              </w:rPr>
              <w:fldChar w:fldCharType="separate"/>
            </w:r>
            <w:r w:rsidRPr="00F2299D">
              <w:rPr>
                <w:rFonts w:ascii="Times New Roman" w:hAnsi="Times New Roman" w:cs="Times New Roman"/>
                <w:b/>
                <w:bCs/>
                <w:i w:val="0"/>
                <w:iCs w:val="0"/>
                <w:noProof/>
                <w:sz w:val="24"/>
                <w:szCs w:val="24"/>
                <w:highlight w:val="yellow"/>
              </w:rPr>
              <w:t>11</w:t>
            </w:r>
            <w:r w:rsidRPr="00F2299D">
              <w:rPr>
                <w:rFonts w:ascii="Times New Roman" w:hAnsi="Times New Roman" w:cs="Times New Roman"/>
                <w:b/>
                <w:bCs/>
                <w:i w:val="0"/>
                <w:iCs w:val="0"/>
                <w:sz w:val="24"/>
                <w:szCs w:val="24"/>
                <w:highlight w:val="yellow"/>
              </w:rPr>
              <w:fldChar w:fldCharType="end"/>
            </w:r>
            <w:r w:rsidRPr="00F2299D">
              <w:rPr>
                <w:rFonts w:ascii="Times New Roman" w:hAnsi="Times New Roman" w:cs="Times New Roman"/>
                <w:b/>
                <w:bCs/>
                <w:i w:val="0"/>
                <w:iCs w:val="0"/>
                <w:sz w:val="24"/>
                <w:szCs w:val="24"/>
                <w:highlight w:val="yellow"/>
              </w:rPr>
              <w:t>. Schemes for Young Women &amp; Children</w:t>
            </w:r>
            <w:bookmarkEnd w:id="0"/>
          </w:p>
        </w:tc>
      </w:tr>
      <w:tr w:rsidR="0066299D" w:rsidRPr="00F2299D" w14:paraId="4E2E94FA" w14:textId="77777777" w:rsidTr="009B3C28">
        <w:tc>
          <w:tcPr>
            <w:tcW w:w="9016" w:type="dxa"/>
          </w:tcPr>
          <w:p w14:paraId="5C12896A" w14:textId="77777777" w:rsidR="0066299D" w:rsidRPr="00F2299D" w:rsidRDefault="0066299D" w:rsidP="009B3C28">
            <w:pPr>
              <w:pStyle w:val="Caption"/>
              <w:jc w:val="center"/>
              <w:rPr>
                <w:rFonts w:ascii="Times New Roman" w:hAnsi="Times New Roman" w:cs="Times New Roman"/>
                <w:b/>
                <w:bCs/>
                <w:i w:val="0"/>
                <w:iCs w:val="0"/>
                <w:sz w:val="24"/>
                <w:szCs w:val="24"/>
                <w:highlight w:val="yellow"/>
              </w:rPr>
            </w:pPr>
            <w:r w:rsidRPr="00F2299D">
              <w:rPr>
                <w:rFonts w:ascii="Times New Roman" w:hAnsi="Times New Roman" w:cs="Times New Roman"/>
                <w:noProof/>
                <w:sz w:val="24"/>
                <w:szCs w:val="24"/>
                <w:highlight w:val="yellow"/>
              </w:rPr>
              <w:drawing>
                <wp:inline distT="0" distB="0" distL="0" distR="0" wp14:anchorId="0800F45A" wp14:editId="27AAE7F4">
                  <wp:extent cx="4503906" cy="3064213"/>
                  <wp:effectExtent l="0" t="0" r="30480" b="0"/>
                  <wp:docPr id="2119658547"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tc>
      </w:tr>
    </w:tbl>
    <w:p w14:paraId="6C16231E" w14:textId="77777777" w:rsidR="0066299D" w:rsidRPr="00F2299D" w:rsidRDefault="0066299D" w:rsidP="0066299D">
      <w:pPr>
        <w:pStyle w:val="Caption"/>
        <w:rPr>
          <w:rFonts w:ascii="Times New Roman" w:hAnsi="Times New Roman" w:cs="Times New Roman"/>
          <w:b/>
          <w:bCs/>
          <w:i w:val="0"/>
          <w:iCs w:val="0"/>
          <w:sz w:val="24"/>
          <w:szCs w:val="24"/>
          <w:highlight w:val="yellow"/>
        </w:rPr>
      </w:pPr>
    </w:p>
    <w:p w14:paraId="284E301C" w14:textId="77777777" w:rsidR="0066299D" w:rsidRPr="00F2299D" w:rsidRDefault="0066299D" w:rsidP="0066299D">
      <w:pPr>
        <w:spacing w:line="360" w:lineRule="auto"/>
        <w:jc w:val="both"/>
        <w:rPr>
          <w:rFonts w:ascii="Times New Roman" w:hAnsi="Times New Roman" w:cs="Times New Roman"/>
          <w:sz w:val="24"/>
          <w:szCs w:val="24"/>
          <w:highlight w:val="yellow"/>
        </w:rPr>
      </w:pPr>
      <w:r w:rsidRPr="00F2299D">
        <w:rPr>
          <w:rFonts w:ascii="Times New Roman" w:hAnsi="Times New Roman" w:cs="Times New Roman"/>
          <w:sz w:val="24"/>
          <w:szCs w:val="24"/>
          <w:highlight w:val="yellow"/>
        </w:rPr>
        <w:t xml:space="preserve">India’s contemporary policy framework for women’s safety and empowerment consolidates multiple interventions under Mission Shakti, launched by the Ministry of Women &amp; Child Development (MWCD). Mission Shakti comprises two sub-schemes: Sambal (safety and security) and Samarthya (empowerment). Sambal includes the One Stop Centre (OSC/Sakhi), the Women Helpline 181 (WHL), and Nari Adalat (a community-based alternative dispute resolution mechanism). </w:t>
      </w:r>
    </w:p>
    <w:p w14:paraId="5A985F89" w14:textId="77777777" w:rsidR="0066299D" w:rsidRPr="00F2299D" w:rsidRDefault="0066299D" w:rsidP="0066299D">
      <w:pPr>
        <w:spacing w:line="360" w:lineRule="auto"/>
        <w:jc w:val="both"/>
        <w:rPr>
          <w:rFonts w:ascii="Times New Roman" w:hAnsi="Times New Roman" w:cs="Times New Roman"/>
          <w:sz w:val="24"/>
          <w:szCs w:val="24"/>
          <w:highlight w:val="yellow"/>
        </w:rPr>
      </w:pPr>
      <w:r w:rsidRPr="00F2299D">
        <w:rPr>
          <w:rFonts w:ascii="Times New Roman" w:hAnsi="Times New Roman" w:cs="Times New Roman"/>
          <w:sz w:val="24"/>
          <w:szCs w:val="24"/>
          <w:highlight w:val="yellow"/>
        </w:rPr>
        <w:t xml:space="preserve">Samarthya covers Pradhan Mantri Matru Vandana Yojana (PMMVY), Shakti Sadan (integrated relief and rehabilitation homes), Sakhi Niwas (Working Women’s Hostels), Palna (crèches), Beti Bachao Beti Padhao, Sukanya Samriddhi Yojana, Rajiv Gandhi Scheme for Empowerment </w:t>
      </w:r>
      <w:r w:rsidRPr="00F2299D">
        <w:rPr>
          <w:rFonts w:ascii="Times New Roman" w:hAnsi="Times New Roman" w:cs="Times New Roman"/>
          <w:sz w:val="24"/>
          <w:szCs w:val="24"/>
          <w:highlight w:val="yellow"/>
        </w:rPr>
        <w:lastRenderedPageBreak/>
        <w:t>of Adolescent Boys (Saksham), and National Crèche Scheme, among others (Ministry of Women &amp; Child Development [MWCD], 2022).</w:t>
      </w:r>
    </w:p>
    <w:p w14:paraId="229601E8" w14:textId="77777777" w:rsidR="0066299D" w:rsidRPr="00426460" w:rsidRDefault="0066299D" w:rsidP="0066299D">
      <w:pPr>
        <w:spacing w:line="360" w:lineRule="auto"/>
        <w:jc w:val="both"/>
        <w:rPr>
          <w:rFonts w:ascii="Times New Roman" w:hAnsi="Times New Roman" w:cs="Times New Roman"/>
          <w:sz w:val="24"/>
          <w:szCs w:val="24"/>
        </w:rPr>
      </w:pPr>
      <w:r w:rsidRPr="00F2299D">
        <w:rPr>
          <w:rFonts w:ascii="Times New Roman" w:hAnsi="Times New Roman" w:cs="Times New Roman"/>
          <w:sz w:val="24"/>
          <w:szCs w:val="24"/>
          <w:highlight w:val="yellow"/>
        </w:rPr>
        <w:t>Significant flagship schemes such as Shakti Sadan homes and Sakhi Niwas provide medium-term rehabilitation and accommodation for working women, respectively (MWCD, 2022). Palna supports women’s labour-force participation by offering crèche facilities through the convergence of ICDS and labour/welfare compliances, targeting additional Anganwadi Centres (MWCD, 2025e).</w:t>
      </w:r>
    </w:p>
    <w:p w14:paraId="6FD3F3C6"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Critical Analysis of Key Initiatives</w:t>
      </w:r>
    </w:p>
    <w:p w14:paraId="313BF29C" w14:textId="77777777" w:rsidR="0066299D" w:rsidRPr="00F2299D" w:rsidRDefault="0066299D" w:rsidP="0066299D">
      <w:pPr>
        <w:spacing w:line="360" w:lineRule="auto"/>
        <w:jc w:val="both"/>
        <w:rPr>
          <w:rFonts w:ascii="Times New Roman" w:hAnsi="Times New Roman" w:cs="Times New Roman"/>
          <w:sz w:val="24"/>
          <w:szCs w:val="24"/>
          <w:highlight w:val="yellow"/>
        </w:rPr>
      </w:pPr>
      <w:r w:rsidRPr="00F2299D">
        <w:rPr>
          <w:rFonts w:ascii="Times New Roman" w:hAnsi="Times New Roman" w:cs="Times New Roman"/>
          <w:b/>
          <w:bCs/>
          <w:i/>
          <w:iCs/>
          <w:sz w:val="24"/>
          <w:szCs w:val="24"/>
          <w:highlight w:val="yellow"/>
        </w:rPr>
        <w:t>Mission Shakti</w:t>
      </w:r>
      <w:r w:rsidRPr="00F2299D">
        <w:rPr>
          <w:rFonts w:ascii="Times New Roman" w:hAnsi="Times New Roman" w:cs="Times New Roman"/>
          <w:i/>
          <w:iCs/>
          <w:sz w:val="24"/>
          <w:szCs w:val="24"/>
          <w:highlight w:val="yellow"/>
        </w:rPr>
        <w:t xml:space="preserve"> (Sambal and Samarthya) </w:t>
      </w:r>
      <w:r w:rsidRPr="00F2299D">
        <w:rPr>
          <w:rFonts w:ascii="Times New Roman" w:hAnsi="Times New Roman" w:cs="Times New Roman"/>
          <w:sz w:val="24"/>
          <w:szCs w:val="24"/>
          <w:highlight w:val="yellow"/>
        </w:rPr>
        <w:t>looks at women's safety issues, skill development, livelihood, and economic independence. In this context, a study by Garu and Dash (2024) on Mission Shakti revealed that its implementation in Odisha through women’s Self-Help Groups had significantly boosted women’s entrepreneurship. Financial inclusion enhanced this impact from 25% to 52%, with both factors together accounting for a 78% influence by facilitating access to loans, lower interest rates, savings practices, SHG–bank linkages, and support from bank Sakhis, according to the study. Mission Shakti strengthens women’s financial independence and promotes grassroots entrepreneurship.</w:t>
      </w:r>
    </w:p>
    <w:p w14:paraId="63D711ED" w14:textId="77777777" w:rsidR="0066299D" w:rsidRPr="00426460" w:rsidRDefault="0066299D" w:rsidP="0066299D">
      <w:pPr>
        <w:spacing w:line="360" w:lineRule="auto"/>
        <w:jc w:val="both"/>
        <w:rPr>
          <w:rFonts w:ascii="Times New Roman" w:hAnsi="Times New Roman" w:cs="Times New Roman"/>
          <w:sz w:val="24"/>
          <w:szCs w:val="24"/>
        </w:rPr>
      </w:pPr>
      <w:r w:rsidRPr="00F2299D">
        <w:rPr>
          <w:rFonts w:ascii="Times New Roman" w:hAnsi="Times New Roman" w:cs="Times New Roman"/>
          <w:sz w:val="24"/>
          <w:szCs w:val="24"/>
          <w:highlight w:val="yellow"/>
        </w:rPr>
        <w:t>A similar study by Kumar and Kumar (2023) found that Mission Shakti empowers women through microcredit and self-help groups, enhancing access to finance, business, and education. However, they recommend strengthening monitoring and evaluation, providing continued financial literacy and capacity-building support, and addressing cultural barriers. Furthermore, the study by Kumar &amp; Kumar (2023 recommended that fostering partnerships with institutions and government agencies could expand women’s access to education and socioeconomic opportunities.</w:t>
      </w:r>
    </w:p>
    <w:p w14:paraId="4CD7A756"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i/>
          <w:iCs/>
          <w:sz w:val="24"/>
          <w:szCs w:val="24"/>
        </w:rPr>
        <w:t>An anecdote from the community</w:t>
      </w:r>
    </w:p>
    <w:p w14:paraId="083B59D9"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i/>
          <w:iCs/>
          <w:sz w:val="24"/>
          <w:szCs w:val="24"/>
        </w:rPr>
        <w:t>“Sunita</w:t>
      </w:r>
      <w:r w:rsidRPr="00426460">
        <w:rPr>
          <w:rFonts w:ascii="Times New Roman" w:hAnsi="Times New Roman" w:cs="Times New Roman"/>
          <w:b/>
          <w:bCs/>
          <w:sz w:val="24"/>
          <w:szCs w:val="24"/>
        </w:rPr>
        <w:t xml:space="preserve"> </w:t>
      </w:r>
      <w:r w:rsidRPr="00426460">
        <w:rPr>
          <w:rFonts w:ascii="Times New Roman" w:hAnsi="Times New Roman" w:cs="Times New Roman"/>
          <w:i/>
          <w:iCs/>
          <w:sz w:val="24"/>
          <w:szCs w:val="24"/>
        </w:rPr>
        <w:t>from Balasore district, Odisha</w:t>
      </w:r>
      <w:r w:rsidRPr="00426460">
        <w:rPr>
          <w:rFonts w:ascii="Times New Roman" w:hAnsi="Times New Roman" w:cs="Times New Roman"/>
          <w:b/>
          <w:bCs/>
          <w:sz w:val="24"/>
          <w:szCs w:val="24"/>
        </w:rPr>
        <w:t xml:space="preserve">, </w:t>
      </w:r>
      <w:r w:rsidRPr="00426460">
        <w:rPr>
          <w:rFonts w:ascii="Times New Roman" w:hAnsi="Times New Roman" w:cs="Times New Roman"/>
          <w:i/>
          <w:iCs/>
          <w:sz w:val="24"/>
          <w:szCs w:val="24"/>
        </w:rPr>
        <w:t xml:space="preserve">got pulled into the SHG because her neighbour literally dragged her to the meeting. She kept going because they served tea and biscuits. After a year of saving ₹100 every week, they gave her a ₹25,000 loan. She bought a second-hand mixing drum and started making phenyl in her courtyard. Sometimes she clears ₹5,000, but at other times, the chemical price jumps, and she barely breaks even. Her husband still spends whatever he earns in Surat, but now when he calls asking for money, she can truthfully say, “mere paas </w:t>
      </w:r>
      <w:r w:rsidRPr="00426460">
        <w:rPr>
          <w:rFonts w:ascii="Times New Roman" w:hAnsi="Times New Roman" w:cs="Times New Roman"/>
          <w:i/>
          <w:iCs/>
          <w:sz w:val="24"/>
          <w:szCs w:val="24"/>
        </w:rPr>
        <w:lastRenderedPageBreak/>
        <w:t>nahi hai, SHG account mein hai.” The Palna crèche in the anganwadi closes at 1 pm, so her elder daughter still comes home early to watch the little one. Progress, but slow and patchy.”</w:t>
      </w:r>
    </w:p>
    <w:p w14:paraId="67F297DF"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426460">
        <w:rPr>
          <w:rFonts w:ascii="Times New Roman" w:hAnsi="Times New Roman" w:cs="Times New Roman"/>
          <w:sz w:val="24"/>
          <w:szCs w:val="24"/>
        </w:rPr>
        <w:t>Another</w:t>
      </w:r>
      <w:r w:rsidRPr="00426460">
        <w:rPr>
          <w:rFonts w:ascii="Times New Roman" w:hAnsi="Times New Roman" w:cs="Times New Roman"/>
          <w:i/>
          <w:iCs/>
          <w:sz w:val="24"/>
          <w:szCs w:val="24"/>
        </w:rPr>
        <w:t xml:space="preserve"> </w:t>
      </w:r>
      <w:r w:rsidRPr="00426460">
        <w:rPr>
          <w:rFonts w:ascii="Times New Roman" w:hAnsi="Times New Roman" w:cs="Times New Roman"/>
          <w:sz w:val="24"/>
          <w:szCs w:val="24"/>
        </w:rPr>
        <w:t xml:space="preserve">state-led health-related service under Samarthya, such as </w:t>
      </w:r>
      <w:r w:rsidRPr="00426460">
        <w:rPr>
          <w:rFonts w:ascii="Times New Roman" w:hAnsi="Times New Roman" w:cs="Times New Roman"/>
          <w:b/>
          <w:bCs/>
          <w:sz w:val="24"/>
          <w:szCs w:val="24"/>
        </w:rPr>
        <w:t xml:space="preserve">the </w:t>
      </w:r>
      <w:r w:rsidRPr="00426460">
        <w:rPr>
          <w:rFonts w:ascii="Times New Roman" w:hAnsi="Times New Roman" w:cs="Times New Roman"/>
          <w:b/>
          <w:bCs/>
          <w:i/>
          <w:iCs/>
          <w:sz w:val="24"/>
          <w:szCs w:val="24"/>
        </w:rPr>
        <w:t>Pradhan Mantri Matru Vandana Yojana (PMMVY</w:t>
      </w:r>
      <w:r w:rsidRPr="00426460">
        <w:rPr>
          <w:rFonts w:ascii="Times New Roman" w:hAnsi="Times New Roman" w:cs="Times New Roman"/>
          <w:b/>
          <w:bCs/>
          <w:sz w:val="24"/>
          <w:szCs w:val="24"/>
        </w:rPr>
        <w:t>)</w:t>
      </w:r>
      <w:r w:rsidRPr="00426460">
        <w:rPr>
          <w:rFonts w:ascii="Times New Roman" w:hAnsi="Times New Roman" w:cs="Times New Roman"/>
          <w:sz w:val="24"/>
          <w:szCs w:val="24"/>
        </w:rPr>
        <w:t xml:space="preserve"> for lactating women, concentrates on improving maternal and child health outcomes.  According to the Government report, the PMMVY offers cash incentives as partial compensation for wage loss, enabling mothers to rest before and after the delivery of their first child. Since the scheme's inception and up to 31 July 2025, more than 4.05 crore beneficiaries have been paid the maternity benefit (at least one instalment) amounting to ₹19,028 Cr. through direct benefit transfer in their bank/post office accounts. Under PMMVY, a cash incentive of ₹5,000 is provided in two instalments for the first child, and ₹6,000 is provided in a single instalment post-birth for the second girl child, in accordance with the Mission Shakti Scheme Guidelines. According to a study by Banerjee (2025), the Yojana has expanded its coverage through digitization (a paperless mobile app and a soft-MIS) and improvements in grievance redressal. </w:t>
      </w:r>
      <w:r w:rsidRPr="00F44317">
        <w:rPr>
          <w:rFonts w:ascii="Times New Roman" w:hAnsi="Times New Roman" w:cs="Times New Roman"/>
          <w:sz w:val="24"/>
          <w:szCs w:val="24"/>
          <w:highlight w:val="yellow"/>
        </w:rPr>
        <w:t>Despite operational challenges, PMMVY has effectively improved the utilization of health services, including antenatal check-ups, childbirth registration, and child immunization. Addressing delivery limitations could maximize the benefits of the scheme (Banerjee et al., 2025).</w:t>
      </w:r>
    </w:p>
    <w:p w14:paraId="60B92F22"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b/>
          <w:bCs/>
          <w:i/>
          <w:iCs/>
          <w:sz w:val="24"/>
          <w:szCs w:val="24"/>
          <w:highlight w:val="yellow"/>
        </w:rPr>
        <w:t>Working Women Hostels (Sakhi Niwas)</w:t>
      </w:r>
      <w:r w:rsidRPr="00F44317">
        <w:rPr>
          <w:rFonts w:ascii="Times New Roman" w:hAnsi="Times New Roman" w:cs="Times New Roman"/>
          <w:sz w:val="24"/>
          <w:szCs w:val="24"/>
          <w:highlight w:val="yellow"/>
        </w:rPr>
        <w:t xml:space="preserve"> offer safe accommodation for employed women. </w:t>
      </w:r>
    </w:p>
    <w:p w14:paraId="3B52257C" w14:textId="77777777" w:rsidR="0066299D" w:rsidRPr="00426460" w:rsidRDefault="0066299D" w:rsidP="0066299D">
      <w:pPr>
        <w:spacing w:line="360" w:lineRule="auto"/>
        <w:jc w:val="both"/>
        <w:rPr>
          <w:rFonts w:ascii="Times New Roman" w:hAnsi="Times New Roman" w:cs="Times New Roman"/>
          <w:sz w:val="24"/>
          <w:szCs w:val="24"/>
        </w:rPr>
      </w:pPr>
      <w:r w:rsidRPr="00F44317">
        <w:rPr>
          <w:rFonts w:ascii="Times New Roman" w:hAnsi="Times New Roman" w:cs="Times New Roman"/>
          <w:sz w:val="24"/>
          <w:szCs w:val="24"/>
          <w:highlight w:val="yellow"/>
        </w:rPr>
        <w:t>Schemes like </w:t>
      </w:r>
      <w:r w:rsidRPr="00F44317">
        <w:rPr>
          <w:rFonts w:ascii="Times New Roman" w:hAnsi="Times New Roman" w:cs="Times New Roman"/>
          <w:b/>
          <w:bCs/>
          <w:i/>
          <w:iCs/>
          <w:sz w:val="24"/>
          <w:szCs w:val="24"/>
          <w:highlight w:val="yellow"/>
        </w:rPr>
        <w:t>Beti Bachao Beti Padhao</w:t>
      </w:r>
      <w:r w:rsidRPr="00F44317">
        <w:rPr>
          <w:rFonts w:ascii="Times New Roman" w:hAnsi="Times New Roman" w:cs="Times New Roman"/>
          <w:sz w:val="24"/>
          <w:szCs w:val="24"/>
          <w:highlight w:val="yellow"/>
        </w:rPr>
        <w:t xml:space="preserve"> aim to improve gender equality, education, and girls' empowerment. Beti Bachao Beti Padhao (BBBP), a centrally sponsored scheme now under the Sambal vertical of Mission Shakti, has improved the sex ratio at birth, access to education, healthcare, and women’s economic empowerment. Implemented through districts with government, NGOs, and community support, it has built a strong foundation for valuing every girl child. As BBBP marks a decade, its focus will be on inclusive policies, stronger implementation, and community participation to sustain progress toward gender equality and empowerment (</w:t>
      </w:r>
      <w:hyperlink r:id="rId9" w:tgtFrame="_blank" w:history="1">
        <w:r w:rsidRPr="00F44317">
          <w:rPr>
            <w:rStyle w:val="Hyperlink"/>
            <w:rFonts w:ascii="Times New Roman" w:hAnsi="Times New Roman" w:cs="Times New Roman"/>
            <w:sz w:val="24"/>
            <w:szCs w:val="24"/>
            <w:highlight w:val="yellow"/>
          </w:rPr>
          <w:t>PIB, 2025</w:t>
        </w:r>
      </w:hyperlink>
      <w:r w:rsidRPr="00F44317">
        <w:rPr>
          <w:rFonts w:ascii="Times New Roman" w:hAnsi="Times New Roman" w:cs="Times New Roman"/>
          <w:sz w:val="24"/>
          <w:szCs w:val="24"/>
          <w:highlight w:val="yellow"/>
        </w:rPr>
        <w:t>). Syed (2023) found that BBBP promotes gender equality by safeguarding, educating, and empowering girls. While progress is evident, continued collective effort is needed to ensure every girl can learn, thrive, and contribute to nation-building (Syed, 2023).</w:t>
      </w:r>
    </w:p>
    <w:p w14:paraId="5974E2BB"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i/>
          <w:iCs/>
          <w:sz w:val="24"/>
          <w:szCs w:val="24"/>
          <w:highlight w:val="yellow"/>
        </w:rPr>
        <w:t xml:space="preserve">The ASHA worker sat in their courtyard for two whole hours till Baby Rani’s father filled the Sukanya form. Grandmother still mutters that they are “wasting money on a girl.” The account now has about ₹2.8 lakh, but every time they go to the post office, someone gives a new rule </w:t>
      </w:r>
      <w:r w:rsidRPr="00F44317">
        <w:rPr>
          <w:rFonts w:ascii="Times New Roman" w:hAnsi="Times New Roman" w:cs="Times New Roman"/>
          <w:i/>
          <w:iCs/>
          <w:sz w:val="24"/>
          <w:szCs w:val="24"/>
          <w:highlight w:val="yellow"/>
        </w:rPr>
        <w:lastRenderedPageBreak/>
        <w:t>about when it can be withdrawn. Baby Rani does get private tuition, but the karate class shut down when the coach left for Gurugram. Two families in the village still managed “sex-selection” last year; nobody reports it. The sex ratio appears better on paper than in reality.</w:t>
      </w:r>
    </w:p>
    <w:p w14:paraId="742B1438"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sz w:val="24"/>
          <w:szCs w:val="24"/>
          <w:highlight w:val="yellow"/>
        </w:rPr>
        <w:t xml:space="preserve">Along with safety, empowerment, and health, financial inclusion of girls and women has also been the focus.  The </w:t>
      </w:r>
      <w:r w:rsidRPr="00F44317">
        <w:rPr>
          <w:rFonts w:ascii="Times New Roman" w:hAnsi="Times New Roman" w:cs="Times New Roman"/>
          <w:b/>
          <w:bCs/>
          <w:i/>
          <w:iCs/>
          <w:sz w:val="24"/>
          <w:szCs w:val="24"/>
          <w:highlight w:val="yellow"/>
        </w:rPr>
        <w:t>Sukanya Samriddhi Yojana</w:t>
      </w:r>
      <w:r w:rsidRPr="00F44317">
        <w:rPr>
          <w:rFonts w:ascii="Times New Roman" w:hAnsi="Times New Roman" w:cs="Times New Roman"/>
          <w:sz w:val="24"/>
          <w:szCs w:val="24"/>
          <w:highlight w:val="yellow"/>
        </w:rPr>
        <w:t xml:space="preserve">, a small deposit scheme for the girl child launched under the ‘Beti Bachao Beti Padhao’ campaign, primarily benefits middle- and lower-class families. It is specifically designed to encourage financial savings and investments among young girls. However, challenges remain due to low awareness and procedural hurdles. Strengthening outreach, improving post office operations, and adopting technology can simplify access to services. Promoting financial literacy, incentivizing participation, and fostering community engagement through government, financial institutions, and families are critical to its long-term success (Gandhi &amp; Yadav, 2024). </w:t>
      </w:r>
    </w:p>
    <w:p w14:paraId="33B3A4F3"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sz w:val="24"/>
          <w:szCs w:val="24"/>
          <w:highlight w:val="yellow"/>
        </w:rPr>
        <w:t>The Yojana has led to more than forty-one million savings accounts being opened in girls’ names; yet, average balances remain low (typically under ₹9,000) because regular deposits are difficult for low-income families, and the rules regarding withdrawals continue to be confusing.</w:t>
      </w:r>
    </w:p>
    <w:p w14:paraId="0DCBDAD1" w14:textId="77777777" w:rsidR="0066299D" w:rsidRPr="00F44317" w:rsidRDefault="0066299D" w:rsidP="0066299D">
      <w:pPr>
        <w:spacing w:line="360" w:lineRule="auto"/>
        <w:jc w:val="both"/>
        <w:rPr>
          <w:rFonts w:ascii="Times New Roman" w:hAnsi="Times New Roman" w:cs="Times New Roman"/>
          <w:sz w:val="24"/>
          <w:szCs w:val="24"/>
          <w:highlight w:val="yellow"/>
        </w:rPr>
      </w:pPr>
    </w:p>
    <w:p w14:paraId="609643EA"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b/>
          <w:bCs/>
          <w:i/>
          <w:iCs/>
          <w:sz w:val="24"/>
          <w:szCs w:val="24"/>
          <w:highlight w:val="yellow"/>
        </w:rPr>
        <w:t>The National Crèche Scheme</w:t>
      </w:r>
      <w:r w:rsidRPr="00F44317">
        <w:rPr>
          <w:rFonts w:ascii="Times New Roman" w:hAnsi="Times New Roman" w:cs="Times New Roman"/>
          <w:i/>
          <w:iCs/>
          <w:sz w:val="24"/>
          <w:szCs w:val="24"/>
          <w:highlight w:val="yellow"/>
        </w:rPr>
        <w:t xml:space="preserve"> </w:t>
      </w:r>
      <w:r w:rsidRPr="00F44317">
        <w:rPr>
          <w:rFonts w:ascii="Times New Roman" w:hAnsi="Times New Roman" w:cs="Times New Roman"/>
          <w:sz w:val="24"/>
          <w:szCs w:val="24"/>
          <w:highlight w:val="yellow"/>
        </w:rPr>
        <w:t>supports working mothers. Yadav (2018) reported in his study that crèches help rural mothers by relieving their elder daughters from caring for younger siblings when the mothers are away for work, thus enabling the daughters to attend school (Yadav, 2018).</w:t>
      </w:r>
    </w:p>
    <w:p w14:paraId="7FB8467D"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b/>
          <w:bCs/>
          <w:i/>
          <w:iCs/>
          <w:sz w:val="24"/>
          <w:szCs w:val="24"/>
          <w:highlight w:val="yellow"/>
        </w:rPr>
        <w:t>The Rajiv Gandhi Scheme for Empowerment of Adolescent Boys (Saksham)</w:t>
      </w:r>
      <w:r w:rsidRPr="00F44317">
        <w:rPr>
          <w:rFonts w:ascii="Times New Roman" w:hAnsi="Times New Roman" w:cs="Times New Roman"/>
          <w:i/>
          <w:iCs/>
          <w:sz w:val="24"/>
          <w:szCs w:val="24"/>
          <w:highlight w:val="yellow"/>
        </w:rPr>
        <w:t xml:space="preserve"> </w:t>
      </w:r>
      <w:r w:rsidRPr="00F44317">
        <w:rPr>
          <w:rFonts w:ascii="Times New Roman" w:hAnsi="Times New Roman" w:cs="Times New Roman"/>
          <w:sz w:val="24"/>
          <w:szCs w:val="24"/>
          <w:highlight w:val="yellow"/>
        </w:rPr>
        <w:t>ensures the holistic development of adolescent boys, both school-going and out of school, aged 11 to 18 years. The Rajiv Gandhi Saksham Scheme, implemented through anganwadi centres, targets boys aged 11–18 to build self-reliance, gender sensitivity, and social awareness, covering both school-going and non-school-going adolescents</w:t>
      </w:r>
      <w:hyperlink w:anchor="_ftn1" w:tgtFrame="_blank" w:history="1">
        <w:r w:rsidRPr="00F44317">
          <w:rPr>
            <w:rStyle w:val="Hyperlink"/>
            <w:rFonts w:ascii="Times New Roman" w:hAnsi="Times New Roman" w:cs="Times New Roman"/>
            <w:sz w:val="24"/>
            <w:szCs w:val="24"/>
            <w:highlight w:val="yellow"/>
          </w:rPr>
          <w:t>. [1]</w:t>
        </w:r>
      </w:hyperlink>
      <w:r w:rsidRPr="00F44317">
        <w:rPr>
          <w:rFonts w:ascii="Times New Roman" w:hAnsi="Times New Roman" w:cs="Times New Roman"/>
          <w:sz w:val="24"/>
          <w:szCs w:val="24"/>
          <w:highlight w:val="yellow"/>
        </w:rPr>
        <w:t>Designed as a complement to the Sabla scheme for girls, it aims to instil moral values and respect for women. However, a lack of coordination limited its impact; integrating common elements, such as skill development and education, into a unified framework could strengthen both schemes while retaining their distinct objectives (Garg &amp; Aggarwal, 2016).</w:t>
      </w:r>
    </w:p>
    <w:p w14:paraId="5B752B7C"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i/>
          <w:iCs/>
          <w:sz w:val="24"/>
          <w:szCs w:val="24"/>
          <w:highlight w:val="yellow"/>
        </w:rPr>
        <w:t xml:space="preserve">Rekha, near Patna, first ₹5,000 came after four trips to the anganwadi and a dozen photocopies. The second instalment got stuck for eight months because someone wrote the </w:t>
      </w:r>
      <w:r w:rsidRPr="00F44317">
        <w:rPr>
          <w:rFonts w:ascii="Times New Roman" w:hAnsi="Times New Roman" w:cs="Times New Roman"/>
          <w:i/>
          <w:iCs/>
          <w:sz w:val="24"/>
          <w:szCs w:val="24"/>
          <w:highlight w:val="yellow"/>
        </w:rPr>
        <w:lastRenderedPageBreak/>
        <w:t>wrong date on one of the forms. She did deliver in the hospital this time (the first time was at home, and both nearly died), but they kept her five days because “beds were full.” When the ₹6,000 finally arrived, she bought her husband a second-hand smartphone so that he would at least answer her calls. She laughs when she says it: “Scheme se pet bhar gaya, phone bhar gaya.”</w:t>
      </w:r>
    </w:p>
    <w:p w14:paraId="39121A79"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sz w:val="24"/>
          <w:szCs w:val="24"/>
          <w:highlight w:val="yellow"/>
        </w:rPr>
        <w:t xml:space="preserve">Studies on the </w:t>
      </w:r>
      <w:r w:rsidRPr="00F44317">
        <w:rPr>
          <w:rFonts w:ascii="Times New Roman" w:hAnsi="Times New Roman" w:cs="Times New Roman"/>
          <w:b/>
          <w:bCs/>
          <w:i/>
          <w:iCs/>
          <w:sz w:val="24"/>
          <w:szCs w:val="24"/>
          <w:highlight w:val="yellow"/>
        </w:rPr>
        <w:t>Pradhan Mantri Ujjwala Yojana (PMUY)</w:t>
      </w:r>
      <w:r w:rsidRPr="00F44317">
        <w:rPr>
          <w:rFonts w:ascii="Times New Roman" w:hAnsi="Times New Roman" w:cs="Times New Roman"/>
          <w:sz w:val="24"/>
          <w:szCs w:val="24"/>
          <w:highlight w:val="yellow"/>
        </w:rPr>
        <w:t xml:space="preserve"> demonstrate that it empowers poor and marginalized women by providing LPG connections, replacing harmful stoves with clean cooking facilities. It has improved health, saved time, enhanced economic participation, and uplifted social status (Sharma, 2024). Among Scheduled Caste women, PMUY has similarly improved quality of life and family health, with benefits varying by age, income, and family size, indicating the need for inclusive targeting (Dipikaben, 2024).</w:t>
      </w:r>
    </w:p>
    <w:p w14:paraId="068E796A"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sz w:val="24"/>
          <w:szCs w:val="24"/>
          <w:highlight w:val="yellow"/>
        </w:rPr>
        <w:t>Thus, the Young Women and Child sector is addressed through various initiatives that place a special emphasis on girls, women, and children. The discussion included the impact and the challenges faced by the initiatives.</w:t>
      </w:r>
    </w:p>
    <w:p w14:paraId="22D488BD"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sz w:val="24"/>
          <w:szCs w:val="24"/>
          <w:highlight w:val="yellow"/>
        </w:rPr>
        <w:t>The following section will outline the significant efforts and achievements made to empower young women and children.</w:t>
      </w:r>
    </w:p>
    <w:p w14:paraId="4E8E7B19"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b/>
          <w:bCs/>
          <w:sz w:val="24"/>
          <w:szCs w:val="24"/>
          <w:highlight w:val="yellow"/>
        </w:rPr>
        <w:t xml:space="preserve">Key Outcomes through Government Data &amp; Reports </w:t>
      </w:r>
    </w:p>
    <w:p w14:paraId="4B155003" w14:textId="77777777" w:rsidR="0066299D" w:rsidRPr="00F44317" w:rsidRDefault="0066299D" w:rsidP="0066299D">
      <w:pPr>
        <w:spacing w:line="360" w:lineRule="auto"/>
        <w:jc w:val="both"/>
        <w:rPr>
          <w:rFonts w:ascii="Times New Roman" w:hAnsi="Times New Roman" w:cs="Times New Roman"/>
          <w:sz w:val="24"/>
          <w:szCs w:val="24"/>
          <w:highlight w:val="yellow"/>
        </w:rPr>
      </w:pPr>
      <w:r w:rsidRPr="00F44317">
        <w:rPr>
          <w:rFonts w:ascii="Times New Roman" w:hAnsi="Times New Roman" w:cs="Times New Roman"/>
          <w:sz w:val="24"/>
          <w:szCs w:val="24"/>
          <w:highlight w:val="yellow"/>
        </w:rPr>
        <w:t>This section deals with data and statistics from the Government site, data reports, and Press reports. The significant achievements in this sector are shared below.</w:t>
      </w:r>
    </w:p>
    <w:p w14:paraId="0BAB6C71" w14:textId="77777777" w:rsidR="0066299D" w:rsidRPr="00426460" w:rsidRDefault="0066299D" w:rsidP="0066299D">
      <w:pPr>
        <w:spacing w:line="360" w:lineRule="auto"/>
        <w:jc w:val="both"/>
        <w:rPr>
          <w:rFonts w:ascii="Times New Roman" w:hAnsi="Times New Roman" w:cs="Times New Roman"/>
          <w:sz w:val="24"/>
          <w:szCs w:val="24"/>
        </w:rPr>
      </w:pPr>
      <w:r w:rsidRPr="00F44317">
        <w:rPr>
          <w:rFonts w:ascii="Times New Roman" w:hAnsi="Times New Roman" w:cs="Times New Roman"/>
          <w:b/>
          <w:bCs/>
          <w:sz w:val="24"/>
          <w:szCs w:val="24"/>
          <w:highlight w:val="yellow"/>
        </w:rPr>
        <w:t>Pradhan Mantri Matru Vandana Yojana (PMMVYSukanya Samriddhi Yojana</w:t>
      </w:r>
      <w:r w:rsidRPr="00F44317">
        <w:rPr>
          <w:rFonts w:ascii="Times New Roman" w:hAnsi="Times New Roman" w:cs="Times New Roman"/>
          <w:sz w:val="24"/>
          <w:szCs w:val="24"/>
          <w:highlight w:val="yellow"/>
        </w:rPr>
        <w:t xml:space="preserve"> as of November 2024, over 4.1 crore Sukanya Samriddhi accounts have been opened, symbolizing not just a number, but a movement towards building an equitable and promising tomorrow for every girl child in India. Through this initiative, the nation celebrates the immense potential of its daughters, reaffirming the belief that empowering one girl strengthens the foundation of society.</w:t>
      </w:r>
      <w:r w:rsidRPr="00426460">
        <w:rPr>
          <w:rFonts w:ascii="Times New Roman" w:hAnsi="Times New Roman" w:cs="Times New Roman"/>
          <w:sz w:val="24"/>
          <w:szCs w:val="24"/>
        </w:rPr>
        <w:t xml:space="preserve"> This highlights the emphasis on gender inclusivity in the economic landscape.</w:t>
      </w:r>
      <w:r>
        <w:rPr>
          <w:rFonts w:ascii="Times New Roman" w:hAnsi="Times New Roman" w:cs="Times New Roman"/>
          <w:sz w:val="24"/>
          <w:szCs w:val="24"/>
        </w:rPr>
        <w:t xml:space="preserve"> It</w:t>
      </w:r>
      <w:r w:rsidRPr="00426460">
        <w:rPr>
          <w:rFonts w:ascii="Times New Roman" w:hAnsi="Times New Roman" w:cs="Times New Roman"/>
          <w:sz w:val="24"/>
          <w:szCs w:val="24"/>
        </w:rPr>
        <w:t xml:space="preserve"> has succeeded in bringing first-time mothers to health facilities and transferring at least one instalment of cash to over 40 million women; however, the additional payment intended for a second girl child reaches only a minority of eligible families due to documentation delays.</w:t>
      </w:r>
    </w:p>
    <w:p w14:paraId="4A6BED5D" w14:textId="77777777" w:rsidR="0066299D" w:rsidRPr="00426460" w:rsidRDefault="0066299D" w:rsidP="0066299D">
      <w:pPr>
        <w:spacing w:line="360" w:lineRule="auto"/>
        <w:jc w:val="both"/>
        <w:rPr>
          <w:rFonts w:ascii="Times New Roman" w:hAnsi="Times New Roman" w:cs="Times New Roman"/>
          <w:sz w:val="24"/>
          <w:szCs w:val="24"/>
        </w:rPr>
      </w:pPr>
    </w:p>
    <w:p w14:paraId="297DD91C"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lastRenderedPageBreak/>
        <w:t>Mission Shakti</w:t>
      </w:r>
      <w:r w:rsidRPr="00426460">
        <w:rPr>
          <w:rFonts w:ascii="Times New Roman" w:hAnsi="Times New Roman" w:cs="Times New Roman"/>
          <w:sz w:val="24"/>
          <w:szCs w:val="24"/>
        </w:rPr>
        <w:t xml:space="preserve"> Under Mission Shakti, the 24×7 toll-free Women Helpline (WHL) has assisted over 1.06 crore women since its inception (1 April 2015) up to 30 June 2025. The WHL provides emergency and non-emergency support, integrating referrals to police, One-Stop Centres, health facilities, and legal aid (MWCD, 2025a). Mission Shakti introduced Nari Adalat to strengthen community-level resolution of women’s grievances. In 2023–24, MWCD released ₹21.60 lakh to Jammu &amp; Kashmir and ₹20.80 lakh to Assam for pilot implementation, covering selected blocks across seven districts in Assam, with 100% central funding under initial rollout (MWCD, 2023).</w:t>
      </w:r>
    </w:p>
    <w:p w14:paraId="5BFED638"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sz w:val="24"/>
          <w:szCs w:val="24"/>
        </w:rPr>
        <w:t>As of late 2024, 404 Shakti Sadan homes were operational, benefiting 11,196 women. The homes consolidate earlier Swadhar Greh and Ujjawala facilities under a stronger integrated rehabilitation model (MWCD, 2025c).</w:t>
      </w:r>
    </w:p>
    <w:p w14:paraId="5A6D1462"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Sakhi Niwas (Working Women Hostels)</w:t>
      </w:r>
      <w:r w:rsidRPr="00426460">
        <w:rPr>
          <w:rFonts w:ascii="Times New Roman" w:hAnsi="Times New Roman" w:cs="Times New Roman"/>
          <w:sz w:val="24"/>
          <w:szCs w:val="24"/>
        </w:rPr>
        <w:t>: There are 494 functional Working Women Hostels in the country, with Daycare Facilities for children.</w:t>
      </w:r>
      <w:r>
        <w:rPr>
          <w:rFonts w:ascii="Times New Roman" w:hAnsi="Times New Roman" w:cs="Times New Roman"/>
          <w:sz w:val="24"/>
          <w:szCs w:val="24"/>
        </w:rPr>
        <w:t xml:space="preserve"> </w:t>
      </w:r>
      <w:r w:rsidRPr="00426460">
        <w:rPr>
          <w:rFonts w:ascii="Times New Roman" w:hAnsi="Times New Roman" w:cs="Times New Roman"/>
          <w:sz w:val="24"/>
          <w:szCs w:val="24"/>
        </w:rPr>
        <w:t>Safe hostel accommodation under Sakhi Niwas and daycare facilities under Palna assist several tens of thousands of urban working mothers each year; yet, the supply falls far short of demand, operating hours are limited, and almost no support reaches rural areas.</w:t>
      </w:r>
    </w:p>
    <w:p w14:paraId="25B3DEFA"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Palna (National Crèche Scheme)</w:t>
      </w:r>
      <w:r w:rsidRPr="00426460">
        <w:rPr>
          <w:rFonts w:ascii="Times New Roman" w:hAnsi="Times New Roman" w:cs="Times New Roman"/>
          <w:sz w:val="24"/>
          <w:szCs w:val="24"/>
        </w:rPr>
        <w:t xml:space="preserve"> As of February 2025, 1,761 Anganwadi-cum-Creches (AWCCs) are operational with 28,783 current beneficiaries. Additionally, 1,284 Standalone Creches are also operational across the country, with 23,368 current beneficiaries.</w:t>
      </w:r>
    </w:p>
    <w:p w14:paraId="007DDB77"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Beti Bachao Beti Padhao (BBBP)</w:t>
      </w:r>
      <w:r w:rsidRPr="00426460">
        <w:rPr>
          <w:rFonts w:ascii="Times New Roman" w:hAnsi="Times New Roman" w:cs="Times New Roman"/>
          <w:sz w:val="24"/>
          <w:szCs w:val="24"/>
        </w:rPr>
        <w:t>. From a Sex Ratio at Birth (SRB) of 918 in 2014-15, the National SRB improved to 930 in 2023-24. Enrolment of girls in secondary education has seen a significant increase, with the Gross Enrolment Ratio (GER) for girls rising from 75.51% in 2014-15 to 78% in 2023-24. Institutional deliveries rose from 61% in 2014-15 to over 97.3% by 2023-24. In collaboration with the Ministry of Skill Development and Entrepreneurship, BBBP has made strides in promoting skill development among young girls and women, enhancing their economic participation.</w:t>
      </w:r>
      <w:r>
        <w:rPr>
          <w:rFonts w:ascii="Times New Roman" w:hAnsi="Times New Roman" w:cs="Times New Roman"/>
          <w:sz w:val="24"/>
          <w:szCs w:val="24"/>
        </w:rPr>
        <w:t xml:space="preserve"> </w:t>
      </w:r>
      <w:r w:rsidRPr="00426460">
        <w:rPr>
          <w:rFonts w:ascii="Times New Roman" w:hAnsi="Times New Roman" w:cs="Times New Roman"/>
          <w:sz w:val="24"/>
          <w:szCs w:val="24"/>
        </w:rPr>
        <w:t>These are significant gains for maternal and child survival. At the same time, preference for sons remains strong in parts of northern and western India, and illegal sex-selective practices have not been eliminated.</w:t>
      </w:r>
      <w:r>
        <w:rPr>
          <w:rFonts w:ascii="Times New Roman" w:hAnsi="Times New Roman" w:cs="Times New Roman"/>
          <w:sz w:val="24"/>
          <w:szCs w:val="24"/>
        </w:rPr>
        <w:t xml:space="preserve"> </w:t>
      </w:r>
    </w:p>
    <w:p w14:paraId="77591202"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Rajiv Gandhi Scheme for Empowerment of Adolescent Boys (Saksham)</w:t>
      </w:r>
      <w:r w:rsidRPr="00426460">
        <w:rPr>
          <w:rFonts w:ascii="Times New Roman" w:hAnsi="Times New Roman" w:cs="Times New Roman"/>
          <w:sz w:val="24"/>
          <w:szCs w:val="24"/>
        </w:rPr>
        <w:t xml:space="preserve">. Saksham aims to provide all-round development for adolescent boys (11–18 years). In the first phase, the scheme is implemented in 20 selected districts in seven States on a pilot basis, benefitting nearly 6 lakh </w:t>
      </w:r>
      <w:r w:rsidRPr="00426460">
        <w:rPr>
          <w:rFonts w:ascii="Times New Roman" w:hAnsi="Times New Roman" w:cs="Times New Roman"/>
          <w:sz w:val="24"/>
          <w:szCs w:val="24"/>
        </w:rPr>
        <w:lastRenderedPageBreak/>
        <w:t>adolescent boys annually.</w:t>
      </w:r>
      <w:r>
        <w:rPr>
          <w:rFonts w:ascii="Times New Roman" w:hAnsi="Times New Roman" w:cs="Times New Roman"/>
          <w:sz w:val="24"/>
          <w:szCs w:val="24"/>
        </w:rPr>
        <w:t xml:space="preserve"> However it is seen that this scheme</w:t>
      </w:r>
      <w:r w:rsidRPr="00426460">
        <w:rPr>
          <w:rFonts w:ascii="Times New Roman" w:hAnsi="Times New Roman" w:cs="Times New Roman"/>
          <w:sz w:val="24"/>
          <w:szCs w:val="24"/>
        </w:rPr>
        <w:t xml:space="preserve"> operates on a small scale and has produced only minor and localized behavioral changes.</w:t>
      </w:r>
    </w:p>
    <w:p w14:paraId="2F14D642"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One Stop Centres (OSCs/Sakhi)</w:t>
      </w:r>
      <w:r w:rsidRPr="00426460">
        <w:rPr>
          <w:rFonts w:ascii="Times New Roman" w:hAnsi="Times New Roman" w:cs="Times New Roman"/>
          <w:sz w:val="24"/>
          <w:szCs w:val="24"/>
        </w:rPr>
        <w:t xml:space="preserve"> OSCs provide integrated support, medical aid, legal counselling, shelter, police assistance, and psycho-social support. Cumulative beneficiaries reached 10,61,337 up to 31 December 2024, with 802 OSCs functional in 785 districts as reported near the close of 2024 (MWCD, 2025b; MWCD, 2025c).</w:t>
      </w:r>
    </w:p>
    <w:p w14:paraId="4D6C66D6" w14:textId="77777777" w:rsidR="0066299D" w:rsidRDefault="0066299D" w:rsidP="0066299D">
      <w:pPr>
        <w:spacing w:line="360" w:lineRule="auto"/>
        <w:jc w:val="both"/>
        <w:rPr>
          <w:rFonts w:ascii="Times New Roman" w:hAnsi="Times New Roman" w:cs="Times New Roman"/>
          <w:i/>
          <w:iCs/>
          <w:sz w:val="24"/>
          <w:szCs w:val="24"/>
        </w:rPr>
      </w:pPr>
      <w:r w:rsidRPr="00426460">
        <w:rPr>
          <w:rFonts w:ascii="Times New Roman" w:hAnsi="Times New Roman" w:cs="Times New Roman"/>
          <w:i/>
          <w:iCs/>
          <w:sz w:val="24"/>
          <w:szCs w:val="24"/>
        </w:rPr>
        <w:t>“Ayesha from Mumbai, Maharashtra</w:t>
      </w:r>
      <w:r w:rsidRPr="00426460">
        <w:rPr>
          <w:rFonts w:ascii="Times New Roman" w:hAnsi="Times New Roman" w:cs="Times New Roman"/>
          <w:b/>
          <w:bCs/>
          <w:i/>
          <w:iCs/>
          <w:sz w:val="24"/>
          <w:szCs w:val="24"/>
        </w:rPr>
        <w:t xml:space="preserve">, </w:t>
      </w:r>
      <w:r w:rsidRPr="00426460">
        <w:rPr>
          <w:rFonts w:ascii="Times New Roman" w:hAnsi="Times New Roman" w:cs="Times New Roman"/>
          <w:i/>
          <w:iCs/>
          <w:sz w:val="24"/>
          <w:szCs w:val="24"/>
        </w:rPr>
        <w:t>reached the OSC straight from the railway station with burn marks. The counselor gave tea, and the doctor came the next morning, as it was Sunday. FIR filed, but police informed her husband anyway; now he keeps calling and abusing her. Shakti Sadan has a place, but the food is always dal-rice, and the beautician course they promised is still pending, as “madam” is still on leave. Safe, yes, but some nights she thinks going back to her maika and doing stitching work might have been less complicated”.</w:t>
      </w:r>
    </w:p>
    <w:p w14:paraId="52B1F6CF"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sz w:val="24"/>
          <w:szCs w:val="24"/>
        </w:rPr>
        <w:t>One Stop Centres have provided medical, legal, and temporary shelter assistance to more than a million women facing violence, offering faster initial help than most police stations. However, long-term case resolution and shelter capacity remain limited.</w:t>
      </w:r>
    </w:p>
    <w:p w14:paraId="10563F97"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sz w:val="24"/>
          <w:szCs w:val="24"/>
        </w:rPr>
        <w:t>Overall, the schemes have reduced the most extreme forms of discrimination against daughters, improved access to institutional delivery and basic credit for rural women, and created narrow but important pathways for some urban mothers to remain in paid work. Deeply rooted attitudes about gender roles, administrative bottlenecks, and inadequate funding continue to limit the pace and depth of change. Progress is therefore real and welcome, yet it remains gradual and incomplete.</w:t>
      </w:r>
    </w:p>
    <w:p w14:paraId="57D235E8"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Challenges</w:t>
      </w:r>
    </w:p>
    <w:p w14:paraId="366AEC02"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sz w:val="24"/>
          <w:szCs w:val="24"/>
        </w:rPr>
        <w:t xml:space="preserve">Gender equality is a key national priority, and numerous government and civil society programmes aim to empower young women and girls through education, health, skill development, and entrepreneurship. </w:t>
      </w:r>
      <w:r w:rsidRPr="00F44317">
        <w:rPr>
          <w:rFonts w:ascii="Times New Roman" w:hAnsi="Times New Roman" w:cs="Times New Roman"/>
          <w:sz w:val="24"/>
          <w:szCs w:val="24"/>
          <w:highlight w:val="yellow"/>
        </w:rPr>
        <w:t>However, their impact is often limited by deep-rooted structural inequalities, patriarchal norms, and socio-cultural barriers that restrict access to opportunities. A significant challenge is the lack of awareness about these schemes, especially in rural and marginalised communities, which prevents women and girls from benefiting fully. Low enrolment and retention rates of girls in secondary and higher education further weaken the long-term impact of such initiatives.</w:t>
      </w:r>
    </w:p>
    <w:p w14:paraId="3EECE3B1"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sz w:val="24"/>
          <w:szCs w:val="24"/>
        </w:rPr>
        <w:lastRenderedPageBreak/>
        <w:t>Addressing these issues requires not only robust schemes but also stronger outreach, investment in girls’ education, and efforts to challenge patriarchal mindsets so that gender equality can translate into tangible and sustainable change.</w:t>
      </w:r>
    </w:p>
    <w:p w14:paraId="20E7C469" w14:textId="77777777" w:rsidR="0066299D" w:rsidRPr="00426460" w:rsidRDefault="0066299D" w:rsidP="0066299D">
      <w:pPr>
        <w:spacing w:line="360" w:lineRule="auto"/>
        <w:jc w:val="both"/>
        <w:rPr>
          <w:rFonts w:ascii="Times New Roman" w:hAnsi="Times New Roman" w:cs="Times New Roman"/>
          <w:sz w:val="24"/>
          <w:szCs w:val="24"/>
        </w:rPr>
      </w:pPr>
      <w:r w:rsidRPr="00426460">
        <w:rPr>
          <w:rFonts w:ascii="Times New Roman" w:hAnsi="Times New Roman" w:cs="Times New Roman"/>
          <w:b/>
          <w:bCs/>
          <w:sz w:val="24"/>
          <w:szCs w:val="24"/>
        </w:rPr>
        <w:t xml:space="preserve">Conclusion </w:t>
      </w:r>
    </w:p>
    <w:p w14:paraId="7666B214" w14:textId="77777777" w:rsidR="0066299D" w:rsidRPr="00426460" w:rsidRDefault="0066299D" w:rsidP="0066299D">
      <w:pPr>
        <w:spacing w:line="360" w:lineRule="auto"/>
        <w:jc w:val="both"/>
        <w:rPr>
          <w:rFonts w:ascii="Times New Roman" w:hAnsi="Times New Roman" w:cs="Times New Roman"/>
          <w:sz w:val="24"/>
          <w:szCs w:val="24"/>
        </w:rPr>
      </w:pPr>
      <w:r w:rsidRPr="00BA1000">
        <w:rPr>
          <w:rFonts w:ascii="Times New Roman" w:hAnsi="Times New Roman" w:cs="Times New Roman"/>
          <w:sz w:val="24"/>
          <w:szCs w:val="24"/>
          <w:highlight w:val="yellow"/>
        </w:rPr>
        <w:t>The country’s commitment to young women and children is driving positive transformation through innovative policies and integrated schemes. A range of flagship programmes for women, girls, and children have been reviewed above, outlining their achievements as well as the challenges they face</w:t>
      </w:r>
      <w:r w:rsidRPr="00426460">
        <w:rPr>
          <w:rFonts w:ascii="Times New Roman" w:hAnsi="Times New Roman" w:cs="Times New Roman"/>
          <w:sz w:val="24"/>
          <w:szCs w:val="24"/>
        </w:rPr>
        <w:t xml:space="preserve">. Mission Shakti’s holistic focus on empowerment, safety, education, and financial inclusion is strengthening the position of girls and women across the social and economic spheres. </w:t>
      </w:r>
      <w:r w:rsidRPr="00BA1000">
        <w:rPr>
          <w:rFonts w:ascii="Times New Roman" w:hAnsi="Times New Roman" w:cs="Times New Roman"/>
          <w:sz w:val="24"/>
          <w:szCs w:val="24"/>
          <w:highlight w:val="yellow"/>
        </w:rPr>
        <w:t>The schemes reviewed here have brought about measurable but uneven improvements in the lives of women and girls in India</w:t>
      </w:r>
      <w:r w:rsidRPr="00426460">
        <w:rPr>
          <w:rFonts w:ascii="Times New Roman" w:hAnsi="Times New Roman" w:cs="Times New Roman"/>
          <w:sz w:val="24"/>
          <w:szCs w:val="24"/>
        </w:rPr>
        <w:t xml:space="preserve">. The most substantial change has occurred through Mission Shakti’s network of self-help groups and access to low-interest credit. </w:t>
      </w:r>
      <w:r w:rsidRPr="00BA1000">
        <w:rPr>
          <w:rFonts w:ascii="Times New Roman" w:hAnsi="Times New Roman" w:cs="Times New Roman"/>
          <w:sz w:val="24"/>
          <w:szCs w:val="24"/>
          <w:highlight w:val="yellow"/>
        </w:rPr>
        <w:t>In many rural areas, the proportion of women who can obtain formal loans has risen from fewer than one in six to nearly one in two over the past decade</w:t>
      </w:r>
      <w:r w:rsidRPr="00426460">
        <w:rPr>
          <w:rFonts w:ascii="Times New Roman" w:hAnsi="Times New Roman" w:cs="Times New Roman"/>
          <w:sz w:val="24"/>
          <w:szCs w:val="24"/>
        </w:rPr>
        <w:t>. This has added several thousand rupees to the monthly household income for active members and has modestly increased women said in routine family decisions, even though most of the resulting enterprises remain small and vulnerable to fluctuations in raw-material costs.</w:t>
      </w:r>
    </w:p>
    <w:p w14:paraId="5CCAA379" w14:textId="77777777" w:rsidR="0066299D" w:rsidRPr="00426460" w:rsidRDefault="0066299D" w:rsidP="0066299D">
      <w:pPr>
        <w:spacing w:line="360" w:lineRule="auto"/>
        <w:jc w:val="both"/>
        <w:rPr>
          <w:rFonts w:ascii="Times New Roman" w:hAnsi="Times New Roman" w:cs="Times New Roman"/>
          <w:sz w:val="24"/>
          <w:szCs w:val="24"/>
        </w:rPr>
      </w:pPr>
      <w:r w:rsidRPr="0001420A">
        <w:rPr>
          <w:rFonts w:ascii="Times New Roman" w:hAnsi="Times New Roman" w:cs="Times New Roman"/>
          <w:sz w:val="24"/>
          <w:szCs w:val="24"/>
          <w:highlight w:val="yellow"/>
        </w:rPr>
        <w:t>Women’s active involvement is essential for India’s social and economic development. It is therefore important that gender sensitivity and gender-focused measures are built into all government schemes and ministerial initiatives. Tangible improvements in health, security, and opportunities reflect the vision of inclusive progress, establishing new benchmarks in the empowerment of India’s daughters and future generations. Looking ahead, gender inclusivity must be embedded at every stage of policy design, implementation, and monitoring. Ongoing proactive efforts will ensure that these achievements continue to uplift communities nationwide.</w:t>
      </w:r>
    </w:p>
    <w:p w14:paraId="64EE3CAF" w14:textId="77777777" w:rsidR="0066299D" w:rsidRDefault="0066299D" w:rsidP="0066299D">
      <w:pPr>
        <w:spacing w:line="360" w:lineRule="auto"/>
        <w:jc w:val="both"/>
        <w:rPr>
          <w:rFonts w:ascii="Times New Roman" w:hAnsi="Times New Roman" w:cs="Times New Roman"/>
          <w:b/>
          <w:bCs/>
          <w:sz w:val="24"/>
          <w:szCs w:val="24"/>
        </w:rPr>
      </w:pPr>
    </w:p>
    <w:p w14:paraId="229AFCB6" w14:textId="77777777" w:rsidR="0066299D" w:rsidRDefault="0066299D" w:rsidP="0066299D">
      <w:pPr>
        <w:spacing w:line="360" w:lineRule="auto"/>
        <w:jc w:val="both"/>
        <w:rPr>
          <w:rFonts w:ascii="Times New Roman" w:hAnsi="Times New Roman" w:cs="Times New Roman"/>
          <w:b/>
          <w:bCs/>
          <w:sz w:val="24"/>
          <w:szCs w:val="24"/>
        </w:rPr>
      </w:pPr>
    </w:p>
    <w:p w14:paraId="2EDDA49D" w14:textId="77777777" w:rsidR="0066299D" w:rsidRDefault="0066299D" w:rsidP="0066299D">
      <w:pPr>
        <w:spacing w:line="360" w:lineRule="auto"/>
        <w:jc w:val="both"/>
        <w:rPr>
          <w:rFonts w:ascii="Times New Roman" w:hAnsi="Times New Roman" w:cs="Times New Roman"/>
          <w:b/>
          <w:bCs/>
          <w:sz w:val="24"/>
          <w:szCs w:val="24"/>
        </w:rPr>
      </w:pPr>
    </w:p>
    <w:p w14:paraId="078ADB17" w14:textId="77777777" w:rsidR="003C0379" w:rsidRDefault="003C0379"/>
    <w:sectPr w:rsidR="003C03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829"/>
    <w:rsid w:val="00022829"/>
    <w:rsid w:val="003C0379"/>
    <w:rsid w:val="0066299D"/>
    <w:rsid w:val="008A76A7"/>
    <w:rsid w:val="008E44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1778AA-39D9-4D11-85B3-B17C813D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99D"/>
  </w:style>
  <w:style w:type="paragraph" w:styleId="Heading1">
    <w:name w:val="heading 1"/>
    <w:basedOn w:val="Normal"/>
    <w:next w:val="Normal"/>
    <w:link w:val="Heading1Char"/>
    <w:uiPriority w:val="9"/>
    <w:qFormat/>
    <w:rsid w:val="000228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28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28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28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28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28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8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8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8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8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28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28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28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28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28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8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8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829"/>
    <w:rPr>
      <w:rFonts w:eastAsiaTheme="majorEastAsia" w:cstheme="majorBidi"/>
      <w:color w:val="272727" w:themeColor="text1" w:themeTint="D8"/>
    </w:rPr>
  </w:style>
  <w:style w:type="paragraph" w:styleId="Title">
    <w:name w:val="Title"/>
    <w:basedOn w:val="Normal"/>
    <w:next w:val="Normal"/>
    <w:link w:val="TitleChar"/>
    <w:uiPriority w:val="10"/>
    <w:qFormat/>
    <w:rsid w:val="000228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8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8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8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829"/>
    <w:pPr>
      <w:spacing w:before="160"/>
      <w:jc w:val="center"/>
    </w:pPr>
    <w:rPr>
      <w:i/>
      <w:iCs/>
      <w:color w:val="404040" w:themeColor="text1" w:themeTint="BF"/>
    </w:rPr>
  </w:style>
  <w:style w:type="character" w:customStyle="1" w:styleId="QuoteChar">
    <w:name w:val="Quote Char"/>
    <w:basedOn w:val="DefaultParagraphFont"/>
    <w:link w:val="Quote"/>
    <w:uiPriority w:val="29"/>
    <w:rsid w:val="00022829"/>
    <w:rPr>
      <w:i/>
      <w:iCs/>
      <w:color w:val="404040" w:themeColor="text1" w:themeTint="BF"/>
    </w:rPr>
  </w:style>
  <w:style w:type="paragraph" w:styleId="ListParagraph">
    <w:name w:val="List Paragraph"/>
    <w:basedOn w:val="Normal"/>
    <w:uiPriority w:val="34"/>
    <w:qFormat/>
    <w:rsid w:val="00022829"/>
    <w:pPr>
      <w:ind w:left="720"/>
      <w:contextualSpacing/>
    </w:pPr>
  </w:style>
  <w:style w:type="character" w:styleId="IntenseEmphasis">
    <w:name w:val="Intense Emphasis"/>
    <w:basedOn w:val="DefaultParagraphFont"/>
    <w:uiPriority w:val="21"/>
    <w:qFormat/>
    <w:rsid w:val="00022829"/>
    <w:rPr>
      <w:i/>
      <w:iCs/>
      <w:color w:val="2F5496" w:themeColor="accent1" w:themeShade="BF"/>
    </w:rPr>
  </w:style>
  <w:style w:type="paragraph" w:styleId="IntenseQuote">
    <w:name w:val="Intense Quote"/>
    <w:basedOn w:val="Normal"/>
    <w:next w:val="Normal"/>
    <w:link w:val="IntenseQuoteChar"/>
    <w:uiPriority w:val="30"/>
    <w:qFormat/>
    <w:rsid w:val="000228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2829"/>
    <w:rPr>
      <w:i/>
      <w:iCs/>
      <w:color w:val="2F5496" w:themeColor="accent1" w:themeShade="BF"/>
    </w:rPr>
  </w:style>
  <w:style w:type="character" w:styleId="IntenseReference">
    <w:name w:val="Intense Reference"/>
    <w:basedOn w:val="DefaultParagraphFont"/>
    <w:uiPriority w:val="32"/>
    <w:qFormat/>
    <w:rsid w:val="00022829"/>
    <w:rPr>
      <w:b/>
      <w:bCs/>
      <w:smallCaps/>
      <w:color w:val="2F5496" w:themeColor="accent1" w:themeShade="BF"/>
      <w:spacing w:val="5"/>
    </w:rPr>
  </w:style>
  <w:style w:type="character" w:styleId="Hyperlink">
    <w:name w:val="Hyperlink"/>
    <w:basedOn w:val="DefaultParagraphFont"/>
    <w:uiPriority w:val="99"/>
    <w:unhideWhenUsed/>
    <w:rsid w:val="0066299D"/>
    <w:rPr>
      <w:color w:val="0563C1" w:themeColor="hyperlink"/>
      <w:u w:val="single"/>
    </w:rPr>
  </w:style>
  <w:style w:type="table" w:styleId="TableGrid">
    <w:name w:val="Table Grid"/>
    <w:basedOn w:val="TableNormal"/>
    <w:uiPriority w:val="59"/>
    <w:rsid w:val="00662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6299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theme" Target="theme/theme1.xml"/><Relationship Id="rId5" Type="http://schemas.openxmlformats.org/officeDocument/2006/relationships/diagramLayout" Target="diagrams/layout1.xml"/><Relationship Id="rId10" Type="http://schemas.openxmlformats.org/officeDocument/2006/relationships/fontTable" Target="fontTable.xml"/><Relationship Id="rId4" Type="http://schemas.openxmlformats.org/officeDocument/2006/relationships/diagramData" Target="diagrams/data1.xml"/><Relationship Id="rId9" Type="http://schemas.openxmlformats.org/officeDocument/2006/relationships/hyperlink" Target="https://www.pib.gov.in/PressReleasePage.aspx?PRID=2094929&amp;utm_source=chatgpt.com"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60AD49-5A7C-4495-8C30-AA0EFD4738EA}"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IN"/>
        </a:p>
      </dgm:t>
    </dgm:pt>
    <dgm:pt modelId="{2F20EEAD-23CE-42E3-B5D3-061743A6FE80}">
      <dgm:prSet/>
      <dgm:spPr/>
      <dgm:t>
        <a:bodyPr/>
        <a:lstStyle/>
        <a:p>
          <a:pPr algn="ctr">
            <a:buNone/>
          </a:pPr>
          <a:r>
            <a:rPr lang="en-IN" b="1">
              <a:solidFill>
                <a:schemeClr val="tx1"/>
              </a:solidFill>
            </a:rPr>
            <a:t>Mission Shakti (Sambal and Samarthya)</a:t>
          </a:r>
          <a:endParaRPr lang="en-IN">
            <a:solidFill>
              <a:schemeClr val="tx1"/>
            </a:solidFill>
          </a:endParaRPr>
        </a:p>
      </dgm:t>
    </dgm:pt>
    <dgm:pt modelId="{6EF9B25A-CF12-4071-A29F-34B1D31EF0A1}" type="parTrans" cxnId="{FD61FBB5-CD68-481C-812D-D6366EAACA01}">
      <dgm:prSet/>
      <dgm:spPr/>
      <dgm:t>
        <a:bodyPr/>
        <a:lstStyle/>
        <a:p>
          <a:pPr algn="ctr"/>
          <a:endParaRPr lang="en-IN"/>
        </a:p>
      </dgm:t>
    </dgm:pt>
    <dgm:pt modelId="{341DD5B6-51E2-4CCE-B100-46A1879A76FE}" type="sibTrans" cxnId="{FD61FBB5-CD68-481C-812D-D6366EAACA01}">
      <dgm:prSet/>
      <dgm:spPr/>
      <dgm:t>
        <a:bodyPr/>
        <a:lstStyle/>
        <a:p>
          <a:pPr algn="ctr"/>
          <a:endParaRPr lang="en-IN"/>
        </a:p>
      </dgm:t>
    </dgm:pt>
    <dgm:pt modelId="{26C46B23-B480-4398-8E46-11B5F26CB1B8}">
      <dgm:prSet/>
      <dgm:spPr/>
      <dgm:t>
        <a:bodyPr/>
        <a:lstStyle/>
        <a:p>
          <a:pPr algn="ctr">
            <a:buNone/>
          </a:pPr>
          <a:r>
            <a:rPr lang="en-IN" b="1">
              <a:solidFill>
                <a:schemeClr val="tx1"/>
              </a:solidFill>
            </a:rPr>
            <a:t>Pradhan Mantri Matru Vandana Yojana (PMMVY)</a:t>
          </a:r>
          <a:endParaRPr lang="en-IN">
            <a:solidFill>
              <a:schemeClr val="tx1"/>
            </a:solidFill>
          </a:endParaRPr>
        </a:p>
      </dgm:t>
    </dgm:pt>
    <dgm:pt modelId="{3FED63A1-28ED-46FB-A905-9E88BF7EE344}" type="parTrans" cxnId="{ED3092C8-BB2C-4A17-9487-2F1925030B5A}">
      <dgm:prSet/>
      <dgm:spPr/>
      <dgm:t>
        <a:bodyPr/>
        <a:lstStyle/>
        <a:p>
          <a:pPr algn="ctr"/>
          <a:endParaRPr lang="en-IN"/>
        </a:p>
      </dgm:t>
    </dgm:pt>
    <dgm:pt modelId="{F328CAFB-BA2F-40A8-AC49-1DA34D493F16}" type="sibTrans" cxnId="{ED3092C8-BB2C-4A17-9487-2F1925030B5A}">
      <dgm:prSet/>
      <dgm:spPr/>
      <dgm:t>
        <a:bodyPr/>
        <a:lstStyle/>
        <a:p>
          <a:pPr algn="ctr"/>
          <a:endParaRPr lang="en-IN"/>
        </a:p>
      </dgm:t>
    </dgm:pt>
    <dgm:pt modelId="{1B225356-319D-43DB-87D7-017C0B56C0B0}">
      <dgm:prSet/>
      <dgm:spPr/>
      <dgm:t>
        <a:bodyPr/>
        <a:lstStyle/>
        <a:p>
          <a:pPr algn="ctr">
            <a:buNone/>
          </a:pPr>
          <a:r>
            <a:rPr lang="en-IN" b="1">
              <a:solidFill>
                <a:schemeClr val="tx1"/>
              </a:solidFill>
            </a:rPr>
            <a:t>Working Women Hostels (Sakhi Niwas)</a:t>
          </a:r>
          <a:endParaRPr lang="en-IN">
            <a:solidFill>
              <a:schemeClr val="tx1"/>
            </a:solidFill>
          </a:endParaRPr>
        </a:p>
      </dgm:t>
    </dgm:pt>
    <dgm:pt modelId="{1E57E5D8-9B92-4D71-9BF9-1D98AE768678}" type="parTrans" cxnId="{4D221A4C-488B-4676-B49C-98FA887AD502}">
      <dgm:prSet/>
      <dgm:spPr/>
      <dgm:t>
        <a:bodyPr/>
        <a:lstStyle/>
        <a:p>
          <a:pPr algn="ctr"/>
          <a:endParaRPr lang="en-IN"/>
        </a:p>
      </dgm:t>
    </dgm:pt>
    <dgm:pt modelId="{6C0396F9-9A9A-41AD-BF25-C9E780B8C51A}" type="sibTrans" cxnId="{4D221A4C-488B-4676-B49C-98FA887AD502}">
      <dgm:prSet/>
      <dgm:spPr/>
      <dgm:t>
        <a:bodyPr/>
        <a:lstStyle/>
        <a:p>
          <a:pPr algn="ctr"/>
          <a:endParaRPr lang="en-IN"/>
        </a:p>
      </dgm:t>
    </dgm:pt>
    <dgm:pt modelId="{B01847B4-61CC-450D-9284-96F3048D9AB7}">
      <dgm:prSet/>
      <dgm:spPr/>
      <dgm:t>
        <a:bodyPr/>
        <a:lstStyle/>
        <a:p>
          <a:pPr algn="ctr">
            <a:buNone/>
          </a:pPr>
          <a:r>
            <a:rPr lang="en-IN" b="1">
              <a:solidFill>
                <a:schemeClr val="tx1"/>
              </a:solidFill>
            </a:rPr>
            <a:t>Beti Bachao Beti Padhao</a:t>
          </a:r>
          <a:endParaRPr lang="en-IN">
            <a:solidFill>
              <a:schemeClr val="tx1"/>
            </a:solidFill>
          </a:endParaRPr>
        </a:p>
      </dgm:t>
    </dgm:pt>
    <dgm:pt modelId="{C6586A85-3303-454A-88D1-F43500885D09}" type="parTrans" cxnId="{C25434CC-AD72-4311-95B6-46167D69518E}">
      <dgm:prSet/>
      <dgm:spPr/>
      <dgm:t>
        <a:bodyPr/>
        <a:lstStyle/>
        <a:p>
          <a:pPr algn="ctr"/>
          <a:endParaRPr lang="en-IN"/>
        </a:p>
      </dgm:t>
    </dgm:pt>
    <dgm:pt modelId="{759D4461-5FD3-4756-BA1A-1B8B540D59C1}" type="sibTrans" cxnId="{C25434CC-AD72-4311-95B6-46167D69518E}">
      <dgm:prSet/>
      <dgm:spPr/>
      <dgm:t>
        <a:bodyPr/>
        <a:lstStyle/>
        <a:p>
          <a:pPr algn="ctr"/>
          <a:endParaRPr lang="en-IN"/>
        </a:p>
      </dgm:t>
    </dgm:pt>
    <dgm:pt modelId="{4479226F-2469-4232-AF92-9F466121649B}">
      <dgm:prSet/>
      <dgm:spPr/>
      <dgm:t>
        <a:bodyPr/>
        <a:lstStyle/>
        <a:p>
          <a:pPr algn="ctr">
            <a:buNone/>
          </a:pPr>
          <a:r>
            <a:rPr lang="en-IN" b="1">
              <a:solidFill>
                <a:schemeClr val="tx1"/>
              </a:solidFill>
            </a:rPr>
            <a:t>Sukanya Samriddhi Yojana</a:t>
          </a:r>
          <a:endParaRPr lang="en-IN">
            <a:solidFill>
              <a:schemeClr val="tx1"/>
            </a:solidFill>
          </a:endParaRPr>
        </a:p>
      </dgm:t>
    </dgm:pt>
    <dgm:pt modelId="{96741714-391A-4F29-BC5E-AB0F2CE06BFA}" type="parTrans" cxnId="{A6E72AEE-DB60-4816-9D6F-946422B27EB8}">
      <dgm:prSet/>
      <dgm:spPr/>
      <dgm:t>
        <a:bodyPr/>
        <a:lstStyle/>
        <a:p>
          <a:pPr algn="ctr"/>
          <a:endParaRPr lang="en-IN"/>
        </a:p>
      </dgm:t>
    </dgm:pt>
    <dgm:pt modelId="{F045F6B0-D6C7-4F2A-AC3B-442335DE03AB}" type="sibTrans" cxnId="{A6E72AEE-DB60-4816-9D6F-946422B27EB8}">
      <dgm:prSet/>
      <dgm:spPr/>
      <dgm:t>
        <a:bodyPr/>
        <a:lstStyle/>
        <a:p>
          <a:pPr algn="ctr"/>
          <a:endParaRPr lang="en-IN"/>
        </a:p>
      </dgm:t>
    </dgm:pt>
    <dgm:pt modelId="{B90845B2-CBB7-43F4-9555-C27B1CB718E8}">
      <dgm:prSet/>
      <dgm:spPr/>
      <dgm:t>
        <a:bodyPr/>
        <a:lstStyle/>
        <a:p>
          <a:pPr algn="ctr">
            <a:buNone/>
          </a:pPr>
          <a:r>
            <a:rPr lang="en-IN" b="1">
              <a:solidFill>
                <a:schemeClr val="tx1"/>
              </a:solidFill>
            </a:rPr>
            <a:t>Rajiv Gandhi Scheme for Empowerment of Adolescent Boys (Saksham)</a:t>
          </a:r>
          <a:endParaRPr lang="en-IN">
            <a:solidFill>
              <a:schemeClr val="tx1"/>
            </a:solidFill>
          </a:endParaRPr>
        </a:p>
      </dgm:t>
    </dgm:pt>
    <dgm:pt modelId="{070E9174-98FA-4DF3-98FE-6FD41A3B52D6}" type="parTrans" cxnId="{E78F2BDA-7D4F-4E07-9C33-F23E4004AA08}">
      <dgm:prSet/>
      <dgm:spPr/>
      <dgm:t>
        <a:bodyPr/>
        <a:lstStyle/>
        <a:p>
          <a:pPr algn="ctr"/>
          <a:endParaRPr lang="en-IN"/>
        </a:p>
      </dgm:t>
    </dgm:pt>
    <dgm:pt modelId="{BF5EDA59-F58A-45CD-85D6-4FC8C5A200C9}" type="sibTrans" cxnId="{E78F2BDA-7D4F-4E07-9C33-F23E4004AA08}">
      <dgm:prSet/>
      <dgm:spPr/>
      <dgm:t>
        <a:bodyPr/>
        <a:lstStyle/>
        <a:p>
          <a:pPr algn="ctr"/>
          <a:endParaRPr lang="en-IN"/>
        </a:p>
      </dgm:t>
    </dgm:pt>
    <dgm:pt modelId="{813152E7-B90C-4EED-BA33-003F487AFC84}">
      <dgm:prSet/>
      <dgm:spPr/>
      <dgm:t>
        <a:bodyPr/>
        <a:lstStyle/>
        <a:p>
          <a:pPr algn="ctr">
            <a:buFont typeface="+mj-lt"/>
            <a:buAutoNum type="arabicPeriod" startAt="8"/>
          </a:pPr>
          <a:r>
            <a:rPr lang="en-IN" b="1">
              <a:solidFill>
                <a:schemeClr val="tx1"/>
              </a:solidFill>
            </a:rPr>
            <a:t>National Creche Scheme</a:t>
          </a:r>
        </a:p>
      </dgm:t>
    </dgm:pt>
    <dgm:pt modelId="{5B561BB3-40A6-4ADC-850A-6F92E692C01A}" type="parTrans" cxnId="{97AA6F3D-4AE9-49D4-A384-A5F0AECE2A5C}">
      <dgm:prSet/>
      <dgm:spPr/>
      <dgm:t>
        <a:bodyPr/>
        <a:lstStyle/>
        <a:p>
          <a:pPr algn="ctr"/>
          <a:endParaRPr lang="en-IN"/>
        </a:p>
      </dgm:t>
    </dgm:pt>
    <dgm:pt modelId="{71469772-3D95-4ECE-9E85-435870A2D771}" type="sibTrans" cxnId="{97AA6F3D-4AE9-49D4-A384-A5F0AECE2A5C}">
      <dgm:prSet/>
      <dgm:spPr/>
      <dgm:t>
        <a:bodyPr/>
        <a:lstStyle/>
        <a:p>
          <a:pPr algn="ctr"/>
          <a:endParaRPr lang="en-IN"/>
        </a:p>
      </dgm:t>
    </dgm:pt>
    <dgm:pt modelId="{C33A93F3-1461-4071-944C-B9EC74F62B38}" type="pres">
      <dgm:prSet presAssocID="{E960AD49-5A7C-4495-8C30-AA0EFD4738EA}" presName="diagram" presStyleCnt="0">
        <dgm:presLayoutVars>
          <dgm:dir/>
          <dgm:resizeHandles val="exact"/>
        </dgm:presLayoutVars>
      </dgm:prSet>
      <dgm:spPr/>
    </dgm:pt>
    <dgm:pt modelId="{97267386-7545-4849-96B9-899745F2FE67}" type="pres">
      <dgm:prSet presAssocID="{2F20EEAD-23CE-42E3-B5D3-061743A6FE80}" presName="node" presStyleLbl="node1" presStyleIdx="0" presStyleCnt="7">
        <dgm:presLayoutVars>
          <dgm:bulletEnabled val="1"/>
        </dgm:presLayoutVars>
      </dgm:prSet>
      <dgm:spPr/>
    </dgm:pt>
    <dgm:pt modelId="{0481EA0F-939A-47D6-BA51-DF410BE644FF}" type="pres">
      <dgm:prSet presAssocID="{341DD5B6-51E2-4CCE-B100-46A1879A76FE}" presName="sibTrans" presStyleCnt="0"/>
      <dgm:spPr/>
    </dgm:pt>
    <dgm:pt modelId="{A2A641D7-4EE9-42AA-8FD8-CC764765A251}" type="pres">
      <dgm:prSet presAssocID="{26C46B23-B480-4398-8E46-11B5F26CB1B8}" presName="node" presStyleLbl="node1" presStyleIdx="1" presStyleCnt="7">
        <dgm:presLayoutVars>
          <dgm:bulletEnabled val="1"/>
        </dgm:presLayoutVars>
      </dgm:prSet>
      <dgm:spPr/>
    </dgm:pt>
    <dgm:pt modelId="{DE9044F6-6583-4055-B730-6CE1AF6384AB}" type="pres">
      <dgm:prSet presAssocID="{F328CAFB-BA2F-40A8-AC49-1DA34D493F16}" presName="sibTrans" presStyleCnt="0"/>
      <dgm:spPr/>
    </dgm:pt>
    <dgm:pt modelId="{0B2EF040-D71B-4713-B082-A8F9B91877F0}" type="pres">
      <dgm:prSet presAssocID="{1B225356-319D-43DB-87D7-017C0B56C0B0}" presName="node" presStyleLbl="node1" presStyleIdx="2" presStyleCnt="7">
        <dgm:presLayoutVars>
          <dgm:bulletEnabled val="1"/>
        </dgm:presLayoutVars>
      </dgm:prSet>
      <dgm:spPr/>
    </dgm:pt>
    <dgm:pt modelId="{5338951F-10DD-49E8-A1AD-198B3116F7D2}" type="pres">
      <dgm:prSet presAssocID="{6C0396F9-9A9A-41AD-BF25-C9E780B8C51A}" presName="sibTrans" presStyleCnt="0"/>
      <dgm:spPr/>
    </dgm:pt>
    <dgm:pt modelId="{D6274F32-C7CB-4A42-B646-EF2DF0342192}" type="pres">
      <dgm:prSet presAssocID="{B01847B4-61CC-450D-9284-96F3048D9AB7}" presName="node" presStyleLbl="node1" presStyleIdx="3" presStyleCnt="7">
        <dgm:presLayoutVars>
          <dgm:bulletEnabled val="1"/>
        </dgm:presLayoutVars>
      </dgm:prSet>
      <dgm:spPr/>
    </dgm:pt>
    <dgm:pt modelId="{67762DFB-EA5B-4723-BBD4-497FA6849313}" type="pres">
      <dgm:prSet presAssocID="{759D4461-5FD3-4756-BA1A-1B8B540D59C1}" presName="sibTrans" presStyleCnt="0"/>
      <dgm:spPr/>
    </dgm:pt>
    <dgm:pt modelId="{E1003743-B652-4263-96B6-469134980AFA}" type="pres">
      <dgm:prSet presAssocID="{4479226F-2469-4232-AF92-9F466121649B}" presName="node" presStyleLbl="node1" presStyleIdx="4" presStyleCnt="7">
        <dgm:presLayoutVars>
          <dgm:bulletEnabled val="1"/>
        </dgm:presLayoutVars>
      </dgm:prSet>
      <dgm:spPr/>
    </dgm:pt>
    <dgm:pt modelId="{78A17D10-71B4-40DB-BD0B-BAC90A857000}" type="pres">
      <dgm:prSet presAssocID="{F045F6B0-D6C7-4F2A-AC3B-442335DE03AB}" presName="sibTrans" presStyleCnt="0"/>
      <dgm:spPr/>
    </dgm:pt>
    <dgm:pt modelId="{F16C6B80-80DB-4143-AD33-6E63E1CF78F8}" type="pres">
      <dgm:prSet presAssocID="{B90845B2-CBB7-43F4-9555-C27B1CB718E8}" presName="node" presStyleLbl="node1" presStyleIdx="5" presStyleCnt="7">
        <dgm:presLayoutVars>
          <dgm:bulletEnabled val="1"/>
        </dgm:presLayoutVars>
      </dgm:prSet>
      <dgm:spPr/>
    </dgm:pt>
    <dgm:pt modelId="{7717569F-35EA-4618-A874-AACD14A8B486}" type="pres">
      <dgm:prSet presAssocID="{BF5EDA59-F58A-45CD-85D6-4FC8C5A200C9}" presName="sibTrans" presStyleCnt="0"/>
      <dgm:spPr/>
    </dgm:pt>
    <dgm:pt modelId="{09307E4A-F40F-4EF1-AAB7-85BE15775053}" type="pres">
      <dgm:prSet presAssocID="{813152E7-B90C-4EED-BA33-003F487AFC84}" presName="node" presStyleLbl="node1" presStyleIdx="6" presStyleCnt="7">
        <dgm:presLayoutVars>
          <dgm:bulletEnabled val="1"/>
        </dgm:presLayoutVars>
      </dgm:prSet>
      <dgm:spPr/>
    </dgm:pt>
  </dgm:ptLst>
  <dgm:cxnLst>
    <dgm:cxn modelId="{8CC42F18-3A03-4D82-86A3-6FDFD52609F8}" type="presOf" srcId="{4479226F-2469-4232-AF92-9F466121649B}" destId="{E1003743-B652-4263-96B6-469134980AFA}" srcOrd="0" destOrd="0" presId="urn:microsoft.com/office/officeart/2005/8/layout/default"/>
    <dgm:cxn modelId="{93DF3F26-8057-4060-AF20-FD613AE932DE}" type="presOf" srcId="{E960AD49-5A7C-4495-8C30-AA0EFD4738EA}" destId="{C33A93F3-1461-4071-944C-B9EC74F62B38}" srcOrd="0" destOrd="0" presId="urn:microsoft.com/office/officeart/2005/8/layout/default"/>
    <dgm:cxn modelId="{97AA6F3D-4AE9-49D4-A384-A5F0AECE2A5C}" srcId="{E960AD49-5A7C-4495-8C30-AA0EFD4738EA}" destId="{813152E7-B90C-4EED-BA33-003F487AFC84}" srcOrd="6" destOrd="0" parTransId="{5B561BB3-40A6-4ADC-850A-6F92E692C01A}" sibTransId="{71469772-3D95-4ECE-9E85-435870A2D771}"/>
    <dgm:cxn modelId="{84D77061-95BD-4CB1-9072-15E84F3CE87E}" type="presOf" srcId="{26C46B23-B480-4398-8E46-11B5F26CB1B8}" destId="{A2A641D7-4EE9-42AA-8FD8-CC764765A251}" srcOrd="0" destOrd="0" presId="urn:microsoft.com/office/officeart/2005/8/layout/default"/>
    <dgm:cxn modelId="{4D221A4C-488B-4676-B49C-98FA887AD502}" srcId="{E960AD49-5A7C-4495-8C30-AA0EFD4738EA}" destId="{1B225356-319D-43DB-87D7-017C0B56C0B0}" srcOrd="2" destOrd="0" parTransId="{1E57E5D8-9B92-4D71-9BF9-1D98AE768678}" sibTransId="{6C0396F9-9A9A-41AD-BF25-C9E780B8C51A}"/>
    <dgm:cxn modelId="{DC4BFA6C-4036-4E31-9015-BDD12F85EA32}" type="presOf" srcId="{B90845B2-CBB7-43F4-9555-C27B1CB718E8}" destId="{F16C6B80-80DB-4143-AD33-6E63E1CF78F8}" srcOrd="0" destOrd="0" presId="urn:microsoft.com/office/officeart/2005/8/layout/default"/>
    <dgm:cxn modelId="{6D37FA75-0EBA-4283-BFE3-5076364C0785}" type="presOf" srcId="{813152E7-B90C-4EED-BA33-003F487AFC84}" destId="{09307E4A-F40F-4EF1-AAB7-85BE15775053}" srcOrd="0" destOrd="0" presId="urn:microsoft.com/office/officeart/2005/8/layout/default"/>
    <dgm:cxn modelId="{D75D0695-B919-4757-BB72-19F14A160BF2}" type="presOf" srcId="{1B225356-319D-43DB-87D7-017C0B56C0B0}" destId="{0B2EF040-D71B-4713-B082-A8F9B91877F0}" srcOrd="0" destOrd="0" presId="urn:microsoft.com/office/officeart/2005/8/layout/default"/>
    <dgm:cxn modelId="{FD61FBB5-CD68-481C-812D-D6366EAACA01}" srcId="{E960AD49-5A7C-4495-8C30-AA0EFD4738EA}" destId="{2F20EEAD-23CE-42E3-B5D3-061743A6FE80}" srcOrd="0" destOrd="0" parTransId="{6EF9B25A-CF12-4071-A29F-34B1D31EF0A1}" sibTransId="{341DD5B6-51E2-4CCE-B100-46A1879A76FE}"/>
    <dgm:cxn modelId="{F6BFCBB6-01E6-450B-9C3D-0F1095223985}" type="presOf" srcId="{2F20EEAD-23CE-42E3-B5D3-061743A6FE80}" destId="{97267386-7545-4849-96B9-899745F2FE67}" srcOrd="0" destOrd="0" presId="urn:microsoft.com/office/officeart/2005/8/layout/default"/>
    <dgm:cxn modelId="{99B681C6-239B-4283-A455-1B50AB012624}" type="presOf" srcId="{B01847B4-61CC-450D-9284-96F3048D9AB7}" destId="{D6274F32-C7CB-4A42-B646-EF2DF0342192}" srcOrd="0" destOrd="0" presId="urn:microsoft.com/office/officeart/2005/8/layout/default"/>
    <dgm:cxn modelId="{ED3092C8-BB2C-4A17-9487-2F1925030B5A}" srcId="{E960AD49-5A7C-4495-8C30-AA0EFD4738EA}" destId="{26C46B23-B480-4398-8E46-11B5F26CB1B8}" srcOrd="1" destOrd="0" parTransId="{3FED63A1-28ED-46FB-A905-9E88BF7EE344}" sibTransId="{F328CAFB-BA2F-40A8-AC49-1DA34D493F16}"/>
    <dgm:cxn modelId="{C25434CC-AD72-4311-95B6-46167D69518E}" srcId="{E960AD49-5A7C-4495-8C30-AA0EFD4738EA}" destId="{B01847B4-61CC-450D-9284-96F3048D9AB7}" srcOrd="3" destOrd="0" parTransId="{C6586A85-3303-454A-88D1-F43500885D09}" sibTransId="{759D4461-5FD3-4756-BA1A-1B8B540D59C1}"/>
    <dgm:cxn modelId="{E78F2BDA-7D4F-4E07-9C33-F23E4004AA08}" srcId="{E960AD49-5A7C-4495-8C30-AA0EFD4738EA}" destId="{B90845B2-CBB7-43F4-9555-C27B1CB718E8}" srcOrd="5" destOrd="0" parTransId="{070E9174-98FA-4DF3-98FE-6FD41A3B52D6}" sibTransId="{BF5EDA59-F58A-45CD-85D6-4FC8C5A200C9}"/>
    <dgm:cxn modelId="{A6E72AEE-DB60-4816-9D6F-946422B27EB8}" srcId="{E960AD49-5A7C-4495-8C30-AA0EFD4738EA}" destId="{4479226F-2469-4232-AF92-9F466121649B}" srcOrd="4" destOrd="0" parTransId="{96741714-391A-4F29-BC5E-AB0F2CE06BFA}" sibTransId="{F045F6B0-D6C7-4F2A-AC3B-442335DE03AB}"/>
    <dgm:cxn modelId="{469C8279-052D-4875-A195-FB8280804EB9}" type="presParOf" srcId="{C33A93F3-1461-4071-944C-B9EC74F62B38}" destId="{97267386-7545-4849-96B9-899745F2FE67}" srcOrd="0" destOrd="0" presId="urn:microsoft.com/office/officeart/2005/8/layout/default"/>
    <dgm:cxn modelId="{2B232EC2-B948-4C9F-A507-5C3CE3127DCE}" type="presParOf" srcId="{C33A93F3-1461-4071-944C-B9EC74F62B38}" destId="{0481EA0F-939A-47D6-BA51-DF410BE644FF}" srcOrd="1" destOrd="0" presId="urn:microsoft.com/office/officeart/2005/8/layout/default"/>
    <dgm:cxn modelId="{C84028B6-9A31-4BC6-AB63-C4827E324C57}" type="presParOf" srcId="{C33A93F3-1461-4071-944C-B9EC74F62B38}" destId="{A2A641D7-4EE9-42AA-8FD8-CC764765A251}" srcOrd="2" destOrd="0" presId="urn:microsoft.com/office/officeart/2005/8/layout/default"/>
    <dgm:cxn modelId="{1AE61D06-3A36-461E-9122-87B8B683F7EA}" type="presParOf" srcId="{C33A93F3-1461-4071-944C-B9EC74F62B38}" destId="{DE9044F6-6583-4055-B730-6CE1AF6384AB}" srcOrd="3" destOrd="0" presId="urn:microsoft.com/office/officeart/2005/8/layout/default"/>
    <dgm:cxn modelId="{A6B64A6E-5810-40D1-896C-DA2CF6C33E02}" type="presParOf" srcId="{C33A93F3-1461-4071-944C-B9EC74F62B38}" destId="{0B2EF040-D71B-4713-B082-A8F9B91877F0}" srcOrd="4" destOrd="0" presId="urn:microsoft.com/office/officeart/2005/8/layout/default"/>
    <dgm:cxn modelId="{0815A4C5-982B-4E3D-BC9F-A3B6BA02898A}" type="presParOf" srcId="{C33A93F3-1461-4071-944C-B9EC74F62B38}" destId="{5338951F-10DD-49E8-A1AD-198B3116F7D2}" srcOrd="5" destOrd="0" presId="urn:microsoft.com/office/officeart/2005/8/layout/default"/>
    <dgm:cxn modelId="{DDD224B2-B3F7-40CA-A7F3-89AA5EA175BE}" type="presParOf" srcId="{C33A93F3-1461-4071-944C-B9EC74F62B38}" destId="{D6274F32-C7CB-4A42-B646-EF2DF0342192}" srcOrd="6" destOrd="0" presId="urn:microsoft.com/office/officeart/2005/8/layout/default"/>
    <dgm:cxn modelId="{C5287F54-F9C0-4D49-8958-F6810335740D}" type="presParOf" srcId="{C33A93F3-1461-4071-944C-B9EC74F62B38}" destId="{67762DFB-EA5B-4723-BBD4-497FA6849313}" srcOrd="7" destOrd="0" presId="urn:microsoft.com/office/officeart/2005/8/layout/default"/>
    <dgm:cxn modelId="{644084BE-5E9F-4E66-A403-ED273F2D4845}" type="presParOf" srcId="{C33A93F3-1461-4071-944C-B9EC74F62B38}" destId="{E1003743-B652-4263-96B6-469134980AFA}" srcOrd="8" destOrd="0" presId="urn:microsoft.com/office/officeart/2005/8/layout/default"/>
    <dgm:cxn modelId="{9D2CD1B1-5791-405C-8D62-5921322A339E}" type="presParOf" srcId="{C33A93F3-1461-4071-944C-B9EC74F62B38}" destId="{78A17D10-71B4-40DB-BD0B-BAC90A857000}" srcOrd="9" destOrd="0" presId="urn:microsoft.com/office/officeart/2005/8/layout/default"/>
    <dgm:cxn modelId="{E0F6988A-908B-467A-9A5C-4995C3E72D78}" type="presParOf" srcId="{C33A93F3-1461-4071-944C-B9EC74F62B38}" destId="{F16C6B80-80DB-4143-AD33-6E63E1CF78F8}" srcOrd="10" destOrd="0" presId="urn:microsoft.com/office/officeart/2005/8/layout/default"/>
    <dgm:cxn modelId="{B630630A-CB25-4E3B-858D-8881E91F9BD0}" type="presParOf" srcId="{C33A93F3-1461-4071-944C-B9EC74F62B38}" destId="{7717569F-35EA-4618-A874-AACD14A8B486}" srcOrd="11" destOrd="0" presId="urn:microsoft.com/office/officeart/2005/8/layout/default"/>
    <dgm:cxn modelId="{D74624EF-0C2D-4424-934A-C102E73BE5ED}" type="presParOf" srcId="{C33A93F3-1461-4071-944C-B9EC74F62B38}" destId="{09307E4A-F40F-4EF1-AAB7-85BE15775053}" srcOrd="12" destOrd="0" presId="urn:microsoft.com/office/officeart/2005/8/layout/default"/>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267386-7545-4849-96B9-899745F2FE67}">
      <dsp:nvSpPr>
        <dsp:cNvPr id="0" name=""/>
        <dsp:cNvSpPr/>
      </dsp:nvSpPr>
      <dsp:spPr>
        <a:xfrm>
          <a:off x="0" y="124618"/>
          <a:ext cx="1407318" cy="84439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rPr>
            <a:t>Mission Shakti (Sambal and Samarthya)</a:t>
          </a:r>
          <a:endParaRPr lang="en-IN" sz="1100" kern="1200">
            <a:solidFill>
              <a:schemeClr val="tx1"/>
            </a:solidFill>
          </a:endParaRPr>
        </a:p>
      </dsp:txBody>
      <dsp:txXfrm>
        <a:off x="0" y="124618"/>
        <a:ext cx="1407318" cy="844391"/>
      </dsp:txXfrm>
    </dsp:sp>
    <dsp:sp modelId="{A2A641D7-4EE9-42AA-8FD8-CC764765A251}">
      <dsp:nvSpPr>
        <dsp:cNvPr id="0" name=""/>
        <dsp:cNvSpPr/>
      </dsp:nvSpPr>
      <dsp:spPr>
        <a:xfrm>
          <a:off x="1548050" y="124618"/>
          <a:ext cx="1407318" cy="844391"/>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rPr>
            <a:t>Pradhan Mantri Matru Vandana Yojana (PMMVY)</a:t>
          </a:r>
          <a:endParaRPr lang="en-IN" sz="1100" kern="1200">
            <a:solidFill>
              <a:schemeClr val="tx1"/>
            </a:solidFill>
          </a:endParaRPr>
        </a:p>
      </dsp:txBody>
      <dsp:txXfrm>
        <a:off x="1548050" y="124618"/>
        <a:ext cx="1407318" cy="844391"/>
      </dsp:txXfrm>
    </dsp:sp>
    <dsp:sp modelId="{0B2EF040-D71B-4713-B082-A8F9B91877F0}">
      <dsp:nvSpPr>
        <dsp:cNvPr id="0" name=""/>
        <dsp:cNvSpPr/>
      </dsp:nvSpPr>
      <dsp:spPr>
        <a:xfrm>
          <a:off x="3096101" y="124618"/>
          <a:ext cx="1407318" cy="84439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rPr>
            <a:t>Working Women Hostels (Sakhi Niwas)</a:t>
          </a:r>
          <a:endParaRPr lang="en-IN" sz="1100" kern="1200">
            <a:solidFill>
              <a:schemeClr val="tx1"/>
            </a:solidFill>
          </a:endParaRPr>
        </a:p>
      </dsp:txBody>
      <dsp:txXfrm>
        <a:off x="3096101" y="124618"/>
        <a:ext cx="1407318" cy="844391"/>
      </dsp:txXfrm>
    </dsp:sp>
    <dsp:sp modelId="{D6274F32-C7CB-4A42-B646-EF2DF0342192}">
      <dsp:nvSpPr>
        <dsp:cNvPr id="0" name=""/>
        <dsp:cNvSpPr/>
      </dsp:nvSpPr>
      <dsp:spPr>
        <a:xfrm>
          <a:off x="0" y="1109741"/>
          <a:ext cx="1407318" cy="84439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rPr>
            <a:t>Beti Bachao Beti Padhao</a:t>
          </a:r>
          <a:endParaRPr lang="en-IN" sz="1100" kern="1200">
            <a:solidFill>
              <a:schemeClr val="tx1"/>
            </a:solidFill>
          </a:endParaRPr>
        </a:p>
      </dsp:txBody>
      <dsp:txXfrm>
        <a:off x="0" y="1109741"/>
        <a:ext cx="1407318" cy="844391"/>
      </dsp:txXfrm>
    </dsp:sp>
    <dsp:sp modelId="{E1003743-B652-4263-96B6-469134980AFA}">
      <dsp:nvSpPr>
        <dsp:cNvPr id="0" name=""/>
        <dsp:cNvSpPr/>
      </dsp:nvSpPr>
      <dsp:spPr>
        <a:xfrm>
          <a:off x="1548050" y="1109741"/>
          <a:ext cx="1407318" cy="84439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rPr>
            <a:t>Sukanya Samriddhi Yojana</a:t>
          </a:r>
          <a:endParaRPr lang="en-IN" sz="1100" kern="1200">
            <a:solidFill>
              <a:schemeClr val="tx1"/>
            </a:solidFill>
          </a:endParaRPr>
        </a:p>
      </dsp:txBody>
      <dsp:txXfrm>
        <a:off x="1548050" y="1109741"/>
        <a:ext cx="1407318" cy="844391"/>
      </dsp:txXfrm>
    </dsp:sp>
    <dsp:sp modelId="{F16C6B80-80DB-4143-AD33-6E63E1CF78F8}">
      <dsp:nvSpPr>
        <dsp:cNvPr id="0" name=""/>
        <dsp:cNvSpPr/>
      </dsp:nvSpPr>
      <dsp:spPr>
        <a:xfrm>
          <a:off x="3096101" y="1109741"/>
          <a:ext cx="1407318" cy="84439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rPr>
            <a:t>Rajiv Gandhi Scheme for Empowerment of Adolescent Boys (Saksham)</a:t>
          </a:r>
          <a:endParaRPr lang="en-IN" sz="1100" kern="1200">
            <a:solidFill>
              <a:schemeClr val="tx1"/>
            </a:solidFill>
          </a:endParaRPr>
        </a:p>
      </dsp:txBody>
      <dsp:txXfrm>
        <a:off x="3096101" y="1109741"/>
        <a:ext cx="1407318" cy="844391"/>
      </dsp:txXfrm>
    </dsp:sp>
    <dsp:sp modelId="{09307E4A-F40F-4EF1-AAB7-85BE15775053}">
      <dsp:nvSpPr>
        <dsp:cNvPr id="0" name=""/>
        <dsp:cNvSpPr/>
      </dsp:nvSpPr>
      <dsp:spPr>
        <a:xfrm>
          <a:off x="1548050" y="2094865"/>
          <a:ext cx="1407318" cy="844391"/>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IN" sz="1100" b="1" kern="1200">
              <a:solidFill>
                <a:schemeClr val="tx1"/>
              </a:solidFill>
            </a:rPr>
            <a:t>National Creche Scheme</a:t>
          </a:r>
        </a:p>
      </dsp:txBody>
      <dsp:txXfrm>
        <a:off x="1548050" y="2094865"/>
        <a:ext cx="1407318" cy="84439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2742</Words>
  <Characters>15635</Characters>
  <Application>Microsoft Office Word</Application>
  <DocSecurity>0</DocSecurity>
  <Lines>130</Lines>
  <Paragraphs>36</Paragraphs>
  <ScaleCrop>false</ScaleCrop>
  <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saigita chittru</dc:creator>
  <cp:keywords/>
  <dc:description/>
  <cp:lastModifiedBy>saigita chittru</cp:lastModifiedBy>
  <cp:revision>2</cp:revision>
  <dcterms:created xsi:type="dcterms:W3CDTF">2025-12-28T04:57:00Z</dcterms:created>
  <dcterms:modified xsi:type="dcterms:W3CDTF">2025-12-28T04:57:00Z</dcterms:modified>
</cp:coreProperties>
</file>