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A9493E6" w14:textId="77777777" w:rsidR="00A257EC" w:rsidRDefault="00A257EC" w:rsidP="00A257EC">
      <w:pPr>
        <w:spacing w:line="360" w:lineRule="auto"/>
        <w:jc w:val="both"/>
        <w:rPr>
          <w:rFonts w:ascii="Times New Roman" w:hAnsi="Times New Roman" w:cs="Times New Roman"/>
          <w:sz w:val="24"/>
          <w:szCs w:val="24"/>
        </w:rPr>
      </w:pPr>
      <w:r w:rsidRPr="004A1E12">
        <w:rPr>
          <w:rFonts w:ascii="Times New Roman" w:hAnsi="Times New Roman" w:cs="Times New Roman"/>
          <w:color w:val="EE0000"/>
          <w:sz w:val="24"/>
          <w:szCs w:val="24"/>
        </w:rPr>
        <w:t xml:space="preserve">Total phenolic content (TPC) exhibited marked variation across different plant organs in all three Cleome species, demonstrating a consistent hierarchical pattern: edible parts &gt; stems &gt; roots. </w:t>
      </w:r>
      <w:r w:rsidRPr="00FD7ABB">
        <w:rPr>
          <w:rFonts w:ascii="Times New Roman" w:hAnsi="Times New Roman" w:cs="Times New Roman"/>
          <w:sz w:val="24"/>
          <w:szCs w:val="24"/>
        </w:rPr>
        <w:t>In C. viscosa, edible parts contained 892.6 mg GAE/100 g DW, approximately 3.2-fold and 3.9-fold higher than stems (278.9 mg GAE/100 g DW) and roots (225.2 mg GAE/100 g DW), respectively. Similarly, C. rutidosperma edible tissues showed 829.6 mg GAE/100 g DW, representing a 3.4-fold enrichment compared to stems (242.5 mg GAE/100 g DW) and significantly exceeding roots (376.5 mg GAE/100 g DW). C. gynandra edible parts accumulated 540.4 mg GAE/100 g DW, 2.1-fold higher than stems (258.8 mg GAE/100 g DW) and 2.5-fold greater than roots (212.6 mg GAE/100 g DW).</w:t>
      </w:r>
    </w:p>
    <w:p w14:paraId="60FAD431" w14:textId="77777777" w:rsidR="00A257EC" w:rsidRDefault="00A257EC" w:rsidP="00A257EC">
      <w:pPr>
        <w:spacing w:line="360" w:lineRule="auto"/>
        <w:jc w:val="both"/>
        <w:rPr>
          <w:rFonts w:ascii="Times New Roman" w:hAnsi="Times New Roman" w:cs="Times New Roman"/>
          <w:sz w:val="24"/>
          <w:szCs w:val="24"/>
        </w:rPr>
      </w:pPr>
      <w:r w:rsidRPr="00BD788A">
        <w:rPr>
          <w:rFonts w:ascii="Times New Roman" w:hAnsi="Times New Roman" w:cs="Times New Roman"/>
          <w:sz w:val="24"/>
          <w:szCs w:val="24"/>
        </w:rPr>
        <w:t>The three Cleome species examined demonstrated distinct phenolic accumulation patterns across different plant tissues. In edible parts, C. viscosa exhibited the highest total phenolic content (TPC) at 892.6 mg GAE/100g DW, followed by C. rutidosperma (829.6 mg GAE/100g DW) and C. gynandra (540.4 mg GAE/100g DW). Stem tissue TPC showed more uniform distribution, with C. gynandra (258.8 mg GAE/100g DW), C. rutidosperma (242.5 mg GAE/100g DW), and C. viscosa (278.9 mg GAE/100g DW) displaying comparable values. Notably, root TPC revealed the most significant variation, with C. rutidosperma reaching 376.5 mg GAE/100g DW—substantially exceeding C. viscosa (225.2 mg GAE/100g DW) and C. gynandra (212.6 mg GAE/100g DW) by 67% and 77%, respectively.</w:t>
      </w:r>
    </w:p>
    <w:p w14:paraId="511C7F3C" w14:textId="77777777" w:rsidR="00A257EC" w:rsidRPr="004A29A6" w:rsidRDefault="00A257EC" w:rsidP="00A257EC">
      <w:pPr>
        <w:spacing w:line="360" w:lineRule="auto"/>
        <w:jc w:val="both"/>
        <w:rPr>
          <w:rFonts w:ascii="Times New Roman" w:hAnsi="Times New Roman" w:cs="Times New Roman"/>
          <w:sz w:val="24"/>
          <w:szCs w:val="24"/>
        </w:rPr>
      </w:pPr>
      <w:r w:rsidRPr="004A29A6">
        <w:rPr>
          <w:rFonts w:ascii="Times New Roman" w:hAnsi="Times New Roman" w:cs="Times New Roman"/>
          <w:sz w:val="24"/>
          <w:szCs w:val="24"/>
        </w:rPr>
        <w:t>This differential accumulation reflects several interconnected factors that govern phenolic biosynthesis. Light availability emerges as the primary environmental regulator of the phenylpropanoid pathway. Photosynthetically active tissues receiving direct solar radiation trigger transcriptional activation of key biosynthetic genes including phenylalanine ammonia-lyase (PAL), cinnamate 4-hydroxylase (C4H), and 4-coumarate:CoA ligase (4CL) through UV-B photoreceptors and light-responsive transcription factors such as HY5 and COP1 (Jenkins, 2009; Lau and Deng, 2010). The edible aerial parts, being maximally exposed to photosynthetically active radiation (PAR) and UV-B wavelengths (280–320 nm), upregulate these enzymes to produce phenolic sunscreens that absorb damaging UV radiation and dissipate excess energy as heat, protecting cellular components from photodamage (Agati et al., 2012; Neugart and Schreiner, 2018).</w:t>
      </w:r>
    </w:p>
    <w:p w14:paraId="4D49F71D" w14:textId="77777777" w:rsidR="00A257EC" w:rsidRPr="004A29A6" w:rsidRDefault="00A257EC" w:rsidP="00A257EC">
      <w:pPr>
        <w:spacing w:line="360" w:lineRule="auto"/>
        <w:jc w:val="both"/>
        <w:rPr>
          <w:rFonts w:ascii="Times New Roman" w:hAnsi="Times New Roman" w:cs="Times New Roman"/>
          <w:sz w:val="24"/>
          <w:szCs w:val="24"/>
        </w:rPr>
      </w:pPr>
      <w:r w:rsidRPr="004A29A6">
        <w:rPr>
          <w:rFonts w:ascii="Times New Roman" w:hAnsi="Times New Roman" w:cs="Times New Roman"/>
          <w:sz w:val="24"/>
          <w:szCs w:val="24"/>
        </w:rPr>
        <w:lastRenderedPageBreak/>
        <w:t>Oxidative stress intensity also varies dramatically between plant organs. Aerial photosynthetic tissues generate substantial reactive oxygen species (ROS) during photosynthesis, particularly under high light conditions when electron transport chains become saturated (Foyer and Noctor, 2011). The Mehler reaction and photorespiration in chloroplasts produce superoxide radicals (O₂•⁻) and hydrogen peroxide (H₂O₂), requiring robust antioxidant defenses (Mittler, 2017). Phenolic compounds, particularly those with ortho-dihydroxy configurations, serve as sacrificial antioxidants that quench ROS and prevent lipid peroxidation, protein oxidation, and DNA damage (Rice-Evans et al., 1997). The lower phenolic content in roots reflects reduced ROS generation in heterotrophic, non-photosynthetic tissues, though moderate levels persist to combat oxidative stress from soil-borne metals, anaerobic conditions, and microbial interactions (Blokhina et al., 2003).</w:t>
      </w:r>
    </w:p>
    <w:p w14:paraId="2999F6F7" w14:textId="77777777" w:rsidR="00A257EC" w:rsidRPr="004A29A6" w:rsidRDefault="00A257EC" w:rsidP="00A257EC">
      <w:pPr>
        <w:spacing w:line="360" w:lineRule="auto"/>
        <w:jc w:val="both"/>
        <w:rPr>
          <w:rFonts w:ascii="Times New Roman" w:hAnsi="Times New Roman" w:cs="Times New Roman"/>
          <w:sz w:val="24"/>
          <w:szCs w:val="24"/>
        </w:rPr>
      </w:pPr>
      <w:r w:rsidRPr="004A29A6">
        <w:rPr>
          <w:rFonts w:ascii="Times New Roman" w:hAnsi="Times New Roman" w:cs="Times New Roman"/>
          <w:sz w:val="24"/>
          <w:szCs w:val="24"/>
        </w:rPr>
        <w:t>Tissue-specific metabolic priorities further influence resource allocation to secondary metabolism. Aerial tissues prioritize defense compound production because they represent greater fitness value—housing reproductive structures and primary photosynthetic machinery—and face higher herbivore pressure according to optimal defense theory (McKey, 1974; Zangerl and Bazzaz, 1992). Conversely, roots allocate more resources to primary metabolism supporting nutrient acquisition, structural growth, and storage functions, which suppresses phenylpropanoid pathway flux (Naikoo et al., 2019). Additionally, precursor molecule availability differs between organs; aerial parts maintain higher phenylalanine and tyrosine pools from active photosynthesis, directly feeding phenolic biosynthesis, whereas roots depend on translocated precursors (Vogt, 2010).</w:t>
      </w:r>
    </w:p>
    <w:p w14:paraId="12A43CFF" w14:textId="77777777" w:rsidR="00A257EC" w:rsidRDefault="00A257EC" w:rsidP="00A257EC">
      <w:pPr>
        <w:spacing w:line="360" w:lineRule="auto"/>
        <w:jc w:val="both"/>
        <w:rPr>
          <w:rFonts w:ascii="Times New Roman" w:hAnsi="Times New Roman" w:cs="Times New Roman"/>
          <w:sz w:val="24"/>
          <w:szCs w:val="24"/>
        </w:rPr>
      </w:pPr>
      <w:r w:rsidRPr="004A29A6">
        <w:rPr>
          <w:rFonts w:ascii="Times New Roman" w:hAnsi="Times New Roman" w:cs="Times New Roman"/>
          <w:sz w:val="24"/>
          <w:szCs w:val="24"/>
        </w:rPr>
        <w:t>Developmental regulation also shapes organ-specific phenolic patterns. Young, actively growing edible tissues often exhibit elevated phenolic synthesis as part of developmental programming and wound-induced defense responses following mechanical damage from wind, rain, or herbivory (Ncube et al., 2012). Stems, serving primarily transport and structural functions, maintain intermediate phenolic levels adequate for lignification and vascular tissue development. The moderate stem TPC across species likely reflects constitutive phenolic production for lignin biosynthesis through the monolignol pathway, which branches from the general phenylpropanoid pathway (Bonawitz and Chapple, 2010).</w:t>
      </w:r>
    </w:p>
    <w:p w14:paraId="41C4BF41" w14:textId="77777777" w:rsidR="00A257EC" w:rsidRDefault="00A257EC" w:rsidP="00A257EC">
      <w:pPr>
        <w:spacing w:line="360" w:lineRule="auto"/>
        <w:jc w:val="both"/>
        <w:rPr>
          <w:rFonts w:ascii="Times New Roman" w:hAnsi="Times New Roman" w:cs="Times New Roman"/>
          <w:sz w:val="24"/>
          <w:szCs w:val="24"/>
        </w:rPr>
      </w:pPr>
    </w:p>
    <w:p w14:paraId="31EC694E" w14:textId="77777777" w:rsidR="00A257EC" w:rsidRDefault="00A257EC" w:rsidP="00A257EC">
      <w:pPr>
        <w:spacing w:line="360" w:lineRule="auto"/>
        <w:jc w:val="both"/>
        <w:rPr>
          <w:rFonts w:ascii="Times New Roman" w:hAnsi="Times New Roman" w:cs="Times New Roman"/>
          <w:sz w:val="24"/>
          <w:szCs w:val="24"/>
        </w:rPr>
      </w:pPr>
      <w:r w:rsidRPr="00FD1AB2">
        <w:rPr>
          <w:rFonts w:ascii="Times New Roman" w:hAnsi="Times New Roman" w:cs="Times New Roman"/>
          <w:sz w:val="24"/>
          <w:szCs w:val="24"/>
        </w:rPr>
        <w:lastRenderedPageBreak/>
        <w:t>The observed interspecific variations stem from complex interactions between genetic, ecological, and evolutionary factors. Genetic diversity in phenylpropanoid pathway genes plays a crucial role, with variations in transcription factor networks—particularly MYB, bHLH, and WD40 complexes—generating species-specific phenolic profiles (Liu et al., 2015; Tohge et al., 2013; Xu et al., 2015).</w:t>
      </w:r>
      <w:r>
        <w:rPr>
          <w:rFonts w:ascii="Times New Roman" w:hAnsi="Times New Roman" w:cs="Times New Roman"/>
          <w:sz w:val="24"/>
          <w:szCs w:val="24"/>
        </w:rPr>
        <w:t xml:space="preserve"> </w:t>
      </w:r>
      <w:r w:rsidRPr="00FD1AB2">
        <w:rPr>
          <w:rFonts w:ascii="Times New Roman" w:hAnsi="Times New Roman" w:cs="Times New Roman"/>
          <w:sz w:val="24"/>
          <w:szCs w:val="24"/>
        </w:rPr>
        <w:t xml:space="preserve"> The elevated TPC in C. viscosa edible parts suggests enhanced expression or activity of these positive regulators, or reduced activity of negative regulators like MYB4 that repress phenolic biosynthesis (Jin et al., 2000).</w:t>
      </w:r>
      <w:r>
        <w:rPr>
          <w:rFonts w:ascii="Times New Roman" w:hAnsi="Times New Roman" w:cs="Times New Roman"/>
          <w:sz w:val="24"/>
          <w:szCs w:val="24"/>
        </w:rPr>
        <w:t xml:space="preserve"> </w:t>
      </w:r>
      <w:r w:rsidRPr="00FD1AB2">
        <w:rPr>
          <w:rFonts w:ascii="Times New Roman" w:hAnsi="Times New Roman" w:cs="Times New Roman"/>
          <w:sz w:val="24"/>
          <w:szCs w:val="24"/>
        </w:rPr>
        <w:t>The exceptionally high root TPC in C. rutidosperma suggests specialized adaptive strategies. Elevated root phenolics may serve multiple functions, including metal ion chelation, rhizosphere interaction modulation, and stress response preparation (Michalak, 2006; Mandal et al., 2010; Kisa et al., 2016). This pattern aligns with the carbon-nutrient balance hypothesis, which posits that plants redirect metabolic resources under nutrient limitation (Hamilton et al., 2001).</w:t>
      </w:r>
      <w:r>
        <w:rPr>
          <w:rFonts w:ascii="Times New Roman" w:hAnsi="Times New Roman" w:cs="Times New Roman"/>
          <w:sz w:val="24"/>
          <w:szCs w:val="24"/>
        </w:rPr>
        <w:t xml:space="preserve"> </w:t>
      </w:r>
      <w:r w:rsidRPr="00FD1AB2">
        <w:rPr>
          <w:rFonts w:ascii="Times New Roman" w:hAnsi="Times New Roman" w:cs="Times New Roman"/>
          <w:sz w:val="24"/>
          <w:szCs w:val="24"/>
        </w:rPr>
        <w:t>These findings underscore the complex mechanisms governing phenolic accumulation in Cleome species, highlighting the intricate interplay between genetic potential and environmental adaptation</w:t>
      </w:r>
    </w:p>
    <w:p w14:paraId="0A659E0E" w14:textId="77777777" w:rsidR="00DD588E" w:rsidRPr="00A257EC" w:rsidRDefault="00DD588E" w:rsidP="00A257EC"/>
    <w:sectPr w:rsidR="00DD588E" w:rsidRPr="00A257EC" w:rsidSect="008368E7">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Angsana New">
    <w:panose1 w:val="02020603050405020304"/>
    <w:charset w:val="DE"/>
    <w:family w:val="roman"/>
    <w:pitch w:val="variable"/>
    <w:sig w:usb0="81000003" w:usb1="00000000" w:usb2="00000000" w:usb3="00000000" w:csb0="00010001" w:csb1="00000000"/>
  </w:font>
  <w:font w:name="Aptos Display">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Cordia New">
    <w:panose1 w:val="020B0304020202020204"/>
    <w:charset w:val="DE"/>
    <w:family w:val="swiss"/>
    <w:pitch w:val="variable"/>
    <w:sig w:usb0="81000003" w:usb1="00000000" w:usb2="00000000" w:usb3="00000000" w:csb0="0001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80"/>
  <w:defaultTabStop w:val="720"/>
  <w:characterSpacingControl w:val="doNotCompress"/>
  <w:compat>
    <w:applyBreakingRules/>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xNDI2tDA1tDA3NrUwNzVW0lEKTi0uzszPAykwqgUAEFpQoSwAAAA="/>
  </w:docVars>
  <w:rsids>
    <w:rsidRoot w:val="006707DC"/>
    <w:rsid w:val="002603C3"/>
    <w:rsid w:val="00417974"/>
    <w:rsid w:val="00664E2B"/>
    <w:rsid w:val="006707DC"/>
    <w:rsid w:val="00803277"/>
    <w:rsid w:val="008368E7"/>
    <w:rsid w:val="00A257EC"/>
    <w:rsid w:val="00DD588E"/>
  </w:rsids>
  <m:mathPr>
    <m:mathFont m:val="Cambria Math"/>
    <m:brkBin m:val="before"/>
    <m:brkBinSub m:val="--"/>
    <m:smallFrac m:val="0"/>
    <m:dispDef/>
    <m:lMargin m:val="0"/>
    <m:rMargin m:val="0"/>
    <m:defJc m:val="centerGroup"/>
    <m:wrapIndent m:val="1440"/>
    <m:intLim m:val="subSup"/>
    <m:naryLim m:val="undOvr"/>
  </m:mathPr>
  <w:themeFontLang w:val="en-US" w:bidi="th-TH"/>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E67F1FB"/>
  <w15:chartTrackingRefBased/>
  <w15:docId w15:val="{3C64217B-8FE1-4D4A-AD77-363A5D61D97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Angsana New"/>
        <w:sz w:val="22"/>
        <w:szCs w:val="28"/>
        <w:lang w:val="en-GB" w:eastAsia="en-US" w:bidi="th-TH"/>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257EC"/>
  </w:style>
  <w:style w:type="paragraph" w:styleId="Heading1">
    <w:name w:val="heading 1"/>
    <w:basedOn w:val="Normal"/>
    <w:next w:val="Normal"/>
    <w:link w:val="Heading1Char"/>
    <w:uiPriority w:val="9"/>
    <w:qFormat/>
    <w:rsid w:val="006707DC"/>
    <w:pPr>
      <w:keepNext/>
      <w:keepLines/>
      <w:spacing w:before="360" w:after="80"/>
      <w:outlineLvl w:val="0"/>
    </w:pPr>
    <w:rPr>
      <w:rFonts w:asciiTheme="majorHAnsi" w:eastAsiaTheme="majorEastAsia" w:hAnsiTheme="majorHAnsi" w:cstheme="majorBidi"/>
      <w:color w:val="0F4761" w:themeColor="accent1" w:themeShade="BF"/>
      <w:sz w:val="40"/>
      <w:szCs w:val="50"/>
    </w:rPr>
  </w:style>
  <w:style w:type="paragraph" w:styleId="Heading2">
    <w:name w:val="heading 2"/>
    <w:basedOn w:val="Normal"/>
    <w:next w:val="Normal"/>
    <w:link w:val="Heading2Char"/>
    <w:uiPriority w:val="9"/>
    <w:unhideWhenUsed/>
    <w:qFormat/>
    <w:rsid w:val="006707DC"/>
    <w:pPr>
      <w:keepNext/>
      <w:keepLines/>
      <w:spacing w:before="160" w:after="80"/>
      <w:outlineLvl w:val="1"/>
    </w:pPr>
    <w:rPr>
      <w:rFonts w:asciiTheme="majorHAnsi" w:eastAsiaTheme="majorEastAsia" w:hAnsiTheme="majorHAnsi" w:cstheme="majorBidi"/>
      <w:color w:val="0F4761" w:themeColor="accent1" w:themeShade="BF"/>
      <w:sz w:val="32"/>
      <w:szCs w:val="40"/>
    </w:rPr>
  </w:style>
  <w:style w:type="paragraph" w:styleId="Heading3">
    <w:name w:val="heading 3"/>
    <w:basedOn w:val="Normal"/>
    <w:next w:val="Normal"/>
    <w:link w:val="Heading3Char"/>
    <w:uiPriority w:val="9"/>
    <w:unhideWhenUsed/>
    <w:qFormat/>
    <w:rsid w:val="006707DC"/>
    <w:pPr>
      <w:keepNext/>
      <w:keepLines/>
      <w:spacing w:before="160" w:after="80"/>
      <w:outlineLvl w:val="2"/>
    </w:pPr>
    <w:rPr>
      <w:rFonts w:eastAsiaTheme="majorEastAsia" w:cstheme="majorBidi"/>
      <w:color w:val="0F4761" w:themeColor="accent1" w:themeShade="BF"/>
      <w:sz w:val="28"/>
      <w:szCs w:val="35"/>
    </w:rPr>
  </w:style>
  <w:style w:type="paragraph" w:styleId="Heading4">
    <w:name w:val="heading 4"/>
    <w:basedOn w:val="Normal"/>
    <w:next w:val="Normal"/>
    <w:link w:val="Heading4Char"/>
    <w:uiPriority w:val="9"/>
    <w:semiHidden/>
    <w:unhideWhenUsed/>
    <w:qFormat/>
    <w:rsid w:val="006707DC"/>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6707DC"/>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6707DC"/>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6707DC"/>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6707DC"/>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6707DC"/>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707DC"/>
    <w:rPr>
      <w:rFonts w:asciiTheme="majorHAnsi" w:eastAsiaTheme="majorEastAsia" w:hAnsiTheme="majorHAnsi" w:cstheme="majorBidi"/>
      <w:color w:val="0F4761" w:themeColor="accent1" w:themeShade="BF"/>
      <w:sz w:val="40"/>
      <w:szCs w:val="50"/>
    </w:rPr>
  </w:style>
  <w:style w:type="character" w:customStyle="1" w:styleId="Heading2Char">
    <w:name w:val="Heading 2 Char"/>
    <w:basedOn w:val="DefaultParagraphFont"/>
    <w:link w:val="Heading2"/>
    <w:uiPriority w:val="9"/>
    <w:rsid w:val="006707DC"/>
    <w:rPr>
      <w:rFonts w:asciiTheme="majorHAnsi" w:eastAsiaTheme="majorEastAsia" w:hAnsiTheme="majorHAnsi" w:cstheme="majorBidi"/>
      <w:color w:val="0F4761" w:themeColor="accent1" w:themeShade="BF"/>
      <w:sz w:val="32"/>
      <w:szCs w:val="40"/>
    </w:rPr>
  </w:style>
  <w:style w:type="character" w:customStyle="1" w:styleId="Heading3Char">
    <w:name w:val="Heading 3 Char"/>
    <w:basedOn w:val="DefaultParagraphFont"/>
    <w:link w:val="Heading3"/>
    <w:uiPriority w:val="9"/>
    <w:rsid w:val="006707DC"/>
    <w:rPr>
      <w:rFonts w:eastAsiaTheme="majorEastAsia" w:cstheme="majorBidi"/>
      <w:color w:val="0F4761" w:themeColor="accent1" w:themeShade="BF"/>
      <w:sz w:val="28"/>
      <w:szCs w:val="35"/>
    </w:rPr>
  </w:style>
  <w:style w:type="character" w:customStyle="1" w:styleId="Heading4Char">
    <w:name w:val="Heading 4 Char"/>
    <w:basedOn w:val="DefaultParagraphFont"/>
    <w:link w:val="Heading4"/>
    <w:uiPriority w:val="9"/>
    <w:semiHidden/>
    <w:rsid w:val="006707DC"/>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6707DC"/>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6707DC"/>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6707DC"/>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6707DC"/>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6707DC"/>
    <w:rPr>
      <w:rFonts w:eastAsiaTheme="majorEastAsia" w:cstheme="majorBidi"/>
      <w:color w:val="272727" w:themeColor="text1" w:themeTint="D8"/>
    </w:rPr>
  </w:style>
  <w:style w:type="paragraph" w:styleId="Title">
    <w:name w:val="Title"/>
    <w:basedOn w:val="Normal"/>
    <w:next w:val="Normal"/>
    <w:link w:val="TitleChar"/>
    <w:uiPriority w:val="10"/>
    <w:qFormat/>
    <w:rsid w:val="006707DC"/>
    <w:pPr>
      <w:spacing w:after="80" w:line="240" w:lineRule="auto"/>
      <w:contextualSpacing/>
    </w:pPr>
    <w:rPr>
      <w:rFonts w:asciiTheme="majorHAnsi" w:eastAsiaTheme="majorEastAsia" w:hAnsiTheme="majorHAnsi" w:cstheme="majorBidi"/>
      <w:spacing w:val="-10"/>
      <w:kern w:val="28"/>
      <w:sz w:val="56"/>
      <w:szCs w:val="71"/>
    </w:rPr>
  </w:style>
  <w:style w:type="character" w:customStyle="1" w:styleId="TitleChar">
    <w:name w:val="Title Char"/>
    <w:basedOn w:val="DefaultParagraphFont"/>
    <w:link w:val="Title"/>
    <w:uiPriority w:val="10"/>
    <w:rsid w:val="006707DC"/>
    <w:rPr>
      <w:rFonts w:asciiTheme="majorHAnsi" w:eastAsiaTheme="majorEastAsia" w:hAnsiTheme="majorHAnsi" w:cstheme="majorBidi"/>
      <w:spacing w:val="-10"/>
      <w:kern w:val="28"/>
      <w:sz w:val="56"/>
      <w:szCs w:val="71"/>
    </w:rPr>
  </w:style>
  <w:style w:type="paragraph" w:styleId="Subtitle">
    <w:name w:val="Subtitle"/>
    <w:basedOn w:val="Normal"/>
    <w:next w:val="Normal"/>
    <w:link w:val="SubtitleChar"/>
    <w:uiPriority w:val="11"/>
    <w:qFormat/>
    <w:rsid w:val="006707DC"/>
    <w:pPr>
      <w:numPr>
        <w:ilvl w:val="1"/>
      </w:numPr>
    </w:pPr>
    <w:rPr>
      <w:rFonts w:eastAsiaTheme="majorEastAsia" w:cstheme="majorBidi"/>
      <w:color w:val="595959" w:themeColor="text1" w:themeTint="A6"/>
      <w:spacing w:val="15"/>
      <w:sz w:val="28"/>
      <w:szCs w:val="35"/>
    </w:rPr>
  </w:style>
  <w:style w:type="character" w:customStyle="1" w:styleId="SubtitleChar">
    <w:name w:val="Subtitle Char"/>
    <w:basedOn w:val="DefaultParagraphFont"/>
    <w:link w:val="Subtitle"/>
    <w:uiPriority w:val="11"/>
    <w:rsid w:val="006707DC"/>
    <w:rPr>
      <w:rFonts w:eastAsiaTheme="majorEastAsia" w:cstheme="majorBidi"/>
      <w:color w:val="595959" w:themeColor="text1" w:themeTint="A6"/>
      <w:spacing w:val="15"/>
      <w:sz w:val="28"/>
      <w:szCs w:val="35"/>
    </w:rPr>
  </w:style>
  <w:style w:type="paragraph" w:styleId="Quote">
    <w:name w:val="Quote"/>
    <w:basedOn w:val="Normal"/>
    <w:next w:val="Normal"/>
    <w:link w:val="QuoteChar"/>
    <w:uiPriority w:val="29"/>
    <w:qFormat/>
    <w:rsid w:val="006707DC"/>
    <w:pPr>
      <w:spacing w:before="160"/>
      <w:jc w:val="center"/>
    </w:pPr>
    <w:rPr>
      <w:i/>
      <w:iCs/>
      <w:color w:val="404040" w:themeColor="text1" w:themeTint="BF"/>
    </w:rPr>
  </w:style>
  <w:style w:type="character" w:customStyle="1" w:styleId="QuoteChar">
    <w:name w:val="Quote Char"/>
    <w:basedOn w:val="DefaultParagraphFont"/>
    <w:link w:val="Quote"/>
    <w:uiPriority w:val="29"/>
    <w:rsid w:val="006707DC"/>
    <w:rPr>
      <w:i/>
      <w:iCs/>
      <w:color w:val="404040" w:themeColor="text1" w:themeTint="BF"/>
    </w:rPr>
  </w:style>
  <w:style w:type="paragraph" w:styleId="ListParagraph">
    <w:name w:val="List Paragraph"/>
    <w:basedOn w:val="Normal"/>
    <w:uiPriority w:val="34"/>
    <w:qFormat/>
    <w:rsid w:val="006707DC"/>
    <w:pPr>
      <w:ind w:left="720"/>
      <w:contextualSpacing/>
    </w:pPr>
  </w:style>
  <w:style w:type="character" w:styleId="IntenseEmphasis">
    <w:name w:val="Intense Emphasis"/>
    <w:basedOn w:val="DefaultParagraphFont"/>
    <w:uiPriority w:val="21"/>
    <w:qFormat/>
    <w:rsid w:val="006707DC"/>
    <w:rPr>
      <w:i/>
      <w:iCs/>
      <w:color w:val="0F4761" w:themeColor="accent1" w:themeShade="BF"/>
    </w:rPr>
  </w:style>
  <w:style w:type="paragraph" w:styleId="IntenseQuote">
    <w:name w:val="Intense Quote"/>
    <w:basedOn w:val="Normal"/>
    <w:next w:val="Normal"/>
    <w:link w:val="IntenseQuoteChar"/>
    <w:uiPriority w:val="30"/>
    <w:qFormat/>
    <w:rsid w:val="006707DC"/>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6707DC"/>
    <w:rPr>
      <w:i/>
      <w:iCs/>
      <w:color w:val="0F4761" w:themeColor="accent1" w:themeShade="BF"/>
    </w:rPr>
  </w:style>
  <w:style w:type="character" w:styleId="IntenseReference">
    <w:name w:val="Intense Reference"/>
    <w:basedOn w:val="DefaultParagraphFont"/>
    <w:uiPriority w:val="32"/>
    <w:qFormat/>
    <w:rsid w:val="006707DC"/>
    <w:rPr>
      <w:b/>
      <w:bCs/>
      <w:smallCaps/>
      <w:color w:val="0F4761" w:themeColor="accent1" w:themeShade="BF"/>
      <w:spacing w:val="5"/>
    </w:rPr>
  </w:style>
  <w:style w:type="character" w:styleId="Emphasis">
    <w:name w:val="Emphasis"/>
    <w:basedOn w:val="DefaultParagraphFont"/>
    <w:uiPriority w:val="20"/>
    <w:qFormat/>
    <w:rsid w:val="006707DC"/>
    <w:rPr>
      <w:i/>
      <w:iCs/>
    </w:rPr>
  </w:style>
  <w:style w:type="paragraph" w:customStyle="1" w:styleId="font-claude-response-body">
    <w:name w:val="font-claude-response-body"/>
    <w:basedOn w:val="Normal"/>
    <w:rsid w:val="006707DC"/>
    <w:pPr>
      <w:spacing w:before="100" w:beforeAutospacing="1" w:after="100" w:afterAutospacing="1" w:line="240" w:lineRule="auto"/>
    </w:pPr>
    <w:rPr>
      <w:rFonts w:ascii="Times New Roman" w:eastAsia="Times New Roman" w:hAnsi="Times New Roman" w:cs="Times New Roman"/>
      <w:sz w:val="24"/>
      <w:szCs w:val="24"/>
      <w:lang w:eastAsia="en-GB"/>
      <w14:ligatures w14:val="none"/>
    </w:rPr>
  </w:style>
  <w:style w:type="character" w:styleId="Strong">
    <w:name w:val="Strong"/>
    <w:basedOn w:val="DefaultParagraphFont"/>
    <w:uiPriority w:val="22"/>
    <w:qFormat/>
    <w:rsid w:val="006707DC"/>
    <w:rPr>
      <w:b/>
      <w:bCs/>
    </w:rPr>
  </w:style>
  <w:style w:type="paragraph" w:customStyle="1" w:styleId="whitespace-pre-wrap">
    <w:name w:val="whitespace-pre-wrap"/>
    <w:basedOn w:val="Normal"/>
    <w:rsid w:val="006707DC"/>
    <w:pPr>
      <w:spacing w:before="100" w:beforeAutospacing="1" w:after="100" w:afterAutospacing="1" w:line="240" w:lineRule="auto"/>
    </w:pPr>
    <w:rPr>
      <w:rFonts w:ascii="Times New Roman" w:eastAsia="Times New Roman" w:hAnsi="Times New Roman" w:cs="Times New Roman"/>
      <w:sz w:val="24"/>
      <w:szCs w:val="24"/>
      <w:lang w:eastAsia="en-GB"/>
      <w14:ligatures w14:val="none"/>
    </w:rPr>
  </w:style>
  <w:style w:type="character" w:customStyle="1" w:styleId="text-text-500">
    <w:name w:val="text-text-500"/>
    <w:basedOn w:val="DefaultParagraphFont"/>
    <w:rsid w:val="006707DC"/>
  </w:style>
  <w:style w:type="paragraph" w:styleId="NormalWeb">
    <w:name w:val="Normal (Web)"/>
    <w:basedOn w:val="Normal"/>
    <w:uiPriority w:val="99"/>
    <w:semiHidden/>
    <w:unhideWhenUsed/>
    <w:rsid w:val="00DD588E"/>
    <w:pPr>
      <w:spacing w:before="100" w:beforeAutospacing="1" w:after="100" w:afterAutospacing="1" w:line="240" w:lineRule="auto"/>
    </w:pPr>
    <w:rPr>
      <w:rFonts w:ascii="Times New Roman" w:eastAsia="Times New Roman" w:hAnsi="Times New Roman" w:cs="Times New Roman"/>
      <w:sz w:val="24"/>
      <w:szCs w:val="24"/>
      <w:lang w:eastAsia="en-GB"/>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26</TotalTime>
  <Pages>3</Pages>
  <Words>928</Words>
  <Characters>5290</Characters>
  <Application>Microsoft Office Word</Application>
  <DocSecurity>0</DocSecurity>
  <Lines>44</Lines>
  <Paragraphs>12</Paragraphs>
  <ScaleCrop>false</ScaleCrop>
  <Company/>
  <LinksUpToDate>false</LinksUpToDate>
  <CharactersWithSpaces>6206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Justice Amakye Essiedu</dc:creator>
  <cp:keywords/>
  <dc:description/>
  <cp:lastModifiedBy>Justice Amakye Essiedu</cp:lastModifiedBy>
  <cp:revision>3</cp:revision>
  <dcterms:created xsi:type="dcterms:W3CDTF">2026-01-08T04:01:00Z</dcterms:created>
  <dcterms:modified xsi:type="dcterms:W3CDTF">2026-01-08T05:43:00Z</dcterms:modified>
</cp:coreProperties>
</file>