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05DFC" w:rsidRPr="00205DFC" w:rsidRDefault="00205DFC" w:rsidP="00205DFC">
      <w:pPr>
        <w:spacing w:before="100" w:beforeAutospacing="1" w:after="100" w:afterAutospacing="1" w:line="240" w:lineRule="auto"/>
        <w:outlineLvl w:val="1"/>
        <w:rPr>
          <w:rFonts w:ascii="Times New Roman" w:eastAsia="Times New Roman" w:hAnsi="Times New Roman" w:cs="Times New Roman"/>
          <w:b/>
          <w:bCs/>
          <w:sz w:val="36"/>
          <w:szCs w:val="36"/>
        </w:rPr>
      </w:pPr>
      <w:r w:rsidRPr="00205DFC">
        <w:rPr>
          <w:rFonts w:ascii="Times New Roman" w:eastAsia="Times New Roman" w:hAnsi="Times New Roman" w:cs="Times New Roman"/>
          <w:b/>
          <w:bCs/>
          <w:sz w:val="36"/>
          <w:szCs w:val="36"/>
        </w:rPr>
        <w:t>1. Introduction (Brief – IJPE Style)</w:t>
      </w:r>
    </w:p>
    <w:p w:rsidR="00205DFC" w:rsidRPr="00205DFC" w:rsidRDefault="00205DFC" w:rsidP="00205DFC">
      <w:pPr>
        <w:spacing w:before="100" w:beforeAutospacing="1" w:after="100" w:afterAutospacing="1" w:line="240" w:lineRule="auto"/>
        <w:rPr>
          <w:rFonts w:ascii="Times New Roman" w:eastAsia="Times New Roman" w:hAnsi="Times New Roman" w:cs="Times New Roman"/>
          <w:sz w:val="24"/>
          <w:szCs w:val="24"/>
        </w:rPr>
      </w:pPr>
      <w:r w:rsidRPr="00205DFC">
        <w:rPr>
          <w:rFonts w:ascii="Times New Roman" w:eastAsia="Times New Roman" w:hAnsi="Times New Roman" w:cs="Times New Roman"/>
          <w:sz w:val="24"/>
          <w:szCs w:val="24"/>
        </w:rPr>
        <w:t xml:space="preserve">The increasing demand for long-life pavements subjected to heavy traffic has driven the development of asphalt mixtures with enhanced structural capacity and resistance to permanent deformation. </w:t>
      </w:r>
      <w:r w:rsidRPr="00205DFC">
        <w:rPr>
          <w:rFonts w:ascii="Times New Roman" w:eastAsia="Times New Roman" w:hAnsi="Times New Roman" w:cs="Times New Roman"/>
          <w:b/>
          <w:bCs/>
          <w:sz w:val="24"/>
          <w:szCs w:val="24"/>
        </w:rPr>
        <w:t>High Modulus Asphalt Concrete (HMAC</w:t>
      </w:r>
      <w:proofErr w:type="gramStart"/>
      <w:r w:rsidRPr="00205DFC">
        <w:rPr>
          <w:rFonts w:ascii="Times New Roman" w:eastAsia="Times New Roman" w:hAnsi="Times New Roman" w:cs="Times New Roman"/>
          <w:b/>
          <w:bCs/>
          <w:sz w:val="24"/>
          <w:szCs w:val="24"/>
        </w:rPr>
        <w:t>)</w:t>
      </w:r>
      <w:r w:rsidRPr="00205DFC">
        <w:rPr>
          <w:rFonts w:ascii="Times New Roman" w:eastAsia="Times New Roman" w:hAnsi="Times New Roman" w:cs="Times New Roman"/>
          <w:sz w:val="24"/>
          <w:szCs w:val="24"/>
        </w:rPr>
        <w:t>,</w:t>
      </w:r>
      <w:proofErr w:type="gramEnd"/>
      <w:r w:rsidRPr="00205DFC">
        <w:rPr>
          <w:rFonts w:ascii="Times New Roman" w:eastAsia="Times New Roman" w:hAnsi="Times New Roman" w:cs="Times New Roman"/>
          <w:sz w:val="24"/>
          <w:szCs w:val="24"/>
        </w:rPr>
        <w:t xml:space="preserve"> commonly referred to as </w:t>
      </w:r>
      <w:proofErr w:type="spellStart"/>
      <w:r w:rsidRPr="00205DFC">
        <w:rPr>
          <w:rFonts w:ascii="Times New Roman" w:eastAsia="Times New Roman" w:hAnsi="Times New Roman" w:cs="Times New Roman"/>
          <w:b/>
          <w:bCs/>
          <w:sz w:val="24"/>
          <w:szCs w:val="24"/>
        </w:rPr>
        <w:t>Enrobé</w:t>
      </w:r>
      <w:proofErr w:type="spellEnd"/>
      <w:r w:rsidRPr="00205DFC">
        <w:rPr>
          <w:rFonts w:ascii="Times New Roman" w:eastAsia="Times New Roman" w:hAnsi="Times New Roman" w:cs="Times New Roman"/>
          <w:b/>
          <w:bCs/>
          <w:sz w:val="24"/>
          <w:szCs w:val="24"/>
        </w:rPr>
        <w:t xml:space="preserve"> à Module </w:t>
      </w:r>
      <w:proofErr w:type="spellStart"/>
      <w:r w:rsidRPr="00205DFC">
        <w:rPr>
          <w:rFonts w:ascii="Times New Roman" w:eastAsia="Times New Roman" w:hAnsi="Times New Roman" w:cs="Times New Roman"/>
          <w:b/>
          <w:bCs/>
          <w:sz w:val="24"/>
          <w:szCs w:val="24"/>
        </w:rPr>
        <w:t>Élevé</w:t>
      </w:r>
      <w:proofErr w:type="spellEnd"/>
      <w:r w:rsidRPr="00205DFC">
        <w:rPr>
          <w:rFonts w:ascii="Times New Roman" w:eastAsia="Times New Roman" w:hAnsi="Times New Roman" w:cs="Times New Roman"/>
          <w:b/>
          <w:bCs/>
          <w:sz w:val="24"/>
          <w:szCs w:val="24"/>
        </w:rPr>
        <w:t xml:space="preserve"> (EME)</w:t>
      </w:r>
      <w:r w:rsidRPr="00205DFC">
        <w:rPr>
          <w:rFonts w:ascii="Times New Roman" w:eastAsia="Times New Roman" w:hAnsi="Times New Roman" w:cs="Times New Roman"/>
          <w:sz w:val="24"/>
          <w:szCs w:val="24"/>
        </w:rPr>
        <w:t xml:space="preserve">, was originally developed to improve load distribution and reduce pavement thickness while maintaining excellent rutting resistance under severe loading conditions (Nunn and Smith 1999; AFNOR 1999). High modulus mixtures are typically </w:t>
      </w:r>
      <w:proofErr w:type="spellStart"/>
      <w:r w:rsidRPr="00205DFC">
        <w:rPr>
          <w:rFonts w:ascii="Times New Roman" w:eastAsia="Times New Roman" w:hAnsi="Times New Roman" w:cs="Times New Roman"/>
          <w:sz w:val="24"/>
          <w:szCs w:val="24"/>
        </w:rPr>
        <w:t>characterised</w:t>
      </w:r>
      <w:proofErr w:type="spellEnd"/>
      <w:r w:rsidRPr="00205DFC">
        <w:rPr>
          <w:rFonts w:ascii="Times New Roman" w:eastAsia="Times New Roman" w:hAnsi="Times New Roman" w:cs="Times New Roman"/>
          <w:sz w:val="24"/>
          <w:szCs w:val="24"/>
        </w:rPr>
        <w:t xml:space="preserve"> by dynamic modulus values exceeding approximately 14–15 </w:t>
      </w:r>
      <w:proofErr w:type="spellStart"/>
      <w:r w:rsidRPr="00205DFC">
        <w:rPr>
          <w:rFonts w:ascii="Times New Roman" w:eastAsia="Times New Roman" w:hAnsi="Times New Roman" w:cs="Times New Roman"/>
          <w:sz w:val="24"/>
          <w:szCs w:val="24"/>
        </w:rPr>
        <w:t>GPa</w:t>
      </w:r>
      <w:proofErr w:type="spellEnd"/>
      <w:r w:rsidRPr="00205DFC">
        <w:rPr>
          <w:rFonts w:ascii="Times New Roman" w:eastAsia="Times New Roman" w:hAnsi="Times New Roman" w:cs="Times New Roman"/>
          <w:sz w:val="24"/>
          <w:szCs w:val="24"/>
        </w:rPr>
        <w:t xml:space="preserve"> at 15 °C and 10 Hz, and have been successfully applied in base and binder layers of heavily trafficked pavements in Europe and other regions (GB/T 36143-2018; </w:t>
      </w:r>
      <w:proofErr w:type="spellStart"/>
      <w:r w:rsidRPr="00205DFC">
        <w:rPr>
          <w:rFonts w:ascii="Times New Roman" w:eastAsia="Times New Roman" w:hAnsi="Times New Roman" w:cs="Times New Roman"/>
          <w:sz w:val="24"/>
          <w:szCs w:val="24"/>
        </w:rPr>
        <w:t>Petho</w:t>
      </w:r>
      <w:proofErr w:type="spellEnd"/>
      <w:r w:rsidRPr="00205DFC">
        <w:rPr>
          <w:rFonts w:ascii="Times New Roman" w:eastAsia="Times New Roman" w:hAnsi="Times New Roman" w:cs="Times New Roman"/>
          <w:sz w:val="24"/>
          <w:szCs w:val="24"/>
        </w:rPr>
        <w:t xml:space="preserve"> and </w:t>
      </w:r>
      <w:proofErr w:type="spellStart"/>
      <w:r w:rsidRPr="00205DFC">
        <w:rPr>
          <w:rFonts w:ascii="Times New Roman" w:eastAsia="Times New Roman" w:hAnsi="Times New Roman" w:cs="Times New Roman"/>
          <w:sz w:val="24"/>
          <w:szCs w:val="24"/>
        </w:rPr>
        <w:t>Denneman</w:t>
      </w:r>
      <w:proofErr w:type="spellEnd"/>
      <w:r w:rsidRPr="00205DFC">
        <w:rPr>
          <w:rFonts w:ascii="Times New Roman" w:eastAsia="Times New Roman" w:hAnsi="Times New Roman" w:cs="Times New Roman"/>
          <w:sz w:val="24"/>
          <w:szCs w:val="24"/>
        </w:rPr>
        <w:t xml:space="preserve"> 2016).</w:t>
      </w:r>
    </w:p>
    <w:p w:rsidR="00205DFC" w:rsidRPr="00205DFC" w:rsidRDefault="00205DFC" w:rsidP="00205DFC">
      <w:pPr>
        <w:spacing w:before="100" w:beforeAutospacing="1" w:after="100" w:afterAutospacing="1" w:line="240" w:lineRule="auto"/>
        <w:rPr>
          <w:rFonts w:ascii="Times New Roman" w:eastAsia="Times New Roman" w:hAnsi="Times New Roman" w:cs="Times New Roman"/>
          <w:sz w:val="24"/>
          <w:szCs w:val="24"/>
        </w:rPr>
      </w:pPr>
      <w:r w:rsidRPr="00205DFC">
        <w:rPr>
          <w:rFonts w:ascii="Times New Roman" w:eastAsia="Times New Roman" w:hAnsi="Times New Roman" w:cs="Times New Roman"/>
          <w:sz w:val="24"/>
          <w:szCs w:val="24"/>
        </w:rPr>
        <w:t xml:space="preserve">Despite their proven performance, conventional EME mixtures rely heavily on hard-grade or polymer-modified binders to achieve the required stiffness, which increases material cost and limits broader implementation in regions where such binders are scarce or expensive (Chen et al. 2020; </w:t>
      </w:r>
      <w:proofErr w:type="spellStart"/>
      <w:r w:rsidRPr="00205DFC">
        <w:rPr>
          <w:rFonts w:ascii="Times New Roman" w:eastAsia="Times New Roman" w:hAnsi="Times New Roman" w:cs="Times New Roman"/>
          <w:sz w:val="24"/>
          <w:szCs w:val="24"/>
        </w:rPr>
        <w:t>Sabita</w:t>
      </w:r>
      <w:proofErr w:type="spellEnd"/>
      <w:r w:rsidRPr="00205DFC">
        <w:rPr>
          <w:rFonts w:ascii="Times New Roman" w:eastAsia="Times New Roman" w:hAnsi="Times New Roman" w:cs="Times New Roman"/>
          <w:sz w:val="24"/>
          <w:szCs w:val="24"/>
        </w:rPr>
        <w:t xml:space="preserve"> 2022). In parallel, the growing accumulation of </w:t>
      </w:r>
      <w:r w:rsidRPr="00205DFC">
        <w:rPr>
          <w:rFonts w:ascii="Times New Roman" w:eastAsia="Times New Roman" w:hAnsi="Times New Roman" w:cs="Times New Roman"/>
          <w:b/>
          <w:bCs/>
          <w:sz w:val="24"/>
          <w:szCs w:val="24"/>
        </w:rPr>
        <w:t>Reclaimed Asphalt Pavement (RAP)</w:t>
      </w:r>
      <w:r w:rsidRPr="00205DFC">
        <w:rPr>
          <w:rFonts w:ascii="Times New Roman" w:eastAsia="Times New Roman" w:hAnsi="Times New Roman" w:cs="Times New Roman"/>
          <w:sz w:val="24"/>
          <w:szCs w:val="24"/>
        </w:rPr>
        <w:t xml:space="preserve"> has created strong incentives to </w:t>
      </w:r>
      <w:proofErr w:type="spellStart"/>
      <w:r w:rsidRPr="00205DFC">
        <w:rPr>
          <w:rFonts w:ascii="Times New Roman" w:eastAsia="Times New Roman" w:hAnsi="Times New Roman" w:cs="Times New Roman"/>
          <w:sz w:val="24"/>
          <w:szCs w:val="24"/>
        </w:rPr>
        <w:t>utilise</w:t>
      </w:r>
      <w:proofErr w:type="spellEnd"/>
      <w:r w:rsidRPr="00205DFC">
        <w:rPr>
          <w:rFonts w:ascii="Times New Roman" w:eastAsia="Times New Roman" w:hAnsi="Times New Roman" w:cs="Times New Roman"/>
          <w:sz w:val="24"/>
          <w:szCs w:val="24"/>
        </w:rPr>
        <w:t xml:space="preserve"> aged binder and aggregates as alternative stiffness-enhancing resources in asphalt mixtures (Yang et al. 2015; FHWA 2018).</w:t>
      </w:r>
    </w:p>
    <w:p w:rsidR="00205DFC" w:rsidRPr="00205DFC" w:rsidRDefault="00205DFC" w:rsidP="00205DFC">
      <w:pPr>
        <w:spacing w:before="100" w:beforeAutospacing="1" w:after="100" w:afterAutospacing="1" w:line="240" w:lineRule="auto"/>
        <w:rPr>
          <w:rFonts w:ascii="Times New Roman" w:eastAsia="Times New Roman" w:hAnsi="Times New Roman" w:cs="Times New Roman"/>
          <w:sz w:val="24"/>
          <w:szCs w:val="24"/>
        </w:rPr>
      </w:pPr>
      <w:r w:rsidRPr="00205DFC">
        <w:rPr>
          <w:rFonts w:ascii="Times New Roman" w:eastAsia="Times New Roman" w:hAnsi="Times New Roman" w:cs="Times New Roman"/>
          <w:sz w:val="24"/>
          <w:szCs w:val="24"/>
        </w:rPr>
        <w:t xml:space="preserve">Previous studies have shown that incorporating RAP into asphalt mixtures can improve stiffness and rutting resistance; however, high RAP contents may adversely affect fatigue resistance and moisture durability due to ageing effects and incomplete blending between aged and virgin binders (Ma et al. 2017; </w:t>
      </w:r>
      <w:proofErr w:type="spellStart"/>
      <w:r w:rsidRPr="00205DFC">
        <w:rPr>
          <w:rFonts w:ascii="Times New Roman" w:eastAsia="Times New Roman" w:hAnsi="Times New Roman" w:cs="Times New Roman"/>
          <w:sz w:val="24"/>
          <w:szCs w:val="24"/>
        </w:rPr>
        <w:t>Porot</w:t>
      </w:r>
      <w:proofErr w:type="spellEnd"/>
      <w:r w:rsidRPr="00205DFC">
        <w:rPr>
          <w:rFonts w:ascii="Times New Roman" w:eastAsia="Times New Roman" w:hAnsi="Times New Roman" w:cs="Times New Roman"/>
          <w:sz w:val="24"/>
          <w:szCs w:val="24"/>
        </w:rPr>
        <w:t xml:space="preserve"> et al. 2021; </w:t>
      </w:r>
      <w:proofErr w:type="spellStart"/>
      <w:r w:rsidRPr="00205DFC">
        <w:rPr>
          <w:rFonts w:ascii="Times New Roman" w:eastAsia="Times New Roman" w:hAnsi="Times New Roman" w:cs="Times New Roman"/>
          <w:sz w:val="24"/>
          <w:szCs w:val="24"/>
        </w:rPr>
        <w:t>Gao</w:t>
      </w:r>
      <w:proofErr w:type="spellEnd"/>
      <w:r w:rsidRPr="00205DFC">
        <w:rPr>
          <w:rFonts w:ascii="Times New Roman" w:eastAsia="Times New Roman" w:hAnsi="Times New Roman" w:cs="Times New Roman"/>
          <w:sz w:val="24"/>
          <w:szCs w:val="24"/>
        </w:rPr>
        <w:t xml:space="preserve"> et al. 2022). The extent of binder interaction, commonly described as the </w:t>
      </w:r>
      <w:r w:rsidRPr="00205DFC">
        <w:rPr>
          <w:rFonts w:ascii="Times New Roman" w:eastAsia="Times New Roman" w:hAnsi="Times New Roman" w:cs="Times New Roman"/>
          <w:b/>
          <w:bCs/>
          <w:sz w:val="24"/>
          <w:szCs w:val="24"/>
        </w:rPr>
        <w:t>degree of blending</w:t>
      </w:r>
      <w:r w:rsidRPr="00205DFC">
        <w:rPr>
          <w:rFonts w:ascii="Times New Roman" w:eastAsia="Times New Roman" w:hAnsi="Times New Roman" w:cs="Times New Roman"/>
          <w:sz w:val="24"/>
          <w:szCs w:val="24"/>
        </w:rPr>
        <w:t>, has been identified as a critical factor governing the mechanical performance of RAP-containing mixtures (</w:t>
      </w:r>
      <w:proofErr w:type="spellStart"/>
      <w:r w:rsidRPr="00205DFC">
        <w:rPr>
          <w:rFonts w:ascii="Times New Roman" w:eastAsia="Times New Roman" w:hAnsi="Times New Roman" w:cs="Times New Roman"/>
          <w:sz w:val="24"/>
          <w:szCs w:val="24"/>
        </w:rPr>
        <w:t>Kaseer</w:t>
      </w:r>
      <w:proofErr w:type="spellEnd"/>
      <w:r w:rsidRPr="00205DFC">
        <w:rPr>
          <w:rFonts w:ascii="Times New Roman" w:eastAsia="Times New Roman" w:hAnsi="Times New Roman" w:cs="Times New Roman"/>
          <w:sz w:val="24"/>
          <w:szCs w:val="24"/>
        </w:rPr>
        <w:t xml:space="preserve"> et al. 2019; </w:t>
      </w:r>
      <w:proofErr w:type="spellStart"/>
      <w:proofErr w:type="gramStart"/>
      <w:r w:rsidRPr="00205DFC">
        <w:rPr>
          <w:rFonts w:ascii="Times New Roman" w:eastAsia="Times New Roman" w:hAnsi="Times New Roman" w:cs="Times New Roman"/>
          <w:sz w:val="24"/>
          <w:szCs w:val="24"/>
        </w:rPr>
        <w:t>Gao</w:t>
      </w:r>
      <w:proofErr w:type="spellEnd"/>
      <w:r w:rsidRPr="00205DFC">
        <w:rPr>
          <w:rFonts w:ascii="Times New Roman" w:eastAsia="Times New Roman" w:hAnsi="Times New Roman" w:cs="Times New Roman"/>
          <w:sz w:val="24"/>
          <w:szCs w:val="24"/>
        </w:rPr>
        <w:t xml:space="preserve"> et al</w:t>
      </w:r>
      <w:proofErr w:type="gramEnd"/>
      <w:r w:rsidRPr="00205DFC">
        <w:rPr>
          <w:rFonts w:ascii="Times New Roman" w:eastAsia="Times New Roman" w:hAnsi="Times New Roman" w:cs="Times New Roman"/>
          <w:sz w:val="24"/>
          <w:szCs w:val="24"/>
        </w:rPr>
        <w:t>. 2022).</w:t>
      </w:r>
    </w:p>
    <w:p w:rsidR="00205DFC" w:rsidRPr="00205DFC" w:rsidRDefault="00205DFC" w:rsidP="00205DFC">
      <w:pPr>
        <w:spacing w:before="100" w:beforeAutospacing="1" w:after="100" w:afterAutospacing="1" w:line="240" w:lineRule="auto"/>
        <w:rPr>
          <w:rFonts w:ascii="Times New Roman" w:eastAsia="Times New Roman" w:hAnsi="Times New Roman" w:cs="Times New Roman"/>
          <w:sz w:val="24"/>
          <w:szCs w:val="24"/>
        </w:rPr>
      </w:pPr>
      <w:r w:rsidRPr="00205DFC">
        <w:rPr>
          <w:rFonts w:ascii="Times New Roman" w:eastAsia="Times New Roman" w:hAnsi="Times New Roman" w:cs="Times New Roman"/>
          <w:sz w:val="24"/>
          <w:szCs w:val="24"/>
        </w:rPr>
        <w:t xml:space="preserve">Most existing research on RAP-based high modulus asphalt mixtures has focused on </w:t>
      </w:r>
      <w:r w:rsidRPr="00205DFC">
        <w:rPr>
          <w:rFonts w:ascii="Times New Roman" w:eastAsia="Times New Roman" w:hAnsi="Times New Roman" w:cs="Times New Roman"/>
          <w:b/>
          <w:bCs/>
          <w:sz w:val="24"/>
          <w:szCs w:val="24"/>
        </w:rPr>
        <w:t>coarser gradations</w:t>
      </w:r>
      <w:r w:rsidRPr="00205DFC">
        <w:rPr>
          <w:rFonts w:ascii="Times New Roman" w:eastAsia="Times New Roman" w:hAnsi="Times New Roman" w:cs="Times New Roman"/>
          <w:sz w:val="24"/>
          <w:szCs w:val="24"/>
        </w:rPr>
        <w:t xml:space="preserve">, such as AC-10 and AC-14. In contrast, the application of </w:t>
      </w:r>
      <w:r w:rsidRPr="00205DFC">
        <w:rPr>
          <w:rFonts w:ascii="Times New Roman" w:eastAsia="Times New Roman" w:hAnsi="Times New Roman" w:cs="Times New Roman"/>
          <w:b/>
          <w:bCs/>
          <w:sz w:val="24"/>
          <w:szCs w:val="24"/>
        </w:rPr>
        <w:t>fine RAP fractions within AC-5 gradations</w:t>
      </w:r>
      <w:r w:rsidRPr="00205DFC">
        <w:rPr>
          <w:rFonts w:ascii="Times New Roman" w:eastAsia="Times New Roman" w:hAnsi="Times New Roman" w:cs="Times New Roman"/>
          <w:sz w:val="24"/>
          <w:szCs w:val="24"/>
        </w:rPr>
        <w:t xml:space="preserve"> remains limited, despite their higher aged binder content and potential contribution to stiffness development through the mastic phase (</w:t>
      </w:r>
      <w:proofErr w:type="spellStart"/>
      <w:r w:rsidRPr="00205DFC">
        <w:rPr>
          <w:rFonts w:ascii="Times New Roman" w:eastAsia="Times New Roman" w:hAnsi="Times New Roman" w:cs="Times New Roman"/>
          <w:sz w:val="24"/>
          <w:szCs w:val="24"/>
        </w:rPr>
        <w:t>Zaumanis</w:t>
      </w:r>
      <w:proofErr w:type="spellEnd"/>
      <w:r w:rsidRPr="00205DFC">
        <w:rPr>
          <w:rFonts w:ascii="Times New Roman" w:eastAsia="Times New Roman" w:hAnsi="Times New Roman" w:cs="Times New Roman"/>
          <w:sz w:val="24"/>
          <w:szCs w:val="24"/>
        </w:rPr>
        <w:t xml:space="preserve"> et al. 2019; Li et al. 2025). The feasibility of </w:t>
      </w:r>
      <w:proofErr w:type="spellStart"/>
      <w:r w:rsidRPr="00205DFC">
        <w:rPr>
          <w:rFonts w:ascii="Times New Roman" w:eastAsia="Times New Roman" w:hAnsi="Times New Roman" w:cs="Times New Roman"/>
          <w:sz w:val="24"/>
          <w:szCs w:val="24"/>
        </w:rPr>
        <w:t>utilising</w:t>
      </w:r>
      <w:proofErr w:type="spellEnd"/>
      <w:r w:rsidRPr="00205DFC">
        <w:rPr>
          <w:rFonts w:ascii="Times New Roman" w:eastAsia="Times New Roman" w:hAnsi="Times New Roman" w:cs="Times New Roman"/>
          <w:sz w:val="24"/>
          <w:szCs w:val="24"/>
        </w:rPr>
        <w:t xml:space="preserve"> fine RAP fractions to produce structurally efficient high modulus mixtures therefore requires systematic investigation.</w:t>
      </w:r>
    </w:p>
    <w:p w:rsidR="00205DFC" w:rsidRDefault="00205DFC" w:rsidP="00205DFC">
      <w:pPr>
        <w:spacing w:before="100" w:beforeAutospacing="1" w:after="100" w:afterAutospacing="1" w:line="240" w:lineRule="auto"/>
        <w:rPr>
          <w:rFonts w:ascii="Times New Roman" w:eastAsia="Times New Roman" w:hAnsi="Times New Roman" w:cs="Times New Roman"/>
          <w:sz w:val="24"/>
          <w:szCs w:val="24"/>
        </w:rPr>
      </w:pPr>
      <w:r w:rsidRPr="00205DFC">
        <w:rPr>
          <w:rFonts w:ascii="Times New Roman" w:eastAsia="Times New Roman" w:hAnsi="Times New Roman" w:cs="Times New Roman"/>
          <w:sz w:val="24"/>
          <w:szCs w:val="24"/>
        </w:rPr>
        <w:t xml:space="preserve">Accordingly, this study investigates the development and validation of a </w:t>
      </w:r>
      <w:r w:rsidRPr="00205DFC">
        <w:rPr>
          <w:rFonts w:ascii="Times New Roman" w:eastAsia="Times New Roman" w:hAnsi="Times New Roman" w:cs="Times New Roman"/>
          <w:b/>
          <w:bCs/>
          <w:sz w:val="24"/>
          <w:szCs w:val="24"/>
        </w:rPr>
        <w:t>fine-graded RAP-based EME AC-5 mixture</w:t>
      </w:r>
      <w:r w:rsidRPr="00205DFC">
        <w:rPr>
          <w:rFonts w:ascii="Times New Roman" w:eastAsia="Times New Roman" w:hAnsi="Times New Roman" w:cs="Times New Roman"/>
          <w:sz w:val="24"/>
          <w:szCs w:val="24"/>
        </w:rPr>
        <w:t>. A two-stage experimental framework is adopted, consisting of gradation screening based on durability and binder interaction indicators, followed by mechanistic performance validation using dynamic modulus and fatigue testing. The outcomes aim to support the sustainable application of fine RAP fractions in high modulus pavement design.</w:t>
      </w:r>
    </w:p>
    <w:p w:rsidR="00205DFC" w:rsidRDefault="00205DFC" w:rsidP="00205DFC">
      <w:pPr>
        <w:spacing w:before="100" w:beforeAutospacing="1" w:after="100" w:afterAutospacing="1" w:line="240" w:lineRule="auto"/>
        <w:rPr>
          <w:rFonts w:ascii="Times New Roman" w:eastAsia="Times New Roman" w:hAnsi="Times New Roman" w:cs="Times New Roman"/>
          <w:sz w:val="24"/>
          <w:szCs w:val="24"/>
        </w:rPr>
      </w:pPr>
    </w:p>
    <w:p w:rsidR="00205DFC" w:rsidRDefault="00205DFC" w:rsidP="00205DFC">
      <w:pPr>
        <w:spacing w:before="100" w:beforeAutospacing="1" w:after="100" w:afterAutospacing="1" w:line="240" w:lineRule="auto"/>
        <w:rPr>
          <w:rFonts w:ascii="Times New Roman" w:eastAsia="Times New Roman" w:hAnsi="Times New Roman" w:cs="Times New Roman"/>
          <w:sz w:val="24"/>
          <w:szCs w:val="24"/>
        </w:rPr>
      </w:pPr>
    </w:p>
    <w:p w:rsidR="00205DFC" w:rsidRDefault="00205DFC" w:rsidP="00205DFC">
      <w:pPr>
        <w:spacing w:before="100" w:beforeAutospacing="1" w:after="100" w:afterAutospacing="1" w:line="240" w:lineRule="auto"/>
        <w:rPr>
          <w:rFonts w:ascii="Times New Roman" w:eastAsia="Times New Roman" w:hAnsi="Times New Roman" w:cs="Times New Roman"/>
          <w:sz w:val="24"/>
          <w:szCs w:val="24"/>
        </w:rPr>
      </w:pPr>
    </w:p>
    <w:p w:rsidR="00205DFC" w:rsidRDefault="00205DFC" w:rsidP="00205DFC">
      <w:pPr>
        <w:pStyle w:val="2"/>
      </w:pPr>
      <w:r>
        <w:rPr>
          <w:rStyle w:val="a3"/>
          <w:b/>
          <w:bCs/>
        </w:rPr>
        <w:lastRenderedPageBreak/>
        <w:t>2. Background</w:t>
      </w:r>
    </w:p>
    <w:p w:rsidR="00205DFC" w:rsidRDefault="00205DFC" w:rsidP="00205DFC">
      <w:pPr>
        <w:pStyle w:val="3"/>
      </w:pPr>
      <w:r>
        <w:rPr>
          <w:rStyle w:val="a3"/>
          <w:b/>
          <w:bCs/>
        </w:rPr>
        <w:t>2.1. High modulus asphalt concrete (EME)</w:t>
      </w:r>
    </w:p>
    <w:p w:rsidR="00205DFC" w:rsidRDefault="00205DFC" w:rsidP="00205DFC">
      <w:pPr>
        <w:pStyle w:val="a4"/>
      </w:pPr>
      <w:r>
        <w:t xml:space="preserve">High modulus asphalt concrete (HMAC), also known as </w:t>
      </w:r>
      <w:proofErr w:type="spellStart"/>
      <w:r>
        <w:rPr>
          <w:rStyle w:val="a5"/>
        </w:rPr>
        <w:t>enrobé</w:t>
      </w:r>
      <w:proofErr w:type="spellEnd"/>
      <w:r>
        <w:rPr>
          <w:rStyle w:val="a5"/>
        </w:rPr>
        <w:t xml:space="preserve"> à module </w:t>
      </w:r>
      <w:proofErr w:type="spellStart"/>
      <w:r>
        <w:rPr>
          <w:rStyle w:val="a5"/>
        </w:rPr>
        <w:t>élevé</w:t>
      </w:r>
      <w:proofErr w:type="spellEnd"/>
      <w:r>
        <w:t xml:space="preserve"> (EME), was originally developed in France to enhance pavement structural capacity and durability under heavy traffic loading (Nunn and Smith 1999; AFNOR 1999). EME mixtures are </w:t>
      </w:r>
      <w:proofErr w:type="spellStart"/>
      <w:r>
        <w:t>characterised</w:t>
      </w:r>
      <w:proofErr w:type="spellEnd"/>
      <w:r>
        <w:t xml:space="preserve"> by high stiffness and load-spreading capability, allowing significant reductions in pavement layer thickness while maintaining adequate resistance to rutting and fatigue damage (</w:t>
      </w:r>
      <w:proofErr w:type="spellStart"/>
      <w:r>
        <w:t>Elseifi</w:t>
      </w:r>
      <w:proofErr w:type="spellEnd"/>
      <w:r>
        <w:t xml:space="preserve"> et al. 2011; </w:t>
      </w:r>
      <w:proofErr w:type="spellStart"/>
      <w:r>
        <w:t>Petho</w:t>
      </w:r>
      <w:proofErr w:type="spellEnd"/>
      <w:r>
        <w:t xml:space="preserve"> and </w:t>
      </w:r>
      <w:proofErr w:type="spellStart"/>
      <w:r>
        <w:t>Denneman</w:t>
      </w:r>
      <w:proofErr w:type="spellEnd"/>
      <w:r>
        <w:t xml:space="preserve"> 2016). Due to these advantages, EME technology has been increasingly adopted and adapted in several countries, including China, Australia, New Zealand, and the United States (NCAT 2017; </w:t>
      </w:r>
      <w:proofErr w:type="spellStart"/>
      <w:r>
        <w:t>Ullah</w:t>
      </w:r>
      <w:proofErr w:type="spellEnd"/>
      <w:r>
        <w:t xml:space="preserve"> et al. 2024; </w:t>
      </w:r>
      <w:proofErr w:type="spellStart"/>
      <w:r>
        <w:t>Waka</w:t>
      </w:r>
      <w:proofErr w:type="spellEnd"/>
      <w:r>
        <w:t xml:space="preserve"> </w:t>
      </w:r>
      <w:proofErr w:type="spellStart"/>
      <w:r>
        <w:t>Kotahi</w:t>
      </w:r>
      <w:proofErr w:type="spellEnd"/>
      <w:r>
        <w:t xml:space="preserve"> 2021).</w:t>
      </w:r>
    </w:p>
    <w:p w:rsidR="00205DFC" w:rsidRDefault="00205DFC" w:rsidP="00205DFC">
      <w:pPr>
        <w:pStyle w:val="a4"/>
      </w:pPr>
      <w:r>
        <w:t xml:space="preserve">To achieve the required stiffness level, conventional EME mixtures typically rely on hard-grade or polymer-modified binders in combination with dense aggregate gradations (GB/T 36143-2018; </w:t>
      </w:r>
      <w:proofErr w:type="spellStart"/>
      <w:r>
        <w:t>Sabita</w:t>
      </w:r>
      <w:proofErr w:type="spellEnd"/>
      <w:r>
        <w:t xml:space="preserve"> 2022). While effective, this approach often results in increased material cost and construction complexity, motivating the exploration of alternative stiffness-enhancing strategies.</w:t>
      </w:r>
    </w:p>
    <w:p w:rsidR="007635DC" w:rsidRDefault="007635DC" w:rsidP="007635DC">
      <w:pPr>
        <w:pStyle w:val="3"/>
      </w:pPr>
      <w:r>
        <w:rPr>
          <w:rStyle w:val="a3"/>
          <w:b/>
          <w:bCs/>
        </w:rPr>
        <w:t>2.2. Mechanical performance requirements of high modulus asphalt</w:t>
      </w:r>
    </w:p>
    <w:p w:rsidR="007635DC" w:rsidRDefault="007635DC" w:rsidP="007635DC">
      <w:pPr>
        <w:pStyle w:val="a4"/>
      </w:pPr>
      <w:r>
        <w:t>The performance of high modulus asphalt mixtures is primarily governed by their stiffness, fatigue resistance, and resistance to permanent deformation. High dynamic modulus values are essential to ensure adequate load distribution and to limit tensile strain development in pavement structures (Chen et al. 2020; Ma et al. 2021). Previous studies have demonstrated that EME mixtures generally exhibit superior rutting resistance compared with conventional asphalt mixtures due to their dense skeleton and stiff binder systems (Brown and Cross 1992; Baker and Mahoney 2000).</w:t>
      </w:r>
    </w:p>
    <w:p w:rsidR="007635DC" w:rsidRDefault="007635DC" w:rsidP="007635DC">
      <w:pPr>
        <w:pStyle w:val="a4"/>
      </w:pPr>
      <w:r>
        <w:t xml:space="preserve">However, excessive stiffness may increase susceptibility to fatigue cracking if mixture design is not properly balanced (Ma et al. 2017; </w:t>
      </w:r>
      <w:proofErr w:type="spellStart"/>
      <w:r>
        <w:t>Porot</w:t>
      </w:r>
      <w:proofErr w:type="spellEnd"/>
      <w:r>
        <w:t xml:space="preserve"> et al. 2021). Therefore, the validation of high modulus asphalt mixtures requires combined evaluation of stiffness and fatigue </w:t>
      </w:r>
      <w:proofErr w:type="spellStart"/>
      <w:r>
        <w:t>behaviour</w:t>
      </w:r>
      <w:proofErr w:type="spellEnd"/>
      <w:r>
        <w:t xml:space="preserve"> under realistic loading and temperature conditions.</w:t>
      </w:r>
    </w:p>
    <w:p w:rsidR="00205DFC" w:rsidRDefault="00205DFC" w:rsidP="00205DFC">
      <w:pPr>
        <w:spacing w:before="100" w:beforeAutospacing="1" w:after="100" w:afterAutospacing="1" w:line="240" w:lineRule="auto"/>
        <w:rPr>
          <w:rFonts w:ascii="Times New Roman" w:eastAsia="Times New Roman" w:hAnsi="Times New Roman" w:cs="Times New Roman"/>
          <w:sz w:val="24"/>
          <w:szCs w:val="24"/>
        </w:rPr>
      </w:pPr>
    </w:p>
    <w:p w:rsidR="007635DC" w:rsidRDefault="007635DC" w:rsidP="007635DC">
      <w:pPr>
        <w:pStyle w:val="3"/>
      </w:pPr>
      <w:r>
        <w:rPr>
          <w:rStyle w:val="a3"/>
          <w:b/>
          <w:bCs/>
        </w:rPr>
        <w:t>2.3. Use of reclaimed asphalt pavement in high modulus mixtures</w:t>
      </w:r>
    </w:p>
    <w:p w:rsidR="007635DC" w:rsidRDefault="007635DC" w:rsidP="007635DC">
      <w:pPr>
        <w:pStyle w:val="a4"/>
      </w:pPr>
      <w:r>
        <w:t>The incorporation of reclaimed asphalt pavement (RAP) into asphalt mixtures has been widely promoted as a sustainable practice due to its potential to reduce virgin material consumption and environmental impact (Yang et al. 2015; FHWA 2018). RAP contains aged binder that can contribute to mixture stiffness, making it particularly attractive for high modulus asphalt applications (</w:t>
      </w:r>
      <w:proofErr w:type="spellStart"/>
      <w:r>
        <w:t>Zaumanis</w:t>
      </w:r>
      <w:proofErr w:type="spellEnd"/>
      <w:r>
        <w:t xml:space="preserve"> et al. 2020; </w:t>
      </w:r>
      <w:proofErr w:type="spellStart"/>
      <w:r>
        <w:t>Porot</w:t>
      </w:r>
      <w:proofErr w:type="spellEnd"/>
      <w:r>
        <w:t xml:space="preserve"> et al. 2021).</w:t>
      </w:r>
    </w:p>
    <w:p w:rsidR="007635DC" w:rsidRDefault="007635DC" w:rsidP="007635DC">
      <w:pPr>
        <w:pStyle w:val="a4"/>
      </w:pPr>
      <w:r>
        <w:lastRenderedPageBreak/>
        <w:t xml:space="preserve">Nevertheless, RAP </w:t>
      </w:r>
      <w:proofErr w:type="spellStart"/>
      <w:r>
        <w:t>utilisation</w:t>
      </w:r>
      <w:proofErr w:type="spellEnd"/>
      <w:r>
        <w:t xml:space="preserve"> introduces challenges related to binder ageing, cracking resistance, and variability in blending between aged and virgin binders (Li et al. 2004; Colbert and You 2012; Tarsi et al. 2020). Numerous studies have shown that RAP binder often exhibits partial blending </w:t>
      </w:r>
      <w:proofErr w:type="spellStart"/>
      <w:r>
        <w:t>behaviour</w:t>
      </w:r>
      <w:proofErr w:type="spellEnd"/>
      <w:r>
        <w:t>, resulting in heterogeneous mastic properties and complex damage mechanisms (</w:t>
      </w:r>
      <w:proofErr w:type="spellStart"/>
      <w:r>
        <w:t>Shen</w:t>
      </w:r>
      <w:proofErr w:type="spellEnd"/>
      <w:r>
        <w:t xml:space="preserve"> et al. 2016; </w:t>
      </w:r>
      <w:proofErr w:type="spellStart"/>
      <w:r>
        <w:t>Kaseer</w:t>
      </w:r>
      <w:proofErr w:type="spellEnd"/>
      <w:r>
        <w:t xml:space="preserve"> et al. 2019; </w:t>
      </w:r>
      <w:proofErr w:type="spellStart"/>
      <w:proofErr w:type="gramStart"/>
      <w:r>
        <w:t>Gao</w:t>
      </w:r>
      <w:proofErr w:type="spellEnd"/>
      <w:r>
        <w:t xml:space="preserve"> et al</w:t>
      </w:r>
      <w:proofErr w:type="gramEnd"/>
      <w:r>
        <w:t>. 2022). Consequently, understanding and quantifying the degree of blending is critical for reliable RAP mixture design.</w:t>
      </w:r>
    </w:p>
    <w:p w:rsidR="007635DC" w:rsidRDefault="007635DC" w:rsidP="007635DC">
      <w:pPr>
        <w:pStyle w:val="3"/>
      </w:pPr>
      <w:r>
        <w:rPr>
          <w:rStyle w:val="a3"/>
          <w:b/>
          <w:bCs/>
        </w:rPr>
        <w:t>2.4. Research gap: fine-graded RAP-based EME mixtures</w:t>
      </w:r>
    </w:p>
    <w:p w:rsidR="007635DC" w:rsidRDefault="007635DC" w:rsidP="007635DC">
      <w:pPr>
        <w:pStyle w:val="a4"/>
      </w:pPr>
      <w:r>
        <w:t xml:space="preserve">Existing research on RAP-based high modulus asphalt mixtures has primarily focused on coarser gradations such as AC-10 and AC-14, which rely mainly on aggregate interlock to achieve structural stiffness (Ma et al. 2017; </w:t>
      </w:r>
      <w:proofErr w:type="spellStart"/>
      <w:r>
        <w:t>Zaumanis</w:t>
      </w:r>
      <w:proofErr w:type="spellEnd"/>
      <w:r>
        <w:t xml:space="preserve"> et al. 2020; </w:t>
      </w:r>
      <w:proofErr w:type="spellStart"/>
      <w:r>
        <w:t>Porot</w:t>
      </w:r>
      <w:proofErr w:type="spellEnd"/>
      <w:r>
        <w:t xml:space="preserve"> et al. 2021). In contrast, </w:t>
      </w:r>
      <w:r>
        <w:rPr>
          <w:rStyle w:val="a3"/>
        </w:rPr>
        <w:t>fine-graded mixtures such as AC-5</w:t>
      </w:r>
      <w:r>
        <w:t>, which contain higher proportions of fine aggregate and aged binder, remain insufficiently investigated in the context of high modulus asphalt design.</w:t>
      </w:r>
    </w:p>
    <w:p w:rsidR="007635DC" w:rsidRDefault="007635DC" w:rsidP="007635DC">
      <w:pPr>
        <w:pStyle w:val="a4"/>
      </w:pPr>
      <w:r>
        <w:t xml:space="preserve">Fine RAP fractions may significantly influence mastic stiffness, moisture durability, and fatigue </w:t>
      </w:r>
      <w:proofErr w:type="spellStart"/>
      <w:r>
        <w:t>behaviour</w:t>
      </w:r>
      <w:proofErr w:type="spellEnd"/>
      <w:r>
        <w:t xml:space="preserve"> due to their higher aged binder content (</w:t>
      </w:r>
      <w:proofErr w:type="spellStart"/>
      <w:r>
        <w:t>Zaumanis</w:t>
      </w:r>
      <w:proofErr w:type="spellEnd"/>
      <w:r>
        <w:t xml:space="preserve"> et al. 2019; </w:t>
      </w:r>
      <w:proofErr w:type="spellStart"/>
      <w:r>
        <w:t>Khasawneh</w:t>
      </w:r>
      <w:proofErr w:type="spellEnd"/>
      <w:r>
        <w:t xml:space="preserve"> et al. 2020; Li et al. 2025). However, the suitability of RAP-based EME AC-5 mixtures for structural pavement applications has not been systematically validated.</w:t>
      </w:r>
    </w:p>
    <w:p w:rsidR="007635DC" w:rsidRDefault="007635DC" w:rsidP="007635DC">
      <w:pPr>
        <w:pStyle w:val="a4"/>
      </w:pPr>
      <w:r>
        <w:t>Accordingly, there is a need for a structured evaluation framework that combines gradation screening, binder interaction assessment, and mechanistic performance validation to determine whether fine-graded RAP-EME mixtures can meet high modulus asphalt requirements.</w:t>
      </w:r>
    </w:p>
    <w:p w:rsidR="007635DC" w:rsidRDefault="007635DC" w:rsidP="007635DC">
      <w:pPr>
        <w:pStyle w:val="2"/>
      </w:pPr>
      <w:r>
        <w:rPr>
          <w:rStyle w:val="a3"/>
          <w:b/>
          <w:bCs/>
        </w:rPr>
        <w:t>3. Material properties</w:t>
      </w:r>
    </w:p>
    <w:p w:rsidR="007635DC" w:rsidRDefault="007635DC" w:rsidP="007635DC">
      <w:pPr>
        <w:pStyle w:val="a4"/>
      </w:pPr>
      <w:r>
        <w:rPr>
          <w:rStyle w:val="a5"/>
          <w:rFonts w:eastAsiaTheme="majorEastAsia"/>
        </w:rPr>
        <w:t>(Single-section format, matching the IJPE paper)</w:t>
      </w:r>
    </w:p>
    <w:p w:rsidR="007635DC" w:rsidRDefault="007635DC" w:rsidP="007635DC">
      <w:pPr>
        <w:pStyle w:val="a4"/>
      </w:pPr>
      <w:r>
        <w:t xml:space="preserve">The materials used in this study consisted of reclaimed asphalt pavement (RAP), virgin aggregates, and asphalt binder. The RAP material was obtained from a commercial asphalt plant in </w:t>
      </w:r>
      <w:proofErr w:type="spellStart"/>
      <w:r>
        <w:t>Shaoxing</w:t>
      </w:r>
      <w:proofErr w:type="spellEnd"/>
      <w:r>
        <w:t>, Zhejiang Province, China, and was sourced from milled asphalt layers. The RAP was crushed and screened to produce a fine fraction with a nominal size range of 0–5 mm, corresponding to an AC-5 gradation. The RAP contained aged asphalt binder adhered to the aggregate surface, which contributed both aggregate and binder components to the recycled mixtures. The binder content of the RAP was measured as 5.78% by mass and was used to determine the contribution of aged binder in the mixture design.</w:t>
      </w:r>
    </w:p>
    <w:p w:rsidR="007635DC" w:rsidRDefault="007635DC" w:rsidP="007635DC">
      <w:pPr>
        <w:pStyle w:val="a4"/>
      </w:pPr>
      <w:r>
        <w:t>Virgin aggregates consisted of crushed basalt, which is commonly used in asphalt mixtures due to its high strength and angularity. The basalt aggregates were combined with the fine RAP fraction to achieve the target gradation required for high modulus asphalt mixtures. Aggregate properties satisfied the specification requirements for structural pavement applications.</w:t>
      </w:r>
    </w:p>
    <w:p w:rsidR="007635DC" w:rsidRDefault="007635DC" w:rsidP="007635DC">
      <w:pPr>
        <w:pStyle w:val="a4"/>
      </w:pPr>
      <w:r>
        <w:t xml:space="preserve">A #30 penetration-grade hard asphalt binder was used as the virgin binder in this study. Hard-grade binders are typically employed in high modulus asphalt mixtures to achieve high stiffness and rutting resistance. The virgin binder was combined with the aged RAP binder during mixture </w:t>
      </w:r>
      <w:r>
        <w:lastRenderedPageBreak/>
        <w:t>production, and the proportion of virgin binder was adjusted according to the measured RAP binder content.</w:t>
      </w:r>
    </w:p>
    <w:p w:rsidR="007635DC" w:rsidRDefault="007635DC" w:rsidP="007635DC">
      <w:pPr>
        <w:pStyle w:val="a4"/>
      </w:pPr>
      <w:r>
        <w:t>Three RAP-based AC-5 gradations, referred to as Gradation A, Gradation B, and EME AC-5, were designed and evaluated to investigate the influence of fine aggregate distribution on mixture performance. Following gradation screening, the selected RAP-based EME AC-5 mixture was benchmarked against conventional high modulus asphalt mixtures with larger nominal maximum aggregate sizes, namely EME AC-10 and EME AC-14. The total binder content of the RAP-based AC-5 mixtures ranged from 8.67% to 8.84%, of which approximately 5.67–5.78% was contributed by the aged RAP binder and the remainder by the virgin hard binder.</w:t>
      </w:r>
    </w:p>
    <w:p w:rsidR="007635DC" w:rsidRDefault="007635DC" w:rsidP="007635DC">
      <w:pPr>
        <w:pStyle w:val="2"/>
      </w:pPr>
      <w:r>
        <w:rPr>
          <w:rStyle w:val="a3"/>
          <w:b/>
          <w:bCs/>
        </w:rPr>
        <w:t>4. Test methods</w:t>
      </w:r>
    </w:p>
    <w:p w:rsidR="007635DC" w:rsidRDefault="007635DC" w:rsidP="007635DC">
      <w:pPr>
        <w:pStyle w:val="a4"/>
      </w:pPr>
      <w:r>
        <w:t xml:space="preserve">The experimental </w:t>
      </w:r>
      <w:proofErr w:type="spellStart"/>
      <w:r>
        <w:t>programme</w:t>
      </w:r>
      <w:proofErr w:type="spellEnd"/>
      <w:r>
        <w:t xml:space="preserve"> was designed to evaluate the volumetric characteristics, durability, and mechanical performance of the RAP-based high modulus asphalt mixtures. All mixtures were prepared in the laboratory at a mixing temperature of </w:t>
      </w:r>
      <w:r>
        <w:rPr>
          <w:rStyle w:val="a3"/>
        </w:rPr>
        <w:t>165 °C</w:t>
      </w:r>
      <w:r>
        <w:t xml:space="preserve">. Specimens were compacted using </w:t>
      </w:r>
      <w:r>
        <w:rPr>
          <w:rStyle w:val="a3"/>
        </w:rPr>
        <w:t xml:space="preserve">75-blow Marshall </w:t>
      </w:r>
      <w:proofErr w:type="gramStart"/>
      <w:r>
        <w:rPr>
          <w:rStyle w:val="a3"/>
        </w:rPr>
        <w:t>compaction</w:t>
      </w:r>
      <w:proofErr w:type="gramEnd"/>
      <w:r>
        <w:t xml:space="preserve">, and for tests requiring gyratory-compacted specimens, equivalent compaction levels were applied. For all tests, </w:t>
      </w:r>
      <w:r>
        <w:rPr>
          <w:rStyle w:val="a3"/>
        </w:rPr>
        <w:t>three replicate specimens</w:t>
      </w:r>
      <w:r>
        <w:t xml:space="preserve"> were prepared and tested unless otherwise specified.</w:t>
      </w:r>
    </w:p>
    <w:p w:rsidR="007635DC" w:rsidRDefault="007635DC" w:rsidP="007635DC">
      <w:pPr>
        <w:pStyle w:val="a4"/>
      </w:pPr>
      <w:r>
        <w:t>Volumetric properties, including air void content, were determined using the bulk specific gravity of compacted specimens and the theoretical maximum specific gravity of the mixtures. Moisture sensitivity was evaluated using the indirect tensile strength ratio (TSR) method, in which specimens were divided into conditioned and unconditioned groups and subjected to a freeze–thaw cycle prior to testing. The TSR was calculated as the ratio of conditioned to unconditioned indirect tensile strength.</w:t>
      </w:r>
    </w:p>
    <w:p w:rsidR="007635DC" w:rsidRDefault="007635DC" w:rsidP="007635DC">
      <w:pPr>
        <w:pStyle w:val="a4"/>
      </w:pPr>
      <w:r>
        <w:t xml:space="preserve">Mixture durability was assessed using the </w:t>
      </w:r>
      <w:proofErr w:type="spellStart"/>
      <w:r>
        <w:t>Cantabro</w:t>
      </w:r>
      <w:proofErr w:type="spellEnd"/>
      <w:r>
        <w:t xml:space="preserve"> abrasion test, which measures resistance to raveling. Compacted specimens were tested in a Los Angeles abrasion drum without steel balls, and the abrasion loss was calculated as the percentage mass loss after testing. Shear resistance was evaluated using a </w:t>
      </w:r>
      <w:proofErr w:type="spellStart"/>
      <w:r>
        <w:t>uniaxial</w:t>
      </w:r>
      <w:proofErr w:type="spellEnd"/>
      <w:r>
        <w:t xml:space="preserve"> shear strength test, in which cylindrical specimens were loaded under monotonic shear until failure and the maximum shear stress was recorded.</w:t>
      </w:r>
    </w:p>
    <w:p w:rsidR="007635DC" w:rsidRDefault="007635DC" w:rsidP="007635DC">
      <w:pPr>
        <w:pStyle w:val="a4"/>
      </w:pPr>
      <w:r>
        <w:t>The interaction between aged RAP binder and virgin binder was quantified through the degree of blending (</w:t>
      </w:r>
      <w:proofErr w:type="spellStart"/>
      <w:proofErr w:type="gramStart"/>
      <w:r>
        <w:t>DoB</w:t>
      </w:r>
      <w:proofErr w:type="spellEnd"/>
      <w:proofErr w:type="gramEnd"/>
      <w:r>
        <w:t xml:space="preserve">), which was determined using binder-related indices derived from mixture composition and mechanical response. This parameter was used to assess the effectiveness of RAP binder </w:t>
      </w:r>
      <w:proofErr w:type="spellStart"/>
      <w:r>
        <w:t>mobilisation</w:t>
      </w:r>
      <w:proofErr w:type="spellEnd"/>
      <w:r>
        <w:t xml:space="preserve"> during mixture production.</w:t>
      </w:r>
    </w:p>
    <w:p w:rsidR="007635DC" w:rsidRDefault="007635DC" w:rsidP="007635DC">
      <w:pPr>
        <w:pStyle w:val="a4"/>
      </w:pPr>
      <w:r>
        <w:t xml:space="preserve">The stiffness characteristics of the mixtures were evaluated using the dynamic modulus test conducted in accordance with </w:t>
      </w:r>
      <w:r>
        <w:rPr>
          <w:rStyle w:val="a3"/>
        </w:rPr>
        <w:t>JTG 3410–2025</w:t>
      </w:r>
      <w:r>
        <w:t xml:space="preserve">. Dynamic modulus measurements were obtained at multiple temperatures and loading </w:t>
      </w:r>
      <w:proofErr w:type="gramStart"/>
      <w:r>
        <w:t>frequencies,</w:t>
      </w:r>
      <w:proofErr w:type="gramEnd"/>
      <w:r>
        <w:t xml:space="preserve"> and the results were used to construct master curves. Fatigue performance was evaluated using the indirect tensile fatigue test conducted with a </w:t>
      </w:r>
      <w:proofErr w:type="spellStart"/>
      <w:r>
        <w:rPr>
          <w:rStyle w:val="a3"/>
        </w:rPr>
        <w:t>Pavetest</w:t>
      </w:r>
      <w:proofErr w:type="spellEnd"/>
      <w:r>
        <w:rPr>
          <w:rStyle w:val="a3"/>
        </w:rPr>
        <w:t xml:space="preserve"> DTS-30 system</w:t>
      </w:r>
      <w:r>
        <w:t xml:space="preserve">. Testing was performed at a temperature of </w:t>
      </w:r>
      <w:r>
        <w:rPr>
          <w:rStyle w:val="a3"/>
        </w:rPr>
        <w:t>20 °C</w:t>
      </w:r>
      <w:r>
        <w:t xml:space="preserve"> under sinusoidal loading at a frequency of </w:t>
      </w:r>
      <w:r>
        <w:rPr>
          <w:rStyle w:val="a3"/>
        </w:rPr>
        <w:t>10 Hz</w:t>
      </w:r>
      <w:r>
        <w:t>, and fatigue life was defined as the number of cycles to failure under specified stress levels.</w:t>
      </w:r>
    </w:p>
    <w:p w:rsidR="00786DC5" w:rsidRDefault="00786DC5" w:rsidP="00786DC5">
      <w:pPr>
        <w:pStyle w:val="2"/>
      </w:pPr>
      <w:r>
        <w:rPr>
          <w:rStyle w:val="a3"/>
          <w:b/>
          <w:bCs/>
        </w:rPr>
        <w:lastRenderedPageBreak/>
        <w:t>5. Results</w:t>
      </w:r>
    </w:p>
    <w:p w:rsidR="00786DC5" w:rsidRDefault="00786DC5" w:rsidP="00786DC5">
      <w:pPr>
        <w:pStyle w:val="a4"/>
      </w:pPr>
      <w:r>
        <w:t>The experimental results are presented in two stages. First, the RAP-based AC-5 gradations were screened to identify a suitable mixture for high modulus applications. Second, the selected RAP-based EME AC-5 mixture was benchmarked against conventional EME mixtures (AC-10 and AC-14) using mechanistic performance tests.</w:t>
      </w:r>
    </w:p>
    <w:p w:rsidR="00786DC5" w:rsidRDefault="00786DC5" w:rsidP="00786DC5">
      <w:pPr>
        <w:pStyle w:val="a4"/>
      </w:pPr>
      <w:r>
        <w:t xml:space="preserve">The volumetric and binder-related parameters of the mixtures are </w:t>
      </w:r>
      <w:proofErr w:type="spellStart"/>
      <w:r>
        <w:t>summarised</w:t>
      </w:r>
      <w:proofErr w:type="spellEnd"/>
      <w:r>
        <w:t xml:space="preserve"> in Table 1. Gradation B exhibited the highest air void content (6.2%), indicating a relatively open structure, whereas the selected EME AC-5 mixture showed a significantly lower air void content of 1.89%.</w:t>
      </w:r>
    </w:p>
    <w:p w:rsidR="00786DC5" w:rsidRDefault="00786DC5" w:rsidP="00786DC5">
      <w:pPr>
        <w:pStyle w:val="a4"/>
      </w:pPr>
      <w:r>
        <w:t xml:space="preserve">Moisture sensitivity results demonstrated differences among the gradations. The TSR values of Gradation A and Gradation B were 87.0% and 84.8%, respectively, while the EME AC-5 mixture achieved the highest TSR value of 90.7%. </w:t>
      </w:r>
      <w:proofErr w:type="spellStart"/>
      <w:r>
        <w:t>Cantabro</w:t>
      </w:r>
      <w:proofErr w:type="spellEnd"/>
      <w:r>
        <w:t xml:space="preserve"> abrasion loss results indicated that Gradation B exhibited a higher mass loss compared with Gradation A, suggesting reduced durability.</w:t>
      </w:r>
    </w:p>
    <w:p w:rsidR="00786DC5" w:rsidRDefault="00786DC5" w:rsidP="00786DC5">
      <w:pPr>
        <w:pStyle w:val="a4"/>
      </w:pPr>
      <w:proofErr w:type="spellStart"/>
      <w:r>
        <w:t>Uniaxial</w:t>
      </w:r>
      <w:proofErr w:type="spellEnd"/>
      <w:r>
        <w:t xml:space="preserve"> shear strength testing showed that Gradation A and Gradation B achieved similar peak shear strengths of approximately 5.3 </w:t>
      </w:r>
      <w:proofErr w:type="spellStart"/>
      <w:r>
        <w:t>MPa</w:t>
      </w:r>
      <w:proofErr w:type="spellEnd"/>
      <w:r>
        <w:t xml:space="preserve">, whereas the EME AC-5 mixture exhibited </w:t>
      </w:r>
      <w:proofErr w:type="gramStart"/>
      <w:r>
        <w:t>a shear</w:t>
      </w:r>
      <w:proofErr w:type="gramEnd"/>
      <w:r>
        <w:t xml:space="preserve"> strength of 2.65 </w:t>
      </w:r>
      <w:proofErr w:type="spellStart"/>
      <w:r>
        <w:t>MPa</w:t>
      </w:r>
      <w:proofErr w:type="spellEnd"/>
      <w:r>
        <w:t>. The degree of blending (</w:t>
      </w:r>
      <w:proofErr w:type="spellStart"/>
      <w:proofErr w:type="gramStart"/>
      <w:r>
        <w:t>DoB</w:t>
      </w:r>
      <w:proofErr w:type="spellEnd"/>
      <w:proofErr w:type="gramEnd"/>
      <w:r>
        <w:t xml:space="preserve">) values were 56% for Gradation A and 28% for Gradation B, while the selected EME AC-5 mixture exhibited an intermediate </w:t>
      </w:r>
      <w:proofErr w:type="spellStart"/>
      <w:r>
        <w:t>DoB</w:t>
      </w:r>
      <w:proofErr w:type="spellEnd"/>
      <w:r>
        <w:t xml:space="preserve"> of approximately 47%.</w:t>
      </w:r>
    </w:p>
    <w:p w:rsidR="00786DC5" w:rsidRDefault="00786DC5" w:rsidP="00786DC5">
      <w:pPr>
        <w:pStyle w:val="a4"/>
      </w:pPr>
      <w:r>
        <w:t xml:space="preserve">Dynamic modulus testing was conducted to evaluate stiffness performance of the selected mixture in comparison with EME AC-10 and EME AC-14. The results indicated that EME AC-5 exhibited consistently higher modulus values across the tested conditions. At 40 °C and 10 Hz, the dynamic modulus of the EME AC-5 mixture reached approximately 11,300 </w:t>
      </w:r>
      <w:proofErr w:type="spellStart"/>
      <w:r>
        <w:t>MPa</w:t>
      </w:r>
      <w:proofErr w:type="spellEnd"/>
      <w:r>
        <w:t>, exceeding the modulus of the EME AC-10 mixture by nearly 29%.</w:t>
      </w:r>
    </w:p>
    <w:p w:rsidR="00786DC5" w:rsidRDefault="00786DC5" w:rsidP="00786DC5">
      <w:pPr>
        <w:pStyle w:val="a4"/>
      </w:pPr>
      <w:r>
        <w:t xml:space="preserve">Fatigue performance was evaluated at two stress levels. At 722 </w:t>
      </w:r>
      <w:proofErr w:type="spellStart"/>
      <w:r>
        <w:t>kPa</w:t>
      </w:r>
      <w:proofErr w:type="spellEnd"/>
      <w:r>
        <w:t xml:space="preserve">, the fatigue life of the EME AC-5 mixture was approximately 63,933 cycles, compared with 20,877 cycles for EME AC-10 and 12,944 cycles for EME AC-14. At 1083 </w:t>
      </w:r>
      <w:proofErr w:type="spellStart"/>
      <w:r>
        <w:t>kPa</w:t>
      </w:r>
      <w:proofErr w:type="spellEnd"/>
      <w:r>
        <w:t>, the fatigue life decreased to 10,398 cycles for EME AC-5, while EME AC-10 and EME AC-14 achieved 2,105 and 1,559 cycles, respectively.</w:t>
      </w:r>
    </w:p>
    <w:p w:rsidR="00CD00D2" w:rsidRDefault="00CD00D2" w:rsidP="00CD00D2">
      <w:pPr>
        <w:pStyle w:val="2"/>
      </w:pPr>
      <w:r>
        <w:rPr>
          <w:rStyle w:val="a3"/>
          <w:b/>
          <w:bCs/>
        </w:rPr>
        <w:t>6. Summary</w:t>
      </w:r>
    </w:p>
    <w:p w:rsidR="00CD00D2" w:rsidRDefault="00CD00D2" w:rsidP="00CD00D2">
      <w:pPr>
        <w:pStyle w:val="a4"/>
      </w:pPr>
      <w:r>
        <w:t>This study investigated the feasibility of developing a sustainable fine-graded high modulus asphalt mixture using reclaimed asphalt pavement (RAP) AC-5 fractions. A two-stage experimental framework was adopted. In the first stage, three RAP-based AC-5 gradations were evaluated to assess the influence of gradation variation on mixture validity, durability, and binder interaction. In the second stage, the selected RAP-based EME AC-5 mixture was benchmarked against conventional high modulus asphalt mixtures with larger nominal maximum aggregate sizes (EME AC-10 and EME AC-14) through mechanistic stiffness and fatigue performance tests.</w:t>
      </w:r>
    </w:p>
    <w:p w:rsidR="00CD00D2" w:rsidRDefault="00CD00D2" w:rsidP="00CD00D2">
      <w:pPr>
        <w:pStyle w:val="a4"/>
      </w:pPr>
      <w:r>
        <w:lastRenderedPageBreak/>
        <w:t xml:space="preserve">The results from the gradation screening stage demonstrated that gradation plays a critical role in determining the volumetric characteristics and durability-related performance of RAP-based fine mixtures. Among the investigated AC-5 gradations, Gradation B exhibited the highest air void content (6.2%), indicating a relatively open internal structure, whereas the selected EME AC-5 mixture achieved a significantly lower air void content of 1.89%, reflecting a much denser mixture skeleton. Such volumetric differences were also reflected in moisture resistance outcomes. The tensile strength ratio (TSR) of the selected EME AC-5 mixture reached 90.7%, exceeding the TSR values of Gradation </w:t>
      </w:r>
      <w:proofErr w:type="gramStart"/>
      <w:r>
        <w:t>A</w:t>
      </w:r>
      <w:proofErr w:type="gramEnd"/>
      <w:r>
        <w:t xml:space="preserve"> (87.0%) and Gradation B (84.8%). These results confirm that the selected gradation provided improved resistance to moisture-induced damage, which is essential for structural pavement layers.</w:t>
      </w:r>
    </w:p>
    <w:p w:rsidR="00CD00D2" w:rsidRDefault="00CD00D2" w:rsidP="00CD00D2">
      <w:pPr>
        <w:pStyle w:val="a4"/>
      </w:pPr>
      <w:r>
        <w:t xml:space="preserve">Durability evaluation through the </w:t>
      </w:r>
      <w:proofErr w:type="spellStart"/>
      <w:r>
        <w:t>Cantabro</w:t>
      </w:r>
      <w:proofErr w:type="spellEnd"/>
      <w:r>
        <w:t xml:space="preserve"> abrasion test further indicated that gradation influences mixture integrity. Gradation B exhibited a higher abrasion loss compared with Gradation A, suggesting reduced resistance to raveling. The shear resistance results showed that Gradation A and Gradation B achieved similar peak shear strengths of approximately 5.3 </w:t>
      </w:r>
      <w:proofErr w:type="spellStart"/>
      <w:r>
        <w:t>MPa</w:t>
      </w:r>
      <w:proofErr w:type="spellEnd"/>
      <w:r>
        <w:t xml:space="preserve">, while the EME AC-5 mixture exhibited a lower shear strength of 2.65 </w:t>
      </w:r>
      <w:proofErr w:type="spellStart"/>
      <w:r>
        <w:t>MPa</w:t>
      </w:r>
      <w:proofErr w:type="spellEnd"/>
      <w:r>
        <w:t xml:space="preserve">. This </w:t>
      </w:r>
      <w:proofErr w:type="spellStart"/>
      <w:r>
        <w:t>behaviour</w:t>
      </w:r>
      <w:proofErr w:type="spellEnd"/>
      <w:r>
        <w:t xml:space="preserve"> is attributed to the fine-graded nature of the mixture, where performance is governed more strongly by binder stiffness and mastic properties rather than coarse aggregate interlock.</w:t>
      </w:r>
    </w:p>
    <w:p w:rsidR="00CD00D2" w:rsidRDefault="00CD00D2" w:rsidP="00CD00D2">
      <w:pPr>
        <w:pStyle w:val="a4"/>
      </w:pPr>
      <w:r>
        <w:t xml:space="preserve">A key aspect of RAP mixture design is the </w:t>
      </w:r>
      <w:proofErr w:type="spellStart"/>
      <w:r>
        <w:t>mobilisation</w:t>
      </w:r>
      <w:proofErr w:type="spellEnd"/>
      <w:r>
        <w:t xml:space="preserve"> and blending efficiency of aged RAP binder. The degree of blending (</w:t>
      </w:r>
      <w:proofErr w:type="spellStart"/>
      <w:proofErr w:type="gramStart"/>
      <w:r>
        <w:t>DoB</w:t>
      </w:r>
      <w:proofErr w:type="spellEnd"/>
      <w:proofErr w:type="gramEnd"/>
      <w:r>
        <w:t xml:space="preserve">) analysis highlighted substantial differences among the gradations. Gradation A achieved the highest </w:t>
      </w:r>
      <w:proofErr w:type="spellStart"/>
      <w:proofErr w:type="gramStart"/>
      <w:r>
        <w:t>DoB</w:t>
      </w:r>
      <w:proofErr w:type="spellEnd"/>
      <w:proofErr w:type="gramEnd"/>
      <w:r>
        <w:t xml:space="preserve"> value (56%), while Gradation B showed a significantly lower value of 28%, indicating limited aged binder contribution. The selected EME AC-5 mixture exhibited an intermediate </w:t>
      </w:r>
      <w:proofErr w:type="spellStart"/>
      <w:proofErr w:type="gramStart"/>
      <w:r>
        <w:t>DoB</w:t>
      </w:r>
      <w:proofErr w:type="spellEnd"/>
      <w:proofErr w:type="gramEnd"/>
      <w:r>
        <w:t xml:space="preserve"> of approximately 47%, suggesting a more balanced binder interaction. This result supports the suitability of the selected gradation for high modulus mixture development, as it enables effective </w:t>
      </w:r>
      <w:proofErr w:type="spellStart"/>
      <w:r>
        <w:t>utilisation</w:t>
      </w:r>
      <w:proofErr w:type="spellEnd"/>
      <w:r>
        <w:t xml:space="preserve"> of aged RAP binder without excessive variability in binder activation.</w:t>
      </w:r>
    </w:p>
    <w:p w:rsidR="00CD00D2" w:rsidRDefault="00CD00D2" w:rsidP="00CD00D2">
      <w:pPr>
        <w:pStyle w:val="a4"/>
      </w:pPr>
      <w:r>
        <w:t xml:space="preserve">Following the screening stage, the selected RAP-based EME AC-5 mixture was subjected to mechanistic validation through dynamic modulus and fatigue testing in comparison with conventional EME AC-10 and AC-14 mixtures. The dynamic modulus results confirmed that the RAP-based EME AC-5 mixture achieved superior stiffness performance across the tested conditions. At a reference condition of 40 °C and 10 Hz, the dynamic modulus reached approximately 11,300 </w:t>
      </w:r>
      <w:proofErr w:type="spellStart"/>
      <w:r>
        <w:t>MPa</w:t>
      </w:r>
      <w:proofErr w:type="spellEnd"/>
      <w:r>
        <w:t>, exceeding the modulus of the EME AC-10 mixture by nearly 29%. This demonstrates that fine RAP fractions with high aged binder content can provide substantial stiffness enhancement, supporting the classification of the mixture as a high modulus asphalt material.</w:t>
      </w:r>
    </w:p>
    <w:p w:rsidR="00CD00D2" w:rsidRDefault="00CD00D2" w:rsidP="00CD00D2">
      <w:pPr>
        <w:pStyle w:val="a4"/>
      </w:pPr>
      <w:r>
        <w:t xml:space="preserve">Fatigue resistance evaluation further demonstrated the structural effectiveness of the RAP-based EME AC-5 mixture. At a stress level of 722 </w:t>
      </w:r>
      <w:proofErr w:type="spellStart"/>
      <w:r>
        <w:t>kPa</w:t>
      </w:r>
      <w:proofErr w:type="spellEnd"/>
      <w:r>
        <w:t xml:space="preserve">, the fatigue life of EME AC-5 reached approximately 63,933 cycles, compared with 20,877 cycles for EME AC-10 and 12,944 cycles for EME AC-14. At the higher stress level of 1083 </w:t>
      </w:r>
      <w:proofErr w:type="spellStart"/>
      <w:r>
        <w:t>kPa</w:t>
      </w:r>
      <w:proofErr w:type="spellEnd"/>
      <w:r>
        <w:t>, fatigue life decreased for all mixtures, as expected, yet EME AC-5 maintained superior endurance with approximately 10,398 cycles, while EME AC-10 and EME AC-14 achieved only 2,105 and 1,559 cycles, respectively. These findings confirm that the selected RAP-based fine-graded mixture provides not only high stiffness but also significantly improved fatigue performance under repeated loading.</w:t>
      </w:r>
    </w:p>
    <w:p w:rsidR="00CD00D2" w:rsidRDefault="00CD00D2" w:rsidP="00CD00D2">
      <w:pPr>
        <w:pStyle w:val="a4"/>
      </w:pPr>
      <w:r>
        <w:lastRenderedPageBreak/>
        <w:t xml:space="preserve">Overall, the experimental outcomes validate the feasibility of </w:t>
      </w:r>
      <w:proofErr w:type="spellStart"/>
      <w:r>
        <w:t>utilising</w:t>
      </w:r>
      <w:proofErr w:type="spellEnd"/>
      <w:r>
        <w:t xml:space="preserve"> fine RAP fractions within an AC-5 gradation framework to develop a structurally efficient high modulus asphalt mixture. The selected EME AC-5 mixture demonstrated </w:t>
      </w:r>
      <w:proofErr w:type="spellStart"/>
      <w:r>
        <w:t>favourable</w:t>
      </w:r>
      <w:proofErr w:type="spellEnd"/>
      <w:r>
        <w:t xml:space="preserve"> volumetric compactness, excellent moisture durability, balanced binder blending </w:t>
      </w:r>
      <w:proofErr w:type="spellStart"/>
      <w:r>
        <w:t>behaviour</w:t>
      </w:r>
      <w:proofErr w:type="spellEnd"/>
      <w:r>
        <w:t>, high stiffness retention, and substantially extended fatigue life compared with conventional high modulus mixtures. The results suggest that RAP-based fine-graded EME mixtures can provide a sustainable alternative for heavily trafficked pavement base and binder layers, reducing reliance on virgin hard binders while maintaining high mechanical performance.</w:t>
      </w:r>
    </w:p>
    <w:p w:rsidR="00231E69" w:rsidRDefault="00231E69" w:rsidP="00231E69">
      <w:pPr>
        <w:pStyle w:val="2"/>
      </w:pPr>
      <w:r>
        <w:rPr>
          <w:rStyle w:val="a3"/>
          <w:b/>
          <w:bCs/>
        </w:rPr>
        <w:t>7. General conclusion</w:t>
      </w:r>
    </w:p>
    <w:p w:rsidR="00231E69" w:rsidRDefault="00231E69" w:rsidP="00231E69">
      <w:pPr>
        <w:pStyle w:val="a4"/>
      </w:pPr>
      <w:r>
        <w:t xml:space="preserve">This study demonstrated the feasibility of developing a fine-graded high modulus asphalt mixture using reclaimed asphalt pavement (RAP) AC-5 fractions through a systematic gradation screening and mechanistic performance evaluation. The experimental results confirmed that appropriate gradation selection is essential for achieving a valid RAP-based AC-5 mixture capable of meeting high modulus asphalt requirements. Among the investigated gradations, the selected EME AC-5 mixture exhibited </w:t>
      </w:r>
      <w:proofErr w:type="spellStart"/>
      <w:r>
        <w:t>favourable</w:t>
      </w:r>
      <w:proofErr w:type="spellEnd"/>
      <w:r>
        <w:t xml:space="preserve"> volumetric characteristics, improved moisture resistance, and balanced binder interaction, which justified its selection for further validation.</w:t>
      </w:r>
    </w:p>
    <w:p w:rsidR="00231E69" w:rsidRDefault="00231E69" w:rsidP="00231E69">
      <w:pPr>
        <w:pStyle w:val="a4"/>
      </w:pPr>
      <w:r>
        <w:t xml:space="preserve">The degree of blending analysis indicated that the selected RAP-based EME AC-5 mixture achieved a stable and moderate interaction between aged RAP binder and virgin binder. This balanced blending </w:t>
      </w:r>
      <w:proofErr w:type="spellStart"/>
      <w:r>
        <w:t>behaviour</w:t>
      </w:r>
      <w:proofErr w:type="spellEnd"/>
      <w:r>
        <w:t xml:space="preserve"> contributed to consistent mechanical performance, avoiding the excessive stiffness variability associated with limited binder </w:t>
      </w:r>
      <w:proofErr w:type="spellStart"/>
      <w:r>
        <w:t>mobilisation</w:t>
      </w:r>
      <w:proofErr w:type="spellEnd"/>
      <w:r>
        <w:t>. The findings highlight the importance of considering binder interaction characteristics when designing fine-graded RAP mixtures for structural pavement applications.</w:t>
      </w:r>
    </w:p>
    <w:p w:rsidR="00231E69" w:rsidRDefault="00231E69" w:rsidP="00231E69">
      <w:pPr>
        <w:pStyle w:val="a4"/>
      </w:pPr>
      <w:r>
        <w:t>Mechanistic performance evaluation confirmed that the RAP-based EME AC-5 mixture satisfied high modulus stiffness requirements and exhibited superior fatigue resistance compared with conventional EME mixtures with larger nominal maximum aggregate sizes. These results demonstrate that fine RAP fractions can effectively contribute to both stiffness enhancement and fatigue performance when properly incorporated into a high modulus mixture design framework.</w:t>
      </w:r>
    </w:p>
    <w:p w:rsidR="00231E69" w:rsidRDefault="00231E69" w:rsidP="00231E69">
      <w:pPr>
        <w:pStyle w:val="a4"/>
      </w:pPr>
      <w:r>
        <w:t xml:space="preserve">Overall, the outcomes of this study indicate that RAP-based fine-graded EME AC-5 mixtures represent a viable and sustainable alternative for heavily trafficked pavements. By </w:t>
      </w:r>
      <w:proofErr w:type="spellStart"/>
      <w:r>
        <w:t>utilising</w:t>
      </w:r>
      <w:proofErr w:type="spellEnd"/>
      <w:r>
        <w:t xml:space="preserve"> fine RAP fractions with high aged binder content, the proposed mixture design approach reduces reliance on virgin hard binders while maintaining high structural performance, supporting the broader adoption of sustainable practices in pavement engineering.</w:t>
      </w:r>
    </w:p>
    <w:p w:rsidR="007635DC" w:rsidRPr="00205DFC" w:rsidRDefault="007635DC" w:rsidP="00205DFC">
      <w:pPr>
        <w:spacing w:before="100" w:beforeAutospacing="1" w:after="100" w:afterAutospacing="1" w:line="240" w:lineRule="auto"/>
        <w:rPr>
          <w:rFonts w:ascii="Times New Roman" w:eastAsia="Times New Roman" w:hAnsi="Times New Roman" w:cs="Times New Roman"/>
          <w:sz w:val="24"/>
          <w:szCs w:val="24"/>
        </w:rPr>
      </w:pPr>
    </w:p>
    <w:p w:rsidR="00A95D09" w:rsidRDefault="00A95D09" w:rsidP="00205DFC"/>
    <w:sectPr w:rsidR="00A95D09" w:rsidSect="00A95D09">
      <w:pgSz w:w="12240" w:h="15840"/>
      <w:pgMar w:top="1440" w:right="1440" w:bottom="1440" w:left="1440"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0"/>
  <w:proofState w:spelling="clean" w:grammar="clean"/>
  <w:defaultTabStop w:val="720"/>
  <w:characterSpacingControl w:val="doNotCompress"/>
  <w:compat>
    <w:useFELayout/>
  </w:compat>
  <w:rsids>
    <w:rsidRoot w:val="00205DFC"/>
    <w:rsid w:val="00205DFC"/>
    <w:rsid w:val="00231E69"/>
    <w:rsid w:val="002D1ED6"/>
    <w:rsid w:val="007635DC"/>
    <w:rsid w:val="00786DC5"/>
    <w:rsid w:val="007E6F7D"/>
    <w:rsid w:val="00A95D09"/>
    <w:rsid w:val="00CD00D2"/>
  </w:rsids>
  <m:mathPr>
    <m:mathFont m:val="Cambria Math"/>
    <m:brkBin m:val="before"/>
    <m:brkBinSub m:val="--"/>
    <m:smallFrac m:val="off"/>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zh-CN" w:bidi="ar-SA"/>
      </w:rPr>
    </w:rPrDefault>
    <w:pPrDefault>
      <w:pPr>
        <w:spacing w:line="42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A95D09"/>
  </w:style>
  <w:style w:type="paragraph" w:styleId="2">
    <w:name w:val="heading 2"/>
    <w:basedOn w:val="a"/>
    <w:link w:val="2Char"/>
    <w:uiPriority w:val="9"/>
    <w:qFormat/>
    <w:rsid w:val="00205DFC"/>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3">
    <w:name w:val="heading 3"/>
    <w:basedOn w:val="a"/>
    <w:next w:val="a"/>
    <w:link w:val="3Char"/>
    <w:uiPriority w:val="9"/>
    <w:semiHidden/>
    <w:unhideWhenUsed/>
    <w:qFormat/>
    <w:rsid w:val="00205DFC"/>
    <w:pPr>
      <w:keepNext/>
      <w:keepLines/>
      <w:spacing w:before="20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Char">
    <w:name w:val="标题 2 Char"/>
    <w:basedOn w:val="a0"/>
    <w:link w:val="2"/>
    <w:uiPriority w:val="9"/>
    <w:rsid w:val="00205DFC"/>
    <w:rPr>
      <w:rFonts w:ascii="Times New Roman" w:eastAsia="Times New Roman" w:hAnsi="Times New Roman" w:cs="Times New Roman"/>
      <w:b/>
      <w:bCs/>
      <w:sz w:val="36"/>
      <w:szCs w:val="36"/>
    </w:rPr>
  </w:style>
  <w:style w:type="character" w:styleId="a3">
    <w:name w:val="Strong"/>
    <w:basedOn w:val="a0"/>
    <w:uiPriority w:val="22"/>
    <w:qFormat/>
    <w:rsid w:val="00205DFC"/>
    <w:rPr>
      <w:b/>
      <w:bCs/>
    </w:rPr>
  </w:style>
  <w:style w:type="paragraph" w:styleId="a4">
    <w:name w:val="Normal (Web)"/>
    <w:basedOn w:val="a"/>
    <w:uiPriority w:val="99"/>
    <w:semiHidden/>
    <w:unhideWhenUsed/>
    <w:rsid w:val="00205DFC"/>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3Char">
    <w:name w:val="标题 3 Char"/>
    <w:basedOn w:val="a0"/>
    <w:link w:val="3"/>
    <w:uiPriority w:val="9"/>
    <w:semiHidden/>
    <w:rsid w:val="00205DFC"/>
    <w:rPr>
      <w:rFonts w:asciiTheme="majorHAnsi" w:eastAsiaTheme="majorEastAsia" w:hAnsiTheme="majorHAnsi" w:cstheme="majorBidi"/>
      <w:b/>
      <w:bCs/>
      <w:color w:val="4F81BD" w:themeColor="accent1"/>
    </w:rPr>
  </w:style>
  <w:style w:type="character" w:styleId="a5">
    <w:name w:val="Emphasis"/>
    <w:basedOn w:val="a0"/>
    <w:uiPriority w:val="20"/>
    <w:qFormat/>
    <w:rsid w:val="00205DFC"/>
    <w:rPr>
      <w:i/>
      <w:iCs/>
    </w:rPr>
  </w:style>
</w:styles>
</file>

<file path=word/webSettings.xml><?xml version="1.0" encoding="utf-8"?>
<w:webSettings xmlns:r="http://schemas.openxmlformats.org/officeDocument/2006/relationships" xmlns:w="http://schemas.openxmlformats.org/wordprocessingml/2006/main">
  <w:divs>
    <w:div w:id="77411397">
      <w:bodyDiv w:val="1"/>
      <w:marLeft w:val="0"/>
      <w:marRight w:val="0"/>
      <w:marTop w:val="0"/>
      <w:marBottom w:val="0"/>
      <w:divBdr>
        <w:top w:val="none" w:sz="0" w:space="0" w:color="auto"/>
        <w:left w:val="none" w:sz="0" w:space="0" w:color="auto"/>
        <w:bottom w:val="none" w:sz="0" w:space="0" w:color="auto"/>
        <w:right w:val="none" w:sz="0" w:space="0" w:color="auto"/>
      </w:divBdr>
    </w:div>
    <w:div w:id="178742476">
      <w:bodyDiv w:val="1"/>
      <w:marLeft w:val="0"/>
      <w:marRight w:val="0"/>
      <w:marTop w:val="0"/>
      <w:marBottom w:val="0"/>
      <w:divBdr>
        <w:top w:val="none" w:sz="0" w:space="0" w:color="auto"/>
        <w:left w:val="none" w:sz="0" w:space="0" w:color="auto"/>
        <w:bottom w:val="none" w:sz="0" w:space="0" w:color="auto"/>
        <w:right w:val="none" w:sz="0" w:space="0" w:color="auto"/>
      </w:divBdr>
    </w:div>
    <w:div w:id="560601606">
      <w:bodyDiv w:val="1"/>
      <w:marLeft w:val="0"/>
      <w:marRight w:val="0"/>
      <w:marTop w:val="0"/>
      <w:marBottom w:val="0"/>
      <w:divBdr>
        <w:top w:val="none" w:sz="0" w:space="0" w:color="auto"/>
        <w:left w:val="none" w:sz="0" w:space="0" w:color="auto"/>
        <w:bottom w:val="none" w:sz="0" w:space="0" w:color="auto"/>
        <w:right w:val="none" w:sz="0" w:space="0" w:color="auto"/>
      </w:divBdr>
    </w:div>
    <w:div w:id="725953328">
      <w:bodyDiv w:val="1"/>
      <w:marLeft w:val="0"/>
      <w:marRight w:val="0"/>
      <w:marTop w:val="0"/>
      <w:marBottom w:val="0"/>
      <w:divBdr>
        <w:top w:val="none" w:sz="0" w:space="0" w:color="auto"/>
        <w:left w:val="none" w:sz="0" w:space="0" w:color="auto"/>
        <w:bottom w:val="none" w:sz="0" w:space="0" w:color="auto"/>
        <w:right w:val="none" w:sz="0" w:space="0" w:color="auto"/>
      </w:divBdr>
    </w:div>
    <w:div w:id="790133387">
      <w:bodyDiv w:val="1"/>
      <w:marLeft w:val="0"/>
      <w:marRight w:val="0"/>
      <w:marTop w:val="0"/>
      <w:marBottom w:val="0"/>
      <w:divBdr>
        <w:top w:val="none" w:sz="0" w:space="0" w:color="auto"/>
        <w:left w:val="none" w:sz="0" w:space="0" w:color="auto"/>
        <w:bottom w:val="none" w:sz="0" w:space="0" w:color="auto"/>
        <w:right w:val="none" w:sz="0" w:space="0" w:color="auto"/>
      </w:divBdr>
    </w:div>
    <w:div w:id="831067254">
      <w:bodyDiv w:val="1"/>
      <w:marLeft w:val="0"/>
      <w:marRight w:val="0"/>
      <w:marTop w:val="0"/>
      <w:marBottom w:val="0"/>
      <w:divBdr>
        <w:top w:val="none" w:sz="0" w:space="0" w:color="auto"/>
        <w:left w:val="none" w:sz="0" w:space="0" w:color="auto"/>
        <w:bottom w:val="none" w:sz="0" w:space="0" w:color="auto"/>
        <w:right w:val="none" w:sz="0" w:space="0" w:color="auto"/>
      </w:divBdr>
    </w:div>
    <w:div w:id="1094666008">
      <w:bodyDiv w:val="1"/>
      <w:marLeft w:val="0"/>
      <w:marRight w:val="0"/>
      <w:marTop w:val="0"/>
      <w:marBottom w:val="0"/>
      <w:divBdr>
        <w:top w:val="none" w:sz="0" w:space="0" w:color="auto"/>
        <w:left w:val="none" w:sz="0" w:space="0" w:color="auto"/>
        <w:bottom w:val="none" w:sz="0" w:space="0" w:color="auto"/>
        <w:right w:val="none" w:sz="0" w:space="0" w:color="auto"/>
      </w:divBdr>
    </w:div>
    <w:div w:id="1680228127">
      <w:bodyDiv w:val="1"/>
      <w:marLeft w:val="0"/>
      <w:marRight w:val="0"/>
      <w:marTop w:val="0"/>
      <w:marBottom w:val="0"/>
      <w:divBdr>
        <w:top w:val="none" w:sz="0" w:space="0" w:color="auto"/>
        <w:left w:val="none" w:sz="0" w:space="0" w:color="auto"/>
        <w:bottom w:val="none" w:sz="0" w:space="0" w:color="auto"/>
        <w:right w:val="none" w:sz="0" w:space="0" w:color="auto"/>
      </w:divBdr>
    </w:div>
    <w:div w:id="1817720947">
      <w:bodyDiv w:val="1"/>
      <w:marLeft w:val="0"/>
      <w:marRight w:val="0"/>
      <w:marTop w:val="0"/>
      <w:marBottom w:val="0"/>
      <w:divBdr>
        <w:top w:val="none" w:sz="0" w:space="0" w:color="auto"/>
        <w:left w:val="none" w:sz="0" w:space="0" w:color="auto"/>
        <w:bottom w:val="none" w:sz="0" w:space="0" w:color="auto"/>
        <w:right w:val="none" w:sz="0" w:space="0" w:color="auto"/>
      </w:divBdr>
    </w:div>
    <w:div w:id="20241652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1020</TotalTime>
  <Pages>7</Pages>
  <Words>3123</Words>
  <Characters>17803</Characters>
  <Application>Microsoft Office Word</Application>
  <DocSecurity>0</DocSecurity>
  <Lines>148</Lines>
  <Paragraphs>41</Paragraphs>
  <ScaleCrop>false</ScaleCrop>
  <Company/>
  <LinksUpToDate>false</LinksUpToDate>
  <CharactersWithSpaces>20885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1</cp:revision>
  <dcterms:created xsi:type="dcterms:W3CDTF">2026-02-09T14:59:00Z</dcterms:created>
  <dcterms:modified xsi:type="dcterms:W3CDTF">2026-02-10T07:59:00Z</dcterms:modified>
</cp:coreProperties>
</file>