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word/diagrams/quickStyle1.xml" ContentType="application/vnd.openxmlformats-officedocument.drawingml.diagramStyle+xml"/>
  <Override PartName="/customXml/itemProps1.xml" ContentType="application/vnd.openxmlformats-officedocument.customXmlProperties+xml"/>
  <Override PartName="/word/diagrams/data1.xml" ContentType="application/vnd.openxmlformats-officedocument.drawingml.diagramData+xml"/>
  <Default Extension="jpeg" ContentType="image/jpeg"/>
  <Override PartName="/word/diagrams/colors1.xml" ContentType="application/vnd.openxmlformats-officedocument.drawingml.diagramColor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drawings/drawing1.xml" ContentType="application/vnd.openxmlformats-officedocument.drawingml.chartshapes+xml"/>
  <Override PartName="/word/drawings/drawing2.xml" ContentType="application/vnd.openxmlformats-officedocument.drawingml.chartshapes+xml"/>
  <Override PartName="/word/diagrams/drawing1.xml" ContentType="application/vnd.ms-office.drawingml.diagramDrawing+xml"/>
  <Override PartName="/word/footer1.xml" ContentType="application/vnd.openxmlformats-officedocument.wordprocessingml.footer+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charts/chart1.xml" ContentType="application/vnd.openxmlformats-officedocument.drawingml.chart+xml"/>
  <Override PartName="/word/diagrams/layout1.xml" ContentType="application/vnd.openxmlformats-officedocument.drawingml.diagramLayout+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20F97" w:rsidRDefault="0029294D" w:rsidP="007A7119">
      <w:pPr>
        <w:spacing w:after="0" w:line="360" w:lineRule="auto"/>
        <w:jc w:val="center"/>
        <w:rPr>
          <w:rFonts w:ascii="Times New Roman" w:hAnsi="Times New Roman"/>
          <w:b/>
          <w:smallCaps/>
          <w:sz w:val="28"/>
          <w:szCs w:val="28"/>
        </w:rPr>
      </w:pPr>
      <w:r w:rsidRPr="007A7119">
        <w:rPr>
          <w:rFonts w:ascii="Times New Roman" w:hAnsi="Times New Roman"/>
          <w:b/>
          <w:smallCaps/>
          <w:sz w:val="28"/>
          <w:szCs w:val="28"/>
        </w:rPr>
        <w:t xml:space="preserve">Chapter </w:t>
      </w:r>
      <w:r w:rsidR="001A7D0D" w:rsidRPr="007A7119">
        <w:rPr>
          <w:rFonts w:ascii="Times New Roman" w:hAnsi="Times New Roman"/>
          <w:b/>
          <w:smallCaps/>
          <w:sz w:val="28"/>
          <w:szCs w:val="28"/>
        </w:rPr>
        <w:t>1</w:t>
      </w:r>
      <w:r w:rsidRPr="007A7119">
        <w:rPr>
          <w:rFonts w:ascii="Times New Roman" w:hAnsi="Times New Roman"/>
          <w:b/>
          <w:smallCaps/>
          <w:sz w:val="28"/>
          <w:szCs w:val="28"/>
        </w:rPr>
        <w:t xml:space="preserve">: </w:t>
      </w:r>
      <w:r w:rsidR="005B1F9E" w:rsidRPr="007A7119">
        <w:rPr>
          <w:rFonts w:ascii="Times New Roman" w:hAnsi="Times New Roman"/>
          <w:b/>
          <w:smallCaps/>
          <w:sz w:val="28"/>
          <w:szCs w:val="28"/>
        </w:rPr>
        <w:t>INTRODUCTION</w:t>
      </w:r>
    </w:p>
    <w:p w:rsidR="007A7119" w:rsidRPr="007A7119" w:rsidRDefault="007A7119" w:rsidP="007A7119">
      <w:pPr>
        <w:spacing w:after="0" w:line="360" w:lineRule="auto"/>
        <w:jc w:val="center"/>
        <w:rPr>
          <w:rFonts w:ascii="Times New Roman" w:hAnsi="Times New Roman"/>
          <w:b/>
          <w:smallCaps/>
          <w:sz w:val="28"/>
          <w:szCs w:val="28"/>
        </w:rPr>
      </w:pPr>
    </w:p>
    <w:p w:rsidR="003217A9" w:rsidRDefault="003217A9" w:rsidP="003217A9">
      <w:pPr>
        <w:pStyle w:val="ListParagraph"/>
        <w:numPr>
          <w:ilvl w:val="1"/>
          <w:numId w:val="16"/>
        </w:numPr>
        <w:tabs>
          <w:tab w:val="left" w:pos="-1440"/>
        </w:tabs>
        <w:spacing w:after="0" w:line="360" w:lineRule="auto"/>
        <w:jc w:val="both"/>
        <w:rPr>
          <w:rFonts w:ascii="Times New Roman" w:hAnsi="Times New Roman"/>
          <w:b/>
          <w:sz w:val="24"/>
          <w:szCs w:val="24"/>
        </w:rPr>
      </w:pPr>
      <w:r>
        <w:rPr>
          <w:rFonts w:ascii="Times New Roman" w:hAnsi="Times New Roman"/>
          <w:b/>
          <w:sz w:val="24"/>
          <w:szCs w:val="24"/>
        </w:rPr>
        <w:t>INTRODUCTION</w:t>
      </w:r>
    </w:p>
    <w:p w:rsidR="002F15B9" w:rsidRDefault="002F15B9" w:rsidP="003217A9">
      <w:pPr>
        <w:autoSpaceDE w:val="0"/>
        <w:autoSpaceDN w:val="0"/>
        <w:adjustRightInd w:val="0"/>
        <w:spacing w:after="0" w:line="360" w:lineRule="auto"/>
        <w:jc w:val="lowKashida"/>
        <w:rPr>
          <w:rFonts w:ascii="Times New Roman" w:hAnsi="Times New Roman"/>
          <w:sz w:val="24"/>
          <w:szCs w:val="24"/>
        </w:rPr>
      </w:pPr>
    </w:p>
    <w:p w:rsidR="003217A9" w:rsidRPr="003217A9" w:rsidRDefault="003217A9" w:rsidP="003217A9">
      <w:pPr>
        <w:autoSpaceDE w:val="0"/>
        <w:autoSpaceDN w:val="0"/>
        <w:adjustRightInd w:val="0"/>
        <w:spacing w:after="0" w:line="360" w:lineRule="auto"/>
        <w:jc w:val="lowKashida"/>
        <w:rPr>
          <w:rFonts w:ascii="Times New Roman" w:hAnsi="Times New Roman"/>
          <w:sz w:val="24"/>
          <w:szCs w:val="24"/>
        </w:rPr>
      </w:pPr>
      <w:r w:rsidRPr="003217A9">
        <w:rPr>
          <w:rFonts w:ascii="Times New Roman" w:hAnsi="Times New Roman"/>
          <w:sz w:val="24"/>
          <w:szCs w:val="24"/>
        </w:rPr>
        <w:t>A building provides its inhabitants with a protective enclosure. Adapting to the local climatic requirements, houses built in each region differ in their material, design, orientation, and form. This function has been played by vernacular architecture at various places for ages by providing a comfortable indoor environment. As Pellegrino, Simonetti and Chie (2015) observes, the more mechanical air-conditioning devices have developed, buildings have become proportionately more dependent on HVAC devices to achieve artificial comfort levels. In conjunction to the previous observation Nayak and Prajapati (2006) classified building stocks broadly into two types based on their indoor thermal condition, viz. conditioned and non-conditioned.</w:t>
      </w:r>
    </w:p>
    <w:p w:rsidR="002F15B9" w:rsidRDefault="002F15B9" w:rsidP="00364A3E">
      <w:pPr>
        <w:autoSpaceDE w:val="0"/>
        <w:autoSpaceDN w:val="0"/>
        <w:adjustRightInd w:val="0"/>
        <w:spacing w:after="0" w:line="360" w:lineRule="auto"/>
        <w:jc w:val="lowKashida"/>
        <w:rPr>
          <w:rFonts w:ascii="Times New Roman" w:hAnsi="Times New Roman"/>
          <w:sz w:val="24"/>
          <w:szCs w:val="24"/>
        </w:rPr>
      </w:pPr>
    </w:p>
    <w:p w:rsidR="00364A3E" w:rsidRPr="003217A9" w:rsidRDefault="00364A3E" w:rsidP="00364A3E">
      <w:pPr>
        <w:autoSpaceDE w:val="0"/>
        <w:autoSpaceDN w:val="0"/>
        <w:adjustRightInd w:val="0"/>
        <w:spacing w:after="0" w:line="360" w:lineRule="auto"/>
        <w:jc w:val="lowKashida"/>
        <w:rPr>
          <w:rFonts w:ascii="Times New Roman" w:hAnsi="Times New Roman"/>
          <w:sz w:val="24"/>
          <w:szCs w:val="24"/>
        </w:rPr>
      </w:pPr>
      <w:r w:rsidRPr="003217A9">
        <w:rPr>
          <w:rFonts w:ascii="Times New Roman" w:hAnsi="Times New Roman"/>
          <w:sz w:val="24"/>
          <w:szCs w:val="24"/>
        </w:rPr>
        <w:t xml:space="preserve">As per the Climate Change 2023 Synthesis Report published by IPCC (2023), an average global temperature rise of 1.09 degreeC has been observed in the decade 2011-2020 over the base period of 1850-1900. </w:t>
      </w:r>
      <w:r w:rsidRPr="008670BC">
        <w:rPr>
          <w:rFonts w:ascii="Times New Roman" w:hAnsi="Times New Roman"/>
          <w:sz w:val="24"/>
          <w:szCs w:val="24"/>
        </w:rPr>
        <w:t>This phenomenon has become observed more intensely in the urban areas where the heat effect has concentrated within smaller areas of the city creating the Urban Warming effect as coined by IPCC.</w:t>
      </w:r>
      <w:r w:rsidR="00891597">
        <w:rPr>
          <w:rFonts w:ascii="Times New Roman" w:hAnsi="Times New Roman"/>
          <w:sz w:val="24"/>
          <w:szCs w:val="24"/>
        </w:rPr>
        <w:t xml:space="preserve"> </w:t>
      </w:r>
      <w:r w:rsidRPr="003217A9">
        <w:rPr>
          <w:rFonts w:ascii="Times New Roman" w:hAnsi="Times New Roman"/>
          <w:sz w:val="24"/>
          <w:szCs w:val="24"/>
        </w:rPr>
        <w:t xml:space="preserve">The report also observes that – “In urban settings, climate change has caused adverse impacts on human health, livelihoods and key infrastructure (high confidence). Hot extremes including heatwaves have intensified in cities (high confidence), where they have also worsened air pollution events (medium confidence) and limited functioning of key infrastructure (high confidence).” (IPCC, Climate Change 2023 Synthesis Report, 2023, Pp-50). </w:t>
      </w:r>
    </w:p>
    <w:p w:rsidR="002F15B9" w:rsidRDefault="002F15B9" w:rsidP="00364A3E">
      <w:pPr>
        <w:autoSpaceDE w:val="0"/>
        <w:autoSpaceDN w:val="0"/>
        <w:adjustRightInd w:val="0"/>
        <w:spacing w:after="0" w:line="360" w:lineRule="auto"/>
        <w:jc w:val="lowKashida"/>
        <w:rPr>
          <w:rFonts w:ascii="Times New Roman" w:hAnsi="Times New Roman"/>
          <w:sz w:val="24"/>
          <w:szCs w:val="24"/>
        </w:rPr>
      </w:pPr>
    </w:p>
    <w:p w:rsidR="00364A3E" w:rsidRPr="005A5367" w:rsidRDefault="00364A3E" w:rsidP="00364A3E">
      <w:pPr>
        <w:autoSpaceDE w:val="0"/>
        <w:autoSpaceDN w:val="0"/>
        <w:adjustRightInd w:val="0"/>
        <w:spacing w:after="0" w:line="360" w:lineRule="auto"/>
        <w:jc w:val="lowKashida"/>
        <w:rPr>
          <w:rFonts w:ascii="Times New Roman" w:hAnsi="Times New Roman"/>
          <w:sz w:val="24"/>
          <w:szCs w:val="24"/>
        </w:rPr>
      </w:pPr>
      <w:r w:rsidRPr="005A5367">
        <w:rPr>
          <w:rFonts w:ascii="Times New Roman" w:hAnsi="Times New Roman"/>
          <w:sz w:val="24"/>
          <w:szCs w:val="24"/>
        </w:rPr>
        <w:t xml:space="preserve">The map given in Fig. 1 is part of the – IPCC Sixth Assessment Report - Regional Fact Sheet – Urban Areas (2018) and shows that several urban centers around the globe are undergoing an annual rise in their average temperature. Among these urban centers the city of Kolkata is experiencing this phenomenon of “urban warming” at the highest level. The average temperature of the city has increased by 2.6 degree Celsius over the past sixty-eight years (1950-2018). Of which, the urban area is responsible for an approximate 86% and the surrounding hinterland accounts for the rest 14% of heat contribution </w:t>
      </w:r>
      <w:r w:rsidRPr="005A5367">
        <w:rPr>
          <w:rFonts w:ascii="Times New Roman" w:eastAsia="Times New Roman" w:hAnsi="Times New Roman"/>
          <w:sz w:val="24"/>
          <w:szCs w:val="24"/>
          <w:lang w:eastAsia="en-IN"/>
        </w:rPr>
        <w:t>(Fig. 1</w:t>
      </w:r>
      <w:r w:rsidR="00A36B58">
        <w:rPr>
          <w:rFonts w:ascii="Times New Roman" w:eastAsia="Times New Roman" w:hAnsi="Times New Roman"/>
          <w:sz w:val="24"/>
          <w:szCs w:val="24"/>
          <w:lang w:eastAsia="en-IN"/>
        </w:rPr>
        <w:t>.1</w:t>
      </w:r>
      <w:r w:rsidRPr="005A5367">
        <w:rPr>
          <w:rFonts w:ascii="Times New Roman" w:eastAsia="Times New Roman" w:hAnsi="Times New Roman"/>
          <w:sz w:val="24"/>
          <w:szCs w:val="24"/>
          <w:lang w:eastAsia="en-IN"/>
        </w:rPr>
        <w:t>)</w:t>
      </w:r>
      <w:r w:rsidRPr="005A5367">
        <w:rPr>
          <w:rFonts w:ascii="Times New Roman" w:hAnsi="Times New Roman"/>
          <w:sz w:val="24"/>
          <w:szCs w:val="24"/>
        </w:rPr>
        <w:t xml:space="preserve">. </w:t>
      </w: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006073" w:rsidP="00A256E2">
      <w:pPr>
        <w:autoSpaceDE w:val="0"/>
        <w:autoSpaceDN w:val="0"/>
        <w:adjustRightInd w:val="0"/>
        <w:spacing w:after="0" w:line="360" w:lineRule="auto"/>
        <w:jc w:val="lowKashida"/>
        <w:rPr>
          <w:rFonts w:ascii="Times New Roman" w:hAnsi="Times New Roman"/>
          <w:color w:val="0070C0"/>
          <w:sz w:val="24"/>
          <w:szCs w:val="24"/>
        </w:rPr>
      </w:pPr>
      <w:r w:rsidRPr="005A5367">
        <w:rPr>
          <w:rFonts w:ascii="Times New Roman" w:hAnsi="Times New Roman"/>
          <w:noProof/>
          <w:sz w:val="24"/>
          <w:szCs w:val="24"/>
          <w:lang w:val="en-US" w:bidi="hi-IN"/>
        </w:rPr>
        <w:drawing>
          <wp:anchor distT="0" distB="0" distL="114300" distR="114300" simplePos="0" relativeHeight="251660800" behindDoc="0" locked="0" layoutInCell="1" allowOverlap="1">
            <wp:simplePos x="0" y="0"/>
            <wp:positionH relativeFrom="column">
              <wp:posOffset>188595</wp:posOffset>
            </wp:positionH>
            <wp:positionV relativeFrom="paragraph">
              <wp:posOffset>22860</wp:posOffset>
            </wp:positionV>
            <wp:extent cx="5791200" cy="3200400"/>
            <wp:effectExtent l="19050" t="19050" r="0" b="0"/>
            <wp:wrapNone/>
            <wp:docPr id="1" name="Picture 1">
              <a:extLst xmlns:a="http://schemas.openxmlformats.org/drawingml/2006/main">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521E053-C41E-4967-91F9-56CE2E3E1B69}"/>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6="http://schemas.microsoft.com/office/drawing/2014/main" id="{B521E053-C41E-4967-91F9-56CE2E3E1B69}"/>
                        </a:ext>
                      </a:extLst>
                    </pic:cNvPr>
                    <pic:cNvPicPr>
                      <a:picLocks noChangeAspect="1"/>
                    </pic:cNvPicPr>
                  </pic:nvPicPr>
                  <pic:blipFill>
                    <a:blip r:embed="rId8" cstate="screen">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a:ext>
                      </a:extLst>
                    </a:blip>
                    <a:stretch>
                      <a:fillRect/>
                    </a:stretch>
                  </pic:blipFill>
                  <pic:spPr>
                    <a:xfrm>
                      <a:off x="0" y="0"/>
                      <a:ext cx="5791200" cy="3200400"/>
                    </a:xfrm>
                    <a:prstGeom prst="rect">
                      <a:avLst/>
                    </a:prstGeom>
                    <a:ln>
                      <a:solidFill>
                        <a:schemeClr val="tx1"/>
                      </a:solidFill>
                    </a:ln>
                  </pic:spPr>
                </pic:pic>
              </a:graphicData>
            </a:graphic>
          </wp:anchor>
        </w:drawing>
      </w: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006073" w:rsidRDefault="00006073" w:rsidP="00A256E2">
      <w:pPr>
        <w:autoSpaceDE w:val="0"/>
        <w:autoSpaceDN w:val="0"/>
        <w:adjustRightInd w:val="0"/>
        <w:spacing w:after="0" w:line="360" w:lineRule="auto"/>
        <w:jc w:val="lowKashida"/>
        <w:rPr>
          <w:rFonts w:ascii="Times New Roman" w:hAnsi="Times New Roman"/>
          <w:color w:val="0070C0"/>
          <w:sz w:val="24"/>
          <w:szCs w:val="24"/>
        </w:rPr>
      </w:pPr>
    </w:p>
    <w:p w:rsidR="00006073" w:rsidRDefault="00006073" w:rsidP="00A256E2">
      <w:pPr>
        <w:autoSpaceDE w:val="0"/>
        <w:autoSpaceDN w:val="0"/>
        <w:adjustRightInd w:val="0"/>
        <w:spacing w:after="0" w:line="360" w:lineRule="auto"/>
        <w:jc w:val="lowKashida"/>
        <w:rPr>
          <w:rFonts w:ascii="Times New Roman" w:hAnsi="Times New Roman"/>
          <w:color w:val="0070C0"/>
          <w:sz w:val="24"/>
          <w:szCs w:val="24"/>
        </w:rPr>
      </w:pPr>
    </w:p>
    <w:p w:rsidR="00006073" w:rsidRDefault="00006073"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006073" w:rsidRDefault="00006073" w:rsidP="00A256E2">
      <w:pPr>
        <w:autoSpaceDE w:val="0"/>
        <w:autoSpaceDN w:val="0"/>
        <w:adjustRightInd w:val="0"/>
        <w:spacing w:after="0" w:line="360" w:lineRule="auto"/>
        <w:jc w:val="lowKashida"/>
        <w:rPr>
          <w:rFonts w:ascii="Times New Roman" w:hAnsi="Times New Roman"/>
          <w:color w:val="0070C0"/>
          <w:sz w:val="24"/>
          <w:szCs w:val="24"/>
        </w:rPr>
      </w:pPr>
    </w:p>
    <w:p w:rsidR="00006073" w:rsidRDefault="00006073" w:rsidP="00A256E2">
      <w:pPr>
        <w:autoSpaceDE w:val="0"/>
        <w:autoSpaceDN w:val="0"/>
        <w:adjustRightInd w:val="0"/>
        <w:spacing w:after="0" w:line="360" w:lineRule="auto"/>
        <w:jc w:val="lowKashida"/>
        <w:rPr>
          <w:rFonts w:ascii="Times New Roman" w:hAnsi="Times New Roman"/>
          <w:color w:val="0070C0"/>
          <w:sz w:val="24"/>
          <w:szCs w:val="24"/>
        </w:rPr>
      </w:pP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F24539" w:rsidRDefault="00F24539" w:rsidP="00364A3E">
      <w:pPr>
        <w:spacing w:after="0" w:line="240" w:lineRule="auto"/>
        <w:jc w:val="center"/>
        <w:rPr>
          <w:rFonts w:ascii="Times New Roman" w:hAnsi="Times New Roman"/>
          <w:b/>
          <w:bCs/>
        </w:rPr>
      </w:pPr>
    </w:p>
    <w:p w:rsidR="00364A3E" w:rsidRPr="00190F58" w:rsidRDefault="00364A3E" w:rsidP="00364A3E">
      <w:pPr>
        <w:spacing w:after="0" w:line="240" w:lineRule="auto"/>
        <w:jc w:val="center"/>
        <w:rPr>
          <w:rFonts w:ascii="Times New Roman" w:hAnsi="Times New Roman"/>
        </w:rPr>
      </w:pPr>
      <w:r w:rsidRPr="00190F58">
        <w:rPr>
          <w:rFonts w:ascii="Times New Roman" w:hAnsi="Times New Roman"/>
          <w:b/>
          <w:bCs/>
        </w:rPr>
        <w:t>Fig. 1</w:t>
      </w:r>
      <w:r w:rsidR="00A36B58">
        <w:rPr>
          <w:rFonts w:ascii="Times New Roman" w:hAnsi="Times New Roman"/>
          <w:b/>
          <w:bCs/>
        </w:rPr>
        <w:t>.1</w:t>
      </w:r>
      <w:r w:rsidRPr="00190F58">
        <w:rPr>
          <w:rFonts w:ascii="Times New Roman" w:hAnsi="Times New Roman"/>
          <w:b/>
          <w:bCs/>
        </w:rPr>
        <w:t>:</w:t>
      </w:r>
      <w:r w:rsidRPr="00190F58">
        <w:rPr>
          <w:rFonts w:ascii="Times New Roman" w:hAnsi="Times New Roman"/>
        </w:rPr>
        <w:t xml:space="preserve"> Trend in Global Surface Temperature 1950-2018</w:t>
      </w:r>
    </w:p>
    <w:p w:rsidR="00364A3E" w:rsidRPr="00190F58" w:rsidRDefault="00364A3E" w:rsidP="00364A3E">
      <w:pPr>
        <w:spacing w:after="0" w:line="240" w:lineRule="auto"/>
        <w:jc w:val="center"/>
        <w:rPr>
          <w:rFonts w:ascii="Times New Roman" w:hAnsi="Times New Roman"/>
        </w:rPr>
      </w:pPr>
      <w:r w:rsidRPr="00190F58">
        <w:rPr>
          <w:rFonts w:ascii="Times New Roman" w:hAnsi="Times New Roman"/>
        </w:rPr>
        <w:t>Source: IPCC Intergovernmental Panel on Climate Change - Sixth Assessment Report - Regional Fact Sheet – Urban Areas</w:t>
      </w:r>
    </w:p>
    <w:p w:rsidR="00364A3E" w:rsidRDefault="00364A3E"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r w:rsidRPr="001F0946">
        <w:rPr>
          <w:rFonts w:ascii="Times New Roman" w:hAnsi="Times New Roman"/>
          <w:noProof/>
          <w:color w:val="0070C0"/>
          <w:sz w:val="24"/>
          <w:szCs w:val="24"/>
          <w:lang w:val="en-US" w:bidi="hi-IN"/>
        </w:rPr>
        <w:drawing>
          <wp:anchor distT="0" distB="0" distL="114300" distR="114300" simplePos="0" relativeHeight="251661824" behindDoc="0" locked="0" layoutInCell="1" allowOverlap="1">
            <wp:simplePos x="0" y="0"/>
            <wp:positionH relativeFrom="column">
              <wp:posOffset>1640205</wp:posOffset>
            </wp:positionH>
            <wp:positionV relativeFrom="paragraph">
              <wp:posOffset>8890</wp:posOffset>
            </wp:positionV>
            <wp:extent cx="2941320" cy="3091676"/>
            <wp:effectExtent l="19050" t="19050" r="0" b="0"/>
            <wp:wrapNone/>
            <wp:docPr id="2804998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0499834" name=""/>
                    <pic:cNvPicPr/>
                  </pic:nvPicPr>
                  <pic:blipFill>
                    <a:blip r:embed="rId9">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2941320" cy="3091676"/>
                    </a:xfrm>
                    <a:prstGeom prst="rect">
                      <a:avLst/>
                    </a:prstGeom>
                    <a:ln>
                      <a:solidFill>
                        <a:schemeClr val="tx1"/>
                      </a:solidFill>
                    </a:ln>
                  </pic:spPr>
                </pic:pic>
              </a:graphicData>
            </a:graphic>
          </wp:anchor>
        </w:drawing>
      </w: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Pr="00190F58" w:rsidRDefault="001F0946" w:rsidP="001F0946">
      <w:pPr>
        <w:spacing w:after="0" w:line="240" w:lineRule="auto"/>
        <w:jc w:val="center"/>
        <w:rPr>
          <w:rFonts w:ascii="Times New Roman" w:hAnsi="Times New Roman"/>
        </w:rPr>
      </w:pPr>
      <w:r w:rsidRPr="00190F58">
        <w:rPr>
          <w:rFonts w:ascii="Times New Roman" w:hAnsi="Times New Roman"/>
          <w:b/>
          <w:bCs/>
        </w:rPr>
        <w:t xml:space="preserve">Fig. </w:t>
      </w:r>
      <w:r w:rsidR="00A36B58">
        <w:rPr>
          <w:rFonts w:ascii="Times New Roman" w:hAnsi="Times New Roman"/>
          <w:b/>
          <w:bCs/>
        </w:rPr>
        <w:t>1.</w:t>
      </w:r>
      <w:r>
        <w:rPr>
          <w:rFonts w:ascii="Times New Roman" w:hAnsi="Times New Roman"/>
          <w:b/>
          <w:bCs/>
        </w:rPr>
        <w:t>2</w:t>
      </w:r>
      <w:r w:rsidRPr="00190F58">
        <w:rPr>
          <w:rFonts w:ascii="Times New Roman" w:hAnsi="Times New Roman"/>
          <w:b/>
          <w:bCs/>
        </w:rPr>
        <w:t>:</w:t>
      </w:r>
      <w:r w:rsidR="006425CE">
        <w:rPr>
          <w:rFonts w:ascii="Times New Roman" w:hAnsi="Times New Roman"/>
        </w:rPr>
        <w:t>Spatial Scaling of Thermal Change Phenomenon</w:t>
      </w:r>
    </w:p>
    <w:p w:rsidR="001F0946" w:rsidRPr="00190F58" w:rsidRDefault="001F0946" w:rsidP="001F0946">
      <w:pPr>
        <w:spacing w:after="0" w:line="240" w:lineRule="auto"/>
        <w:jc w:val="center"/>
        <w:rPr>
          <w:rFonts w:ascii="Times New Roman" w:hAnsi="Times New Roman"/>
        </w:rPr>
      </w:pPr>
      <w:r w:rsidRPr="00190F58">
        <w:rPr>
          <w:rFonts w:ascii="Times New Roman" w:hAnsi="Times New Roman"/>
        </w:rPr>
        <w:t xml:space="preserve">Source: </w:t>
      </w:r>
      <w:r w:rsidR="006425CE">
        <w:rPr>
          <w:rFonts w:ascii="Times New Roman" w:hAnsi="Times New Roman"/>
        </w:rPr>
        <w:t>Author</w:t>
      </w:r>
    </w:p>
    <w:p w:rsidR="001F0946" w:rsidRDefault="001F0946" w:rsidP="00A256E2">
      <w:pPr>
        <w:autoSpaceDE w:val="0"/>
        <w:autoSpaceDN w:val="0"/>
        <w:adjustRightInd w:val="0"/>
        <w:spacing w:after="0" w:line="360" w:lineRule="auto"/>
        <w:jc w:val="lowKashida"/>
        <w:rPr>
          <w:rFonts w:ascii="Times New Roman" w:hAnsi="Times New Roman"/>
          <w:color w:val="0070C0"/>
          <w:sz w:val="24"/>
          <w:szCs w:val="24"/>
        </w:rPr>
      </w:pPr>
    </w:p>
    <w:p w:rsidR="001F0946" w:rsidRPr="00775274" w:rsidRDefault="00775274" w:rsidP="00A256E2">
      <w:pPr>
        <w:autoSpaceDE w:val="0"/>
        <w:autoSpaceDN w:val="0"/>
        <w:adjustRightInd w:val="0"/>
        <w:spacing w:after="0" w:line="360" w:lineRule="auto"/>
        <w:jc w:val="lowKashida"/>
        <w:rPr>
          <w:rFonts w:ascii="Times New Roman" w:hAnsi="Times New Roman"/>
          <w:sz w:val="24"/>
          <w:szCs w:val="24"/>
        </w:rPr>
      </w:pPr>
      <w:r w:rsidRPr="00775274">
        <w:rPr>
          <w:rFonts w:ascii="Times New Roman" w:hAnsi="Times New Roman"/>
          <w:sz w:val="24"/>
          <w:szCs w:val="24"/>
        </w:rPr>
        <w:t xml:space="preserve">The </w:t>
      </w:r>
      <w:r>
        <w:rPr>
          <w:rFonts w:ascii="Times New Roman" w:hAnsi="Times New Roman"/>
          <w:sz w:val="24"/>
          <w:szCs w:val="24"/>
        </w:rPr>
        <w:t xml:space="preserve">phenomenon of global warming, as is seen from Fig. </w:t>
      </w:r>
      <w:r w:rsidR="00A36B58">
        <w:rPr>
          <w:rFonts w:ascii="Times New Roman" w:hAnsi="Times New Roman"/>
          <w:sz w:val="24"/>
          <w:szCs w:val="24"/>
        </w:rPr>
        <w:t>1.</w:t>
      </w:r>
      <w:r>
        <w:rPr>
          <w:rFonts w:ascii="Times New Roman" w:hAnsi="Times New Roman"/>
          <w:sz w:val="24"/>
          <w:szCs w:val="24"/>
        </w:rPr>
        <w:t xml:space="preserve">2, scales down spatially into smaller scales and takes various forms of problems. However, the problem never abates in any of these </w:t>
      </w:r>
      <w:r>
        <w:rPr>
          <w:rFonts w:ascii="Times New Roman" w:hAnsi="Times New Roman"/>
          <w:sz w:val="24"/>
          <w:szCs w:val="24"/>
        </w:rPr>
        <w:lastRenderedPageBreak/>
        <w:t>spatial levels.</w:t>
      </w:r>
      <w:r w:rsidR="006A705B">
        <w:rPr>
          <w:rFonts w:ascii="Times New Roman" w:hAnsi="Times New Roman"/>
          <w:sz w:val="24"/>
          <w:szCs w:val="24"/>
        </w:rPr>
        <w:t xml:space="preserve">Studies reveal that at any level, the problem of warming is directly influenced by the built environment of settlements </w:t>
      </w:r>
      <w:r w:rsidR="006A705B" w:rsidRPr="003217A9">
        <w:rPr>
          <w:rFonts w:ascii="Times New Roman" w:hAnsi="Times New Roman"/>
          <w:sz w:val="24"/>
          <w:szCs w:val="24"/>
        </w:rPr>
        <w:t>(IPCC, Climate Change 2023 Synthesis Report, 2023, Pp-50).</w:t>
      </w:r>
    </w:p>
    <w:p w:rsidR="002F15B9" w:rsidRDefault="002F15B9" w:rsidP="00A256E2">
      <w:pPr>
        <w:autoSpaceDE w:val="0"/>
        <w:autoSpaceDN w:val="0"/>
        <w:adjustRightInd w:val="0"/>
        <w:spacing w:after="0" w:line="360" w:lineRule="auto"/>
        <w:jc w:val="lowKashida"/>
        <w:rPr>
          <w:rFonts w:ascii="Times New Roman" w:hAnsi="Times New Roman"/>
          <w:sz w:val="24"/>
          <w:szCs w:val="24"/>
        </w:rPr>
      </w:pPr>
    </w:p>
    <w:p w:rsidR="00A256E2" w:rsidRDefault="00A256E2" w:rsidP="00A256E2">
      <w:pPr>
        <w:autoSpaceDE w:val="0"/>
        <w:autoSpaceDN w:val="0"/>
        <w:adjustRightInd w:val="0"/>
        <w:spacing w:after="0" w:line="360" w:lineRule="auto"/>
        <w:jc w:val="lowKashida"/>
        <w:rPr>
          <w:rFonts w:ascii="Times New Roman" w:hAnsi="Times New Roman"/>
          <w:color w:val="0070C0"/>
          <w:sz w:val="24"/>
          <w:szCs w:val="24"/>
        </w:rPr>
      </w:pPr>
      <w:r w:rsidRPr="00A61688">
        <w:rPr>
          <w:rFonts w:ascii="Times New Roman" w:hAnsi="Times New Roman"/>
          <w:sz w:val="24"/>
          <w:szCs w:val="24"/>
        </w:rPr>
        <w:t xml:space="preserve">The urban heat island phenomenon, which serves as a trap for atmospheric pollutants, deteriorates the quality of life and has a socio-economic impact in the urbanized areas </w:t>
      </w:r>
      <w:r w:rsidR="00590C0A">
        <w:rPr>
          <w:rFonts w:ascii="Times New Roman" w:hAnsi="Times New Roman"/>
          <w:sz w:val="24"/>
          <w:szCs w:val="24"/>
        </w:rPr>
        <w:t>(</w:t>
      </w:r>
      <w:r w:rsidR="00D378B8" w:rsidRPr="00A61688">
        <w:rPr>
          <w:rFonts w:ascii="Times New Roman" w:hAnsi="Times New Roman"/>
          <w:sz w:val="24"/>
          <w:szCs w:val="24"/>
        </w:rPr>
        <w:t>Rajagopalan, P. et.al., 2014; Santamouris, M. et.al., 2001; Santamouris, M. et.al. 1998; Taha, H., 2004</w:t>
      </w:r>
      <w:r w:rsidR="00590C0A">
        <w:rPr>
          <w:rFonts w:ascii="Times New Roman" w:hAnsi="Times New Roman"/>
          <w:sz w:val="24"/>
          <w:szCs w:val="24"/>
        </w:rPr>
        <w:t>)</w:t>
      </w:r>
      <w:r w:rsidRPr="00A61688">
        <w:rPr>
          <w:rFonts w:ascii="Times New Roman" w:hAnsi="Times New Roman"/>
          <w:sz w:val="24"/>
          <w:szCs w:val="24"/>
        </w:rPr>
        <w:t>.In urban areas, too much reliance on mechanical HVAC systems may harm the environment in two ways: first, CFC gases release into the air, depleting the ozone layer, and second, buildings that are poorly designed and heated up can lose their internal heat into their external environment, contributing to the growth of urban heat islands</w:t>
      </w:r>
      <w:r w:rsidR="00590C0A">
        <w:rPr>
          <w:rFonts w:ascii="Times New Roman" w:hAnsi="Times New Roman"/>
          <w:sz w:val="24"/>
          <w:szCs w:val="24"/>
        </w:rPr>
        <w:t xml:space="preserve"> (</w:t>
      </w:r>
      <w:r w:rsidR="00A61688">
        <w:rPr>
          <w:rFonts w:ascii="Times New Roman" w:hAnsi="Times New Roman"/>
          <w:sz w:val="24"/>
          <w:szCs w:val="24"/>
        </w:rPr>
        <w:t>Mitra, S, 2018</w:t>
      </w:r>
      <w:r w:rsidR="00590C0A">
        <w:rPr>
          <w:rFonts w:ascii="Times New Roman" w:hAnsi="Times New Roman"/>
          <w:sz w:val="24"/>
          <w:szCs w:val="24"/>
        </w:rPr>
        <w:t>)</w:t>
      </w:r>
      <w:r w:rsidRPr="00A61688">
        <w:rPr>
          <w:rFonts w:ascii="Times New Roman" w:hAnsi="Times New Roman"/>
          <w:sz w:val="24"/>
          <w:szCs w:val="24"/>
        </w:rPr>
        <w:t>.</w:t>
      </w:r>
      <w:r w:rsidRPr="00A256E2">
        <w:rPr>
          <w:rFonts w:ascii="Times New Roman" w:hAnsi="Times New Roman"/>
          <w:color w:val="0070C0"/>
          <w:sz w:val="24"/>
          <w:szCs w:val="24"/>
        </w:rPr>
        <w:t> </w:t>
      </w:r>
    </w:p>
    <w:p w:rsidR="002F15B9" w:rsidRDefault="002F15B9" w:rsidP="00A256E2">
      <w:pPr>
        <w:autoSpaceDE w:val="0"/>
        <w:autoSpaceDN w:val="0"/>
        <w:adjustRightInd w:val="0"/>
        <w:spacing w:after="0" w:line="360" w:lineRule="auto"/>
        <w:jc w:val="lowKashida"/>
        <w:rPr>
          <w:rFonts w:ascii="Times New Roman" w:hAnsi="Times New Roman"/>
          <w:sz w:val="24"/>
          <w:szCs w:val="24"/>
        </w:rPr>
      </w:pPr>
    </w:p>
    <w:p w:rsidR="00A256E2" w:rsidRPr="00E40EA9" w:rsidRDefault="00A256E2" w:rsidP="00A256E2">
      <w:p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 xml:space="preserve">A primary objective of the </w:t>
      </w:r>
      <w:r w:rsidR="00160205" w:rsidRPr="00E40EA9">
        <w:rPr>
          <w:rFonts w:ascii="Times New Roman" w:hAnsi="Times New Roman"/>
          <w:sz w:val="24"/>
          <w:szCs w:val="24"/>
        </w:rPr>
        <w:t xml:space="preserve">Smart City Mission </w:t>
      </w:r>
      <w:r w:rsidR="00160205">
        <w:rPr>
          <w:rFonts w:ascii="Times New Roman" w:hAnsi="Times New Roman"/>
          <w:sz w:val="24"/>
          <w:szCs w:val="24"/>
        </w:rPr>
        <w:t xml:space="preserve">launched </w:t>
      </w:r>
      <w:r w:rsidR="00160205" w:rsidRPr="00E40EA9">
        <w:rPr>
          <w:rFonts w:ascii="Times New Roman" w:hAnsi="Times New Roman"/>
          <w:sz w:val="24"/>
          <w:szCs w:val="24"/>
        </w:rPr>
        <w:t>in 2015</w:t>
      </w:r>
      <w:r w:rsidR="00160205">
        <w:rPr>
          <w:rFonts w:ascii="Times New Roman" w:hAnsi="Times New Roman"/>
          <w:sz w:val="24"/>
          <w:szCs w:val="24"/>
        </w:rPr>
        <w:t xml:space="preserve"> by the </w:t>
      </w:r>
      <w:r w:rsidRPr="00E40EA9">
        <w:rPr>
          <w:rFonts w:ascii="Times New Roman" w:hAnsi="Times New Roman"/>
          <w:sz w:val="24"/>
          <w:szCs w:val="24"/>
        </w:rPr>
        <w:t>Ministry of Urban Development,</w:t>
      </w:r>
      <w:r w:rsidR="00160205">
        <w:rPr>
          <w:rFonts w:ascii="Times New Roman" w:hAnsi="Times New Roman"/>
          <w:sz w:val="24"/>
          <w:szCs w:val="24"/>
        </w:rPr>
        <w:t xml:space="preserve"> Government of India</w:t>
      </w:r>
      <w:r w:rsidRPr="00E40EA9">
        <w:rPr>
          <w:rFonts w:ascii="Times New Roman" w:hAnsi="Times New Roman"/>
          <w:sz w:val="24"/>
          <w:szCs w:val="24"/>
        </w:rPr>
        <w:t xml:space="preserve"> is to promote sustainable development and green building. Sustainable Environment is the eighth of the ten Core Infrastructure Elements discussed in Article 2.4 of the Smart City Mission document</w:t>
      </w:r>
      <w:r w:rsidR="000F75CF" w:rsidRPr="00E40EA9">
        <w:rPr>
          <w:rFonts w:ascii="Times New Roman" w:hAnsi="Times New Roman"/>
          <w:sz w:val="24"/>
          <w:szCs w:val="24"/>
        </w:rPr>
        <w:t xml:space="preserve"> (Mohan, M. et.al., 2022)</w:t>
      </w:r>
      <w:r w:rsidRPr="00E40EA9">
        <w:rPr>
          <w:rFonts w:ascii="Times New Roman" w:hAnsi="Times New Roman"/>
          <w:sz w:val="24"/>
          <w:szCs w:val="24"/>
        </w:rPr>
        <w:t>.The document also includes "Energy Efficient and Green Building" as one of its twenty-one Smart Solutions proposed under Article 2.5.As a result, architects and planners alike have a responsibility to take all feasible steps toward a sustainable built environment.</w:t>
      </w:r>
    </w:p>
    <w:p w:rsidR="002F15B9" w:rsidRDefault="002F15B9" w:rsidP="00A256E2">
      <w:pPr>
        <w:autoSpaceDE w:val="0"/>
        <w:autoSpaceDN w:val="0"/>
        <w:adjustRightInd w:val="0"/>
        <w:spacing w:after="0" w:line="360" w:lineRule="auto"/>
        <w:jc w:val="lowKashida"/>
        <w:rPr>
          <w:rFonts w:ascii="Times New Roman" w:hAnsi="Times New Roman"/>
          <w:sz w:val="24"/>
          <w:szCs w:val="24"/>
        </w:rPr>
      </w:pPr>
    </w:p>
    <w:p w:rsidR="00A256E2" w:rsidRPr="00E40EA9" w:rsidRDefault="00A256E2" w:rsidP="00A256E2">
      <w:p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As per the IPCC Intergovernmental Panel on Climate Change - Sixth Assessment Report - Regional Fact Sheet – Urban Areas</w:t>
      </w:r>
      <w:r w:rsidR="00E40EA9" w:rsidRPr="00E40EA9">
        <w:rPr>
          <w:rFonts w:ascii="Times New Roman" w:hAnsi="Times New Roman"/>
          <w:sz w:val="24"/>
          <w:szCs w:val="24"/>
        </w:rPr>
        <w:t xml:space="preserve"> (Regional Fact Sheet)</w:t>
      </w:r>
      <w:r w:rsidRPr="00E40EA9">
        <w:rPr>
          <w:rFonts w:ascii="Times New Roman" w:hAnsi="Times New Roman"/>
          <w:sz w:val="24"/>
          <w:szCs w:val="24"/>
        </w:rPr>
        <w:t xml:space="preserve">,the three main factors that contribute to amplify the warming of urban areas are: </w:t>
      </w:r>
    </w:p>
    <w:p w:rsidR="00A256E2" w:rsidRPr="00E40EA9" w:rsidRDefault="00A256E2" w:rsidP="00A256E2">
      <w:pPr>
        <w:pStyle w:val="ListParagraph"/>
        <w:numPr>
          <w:ilvl w:val="0"/>
          <w:numId w:val="19"/>
        </w:num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 xml:space="preserve">Urban geometry </w:t>
      </w:r>
    </w:p>
    <w:p w:rsidR="00A256E2" w:rsidRPr="00E40EA9" w:rsidRDefault="00A256E2" w:rsidP="00A256E2">
      <w:pPr>
        <w:pStyle w:val="ListParagraph"/>
        <w:numPr>
          <w:ilvl w:val="0"/>
          <w:numId w:val="19"/>
        </w:num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 xml:space="preserve">Human activities </w:t>
      </w:r>
    </w:p>
    <w:p w:rsidR="00A256E2" w:rsidRPr="00E40EA9" w:rsidRDefault="00A256E2" w:rsidP="00A256E2">
      <w:pPr>
        <w:pStyle w:val="ListParagraph"/>
        <w:numPr>
          <w:ilvl w:val="0"/>
          <w:numId w:val="19"/>
        </w:num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 xml:space="preserve">Construction Materials </w:t>
      </w:r>
    </w:p>
    <w:p w:rsidR="002F15B9" w:rsidRDefault="002F15B9" w:rsidP="00190F58">
      <w:pPr>
        <w:autoSpaceDE w:val="0"/>
        <w:autoSpaceDN w:val="0"/>
        <w:adjustRightInd w:val="0"/>
        <w:spacing w:after="0" w:line="360" w:lineRule="auto"/>
        <w:jc w:val="lowKashida"/>
        <w:rPr>
          <w:rFonts w:ascii="Times New Roman" w:hAnsi="Times New Roman"/>
          <w:sz w:val="24"/>
          <w:szCs w:val="24"/>
        </w:rPr>
      </w:pPr>
    </w:p>
    <w:p w:rsidR="00D514EA" w:rsidRDefault="00A256E2" w:rsidP="00190F58">
      <w:pPr>
        <w:autoSpaceDE w:val="0"/>
        <w:autoSpaceDN w:val="0"/>
        <w:adjustRightInd w:val="0"/>
        <w:spacing w:after="0" w:line="360" w:lineRule="auto"/>
        <w:jc w:val="lowKashida"/>
        <w:rPr>
          <w:rFonts w:ascii="Times New Roman" w:hAnsi="Times New Roman"/>
          <w:sz w:val="24"/>
          <w:szCs w:val="24"/>
        </w:rPr>
      </w:pPr>
      <w:r w:rsidRPr="00E40EA9">
        <w:rPr>
          <w:rFonts w:ascii="Times New Roman" w:hAnsi="Times New Roman"/>
          <w:sz w:val="24"/>
          <w:szCs w:val="24"/>
        </w:rPr>
        <w:t xml:space="preserve">The three above thrust areas also corroborate with the indoor thermal condition and thermal performances of a building and thus influence the thermal comfort of a built environment. </w:t>
      </w:r>
      <w:r w:rsidR="00190F58" w:rsidRPr="005A5367">
        <w:rPr>
          <w:rFonts w:ascii="Times New Roman" w:hAnsi="Times New Roman"/>
          <w:sz w:val="24"/>
          <w:szCs w:val="24"/>
        </w:rPr>
        <w:t xml:space="preserve">The land use distribution for the city of Kolkata shows a total of 62% under residential use, which accounts for 73% of the total built up structures </w:t>
      </w:r>
      <w:sdt>
        <w:sdtPr>
          <w:rPr>
            <w:rFonts w:ascii="Times New Roman" w:hAnsi="Times New Roman"/>
            <w:sz w:val="24"/>
            <w:szCs w:val="24"/>
          </w:rPr>
          <w:id w:val="-458263806"/>
          <w:citation/>
        </w:sdtPr>
        <w:sdtContent>
          <w:r w:rsidR="005D4839" w:rsidRPr="005A5367">
            <w:rPr>
              <w:rFonts w:ascii="Times New Roman" w:hAnsi="Times New Roman"/>
              <w:sz w:val="24"/>
              <w:szCs w:val="24"/>
            </w:rPr>
            <w:fldChar w:fldCharType="begin"/>
          </w:r>
          <w:r w:rsidR="00190F58" w:rsidRPr="005A5367">
            <w:rPr>
              <w:rFonts w:ascii="Times New Roman" w:hAnsi="Times New Roman"/>
              <w:sz w:val="24"/>
              <w:szCs w:val="24"/>
            </w:rPr>
            <w:instrText xml:space="preserve"> CITATION Nat13 \l 1033 </w:instrText>
          </w:r>
          <w:r w:rsidR="005D4839" w:rsidRPr="005A5367">
            <w:rPr>
              <w:rFonts w:ascii="Times New Roman" w:hAnsi="Times New Roman"/>
              <w:sz w:val="24"/>
              <w:szCs w:val="24"/>
            </w:rPr>
            <w:fldChar w:fldCharType="separate"/>
          </w:r>
          <w:r w:rsidR="00190F58" w:rsidRPr="005A5367">
            <w:rPr>
              <w:rFonts w:ascii="Times New Roman" w:hAnsi="Times New Roman"/>
              <w:sz w:val="24"/>
              <w:szCs w:val="24"/>
            </w:rPr>
            <w:t>(Nath &amp; Acharjee, 2013)</w:t>
          </w:r>
          <w:r w:rsidR="005D4839" w:rsidRPr="005A5367">
            <w:rPr>
              <w:rFonts w:ascii="Times New Roman" w:hAnsi="Times New Roman"/>
              <w:sz w:val="24"/>
              <w:szCs w:val="24"/>
            </w:rPr>
            <w:fldChar w:fldCharType="end"/>
          </w:r>
        </w:sdtContent>
      </w:sdt>
      <w:r w:rsidR="00190F58" w:rsidRPr="005A5367">
        <w:rPr>
          <w:rFonts w:ascii="Times New Roman" w:hAnsi="Times New Roman"/>
          <w:sz w:val="24"/>
          <w:szCs w:val="24"/>
        </w:rPr>
        <w:t xml:space="preserve">. </w:t>
      </w:r>
      <w:r w:rsidR="00D514EA">
        <w:rPr>
          <w:rFonts w:ascii="Times New Roman" w:hAnsi="Times New Roman"/>
          <w:sz w:val="24"/>
          <w:szCs w:val="24"/>
        </w:rPr>
        <w:t>It is therefore imperative that to improve the urban heating of a metropolis of the scale and urban nature as of Kolkata, a large onus comes on its built environment</w:t>
      </w:r>
      <w:r w:rsidR="00310ABA">
        <w:rPr>
          <w:rFonts w:ascii="Times New Roman" w:hAnsi="Times New Roman"/>
          <w:sz w:val="24"/>
          <w:szCs w:val="24"/>
        </w:rPr>
        <w:t xml:space="preserve"> or more specifically </w:t>
      </w:r>
      <w:r w:rsidR="00D514EA">
        <w:rPr>
          <w:rFonts w:ascii="Times New Roman" w:hAnsi="Times New Roman"/>
          <w:sz w:val="24"/>
          <w:szCs w:val="24"/>
        </w:rPr>
        <w:t xml:space="preserve">on the residential built environment of the city </w:t>
      </w:r>
      <w:r w:rsidR="00D514EA">
        <w:rPr>
          <w:rFonts w:ascii="Times New Roman" w:hAnsi="Times New Roman"/>
          <w:sz w:val="24"/>
          <w:szCs w:val="24"/>
        </w:rPr>
        <w:lastRenderedPageBreak/>
        <w:t xml:space="preserve">and hence, the responsibility </w:t>
      </w:r>
      <w:r w:rsidR="00310ABA">
        <w:rPr>
          <w:rFonts w:ascii="Times New Roman" w:hAnsi="Times New Roman"/>
          <w:sz w:val="24"/>
          <w:szCs w:val="24"/>
        </w:rPr>
        <w:t xml:space="preserve">lies with the decision makers related to this, i.e., the architects, city planners and </w:t>
      </w:r>
      <w:r w:rsidR="005523C8">
        <w:rPr>
          <w:rFonts w:ascii="Times New Roman" w:hAnsi="Times New Roman"/>
          <w:sz w:val="24"/>
          <w:szCs w:val="24"/>
        </w:rPr>
        <w:t>bureaucrats</w:t>
      </w:r>
      <w:r w:rsidR="00310ABA">
        <w:rPr>
          <w:rFonts w:ascii="Times New Roman" w:hAnsi="Times New Roman"/>
          <w:sz w:val="24"/>
          <w:szCs w:val="24"/>
        </w:rPr>
        <w:t>.</w:t>
      </w:r>
    </w:p>
    <w:p w:rsidR="002F15B9" w:rsidRDefault="002F15B9" w:rsidP="00190F58">
      <w:pPr>
        <w:autoSpaceDE w:val="0"/>
        <w:autoSpaceDN w:val="0"/>
        <w:adjustRightInd w:val="0"/>
        <w:spacing w:after="0" w:line="360" w:lineRule="auto"/>
        <w:jc w:val="lowKashida"/>
        <w:rPr>
          <w:rFonts w:ascii="Times New Roman" w:hAnsi="Times New Roman"/>
          <w:sz w:val="24"/>
          <w:szCs w:val="24"/>
        </w:rPr>
      </w:pPr>
    </w:p>
    <w:p w:rsidR="00EF71B5" w:rsidRDefault="00D514EA" w:rsidP="00190F58">
      <w:pPr>
        <w:autoSpaceDE w:val="0"/>
        <w:autoSpaceDN w:val="0"/>
        <w:adjustRightInd w:val="0"/>
        <w:spacing w:after="0" w:line="360" w:lineRule="auto"/>
        <w:jc w:val="lowKashida"/>
        <w:rPr>
          <w:rFonts w:ascii="Times New Roman" w:hAnsi="Times New Roman"/>
          <w:sz w:val="24"/>
          <w:szCs w:val="24"/>
        </w:rPr>
      </w:pPr>
      <w:r>
        <w:rPr>
          <w:rFonts w:ascii="Times New Roman" w:hAnsi="Times New Roman"/>
          <w:sz w:val="24"/>
          <w:szCs w:val="24"/>
        </w:rPr>
        <w:t xml:space="preserve">This dissertation therefore aims </w:t>
      </w:r>
      <w:r w:rsidR="008E7379">
        <w:rPr>
          <w:rFonts w:ascii="Times New Roman" w:hAnsi="Times New Roman"/>
          <w:sz w:val="24"/>
          <w:szCs w:val="24"/>
        </w:rPr>
        <w:t xml:space="preserve">primarily </w:t>
      </w:r>
      <w:r>
        <w:rPr>
          <w:rFonts w:ascii="Times New Roman" w:hAnsi="Times New Roman"/>
          <w:sz w:val="24"/>
          <w:szCs w:val="24"/>
        </w:rPr>
        <w:t>at improving the thermal comfort condition of the city of Kolkata, the need of which is by far established</w:t>
      </w:r>
      <w:r w:rsidR="004D7506">
        <w:rPr>
          <w:rFonts w:ascii="Times New Roman" w:hAnsi="Times New Roman"/>
          <w:sz w:val="24"/>
          <w:szCs w:val="24"/>
        </w:rPr>
        <w:t xml:space="preserve">, by </w:t>
      </w:r>
      <w:r w:rsidR="00574E28">
        <w:rPr>
          <w:rFonts w:ascii="Times New Roman" w:hAnsi="Times New Roman"/>
          <w:sz w:val="24"/>
          <w:szCs w:val="24"/>
        </w:rPr>
        <w:t>c</w:t>
      </w:r>
      <w:r w:rsidR="00190F58" w:rsidRPr="005A5367">
        <w:rPr>
          <w:rFonts w:ascii="Times New Roman" w:hAnsi="Times New Roman"/>
          <w:sz w:val="24"/>
          <w:szCs w:val="24"/>
        </w:rPr>
        <w:t>onsider</w:t>
      </w:r>
      <w:r w:rsidR="004D7506">
        <w:rPr>
          <w:rFonts w:ascii="Times New Roman" w:hAnsi="Times New Roman"/>
          <w:sz w:val="24"/>
          <w:szCs w:val="24"/>
        </w:rPr>
        <w:t xml:space="preserve">ing </w:t>
      </w:r>
      <w:r w:rsidR="00190F58" w:rsidRPr="005A5367">
        <w:rPr>
          <w:rFonts w:ascii="Times New Roman" w:hAnsi="Times New Roman"/>
          <w:sz w:val="24"/>
          <w:szCs w:val="24"/>
        </w:rPr>
        <w:t xml:space="preserve">the residential buildings of Kolkata as its </w:t>
      </w:r>
      <w:r w:rsidR="004D7506">
        <w:rPr>
          <w:rFonts w:ascii="Times New Roman" w:hAnsi="Times New Roman"/>
          <w:sz w:val="24"/>
          <w:szCs w:val="24"/>
        </w:rPr>
        <w:t xml:space="preserve">research </w:t>
      </w:r>
      <w:r w:rsidR="00574E28">
        <w:rPr>
          <w:rFonts w:ascii="Times New Roman" w:hAnsi="Times New Roman"/>
          <w:sz w:val="24"/>
          <w:szCs w:val="24"/>
        </w:rPr>
        <w:t xml:space="preserve">domain </w:t>
      </w:r>
      <w:r w:rsidR="004D7506">
        <w:rPr>
          <w:rFonts w:ascii="Times New Roman" w:hAnsi="Times New Roman"/>
          <w:sz w:val="24"/>
          <w:szCs w:val="24"/>
        </w:rPr>
        <w:t>because of</w:t>
      </w:r>
      <w:r w:rsidR="00574E28">
        <w:rPr>
          <w:rFonts w:ascii="Times New Roman" w:hAnsi="Times New Roman"/>
          <w:sz w:val="24"/>
          <w:szCs w:val="24"/>
        </w:rPr>
        <w:t xml:space="preserve"> the large share of residential land-use in its built environment</w:t>
      </w:r>
      <w:r w:rsidR="00190F58" w:rsidRPr="005A5367">
        <w:rPr>
          <w:rFonts w:ascii="Times New Roman" w:hAnsi="Times New Roman"/>
          <w:sz w:val="24"/>
          <w:szCs w:val="24"/>
        </w:rPr>
        <w:t xml:space="preserve">. </w:t>
      </w:r>
    </w:p>
    <w:p w:rsidR="002F15B9" w:rsidRDefault="002F15B9" w:rsidP="00190F58">
      <w:pPr>
        <w:autoSpaceDE w:val="0"/>
        <w:autoSpaceDN w:val="0"/>
        <w:adjustRightInd w:val="0"/>
        <w:spacing w:after="0" w:line="360" w:lineRule="auto"/>
        <w:jc w:val="lowKashida"/>
        <w:rPr>
          <w:rFonts w:ascii="Times New Roman" w:hAnsi="Times New Roman"/>
          <w:color w:val="FF0000"/>
          <w:sz w:val="24"/>
          <w:szCs w:val="24"/>
        </w:rPr>
      </w:pPr>
    </w:p>
    <w:p w:rsidR="009316C3" w:rsidRDefault="009316C3" w:rsidP="009316C3">
      <w:pPr>
        <w:pStyle w:val="ListParagraph"/>
        <w:numPr>
          <w:ilvl w:val="1"/>
          <w:numId w:val="16"/>
        </w:numPr>
        <w:tabs>
          <w:tab w:val="left" w:pos="-1440"/>
        </w:tabs>
        <w:spacing w:after="0" w:line="360" w:lineRule="auto"/>
        <w:jc w:val="both"/>
        <w:rPr>
          <w:rFonts w:ascii="Times New Roman" w:hAnsi="Times New Roman"/>
          <w:b/>
          <w:sz w:val="24"/>
          <w:szCs w:val="24"/>
        </w:rPr>
      </w:pPr>
      <w:r w:rsidRPr="0046503B">
        <w:rPr>
          <w:rFonts w:ascii="Times New Roman" w:hAnsi="Times New Roman"/>
          <w:b/>
          <w:sz w:val="24"/>
          <w:szCs w:val="24"/>
        </w:rPr>
        <w:t>THERMAL COMFORT AND ITS NEED</w:t>
      </w:r>
    </w:p>
    <w:p w:rsidR="009316C3" w:rsidRDefault="009316C3" w:rsidP="009316C3">
      <w:pPr>
        <w:pStyle w:val="ListParagraph"/>
        <w:tabs>
          <w:tab w:val="left" w:pos="-1440"/>
        </w:tabs>
        <w:spacing w:after="0" w:line="360" w:lineRule="auto"/>
        <w:ind w:left="0"/>
        <w:jc w:val="both"/>
        <w:rPr>
          <w:rFonts w:ascii="Times New Roman" w:hAnsi="Times New Roman"/>
          <w:b/>
          <w:sz w:val="24"/>
          <w:szCs w:val="24"/>
        </w:rPr>
      </w:pPr>
    </w:p>
    <w:p w:rsidR="009316C3" w:rsidRPr="007A7119" w:rsidRDefault="009316C3" w:rsidP="009316C3">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Abraham Maslow, first in his paper titled “A Theory of Human Motivation” proposed the concept of Hierarchy of (human) Needs </w:t>
      </w:r>
      <w:sdt>
        <w:sdtPr>
          <w:rPr>
            <w:rFonts w:ascii="Times New Roman" w:eastAsia="Times New Roman" w:hAnsi="Times New Roman"/>
            <w:spacing w:val="-6"/>
            <w:sz w:val="24"/>
            <w:szCs w:val="24"/>
            <w:lang w:eastAsia="en-IN"/>
          </w:rPr>
          <w:id w:val="2582155"/>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Mas00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(Maslow A. , 1943)</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and further developed it in his book “Motivation and Personality” </w:t>
      </w:r>
      <w:sdt>
        <w:sdtPr>
          <w:rPr>
            <w:rFonts w:ascii="Times New Roman" w:eastAsia="Times New Roman" w:hAnsi="Times New Roman"/>
            <w:spacing w:val="-6"/>
            <w:sz w:val="24"/>
            <w:szCs w:val="24"/>
            <w:lang w:eastAsia="en-IN"/>
          </w:rPr>
          <w:id w:val="2582188"/>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Mas54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(Maslow A. H., 1954)</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Szokolay in his book </w:t>
      </w:r>
      <w:sdt>
        <w:sdtPr>
          <w:rPr>
            <w:rFonts w:ascii="Times New Roman" w:eastAsia="Times New Roman" w:hAnsi="Times New Roman"/>
            <w:spacing w:val="-6"/>
            <w:sz w:val="24"/>
            <w:szCs w:val="24"/>
            <w:lang w:eastAsia="en-IN"/>
          </w:rPr>
          <w:id w:val="2582189"/>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Szo14 \p 16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(Szokolay, 2014, p. 16)</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refers to the Hierarchy and highlights that “Thermal Comfort” is one of the basic or fundamental needs to human beings (Fig. 1.</w:t>
      </w:r>
      <w:r>
        <w:rPr>
          <w:rFonts w:ascii="Times New Roman" w:eastAsia="Times New Roman" w:hAnsi="Times New Roman"/>
          <w:spacing w:val="-6"/>
          <w:sz w:val="24"/>
          <w:szCs w:val="24"/>
          <w:lang w:eastAsia="en-IN"/>
        </w:rPr>
        <w:t>3</w:t>
      </w:r>
      <w:r w:rsidRPr="007A7119">
        <w:rPr>
          <w:rFonts w:ascii="Times New Roman" w:eastAsia="Times New Roman" w:hAnsi="Times New Roman"/>
          <w:spacing w:val="-6"/>
          <w:sz w:val="24"/>
          <w:szCs w:val="24"/>
          <w:lang w:eastAsia="en-IN"/>
        </w:rPr>
        <w:t xml:space="preserve">). </w:t>
      </w:r>
    </w:p>
    <w:p w:rsidR="009316C3" w:rsidRPr="0046503B" w:rsidRDefault="009316C3" w:rsidP="009316C3">
      <w:pPr>
        <w:pStyle w:val="ListParagraph"/>
        <w:tabs>
          <w:tab w:val="left" w:pos="-1440"/>
        </w:tabs>
        <w:spacing w:after="0" w:line="360" w:lineRule="auto"/>
        <w:ind w:left="0"/>
        <w:jc w:val="both"/>
        <w:rPr>
          <w:rFonts w:ascii="Times New Roman" w:hAnsi="Times New Roman"/>
          <w:b/>
          <w:sz w:val="24"/>
          <w:szCs w:val="24"/>
        </w:rPr>
      </w:pPr>
    </w:p>
    <w:p w:rsidR="009316C3" w:rsidRPr="007A7119" w:rsidRDefault="009316C3" w:rsidP="009316C3">
      <w:pPr>
        <w:keepNext/>
        <w:spacing w:after="0" w:line="360" w:lineRule="auto"/>
        <w:jc w:val="center"/>
        <w:rPr>
          <w:rFonts w:ascii="Times New Roman" w:hAnsi="Times New Roman"/>
          <w:sz w:val="24"/>
          <w:szCs w:val="24"/>
        </w:rPr>
      </w:pPr>
      <w:r w:rsidRPr="007A7119">
        <w:rPr>
          <w:rFonts w:ascii="Times New Roman" w:hAnsi="Times New Roman"/>
          <w:noProof/>
          <w:sz w:val="24"/>
          <w:szCs w:val="24"/>
          <w:lang w:val="en-US" w:bidi="hi-IN"/>
        </w:rPr>
        <w:drawing>
          <wp:inline distT="0" distB="0" distL="0" distR="0">
            <wp:extent cx="3876675" cy="2885969"/>
            <wp:effectExtent l="19050" t="0" r="0" b="0"/>
            <wp:docPr id="8" name="Picture 1" descr="maslow's hierarchy of needs five stage pyram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five stage pyramid"/>
                    <pic:cNvPicPr>
                      <a:picLocks noChangeAspect="1" noChangeArrowheads="1"/>
                    </pic:cNvPicPr>
                  </pic:nvPicPr>
                  <pic:blipFill>
                    <a:blip r:embed="rId10" cstate="print"/>
                    <a:srcRect/>
                    <a:stretch>
                      <a:fillRect/>
                    </a:stretch>
                  </pic:blipFill>
                  <pic:spPr bwMode="auto">
                    <a:xfrm>
                      <a:off x="0" y="0"/>
                      <a:ext cx="3879694" cy="2888217"/>
                    </a:xfrm>
                    <a:prstGeom prst="rect">
                      <a:avLst/>
                    </a:prstGeom>
                    <a:noFill/>
                    <a:ln w="9525">
                      <a:noFill/>
                      <a:miter lim="800000"/>
                      <a:headEnd/>
                      <a:tailEnd/>
                    </a:ln>
                  </pic:spPr>
                </pic:pic>
              </a:graphicData>
            </a:graphic>
          </wp:inline>
        </w:drawing>
      </w:r>
    </w:p>
    <w:p w:rsidR="009316C3" w:rsidRPr="0046503B" w:rsidRDefault="009316C3" w:rsidP="009316C3">
      <w:pPr>
        <w:pStyle w:val="Caption"/>
        <w:spacing w:after="0" w:line="360" w:lineRule="auto"/>
        <w:jc w:val="center"/>
        <w:rPr>
          <w:rFonts w:ascii="Times New Roman" w:eastAsia="Times New Roman" w:hAnsi="Times New Roman"/>
          <w:bCs w:val="0"/>
          <w:iCs/>
          <w:noProof/>
          <w:color w:val="auto"/>
          <w:spacing w:val="-6"/>
          <w:sz w:val="22"/>
          <w:szCs w:val="22"/>
          <w:lang w:eastAsia="en-IN"/>
        </w:rPr>
      </w:pPr>
      <w:r w:rsidRPr="0046503B">
        <w:rPr>
          <w:rFonts w:ascii="Times New Roman" w:eastAsia="Times New Roman" w:hAnsi="Times New Roman"/>
          <w:bCs w:val="0"/>
          <w:iCs/>
          <w:noProof/>
          <w:color w:val="auto"/>
          <w:spacing w:val="-6"/>
          <w:sz w:val="22"/>
          <w:szCs w:val="22"/>
          <w:lang w:eastAsia="en-IN"/>
        </w:rPr>
        <w:t>Fig. 1.</w:t>
      </w:r>
      <w:r>
        <w:rPr>
          <w:rFonts w:ascii="Times New Roman" w:eastAsia="Times New Roman" w:hAnsi="Times New Roman"/>
          <w:bCs w:val="0"/>
          <w:iCs/>
          <w:noProof/>
          <w:color w:val="auto"/>
          <w:spacing w:val="-6"/>
          <w:sz w:val="22"/>
          <w:szCs w:val="22"/>
          <w:lang w:eastAsia="en-IN"/>
        </w:rPr>
        <w:t>3</w:t>
      </w:r>
      <w:r w:rsidRPr="0046503B">
        <w:rPr>
          <w:rFonts w:ascii="Times New Roman" w:eastAsia="Times New Roman" w:hAnsi="Times New Roman"/>
          <w:bCs w:val="0"/>
          <w:iCs/>
          <w:noProof/>
          <w:color w:val="auto"/>
          <w:spacing w:val="-6"/>
          <w:sz w:val="22"/>
          <w:szCs w:val="22"/>
          <w:lang w:eastAsia="en-IN"/>
        </w:rPr>
        <w:t xml:space="preserve">: </w:t>
      </w:r>
      <w:r w:rsidRPr="004B585E">
        <w:rPr>
          <w:rFonts w:ascii="Times New Roman" w:eastAsia="Times New Roman" w:hAnsi="Times New Roman"/>
          <w:b w:val="0"/>
          <w:iCs/>
          <w:noProof/>
          <w:color w:val="auto"/>
          <w:spacing w:val="-6"/>
          <w:sz w:val="22"/>
          <w:szCs w:val="22"/>
          <w:lang w:eastAsia="en-IN"/>
        </w:rPr>
        <w:t>Abraham Maslow's Hierarchy of Needs</w:t>
      </w:r>
    </w:p>
    <w:p w:rsidR="009316C3" w:rsidRPr="0046503B" w:rsidRDefault="009316C3" w:rsidP="009316C3">
      <w:pPr>
        <w:spacing w:after="0" w:line="360" w:lineRule="auto"/>
        <w:jc w:val="center"/>
        <w:rPr>
          <w:rFonts w:ascii="Times New Roman" w:eastAsia="Times New Roman" w:hAnsi="Times New Roman"/>
          <w:iCs/>
          <w:lang w:eastAsia="en-IN"/>
        </w:rPr>
      </w:pPr>
      <w:r w:rsidRPr="0046503B">
        <w:rPr>
          <w:rFonts w:ascii="Times New Roman" w:eastAsia="Times New Roman" w:hAnsi="Times New Roman"/>
          <w:iCs/>
          <w:lang w:eastAsia="en-IN"/>
        </w:rPr>
        <w:t xml:space="preserve">(Source: </w:t>
      </w:r>
      <w:hyperlink r:id="rId11" w:history="1">
        <w:r w:rsidRPr="0046503B">
          <w:rPr>
            <w:rFonts w:ascii="Times New Roman" w:eastAsia="Times New Roman" w:hAnsi="Times New Roman"/>
            <w:iCs/>
            <w:lang w:eastAsia="en-IN"/>
          </w:rPr>
          <w:t>https://www.simplypsychology.org/maslow.html</w:t>
        </w:r>
      </w:hyperlink>
      <w:r w:rsidRPr="0046503B">
        <w:rPr>
          <w:rFonts w:ascii="Times New Roman" w:hAnsi="Times New Roman"/>
          <w:iCs/>
        </w:rPr>
        <w:t>)</w:t>
      </w:r>
    </w:p>
    <w:p w:rsidR="009316C3" w:rsidRDefault="009316C3" w:rsidP="009316C3">
      <w:pPr>
        <w:tabs>
          <w:tab w:val="left" w:pos="-1440"/>
        </w:tabs>
        <w:spacing w:after="0" w:line="360" w:lineRule="auto"/>
        <w:jc w:val="both"/>
        <w:rPr>
          <w:rFonts w:ascii="Times New Roman" w:hAnsi="Times New Roman"/>
          <w:b/>
          <w:sz w:val="24"/>
          <w:szCs w:val="24"/>
        </w:rPr>
      </w:pPr>
    </w:p>
    <w:p w:rsidR="009316C3" w:rsidRDefault="009316C3" w:rsidP="009316C3">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w:t>
      </w:r>
      <w:r w:rsidR="00006073">
        <w:rPr>
          <w:rFonts w:ascii="Times New Roman" w:hAnsi="Times New Roman"/>
          <w:b/>
          <w:sz w:val="24"/>
          <w:szCs w:val="24"/>
        </w:rPr>
        <w:t>2</w:t>
      </w:r>
      <w:r w:rsidRPr="007A7119">
        <w:rPr>
          <w:rFonts w:ascii="Times New Roman" w:hAnsi="Times New Roman"/>
          <w:b/>
          <w:sz w:val="24"/>
          <w:szCs w:val="24"/>
        </w:rPr>
        <w:t>.</w:t>
      </w:r>
      <w:r>
        <w:rPr>
          <w:rFonts w:ascii="Times New Roman" w:hAnsi="Times New Roman"/>
          <w:b/>
          <w:sz w:val="24"/>
          <w:szCs w:val="24"/>
        </w:rPr>
        <w:t>1</w:t>
      </w:r>
      <w:r w:rsidRPr="007A7119">
        <w:rPr>
          <w:rFonts w:ascii="Times New Roman" w:hAnsi="Times New Roman"/>
          <w:b/>
          <w:sz w:val="24"/>
          <w:szCs w:val="24"/>
        </w:rPr>
        <w:tab/>
        <w:t>Conditioning of Building</w:t>
      </w:r>
    </w:p>
    <w:p w:rsidR="009316C3" w:rsidRPr="007A7119" w:rsidRDefault="009316C3" w:rsidP="009316C3">
      <w:pPr>
        <w:tabs>
          <w:tab w:val="left" w:pos="-1440"/>
        </w:tabs>
        <w:spacing w:after="0" w:line="360" w:lineRule="auto"/>
        <w:jc w:val="both"/>
        <w:rPr>
          <w:rFonts w:ascii="Times New Roman" w:hAnsi="Times New Roman"/>
          <w:b/>
          <w:sz w:val="24"/>
          <w:szCs w:val="24"/>
        </w:rPr>
      </w:pPr>
    </w:p>
    <w:p w:rsidR="009316C3" w:rsidRDefault="009316C3" w:rsidP="009316C3">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Buildings provide a protective enclosure for its inhabitants. As each region has its own climate, the houses built therein also varies in their form, material, orientation and design to adapt to the local climatic requirements. For ages, vernacular architecture designed at different places has played this role extremely </w:t>
      </w:r>
      <w:r w:rsidRPr="007A7119">
        <w:rPr>
          <w:rFonts w:ascii="Times New Roman" w:eastAsia="Times New Roman" w:hAnsi="Times New Roman"/>
          <w:spacing w:val="-6"/>
          <w:sz w:val="24"/>
          <w:szCs w:val="24"/>
          <w:lang w:eastAsia="en-IN"/>
        </w:rPr>
        <w:lastRenderedPageBreak/>
        <w:t>effectively by providing an insulated indoor environment for its inhabitants. However, since the development of mechanical air-conditioning devices, buildings have relied more and more on HVAC devices to induce an artificial comfort conditions within the built environment</w:t>
      </w:r>
      <w:sdt>
        <w:sdtPr>
          <w:rPr>
            <w:rFonts w:ascii="Times New Roman" w:eastAsia="Times New Roman" w:hAnsi="Times New Roman"/>
            <w:spacing w:val="-6"/>
            <w:sz w:val="24"/>
            <w:szCs w:val="24"/>
            <w:lang w:eastAsia="en-IN"/>
          </w:rPr>
          <w:id w:val="2582193"/>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Pel15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 xml:space="preserve"> (Pellegrino, Simonetti, &amp; Chie, 2015)</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Buildings under study for their indoor thermal condition are thus divided into two types – conditioned and non-conditioned </w:t>
      </w:r>
      <w:sdt>
        <w:sdtPr>
          <w:rPr>
            <w:rFonts w:ascii="Times New Roman" w:eastAsia="Times New Roman" w:hAnsi="Times New Roman"/>
            <w:spacing w:val="-6"/>
            <w:sz w:val="24"/>
            <w:szCs w:val="24"/>
            <w:lang w:eastAsia="en-IN"/>
          </w:rPr>
          <w:id w:val="2582190"/>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Nay06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(Nayak &amp; Prajapati, 2006)</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w:t>
      </w:r>
    </w:p>
    <w:p w:rsidR="009316C3" w:rsidRPr="007A7119" w:rsidRDefault="009316C3" w:rsidP="009316C3">
      <w:pPr>
        <w:spacing w:after="0" w:line="360" w:lineRule="auto"/>
        <w:jc w:val="both"/>
        <w:rPr>
          <w:rFonts w:ascii="Times New Roman" w:eastAsia="Times New Roman" w:hAnsi="Times New Roman"/>
          <w:spacing w:val="-6"/>
          <w:sz w:val="24"/>
          <w:szCs w:val="24"/>
          <w:lang w:eastAsia="en-IN"/>
        </w:rPr>
      </w:pPr>
    </w:p>
    <w:p w:rsidR="009316C3" w:rsidRDefault="009316C3" w:rsidP="009316C3">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It is envisaged that too much reliance on mechanical HVAC devices in urban areas may harm the environment in two ways – firstly, by the release of ozone layer depleting CFC gases into air, and secondly, by draining the internal heat of the building, especially poorly designed and heated up buildings, into the outdoor environment and thus contributing in the built-up of urban heat islands</w:t>
      </w:r>
      <w:sdt>
        <w:sdtPr>
          <w:rPr>
            <w:rFonts w:ascii="Times New Roman" w:eastAsia="Times New Roman" w:hAnsi="Times New Roman"/>
            <w:spacing w:val="-6"/>
            <w:sz w:val="24"/>
            <w:szCs w:val="24"/>
            <w:lang w:eastAsia="en-IN"/>
          </w:rPr>
          <w:id w:val="2582191"/>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Mit18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 xml:space="preserve"> (Mitra, 2018)</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w:t>
      </w:r>
    </w:p>
    <w:p w:rsidR="009316C3" w:rsidRPr="007A7119" w:rsidRDefault="009316C3" w:rsidP="009316C3">
      <w:pPr>
        <w:spacing w:after="0" w:line="360" w:lineRule="auto"/>
        <w:jc w:val="both"/>
        <w:rPr>
          <w:rFonts w:ascii="Times New Roman" w:eastAsia="Times New Roman" w:hAnsi="Times New Roman"/>
          <w:spacing w:val="-6"/>
          <w:sz w:val="24"/>
          <w:szCs w:val="24"/>
          <w:lang w:eastAsia="en-IN"/>
        </w:rPr>
      </w:pPr>
    </w:p>
    <w:p w:rsidR="009316C3" w:rsidRDefault="009316C3" w:rsidP="009316C3">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Smart City Mission undertaken by Ministry of Urban Development in 2015 takes up aspects of sustainable development and green building as one of its prime goals. Article 2.4 of the documents talks about ten Core Infrastructure Elements, where Sustainable Environment is the eighth one</w:t>
      </w:r>
      <w:sdt>
        <w:sdtPr>
          <w:rPr>
            <w:rFonts w:ascii="Times New Roman" w:eastAsia="Times New Roman" w:hAnsi="Times New Roman"/>
            <w:spacing w:val="-6"/>
            <w:sz w:val="24"/>
            <w:szCs w:val="24"/>
            <w:lang w:eastAsia="en-IN"/>
          </w:rPr>
          <w:id w:val="17438455"/>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Min18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 xml:space="preserve"> (Ministry of Urban Development, GoI, 2018)</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Moreover, “Energy Efficient and Green Building” is included as one of the twenty one Smart Solutions proposed in article 2.5 of the said document. It becomes a responsibility for architects and planners alike to take all steps possible to make the built environment sustainable.</w:t>
      </w:r>
    </w:p>
    <w:p w:rsidR="009316C3" w:rsidRPr="007A7119" w:rsidRDefault="009316C3" w:rsidP="009316C3">
      <w:pPr>
        <w:spacing w:after="0" w:line="360" w:lineRule="auto"/>
        <w:jc w:val="both"/>
        <w:rPr>
          <w:rFonts w:ascii="Times New Roman" w:eastAsia="Times New Roman" w:hAnsi="Times New Roman"/>
          <w:spacing w:val="-6"/>
          <w:sz w:val="24"/>
          <w:szCs w:val="24"/>
          <w:lang w:eastAsia="en-IN"/>
        </w:rPr>
      </w:pPr>
    </w:p>
    <w:p w:rsidR="009316C3" w:rsidRPr="007A7119" w:rsidRDefault="005D4839" w:rsidP="009316C3">
      <w:pPr>
        <w:spacing w:after="0" w:line="360" w:lineRule="auto"/>
        <w:jc w:val="both"/>
        <w:rPr>
          <w:rFonts w:ascii="Times New Roman" w:eastAsia="Times New Roman" w:hAnsi="Times New Roman"/>
          <w:spacing w:val="-6"/>
          <w:sz w:val="24"/>
          <w:szCs w:val="24"/>
          <w:lang w:eastAsia="en-IN"/>
        </w:rPr>
      </w:pPr>
      <w:r w:rsidRPr="005D4839">
        <w:rPr>
          <w:rFonts w:ascii="Times New Roman" w:eastAsia="Times New Roman" w:hAnsi="Times New Roman"/>
          <w:noProof/>
          <w:spacing w:val="-6"/>
          <w:sz w:val="24"/>
          <w:szCs w:val="24"/>
          <w:lang w:eastAsia="en-IN"/>
        </w:rPr>
        <w:pict>
          <v:shapetype id="_x0000_t202" coordsize="21600,21600" o:spt="202" path="m,l,21600r21600,l21600,xe">
            <v:stroke joinstyle="miter"/>
            <v:path gradientshapeok="t" o:connecttype="rect"/>
          </v:shapetype>
          <v:shape id="_x0000_s2076" type="#_x0000_t202" style="position:absolute;left:0;text-align:left;margin-left:-102.75pt;margin-top:155.15pt;width:2in;height:32.25pt;z-index:251669504" filled="f" stroked="f">
            <v:textbox style="mso-next-textbox:#_x0000_s2076" inset="0,0,0,0">
              <w:txbxContent>
                <w:p w:rsidR="0084094A" w:rsidRPr="004B585E" w:rsidRDefault="0084094A" w:rsidP="009316C3">
                  <w:pPr>
                    <w:pStyle w:val="Caption"/>
                    <w:spacing w:after="0"/>
                    <w:rPr>
                      <w:rFonts w:ascii="Times New Roman" w:eastAsia="Times New Roman" w:hAnsi="Times New Roman"/>
                      <w:b w:val="0"/>
                      <w:iCs/>
                      <w:noProof/>
                      <w:color w:val="auto"/>
                      <w:spacing w:val="-6"/>
                      <w:sz w:val="20"/>
                      <w:szCs w:val="28"/>
                      <w:lang w:eastAsia="en-IN"/>
                    </w:rPr>
                  </w:pPr>
                  <w:r w:rsidRPr="001C0EFA">
                    <w:rPr>
                      <w:rFonts w:ascii="Times New Roman" w:eastAsia="Times New Roman" w:hAnsi="Times New Roman"/>
                      <w:bCs w:val="0"/>
                      <w:iCs/>
                      <w:noProof/>
                      <w:color w:val="auto"/>
                      <w:spacing w:val="-6"/>
                      <w:sz w:val="20"/>
                      <w:szCs w:val="28"/>
                      <w:lang w:eastAsia="en-IN"/>
                    </w:rPr>
                    <w:t>Fig. 1.</w:t>
                  </w:r>
                  <w:r>
                    <w:rPr>
                      <w:rFonts w:ascii="Times New Roman" w:eastAsia="Times New Roman" w:hAnsi="Times New Roman"/>
                      <w:bCs w:val="0"/>
                      <w:iCs/>
                      <w:noProof/>
                      <w:color w:val="auto"/>
                      <w:spacing w:val="-6"/>
                      <w:sz w:val="20"/>
                      <w:szCs w:val="28"/>
                      <w:lang w:eastAsia="en-IN"/>
                    </w:rPr>
                    <w:t>4</w:t>
                  </w:r>
                  <w:r w:rsidRPr="001C0EFA">
                    <w:rPr>
                      <w:rFonts w:ascii="Times New Roman" w:eastAsia="Times New Roman" w:hAnsi="Times New Roman"/>
                      <w:bCs w:val="0"/>
                      <w:iCs/>
                      <w:noProof/>
                      <w:color w:val="auto"/>
                      <w:spacing w:val="-6"/>
                      <w:sz w:val="20"/>
                      <w:szCs w:val="28"/>
                      <w:lang w:eastAsia="en-IN"/>
                    </w:rPr>
                    <w:t xml:space="preserve">: </w:t>
                  </w:r>
                  <w:r w:rsidRPr="004B585E">
                    <w:rPr>
                      <w:rFonts w:ascii="Times New Roman" w:eastAsia="Times New Roman" w:hAnsi="Times New Roman"/>
                      <w:b w:val="0"/>
                      <w:iCs/>
                      <w:noProof/>
                      <w:color w:val="auto"/>
                      <w:spacing w:val="-6"/>
                      <w:sz w:val="20"/>
                      <w:szCs w:val="28"/>
                      <w:lang w:eastAsia="en-IN"/>
                    </w:rPr>
                    <w:t xml:space="preserve">UNDP Sustainable </w:t>
                  </w:r>
                </w:p>
                <w:p w:rsidR="0084094A" w:rsidRPr="001C0EFA" w:rsidRDefault="0084094A" w:rsidP="009316C3">
                  <w:pPr>
                    <w:pStyle w:val="Caption"/>
                    <w:spacing w:after="0"/>
                    <w:rPr>
                      <w:rFonts w:ascii="Times New Roman" w:eastAsia="Times New Roman" w:hAnsi="Times New Roman"/>
                      <w:bCs w:val="0"/>
                      <w:iCs/>
                      <w:noProof/>
                      <w:color w:val="auto"/>
                      <w:spacing w:val="-6"/>
                      <w:sz w:val="20"/>
                      <w:szCs w:val="28"/>
                      <w:lang w:eastAsia="en-IN"/>
                    </w:rPr>
                  </w:pPr>
                  <w:r w:rsidRPr="004B585E">
                    <w:rPr>
                      <w:rFonts w:ascii="Times New Roman" w:eastAsia="Times New Roman" w:hAnsi="Times New Roman"/>
                      <w:b w:val="0"/>
                      <w:iCs/>
                      <w:noProof/>
                      <w:color w:val="auto"/>
                      <w:spacing w:val="-6"/>
                      <w:sz w:val="20"/>
                      <w:szCs w:val="28"/>
                      <w:lang w:eastAsia="en-IN"/>
                    </w:rPr>
                    <w:t>Development Goal #11</w:t>
                  </w:r>
                </w:p>
              </w:txbxContent>
            </v:textbox>
          </v:shape>
        </w:pict>
      </w:r>
      <w:r w:rsidR="009316C3" w:rsidRPr="007A7119">
        <w:rPr>
          <w:rFonts w:ascii="Times New Roman" w:eastAsia="Times New Roman" w:hAnsi="Times New Roman"/>
          <w:noProof/>
          <w:spacing w:val="-6"/>
          <w:sz w:val="24"/>
          <w:szCs w:val="24"/>
          <w:lang w:val="en-US" w:bidi="hi-IN"/>
        </w:rPr>
        <w:drawing>
          <wp:anchor distT="0" distB="0" distL="114300" distR="114300" simplePos="0" relativeHeight="251668480" behindDoc="0" locked="0" layoutInCell="1" allowOverlap="1">
            <wp:simplePos x="0" y="0"/>
            <wp:positionH relativeFrom="column">
              <wp:posOffset>7620</wp:posOffset>
            </wp:positionH>
            <wp:positionV relativeFrom="paragraph">
              <wp:posOffset>46355</wp:posOffset>
            </wp:positionV>
            <wp:extent cx="1159510" cy="1857375"/>
            <wp:effectExtent l="19050" t="19050" r="21590" b="28575"/>
            <wp:wrapSquare wrapText="bothSides"/>
            <wp:docPr id="17" name="Picture 16" descr="UNDP goal 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NDP goal 11.jpg"/>
                    <pic:cNvPicPr/>
                  </pic:nvPicPr>
                  <pic:blipFill>
                    <a:blip r:embed="rId12" cstate="print"/>
                    <a:srcRect l="11405" t="3160" r="5300" b="1129"/>
                    <a:stretch>
                      <a:fillRect/>
                    </a:stretch>
                  </pic:blipFill>
                  <pic:spPr>
                    <a:xfrm>
                      <a:off x="0" y="0"/>
                      <a:ext cx="1159510" cy="1857375"/>
                    </a:xfrm>
                    <a:prstGeom prst="rect">
                      <a:avLst/>
                    </a:prstGeom>
                    <a:ln>
                      <a:solidFill>
                        <a:schemeClr val="tx1"/>
                      </a:solidFill>
                    </a:ln>
                  </pic:spPr>
                </pic:pic>
              </a:graphicData>
            </a:graphic>
          </wp:anchor>
        </w:drawing>
      </w:r>
      <w:r w:rsidR="009316C3" w:rsidRPr="007A7119">
        <w:rPr>
          <w:rFonts w:ascii="Times New Roman" w:eastAsia="Times New Roman" w:hAnsi="Times New Roman"/>
          <w:spacing w:val="-6"/>
          <w:sz w:val="24"/>
          <w:szCs w:val="24"/>
          <w:lang w:eastAsia="en-IN"/>
        </w:rPr>
        <w:t>United Nations Development Program (UNDP) took up 17 Sustainable Development Goals in its Rio-de-Janeiro conference of 2012. The target date for achieving these goals was set as the year 2030. Of these, goal number 11 (Fig. 1.</w:t>
      </w:r>
      <w:r w:rsidR="009316C3">
        <w:rPr>
          <w:rFonts w:ascii="Times New Roman" w:eastAsia="Times New Roman" w:hAnsi="Times New Roman"/>
          <w:spacing w:val="-6"/>
          <w:sz w:val="24"/>
          <w:szCs w:val="24"/>
          <w:lang w:eastAsia="en-IN"/>
        </w:rPr>
        <w:t>4</w:t>
      </w:r>
      <w:r w:rsidR="009316C3" w:rsidRPr="007A7119">
        <w:rPr>
          <w:rFonts w:ascii="Times New Roman" w:eastAsia="Times New Roman" w:hAnsi="Times New Roman"/>
          <w:spacing w:val="-6"/>
          <w:sz w:val="24"/>
          <w:szCs w:val="24"/>
          <w:lang w:eastAsia="en-IN"/>
        </w:rPr>
        <w:t>) was to achieve “Sustainable Cities and Communities: Make cities and human settlements inclusive, safe, resilient and sustainable”</w:t>
      </w:r>
      <w:sdt>
        <w:sdtPr>
          <w:rPr>
            <w:rFonts w:ascii="Times New Roman" w:eastAsia="Times New Roman" w:hAnsi="Times New Roman"/>
            <w:spacing w:val="-6"/>
            <w:sz w:val="24"/>
            <w:szCs w:val="24"/>
            <w:lang w:eastAsia="en-IN"/>
          </w:rPr>
          <w:id w:val="17438463"/>
          <w:citation/>
        </w:sdtPr>
        <w:sdtContent>
          <w:r w:rsidRPr="007A7119">
            <w:rPr>
              <w:rFonts w:ascii="Times New Roman" w:eastAsia="Times New Roman" w:hAnsi="Times New Roman"/>
              <w:spacing w:val="-6"/>
              <w:sz w:val="24"/>
              <w:szCs w:val="24"/>
              <w:lang w:eastAsia="en-IN"/>
            </w:rPr>
            <w:fldChar w:fldCharType="begin"/>
          </w:r>
          <w:r w:rsidR="009316C3" w:rsidRPr="007A7119">
            <w:rPr>
              <w:rFonts w:ascii="Times New Roman" w:eastAsia="Times New Roman" w:hAnsi="Times New Roman"/>
              <w:spacing w:val="-6"/>
              <w:sz w:val="24"/>
              <w:szCs w:val="24"/>
              <w:lang w:eastAsia="en-IN"/>
            </w:rPr>
            <w:instrText xml:space="preserve"> CITATION Uni12 \l 16393  </w:instrText>
          </w:r>
          <w:r w:rsidRPr="007A7119">
            <w:rPr>
              <w:rFonts w:ascii="Times New Roman" w:eastAsia="Times New Roman" w:hAnsi="Times New Roman"/>
              <w:spacing w:val="-6"/>
              <w:sz w:val="24"/>
              <w:szCs w:val="24"/>
              <w:lang w:eastAsia="en-IN"/>
            </w:rPr>
            <w:fldChar w:fldCharType="separate"/>
          </w:r>
          <w:r w:rsidR="009316C3" w:rsidRPr="007A7119">
            <w:rPr>
              <w:rFonts w:ascii="Times New Roman" w:eastAsia="Times New Roman" w:hAnsi="Times New Roman"/>
              <w:noProof/>
              <w:spacing w:val="-6"/>
              <w:sz w:val="24"/>
              <w:szCs w:val="24"/>
              <w:lang w:eastAsia="en-IN"/>
            </w:rPr>
            <w:t xml:space="preserve"> (UNDP, 2012)</w:t>
          </w:r>
          <w:r w:rsidRPr="007A7119">
            <w:rPr>
              <w:rFonts w:ascii="Times New Roman" w:eastAsia="Times New Roman" w:hAnsi="Times New Roman"/>
              <w:spacing w:val="-6"/>
              <w:sz w:val="24"/>
              <w:szCs w:val="24"/>
              <w:lang w:eastAsia="en-IN"/>
            </w:rPr>
            <w:fldChar w:fldCharType="end"/>
          </w:r>
        </w:sdtContent>
      </w:sdt>
      <w:r w:rsidR="009316C3" w:rsidRPr="007A7119">
        <w:rPr>
          <w:rFonts w:ascii="Times New Roman" w:eastAsia="Times New Roman" w:hAnsi="Times New Roman"/>
          <w:spacing w:val="-6"/>
          <w:sz w:val="24"/>
          <w:szCs w:val="24"/>
          <w:lang w:eastAsia="en-IN"/>
        </w:rPr>
        <w:t>. Under this goal, UNDP has set forth ten targets that call for an increased awareness on energy usage vis-à-vis thermal performance of built environment (Fig. 1.</w:t>
      </w:r>
      <w:r w:rsidR="009316C3">
        <w:rPr>
          <w:rFonts w:ascii="Times New Roman" w:eastAsia="Times New Roman" w:hAnsi="Times New Roman"/>
          <w:spacing w:val="-6"/>
          <w:sz w:val="24"/>
          <w:szCs w:val="24"/>
          <w:lang w:eastAsia="en-IN"/>
        </w:rPr>
        <w:t>5</w:t>
      </w:r>
      <w:r w:rsidR="009316C3" w:rsidRPr="007A7119">
        <w:rPr>
          <w:rFonts w:ascii="Times New Roman" w:eastAsia="Times New Roman" w:hAnsi="Times New Roman"/>
          <w:spacing w:val="-6"/>
          <w:sz w:val="24"/>
          <w:szCs w:val="24"/>
          <w:lang w:eastAsia="en-IN"/>
        </w:rPr>
        <w:t xml:space="preserve">). </w:t>
      </w:r>
    </w:p>
    <w:p w:rsidR="009316C3" w:rsidRDefault="009316C3" w:rsidP="009316C3">
      <w:pPr>
        <w:rPr>
          <w:rFonts w:ascii="Times New Roman" w:eastAsia="Times New Roman" w:hAnsi="Times New Roman"/>
          <w:noProof/>
          <w:spacing w:val="-6"/>
          <w:sz w:val="24"/>
          <w:szCs w:val="24"/>
          <w:lang w:eastAsia="en-IN"/>
        </w:rPr>
      </w:pPr>
      <w:r>
        <w:rPr>
          <w:rFonts w:ascii="Times New Roman" w:eastAsia="Times New Roman" w:hAnsi="Times New Roman"/>
          <w:noProof/>
          <w:spacing w:val="-6"/>
          <w:sz w:val="24"/>
          <w:szCs w:val="24"/>
          <w:lang w:eastAsia="en-IN"/>
        </w:rPr>
        <w:br w:type="page"/>
      </w:r>
    </w:p>
    <w:p w:rsidR="009316C3" w:rsidRPr="004B585E" w:rsidRDefault="005D4839" w:rsidP="009316C3">
      <w:pPr>
        <w:pStyle w:val="Caption"/>
        <w:spacing w:after="0" w:line="360" w:lineRule="auto"/>
        <w:jc w:val="center"/>
        <w:rPr>
          <w:rFonts w:ascii="Times New Roman" w:eastAsia="Times New Roman" w:hAnsi="Times New Roman"/>
          <w:bCs w:val="0"/>
          <w:iCs/>
          <w:noProof/>
          <w:color w:val="auto"/>
          <w:spacing w:val="-6"/>
          <w:sz w:val="22"/>
          <w:szCs w:val="22"/>
          <w:lang w:eastAsia="en-IN"/>
        </w:rPr>
      </w:pPr>
      <w:r w:rsidRPr="005D4839">
        <w:rPr>
          <w:rFonts w:ascii="Times New Roman" w:eastAsia="Times New Roman" w:hAnsi="Times New Roman"/>
          <w:bCs w:val="0"/>
          <w:iCs/>
          <w:noProof/>
          <w:color w:val="auto"/>
          <w:spacing w:val="-6"/>
          <w:sz w:val="22"/>
          <w:szCs w:val="22"/>
          <w:lang w:eastAsia="en-IN"/>
        </w:rPr>
        <w:lastRenderedPageBreak/>
        <w:pict>
          <v:shape id="Text Box 2" o:spid="_x0000_s2077" type="#_x0000_t202" style="position:absolute;left:0;text-align:left;margin-left:0;margin-top:-14.25pt;width:481.75pt;height:554.7pt;z-index:251670528;visibility:visible;mso-height-percent:200;mso-wrap-distance-top:3.6pt;mso-wrap-distance-bottom:3.6pt;mso-position-horizontal:center;mso-height-percent:200;mso-width-relative:margin;mso-height-relative:margin" fillcolor="#f2f2f2 [3052]">
            <v:textbox style="mso-fit-shape-to-text:t">
              <w:txbxContent>
                <w:p w:rsidR="0084094A" w:rsidRPr="001377C0" w:rsidRDefault="0084094A" w:rsidP="009316C3">
                  <w:pPr>
                    <w:pStyle w:val="ListParagraph"/>
                    <w:numPr>
                      <w:ilvl w:val="0"/>
                      <w:numId w:val="17"/>
                    </w:numPr>
                    <w:spacing w:after="0" w:line="360" w:lineRule="auto"/>
                    <w:ind w:left="360"/>
                    <w:jc w:val="both"/>
                    <w:rPr>
                      <w:rFonts w:ascii="Times New Roman" w:hAnsi="Times New Roman"/>
                      <w:sz w:val="24"/>
                      <w:szCs w:val="24"/>
                    </w:rPr>
                  </w:pPr>
                  <w:r w:rsidRPr="001377C0">
                    <w:rPr>
                      <w:rFonts w:ascii="Times New Roman" w:hAnsi="Times New Roman"/>
                      <w:sz w:val="24"/>
                      <w:szCs w:val="24"/>
                    </w:rPr>
                    <w:t>By 2030, ensure access for all to adequate, safe and affordable housing and basic services and upgrade slums.</w:t>
                  </w:r>
                </w:p>
                <w:p w:rsidR="0084094A" w:rsidRPr="001377C0" w:rsidRDefault="0084094A" w:rsidP="009316C3">
                  <w:pPr>
                    <w:pStyle w:val="ListParagraph"/>
                    <w:numPr>
                      <w:ilvl w:val="0"/>
                      <w:numId w:val="17"/>
                    </w:numPr>
                    <w:spacing w:after="0" w:line="360" w:lineRule="auto"/>
                    <w:ind w:left="360"/>
                    <w:jc w:val="both"/>
                    <w:rPr>
                      <w:rFonts w:ascii="Times New Roman" w:hAnsi="Times New Roman"/>
                      <w:sz w:val="24"/>
                      <w:szCs w:val="24"/>
                    </w:rPr>
                  </w:pPr>
                  <w:r w:rsidRPr="001377C0">
                    <w:rPr>
                      <w:rFonts w:ascii="Times New Roman" w:hAnsi="Times New Roman"/>
                      <w:sz w:val="24"/>
                      <w:szCs w:val="24"/>
                    </w:rPr>
                    <w:t>By 2030, provide access to safe, affordable, accessible and sustainable transport system systems for all, improving road safety, notably by expanding public transport, with special attention to the needs of those in vulnerable situations, women, children, persons with disabilities and older persons.</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sidRPr="001377C0">
                    <w:rPr>
                      <w:rFonts w:ascii="Times New Roman" w:hAnsi="Times New Roman"/>
                      <w:sz w:val="24"/>
                      <w:szCs w:val="24"/>
                    </w:rPr>
                    <w:t xml:space="preserve">By 2030, enhance inclusive and sustainable </w:t>
                  </w:r>
                  <w:r>
                    <w:rPr>
                      <w:rFonts w:ascii="Times New Roman" w:hAnsi="Times New Roman"/>
                      <w:sz w:val="24"/>
                      <w:szCs w:val="24"/>
                    </w:rPr>
                    <w:t>urbanization and capacity for participatory, integrated and sustainable human settlement planning and management in all countries.</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Strengthen efforts to protect and safeguard the world’s cultural and natural heritage.</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By 2030, significantly reduce the number of deaths and the number of people affected and substantially decrease the direct economic losses relative to global gross domestic product caused by disasters, including water-related disasters, with a focus on protecting the poor and people in vulnerable situations.</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By 2030, reduce the adverse per capita environmental impact of cities, including by paying special attention to air quality and municipal and other waste management.</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By 2030, provide universal access to safe, inclusive and accessible, green and public spaces, in particular for women and children, older persons and persons with disabilities.</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Support positive economic, social and environmental links between urban, peri-urban and rural areas by strengthening national and regional development planning.</w:t>
                  </w:r>
                </w:p>
                <w:p w:rsidR="0084094A"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By 2020, substantially increase the number of cities and human settlements adopting and implementing integrated policies and plans towards inclusion, resource efficiency, mitigation and adaptation to climate change, resilience to disasters, and develop and implement, in line with the Sendai Framework for Disaster Risk Reduction 2015-2030, holistic disaster risk management at all levels.</w:t>
                  </w:r>
                </w:p>
                <w:p w:rsidR="0084094A" w:rsidRPr="007E7434" w:rsidRDefault="0084094A" w:rsidP="009316C3">
                  <w:pPr>
                    <w:pStyle w:val="ListParagraph"/>
                    <w:numPr>
                      <w:ilvl w:val="0"/>
                      <w:numId w:val="17"/>
                    </w:numPr>
                    <w:tabs>
                      <w:tab w:val="left" w:pos="2963"/>
                    </w:tabs>
                    <w:spacing w:after="0" w:line="360" w:lineRule="auto"/>
                    <w:ind w:left="360"/>
                    <w:jc w:val="both"/>
                    <w:rPr>
                      <w:rFonts w:ascii="Times New Roman" w:hAnsi="Times New Roman"/>
                      <w:sz w:val="24"/>
                      <w:szCs w:val="24"/>
                    </w:rPr>
                  </w:pPr>
                  <w:r>
                    <w:rPr>
                      <w:rFonts w:ascii="Times New Roman" w:hAnsi="Times New Roman"/>
                      <w:sz w:val="24"/>
                      <w:szCs w:val="24"/>
                    </w:rPr>
                    <w:t>Support least developed countries, including through financial and technical assistance, in building sustainable and resilient buildings utilizing local materials.</w:t>
                  </w:r>
                </w:p>
              </w:txbxContent>
            </v:textbox>
            <w10:wrap type="topAndBottom"/>
          </v:shape>
        </w:pict>
      </w:r>
      <w:r w:rsidR="009316C3" w:rsidRPr="004B585E">
        <w:rPr>
          <w:rFonts w:ascii="Times New Roman" w:eastAsia="Times New Roman" w:hAnsi="Times New Roman"/>
          <w:bCs w:val="0"/>
          <w:iCs/>
          <w:noProof/>
          <w:color w:val="auto"/>
          <w:spacing w:val="-6"/>
          <w:sz w:val="22"/>
          <w:szCs w:val="22"/>
          <w:lang w:eastAsia="en-IN"/>
        </w:rPr>
        <w:t xml:space="preserve">Fig. 1.5: </w:t>
      </w:r>
      <w:r w:rsidR="009316C3" w:rsidRPr="004B585E">
        <w:rPr>
          <w:rFonts w:ascii="Times New Roman" w:eastAsia="Times New Roman" w:hAnsi="Times New Roman"/>
          <w:b w:val="0"/>
          <w:iCs/>
          <w:noProof/>
          <w:color w:val="auto"/>
          <w:spacing w:val="-6"/>
          <w:sz w:val="22"/>
          <w:szCs w:val="22"/>
          <w:lang w:eastAsia="en-IN"/>
        </w:rPr>
        <w:t>Targets for UNDP Sustainable Development Goal #11</w:t>
      </w:r>
    </w:p>
    <w:p w:rsidR="009316C3" w:rsidRDefault="009316C3" w:rsidP="009316C3">
      <w:pPr>
        <w:spacing w:after="0" w:line="360" w:lineRule="auto"/>
        <w:jc w:val="both"/>
        <w:rPr>
          <w:rFonts w:ascii="Times New Roman" w:eastAsia="Times New Roman" w:hAnsi="Times New Roman"/>
          <w:spacing w:val="-6"/>
          <w:sz w:val="24"/>
          <w:szCs w:val="24"/>
          <w:lang w:eastAsia="en-IN"/>
        </w:rPr>
      </w:pPr>
    </w:p>
    <w:p w:rsidR="009316C3" w:rsidRPr="007A7119" w:rsidRDefault="009316C3" w:rsidP="009316C3">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The above discussion clearly points at the requirement for promoting non-conditioned buildings in the city, especially its residential sector as it accounts for majority of the built environment. This would thus take care of the following benefits:</w:t>
      </w:r>
    </w:p>
    <w:p w:rsidR="009316C3" w:rsidRPr="007A7119" w:rsidRDefault="009316C3" w:rsidP="009316C3">
      <w:pPr>
        <w:pStyle w:val="ListParagraph"/>
        <w:numPr>
          <w:ilvl w:val="0"/>
          <w:numId w:val="7"/>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Occupants in non-conditioned buildings become more adaptive to climatic changes than those in conditioned buildings. The former group may not get into poor condition of health even in extreme </w:t>
      </w:r>
      <w:r w:rsidRPr="007A7119">
        <w:rPr>
          <w:rFonts w:ascii="Times New Roman" w:eastAsia="Times New Roman" w:hAnsi="Times New Roman"/>
          <w:spacing w:val="-6"/>
          <w:sz w:val="24"/>
          <w:szCs w:val="24"/>
          <w:lang w:eastAsia="en-IN"/>
        </w:rPr>
        <w:lastRenderedPageBreak/>
        <w:t>conditions, whereas the latter group may vary easily fall prey to slightest changes in their indoor thermal condition</w:t>
      </w:r>
      <w:sdt>
        <w:sdtPr>
          <w:rPr>
            <w:rFonts w:ascii="Times New Roman" w:eastAsia="Times New Roman" w:hAnsi="Times New Roman"/>
            <w:spacing w:val="-6"/>
            <w:sz w:val="24"/>
            <w:szCs w:val="24"/>
            <w:lang w:eastAsia="en-IN"/>
          </w:rPr>
          <w:id w:val="2582200"/>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Man14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 xml:space="preserve"> (Manu, Shukla, &amp; Rawal, 2014)</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This is more so because the conditioned building mostly take into account the static model of comfort proposed by comfort standards proposed by ASHRAE 55 or similar codes </w:t>
      </w:r>
      <w:sdt>
        <w:sdtPr>
          <w:rPr>
            <w:rFonts w:ascii="Times New Roman" w:eastAsia="Times New Roman" w:hAnsi="Times New Roman"/>
            <w:spacing w:val="-6"/>
            <w:sz w:val="24"/>
            <w:szCs w:val="24"/>
            <w:lang w:eastAsia="en-IN"/>
          </w:rPr>
          <w:id w:val="2582194"/>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Raw18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(Rawal, 2018)</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w:t>
      </w:r>
    </w:p>
    <w:p w:rsidR="009316C3" w:rsidRPr="007A7119" w:rsidRDefault="009316C3" w:rsidP="009316C3">
      <w:pPr>
        <w:pStyle w:val="ListParagraph"/>
        <w:numPr>
          <w:ilvl w:val="0"/>
          <w:numId w:val="7"/>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Buildings occupy more than 40% of the primary energy consumption of the world </w:t>
      </w:r>
      <w:sdt>
        <w:sdtPr>
          <w:rPr>
            <w:rFonts w:ascii="Times New Roman" w:eastAsia="Times New Roman" w:hAnsi="Times New Roman"/>
            <w:spacing w:val="-6"/>
            <w:sz w:val="24"/>
            <w:szCs w:val="24"/>
            <w:lang w:eastAsia="en-IN"/>
          </w:rPr>
          <w:id w:val="2582198"/>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Man14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(Manu, Shukla, &amp; Rawal, 2014)</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India is no exception to this and conditioning of building accounts for 8% of the total expense on power consumption</w:t>
      </w:r>
      <w:sdt>
        <w:sdtPr>
          <w:rPr>
            <w:rFonts w:ascii="Times New Roman" w:eastAsia="Times New Roman" w:hAnsi="Times New Roman"/>
            <w:spacing w:val="-6"/>
            <w:sz w:val="24"/>
            <w:szCs w:val="24"/>
            <w:lang w:eastAsia="en-IN"/>
          </w:rPr>
          <w:id w:val="2582199"/>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Raw18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 xml:space="preserve"> (Rawal, 2018)</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The income disparities of Indian population has grown drastically, where the top 1% of the population (in terms of their wealth) has seen a steady increase of over 5% since the turn of the millennium, whereas the bottom 50% in the income table has seen a sharp fall of almost the same 5% during the same tenure </w:t>
      </w:r>
      <w:sdt>
        <w:sdtPr>
          <w:rPr>
            <w:rFonts w:ascii="Times New Roman" w:hAnsi="Times New Roman"/>
            <w:sz w:val="24"/>
            <w:szCs w:val="24"/>
            <w:lang w:eastAsia="en-IN"/>
          </w:rPr>
          <w:id w:val="21267850"/>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Inc19 \l 16393 </w:instrText>
          </w:r>
          <w:r w:rsidR="005D4839" w:rsidRPr="007A7119">
            <w:rPr>
              <w:rFonts w:ascii="Times New Roman" w:eastAsia="Times New Roman" w:hAnsi="Times New Roman"/>
              <w:spacing w:val="-6"/>
              <w:sz w:val="24"/>
              <w:szCs w:val="24"/>
              <w:lang w:eastAsia="en-IN"/>
            </w:rPr>
            <w:fldChar w:fldCharType="separate"/>
          </w:r>
          <w:r w:rsidRPr="007A7119">
            <w:rPr>
              <w:rFonts w:ascii="Times New Roman" w:eastAsia="Times New Roman" w:hAnsi="Times New Roman"/>
              <w:noProof/>
              <w:spacing w:val="-6"/>
              <w:sz w:val="24"/>
              <w:szCs w:val="24"/>
              <w:lang w:eastAsia="en-IN"/>
            </w:rPr>
            <w:t>(Income Distribution:India, 2019)</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The constant rise in thermal discomfort of the urban centres affects this lower 50% of the population, who can afford no better than the minimum comfort of basic housing – circumstances that deny the indoor comfort of conditioned houses. </w:t>
      </w:r>
    </w:p>
    <w:p w:rsidR="009316C3" w:rsidRDefault="009316C3" w:rsidP="009316C3">
      <w:pPr>
        <w:pStyle w:val="ListParagraph"/>
        <w:numPr>
          <w:ilvl w:val="0"/>
          <w:numId w:val="7"/>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It would also help achieve the goals of Smart City Mission of Govt of India.</w:t>
      </w:r>
    </w:p>
    <w:p w:rsidR="003217A9" w:rsidRPr="003217A9" w:rsidRDefault="003217A9" w:rsidP="003217A9">
      <w:pPr>
        <w:tabs>
          <w:tab w:val="left" w:pos="-1440"/>
        </w:tabs>
        <w:spacing w:after="0" w:line="360" w:lineRule="auto"/>
        <w:jc w:val="both"/>
        <w:rPr>
          <w:rFonts w:ascii="Times New Roman" w:hAnsi="Times New Roman"/>
          <w:b/>
          <w:sz w:val="24"/>
          <w:szCs w:val="24"/>
        </w:rPr>
      </w:pPr>
    </w:p>
    <w:p w:rsidR="001A7D0D" w:rsidRPr="007A7119" w:rsidRDefault="001A7D0D" w:rsidP="007A7119">
      <w:pPr>
        <w:pStyle w:val="ListParagraph"/>
        <w:numPr>
          <w:ilvl w:val="1"/>
          <w:numId w:val="16"/>
        </w:num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INTRODUCTION</w:t>
      </w:r>
      <w:r w:rsidR="000E2374">
        <w:rPr>
          <w:rFonts w:ascii="Times New Roman" w:hAnsi="Times New Roman"/>
          <w:b/>
          <w:sz w:val="24"/>
          <w:szCs w:val="24"/>
        </w:rPr>
        <w:t xml:space="preserve"> TO THE CITY OF </w:t>
      </w:r>
      <w:r w:rsidR="0093527E" w:rsidRPr="007A7119">
        <w:rPr>
          <w:rFonts w:ascii="Times New Roman" w:hAnsi="Times New Roman"/>
          <w:b/>
          <w:sz w:val="24"/>
          <w:szCs w:val="24"/>
        </w:rPr>
        <w:t>KOLKATA</w:t>
      </w:r>
    </w:p>
    <w:p w:rsidR="002F15B9" w:rsidRDefault="002F15B9" w:rsidP="007A7119">
      <w:pPr>
        <w:spacing w:after="0" w:line="360" w:lineRule="auto"/>
        <w:jc w:val="both"/>
        <w:rPr>
          <w:rFonts w:ascii="Times New Roman" w:eastAsia="Times New Roman" w:hAnsi="Times New Roman"/>
          <w:sz w:val="24"/>
          <w:szCs w:val="24"/>
          <w:lang w:eastAsia="en-IN"/>
        </w:rPr>
      </w:pPr>
    </w:p>
    <w:p w:rsidR="001A7D0D" w:rsidRPr="007A7119" w:rsidRDefault="001A7D0D" w:rsidP="007A7119">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Kolkata, erstwhile Calcutta, is a city where major urbanisation and building activities have started with the inception of British occupancy of India</w:t>
      </w:r>
      <w:sdt>
        <w:sdtPr>
          <w:rPr>
            <w:rFonts w:ascii="Times New Roman" w:eastAsia="Times New Roman" w:hAnsi="Times New Roman"/>
            <w:sz w:val="24"/>
            <w:szCs w:val="24"/>
            <w:lang w:eastAsia="en-IN"/>
          </w:rPr>
          <w:id w:val="21267560"/>
          <w:citation/>
        </w:sdtPr>
        <w:sdtContent>
          <w:r w:rsidR="005D4839" w:rsidRPr="007A7119">
            <w:rPr>
              <w:rFonts w:ascii="Times New Roman" w:eastAsia="Times New Roman" w:hAnsi="Times New Roman"/>
              <w:sz w:val="24"/>
              <w:szCs w:val="24"/>
              <w:lang w:eastAsia="en-IN"/>
            </w:rPr>
            <w:fldChar w:fldCharType="begin"/>
          </w:r>
          <w:r w:rsidR="0042399F" w:rsidRPr="007A7119">
            <w:rPr>
              <w:rFonts w:ascii="Times New Roman" w:eastAsia="Times New Roman" w:hAnsi="Times New Roman"/>
              <w:sz w:val="24"/>
              <w:szCs w:val="24"/>
              <w:lang w:eastAsia="en-IN"/>
            </w:rPr>
            <w:instrText xml:space="preserve"> CITATION Tay16 \p 23 \l 16393  </w:instrText>
          </w:r>
          <w:r w:rsidR="005D4839" w:rsidRPr="007A7119">
            <w:rPr>
              <w:rFonts w:ascii="Times New Roman" w:eastAsia="Times New Roman" w:hAnsi="Times New Roman"/>
              <w:sz w:val="24"/>
              <w:szCs w:val="24"/>
              <w:lang w:eastAsia="en-IN"/>
            </w:rPr>
            <w:fldChar w:fldCharType="separate"/>
          </w:r>
          <w:r w:rsidR="00245873" w:rsidRPr="007A7119">
            <w:rPr>
              <w:rFonts w:ascii="Times New Roman" w:eastAsia="Times New Roman" w:hAnsi="Times New Roman"/>
              <w:noProof/>
              <w:sz w:val="24"/>
              <w:szCs w:val="24"/>
              <w:lang w:eastAsia="en-IN"/>
            </w:rPr>
            <w:t xml:space="preserve"> (Taylor &amp; Lang, 2016, p. 23)</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 The pre-Independence architecture of Kolkata can be grossly divided into two parts</w:t>
      </w:r>
      <w:sdt>
        <w:sdtPr>
          <w:rPr>
            <w:rFonts w:ascii="Times New Roman" w:eastAsia="Times New Roman" w:hAnsi="Times New Roman"/>
            <w:sz w:val="24"/>
            <w:szCs w:val="24"/>
            <w:lang w:eastAsia="en-IN"/>
          </w:rPr>
          <w:id w:val="21267561"/>
          <w:citation/>
        </w:sdtPr>
        <w:sdtContent>
          <w:r w:rsidR="005D4839" w:rsidRPr="007A7119">
            <w:rPr>
              <w:rFonts w:ascii="Times New Roman" w:eastAsia="Times New Roman" w:hAnsi="Times New Roman"/>
              <w:sz w:val="24"/>
              <w:szCs w:val="24"/>
              <w:lang w:eastAsia="en-IN"/>
            </w:rPr>
            <w:fldChar w:fldCharType="begin"/>
          </w:r>
          <w:r w:rsidR="00CD5E04" w:rsidRPr="007A7119">
            <w:rPr>
              <w:rFonts w:ascii="Times New Roman" w:eastAsia="Times New Roman" w:hAnsi="Times New Roman"/>
              <w:sz w:val="24"/>
              <w:szCs w:val="24"/>
              <w:lang w:eastAsia="en-IN"/>
            </w:rPr>
            <w:instrText xml:space="preserve"> CITATION Bos08 \p 1 \l 16393  </w:instrText>
          </w:r>
          <w:r w:rsidR="005D4839" w:rsidRPr="007A7119">
            <w:rPr>
              <w:rFonts w:ascii="Times New Roman" w:eastAsia="Times New Roman" w:hAnsi="Times New Roman"/>
              <w:sz w:val="24"/>
              <w:szCs w:val="24"/>
              <w:lang w:eastAsia="en-IN"/>
            </w:rPr>
            <w:fldChar w:fldCharType="separate"/>
          </w:r>
          <w:r w:rsidR="00245873" w:rsidRPr="007A7119">
            <w:rPr>
              <w:rFonts w:ascii="Times New Roman" w:eastAsia="Times New Roman" w:hAnsi="Times New Roman"/>
              <w:noProof/>
              <w:sz w:val="24"/>
              <w:szCs w:val="24"/>
              <w:lang w:eastAsia="en-IN"/>
            </w:rPr>
            <w:t xml:space="preserve"> (Bose, 2008, p. 1)</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w:t>
      </w:r>
    </w:p>
    <w:p w:rsidR="001A7D0D" w:rsidRPr="007A7119" w:rsidRDefault="001A7D0D" w:rsidP="007A7119">
      <w:pPr>
        <w:numPr>
          <w:ilvl w:val="0"/>
          <w:numId w:val="3"/>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Buildings belonging to the European quarter of the city</w:t>
      </w:r>
    </w:p>
    <w:p w:rsidR="001A7D0D" w:rsidRDefault="001A7D0D" w:rsidP="007A7119">
      <w:pPr>
        <w:numPr>
          <w:ilvl w:val="0"/>
          <w:numId w:val="3"/>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Buildings belonging to the Non-European (Indian) quarter of the city</w:t>
      </w:r>
    </w:p>
    <w:p w:rsidR="002C6F04" w:rsidRPr="007A7119" w:rsidRDefault="002C6F04" w:rsidP="002C6F04">
      <w:pPr>
        <w:spacing w:after="0" w:line="360" w:lineRule="auto"/>
        <w:ind w:left="720"/>
        <w:jc w:val="both"/>
        <w:rPr>
          <w:rFonts w:ascii="Times New Roman" w:eastAsia="Times New Roman" w:hAnsi="Times New Roman"/>
          <w:sz w:val="24"/>
          <w:szCs w:val="24"/>
          <w:lang w:eastAsia="en-IN"/>
        </w:rPr>
      </w:pPr>
    </w:p>
    <w:p w:rsidR="001A7D0D" w:rsidRDefault="001A7D0D" w:rsidP="007A7119">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Although the initial European buildings have been designed with the architectural tradition of occidental design guidelines, the Indian buildings had a pre-colonial legacy of Hindu and Islamic buildings which they continued to follow. With time, the architectonics of the European designs infused into this Indian tradition to introduce the new Indo-Occidental Colonial style of Calcutta that was its own.</w:t>
      </w:r>
    </w:p>
    <w:p w:rsidR="002C6F04" w:rsidRPr="007A7119" w:rsidRDefault="002C6F04" w:rsidP="007A7119">
      <w:pPr>
        <w:spacing w:after="0" w:line="360" w:lineRule="auto"/>
        <w:jc w:val="both"/>
        <w:rPr>
          <w:rFonts w:ascii="Times New Roman" w:eastAsia="Times New Roman" w:hAnsi="Times New Roman"/>
          <w:sz w:val="24"/>
          <w:szCs w:val="24"/>
          <w:lang w:eastAsia="en-IN"/>
        </w:rPr>
      </w:pPr>
    </w:p>
    <w:p w:rsidR="001A7D0D" w:rsidRPr="007A7119" w:rsidRDefault="001A7D0D" w:rsidP="007A7119">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Hence, colonial architecture of the buildings owned by the Indians has distinctly different design principles from those owned by the Europeans. Two factors lie responsible for this, one of which was the design requirements of the buildings based on the difference of lifestyles between Indians and Europeans, and the other one is the old legacy as discussed above</w:t>
      </w:r>
      <w:sdt>
        <w:sdtPr>
          <w:rPr>
            <w:rFonts w:ascii="Times New Roman" w:eastAsia="Times New Roman" w:hAnsi="Times New Roman"/>
            <w:sz w:val="24"/>
            <w:szCs w:val="24"/>
            <w:lang w:eastAsia="en-IN"/>
          </w:rPr>
          <w:id w:val="21267571"/>
          <w:citation/>
        </w:sdtPr>
        <w:sdtContent>
          <w:r w:rsidR="005D4839" w:rsidRPr="007A7119">
            <w:rPr>
              <w:rFonts w:ascii="Times New Roman" w:eastAsia="Times New Roman" w:hAnsi="Times New Roman"/>
              <w:sz w:val="24"/>
              <w:szCs w:val="24"/>
              <w:lang w:eastAsia="en-IN"/>
            </w:rPr>
            <w:fldChar w:fldCharType="begin"/>
          </w:r>
          <w:r w:rsidR="008C02FE" w:rsidRPr="007A7119">
            <w:rPr>
              <w:rFonts w:ascii="Times New Roman" w:eastAsia="Times New Roman" w:hAnsi="Times New Roman"/>
              <w:sz w:val="24"/>
              <w:szCs w:val="24"/>
              <w:lang w:eastAsia="en-IN"/>
            </w:rPr>
            <w:instrText xml:space="preserve"> CITATION Bos08 \p 3 \l 16393  </w:instrText>
          </w:r>
          <w:r w:rsidR="005D4839" w:rsidRPr="007A7119">
            <w:rPr>
              <w:rFonts w:ascii="Times New Roman" w:eastAsia="Times New Roman" w:hAnsi="Times New Roman"/>
              <w:sz w:val="24"/>
              <w:szCs w:val="24"/>
              <w:lang w:eastAsia="en-IN"/>
            </w:rPr>
            <w:fldChar w:fldCharType="separate"/>
          </w:r>
          <w:r w:rsidR="00245873" w:rsidRPr="007A7119">
            <w:rPr>
              <w:rFonts w:ascii="Times New Roman" w:eastAsia="Times New Roman" w:hAnsi="Times New Roman"/>
              <w:noProof/>
              <w:sz w:val="24"/>
              <w:szCs w:val="24"/>
              <w:lang w:eastAsia="en-IN"/>
            </w:rPr>
            <w:t>(Bose, 2008, p. 3)</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w:t>
      </w:r>
    </w:p>
    <w:p w:rsidR="002C6F04" w:rsidRDefault="002C6F04" w:rsidP="007A7119">
      <w:pPr>
        <w:spacing w:after="0" w:line="360" w:lineRule="auto"/>
        <w:jc w:val="both"/>
        <w:rPr>
          <w:rFonts w:ascii="Times New Roman" w:eastAsia="Times New Roman" w:hAnsi="Times New Roman"/>
          <w:spacing w:val="-6"/>
          <w:sz w:val="24"/>
          <w:szCs w:val="24"/>
          <w:lang w:eastAsia="en-IN"/>
        </w:rPr>
      </w:pPr>
    </w:p>
    <w:p w:rsidR="001A7D0D" w:rsidRPr="007A7119" w:rsidRDefault="008C02FE"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The city of Kolkata, since its inception from the three villages of Sutanuti, Kolikata and Gobindapur, has grown drastically and became the second largest city of the British empire </w:t>
      </w:r>
      <w:sdt>
        <w:sdtPr>
          <w:rPr>
            <w:rFonts w:ascii="Times New Roman" w:eastAsia="Times New Roman" w:hAnsi="Times New Roman"/>
            <w:spacing w:val="-6"/>
            <w:sz w:val="24"/>
            <w:szCs w:val="24"/>
            <w:lang w:eastAsia="en-IN"/>
          </w:rPr>
          <w:id w:val="21267572"/>
          <w:citation/>
        </w:sdtPr>
        <w:sdtContent>
          <w:r w:rsidR="005D4839" w:rsidRPr="007A7119">
            <w:rPr>
              <w:rFonts w:ascii="Times New Roman" w:eastAsia="Times New Roman" w:hAnsi="Times New Roman"/>
              <w:spacing w:val="-6"/>
              <w:sz w:val="24"/>
              <w:szCs w:val="24"/>
              <w:lang w:eastAsia="en-IN"/>
            </w:rPr>
            <w:fldChar w:fldCharType="begin"/>
          </w:r>
          <w:r w:rsidR="006F50E1" w:rsidRPr="007A7119">
            <w:rPr>
              <w:rFonts w:ascii="Times New Roman" w:eastAsia="Times New Roman" w:hAnsi="Times New Roman"/>
              <w:spacing w:val="-6"/>
              <w:sz w:val="24"/>
              <w:szCs w:val="24"/>
              <w:lang w:eastAsia="en-IN"/>
            </w:rPr>
            <w:instrText xml:space="preserve"> CITATION Nai90 \p 12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(Nair, 1990, p. 12)</w:t>
          </w:r>
          <w:r w:rsidR="005D4839" w:rsidRPr="007A7119">
            <w:rPr>
              <w:rFonts w:ascii="Times New Roman" w:eastAsia="Times New Roman" w:hAnsi="Times New Roman"/>
              <w:spacing w:val="-6"/>
              <w:sz w:val="24"/>
              <w:szCs w:val="24"/>
              <w:lang w:eastAsia="en-IN"/>
            </w:rPr>
            <w:fldChar w:fldCharType="end"/>
          </w:r>
        </w:sdtContent>
      </w:sdt>
      <w:r w:rsidR="00137326" w:rsidRPr="007A7119">
        <w:rPr>
          <w:rFonts w:ascii="Times New Roman" w:eastAsia="Times New Roman" w:hAnsi="Times New Roman"/>
          <w:spacing w:val="-6"/>
          <w:sz w:val="24"/>
          <w:szCs w:val="24"/>
          <w:lang w:eastAsia="en-IN"/>
        </w:rPr>
        <w:t xml:space="preserve">. Although population expansion </w:t>
      </w:r>
      <w:r w:rsidR="001A7D0D" w:rsidRPr="007A7119">
        <w:rPr>
          <w:rFonts w:ascii="Times New Roman" w:eastAsia="Times New Roman" w:hAnsi="Times New Roman"/>
          <w:spacing w:val="-6"/>
          <w:sz w:val="24"/>
          <w:szCs w:val="24"/>
          <w:lang w:eastAsia="en-IN"/>
        </w:rPr>
        <w:t>in Kolkata</w:t>
      </w:r>
      <w:r w:rsidR="00137326" w:rsidRPr="007A7119">
        <w:rPr>
          <w:rFonts w:ascii="Times New Roman" w:eastAsia="Times New Roman" w:hAnsi="Times New Roman"/>
          <w:spacing w:val="-6"/>
          <w:sz w:val="24"/>
          <w:szCs w:val="24"/>
          <w:lang w:eastAsia="en-IN"/>
        </w:rPr>
        <w:t>has slowed down over the last two</w:t>
      </w:r>
      <w:r w:rsidR="001A7D0D" w:rsidRPr="007A7119">
        <w:rPr>
          <w:rFonts w:ascii="Times New Roman" w:eastAsia="Times New Roman" w:hAnsi="Times New Roman"/>
          <w:spacing w:val="-6"/>
          <w:sz w:val="24"/>
          <w:szCs w:val="24"/>
          <w:lang w:eastAsia="en-IN"/>
        </w:rPr>
        <w:t xml:space="preserve"> decade</w:t>
      </w:r>
      <w:r w:rsidR="00137326" w:rsidRPr="007A7119">
        <w:rPr>
          <w:rFonts w:ascii="Times New Roman" w:eastAsia="Times New Roman" w:hAnsi="Times New Roman"/>
          <w:spacing w:val="-6"/>
          <w:sz w:val="24"/>
          <w:szCs w:val="24"/>
          <w:lang w:eastAsia="en-IN"/>
        </w:rPr>
        <w:t>s</w:t>
      </w:r>
      <w:r w:rsidR="001A7D0D" w:rsidRPr="007A7119">
        <w:rPr>
          <w:rFonts w:ascii="Times New Roman" w:eastAsia="Times New Roman" w:hAnsi="Times New Roman"/>
          <w:spacing w:val="-6"/>
          <w:sz w:val="24"/>
          <w:szCs w:val="24"/>
          <w:lang w:eastAsia="en-IN"/>
        </w:rPr>
        <w:t xml:space="preserve"> (</w:t>
      </w:r>
      <w:r w:rsidR="00137326" w:rsidRPr="007A7119">
        <w:rPr>
          <w:rFonts w:ascii="Times New Roman" w:eastAsia="Times New Roman" w:hAnsi="Times New Roman"/>
          <w:spacing w:val="-6"/>
          <w:sz w:val="24"/>
          <w:szCs w:val="24"/>
          <w:lang w:eastAsia="en-IN"/>
        </w:rPr>
        <w:t>1991</w:t>
      </w:r>
      <w:r w:rsidR="001A7D0D" w:rsidRPr="007A7119">
        <w:rPr>
          <w:rFonts w:ascii="Times New Roman" w:eastAsia="Times New Roman" w:hAnsi="Times New Roman"/>
          <w:spacing w:val="-6"/>
          <w:sz w:val="24"/>
          <w:szCs w:val="24"/>
          <w:lang w:eastAsia="en-IN"/>
        </w:rPr>
        <w:t>-2011)</w:t>
      </w:r>
      <w:sdt>
        <w:sdtPr>
          <w:rPr>
            <w:rFonts w:ascii="Times New Roman" w:eastAsia="Times New Roman" w:hAnsi="Times New Roman"/>
            <w:spacing w:val="-6"/>
            <w:sz w:val="24"/>
            <w:szCs w:val="24"/>
            <w:lang w:eastAsia="en-IN"/>
          </w:rPr>
          <w:id w:val="21267594"/>
          <w:citation/>
        </w:sdtPr>
        <w:sdtContent>
          <w:r w:rsidR="005D4839" w:rsidRPr="007A7119">
            <w:rPr>
              <w:rFonts w:ascii="Times New Roman" w:eastAsia="Times New Roman" w:hAnsi="Times New Roman"/>
              <w:spacing w:val="-6"/>
              <w:sz w:val="24"/>
              <w:szCs w:val="24"/>
              <w:lang w:eastAsia="en-IN"/>
            </w:rPr>
            <w:fldChar w:fldCharType="begin"/>
          </w:r>
          <w:r w:rsidR="008B69F5" w:rsidRPr="007A7119">
            <w:rPr>
              <w:rFonts w:ascii="Times New Roman" w:eastAsia="Times New Roman" w:hAnsi="Times New Roman"/>
              <w:spacing w:val="-6"/>
              <w:sz w:val="24"/>
              <w:szCs w:val="24"/>
              <w:lang w:eastAsia="en-IN"/>
            </w:rPr>
            <w:instrText xml:space="preserve"> CITATION Ste17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(Stevens, 2017)</w:t>
          </w:r>
          <w:r w:rsidR="005D4839" w:rsidRPr="007A7119">
            <w:rPr>
              <w:rFonts w:ascii="Times New Roman" w:eastAsia="Times New Roman" w:hAnsi="Times New Roman"/>
              <w:spacing w:val="-6"/>
              <w:sz w:val="24"/>
              <w:szCs w:val="24"/>
              <w:lang w:eastAsia="en-IN"/>
            </w:rPr>
            <w:fldChar w:fldCharType="end"/>
          </w:r>
        </w:sdtContent>
      </w:sdt>
      <w:r w:rsidR="001A7D0D" w:rsidRPr="007A7119">
        <w:rPr>
          <w:rFonts w:ascii="Times New Roman" w:eastAsia="Times New Roman" w:hAnsi="Times New Roman"/>
          <w:spacing w:val="-6"/>
          <w:sz w:val="24"/>
          <w:szCs w:val="24"/>
          <w:lang w:eastAsia="en-IN"/>
        </w:rPr>
        <w:t xml:space="preserve"> than was ever envisaged since Independence (1947)</w:t>
      </w:r>
      <w:r w:rsidR="00137326" w:rsidRPr="007A7119">
        <w:rPr>
          <w:rFonts w:ascii="Times New Roman" w:eastAsia="Times New Roman" w:hAnsi="Times New Roman"/>
          <w:spacing w:val="-6"/>
          <w:sz w:val="24"/>
          <w:szCs w:val="24"/>
          <w:lang w:eastAsia="en-IN"/>
        </w:rPr>
        <w:t>,t</w:t>
      </w:r>
      <w:r w:rsidR="001A7D0D" w:rsidRPr="007A7119">
        <w:rPr>
          <w:rFonts w:ascii="Times New Roman" w:eastAsia="Times New Roman" w:hAnsi="Times New Roman"/>
          <w:spacing w:val="-6"/>
          <w:sz w:val="24"/>
          <w:szCs w:val="24"/>
          <w:lang w:eastAsia="en-IN"/>
        </w:rPr>
        <w:t xml:space="preserve">he building activity of the city is fast flourishing under </w:t>
      </w:r>
      <w:r w:rsidR="00137326" w:rsidRPr="007A7119">
        <w:rPr>
          <w:rFonts w:ascii="Times New Roman" w:eastAsia="Times New Roman" w:hAnsi="Times New Roman"/>
          <w:spacing w:val="-6"/>
          <w:sz w:val="24"/>
          <w:szCs w:val="24"/>
          <w:lang w:eastAsia="en-IN"/>
        </w:rPr>
        <w:t xml:space="preserve">the </w:t>
      </w:r>
      <w:r w:rsidR="001A7D0D" w:rsidRPr="007A7119">
        <w:rPr>
          <w:rFonts w:ascii="Times New Roman" w:eastAsia="Times New Roman" w:hAnsi="Times New Roman"/>
          <w:spacing w:val="-6"/>
          <w:sz w:val="24"/>
          <w:szCs w:val="24"/>
          <w:lang w:eastAsia="en-IN"/>
        </w:rPr>
        <w:t xml:space="preserve">tremendous </w:t>
      </w:r>
      <w:r w:rsidR="00137326" w:rsidRPr="007A7119">
        <w:rPr>
          <w:rFonts w:ascii="Times New Roman" w:eastAsia="Times New Roman" w:hAnsi="Times New Roman"/>
          <w:spacing w:val="-6"/>
          <w:sz w:val="24"/>
          <w:szCs w:val="24"/>
          <w:lang w:eastAsia="en-IN"/>
        </w:rPr>
        <w:t>need of housing stock that is still required.</w:t>
      </w:r>
      <w:r w:rsidR="001A7D0D" w:rsidRPr="007A7119">
        <w:rPr>
          <w:rFonts w:ascii="Times New Roman" w:eastAsia="Times New Roman" w:hAnsi="Times New Roman"/>
          <w:spacing w:val="-6"/>
          <w:sz w:val="24"/>
          <w:szCs w:val="24"/>
          <w:lang w:eastAsia="en-IN"/>
        </w:rPr>
        <w:t xml:space="preserve"> The city now thrives with new built developments of commercial, public and residential nature. Recent architectural practice in Kolkata has created a trend of designing public and commercial buildings in glass facade, while the residential condominiums are relying more and more on the RCC frame with indiscriminately placed glazed openings in them. </w:t>
      </w:r>
    </w:p>
    <w:p w:rsidR="008B69F5" w:rsidRDefault="008B69F5" w:rsidP="007A7119">
      <w:pPr>
        <w:spacing w:after="0" w:line="360" w:lineRule="auto"/>
        <w:ind w:left="720"/>
        <w:jc w:val="both"/>
        <w:rPr>
          <w:rFonts w:ascii="Times New Roman" w:eastAsia="Times New Roman" w:hAnsi="Times New Roman"/>
          <w:i/>
          <w:spacing w:val="-6"/>
          <w:sz w:val="24"/>
          <w:szCs w:val="24"/>
          <w:lang w:eastAsia="en-IN"/>
        </w:rPr>
      </w:pPr>
      <w:r w:rsidRPr="007A7119">
        <w:rPr>
          <w:rFonts w:ascii="Times New Roman" w:eastAsia="Times New Roman" w:hAnsi="Times New Roman"/>
          <w:i/>
          <w:spacing w:val="-6"/>
          <w:sz w:val="24"/>
          <w:szCs w:val="24"/>
          <w:lang w:eastAsia="en-IN"/>
        </w:rPr>
        <w:t>“In contemporary Kolkata the skyline is broken in some areas by skyscrapers and tall multistory blocks. The cityscape has changed rapidly. The Chowringhee area in central Kolkata, once a row of palatial houses, has been given up to offices, hotels, and shops. In northern and central Kolkata, buildings are still mainly two or three stories high. In southern and south-central Kolkata, multistoried apartment buildings have become more common.”</w:t>
      </w:r>
      <w:sdt>
        <w:sdtPr>
          <w:rPr>
            <w:rFonts w:ascii="Times New Roman" w:eastAsia="Times New Roman" w:hAnsi="Times New Roman"/>
            <w:i/>
            <w:spacing w:val="-6"/>
            <w:sz w:val="24"/>
            <w:szCs w:val="24"/>
            <w:lang w:eastAsia="en-IN"/>
          </w:rPr>
          <w:id w:val="21267676"/>
          <w:citation/>
        </w:sdtPr>
        <w:sdtContent>
          <w:r w:rsidR="005D4839" w:rsidRPr="007A7119">
            <w:rPr>
              <w:rFonts w:ascii="Times New Roman" w:eastAsia="Times New Roman" w:hAnsi="Times New Roman"/>
              <w:i/>
              <w:spacing w:val="-6"/>
              <w:sz w:val="24"/>
              <w:szCs w:val="24"/>
              <w:lang w:eastAsia="en-IN"/>
            </w:rPr>
            <w:fldChar w:fldCharType="begin"/>
          </w:r>
          <w:r w:rsidRPr="007A7119">
            <w:rPr>
              <w:rFonts w:ascii="Times New Roman" w:eastAsia="Times New Roman" w:hAnsi="Times New Roman"/>
              <w:i/>
              <w:spacing w:val="-6"/>
              <w:sz w:val="24"/>
              <w:szCs w:val="24"/>
              <w:lang w:eastAsia="en-IN"/>
            </w:rPr>
            <w:instrText xml:space="preserve"> CITATION Sin18 \l 16393 </w:instrText>
          </w:r>
          <w:r w:rsidR="005D4839" w:rsidRPr="007A7119">
            <w:rPr>
              <w:rFonts w:ascii="Times New Roman" w:eastAsia="Times New Roman" w:hAnsi="Times New Roman"/>
              <w:i/>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(Sinha &amp; Banerjee-Guha, 2018)</w:t>
          </w:r>
          <w:r w:rsidR="005D4839" w:rsidRPr="007A7119">
            <w:rPr>
              <w:rFonts w:ascii="Times New Roman" w:eastAsia="Times New Roman" w:hAnsi="Times New Roman"/>
              <w:i/>
              <w:spacing w:val="-6"/>
              <w:sz w:val="24"/>
              <w:szCs w:val="24"/>
              <w:lang w:eastAsia="en-IN"/>
            </w:rPr>
            <w:fldChar w:fldCharType="end"/>
          </w:r>
        </w:sdtContent>
      </w:sdt>
    </w:p>
    <w:p w:rsidR="002C6F04" w:rsidRPr="007A7119" w:rsidRDefault="002C6F04" w:rsidP="007A7119">
      <w:pPr>
        <w:spacing w:after="0" w:line="360" w:lineRule="auto"/>
        <w:ind w:left="720"/>
        <w:jc w:val="both"/>
        <w:rPr>
          <w:rFonts w:ascii="Times New Roman" w:eastAsia="Times New Roman" w:hAnsi="Times New Roman"/>
          <w:i/>
          <w:spacing w:val="-6"/>
          <w:sz w:val="24"/>
          <w:szCs w:val="24"/>
          <w:lang w:eastAsia="en-IN"/>
        </w:rPr>
      </w:pPr>
    </w:p>
    <w:p w:rsidR="003D7449" w:rsidRPr="007A7119" w:rsidRDefault="0046503B" w:rsidP="007A7119">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w:t>
      </w:r>
      <w:r w:rsidR="00006073">
        <w:rPr>
          <w:rFonts w:ascii="Times New Roman" w:hAnsi="Times New Roman"/>
          <w:b/>
          <w:sz w:val="24"/>
          <w:szCs w:val="24"/>
        </w:rPr>
        <w:t>3</w:t>
      </w:r>
      <w:r>
        <w:rPr>
          <w:rFonts w:ascii="Times New Roman" w:hAnsi="Times New Roman"/>
          <w:b/>
          <w:sz w:val="24"/>
          <w:szCs w:val="24"/>
        </w:rPr>
        <w:t>.1</w:t>
      </w:r>
      <w:r w:rsidRPr="007A7119">
        <w:rPr>
          <w:rFonts w:ascii="Times New Roman" w:hAnsi="Times New Roman"/>
          <w:b/>
          <w:sz w:val="24"/>
          <w:szCs w:val="24"/>
        </w:rPr>
        <w:tab/>
        <w:t xml:space="preserve">Climate </w:t>
      </w:r>
      <w:r>
        <w:rPr>
          <w:rFonts w:ascii="Times New Roman" w:hAnsi="Times New Roman"/>
          <w:b/>
          <w:sz w:val="24"/>
          <w:szCs w:val="24"/>
        </w:rPr>
        <w:t>o</w:t>
      </w:r>
      <w:r w:rsidRPr="007A7119">
        <w:rPr>
          <w:rFonts w:ascii="Times New Roman" w:hAnsi="Times New Roman"/>
          <w:b/>
          <w:sz w:val="24"/>
          <w:szCs w:val="24"/>
        </w:rPr>
        <w:t>f Kolkata</w:t>
      </w:r>
    </w:p>
    <w:p w:rsidR="002C6F04" w:rsidRDefault="002C6F04" w:rsidP="007A7119">
      <w:pPr>
        <w:spacing w:after="0" w:line="360" w:lineRule="auto"/>
        <w:jc w:val="both"/>
        <w:rPr>
          <w:rFonts w:ascii="Times New Roman" w:eastAsia="Times New Roman" w:hAnsi="Times New Roman"/>
          <w:spacing w:val="-6"/>
          <w:sz w:val="24"/>
          <w:szCs w:val="24"/>
          <w:lang w:eastAsia="en-IN"/>
        </w:rPr>
      </w:pPr>
    </w:p>
    <w:p w:rsidR="00E570E4" w:rsidRPr="007A7119" w:rsidRDefault="005D4839" w:rsidP="007A7119">
      <w:pPr>
        <w:spacing w:after="0" w:line="360" w:lineRule="auto"/>
        <w:jc w:val="both"/>
        <w:rPr>
          <w:rFonts w:ascii="Times New Roman" w:eastAsia="Times New Roman" w:hAnsi="Times New Roman"/>
          <w:spacing w:val="-6"/>
          <w:sz w:val="24"/>
          <w:szCs w:val="24"/>
          <w:lang w:eastAsia="en-IN"/>
        </w:rPr>
      </w:pPr>
      <w:r w:rsidRPr="005D4839">
        <w:rPr>
          <w:rFonts w:ascii="Times New Roman" w:hAnsi="Times New Roman"/>
          <w:noProof/>
          <w:sz w:val="24"/>
          <w:szCs w:val="24"/>
        </w:rPr>
        <w:pict>
          <v:shape id="_x0000_s2050" type="#_x0000_t202" style="position:absolute;left:0;text-align:left;margin-left:321.15pt;margin-top:203.25pt;width:164.25pt;height:51.15pt;z-index:251652096" stroked="f">
            <v:textbox style="mso-next-textbox:#_x0000_s2050" inset="0,0,0,0">
              <w:txbxContent>
                <w:p w:rsidR="0084094A" w:rsidRPr="004B585E" w:rsidRDefault="0084094A" w:rsidP="00357151">
                  <w:pPr>
                    <w:spacing w:after="0" w:line="240" w:lineRule="auto"/>
                    <w:jc w:val="center"/>
                    <w:rPr>
                      <w:rFonts w:ascii="Times New Roman" w:hAnsi="Times New Roman"/>
                    </w:rPr>
                  </w:pPr>
                  <w:r w:rsidRPr="00357151">
                    <w:rPr>
                      <w:rFonts w:ascii="Times New Roman" w:hAnsi="Times New Roman"/>
                      <w:b/>
                      <w:bCs/>
                    </w:rPr>
                    <w:t>Fig. 1.</w:t>
                  </w:r>
                  <w:r>
                    <w:rPr>
                      <w:rFonts w:ascii="Times New Roman" w:hAnsi="Times New Roman"/>
                      <w:b/>
                      <w:bCs/>
                    </w:rPr>
                    <w:t xml:space="preserve">6: </w:t>
                  </w:r>
                  <w:r w:rsidRPr="004B585E">
                    <w:rPr>
                      <w:rFonts w:ascii="Times New Roman" w:hAnsi="Times New Roman"/>
                    </w:rPr>
                    <w:t>Climatic Zone Map of India</w:t>
                  </w:r>
                </w:p>
                <w:p w:rsidR="0084094A" w:rsidRPr="00DE1D38" w:rsidRDefault="0084094A" w:rsidP="00DE1D38">
                  <w:pPr>
                    <w:pStyle w:val="Caption"/>
                    <w:jc w:val="center"/>
                    <w:rPr>
                      <w:rFonts w:ascii="Times New Roman" w:eastAsia="Times New Roman" w:hAnsi="Times New Roman"/>
                      <w:bCs w:val="0"/>
                      <w:i/>
                      <w:color w:val="auto"/>
                      <w:sz w:val="20"/>
                      <w:szCs w:val="20"/>
                      <w:lang w:eastAsia="en-IN"/>
                    </w:rPr>
                  </w:pPr>
                  <w:r w:rsidRPr="004B585E">
                    <w:rPr>
                      <w:rFonts w:ascii="Times New Roman" w:eastAsia="Times New Roman" w:hAnsi="Times New Roman"/>
                      <w:b w:val="0"/>
                      <w:bCs w:val="0"/>
                      <w:i/>
                      <w:color w:val="auto"/>
                      <w:sz w:val="20"/>
                      <w:szCs w:val="20"/>
                      <w:lang w:eastAsia="en-IN"/>
                    </w:rPr>
                    <w:t>(</w:t>
                  </w:r>
                  <w:r w:rsidRPr="004B585E">
                    <w:rPr>
                      <w:rFonts w:ascii="Times New Roman" w:eastAsia="Times New Roman" w:hAnsi="Times New Roman"/>
                      <w:b w:val="0"/>
                      <w:bCs w:val="0"/>
                      <w:iCs/>
                      <w:color w:val="auto"/>
                      <w:sz w:val="20"/>
                      <w:szCs w:val="20"/>
                      <w:lang w:eastAsia="en-IN"/>
                    </w:rPr>
                    <w:t>Source</w:t>
                  </w:r>
                  <w:r w:rsidRPr="004B585E">
                    <w:rPr>
                      <w:rFonts w:ascii="Times New Roman" w:eastAsia="Times New Roman" w:hAnsi="Times New Roman"/>
                      <w:b w:val="0"/>
                      <w:bCs w:val="0"/>
                      <w:i/>
                      <w:color w:val="auto"/>
                      <w:sz w:val="20"/>
                      <w:szCs w:val="20"/>
                      <w:lang w:eastAsia="en-IN"/>
                    </w:rPr>
                    <w:t xml:space="preserve">: </w:t>
                  </w:r>
                  <w:sdt>
                    <w:sdtPr>
                      <w:rPr>
                        <w:rFonts w:ascii="Times New Roman" w:eastAsia="Times New Roman" w:hAnsi="Times New Roman"/>
                        <w:b w:val="0"/>
                        <w:bCs w:val="0"/>
                        <w:i/>
                        <w:color w:val="auto"/>
                        <w:sz w:val="20"/>
                        <w:szCs w:val="20"/>
                        <w:lang w:eastAsia="en-IN"/>
                      </w:rPr>
                      <w:id w:val="2582145"/>
                      <w:citation/>
                    </w:sdtPr>
                    <w:sdtContent>
                      <w:r w:rsidR="005D4839" w:rsidRPr="004B585E">
                        <w:rPr>
                          <w:rFonts w:ascii="Times New Roman" w:eastAsia="Times New Roman" w:hAnsi="Times New Roman"/>
                          <w:b w:val="0"/>
                          <w:bCs w:val="0"/>
                          <w:i/>
                          <w:color w:val="auto"/>
                          <w:sz w:val="20"/>
                          <w:szCs w:val="20"/>
                          <w:lang w:eastAsia="en-IN"/>
                        </w:rPr>
                        <w:fldChar w:fldCharType="begin"/>
                      </w:r>
                      <w:r w:rsidRPr="004B585E">
                        <w:rPr>
                          <w:rFonts w:ascii="Times New Roman" w:eastAsia="Times New Roman" w:hAnsi="Times New Roman"/>
                          <w:b w:val="0"/>
                          <w:bCs w:val="0"/>
                          <w:i/>
                          <w:color w:val="auto"/>
                          <w:sz w:val="20"/>
                          <w:szCs w:val="20"/>
                          <w:lang w:eastAsia="en-IN"/>
                        </w:rPr>
                        <w:instrText xml:space="preserve"> CITATION Nay06 \l 16393 </w:instrText>
                      </w:r>
                      <w:r w:rsidR="005D4839" w:rsidRPr="004B585E">
                        <w:rPr>
                          <w:rFonts w:ascii="Times New Roman" w:eastAsia="Times New Roman" w:hAnsi="Times New Roman"/>
                          <w:b w:val="0"/>
                          <w:bCs w:val="0"/>
                          <w:i/>
                          <w:color w:val="auto"/>
                          <w:sz w:val="20"/>
                          <w:szCs w:val="20"/>
                          <w:lang w:eastAsia="en-IN"/>
                        </w:rPr>
                        <w:fldChar w:fldCharType="separate"/>
                      </w:r>
                      <w:r w:rsidRPr="004B585E">
                        <w:rPr>
                          <w:rFonts w:ascii="Times New Roman" w:eastAsia="Times New Roman" w:hAnsi="Times New Roman"/>
                          <w:b w:val="0"/>
                          <w:bCs w:val="0"/>
                          <w:noProof/>
                          <w:color w:val="auto"/>
                          <w:sz w:val="20"/>
                          <w:szCs w:val="20"/>
                          <w:lang w:eastAsia="en-IN"/>
                        </w:rPr>
                        <w:t>(Nayak &amp; Prajapati, 2006)</w:t>
                      </w:r>
                      <w:r w:rsidR="005D4839" w:rsidRPr="004B585E">
                        <w:rPr>
                          <w:rFonts w:ascii="Times New Roman" w:eastAsia="Times New Roman" w:hAnsi="Times New Roman"/>
                          <w:b w:val="0"/>
                          <w:bCs w:val="0"/>
                          <w:i/>
                          <w:color w:val="auto"/>
                          <w:sz w:val="20"/>
                          <w:szCs w:val="20"/>
                          <w:lang w:eastAsia="en-IN"/>
                        </w:rPr>
                        <w:fldChar w:fldCharType="end"/>
                      </w:r>
                    </w:sdtContent>
                  </w:sdt>
                </w:p>
              </w:txbxContent>
            </v:textbox>
            <w10:wrap type="square"/>
          </v:shape>
        </w:pict>
      </w:r>
      <w:r w:rsidR="00C6325A" w:rsidRPr="007A7119">
        <w:rPr>
          <w:rFonts w:ascii="Times New Roman" w:eastAsia="Times New Roman" w:hAnsi="Times New Roman"/>
          <w:noProof/>
          <w:spacing w:val="-6"/>
          <w:sz w:val="24"/>
          <w:szCs w:val="24"/>
          <w:lang w:val="en-US" w:bidi="hi-IN"/>
        </w:rPr>
        <w:drawing>
          <wp:anchor distT="0" distB="0" distL="114300" distR="114300" simplePos="0" relativeHeight="251648000" behindDoc="0" locked="0" layoutInCell="1" allowOverlap="1">
            <wp:simplePos x="0" y="0"/>
            <wp:positionH relativeFrom="column">
              <wp:posOffset>4078605</wp:posOffset>
            </wp:positionH>
            <wp:positionV relativeFrom="paragraph">
              <wp:posOffset>54610</wp:posOffset>
            </wp:positionV>
            <wp:extent cx="2085975" cy="2469515"/>
            <wp:effectExtent l="38100" t="19050" r="28575" b="26035"/>
            <wp:wrapSquare wrapText="bothSides"/>
            <wp:docPr id="2" name="Picture 1" descr="kupd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updf.jpg"/>
                    <pic:cNvPicPr/>
                  </pic:nvPicPr>
                  <pic:blipFill>
                    <a:blip r:embed="rId13" cstate="print"/>
                    <a:stretch>
                      <a:fillRect/>
                    </a:stretch>
                  </pic:blipFill>
                  <pic:spPr>
                    <a:xfrm>
                      <a:off x="0" y="0"/>
                      <a:ext cx="2085975" cy="2469515"/>
                    </a:xfrm>
                    <a:prstGeom prst="rect">
                      <a:avLst/>
                    </a:prstGeom>
                    <a:ln>
                      <a:solidFill>
                        <a:schemeClr val="tx1"/>
                      </a:solidFill>
                    </a:ln>
                  </pic:spPr>
                </pic:pic>
              </a:graphicData>
            </a:graphic>
          </wp:anchor>
        </w:drawing>
      </w:r>
      <w:r w:rsidR="00E570E4" w:rsidRPr="007A7119">
        <w:rPr>
          <w:rFonts w:ascii="Times New Roman" w:eastAsia="Times New Roman" w:hAnsi="Times New Roman"/>
          <w:spacing w:val="-6"/>
          <w:sz w:val="24"/>
          <w:szCs w:val="24"/>
          <w:lang w:eastAsia="en-IN"/>
        </w:rPr>
        <w:t xml:space="preserve">The climatic zoning map of India </w:t>
      </w:r>
      <w:r w:rsidR="003D7449" w:rsidRPr="007A7119">
        <w:rPr>
          <w:rFonts w:ascii="Times New Roman" w:eastAsia="Times New Roman" w:hAnsi="Times New Roman"/>
          <w:spacing w:val="-6"/>
          <w:sz w:val="24"/>
          <w:szCs w:val="24"/>
          <w:lang w:eastAsia="en-IN"/>
        </w:rPr>
        <w:t xml:space="preserve">as proposed in the “Handbook on Energy Conscious Building” </w:t>
      </w:r>
      <w:r w:rsidR="00C33B0C" w:rsidRPr="007A7119">
        <w:rPr>
          <w:rFonts w:ascii="Times New Roman" w:eastAsia="Times New Roman" w:hAnsi="Times New Roman"/>
          <w:spacing w:val="-6"/>
          <w:sz w:val="24"/>
          <w:szCs w:val="24"/>
          <w:lang w:eastAsia="en-IN"/>
        </w:rPr>
        <w:t>(Fig. 1.</w:t>
      </w:r>
      <w:r w:rsidR="00C2445A">
        <w:rPr>
          <w:rFonts w:ascii="Times New Roman" w:eastAsia="Times New Roman" w:hAnsi="Times New Roman"/>
          <w:spacing w:val="-6"/>
          <w:sz w:val="24"/>
          <w:szCs w:val="24"/>
          <w:lang w:eastAsia="en-IN"/>
        </w:rPr>
        <w:t>6</w:t>
      </w:r>
      <w:r w:rsidR="00C33B0C" w:rsidRPr="007A7119">
        <w:rPr>
          <w:rFonts w:ascii="Times New Roman" w:eastAsia="Times New Roman" w:hAnsi="Times New Roman"/>
          <w:spacing w:val="-6"/>
          <w:sz w:val="24"/>
          <w:szCs w:val="24"/>
          <w:lang w:eastAsia="en-IN"/>
        </w:rPr>
        <w:t xml:space="preserve">) </w:t>
      </w:r>
      <w:r w:rsidR="003D7449" w:rsidRPr="007A7119">
        <w:rPr>
          <w:rFonts w:ascii="Times New Roman" w:eastAsia="Times New Roman" w:hAnsi="Times New Roman"/>
          <w:spacing w:val="-6"/>
          <w:sz w:val="24"/>
          <w:szCs w:val="24"/>
          <w:lang w:eastAsia="en-IN"/>
        </w:rPr>
        <w:t>reveals most of the country</w:t>
      </w:r>
      <w:r w:rsidR="00E570E4" w:rsidRPr="007A7119">
        <w:rPr>
          <w:rFonts w:ascii="Times New Roman" w:eastAsia="Times New Roman" w:hAnsi="Times New Roman"/>
          <w:spacing w:val="-6"/>
          <w:sz w:val="24"/>
          <w:szCs w:val="24"/>
          <w:lang w:eastAsia="en-IN"/>
        </w:rPr>
        <w:t xml:space="preserve"> falling under hot regions having extreme summer conditions. These zones, during the three long months of summer in India, suffer from the extreme heat conditions </w:t>
      </w:r>
      <w:r w:rsidR="003D7449" w:rsidRPr="007A7119">
        <w:rPr>
          <w:rFonts w:ascii="Times New Roman" w:eastAsia="Times New Roman" w:hAnsi="Times New Roman"/>
          <w:spacing w:val="-6"/>
          <w:sz w:val="24"/>
          <w:szCs w:val="24"/>
          <w:lang w:eastAsia="en-IN"/>
        </w:rPr>
        <w:t>and it</w:t>
      </w:r>
      <w:r w:rsidR="00E570E4" w:rsidRPr="007A7119">
        <w:rPr>
          <w:rFonts w:ascii="Times New Roman" w:eastAsia="Times New Roman" w:hAnsi="Times New Roman"/>
          <w:spacing w:val="-6"/>
          <w:sz w:val="24"/>
          <w:szCs w:val="24"/>
          <w:lang w:eastAsia="en-IN"/>
        </w:rPr>
        <w:t xml:space="preserve"> becomes further un-bearable when </w:t>
      </w:r>
      <w:r w:rsidR="003D7449" w:rsidRPr="007A7119">
        <w:rPr>
          <w:rFonts w:ascii="Times New Roman" w:eastAsia="Times New Roman" w:hAnsi="Times New Roman"/>
          <w:spacing w:val="-6"/>
          <w:sz w:val="24"/>
          <w:szCs w:val="24"/>
          <w:lang w:eastAsia="en-IN"/>
        </w:rPr>
        <w:t>the condition of high humidity level couples with it</w:t>
      </w:r>
      <w:r w:rsidR="00E570E4" w:rsidRPr="007A7119">
        <w:rPr>
          <w:rFonts w:ascii="Times New Roman" w:eastAsia="Times New Roman" w:hAnsi="Times New Roman"/>
          <w:spacing w:val="-6"/>
          <w:sz w:val="24"/>
          <w:szCs w:val="24"/>
          <w:lang w:eastAsia="en-IN"/>
        </w:rPr>
        <w:t xml:space="preserve">. For last few decades, the hot metropolitan urban centres of India are getting warmer, and future predictions by the end of the century portray a very grim future for their residents </w:t>
      </w:r>
      <w:sdt>
        <w:sdtPr>
          <w:rPr>
            <w:rFonts w:ascii="Times New Roman" w:eastAsia="Times New Roman" w:hAnsi="Times New Roman"/>
            <w:spacing w:val="-6"/>
            <w:sz w:val="24"/>
            <w:szCs w:val="24"/>
            <w:lang w:eastAsia="en-IN"/>
          </w:rPr>
          <w:id w:val="21267707"/>
          <w:citation/>
        </w:sdtPr>
        <w:sdtContent>
          <w:r w:rsidRPr="007A7119">
            <w:rPr>
              <w:rFonts w:ascii="Times New Roman" w:eastAsia="Times New Roman" w:hAnsi="Times New Roman"/>
              <w:spacing w:val="-6"/>
              <w:sz w:val="24"/>
              <w:szCs w:val="24"/>
              <w:lang w:eastAsia="en-IN"/>
            </w:rPr>
            <w:fldChar w:fldCharType="begin"/>
          </w:r>
          <w:r w:rsidR="00E570E4" w:rsidRPr="007A7119">
            <w:rPr>
              <w:rFonts w:ascii="Times New Roman" w:eastAsia="Times New Roman" w:hAnsi="Times New Roman"/>
              <w:spacing w:val="-6"/>
              <w:sz w:val="24"/>
              <w:szCs w:val="24"/>
              <w:lang w:eastAsia="en-IN"/>
            </w:rPr>
            <w:instrText xml:space="preserve"> CITATION Sen18 \l 16393 </w:instrText>
          </w:r>
          <w:r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(Sengupta, 2018)</w:t>
          </w:r>
          <w:r w:rsidRPr="007A7119">
            <w:rPr>
              <w:rFonts w:ascii="Times New Roman" w:eastAsia="Times New Roman" w:hAnsi="Times New Roman"/>
              <w:spacing w:val="-6"/>
              <w:sz w:val="24"/>
              <w:szCs w:val="24"/>
              <w:lang w:eastAsia="en-IN"/>
            </w:rPr>
            <w:fldChar w:fldCharType="end"/>
          </w:r>
        </w:sdtContent>
      </w:sdt>
      <w:r w:rsidR="00E570E4" w:rsidRPr="007A7119">
        <w:rPr>
          <w:rFonts w:ascii="Times New Roman" w:eastAsia="Times New Roman" w:hAnsi="Times New Roman"/>
          <w:spacing w:val="-6"/>
          <w:sz w:val="24"/>
          <w:szCs w:val="24"/>
          <w:lang w:eastAsia="en-IN"/>
        </w:rPr>
        <w:t>.</w:t>
      </w:r>
    </w:p>
    <w:p w:rsidR="001A4F23" w:rsidRPr="007A7119" w:rsidRDefault="0063341A"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As per the climate map in Fig. 1.</w:t>
      </w:r>
      <w:r w:rsidR="00357151">
        <w:rPr>
          <w:rFonts w:ascii="Times New Roman" w:eastAsia="Times New Roman" w:hAnsi="Times New Roman"/>
          <w:spacing w:val="-6"/>
          <w:sz w:val="24"/>
          <w:szCs w:val="24"/>
          <w:lang w:eastAsia="en-IN"/>
        </w:rPr>
        <w:t>3</w:t>
      </w:r>
      <w:r w:rsidRPr="007A7119">
        <w:rPr>
          <w:rFonts w:ascii="Times New Roman" w:eastAsia="Times New Roman" w:hAnsi="Times New Roman"/>
          <w:spacing w:val="-6"/>
          <w:sz w:val="24"/>
          <w:szCs w:val="24"/>
          <w:lang w:eastAsia="en-IN"/>
        </w:rPr>
        <w:t>, Kolkata comes under the warm humid zone. The city and its hinterland not only suffer from v</w:t>
      </w:r>
      <w:r w:rsidR="00DE1D38" w:rsidRPr="007A7119">
        <w:rPr>
          <w:rFonts w:ascii="Times New Roman" w:eastAsia="Times New Roman" w:hAnsi="Times New Roman"/>
          <w:spacing w:val="-6"/>
          <w:sz w:val="24"/>
          <w:szCs w:val="24"/>
          <w:lang w:eastAsia="en-IN"/>
        </w:rPr>
        <w:t>ery high temperature (above 43 degree C), but is also subjected to high level of relative humidity (within a range of 60 – 85%) (Fig. 1.</w:t>
      </w:r>
      <w:r w:rsidR="00C2445A">
        <w:rPr>
          <w:rFonts w:ascii="Times New Roman" w:eastAsia="Times New Roman" w:hAnsi="Times New Roman"/>
          <w:spacing w:val="-6"/>
          <w:sz w:val="24"/>
          <w:szCs w:val="24"/>
          <w:lang w:eastAsia="en-IN"/>
        </w:rPr>
        <w:t>7</w:t>
      </w:r>
      <w:r w:rsidR="00BB530D" w:rsidRPr="007A7119">
        <w:rPr>
          <w:rFonts w:ascii="Times New Roman" w:eastAsia="Times New Roman" w:hAnsi="Times New Roman"/>
          <w:spacing w:val="-6"/>
          <w:sz w:val="24"/>
          <w:szCs w:val="24"/>
          <w:lang w:eastAsia="en-IN"/>
        </w:rPr>
        <w:t xml:space="preserve"> – highlighted cells</w:t>
      </w:r>
      <w:r w:rsidR="00DE1D38" w:rsidRPr="007A7119">
        <w:rPr>
          <w:rFonts w:ascii="Times New Roman" w:eastAsia="Times New Roman" w:hAnsi="Times New Roman"/>
          <w:spacing w:val="-6"/>
          <w:sz w:val="24"/>
          <w:szCs w:val="24"/>
          <w:lang w:eastAsia="en-IN"/>
        </w:rPr>
        <w:t>). The resulting effect of these two factors combined together becomes extremely uncomfortable for the population of the city.</w:t>
      </w:r>
    </w:p>
    <w:p w:rsidR="001E4FA4" w:rsidRDefault="001E4FA4" w:rsidP="004C56E4">
      <w:pPr>
        <w:spacing w:after="0" w:line="240" w:lineRule="auto"/>
        <w:jc w:val="center"/>
        <w:rPr>
          <w:rFonts w:ascii="Times New Roman" w:hAnsi="Times New Roman"/>
          <w:b/>
          <w:bCs/>
        </w:rPr>
      </w:pPr>
    </w:p>
    <w:p w:rsidR="0063341A" w:rsidRPr="004C56E4" w:rsidRDefault="005D4839" w:rsidP="004C56E4">
      <w:pPr>
        <w:spacing w:after="0" w:line="240" w:lineRule="auto"/>
        <w:jc w:val="center"/>
        <w:rPr>
          <w:rFonts w:ascii="Times New Roman" w:hAnsi="Times New Roman"/>
          <w:b/>
          <w:bCs/>
        </w:rPr>
      </w:pPr>
      <w:r w:rsidRPr="005D4839">
        <w:rPr>
          <w:rFonts w:ascii="Times New Roman" w:hAnsi="Times New Roman"/>
          <w:b/>
          <w:bCs/>
        </w:rPr>
        <w:lastRenderedPageBreak/>
        <w:pict>
          <v:group id="_x0000_s2053" style="position:absolute;left:0;text-align:left;margin-left:192.5pt;margin-top:27.95pt;width:91.1pt;height:149.2pt;z-index:251653120" coordorigin="4858,6402" coordsize="1822,2984">
            <v:rect id="_x0000_s2051" style="position:absolute;left:4858;top:6402;width:1822;height:503" filled="f" strokecolor="black [3213]" strokeweight="3pt"/>
            <v:rect id="_x0000_s2052" style="position:absolute;left:4858;top:9108;width:1822;height:278" filled="f" strokecolor="black [3213]" strokeweight="3pt"/>
          </v:group>
        </w:pict>
      </w:r>
      <w:r w:rsidR="00DE1D38" w:rsidRPr="004C56E4">
        <w:rPr>
          <w:rFonts w:ascii="Times New Roman" w:hAnsi="Times New Roman"/>
          <w:b/>
          <w:bCs/>
          <w:noProof/>
          <w:lang w:val="en-US" w:bidi="hi-IN"/>
        </w:rPr>
        <w:drawing>
          <wp:anchor distT="0" distB="0" distL="114300" distR="114300" simplePos="0" relativeHeight="251646976" behindDoc="0" locked="0" layoutInCell="1" allowOverlap="1">
            <wp:simplePos x="0" y="0"/>
            <wp:positionH relativeFrom="column">
              <wp:posOffset>16456</wp:posOffset>
            </wp:positionH>
            <wp:positionV relativeFrom="paragraph">
              <wp:posOffset>24191</wp:posOffset>
            </wp:positionV>
            <wp:extent cx="6208464" cy="2397898"/>
            <wp:effectExtent l="19050" t="19050" r="20886" b="21452"/>
            <wp:wrapTopAndBottom/>
            <wp:docPr id="3" name="Picture 2" descr="Climate of Kolkata - Wikipedia-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limate of Kolkata - Wikipedia-2.jpg"/>
                    <pic:cNvPicPr/>
                  </pic:nvPicPr>
                  <pic:blipFill>
                    <a:blip r:embed="rId14" cstate="print"/>
                    <a:stretch>
                      <a:fillRect/>
                    </a:stretch>
                  </pic:blipFill>
                  <pic:spPr>
                    <a:xfrm>
                      <a:off x="0" y="0"/>
                      <a:ext cx="6208464" cy="2397898"/>
                    </a:xfrm>
                    <a:prstGeom prst="rect">
                      <a:avLst/>
                    </a:prstGeom>
                    <a:ln>
                      <a:solidFill>
                        <a:schemeClr val="tx1"/>
                      </a:solidFill>
                    </a:ln>
                  </pic:spPr>
                </pic:pic>
              </a:graphicData>
            </a:graphic>
          </wp:anchor>
        </w:drawing>
      </w:r>
      <w:r w:rsidR="00DE1D38" w:rsidRPr="004C56E4">
        <w:rPr>
          <w:rFonts w:ascii="Times New Roman" w:hAnsi="Times New Roman"/>
          <w:b/>
          <w:bCs/>
        </w:rPr>
        <w:t>Fig. 1.</w:t>
      </w:r>
      <w:r w:rsidR="00C2445A">
        <w:rPr>
          <w:rFonts w:ascii="Times New Roman" w:hAnsi="Times New Roman"/>
          <w:b/>
          <w:bCs/>
        </w:rPr>
        <w:t>7</w:t>
      </w:r>
      <w:r w:rsidR="004C56E4" w:rsidRPr="004C56E4">
        <w:rPr>
          <w:rFonts w:ascii="Times New Roman" w:hAnsi="Times New Roman"/>
          <w:b/>
          <w:bCs/>
        </w:rPr>
        <w:t xml:space="preserve">: </w:t>
      </w:r>
      <w:r w:rsidR="00DE1D38" w:rsidRPr="004B585E">
        <w:rPr>
          <w:rFonts w:ascii="Times New Roman" w:hAnsi="Times New Roman"/>
        </w:rPr>
        <w:t>Climate Condition of Kolkata</w:t>
      </w:r>
    </w:p>
    <w:p w:rsidR="00DE1D38" w:rsidRPr="004C56E4" w:rsidRDefault="00DE1D38" w:rsidP="007A7119">
      <w:pPr>
        <w:spacing w:after="0" w:line="360" w:lineRule="auto"/>
        <w:jc w:val="center"/>
        <w:rPr>
          <w:rFonts w:ascii="Times New Roman" w:eastAsia="Times New Roman" w:hAnsi="Times New Roman"/>
          <w:b/>
          <w:iCs/>
          <w:sz w:val="20"/>
          <w:szCs w:val="20"/>
          <w:lang w:eastAsia="en-IN"/>
        </w:rPr>
      </w:pPr>
      <w:r w:rsidRPr="004C56E4">
        <w:rPr>
          <w:rFonts w:ascii="Times New Roman" w:eastAsia="Times New Roman" w:hAnsi="Times New Roman"/>
          <w:iCs/>
          <w:sz w:val="20"/>
          <w:szCs w:val="20"/>
          <w:lang w:eastAsia="en-IN"/>
        </w:rPr>
        <w:t xml:space="preserve">(Source: </w:t>
      </w:r>
      <w:hyperlink r:id="rId15" w:anchor="cite_note-NOAA-8" w:history="1">
        <w:r w:rsidRPr="004C56E4">
          <w:rPr>
            <w:rFonts w:ascii="Times New Roman" w:eastAsia="Times New Roman" w:hAnsi="Times New Roman"/>
            <w:iCs/>
            <w:sz w:val="20"/>
            <w:szCs w:val="20"/>
            <w:lang w:eastAsia="en-IN"/>
          </w:rPr>
          <w:t>https://en.wikipedia.org/wiki/Climate_of_Kolkata#cite_note-NOAA-8</w:t>
        </w:r>
      </w:hyperlink>
      <w:r w:rsidRPr="004C56E4">
        <w:rPr>
          <w:rFonts w:ascii="Times New Roman" w:hAnsi="Times New Roman"/>
          <w:iCs/>
          <w:sz w:val="20"/>
          <w:szCs w:val="20"/>
        </w:rPr>
        <w:t>)</w:t>
      </w:r>
    </w:p>
    <w:p w:rsidR="00514F7E" w:rsidRDefault="00514F7E" w:rsidP="007A7119">
      <w:pPr>
        <w:spacing w:after="0" w:line="360" w:lineRule="auto"/>
        <w:jc w:val="both"/>
        <w:rPr>
          <w:rFonts w:ascii="Times New Roman" w:eastAsia="Times New Roman" w:hAnsi="Times New Roman"/>
          <w:spacing w:val="-6"/>
          <w:sz w:val="24"/>
          <w:szCs w:val="24"/>
          <w:lang w:eastAsia="en-IN"/>
        </w:rPr>
      </w:pPr>
    </w:p>
    <w:p w:rsidR="00BB530D" w:rsidRPr="007A7119" w:rsidRDefault="00841EF0"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Although common weather conditions of the city does not remain so extreme as is seen in Fig. 1.</w:t>
      </w:r>
      <w:r w:rsidR="00C2445A">
        <w:rPr>
          <w:rFonts w:ascii="Times New Roman" w:eastAsia="Times New Roman" w:hAnsi="Times New Roman"/>
          <w:spacing w:val="-6"/>
          <w:sz w:val="24"/>
          <w:szCs w:val="24"/>
          <w:lang w:eastAsia="en-IN"/>
        </w:rPr>
        <w:t>7</w:t>
      </w:r>
      <w:r w:rsidRPr="007A7119">
        <w:rPr>
          <w:rFonts w:ascii="Times New Roman" w:eastAsia="Times New Roman" w:hAnsi="Times New Roman"/>
          <w:spacing w:val="-6"/>
          <w:sz w:val="24"/>
          <w:szCs w:val="24"/>
          <w:lang w:eastAsia="en-IN"/>
        </w:rPr>
        <w:t>, the average outdoor temperature in the city has always remained high and above 34 degree C throughout the months of April to June</w:t>
      </w:r>
      <w:r w:rsidR="001A53F7" w:rsidRPr="007A7119">
        <w:rPr>
          <w:rFonts w:ascii="Times New Roman" w:eastAsia="Times New Roman" w:hAnsi="Times New Roman"/>
          <w:spacing w:val="-6"/>
          <w:sz w:val="24"/>
          <w:szCs w:val="24"/>
          <w:lang w:eastAsia="en-IN"/>
        </w:rPr>
        <w:t xml:space="preserve"> during the years 2005-2015 (Fig. 1.</w:t>
      </w:r>
      <w:r w:rsidR="00C2445A">
        <w:rPr>
          <w:rFonts w:ascii="Times New Roman" w:eastAsia="Times New Roman" w:hAnsi="Times New Roman"/>
          <w:spacing w:val="-6"/>
          <w:sz w:val="24"/>
          <w:szCs w:val="24"/>
          <w:lang w:eastAsia="en-IN"/>
        </w:rPr>
        <w:t>8</w:t>
      </w:r>
      <w:r w:rsidR="001A53F7" w:rsidRPr="007A7119">
        <w:rPr>
          <w:rFonts w:ascii="Times New Roman" w:eastAsia="Times New Roman" w:hAnsi="Times New Roman"/>
          <w:spacing w:val="-6"/>
          <w:sz w:val="24"/>
          <w:szCs w:val="24"/>
          <w:lang w:eastAsia="en-IN"/>
        </w:rPr>
        <w:t xml:space="preserve">). </w:t>
      </w:r>
      <w:r w:rsidR="00E53EC1" w:rsidRPr="007A7119">
        <w:rPr>
          <w:rFonts w:ascii="Times New Roman" w:eastAsia="Times New Roman" w:hAnsi="Times New Roman"/>
          <w:spacing w:val="-6"/>
          <w:sz w:val="24"/>
          <w:szCs w:val="24"/>
          <w:lang w:eastAsia="en-IN"/>
        </w:rPr>
        <w:t>The level of relative humidity over these years have also fluctuated, with few exceptional values (e.g. 55% in April, 2014), most of the months show RH level above 60%</w:t>
      </w:r>
      <w:r w:rsidR="001A53F7" w:rsidRPr="007A7119">
        <w:rPr>
          <w:rFonts w:ascii="Times New Roman" w:eastAsia="Times New Roman" w:hAnsi="Times New Roman"/>
          <w:spacing w:val="-6"/>
          <w:sz w:val="24"/>
          <w:szCs w:val="24"/>
          <w:lang w:eastAsia="en-IN"/>
        </w:rPr>
        <w:t xml:space="preserve"> (Fig. 1.</w:t>
      </w:r>
      <w:r w:rsidR="00C2445A">
        <w:rPr>
          <w:rFonts w:ascii="Times New Roman" w:eastAsia="Times New Roman" w:hAnsi="Times New Roman"/>
          <w:spacing w:val="-6"/>
          <w:sz w:val="24"/>
          <w:szCs w:val="24"/>
          <w:lang w:eastAsia="en-IN"/>
        </w:rPr>
        <w:t>9</w:t>
      </w:r>
      <w:r w:rsidR="001A53F7" w:rsidRPr="007A7119">
        <w:rPr>
          <w:rFonts w:ascii="Times New Roman" w:eastAsia="Times New Roman" w:hAnsi="Times New Roman"/>
          <w:spacing w:val="-6"/>
          <w:sz w:val="24"/>
          <w:szCs w:val="24"/>
          <w:lang w:eastAsia="en-IN"/>
        </w:rPr>
        <w:t>)</w:t>
      </w:r>
      <w:r w:rsidR="00E53EC1" w:rsidRPr="007A7119">
        <w:rPr>
          <w:rFonts w:ascii="Times New Roman" w:eastAsia="Times New Roman" w:hAnsi="Times New Roman"/>
          <w:spacing w:val="-6"/>
          <w:sz w:val="24"/>
          <w:szCs w:val="24"/>
          <w:lang w:eastAsia="en-IN"/>
        </w:rPr>
        <w:t>. The average maximum temperature during the period of 2005-2015 is observed to be between 35 and 36 degree C, whereas the average RH level over this period lies between 65 - 70%. The maximum tolerance of temperature for relative humidity level of 65% is given to be</w:t>
      </w:r>
      <w:r w:rsidR="001A53F7" w:rsidRPr="007A7119">
        <w:rPr>
          <w:rFonts w:ascii="Times New Roman" w:eastAsia="Times New Roman" w:hAnsi="Times New Roman"/>
          <w:spacing w:val="-6"/>
          <w:sz w:val="24"/>
          <w:szCs w:val="24"/>
          <w:lang w:eastAsia="en-IN"/>
        </w:rPr>
        <w:t xml:space="preserve"> below 30 degree C (approx 25 degree C) (Fig. 1.</w:t>
      </w:r>
      <w:r w:rsidR="00C2445A">
        <w:rPr>
          <w:rFonts w:ascii="Times New Roman" w:eastAsia="Times New Roman" w:hAnsi="Times New Roman"/>
          <w:spacing w:val="-6"/>
          <w:sz w:val="24"/>
          <w:szCs w:val="24"/>
          <w:lang w:eastAsia="en-IN"/>
        </w:rPr>
        <w:t>10</w:t>
      </w:r>
      <w:r w:rsidR="001A53F7" w:rsidRPr="007A7119">
        <w:rPr>
          <w:rFonts w:ascii="Times New Roman" w:eastAsia="Times New Roman" w:hAnsi="Times New Roman"/>
          <w:spacing w:val="-6"/>
          <w:sz w:val="24"/>
          <w:szCs w:val="24"/>
          <w:lang w:eastAsia="en-IN"/>
        </w:rPr>
        <w:t>). If a considerable air movement and a very low clo value is considered in this comfort condition</w:t>
      </w:r>
      <w:sdt>
        <w:sdtPr>
          <w:rPr>
            <w:rFonts w:ascii="Times New Roman" w:eastAsia="Times New Roman" w:hAnsi="Times New Roman"/>
            <w:spacing w:val="-6"/>
            <w:sz w:val="24"/>
            <w:szCs w:val="24"/>
            <w:lang w:eastAsia="en-IN"/>
          </w:rPr>
          <w:id w:val="2582154"/>
          <w:citation/>
        </w:sdtPr>
        <w:sdtContent>
          <w:r w:rsidR="005D4839" w:rsidRPr="007A7119">
            <w:rPr>
              <w:rFonts w:ascii="Times New Roman" w:eastAsia="Times New Roman" w:hAnsi="Times New Roman"/>
              <w:spacing w:val="-6"/>
              <w:sz w:val="24"/>
              <w:szCs w:val="24"/>
              <w:lang w:eastAsia="en-IN"/>
            </w:rPr>
            <w:fldChar w:fldCharType="begin"/>
          </w:r>
          <w:r w:rsidR="001A53F7" w:rsidRPr="007A7119">
            <w:rPr>
              <w:rFonts w:ascii="Times New Roman" w:eastAsia="Times New Roman" w:hAnsi="Times New Roman"/>
              <w:spacing w:val="-6"/>
              <w:sz w:val="24"/>
              <w:szCs w:val="24"/>
              <w:lang w:eastAsia="en-IN"/>
            </w:rPr>
            <w:instrText xml:space="preserve"> CITATION Tor07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 xml:space="preserve"> (Chenvidyakarn, 2007)</w:t>
          </w:r>
          <w:r w:rsidR="005D4839" w:rsidRPr="007A7119">
            <w:rPr>
              <w:rFonts w:ascii="Times New Roman" w:eastAsia="Times New Roman" w:hAnsi="Times New Roman"/>
              <w:spacing w:val="-6"/>
              <w:sz w:val="24"/>
              <w:szCs w:val="24"/>
              <w:lang w:eastAsia="en-IN"/>
            </w:rPr>
            <w:fldChar w:fldCharType="end"/>
          </w:r>
        </w:sdtContent>
      </w:sdt>
      <w:r w:rsidR="001A53F7" w:rsidRPr="007A7119">
        <w:rPr>
          <w:rFonts w:ascii="Times New Roman" w:eastAsia="Times New Roman" w:hAnsi="Times New Roman"/>
          <w:spacing w:val="-6"/>
          <w:sz w:val="24"/>
          <w:szCs w:val="24"/>
          <w:lang w:eastAsia="en-IN"/>
        </w:rPr>
        <w:t>, the adjusted Standard Effective Temperature (SET) comfort conditions give us a maximum tolerance of temperature to be 32 degree C approximately for a RH level of 65%, whereas for higher RH level of 70% this tolerance comes to around 31 degree C. The observed average temperature of the city of Kolkata is thus found to be well above both the un-adjusted as well as adjusted values given by the bioclimatic chart.</w:t>
      </w:r>
    </w:p>
    <w:p w:rsidR="001C5F58" w:rsidRPr="007A7119" w:rsidRDefault="00841EF0" w:rsidP="007A7119">
      <w:pPr>
        <w:keepNext/>
        <w:spacing w:after="0" w:line="360" w:lineRule="auto"/>
        <w:jc w:val="both"/>
        <w:rPr>
          <w:rFonts w:ascii="Times New Roman" w:hAnsi="Times New Roman"/>
          <w:sz w:val="24"/>
          <w:szCs w:val="24"/>
        </w:rPr>
      </w:pPr>
      <w:r w:rsidRPr="007A7119">
        <w:rPr>
          <w:rFonts w:ascii="Times New Roman" w:eastAsia="Times New Roman" w:hAnsi="Times New Roman"/>
          <w:noProof/>
          <w:spacing w:val="-6"/>
          <w:sz w:val="24"/>
          <w:szCs w:val="24"/>
          <w:lang w:val="en-US" w:bidi="hi-IN"/>
        </w:rPr>
        <w:lastRenderedPageBreak/>
        <w:drawing>
          <wp:inline distT="0" distB="0" distL="0" distR="0">
            <wp:extent cx="5948045" cy="3096000"/>
            <wp:effectExtent l="19050" t="0" r="14605" b="9150"/>
            <wp:docPr id="5"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841EF0" w:rsidRPr="00931C46" w:rsidRDefault="001C5F58" w:rsidP="007A7119">
      <w:pPr>
        <w:keepNext/>
        <w:spacing w:after="0" w:line="360" w:lineRule="auto"/>
        <w:jc w:val="center"/>
        <w:rPr>
          <w:rFonts w:ascii="Times New Roman" w:eastAsia="Times New Roman" w:hAnsi="Times New Roman"/>
          <w:bCs/>
          <w:iCs/>
          <w:noProof/>
          <w:spacing w:val="-6"/>
          <w:lang w:eastAsia="en-IN"/>
        </w:rPr>
      </w:pPr>
      <w:r w:rsidRPr="001E4FA4">
        <w:rPr>
          <w:rFonts w:ascii="Times New Roman" w:eastAsia="Times New Roman" w:hAnsi="Times New Roman"/>
          <w:b/>
          <w:iCs/>
          <w:noProof/>
          <w:spacing w:val="-6"/>
          <w:lang w:eastAsia="en-IN"/>
        </w:rPr>
        <w:t>Fig. 1.</w:t>
      </w:r>
      <w:r w:rsidR="00C2445A">
        <w:rPr>
          <w:rFonts w:ascii="Times New Roman" w:eastAsia="Times New Roman" w:hAnsi="Times New Roman"/>
          <w:b/>
          <w:iCs/>
          <w:noProof/>
          <w:spacing w:val="-6"/>
          <w:lang w:eastAsia="en-IN"/>
        </w:rPr>
        <w:t>8</w:t>
      </w:r>
      <w:r w:rsidR="001E4FA4">
        <w:rPr>
          <w:rFonts w:ascii="Times New Roman" w:eastAsia="Times New Roman" w:hAnsi="Times New Roman"/>
          <w:b/>
          <w:iCs/>
          <w:noProof/>
          <w:spacing w:val="-6"/>
          <w:lang w:eastAsia="en-IN"/>
        </w:rPr>
        <w:t>:</w:t>
      </w:r>
      <w:r w:rsidRPr="00931C46">
        <w:rPr>
          <w:rFonts w:ascii="Times New Roman" w:eastAsia="Times New Roman" w:hAnsi="Times New Roman"/>
          <w:bCs/>
          <w:iCs/>
          <w:noProof/>
          <w:spacing w:val="-6"/>
          <w:lang w:eastAsia="en-IN"/>
        </w:rPr>
        <w:t>Average Maximum Outdoor Temperature of Kolkata during 2005-2015</w:t>
      </w:r>
    </w:p>
    <w:p w:rsidR="0056018B" w:rsidRPr="001E4FA4" w:rsidRDefault="0056018B" w:rsidP="007A7119">
      <w:pPr>
        <w:spacing w:after="0" w:line="360" w:lineRule="auto"/>
        <w:jc w:val="center"/>
        <w:rPr>
          <w:rFonts w:ascii="Times New Roman" w:hAnsi="Times New Roman"/>
          <w:iCs/>
        </w:rPr>
      </w:pPr>
      <w:r w:rsidRPr="001E4FA4">
        <w:rPr>
          <w:rFonts w:ascii="Times New Roman" w:eastAsia="Times New Roman" w:hAnsi="Times New Roman"/>
          <w:iCs/>
          <w:lang w:eastAsia="en-IN"/>
        </w:rPr>
        <w:t>(Data Source: Alipore Station (42807), Regional Meteorological Centre, India Meteorological Department</w:t>
      </w:r>
      <w:r w:rsidRPr="001E4FA4">
        <w:rPr>
          <w:rFonts w:ascii="Times New Roman" w:hAnsi="Times New Roman"/>
          <w:iCs/>
        </w:rPr>
        <w:t>)</w:t>
      </w:r>
    </w:p>
    <w:p w:rsidR="0056018B" w:rsidRPr="007A7119" w:rsidRDefault="0056018B" w:rsidP="007A7119">
      <w:pPr>
        <w:spacing w:after="0" w:line="360" w:lineRule="auto"/>
        <w:jc w:val="center"/>
        <w:rPr>
          <w:rFonts w:ascii="Times New Roman" w:eastAsia="Times New Roman" w:hAnsi="Times New Roman"/>
          <w:i/>
          <w:sz w:val="24"/>
          <w:szCs w:val="24"/>
          <w:lang w:eastAsia="en-IN"/>
        </w:rPr>
      </w:pPr>
    </w:p>
    <w:p w:rsidR="00F566D9" w:rsidRPr="007A7119" w:rsidRDefault="002A23CF" w:rsidP="007A7119">
      <w:pPr>
        <w:keepNext/>
        <w:spacing w:after="0" w:line="360" w:lineRule="auto"/>
        <w:jc w:val="center"/>
        <w:rPr>
          <w:rFonts w:ascii="Times New Roman" w:hAnsi="Times New Roman"/>
          <w:sz w:val="24"/>
          <w:szCs w:val="24"/>
        </w:rPr>
      </w:pPr>
      <w:r w:rsidRPr="007A7119">
        <w:rPr>
          <w:rFonts w:ascii="Times New Roman" w:eastAsia="Times New Roman" w:hAnsi="Times New Roman"/>
          <w:b/>
          <w:i/>
          <w:noProof/>
          <w:sz w:val="24"/>
          <w:szCs w:val="24"/>
          <w:lang w:val="en-US" w:bidi="hi-IN"/>
        </w:rPr>
        <w:drawing>
          <wp:inline distT="0" distB="0" distL="0" distR="0">
            <wp:extent cx="5943600" cy="3096000"/>
            <wp:effectExtent l="19050" t="0" r="19050" b="9150"/>
            <wp:docPr id="7" name="Chart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2A23CF" w:rsidRPr="001E4FA4" w:rsidRDefault="00F566D9" w:rsidP="007A7119">
      <w:pPr>
        <w:keepNext/>
        <w:spacing w:after="0" w:line="360" w:lineRule="auto"/>
        <w:jc w:val="center"/>
        <w:rPr>
          <w:rFonts w:ascii="Times New Roman" w:eastAsia="Times New Roman" w:hAnsi="Times New Roman"/>
          <w:b/>
          <w:iCs/>
          <w:noProof/>
          <w:spacing w:val="-6"/>
          <w:lang w:eastAsia="en-IN"/>
        </w:rPr>
      </w:pPr>
      <w:r w:rsidRPr="001E4FA4">
        <w:rPr>
          <w:rFonts w:ascii="Times New Roman" w:eastAsia="Times New Roman" w:hAnsi="Times New Roman"/>
          <w:b/>
          <w:iCs/>
          <w:noProof/>
          <w:spacing w:val="-6"/>
          <w:lang w:eastAsia="en-IN"/>
        </w:rPr>
        <w:t>Fig. 1.</w:t>
      </w:r>
      <w:r w:rsidR="00C2445A">
        <w:rPr>
          <w:rFonts w:ascii="Times New Roman" w:eastAsia="Times New Roman" w:hAnsi="Times New Roman"/>
          <w:b/>
          <w:iCs/>
          <w:noProof/>
          <w:spacing w:val="-6"/>
          <w:lang w:eastAsia="en-IN"/>
        </w:rPr>
        <w:t>9</w:t>
      </w:r>
      <w:r w:rsidR="001E4FA4">
        <w:rPr>
          <w:rFonts w:ascii="Times New Roman" w:eastAsia="Times New Roman" w:hAnsi="Times New Roman"/>
          <w:b/>
          <w:iCs/>
          <w:noProof/>
          <w:spacing w:val="-6"/>
          <w:lang w:eastAsia="en-IN"/>
        </w:rPr>
        <w:t>:</w:t>
      </w:r>
      <w:r w:rsidRPr="00931C46">
        <w:rPr>
          <w:rFonts w:ascii="Times New Roman" w:eastAsia="Times New Roman" w:hAnsi="Times New Roman"/>
          <w:bCs/>
          <w:iCs/>
          <w:noProof/>
          <w:spacing w:val="-6"/>
          <w:lang w:eastAsia="en-IN"/>
        </w:rPr>
        <w:t>Average Maximum Daily Relative Humidity of Kolkata during 2005-2015</w:t>
      </w:r>
    </w:p>
    <w:p w:rsidR="00F566D9" w:rsidRPr="001E4FA4" w:rsidRDefault="00F566D9" w:rsidP="007A7119">
      <w:pPr>
        <w:spacing w:after="0" w:line="360" w:lineRule="auto"/>
        <w:jc w:val="center"/>
        <w:rPr>
          <w:rFonts w:ascii="Times New Roman" w:eastAsia="Times New Roman" w:hAnsi="Times New Roman"/>
          <w:iCs/>
          <w:lang w:eastAsia="en-IN"/>
        </w:rPr>
      </w:pPr>
      <w:r w:rsidRPr="001E4FA4">
        <w:rPr>
          <w:rFonts w:ascii="Times New Roman" w:eastAsia="Times New Roman" w:hAnsi="Times New Roman"/>
          <w:iCs/>
          <w:lang w:eastAsia="en-IN"/>
        </w:rPr>
        <w:t xml:space="preserve">(Data Source: </w:t>
      </w:r>
      <w:r w:rsidR="0056018B" w:rsidRPr="001E4FA4">
        <w:rPr>
          <w:rFonts w:ascii="Times New Roman" w:eastAsia="Times New Roman" w:hAnsi="Times New Roman"/>
          <w:iCs/>
          <w:lang w:eastAsia="en-IN"/>
        </w:rPr>
        <w:t>Alipore Station (42807), Regional Meteorological Centre, India Meteorological Department</w:t>
      </w:r>
      <w:r w:rsidRPr="001E4FA4">
        <w:rPr>
          <w:rFonts w:ascii="Times New Roman" w:hAnsi="Times New Roman"/>
          <w:iCs/>
        </w:rPr>
        <w:t>)</w:t>
      </w:r>
    </w:p>
    <w:p w:rsidR="002A23CF" w:rsidRPr="007A7119" w:rsidRDefault="002A23CF" w:rsidP="007A7119">
      <w:pPr>
        <w:keepNext/>
        <w:spacing w:after="0" w:line="360" w:lineRule="auto"/>
        <w:jc w:val="center"/>
        <w:rPr>
          <w:rFonts w:ascii="Times New Roman" w:hAnsi="Times New Roman"/>
          <w:sz w:val="24"/>
          <w:szCs w:val="24"/>
        </w:rPr>
      </w:pPr>
      <w:r w:rsidRPr="007A7119">
        <w:rPr>
          <w:rFonts w:ascii="Times New Roman" w:eastAsia="Times New Roman" w:hAnsi="Times New Roman"/>
          <w:noProof/>
          <w:spacing w:val="-6"/>
          <w:sz w:val="24"/>
          <w:szCs w:val="24"/>
          <w:lang w:val="en-US" w:bidi="hi-IN"/>
        </w:rPr>
        <w:lastRenderedPageBreak/>
        <w:drawing>
          <wp:inline distT="0" distB="0" distL="0" distR="0">
            <wp:extent cx="4595827" cy="2880000"/>
            <wp:effectExtent l="19050" t="19050" r="14273" b="15600"/>
            <wp:docPr id="6" name="Picture 5" descr="Olgyay Bioclimatic char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lgyay Bioclimatic chart.jpg"/>
                    <pic:cNvPicPr/>
                  </pic:nvPicPr>
                  <pic:blipFill>
                    <a:blip r:embed="rId18" cstate="print"/>
                    <a:stretch>
                      <a:fillRect/>
                    </a:stretch>
                  </pic:blipFill>
                  <pic:spPr>
                    <a:xfrm>
                      <a:off x="0" y="0"/>
                      <a:ext cx="4595827" cy="2880000"/>
                    </a:xfrm>
                    <a:prstGeom prst="rect">
                      <a:avLst/>
                    </a:prstGeom>
                    <a:ln w="6350">
                      <a:solidFill>
                        <a:schemeClr val="tx1"/>
                      </a:solidFill>
                    </a:ln>
                  </pic:spPr>
                </pic:pic>
              </a:graphicData>
            </a:graphic>
          </wp:inline>
        </w:drawing>
      </w:r>
    </w:p>
    <w:p w:rsidR="002A23CF" w:rsidRPr="008B7AA5" w:rsidRDefault="002A23CF" w:rsidP="007A7119">
      <w:pPr>
        <w:pStyle w:val="Caption"/>
        <w:spacing w:after="0" w:line="360" w:lineRule="auto"/>
        <w:jc w:val="center"/>
        <w:rPr>
          <w:rFonts w:ascii="Times New Roman" w:eastAsia="Times New Roman" w:hAnsi="Times New Roman"/>
          <w:bCs w:val="0"/>
          <w:iCs/>
          <w:noProof/>
          <w:color w:val="auto"/>
          <w:spacing w:val="-6"/>
          <w:sz w:val="22"/>
          <w:szCs w:val="22"/>
          <w:lang w:eastAsia="en-IN"/>
        </w:rPr>
      </w:pPr>
      <w:r w:rsidRPr="008B7AA5">
        <w:rPr>
          <w:rFonts w:ascii="Times New Roman" w:eastAsia="Times New Roman" w:hAnsi="Times New Roman"/>
          <w:bCs w:val="0"/>
          <w:iCs/>
          <w:noProof/>
          <w:color w:val="auto"/>
          <w:spacing w:val="-6"/>
          <w:sz w:val="22"/>
          <w:szCs w:val="22"/>
          <w:lang w:eastAsia="en-IN"/>
        </w:rPr>
        <w:t>Fig. 1.</w:t>
      </w:r>
      <w:r w:rsidR="00C2445A">
        <w:rPr>
          <w:rFonts w:ascii="Times New Roman" w:eastAsia="Times New Roman" w:hAnsi="Times New Roman"/>
          <w:bCs w:val="0"/>
          <w:iCs/>
          <w:noProof/>
          <w:color w:val="auto"/>
          <w:spacing w:val="-6"/>
          <w:sz w:val="22"/>
          <w:szCs w:val="22"/>
          <w:lang w:eastAsia="en-IN"/>
        </w:rPr>
        <w:t>10</w:t>
      </w:r>
      <w:r w:rsidR="008B7AA5" w:rsidRPr="008B7AA5">
        <w:rPr>
          <w:rFonts w:ascii="Times New Roman" w:eastAsia="Times New Roman" w:hAnsi="Times New Roman"/>
          <w:bCs w:val="0"/>
          <w:iCs/>
          <w:noProof/>
          <w:color w:val="auto"/>
          <w:spacing w:val="-6"/>
          <w:sz w:val="22"/>
          <w:szCs w:val="22"/>
          <w:lang w:eastAsia="en-IN"/>
        </w:rPr>
        <w:t>:</w:t>
      </w:r>
      <w:r w:rsidRPr="00694AE4">
        <w:rPr>
          <w:rFonts w:ascii="Times New Roman" w:eastAsia="Times New Roman" w:hAnsi="Times New Roman"/>
          <w:b w:val="0"/>
          <w:iCs/>
          <w:noProof/>
          <w:color w:val="auto"/>
          <w:spacing w:val="-6"/>
          <w:sz w:val="22"/>
          <w:szCs w:val="22"/>
          <w:lang w:eastAsia="en-IN"/>
        </w:rPr>
        <w:t xml:space="preserve">Bioclimatic chart after V. Olgyay modified for SET </w:t>
      </w:r>
      <w:sdt>
        <w:sdtPr>
          <w:rPr>
            <w:rFonts w:ascii="Times New Roman" w:eastAsia="Times New Roman" w:hAnsi="Times New Roman"/>
            <w:b w:val="0"/>
            <w:iCs/>
            <w:noProof/>
            <w:color w:val="auto"/>
            <w:spacing w:val="-6"/>
            <w:sz w:val="22"/>
            <w:szCs w:val="22"/>
            <w:lang w:eastAsia="en-IN"/>
          </w:rPr>
          <w:id w:val="2582152"/>
          <w:citation/>
        </w:sdtPr>
        <w:sdtContent>
          <w:r w:rsidR="005D4839" w:rsidRPr="00694AE4">
            <w:rPr>
              <w:rFonts w:ascii="Times New Roman" w:eastAsia="Times New Roman" w:hAnsi="Times New Roman"/>
              <w:b w:val="0"/>
              <w:iCs/>
              <w:noProof/>
              <w:color w:val="auto"/>
              <w:spacing w:val="-6"/>
              <w:sz w:val="22"/>
              <w:szCs w:val="22"/>
              <w:lang w:eastAsia="en-IN"/>
            </w:rPr>
            <w:fldChar w:fldCharType="begin"/>
          </w:r>
          <w:r w:rsidRPr="00694AE4">
            <w:rPr>
              <w:rFonts w:ascii="Times New Roman" w:eastAsia="Times New Roman" w:hAnsi="Times New Roman"/>
              <w:b w:val="0"/>
              <w:iCs/>
              <w:noProof/>
              <w:color w:val="auto"/>
              <w:spacing w:val="-6"/>
              <w:sz w:val="22"/>
              <w:szCs w:val="22"/>
              <w:lang w:eastAsia="en-IN"/>
            </w:rPr>
            <w:instrText xml:space="preserve"> CITATION Tor07 \l 16393 </w:instrText>
          </w:r>
          <w:r w:rsidR="005D4839" w:rsidRPr="00694AE4">
            <w:rPr>
              <w:rFonts w:ascii="Times New Roman" w:eastAsia="Times New Roman" w:hAnsi="Times New Roman"/>
              <w:b w:val="0"/>
              <w:iCs/>
              <w:noProof/>
              <w:color w:val="auto"/>
              <w:spacing w:val="-6"/>
              <w:sz w:val="22"/>
              <w:szCs w:val="22"/>
              <w:lang w:eastAsia="en-IN"/>
            </w:rPr>
            <w:fldChar w:fldCharType="separate"/>
          </w:r>
          <w:r w:rsidR="00245873" w:rsidRPr="00694AE4">
            <w:rPr>
              <w:rFonts w:ascii="Times New Roman" w:eastAsia="Times New Roman" w:hAnsi="Times New Roman"/>
              <w:b w:val="0"/>
              <w:iCs/>
              <w:noProof/>
              <w:color w:val="auto"/>
              <w:spacing w:val="-6"/>
              <w:sz w:val="22"/>
              <w:szCs w:val="22"/>
              <w:lang w:eastAsia="en-IN"/>
            </w:rPr>
            <w:t>(Chenvidyakarn, 2007)</w:t>
          </w:r>
          <w:r w:rsidR="005D4839" w:rsidRPr="00694AE4">
            <w:rPr>
              <w:rFonts w:ascii="Times New Roman" w:eastAsia="Times New Roman" w:hAnsi="Times New Roman"/>
              <w:b w:val="0"/>
              <w:iCs/>
              <w:noProof/>
              <w:color w:val="auto"/>
              <w:spacing w:val="-6"/>
              <w:sz w:val="22"/>
              <w:szCs w:val="22"/>
              <w:lang w:eastAsia="en-IN"/>
            </w:rPr>
            <w:fldChar w:fldCharType="end"/>
          </w:r>
        </w:sdtContent>
      </w:sdt>
    </w:p>
    <w:p w:rsidR="007E7434" w:rsidRPr="007E7434" w:rsidRDefault="007E7434" w:rsidP="007E7434">
      <w:pPr>
        <w:spacing w:after="0" w:line="360" w:lineRule="auto"/>
        <w:ind w:left="360"/>
        <w:jc w:val="both"/>
        <w:rPr>
          <w:rFonts w:ascii="Times New Roman" w:eastAsia="Times New Roman" w:hAnsi="Times New Roman"/>
          <w:spacing w:val="-6"/>
          <w:sz w:val="24"/>
          <w:szCs w:val="24"/>
          <w:lang w:eastAsia="en-IN"/>
        </w:rPr>
      </w:pPr>
    </w:p>
    <w:p w:rsidR="00EB1F6F" w:rsidRPr="00814DB8" w:rsidRDefault="00814DB8" w:rsidP="007A7119">
      <w:pPr>
        <w:tabs>
          <w:tab w:val="left" w:pos="-1440"/>
        </w:tabs>
        <w:spacing w:after="0" w:line="360" w:lineRule="auto"/>
        <w:jc w:val="both"/>
        <w:rPr>
          <w:rFonts w:ascii="Times New Roman" w:hAnsi="Times New Roman"/>
          <w:b/>
          <w:sz w:val="24"/>
          <w:szCs w:val="24"/>
        </w:rPr>
      </w:pPr>
      <w:r w:rsidRPr="00814DB8">
        <w:rPr>
          <w:rFonts w:ascii="Times New Roman" w:hAnsi="Times New Roman"/>
          <w:b/>
          <w:sz w:val="24"/>
          <w:szCs w:val="24"/>
        </w:rPr>
        <w:t>1.</w:t>
      </w:r>
      <w:r w:rsidR="00006073">
        <w:rPr>
          <w:rFonts w:ascii="Times New Roman" w:hAnsi="Times New Roman"/>
          <w:b/>
          <w:sz w:val="24"/>
          <w:szCs w:val="24"/>
        </w:rPr>
        <w:t>3</w:t>
      </w:r>
      <w:r w:rsidRPr="00814DB8">
        <w:rPr>
          <w:rFonts w:ascii="Times New Roman" w:hAnsi="Times New Roman"/>
          <w:b/>
          <w:sz w:val="24"/>
          <w:szCs w:val="24"/>
        </w:rPr>
        <w:t>.2</w:t>
      </w:r>
      <w:r w:rsidRPr="00814DB8">
        <w:rPr>
          <w:rFonts w:ascii="Times New Roman" w:hAnsi="Times New Roman"/>
          <w:b/>
          <w:sz w:val="24"/>
          <w:szCs w:val="24"/>
        </w:rPr>
        <w:tab/>
        <w:t xml:space="preserve">Indigenous Buildings </w:t>
      </w:r>
      <w:r>
        <w:rPr>
          <w:rFonts w:ascii="Times New Roman" w:hAnsi="Times New Roman"/>
          <w:b/>
          <w:sz w:val="24"/>
          <w:szCs w:val="24"/>
        </w:rPr>
        <w:t>o</w:t>
      </w:r>
      <w:r w:rsidRPr="00814DB8">
        <w:rPr>
          <w:rFonts w:ascii="Times New Roman" w:hAnsi="Times New Roman"/>
          <w:b/>
          <w:sz w:val="24"/>
          <w:szCs w:val="24"/>
        </w:rPr>
        <w:t>f Kolkata</w:t>
      </w:r>
    </w:p>
    <w:p w:rsidR="007E7434" w:rsidRPr="007A7119" w:rsidRDefault="007E7434" w:rsidP="007A7119">
      <w:pPr>
        <w:tabs>
          <w:tab w:val="left" w:pos="-1440"/>
        </w:tabs>
        <w:spacing w:after="0" w:line="360" w:lineRule="auto"/>
        <w:jc w:val="both"/>
        <w:rPr>
          <w:rFonts w:ascii="Times New Roman" w:hAnsi="Times New Roman"/>
          <w:b/>
          <w:sz w:val="24"/>
          <w:szCs w:val="24"/>
        </w:rPr>
      </w:pPr>
    </w:p>
    <w:p w:rsidR="00A377D1" w:rsidRDefault="00EB1F6F"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Indigenous buildings,</w:t>
      </w:r>
      <w:r w:rsidR="000965C2" w:rsidRPr="007A7119">
        <w:rPr>
          <w:rFonts w:ascii="Times New Roman" w:eastAsia="Times New Roman" w:hAnsi="Times New Roman"/>
          <w:spacing w:val="-6"/>
          <w:sz w:val="24"/>
          <w:szCs w:val="24"/>
          <w:lang w:eastAsia="en-IN"/>
        </w:rPr>
        <w:t xml:space="preserve"> by virtue of being developed over prolonged period of time and thus respecting the local climate to a larger extent, are frequently found to be more climate responsive and thermally comfortable</w:t>
      </w:r>
      <w:sdt>
        <w:sdtPr>
          <w:rPr>
            <w:rFonts w:ascii="Times New Roman" w:eastAsia="Times New Roman" w:hAnsi="Times New Roman"/>
            <w:spacing w:val="-6"/>
            <w:sz w:val="24"/>
            <w:szCs w:val="24"/>
            <w:lang w:eastAsia="en-IN"/>
          </w:rPr>
          <w:id w:val="2582192"/>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Nay06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(Nayak &amp; Prajapati, 2006)</w:t>
          </w:r>
          <w:r w:rsidR="005D4839" w:rsidRPr="007A7119">
            <w:rPr>
              <w:rFonts w:ascii="Times New Roman" w:eastAsia="Times New Roman" w:hAnsi="Times New Roman"/>
              <w:spacing w:val="-6"/>
              <w:sz w:val="24"/>
              <w:szCs w:val="24"/>
              <w:lang w:eastAsia="en-IN"/>
            </w:rPr>
            <w:fldChar w:fldCharType="end"/>
          </w:r>
        </w:sdtContent>
      </w:sdt>
      <w:r w:rsidR="000965C2" w:rsidRPr="007A7119">
        <w:rPr>
          <w:rFonts w:ascii="Times New Roman" w:eastAsia="Times New Roman" w:hAnsi="Times New Roman"/>
          <w:spacing w:val="-6"/>
          <w:sz w:val="24"/>
          <w:szCs w:val="24"/>
          <w:lang w:eastAsia="en-IN"/>
        </w:rPr>
        <w:t xml:space="preserve">. </w:t>
      </w:r>
      <w:r w:rsidR="00A377D1" w:rsidRPr="007A7119">
        <w:rPr>
          <w:rFonts w:ascii="Times New Roman" w:eastAsia="Times New Roman" w:hAnsi="Times New Roman"/>
          <w:spacing w:val="-6"/>
          <w:sz w:val="24"/>
          <w:szCs w:val="24"/>
          <w:lang w:eastAsia="en-IN"/>
        </w:rPr>
        <w:t xml:space="preserve">According to Lehmann, vernacular and indigenous buildings using traditional passive design principles perform better than the modern building stocks because of their </w:t>
      </w:r>
      <w:r w:rsidR="00A377D1" w:rsidRPr="007A7119">
        <w:rPr>
          <w:rFonts w:ascii="Times New Roman" w:eastAsia="Times New Roman" w:hAnsi="Times New Roman"/>
          <w:i/>
          <w:spacing w:val="-6"/>
          <w:sz w:val="24"/>
          <w:szCs w:val="24"/>
          <w:lang w:eastAsia="en-IN"/>
        </w:rPr>
        <w:t>“heat avoidance, the appropriate use of local materials, the use of natural cross ventilation and the harnessing of natural energies offered by the location”</w:t>
      </w:r>
      <w:sdt>
        <w:sdtPr>
          <w:rPr>
            <w:rFonts w:ascii="Times New Roman" w:eastAsia="Times New Roman" w:hAnsi="Times New Roman"/>
            <w:spacing w:val="-6"/>
            <w:sz w:val="24"/>
            <w:szCs w:val="24"/>
            <w:lang w:eastAsia="en-IN"/>
          </w:rPr>
          <w:id w:val="2582661"/>
          <w:citation/>
        </w:sdtPr>
        <w:sdtContent>
          <w:r w:rsidR="005D4839" w:rsidRPr="007A7119">
            <w:rPr>
              <w:rFonts w:ascii="Times New Roman" w:eastAsia="Times New Roman" w:hAnsi="Times New Roman"/>
              <w:spacing w:val="-6"/>
              <w:sz w:val="24"/>
              <w:szCs w:val="24"/>
              <w:lang w:eastAsia="en-IN"/>
            </w:rPr>
            <w:fldChar w:fldCharType="begin"/>
          </w:r>
          <w:r w:rsidR="00A377D1" w:rsidRPr="007A7119">
            <w:rPr>
              <w:rFonts w:ascii="Times New Roman" w:eastAsia="Times New Roman" w:hAnsi="Times New Roman"/>
              <w:spacing w:val="-6"/>
              <w:sz w:val="24"/>
              <w:szCs w:val="24"/>
              <w:lang w:eastAsia="en-IN"/>
            </w:rPr>
            <w:instrText xml:space="preserve"> CITATION Leh18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 xml:space="preserve"> (Lehmann, 2011)</w:t>
          </w:r>
          <w:r w:rsidR="005D4839" w:rsidRPr="007A7119">
            <w:rPr>
              <w:rFonts w:ascii="Times New Roman" w:eastAsia="Times New Roman" w:hAnsi="Times New Roman"/>
              <w:spacing w:val="-6"/>
              <w:sz w:val="24"/>
              <w:szCs w:val="24"/>
              <w:lang w:eastAsia="en-IN"/>
            </w:rPr>
            <w:fldChar w:fldCharType="end"/>
          </w:r>
        </w:sdtContent>
      </w:sdt>
      <w:r w:rsidR="00A377D1" w:rsidRPr="007A7119">
        <w:rPr>
          <w:rFonts w:ascii="Times New Roman" w:eastAsia="Times New Roman" w:hAnsi="Times New Roman"/>
          <w:spacing w:val="-6"/>
          <w:sz w:val="24"/>
          <w:szCs w:val="24"/>
          <w:lang w:eastAsia="en-IN"/>
        </w:rPr>
        <w:t xml:space="preserve">. </w:t>
      </w:r>
    </w:p>
    <w:p w:rsidR="007E7434" w:rsidRPr="007A7119" w:rsidRDefault="007E7434" w:rsidP="007A7119">
      <w:pPr>
        <w:spacing w:after="0" w:line="360" w:lineRule="auto"/>
        <w:jc w:val="both"/>
        <w:rPr>
          <w:rFonts w:ascii="Times New Roman" w:eastAsia="Times New Roman" w:hAnsi="Times New Roman"/>
          <w:spacing w:val="-6"/>
          <w:sz w:val="24"/>
          <w:szCs w:val="24"/>
          <w:lang w:eastAsia="en-IN"/>
        </w:rPr>
      </w:pPr>
    </w:p>
    <w:p w:rsidR="00E91685" w:rsidRPr="007A7119" w:rsidRDefault="000965C2"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Kolkata, erstwhile capital of British Indian Empire as Calcutta, has a </w:t>
      </w:r>
      <w:r w:rsidR="00A377D1" w:rsidRPr="007A7119">
        <w:rPr>
          <w:rFonts w:ascii="Times New Roman" w:eastAsia="Times New Roman" w:hAnsi="Times New Roman"/>
          <w:spacing w:val="-6"/>
          <w:sz w:val="24"/>
          <w:szCs w:val="24"/>
          <w:lang w:eastAsia="en-IN"/>
        </w:rPr>
        <w:t xml:space="preserve">rich </w:t>
      </w:r>
      <w:r w:rsidRPr="007A7119">
        <w:rPr>
          <w:rFonts w:ascii="Times New Roman" w:eastAsia="Times New Roman" w:hAnsi="Times New Roman"/>
          <w:spacing w:val="-6"/>
          <w:sz w:val="24"/>
          <w:szCs w:val="24"/>
          <w:lang w:eastAsia="en-IN"/>
        </w:rPr>
        <w:t xml:space="preserve">legacy of indigenous buildings that blend the traditional Indian architecture of medieval Bengal along with the European architecture brought in by the colonial British rulers </w:t>
      </w:r>
      <w:sdt>
        <w:sdtPr>
          <w:rPr>
            <w:rFonts w:ascii="Times New Roman" w:eastAsia="Times New Roman" w:hAnsi="Times New Roman"/>
            <w:spacing w:val="-6"/>
            <w:sz w:val="24"/>
            <w:szCs w:val="24"/>
            <w:lang w:eastAsia="en-IN"/>
          </w:rPr>
          <w:id w:val="21267908"/>
          <w:citation/>
        </w:sdtPr>
        <w:sdtContent>
          <w:r w:rsidR="005D4839" w:rsidRPr="007A7119">
            <w:rPr>
              <w:rFonts w:ascii="Times New Roman" w:eastAsia="Times New Roman" w:hAnsi="Times New Roman"/>
              <w:spacing w:val="-6"/>
              <w:sz w:val="24"/>
              <w:szCs w:val="24"/>
              <w:lang w:eastAsia="en-IN"/>
            </w:rPr>
            <w:fldChar w:fldCharType="begin"/>
          </w:r>
          <w:r w:rsidRPr="007A7119">
            <w:rPr>
              <w:rFonts w:ascii="Times New Roman" w:eastAsia="Times New Roman" w:hAnsi="Times New Roman"/>
              <w:spacing w:val="-6"/>
              <w:sz w:val="24"/>
              <w:szCs w:val="24"/>
              <w:lang w:eastAsia="en-IN"/>
            </w:rPr>
            <w:instrText xml:space="preserve"> CITATION Tay16 \p 70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(Taylor &amp; Lang, 2016, p. 70)</w:t>
          </w:r>
          <w:r w:rsidR="005D4839" w:rsidRPr="007A7119">
            <w:rPr>
              <w:rFonts w:ascii="Times New Roman" w:eastAsia="Times New Roman" w:hAnsi="Times New Roman"/>
              <w:spacing w:val="-6"/>
              <w:sz w:val="24"/>
              <w:szCs w:val="24"/>
              <w:lang w:eastAsia="en-IN"/>
            </w:rPr>
            <w:fldChar w:fldCharType="end"/>
          </w:r>
        </w:sdtContent>
      </w:sdt>
      <w:r w:rsidRPr="007A7119">
        <w:rPr>
          <w:rFonts w:ascii="Times New Roman" w:eastAsia="Times New Roman" w:hAnsi="Times New Roman"/>
          <w:spacing w:val="-6"/>
          <w:sz w:val="24"/>
          <w:szCs w:val="24"/>
          <w:lang w:eastAsia="en-IN"/>
        </w:rPr>
        <w:t xml:space="preserve">. </w:t>
      </w:r>
      <w:r w:rsidR="00F44FE2" w:rsidRPr="007A7119">
        <w:rPr>
          <w:rFonts w:ascii="Times New Roman" w:eastAsia="Times New Roman" w:hAnsi="Times New Roman"/>
          <w:spacing w:val="-6"/>
          <w:sz w:val="24"/>
          <w:szCs w:val="24"/>
          <w:lang w:eastAsia="en-IN"/>
        </w:rPr>
        <w:t>B</w:t>
      </w:r>
      <w:r w:rsidR="006F50E1" w:rsidRPr="007A7119">
        <w:rPr>
          <w:rFonts w:ascii="Times New Roman" w:eastAsia="Times New Roman" w:hAnsi="Times New Roman"/>
          <w:spacing w:val="-6"/>
          <w:sz w:val="24"/>
          <w:szCs w:val="24"/>
          <w:lang w:eastAsia="en-IN"/>
        </w:rPr>
        <w:t xml:space="preserve">efore the inception of the trading </w:t>
      </w:r>
      <w:r w:rsidR="00F44FE2" w:rsidRPr="007A7119">
        <w:rPr>
          <w:rFonts w:ascii="Times New Roman" w:eastAsia="Times New Roman" w:hAnsi="Times New Roman"/>
          <w:spacing w:val="-6"/>
          <w:sz w:val="24"/>
          <w:szCs w:val="24"/>
          <w:lang w:eastAsia="en-IN"/>
        </w:rPr>
        <w:t>houses of British East India Company, the cit</w:t>
      </w:r>
      <w:r w:rsidR="00787A14" w:rsidRPr="007A7119">
        <w:rPr>
          <w:rFonts w:ascii="Times New Roman" w:eastAsia="Times New Roman" w:hAnsi="Times New Roman"/>
          <w:spacing w:val="-6"/>
          <w:sz w:val="24"/>
          <w:szCs w:val="24"/>
          <w:lang w:eastAsia="en-IN"/>
        </w:rPr>
        <w:t>y of Kolkata did not exist. In its place</w:t>
      </w:r>
      <w:r w:rsidR="00F44FE2" w:rsidRPr="007A7119">
        <w:rPr>
          <w:rFonts w:ascii="Times New Roman" w:eastAsia="Times New Roman" w:hAnsi="Times New Roman"/>
          <w:spacing w:val="-6"/>
          <w:sz w:val="24"/>
          <w:szCs w:val="24"/>
          <w:lang w:eastAsia="en-IN"/>
        </w:rPr>
        <w:t xml:space="preserve"> was a conglomerate of villages, hamlets and large tracts of marshes and forests</w:t>
      </w:r>
      <w:sdt>
        <w:sdtPr>
          <w:rPr>
            <w:rFonts w:ascii="Times New Roman" w:eastAsia="Times New Roman" w:hAnsi="Times New Roman"/>
            <w:spacing w:val="-6"/>
            <w:sz w:val="24"/>
            <w:szCs w:val="24"/>
            <w:lang w:eastAsia="en-IN"/>
          </w:rPr>
          <w:id w:val="2583320"/>
          <w:citation/>
        </w:sdtPr>
        <w:sdtContent>
          <w:r w:rsidR="005D4839" w:rsidRPr="007A7119">
            <w:rPr>
              <w:rFonts w:ascii="Times New Roman" w:eastAsia="Times New Roman" w:hAnsi="Times New Roman"/>
              <w:spacing w:val="-6"/>
              <w:sz w:val="24"/>
              <w:szCs w:val="24"/>
              <w:lang w:eastAsia="en-IN"/>
            </w:rPr>
            <w:fldChar w:fldCharType="begin"/>
          </w:r>
          <w:r w:rsidR="006F50E1" w:rsidRPr="007A7119">
            <w:rPr>
              <w:rFonts w:ascii="Times New Roman" w:eastAsia="Times New Roman" w:hAnsi="Times New Roman"/>
              <w:spacing w:val="-6"/>
              <w:sz w:val="24"/>
              <w:szCs w:val="24"/>
              <w:lang w:eastAsia="en-IN"/>
            </w:rPr>
            <w:instrText xml:space="preserve"> CITATION Das90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 xml:space="preserve"> (Das Gupta, 1990)</w:t>
          </w:r>
          <w:r w:rsidR="005D4839" w:rsidRPr="007A7119">
            <w:rPr>
              <w:rFonts w:ascii="Times New Roman" w:eastAsia="Times New Roman" w:hAnsi="Times New Roman"/>
              <w:spacing w:val="-6"/>
              <w:sz w:val="24"/>
              <w:szCs w:val="24"/>
              <w:lang w:eastAsia="en-IN"/>
            </w:rPr>
            <w:fldChar w:fldCharType="end"/>
          </w:r>
        </w:sdtContent>
      </w:sdt>
      <w:r w:rsidR="00F44FE2" w:rsidRPr="007A7119">
        <w:rPr>
          <w:rFonts w:ascii="Times New Roman" w:eastAsia="Times New Roman" w:hAnsi="Times New Roman"/>
          <w:spacing w:val="-6"/>
          <w:sz w:val="24"/>
          <w:szCs w:val="24"/>
          <w:lang w:eastAsia="en-IN"/>
        </w:rPr>
        <w:t xml:space="preserve">. </w:t>
      </w:r>
      <w:r w:rsidR="00E91685" w:rsidRPr="007A7119">
        <w:rPr>
          <w:rFonts w:ascii="Times New Roman" w:eastAsia="Times New Roman" w:hAnsi="Times New Roman"/>
          <w:spacing w:val="-6"/>
          <w:sz w:val="24"/>
          <w:szCs w:val="24"/>
          <w:lang w:eastAsia="en-IN"/>
        </w:rPr>
        <w:t xml:space="preserve">Thus the new indigenous architecture that developed with the flourish of urbanization in Kolkata took a new shape and, according to Kamalika Bose on one hand </w:t>
      </w:r>
      <w:sdt>
        <w:sdtPr>
          <w:rPr>
            <w:rFonts w:ascii="Times New Roman" w:eastAsia="Times New Roman" w:hAnsi="Times New Roman"/>
            <w:spacing w:val="-6"/>
            <w:sz w:val="24"/>
            <w:szCs w:val="24"/>
            <w:lang w:eastAsia="en-IN"/>
          </w:rPr>
          <w:id w:val="2583322"/>
          <w:citation/>
        </w:sdtPr>
        <w:sdtContent>
          <w:r w:rsidR="005D4839" w:rsidRPr="007A7119">
            <w:rPr>
              <w:rFonts w:ascii="Times New Roman" w:eastAsia="Times New Roman" w:hAnsi="Times New Roman"/>
              <w:spacing w:val="-6"/>
              <w:sz w:val="24"/>
              <w:szCs w:val="24"/>
              <w:lang w:eastAsia="en-IN"/>
            </w:rPr>
            <w:fldChar w:fldCharType="begin"/>
          </w:r>
          <w:r w:rsidR="00E91685" w:rsidRPr="007A7119">
            <w:rPr>
              <w:rFonts w:ascii="Times New Roman" w:eastAsia="Times New Roman" w:hAnsi="Times New Roman"/>
              <w:spacing w:val="-6"/>
              <w:sz w:val="24"/>
              <w:szCs w:val="24"/>
              <w:lang w:eastAsia="en-IN"/>
            </w:rPr>
            <w:instrText xml:space="preserve"> CITATION Bos08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(Bose, 2008)</w:t>
          </w:r>
          <w:r w:rsidR="005D4839" w:rsidRPr="007A7119">
            <w:rPr>
              <w:rFonts w:ascii="Times New Roman" w:eastAsia="Times New Roman" w:hAnsi="Times New Roman"/>
              <w:spacing w:val="-6"/>
              <w:sz w:val="24"/>
              <w:szCs w:val="24"/>
              <w:lang w:eastAsia="en-IN"/>
            </w:rPr>
            <w:fldChar w:fldCharType="end"/>
          </w:r>
        </w:sdtContent>
      </w:sdt>
      <w:r w:rsidR="00E91685" w:rsidRPr="007A7119">
        <w:rPr>
          <w:rFonts w:ascii="Times New Roman" w:eastAsia="Times New Roman" w:hAnsi="Times New Roman"/>
          <w:spacing w:val="-6"/>
          <w:sz w:val="24"/>
          <w:szCs w:val="24"/>
          <w:lang w:eastAsia="en-IN"/>
        </w:rPr>
        <w:t xml:space="preserve"> and Joanne Taylor on the other</w:t>
      </w:r>
      <w:sdt>
        <w:sdtPr>
          <w:rPr>
            <w:rFonts w:ascii="Times New Roman" w:eastAsia="Times New Roman" w:hAnsi="Times New Roman"/>
            <w:spacing w:val="-6"/>
            <w:sz w:val="24"/>
            <w:szCs w:val="24"/>
            <w:lang w:eastAsia="en-IN"/>
          </w:rPr>
          <w:id w:val="2583323"/>
          <w:citation/>
        </w:sdtPr>
        <w:sdtContent>
          <w:r w:rsidR="005D4839" w:rsidRPr="007A7119">
            <w:rPr>
              <w:rFonts w:ascii="Times New Roman" w:eastAsia="Times New Roman" w:hAnsi="Times New Roman"/>
              <w:spacing w:val="-6"/>
              <w:sz w:val="24"/>
              <w:szCs w:val="24"/>
              <w:lang w:eastAsia="en-IN"/>
            </w:rPr>
            <w:fldChar w:fldCharType="begin"/>
          </w:r>
          <w:r w:rsidR="00E91685" w:rsidRPr="007A7119">
            <w:rPr>
              <w:rFonts w:ascii="Times New Roman" w:eastAsia="Times New Roman" w:hAnsi="Times New Roman"/>
              <w:spacing w:val="-6"/>
              <w:sz w:val="24"/>
              <w:szCs w:val="24"/>
              <w:lang w:eastAsia="en-IN"/>
            </w:rPr>
            <w:instrText xml:space="preserve"> CITATION Tay16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 xml:space="preserve"> (Taylor &amp; Lang, 2016)</w:t>
          </w:r>
          <w:r w:rsidR="005D4839" w:rsidRPr="007A7119">
            <w:rPr>
              <w:rFonts w:ascii="Times New Roman" w:eastAsia="Times New Roman" w:hAnsi="Times New Roman"/>
              <w:spacing w:val="-6"/>
              <w:sz w:val="24"/>
              <w:szCs w:val="24"/>
              <w:lang w:eastAsia="en-IN"/>
            </w:rPr>
            <w:fldChar w:fldCharType="end"/>
          </w:r>
        </w:sdtContent>
      </w:sdt>
      <w:r w:rsidR="00E91685" w:rsidRPr="007A7119">
        <w:rPr>
          <w:rFonts w:ascii="Times New Roman" w:eastAsia="Times New Roman" w:hAnsi="Times New Roman"/>
          <w:spacing w:val="-6"/>
          <w:sz w:val="24"/>
          <w:szCs w:val="24"/>
          <w:lang w:eastAsia="en-IN"/>
        </w:rPr>
        <w:t>, was a judicious mix of five architectural prototypes, viz –</w:t>
      </w:r>
    </w:p>
    <w:p w:rsidR="00E91685" w:rsidRPr="007A7119" w:rsidRDefault="00E91685" w:rsidP="007A7119">
      <w:pPr>
        <w:pStyle w:val="ListParagraph"/>
        <w:numPr>
          <w:ilvl w:val="0"/>
          <w:numId w:val="8"/>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European residential architecture that followed the Palladian design to some extent</w:t>
      </w:r>
    </w:p>
    <w:p w:rsidR="00E91685" w:rsidRPr="007A7119" w:rsidRDefault="00E91685" w:rsidP="007A7119">
      <w:pPr>
        <w:pStyle w:val="ListParagraph"/>
        <w:numPr>
          <w:ilvl w:val="0"/>
          <w:numId w:val="8"/>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Non-residential architecture of European quarter</w:t>
      </w:r>
    </w:p>
    <w:p w:rsidR="00E91685" w:rsidRPr="007A7119" w:rsidRDefault="00E91685" w:rsidP="007A7119">
      <w:pPr>
        <w:pStyle w:val="ListParagraph"/>
        <w:numPr>
          <w:ilvl w:val="0"/>
          <w:numId w:val="8"/>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European bungalows that was an anglicized adaptation of Bengal hut</w:t>
      </w:r>
    </w:p>
    <w:p w:rsidR="00E91685" w:rsidRPr="007A7119" w:rsidRDefault="00777023" w:rsidP="007A7119">
      <w:pPr>
        <w:pStyle w:val="ListParagraph"/>
        <w:numPr>
          <w:ilvl w:val="0"/>
          <w:numId w:val="8"/>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lastRenderedPageBreak/>
        <w:t>Houses of rural rich</w:t>
      </w:r>
      <w:r w:rsidR="00E91685" w:rsidRPr="007A7119">
        <w:rPr>
          <w:rFonts w:ascii="Times New Roman" w:eastAsia="Times New Roman" w:hAnsi="Times New Roman"/>
          <w:spacing w:val="-6"/>
          <w:sz w:val="24"/>
          <w:szCs w:val="24"/>
          <w:lang w:eastAsia="en-IN"/>
        </w:rPr>
        <w:t xml:space="preserve"> of Bengal</w:t>
      </w:r>
    </w:p>
    <w:p w:rsidR="00E91685" w:rsidRPr="007A7119" w:rsidRDefault="00E91685" w:rsidP="007A7119">
      <w:pPr>
        <w:pStyle w:val="ListParagraph"/>
        <w:numPr>
          <w:ilvl w:val="0"/>
          <w:numId w:val="8"/>
        </w:num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The design prototype of north Indian haveli, that came to Bengal with its Islamic rulers.</w:t>
      </w:r>
    </w:p>
    <w:p w:rsidR="007E7434" w:rsidRDefault="007E7434" w:rsidP="007A7119">
      <w:pPr>
        <w:spacing w:after="0" w:line="360" w:lineRule="auto"/>
        <w:jc w:val="both"/>
        <w:rPr>
          <w:rFonts w:ascii="Times New Roman" w:eastAsia="Times New Roman" w:hAnsi="Times New Roman"/>
          <w:spacing w:val="-6"/>
          <w:sz w:val="24"/>
          <w:szCs w:val="24"/>
          <w:lang w:eastAsia="en-IN"/>
        </w:rPr>
      </w:pPr>
    </w:p>
    <w:p w:rsidR="00F44FE2" w:rsidRDefault="00F44FE2"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This indigenous architecture</w:t>
      </w:r>
      <w:r w:rsidR="00E91685" w:rsidRPr="007A7119">
        <w:rPr>
          <w:rFonts w:ascii="Times New Roman" w:eastAsia="Times New Roman" w:hAnsi="Times New Roman"/>
          <w:spacing w:val="-6"/>
          <w:sz w:val="24"/>
          <w:szCs w:val="24"/>
          <w:lang w:eastAsia="en-IN"/>
        </w:rPr>
        <w:t xml:space="preserve"> that took shape in late 17</w:t>
      </w:r>
      <w:r w:rsidR="00E91685" w:rsidRPr="007A7119">
        <w:rPr>
          <w:rFonts w:ascii="Times New Roman" w:eastAsia="Times New Roman" w:hAnsi="Times New Roman"/>
          <w:spacing w:val="-6"/>
          <w:sz w:val="24"/>
          <w:szCs w:val="24"/>
          <w:vertAlign w:val="superscript"/>
          <w:lang w:eastAsia="en-IN"/>
        </w:rPr>
        <w:t>th</w:t>
      </w:r>
      <w:r w:rsidR="00E91685" w:rsidRPr="007A7119">
        <w:rPr>
          <w:rFonts w:ascii="Times New Roman" w:eastAsia="Times New Roman" w:hAnsi="Times New Roman"/>
          <w:spacing w:val="-6"/>
          <w:sz w:val="24"/>
          <w:szCs w:val="24"/>
          <w:lang w:eastAsia="en-IN"/>
        </w:rPr>
        <w:t xml:space="preserve"> and early 18</w:t>
      </w:r>
      <w:r w:rsidR="00E91685" w:rsidRPr="007A7119">
        <w:rPr>
          <w:rFonts w:ascii="Times New Roman" w:eastAsia="Times New Roman" w:hAnsi="Times New Roman"/>
          <w:spacing w:val="-6"/>
          <w:sz w:val="24"/>
          <w:szCs w:val="24"/>
          <w:vertAlign w:val="superscript"/>
          <w:lang w:eastAsia="en-IN"/>
        </w:rPr>
        <w:t>th</w:t>
      </w:r>
      <w:r w:rsidR="00E91685" w:rsidRPr="007A7119">
        <w:rPr>
          <w:rFonts w:ascii="Times New Roman" w:eastAsia="Times New Roman" w:hAnsi="Times New Roman"/>
          <w:spacing w:val="-6"/>
          <w:sz w:val="24"/>
          <w:szCs w:val="24"/>
          <w:lang w:eastAsia="en-IN"/>
        </w:rPr>
        <w:t xml:space="preserve"> century Kolkata had </w:t>
      </w:r>
      <w:r w:rsidR="00245873" w:rsidRPr="007A7119">
        <w:rPr>
          <w:rFonts w:ascii="Times New Roman" w:eastAsia="Times New Roman" w:hAnsi="Times New Roman"/>
          <w:spacing w:val="-6"/>
          <w:sz w:val="24"/>
          <w:szCs w:val="24"/>
          <w:lang w:eastAsia="en-IN"/>
        </w:rPr>
        <w:t xml:space="preserve">some </w:t>
      </w:r>
      <w:r w:rsidR="00E91685" w:rsidRPr="007A7119">
        <w:rPr>
          <w:rFonts w:ascii="Times New Roman" w:eastAsia="Times New Roman" w:hAnsi="Times New Roman"/>
          <w:spacing w:val="-6"/>
          <w:sz w:val="24"/>
          <w:szCs w:val="24"/>
          <w:lang w:eastAsia="en-IN"/>
        </w:rPr>
        <w:t>typical components</w:t>
      </w:r>
      <w:r w:rsidR="00777023" w:rsidRPr="007A7119">
        <w:rPr>
          <w:rFonts w:ascii="Times New Roman" w:eastAsia="Times New Roman" w:hAnsi="Times New Roman"/>
          <w:spacing w:val="-6"/>
          <w:sz w:val="24"/>
          <w:szCs w:val="24"/>
          <w:lang w:eastAsia="en-IN"/>
        </w:rPr>
        <w:t xml:space="preserve">, especially in the houses of the reach traders, landlords and administrative assistants of the British administrators. </w:t>
      </w:r>
      <w:r w:rsidR="00245873" w:rsidRPr="007A7119">
        <w:rPr>
          <w:rFonts w:ascii="Times New Roman" w:eastAsia="Times New Roman" w:hAnsi="Times New Roman"/>
          <w:spacing w:val="-6"/>
          <w:sz w:val="24"/>
          <w:szCs w:val="24"/>
          <w:lang w:eastAsia="en-IN"/>
        </w:rPr>
        <w:t>The design initiated from the sprawling mansions of the landlords of rural Bengal and initial mansions of Kolkata such as the palace of Maharaja Nabakrishna Deb Bahadur spread out in a similar manner over a vast tract of land. However, shortage of area and other</w:t>
      </w:r>
      <w:r w:rsidR="00DC57C3" w:rsidRPr="007A7119">
        <w:rPr>
          <w:rFonts w:ascii="Times New Roman" w:eastAsia="Times New Roman" w:hAnsi="Times New Roman"/>
          <w:spacing w:val="-6"/>
          <w:sz w:val="24"/>
          <w:szCs w:val="24"/>
          <w:lang w:eastAsia="en-IN"/>
        </w:rPr>
        <w:t xml:space="preserve"> socio-economic</w:t>
      </w:r>
      <w:r w:rsidR="00245873" w:rsidRPr="007A7119">
        <w:rPr>
          <w:rFonts w:ascii="Times New Roman" w:eastAsia="Times New Roman" w:hAnsi="Times New Roman"/>
          <w:spacing w:val="-6"/>
          <w:sz w:val="24"/>
          <w:szCs w:val="24"/>
          <w:lang w:eastAsia="en-IN"/>
        </w:rPr>
        <w:t xml:space="preserve"> design needs later changed the design prototype into a more compact typology </w:t>
      </w:r>
      <w:sdt>
        <w:sdtPr>
          <w:rPr>
            <w:rFonts w:ascii="Times New Roman" w:eastAsia="Times New Roman" w:hAnsi="Times New Roman"/>
            <w:spacing w:val="-6"/>
            <w:sz w:val="24"/>
            <w:szCs w:val="24"/>
            <w:lang w:eastAsia="en-IN"/>
          </w:rPr>
          <w:id w:val="2583324"/>
          <w:citation/>
        </w:sdtPr>
        <w:sdtContent>
          <w:r w:rsidR="005D4839" w:rsidRPr="007A7119">
            <w:rPr>
              <w:rFonts w:ascii="Times New Roman" w:eastAsia="Times New Roman" w:hAnsi="Times New Roman"/>
              <w:spacing w:val="-6"/>
              <w:sz w:val="24"/>
              <w:szCs w:val="24"/>
              <w:lang w:eastAsia="en-IN"/>
            </w:rPr>
            <w:fldChar w:fldCharType="begin"/>
          </w:r>
          <w:r w:rsidR="00245873" w:rsidRPr="007A7119">
            <w:rPr>
              <w:rFonts w:ascii="Times New Roman" w:eastAsia="Times New Roman" w:hAnsi="Times New Roman"/>
              <w:spacing w:val="-6"/>
              <w:sz w:val="24"/>
              <w:szCs w:val="24"/>
              <w:lang w:eastAsia="en-IN"/>
            </w:rPr>
            <w:instrText xml:space="preserve"> CITATION Tay16 \p 177 \l 16393  </w:instrText>
          </w:r>
          <w:r w:rsidR="005D4839" w:rsidRPr="007A7119">
            <w:rPr>
              <w:rFonts w:ascii="Times New Roman" w:eastAsia="Times New Roman" w:hAnsi="Times New Roman"/>
              <w:spacing w:val="-6"/>
              <w:sz w:val="24"/>
              <w:szCs w:val="24"/>
              <w:lang w:eastAsia="en-IN"/>
            </w:rPr>
            <w:fldChar w:fldCharType="separate"/>
          </w:r>
          <w:r w:rsidR="00245873" w:rsidRPr="007A7119">
            <w:rPr>
              <w:rFonts w:ascii="Times New Roman" w:eastAsia="Times New Roman" w:hAnsi="Times New Roman"/>
              <w:noProof/>
              <w:spacing w:val="-6"/>
              <w:sz w:val="24"/>
              <w:szCs w:val="24"/>
              <w:lang w:eastAsia="en-IN"/>
            </w:rPr>
            <w:t>(Taylor &amp; Lang, 2016, p. 177)</w:t>
          </w:r>
          <w:r w:rsidR="005D4839" w:rsidRPr="007A7119">
            <w:rPr>
              <w:rFonts w:ascii="Times New Roman" w:eastAsia="Times New Roman" w:hAnsi="Times New Roman"/>
              <w:spacing w:val="-6"/>
              <w:sz w:val="24"/>
              <w:szCs w:val="24"/>
              <w:lang w:eastAsia="en-IN"/>
            </w:rPr>
            <w:fldChar w:fldCharType="end"/>
          </w:r>
        </w:sdtContent>
      </w:sdt>
      <w:r w:rsidR="00DC57C3" w:rsidRPr="007A7119">
        <w:rPr>
          <w:rFonts w:ascii="Times New Roman" w:eastAsia="Times New Roman" w:hAnsi="Times New Roman"/>
          <w:spacing w:val="-6"/>
          <w:sz w:val="24"/>
          <w:szCs w:val="24"/>
          <w:lang w:eastAsia="en-IN"/>
        </w:rPr>
        <w:t xml:space="preserve">. The entire plan got divided into two broad parts – (a) </w:t>
      </w:r>
      <w:r w:rsidR="00DC57C3" w:rsidRPr="007A7119">
        <w:rPr>
          <w:rFonts w:ascii="Times New Roman" w:eastAsia="Times New Roman" w:hAnsi="Times New Roman"/>
          <w:i/>
          <w:spacing w:val="-6"/>
          <w:sz w:val="24"/>
          <w:szCs w:val="24"/>
          <w:lang w:eastAsia="en-IN"/>
        </w:rPr>
        <w:t>Bahir Mahal</w:t>
      </w:r>
      <w:r w:rsidR="00DC57C3" w:rsidRPr="007A7119">
        <w:rPr>
          <w:rFonts w:ascii="Times New Roman" w:eastAsia="Times New Roman" w:hAnsi="Times New Roman"/>
          <w:spacing w:val="-6"/>
          <w:sz w:val="24"/>
          <w:szCs w:val="24"/>
          <w:lang w:eastAsia="en-IN"/>
        </w:rPr>
        <w:t xml:space="preserve"> or the Outer House and (b) </w:t>
      </w:r>
      <w:r w:rsidR="00DC57C3" w:rsidRPr="007A7119">
        <w:rPr>
          <w:rFonts w:ascii="Times New Roman" w:eastAsia="Times New Roman" w:hAnsi="Times New Roman"/>
          <w:i/>
          <w:spacing w:val="-6"/>
          <w:sz w:val="24"/>
          <w:szCs w:val="24"/>
          <w:lang w:eastAsia="en-IN"/>
        </w:rPr>
        <w:t>Andar Mahal</w:t>
      </w:r>
      <w:r w:rsidR="00DC57C3" w:rsidRPr="007A7119">
        <w:rPr>
          <w:rFonts w:ascii="Times New Roman" w:eastAsia="Times New Roman" w:hAnsi="Times New Roman"/>
          <w:spacing w:val="-6"/>
          <w:sz w:val="24"/>
          <w:szCs w:val="24"/>
          <w:lang w:eastAsia="en-IN"/>
        </w:rPr>
        <w:t xml:space="preserve"> or the Inner House (Fig. 1.</w:t>
      </w:r>
      <w:r w:rsidR="00C26C8A">
        <w:rPr>
          <w:rFonts w:ascii="Times New Roman" w:eastAsia="Times New Roman" w:hAnsi="Times New Roman"/>
          <w:spacing w:val="-6"/>
          <w:sz w:val="24"/>
          <w:szCs w:val="24"/>
          <w:lang w:eastAsia="en-IN"/>
        </w:rPr>
        <w:t>11</w:t>
      </w:r>
      <w:r w:rsidR="00DC57C3" w:rsidRPr="007A7119">
        <w:rPr>
          <w:rFonts w:ascii="Times New Roman" w:eastAsia="Times New Roman" w:hAnsi="Times New Roman"/>
          <w:spacing w:val="-6"/>
          <w:sz w:val="24"/>
          <w:szCs w:val="24"/>
          <w:lang w:eastAsia="en-IN"/>
        </w:rPr>
        <w:t xml:space="preserve">). Both these portions of the house would be typically designed around a courtyard that would be the centre of life for the built spaces around. </w:t>
      </w:r>
    </w:p>
    <w:p w:rsidR="00C26C8A" w:rsidRPr="007A7119" w:rsidRDefault="00C26C8A" w:rsidP="007A7119">
      <w:pPr>
        <w:spacing w:after="0" w:line="360" w:lineRule="auto"/>
        <w:jc w:val="both"/>
        <w:rPr>
          <w:rFonts w:ascii="Times New Roman" w:eastAsia="Times New Roman" w:hAnsi="Times New Roman"/>
          <w:spacing w:val="-6"/>
          <w:sz w:val="24"/>
          <w:szCs w:val="24"/>
          <w:lang w:eastAsia="en-IN"/>
        </w:rPr>
      </w:pPr>
    </w:p>
    <w:p w:rsidR="00DC57C3" w:rsidRPr="007A7119" w:rsidRDefault="00245873" w:rsidP="007A7119">
      <w:pPr>
        <w:keepNext/>
        <w:spacing w:after="0" w:line="360" w:lineRule="auto"/>
        <w:jc w:val="center"/>
        <w:rPr>
          <w:rFonts w:ascii="Times New Roman" w:hAnsi="Times New Roman"/>
          <w:sz w:val="24"/>
          <w:szCs w:val="24"/>
        </w:rPr>
      </w:pPr>
      <w:r w:rsidRPr="007A7119">
        <w:rPr>
          <w:rFonts w:ascii="Times New Roman" w:eastAsia="Times New Roman" w:hAnsi="Times New Roman"/>
          <w:noProof/>
          <w:spacing w:val="-6"/>
          <w:sz w:val="24"/>
          <w:szCs w:val="24"/>
          <w:lang w:val="en-US" w:bidi="hi-IN"/>
        </w:rPr>
        <w:drawing>
          <wp:inline distT="0" distB="0" distL="0" distR="0">
            <wp:extent cx="3938969" cy="3279252"/>
            <wp:effectExtent l="19050" t="19050" r="23431" b="16398"/>
            <wp:docPr id="9" name="Picture 8" descr="20190324_2025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90324_202510.jpg"/>
                    <pic:cNvPicPr/>
                  </pic:nvPicPr>
                  <pic:blipFill>
                    <a:blip r:embed="rId19" cstate="print"/>
                    <a:stretch>
                      <a:fillRect/>
                    </a:stretch>
                  </pic:blipFill>
                  <pic:spPr>
                    <a:xfrm>
                      <a:off x="0" y="0"/>
                      <a:ext cx="3941581" cy="3281426"/>
                    </a:xfrm>
                    <a:prstGeom prst="rect">
                      <a:avLst/>
                    </a:prstGeom>
                    <a:ln>
                      <a:solidFill>
                        <a:schemeClr val="tx1"/>
                      </a:solidFill>
                    </a:ln>
                  </pic:spPr>
                </pic:pic>
              </a:graphicData>
            </a:graphic>
          </wp:inline>
        </w:drawing>
      </w:r>
    </w:p>
    <w:p w:rsidR="00DC57C3" w:rsidRPr="00C26C8A" w:rsidRDefault="00DC57C3" w:rsidP="007A7119">
      <w:pPr>
        <w:pStyle w:val="Caption"/>
        <w:spacing w:after="0" w:line="360" w:lineRule="auto"/>
        <w:jc w:val="center"/>
        <w:rPr>
          <w:rFonts w:ascii="Times New Roman" w:eastAsia="Times New Roman" w:hAnsi="Times New Roman"/>
          <w:bCs w:val="0"/>
          <w:iCs/>
          <w:noProof/>
          <w:color w:val="auto"/>
          <w:spacing w:val="-6"/>
          <w:sz w:val="22"/>
          <w:szCs w:val="22"/>
          <w:lang w:eastAsia="en-IN"/>
        </w:rPr>
      </w:pPr>
      <w:r w:rsidRPr="00C26C8A">
        <w:rPr>
          <w:rFonts w:ascii="Times New Roman" w:eastAsia="Times New Roman" w:hAnsi="Times New Roman"/>
          <w:bCs w:val="0"/>
          <w:iCs/>
          <w:noProof/>
          <w:color w:val="auto"/>
          <w:spacing w:val="-6"/>
          <w:sz w:val="22"/>
          <w:szCs w:val="22"/>
          <w:lang w:eastAsia="en-IN"/>
        </w:rPr>
        <w:t>Fig. 1.</w:t>
      </w:r>
      <w:r w:rsidR="00C26C8A" w:rsidRPr="00C26C8A">
        <w:rPr>
          <w:rFonts w:ascii="Times New Roman" w:eastAsia="Times New Roman" w:hAnsi="Times New Roman"/>
          <w:bCs w:val="0"/>
          <w:iCs/>
          <w:noProof/>
          <w:color w:val="auto"/>
          <w:spacing w:val="-6"/>
          <w:sz w:val="22"/>
          <w:szCs w:val="22"/>
          <w:lang w:eastAsia="en-IN"/>
        </w:rPr>
        <w:t xml:space="preserve">11: </w:t>
      </w:r>
      <w:r w:rsidRPr="00694AE4">
        <w:rPr>
          <w:rFonts w:ascii="Times New Roman" w:eastAsia="Times New Roman" w:hAnsi="Times New Roman"/>
          <w:b w:val="0"/>
          <w:iCs/>
          <w:noProof/>
          <w:color w:val="auto"/>
          <w:spacing w:val="-6"/>
          <w:sz w:val="22"/>
          <w:szCs w:val="22"/>
          <w:lang w:eastAsia="en-IN"/>
        </w:rPr>
        <w:t>Generic plan and sample generated plan of indigenous house in old Kolkata</w:t>
      </w:r>
    </w:p>
    <w:p w:rsidR="00777023" w:rsidRPr="00C26C8A" w:rsidRDefault="005D4839" w:rsidP="007A7119">
      <w:pPr>
        <w:spacing w:after="0" w:line="360" w:lineRule="auto"/>
        <w:jc w:val="center"/>
        <w:rPr>
          <w:rFonts w:ascii="Times New Roman" w:eastAsia="Times New Roman" w:hAnsi="Times New Roman"/>
          <w:iCs/>
          <w:lang w:eastAsia="en-IN"/>
        </w:rPr>
      </w:pPr>
      <w:sdt>
        <w:sdtPr>
          <w:rPr>
            <w:rFonts w:ascii="Times New Roman" w:eastAsia="Times New Roman" w:hAnsi="Times New Roman"/>
            <w:iCs/>
            <w:lang w:eastAsia="en-IN"/>
          </w:rPr>
          <w:id w:val="2583687"/>
          <w:citation/>
        </w:sdtPr>
        <w:sdtContent>
          <w:r w:rsidRPr="00C26C8A">
            <w:rPr>
              <w:rFonts w:ascii="Times New Roman" w:eastAsia="Times New Roman" w:hAnsi="Times New Roman"/>
              <w:iCs/>
              <w:lang w:eastAsia="en-IN"/>
            </w:rPr>
            <w:fldChar w:fldCharType="begin"/>
          </w:r>
          <w:r w:rsidR="00DC57C3" w:rsidRPr="00C26C8A">
            <w:rPr>
              <w:rFonts w:ascii="Times New Roman" w:eastAsia="Times New Roman" w:hAnsi="Times New Roman"/>
              <w:iCs/>
              <w:lang w:eastAsia="en-IN"/>
            </w:rPr>
            <w:instrText xml:space="preserve"> CITATION Tay16 \l 16393 </w:instrText>
          </w:r>
          <w:r w:rsidRPr="00C26C8A">
            <w:rPr>
              <w:rFonts w:ascii="Times New Roman" w:eastAsia="Times New Roman" w:hAnsi="Times New Roman"/>
              <w:iCs/>
              <w:lang w:eastAsia="en-IN"/>
            </w:rPr>
            <w:fldChar w:fldCharType="separate"/>
          </w:r>
          <w:r w:rsidR="00DC57C3" w:rsidRPr="00C26C8A">
            <w:rPr>
              <w:rFonts w:ascii="Times New Roman" w:eastAsia="Times New Roman" w:hAnsi="Times New Roman"/>
              <w:iCs/>
              <w:lang w:eastAsia="en-IN"/>
            </w:rPr>
            <w:t>(Taylor &amp; Lang, 2016)</w:t>
          </w:r>
          <w:r w:rsidRPr="00C26C8A">
            <w:rPr>
              <w:rFonts w:ascii="Times New Roman" w:eastAsia="Times New Roman" w:hAnsi="Times New Roman"/>
              <w:iCs/>
              <w:lang w:eastAsia="en-IN"/>
            </w:rPr>
            <w:fldChar w:fldCharType="end"/>
          </w:r>
        </w:sdtContent>
      </w:sdt>
    </w:p>
    <w:p w:rsidR="007E7434" w:rsidRDefault="007E7434" w:rsidP="007A7119">
      <w:pPr>
        <w:spacing w:after="0" w:line="360" w:lineRule="auto"/>
        <w:jc w:val="both"/>
        <w:rPr>
          <w:rFonts w:ascii="Times New Roman" w:eastAsia="Times New Roman" w:hAnsi="Times New Roman"/>
          <w:spacing w:val="-6"/>
          <w:sz w:val="24"/>
          <w:szCs w:val="24"/>
          <w:lang w:eastAsia="en-IN"/>
        </w:rPr>
      </w:pPr>
    </w:p>
    <w:p w:rsidR="00EC26C7" w:rsidRPr="007A7119" w:rsidRDefault="00174FDF"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 xml:space="preserve">The outer court would hold more public ceremonies like Durga Puja, dance and music programs, staging of drama or other cultural program, apart from the regular mundane functions of conducting business of the traders or zamindars. More private functions, requiring active participation of the womenfolk of the house, such as marriage etc would be done in the </w:t>
      </w:r>
      <w:r w:rsidR="00EC26C7" w:rsidRPr="007A7119">
        <w:rPr>
          <w:rFonts w:ascii="Times New Roman" w:eastAsia="Times New Roman" w:hAnsi="Times New Roman"/>
          <w:spacing w:val="-6"/>
          <w:sz w:val="24"/>
          <w:szCs w:val="24"/>
          <w:lang w:eastAsia="en-IN"/>
        </w:rPr>
        <w:t xml:space="preserve">inner courtyard </w:t>
      </w:r>
      <w:r w:rsidRPr="007A7119">
        <w:rPr>
          <w:rFonts w:ascii="Times New Roman" w:eastAsia="Times New Roman" w:hAnsi="Times New Roman"/>
          <w:spacing w:val="-6"/>
          <w:sz w:val="24"/>
          <w:szCs w:val="24"/>
          <w:lang w:eastAsia="en-IN"/>
        </w:rPr>
        <w:t xml:space="preserve">and </w:t>
      </w:r>
      <w:r w:rsidR="00EC26C7" w:rsidRPr="007A7119">
        <w:rPr>
          <w:rFonts w:ascii="Times New Roman" w:eastAsia="Times New Roman" w:hAnsi="Times New Roman"/>
          <w:spacing w:val="-6"/>
          <w:sz w:val="24"/>
          <w:szCs w:val="24"/>
          <w:lang w:eastAsia="en-IN"/>
        </w:rPr>
        <w:t xml:space="preserve">so would be the daily chores of life. Apart </w:t>
      </w:r>
      <w:r w:rsidR="00EC26C7" w:rsidRPr="007A7119">
        <w:rPr>
          <w:rFonts w:ascii="Times New Roman" w:eastAsia="Times New Roman" w:hAnsi="Times New Roman"/>
          <w:spacing w:val="-6"/>
          <w:sz w:val="24"/>
          <w:szCs w:val="24"/>
          <w:lang w:eastAsia="en-IN"/>
        </w:rPr>
        <w:lastRenderedPageBreak/>
        <w:t xml:space="preserve">from serving their social and economic functions, these courtyards also served the climatic function of providing stack effect as well as wind effect to cool the rooms. </w:t>
      </w:r>
    </w:p>
    <w:p w:rsidR="007E7434" w:rsidRDefault="007E7434" w:rsidP="007A7119">
      <w:pPr>
        <w:spacing w:after="0" w:line="360" w:lineRule="auto"/>
        <w:jc w:val="both"/>
        <w:rPr>
          <w:rFonts w:ascii="Times New Roman" w:eastAsia="Times New Roman" w:hAnsi="Times New Roman"/>
          <w:spacing w:val="-6"/>
          <w:sz w:val="24"/>
          <w:szCs w:val="24"/>
          <w:lang w:eastAsia="en-IN"/>
        </w:rPr>
      </w:pPr>
    </w:p>
    <w:p w:rsidR="009F0C92" w:rsidRDefault="00713458"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However, in the beginning of 20</w:t>
      </w:r>
      <w:r w:rsidRPr="007A7119">
        <w:rPr>
          <w:rFonts w:ascii="Times New Roman" w:eastAsia="Times New Roman" w:hAnsi="Times New Roman"/>
          <w:spacing w:val="-6"/>
          <w:sz w:val="24"/>
          <w:szCs w:val="24"/>
          <w:vertAlign w:val="superscript"/>
          <w:lang w:eastAsia="en-IN"/>
        </w:rPr>
        <w:t xml:space="preserve">th </w:t>
      </w:r>
      <w:r w:rsidRPr="007A7119">
        <w:rPr>
          <w:rFonts w:ascii="Times New Roman" w:eastAsia="Times New Roman" w:hAnsi="Times New Roman"/>
          <w:spacing w:val="-6"/>
          <w:sz w:val="24"/>
          <w:szCs w:val="24"/>
          <w:lang w:eastAsia="en-IN"/>
        </w:rPr>
        <w:t xml:space="preserve">century, certain events started transforming this design typology. These events had far reaching social, political and economic implications. It started with the partition of Bengal by Lord Curzon in 1905, followed by the shifting of capital of British India from Kolkata to Delhi in 1911. Then came the First and Second World War that hit the city economically. However, even at this time and till </w:t>
      </w:r>
      <w:r w:rsidR="0029031F" w:rsidRPr="007A7119">
        <w:rPr>
          <w:rFonts w:ascii="Times New Roman" w:eastAsia="Times New Roman" w:hAnsi="Times New Roman"/>
          <w:spacing w:val="-6"/>
          <w:sz w:val="24"/>
          <w:szCs w:val="24"/>
          <w:lang w:eastAsia="en-IN"/>
        </w:rPr>
        <w:t xml:space="preserve">1971 Kolkata was the largest city of India. But its economic degeneration had started with Independence and Partition of India, as is evident from the reducing rate of population growth since 1941-51. This had a profound effect on its architecture since the first decade of </w:t>
      </w:r>
      <w:r w:rsidR="008541C3" w:rsidRPr="007A7119">
        <w:rPr>
          <w:rFonts w:ascii="Times New Roman" w:eastAsia="Times New Roman" w:hAnsi="Times New Roman"/>
          <w:spacing w:val="-6"/>
          <w:sz w:val="24"/>
          <w:szCs w:val="24"/>
          <w:lang w:eastAsia="en-IN"/>
        </w:rPr>
        <w:t>20</w:t>
      </w:r>
      <w:r w:rsidR="008541C3" w:rsidRPr="007A7119">
        <w:rPr>
          <w:rFonts w:ascii="Times New Roman" w:eastAsia="Times New Roman" w:hAnsi="Times New Roman"/>
          <w:spacing w:val="-6"/>
          <w:sz w:val="24"/>
          <w:szCs w:val="24"/>
          <w:vertAlign w:val="superscript"/>
          <w:lang w:eastAsia="en-IN"/>
        </w:rPr>
        <w:t>th</w:t>
      </w:r>
      <w:r w:rsidR="008541C3" w:rsidRPr="007A7119">
        <w:rPr>
          <w:rFonts w:ascii="Times New Roman" w:eastAsia="Times New Roman" w:hAnsi="Times New Roman"/>
          <w:spacing w:val="-6"/>
          <w:sz w:val="24"/>
          <w:szCs w:val="24"/>
          <w:lang w:eastAsia="en-IN"/>
        </w:rPr>
        <w:t xml:space="preserve"> century. Buildings became more compact, two courtyards first merged into one courtyard and then slowly vanished from the design altogether</w:t>
      </w:r>
      <w:r w:rsidR="00C175DD">
        <w:rPr>
          <w:rFonts w:ascii="Times New Roman" w:eastAsia="Times New Roman" w:hAnsi="Times New Roman"/>
          <w:spacing w:val="-6"/>
          <w:sz w:val="24"/>
          <w:szCs w:val="24"/>
          <w:lang w:eastAsia="en-IN"/>
        </w:rPr>
        <w:t xml:space="preserve"> </w:t>
      </w:r>
      <w:sdt>
        <w:sdtPr>
          <w:rPr>
            <w:rFonts w:ascii="Times New Roman" w:eastAsia="Times New Roman" w:hAnsi="Times New Roman"/>
            <w:spacing w:val="-6"/>
            <w:sz w:val="24"/>
            <w:szCs w:val="24"/>
            <w:lang w:eastAsia="en-IN"/>
          </w:rPr>
          <w:id w:val="8528630"/>
          <w:citation/>
        </w:sdtPr>
        <w:sdtContent>
          <w:r w:rsidR="005D4839">
            <w:rPr>
              <w:rFonts w:ascii="Times New Roman" w:eastAsia="Times New Roman" w:hAnsi="Times New Roman"/>
              <w:spacing w:val="-6"/>
              <w:sz w:val="24"/>
              <w:szCs w:val="24"/>
              <w:lang w:eastAsia="en-IN"/>
            </w:rPr>
            <w:fldChar w:fldCharType="begin"/>
          </w:r>
          <w:r w:rsidR="00C175DD">
            <w:rPr>
              <w:rFonts w:ascii="Times New Roman" w:eastAsia="Times New Roman" w:hAnsi="Times New Roman"/>
              <w:spacing w:val="-6"/>
              <w:sz w:val="24"/>
              <w:szCs w:val="24"/>
              <w:lang w:val="en-US" w:eastAsia="en-IN"/>
            </w:rPr>
            <w:instrText xml:space="preserve"> CITATION Tay16 \p 270-272 \l 1033  </w:instrText>
          </w:r>
          <w:r w:rsidR="005D4839">
            <w:rPr>
              <w:rFonts w:ascii="Times New Roman" w:eastAsia="Times New Roman" w:hAnsi="Times New Roman"/>
              <w:spacing w:val="-6"/>
              <w:sz w:val="24"/>
              <w:szCs w:val="24"/>
              <w:lang w:eastAsia="en-IN"/>
            </w:rPr>
            <w:fldChar w:fldCharType="separate"/>
          </w:r>
          <w:r w:rsidR="00C175DD" w:rsidRPr="00C175DD">
            <w:rPr>
              <w:rFonts w:ascii="Times New Roman" w:eastAsia="Times New Roman" w:hAnsi="Times New Roman"/>
              <w:noProof/>
              <w:spacing w:val="-6"/>
              <w:sz w:val="24"/>
              <w:szCs w:val="24"/>
              <w:lang w:val="en-US" w:eastAsia="en-IN"/>
            </w:rPr>
            <w:t>(Taylor &amp; Lang, The Great Houses of Calcutta: their Antecedents, Precedents, Splendour and Portents, 2016, pp. 270-272)</w:t>
          </w:r>
          <w:r w:rsidR="005D4839">
            <w:rPr>
              <w:rFonts w:ascii="Times New Roman" w:eastAsia="Times New Roman" w:hAnsi="Times New Roman"/>
              <w:spacing w:val="-6"/>
              <w:sz w:val="24"/>
              <w:szCs w:val="24"/>
              <w:lang w:eastAsia="en-IN"/>
            </w:rPr>
            <w:fldChar w:fldCharType="end"/>
          </w:r>
        </w:sdtContent>
      </w:sdt>
      <w:r w:rsidR="008541C3" w:rsidRPr="007A7119">
        <w:rPr>
          <w:rFonts w:ascii="Times New Roman" w:eastAsia="Times New Roman" w:hAnsi="Times New Roman"/>
          <w:spacing w:val="-6"/>
          <w:sz w:val="24"/>
          <w:szCs w:val="24"/>
          <w:lang w:eastAsia="en-IN"/>
        </w:rPr>
        <w:t xml:space="preserve">. This has been illustrated in chapter </w:t>
      </w:r>
      <w:r w:rsidR="002C1234">
        <w:rPr>
          <w:rFonts w:ascii="Times New Roman" w:eastAsia="Times New Roman" w:hAnsi="Times New Roman"/>
          <w:spacing w:val="-6"/>
          <w:sz w:val="24"/>
          <w:szCs w:val="24"/>
          <w:lang w:eastAsia="en-IN"/>
        </w:rPr>
        <w:t>3</w:t>
      </w:r>
      <w:r w:rsidR="008541C3" w:rsidRPr="007A7119">
        <w:rPr>
          <w:rFonts w:ascii="Times New Roman" w:eastAsia="Times New Roman" w:hAnsi="Times New Roman"/>
          <w:spacing w:val="-6"/>
          <w:sz w:val="24"/>
          <w:szCs w:val="24"/>
          <w:lang w:eastAsia="en-IN"/>
        </w:rPr>
        <w:t xml:space="preserve"> where the ten old buildings surveyed under this research have been briefly described.</w:t>
      </w:r>
      <w:r w:rsidR="009F0C92" w:rsidRPr="007A7119">
        <w:rPr>
          <w:rFonts w:ascii="Times New Roman" w:eastAsia="Times New Roman" w:hAnsi="Times New Roman"/>
          <w:spacing w:val="-6"/>
          <w:sz w:val="24"/>
          <w:szCs w:val="24"/>
          <w:lang w:eastAsia="en-IN"/>
        </w:rPr>
        <w:t xml:space="preserve"> With the old design approach, their thermal comfort and heat avoidance features have also slowly vanished. It is the premise of many scholarly works on the indigenous architecture of Kolkata and other such cities that the new architecture does not have equal heat avoidance quality like the old indigenous ones. </w:t>
      </w:r>
    </w:p>
    <w:p w:rsidR="00051071" w:rsidRPr="007A7119" w:rsidRDefault="00051071" w:rsidP="007A7119">
      <w:pPr>
        <w:spacing w:after="0" w:line="360" w:lineRule="auto"/>
        <w:jc w:val="both"/>
        <w:rPr>
          <w:rFonts w:ascii="Times New Roman" w:eastAsia="Times New Roman" w:hAnsi="Times New Roman"/>
          <w:spacing w:val="-6"/>
          <w:sz w:val="24"/>
          <w:szCs w:val="24"/>
          <w:lang w:eastAsia="en-IN"/>
        </w:rPr>
      </w:pPr>
    </w:p>
    <w:p w:rsidR="000965C2" w:rsidRDefault="009F0C92" w:rsidP="007A7119">
      <w:pPr>
        <w:spacing w:after="0" w:line="360" w:lineRule="auto"/>
        <w:jc w:val="both"/>
        <w:rPr>
          <w:rFonts w:ascii="Times New Roman" w:eastAsia="Times New Roman" w:hAnsi="Times New Roman"/>
          <w:spacing w:val="-6"/>
          <w:sz w:val="24"/>
          <w:szCs w:val="24"/>
          <w:lang w:eastAsia="en-IN"/>
        </w:rPr>
      </w:pPr>
      <w:r w:rsidRPr="007A7119">
        <w:rPr>
          <w:rFonts w:ascii="Times New Roman" w:eastAsia="Times New Roman" w:hAnsi="Times New Roman"/>
          <w:spacing w:val="-6"/>
          <w:sz w:val="24"/>
          <w:szCs w:val="24"/>
          <w:lang w:eastAsia="en-IN"/>
        </w:rPr>
        <w:t>Thus, t</w:t>
      </w:r>
      <w:r w:rsidR="000965C2" w:rsidRPr="007A7119">
        <w:rPr>
          <w:rFonts w:ascii="Times New Roman" w:eastAsia="Times New Roman" w:hAnsi="Times New Roman"/>
          <w:spacing w:val="-6"/>
          <w:sz w:val="24"/>
          <w:szCs w:val="24"/>
          <w:lang w:eastAsia="en-IN"/>
        </w:rPr>
        <w:t>his research intends to explore the</w:t>
      </w:r>
      <w:r w:rsidR="002417C4" w:rsidRPr="007A7119">
        <w:rPr>
          <w:rFonts w:ascii="Times New Roman" w:eastAsia="Times New Roman" w:hAnsi="Times New Roman"/>
          <w:spacing w:val="-6"/>
          <w:sz w:val="24"/>
          <w:szCs w:val="24"/>
          <w:lang w:eastAsia="en-IN"/>
        </w:rPr>
        <w:t>se</w:t>
      </w:r>
      <w:r w:rsidR="000965C2" w:rsidRPr="007A7119">
        <w:rPr>
          <w:rFonts w:ascii="Times New Roman" w:eastAsia="Times New Roman" w:hAnsi="Times New Roman"/>
          <w:spacing w:val="-6"/>
          <w:sz w:val="24"/>
          <w:szCs w:val="24"/>
          <w:lang w:eastAsia="en-IN"/>
        </w:rPr>
        <w:t xml:space="preserve"> indigenous houses of Kolkata and assesses their thermal </w:t>
      </w:r>
      <w:r w:rsidRPr="007A7119">
        <w:rPr>
          <w:rFonts w:ascii="Times New Roman" w:eastAsia="Times New Roman" w:hAnsi="Times New Roman"/>
          <w:spacing w:val="-6"/>
          <w:sz w:val="24"/>
          <w:szCs w:val="24"/>
          <w:lang w:eastAsia="en-IN"/>
        </w:rPr>
        <w:t xml:space="preserve">performance </w:t>
      </w:r>
      <w:r w:rsidR="000965C2" w:rsidRPr="007A7119">
        <w:rPr>
          <w:rFonts w:ascii="Times New Roman" w:eastAsia="Times New Roman" w:hAnsi="Times New Roman"/>
          <w:spacing w:val="-6"/>
          <w:sz w:val="24"/>
          <w:szCs w:val="24"/>
          <w:lang w:eastAsia="en-IN"/>
        </w:rPr>
        <w:t>against their modern counterpart to seek solution to counter-balance the growing thermal discomfort condition of</w:t>
      </w:r>
      <w:r w:rsidRPr="007A7119">
        <w:rPr>
          <w:rFonts w:ascii="Times New Roman" w:eastAsia="Times New Roman" w:hAnsi="Times New Roman"/>
          <w:spacing w:val="-6"/>
          <w:sz w:val="24"/>
          <w:szCs w:val="24"/>
          <w:lang w:eastAsia="en-IN"/>
        </w:rPr>
        <w:t xml:space="preserve"> Kolkata and other similar</w:t>
      </w:r>
      <w:r w:rsidR="000965C2" w:rsidRPr="007A7119">
        <w:rPr>
          <w:rFonts w:ascii="Times New Roman" w:eastAsia="Times New Roman" w:hAnsi="Times New Roman"/>
          <w:spacing w:val="-6"/>
          <w:sz w:val="24"/>
          <w:szCs w:val="24"/>
          <w:lang w:eastAsia="en-IN"/>
        </w:rPr>
        <w:t xml:space="preserve"> Indian cities. </w:t>
      </w:r>
    </w:p>
    <w:p w:rsidR="00C26C8A" w:rsidRDefault="00C26C8A" w:rsidP="007A7119">
      <w:pPr>
        <w:spacing w:after="0" w:line="360" w:lineRule="auto"/>
        <w:jc w:val="both"/>
        <w:rPr>
          <w:rFonts w:ascii="Times New Roman" w:eastAsia="Times New Roman" w:hAnsi="Times New Roman"/>
          <w:spacing w:val="-6"/>
          <w:sz w:val="24"/>
          <w:szCs w:val="24"/>
          <w:lang w:eastAsia="en-IN"/>
        </w:rPr>
      </w:pPr>
    </w:p>
    <w:p w:rsidR="00C26C8A" w:rsidRPr="00AC4574" w:rsidRDefault="00C26C8A" w:rsidP="00C26C8A">
      <w:pPr>
        <w:autoSpaceDE w:val="0"/>
        <w:autoSpaceDN w:val="0"/>
        <w:adjustRightInd w:val="0"/>
        <w:spacing w:after="0" w:line="360" w:lineRule="auto"/>
        <w:jc w:val="lowKashida"/>
        <w:rPr>
          <w:rFonts w:ascii="Times New Roman" w:hAnsi="Times New Roman"/>
          <w:sz w:val="24"/>
          <w:szCs w:val="24"/>
        </w:rPr>
      </w:pPr>
      <w:r w:rsidRPr="00AC4574">
        <w:rPr>
          <w:rFonts w:ascii="Times New Roman" w:hAnsi="Times New Roman"/>
          <w:sz w:val="24"/>
          <w:szCs w:val="24"/>
        </w:rPr>
        <w:t xml:space="preserve">It is noteworthy that IPCC (2023) in its report has observed that the phenomenon of global warming has increased particularly from the year 1970 onwards. This research therefore divides its sample study buildings into two parts – pre-1970, designated as Old buildings and post-1970, designated as New buildings. </w:t>
      </w:r>
    </w:p>
    <w:p w:rsidR="007E7434" w:rsidRDefault="007E7434" w:rsidP="007A7119">
      <w:pPr>
        <w:tabs>
          <w:tab w:val="left" w:pos="-1440"/>
        </w:tabs>
        <w:spacing w:after="0" w:line="360" w:lineRule="auto"/>
        <w:jc w:val="both"/>
        <w:rPr>
          <w:rFonts w:ascii="Times New Roman" w:hAnsi="Times New Roman"/>
          <w:b/>
          <w:sz w:val="24"/>
          <w:szCs w:val="24"/>
        </w:rPr>
      </w:pPr>
    </w:p>
    <w:p w:rsidR="00BA067E" w:rsidRPr="007A7119" w:rsidRDefault="00BA067E" w:rsidP="007A7119">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w:t>
      </w:r>
      <w:r w:rsidR="00006073">
        <w:rPr>
          <w:rFonts w:ascii="Times New Roman" w:hAnsi="Times New Roman"/>
          <w:b/>
          <w:sz w:val="24"/>
          <w:szCs w:val="24"/>
        </w:rPr>
        <w:t>4</w:t>
      </w:r>
      <w:r w:rsidRPr="007A7119">
        <w:rPr>
          <w:rFonts w:ascii="Times New Roman" w:hAnsi="Times New Roman"/>
          <w:b/>
          <w:sz w:val="24"/>
          <w:szCs w:val="24"/>
        </w:rPr>
        <w:tab/>
      </w:r>
      <w:r w:rsidR="00E43B3B" w:rsidRPr="007A7119">
        <w:rPr>
          <w:rFonts w:ascii="Times New Roman" w:hAnsi="Times New Roman"/>
          <w:b/>
          <w:sz w:val="24"/>
          <w:szCs w:val="24"/>
        </w:rPr>
        <w:t>RESEARCH</w:t>
      </w:r>
      <w:r w:rsidR="00F078AF">
        <w:rPr>
          <w:rFonts w:ascii="Times New Roman" w:hAnsi="Times New Roman"/>
          <w:b/>
          <w:sz w:val="24"/>
          <w:szCs w:val="24"/>
        </w:rPr>
        <w:t xml:space="preserve"> GAPS</w:t>
      </w:r>
    </w:p>
    <w:p w:rsidR="007E7434" w:rsidRDefault="007E7434" w:rsidP="007A7119">
      <w:pPr>
        <w:spacing w:after="0" w:line="360" w:lineRule="auto"/>
        <w:jc w:val="both"/>
        <w:rPr>
          <w:rFonts w:ascii="Times New Roman" w:eastAsia="Times New Roman" w:hAnsi="Times New Roman"/>
          <w:sz w:val="24"/>
          <w:szCs w:val="24"/>
          <w:lang w:eastAsia="en-IN"/>
        </w:rPr>
      </w:pPr>
    </w:p>
    <w:p w:rsidR="00BA067E" w:rsidRDefault="00FC4E50" w:rsidP="007A7119">
      <w:pPr>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Thre following</w:t>
      </w:r>
      <w:r w:rsidR="00F87414" w:rsidRPr="007A7119">
        <w:rPr>
          <w:rFonts w:ascii="Times New Roman" w:eastAsia="Times New Roman" w:hAnsi="Times New Roman"/>
          <w:sz w:val="24"/>
          <w:szCs w:val="24"/>
          <w:lang w:eastAsia="en-IN"/>
        </w:rPr>
        <w:t xml:space="preserve"> research gaps have been identified in the domain</w:t>
      </w:r>
      <w:r>
        <w:rPr>
          <w:rFonts w:ascii="Times New Roman" w:eastAsia="Times New Roman" w:hAnsi="Times New Roman"/>
          <w:sz w:val="24"/>
          <w:szCs w:val="24"/>
          <w:lang w:eastAsia="en-IN"/>
        </w:rPr>
        <w:t xml:space="preserve"> and the site city</w:t>
      </w:r>
      <w:r w:rsidR="00F87414" w:rsidRPr="007A7119">
        <w:rPr>
          <w:rFonts w:ascii="Times New Roman" w:eastAsia="Times New Roman" w:hAnsi="Times New Roman"/>
          <w:sz w:val="24"/>
          <w:szCs w:val="24"/>
          <w:lang w:eastAsia="en-IN"/>
        </w:rPr>
        <w:t>:</w:t>
      </w:r>
    </w:p>
    <w:p w:rsidR="002673BB" w:rsidRPr="007A7119" w:rsidRDefault="002673BB" w:rsidP="007A7119">
      <w:pPr>
        <w:spacing w:after="0" w:line="360" w:lineRule="auto"/>
        <w:jc w:val="both"/>
        <w:rPr>
          <w:rFonts w:ascii="Times New Roman" w:eastAsia="Times New Roman" w:hAnsi="Times New Roman"/>
          <w:sz w:val="24"/>
          <w:szCs w:val="24"/>
          <w:lang w:eastAsia="en-IN"/>
        </w:rPr>
      </w:pPr>
    </w:p>
    <w:p w:rsidR="004D5E1E" w:rsidRDefault="00A16017" w:rsidP="007A7119">
      <w:pPr>
        <w:pStyle w:val="ListParagraph"/>
        <w:numPr>
          <w:ilvl w:val="0"/>
          <w:numId w:val="15"/>
        </w:numPr>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Extensive comparison of t</w:t>
      </w:r>
      <w:r w:rsidR="00B47739" w:rsidRPr="00B47739">
        <w:rPr>
          <w:rFonts w:ascii="Times New Roman" w:eastAsia="Times New Roman" w:hAnsi="Times New Roman"/>
          <w:sz w:val="24"/>
          <w:szCs w:val="24"/>
          <w:lang w:eastAsia="en-IN"/>
        </w:rPr>
        <w:t>hermal performances of old indigenous residential buildings with the new residential buildings of Kolkata on the basis of objective or non-perception indices</w:t>
      </w:r>
      <w:r>
        <w:rPr>
          <w:rFonts w:ascii="Times New Roman" w:eastAsia="Times New Roman" w:hAnsi="Times New Roman"/>
          <w:sz w:val="24"/>
          <w:szCs w:val="24"/>
          <w:lang w:eastAsia="en-IN"/>
        </w:rPr>
        <w:t xml:space="preserve"> can be carried out</w:t>
      </w:r>
      <w:r w:rsidR="00B47739" w:rsidRPr="00B47739">
        <w:rPr>
          <w:rFonts w:ascii="Times New Roman" w:eastAsia="Times New Roman" w:hAnsi="Times New Roman"/>
          <w:sz w:val="24"/>
          <w:szCs w:val="24"/>
          <w:lang w:eastAsia="en-IN"/>
        </w:rPr>
        <w:t xml:space="preserve">. </w:t>
      </w:r>
      <w:r>
        <w:rPr>
          <w:rFonts w:ascii="Times New Roman" w:eastAsia="Times New Roman" w:hAnsi="Times New Roman"/>
          <w:sz w:val="24"/>
          <w:szCs w:val="24"/>
          <w:lang w:eastAsia="en-IN"/>
        </w:rPr>
        <w:t xml:space="preserve">This would </w:t>
      </w:r>
      <w:r w:rsidR="004D5E1E">
        <w:rPr>
          <w:rFonts w:ascii="Times New Roman" w:eastAsia="Times New Roman" w:hAnsi="Times New Roman"/>
          <w:sz w:val="24"/>
          <w:szCs w:val="24"/>
          <w:lang w:eastAsia="en-IN"/>
        </w:rPr>
        <w:t>establish</w:t>
      </w:r>
      <w:r>
        <w:rPr>
          <w:rFonts w:ascii="Times New Roman" w:eastAsia="Times New Roman" w:hAnsi="Times New Roman"/>
          <w:sz w:val="24"/>
          <w:szCs w:val="24"/>
          <w:lang w:eastAsia="en-IN"/>
        </w:rPr>
        <w:t xml:space="preserve"> whether </w:t>
      </w:r>
      <w:r w:rsidR="004D5E1E">
        <w:rPr>
          <w:rFonts w:ascii="Times New Roman" w:eastAsia="Times New Roman" w:hAnsi="Times New Roman"/>
          <w:sz w:val="24"/>
          <w:szCs w:val="24"/>
          <w:lang w:eastAsia="en-IN"/>
        </w:rPr>
        <w:t xml:space="preserve">designing of new residential architecture can </w:t>
      </w:r>
      <w:r w:rsidR="004D5E1E">
        <w:rPr>
          <w:rFonts w:ascii="Times New Roman" w:eastAsia="Times New Roman" w:hAnsi="Times New Roman"/>
          <w:sz w:val="24"/>
          <w:szCs w:val="24"/>
          <w:lang w:eastAsia="en-IN"/>
        </w:rPr>
        <w:lastRenderedPageBreak/>
        <w:t>learn and incorporate from the design and construction of the old residential buildings. This exploration has rarely been executed for the city of Kolkata.</w:t>
      </w:r>
    </w:p>
    <w:p w:rsidR="00B54481" w:rsidRDefault="00B47739" w:rsidP="004D5E1E">
      <w:pPr>
        <w:pStyle w:val="ListParagraph"/>
        <w:spacing w:after="0" w:line="360" w:lineRule="auto"/>
        <w:jc w:val="both"/>
        <w:rPr>
          <w:rFonts w:ascii="Times New Roman" w:eastAsia="Times New Roman" w:hAnsi="Times New Roman"/>
          <w:sz w:val="24"/>
          <w:szCs w:val="24"/>
          <w:lang w:eastAsia="en-IN"/>
        </w:rPr>
      </w:pPr>
      <w:r w:rsidRPr="00B47739">
        <w:rPr>
          <w:rFonts w:ascii="Times New Roman" w:eastAsia="Times New Roman" w:hAnsi="Times New Roman"/>
          <w:sz w:val="24"/>
          <w:szCs w:val="24"/>
          <w:lang w:eastAsia="en-IN"/>
        </w:rPr>
        <w:t xml:space="preserve">This </w:t>
      </w:r>
      <w:r w:rsidR="004D5E1E">
        <w:rPr>
          <w:rFonts w:ascii="Times New Roman" w:eastAsia="Times New Roman" w:hAnsi="Times New Roman"/>
          <w:sz w:val="24"/>
          <w:szCs w:val="24"/>
          <w:lang w:eastAsia="en-IN"/>
        </w:rPr>
        <w:t>le</w:t>
      </w:r>
      <w:r w:rsidR="006D77EE">
        <w:rPr>
          <w:rFonts w:ascii="Times New Roman" w:eastAsia="Times New Roman" w:hAnsi="Times New Roman"/>
          <w:sz w:val="24"/>
          <w:szCs w:val="24"/>
          <w:lang w:eastAsia="en-IN"/>
        </w:rPr>
        <w:t>a</w:t>
      </w:r>
      <w:r w:rsidR="004D5E1E">
        <w:rPr>
          <w:rFonts w:ascii="Times New Roman" w:eastAsia="Times New Roman" w:hAnsi="Times New Roman"/>
          <w:sz w:val="24"/>
          <w:szCs w:val="24"/>
          <w:lang w:eastAsia="en-IN"/>
        </w:rPr>
        <w:t>d</w:t>
      </w:r>
      <w:r w:rsidR="006D77EE">
        <w:rPr>
          <w:rFonts w:ascii="Times New Roman" w:eastAsia="Times New Roman" w:hAnsi="Times New Roman"/>
          <w:sz w:val="24"/>
          <w:szCs w:val="24"/>
          <w:lang w:eastAsia="en-IN"/>
        </w:rPr>
        <w:t>s</w:t>
      </w:r>
      <w:r w:rsidR="004D5E1E">
        <w:rPr>
          <w:rFonts w:ascii="Times New Roman" w:eastAsia="Times New Roman" w:hAnsi="Times New Roman"/>
          <w:sz w:val="24"/>
          <w:szCs w:val="24"/>
          <w:lang w:eastAsia="en-IN"/>
        </w:rPr>
        <w:t xml:space="preserve"> to the</w:t>
      </w:r>
      <w:r w:rsidRPr="00B47739">
        <w:rPr>
          <w:rFonts w:ascii="Times New Roman" w:eastAsia="Times New Roman" w:hAnsi="Times New Roman"/>
          <w:sz w:val="24"/>
          <w:szCs w:val="24"/>
          <w:lang w:eastAsia="en-IN"/>
        </w:rPr>
        <w:t xml:space="preserve"> first objective</w:t>
      </w:r>
      <w:r w:rsidR="004D5E1E">
        <w:rPr>
          <w:rFonts w:ascii="Times New Roman" w:eastAsia="Times New Roman" w:hAnsi="Times New Roman"/>
          <w:sz w:val="24"/>
          <w:szCs w:val="24"/>
          <w:lang w:eastAsia="en-IN"/>
        </w:rPr>
        <w:t xml:space="preserve"> of the research.</w:t>
      </w:r>
    </w:p>
    <w:p w:rsidR="004D5E1E" w:rsidRDefault="004D5E1E" w:rsidP="007A7119">
      <w:pPr>
        <w:pStyle w:val="ListParagraph"/>
        <w:numPr>
          <w:ilvl w:val="0"/>
          <w:numId w:val="15"/>
        </w:numPr>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There is a scope to assess and ascertain the c</w:t>
      </w:r>
      <w:r w:rsidR="00B47739">
        <w:rPr>
          <w:rFonts w:ascii="Times New Roman" w:eastAsia="Times New Roman" w:hAnsi="Times New Roman"/>
          <w:sz w:val="24"/>
          <w:szCs w:val="24"/>
          <w:lang w:eastAsia="en-IN"/>
        </w:rPr>
        <w:t xml:space="preserve">ontribution of each building component / parameter </w:t>
      </w:r>
      <w:r>
        <w:rPr>
          <w:rFonts w:ascii="Times New Roman" w:eastAsia="Times New Roman" w:hAnsi="Times New Roman"/>
          <w:sz w:val="24"/>
          <w:szCs w:val="24"/>
          <w:lang w:eastAsia="en-IN"/>
        </w:rPr>
        <w:t xml:space="preserve">separately </w:t>
      </w:r>
      <w:r w:rsidR="00B47739">
        <w:rPr>
          <w:rFonts w:ascii="Times New Roman" w:eastAsia="Times New Roman" w:hAnsi="Times New Roman"/>
          <w:sz w:val="24"/>
          <w:szCs w:val="24"/>
          <w:lang w:eastAsia="en-IN"/>
        </w:rPr>
        <w:t xml:space="preserve">in the overall thermal performance of </w:t>
      </w:r>
      <w:r w:rsidR="00FC4E50">
        <w:rPr>
          <w:rFonts w:ascii="Times New Roman" w:eastAsia="Times New Roman" w:hAnsi="Times New Roman"/>
          <w:sz w:val="24"/>
          <w:szCs w:val="24"/>
          <w:lang w:eastAsia="en-IN"/>
        </w:rPr>
        <w:t>a residen</w:t>
      </w:r>
      <w:r>
        <w:rPr>
          <w:rFonts w:ascii="Times New Roman" w:eastAsia="Times New Roman" w:hAnsi="Times New Roman"/>
          <w:sz w:val="24"/>
          <w:szCs w:val="24"/>
          <w:lang w:eastAsia="en-IN"/>
        </w:rPr>
        <w:t xml:space="preserve">tial building. </w:t>
      </w:r>
      <w:r w:rsidR="009639E7">
        <w:rPr>
          <w:rFonts w:ascii="Times New Roman" w:eastAsia="Times New Roman" w:hAnsi="Times New Roman"/>
          <w:sz w:val="24"/>
          <w:szCs w:val="24"/>
          <w:lang w:eastAsia="en-IN"/>
        </w:rPr>
        <w:t xml:space="preserve">This is to ascertain as to how exactly have modern building techniques or components contributed to worsening urban heat issues compared to the indigenous houses. </w:t>
      </w:r>
      <w:r>
        <w:rPr>
          <w:rFonts w:ascii="Times New Roman" w:eastAsia="Times New Roman" w:hAnsi="Times New Roman"/>
          <w:sz w:val="24"/>
          <w:szCs w:val="24"/>
          <w:lang w:eastAsia="en-IN"/>
        </w:rPr>
        <w:t xml:space="preserve">It involves the correlation </w:t>
      </w:r>
      <w:r w:rsidR="006D77EE">
        <w:rPr>
          <w:rFonts w:ascii="Times New Roman" w:eastAsia="Times New Roman" w:hAnsi="Times New Roman"/>
          <w:sz w:val="24"/>
          <w:szCs w:val="24"/>
          <w:lang w:eastAsia="en-IN"/>
        </w:rPr>
        <w:t>of each parameter with the overall thermal performance.</w:t>
      </w:r>
    </w:p>
    <w:p w:rsidR="006D77EE" w:rsidRDefault="006D77EE" w:rsidP="006D77EE">
      <w:pPr>
        <w:pStyle w:val="ListParagraph"/>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This leads to the second objective of the research.</w:t>
      </w:r>
    </w:p>
    <w:p w:rsidR="008C65D3" w:rsidRDefault="0087305C" w:rsidP="007A7119">
      <w:pPr>
        <w:pStyle w:val="ListParagraph"/>
        <w:numPr>
          <w:ilvl w:val="0"/>
          <w:numId w:val="15"/>
        </w:numPr>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 xml:space="preserve">The set of parameters </w:t>
      </w:r>
      <w:r w:rsidR="00A16017">
        <w:rPr>
          <w:rFonts w:ascii="Times New Roman" w:eastAsia="Times New Roman" w:hAnsi="Times New Roman"/>
          <w:sz w:val="24"/>
          <w:szCs w:val="24"/>
          <w:lang w:eastAsia="en-IN"/>
        </w:rPr>
        <w:t xml:space="preserve">can be computed collectively into a composite numerical </w:t>
      </w:r>
      <w:r>
        <w:rPr>
          <w:rFonts w:ascii="Times New Roman" w:eastAsia="Times New Roman" w:hAnsi="Times New Roman"/>
          <w:sz w:val="24"/>
          <w:szCs w:val="24"/>
          <w:lang w:eastAsia="en-IN"/>
        </w:rPr>
        <w:t>predictive model</w:t>
      </w:r>
      <w:r w:rsidR="008C65D3">
        <w:rPr>
          <w:rFonts w:ascii="Times New Roman" w:eastAsia="Times New Roman" w:hAnsi="Times New Roman"/>
          <w:sz w:val="24"/>
          <w:szCs w:val="24"/>
          <w:lang w:eastAsia="en-IN"/>
        </w:rPr>
        <w:t>. This model would predict the thermal performance of a designed residence before the construction stage – thus providing scope to the architect and the client to make necessary amends in the design stage to reach an agreeable thermal condition in the building.</w:t>
      </w:r>
    </w:p>
    <w:p w:rsidR="00B47739" w:rsidRPr="00B47739" w:rsidRDefault="008C65D3" w:rsidP="008C65D3">
      <w:pPr>
        <w:pStyle w:val="ListParagraph"/>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 xml:space="preserve">This leads to the </w:t>
      </w:r>
      <w:r w:rsidR="007E2614">
        <w:rPr>
          <w:rFonts w:ascii="Times New Roman" w:eastAsia="Times New Roman" w:hAnsi="Times New Roman"/>
          <w:sz w:val="24"/>
          <w:szCs w:val="24"/>
          <w:lang w:eastAsia="en-IN"/>
        </w:rPr>
        <w:t>third objective of the research.</w:t>
      </w:r>
    </w:p>
    <w:p w:rsidR="002673BB" w:rsidRDefault="002673BB" w:rsidP="007A7119">
      <w:pPr>
        <w:tabs>
          <w:tab w:val="left" w:pos="-1440"/>
        </w:tabs>
        <w:spacing w:after="0" w:line="360" w:lineRule="auto"/>
        <w:jc w:val="both"/>
        <w:rPr>
          <w:rFonts w:ascii="Times New Roman" w:hAnsi="Times New Roman"/>
          <w:b/>
          <w:sz w:val="24"/>
          <w:szCs w:val="24"/>
        </w:rPr>
      </w:pPr>
    </w:p>
    <w:p w:rsidR="001A7D0D" w:rsidRPr="007A7119" w:rsidRDefault="007F0CEA" w:rsidP="007A7119">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w:t>
      </w:r>
      <w:r w:rsidR="00006073">
        <w:rPr>
          <w:rFonts w:ascii="Times New Roman" w:hAnsi="Times New Roman"/>
          <w:b/>
          <w:sz w:val="24"/>
          <w:szCs w:val="24"/>
        </w:rPr>
        <w:t>5</w:t>
      </w:r>
      <w:r w:rsidRPr="007A7119">
        <w:rPr>
          <w:rFonts w:ascii="Times New Roman" w:hAnsi="Times New Roman"/>
          <w:b/>
          <w:sz w:val="24"/>
          <w:szCs w:val="24"/>
        </w:rPr>
        <w:tab/>
      </w:r>
      <w:r w:rsidR="0061763E">
        <w:rPr>
          <w:rFonts w:ascii="Times New Roman" w:hAnsi="Times New Roman"/>
          <w:b/>
          <w:sz w:val="24"/>
          <w:szCs w:val="24"/>
        </w:rPr>
        <w:t>AIM AND</w:t>
      </w:r>
      <w:r w:rsidR="0088185E">
        <w:rPr>
          <w:rFonts w:ascii="Times New Roman" w:hAnsi="Times New Roman"/>
          <w:b/>
          <w:sz w:val="24"/>
          <w:szCs w:val="24"/>
        </w:rPr>
        <w:t xml:space="preserve"> </w:t>
      </w:r>
      <w:r w:rsidRPr="007A7119">
        <w:rPr>
          <w:rFonts w:ascii="Times New Roman" w:hAnsi="Times New Roman"/>
          <w:b/>
          <w:sz w:val="24"/>
          <w:szCs w:val="24"/>
        </w:rPr>
        <w:t>OBJECTIVE</w:t>
      </w:r>
      <w:r w:rsidR="00F87414" w:rsidRPr="007A7119">
        <w:rPr>
          <w:rFonts w:ascii="Times New Roman" w:hAnsi="Times New Roman"/>
          <w:b/>
          <w:sz w:val="24"/>
          <w:szCs w:val="24"/>
        </w:rPr>
        <w:t xml:space="preserve">S </w:t>
      </w:r>
    </w:p>
    <w:p w:rsidR="002673BB" w:rsidRDefault="002673BB" w:rsidP="007A7119">
      <w:pPr>
        <w:spacing w:after="0" w:line="360" w:lineRule="auto"/>
        <w:jc w:val="both"/>
        <w:rPr>
          <w:rFonts w:ascii="Times New Roman" w:eastAsia="Times New Roman" w:hAnsi="Times New Roman"/>
          <w:sz w:val="24"/>
          <w:szCs w:val="24"/>
          <w:lang w:eastAsia="en-IN"/>
        </w:rPr>
      </w:pPr>
    </w:p>
    <w:p w:rsidR="0061763E" w:rsidRPr="0061763E" w:rsidRDefault="0061763E" w:rsidP="007A7119">
      <w:pPr>
        <w:spacing w:after="0" w:line="360" w:lineRule="auto"/>
        <w:jc w:val="both"/>
        <w:rPr>
          <w:rFonts w:ascii="Times New Roman" w:eastAsia="Times New Roman" w:hAnsi="Times New Roman"/>
          <w:b/>
          <w:bCs/>
          <w:sz w:val="24"/>
          <w:szCs w:val="24"/>
          <w:lang w:eastAsia="en-IN"/>
        </w:rPr>
      </w:pPr>
      <w:r w:rsidRPr="0061763E">
        <w:rPr>
          <w:rFonts w:ascii="Times New Roman" w:eastAsia="Times New Roman" w:hAnsi="Times New Roman"/>
          <w:b/>
          <w:bCs/>
          <w:sz w:val="24"/>
          <w:szCs w:val="24"/>
          <w:lang w:eastAsia="en-IN"/>
        </w:rPr>
        <w:t>1.</w:t>
      </w:r>
      <w:r w:rsidR="00006073">
        <w:rPr>
          <w:rFonts w:ascii="Times New Roman" w:eastAsia="Times New Roman" w:hAnsi="Times New Roman"/>
          <w:b/>
          <w:bCs/>
          <w:sz w:val="24"/>
          <w:szCs w:val="24"/>
          <w:lang w:eastAsia="en-IN"/>
        </w:rPr>
        <w:t>5</w:t>
      </w:r>
      <w:r w:rsidRPr="0061763E">
        <w:rPr>
          <w:rFonts w:ascii="Times New Roman" w:eastAsia="Times New Roman" w:hAnsi="Times New Roman"/>
          <w:b/>
          <w:bCs/>
          <w:sz w:val="24"/>
          <w:szCs w:val="24"/>
          <w:lang w:eastAsia="en-IN"/>
        </w:rPr>
        <w:t>.1</w:t>
      </w:r>
      <w:r w:rsidRPr="0061763E">
        <w:rPr>
          <w:rFonts w:ascii="Times New Roman" w:eastAsia="Times New Roman" w:hAnsi="Times New Roman"/>
          <w:b/>
          <w:bCs/>
          <w:sz w:val="24"/>
          <w:szCs w:val="24"/>
          <w:lang w:eastAsia="en-IN"/>
        </w:rPr>
        <w:tab/>
        <w:t>Aim</w:t>
      </w:r>
    </w:p>
    <w:p w:rsidR="0061763E" w:rsidRDefault="0061763E" w:rsidP="007A7119">
      <w:pPr>
        <w:spacing w:after="0" w:line="360" w:lineRule="auto"/>
        <w:jc w:val="both"/>
        <w:rPr>
          <w:rFonts w:ascii="Times New Roman" w:eastAsia="Times New Roman" w:hAnsi="Times New Roman"/>
          <w:sz w:val="24"/>
          <w:szCs w:val="24"/>
          <w:lang w:eastAsia="en-IN"/>
        </w:rPr>
      </w:pPr>
    </w:p>
    <w:p w:rsidR="001A7D0D" w:rsidRPr="00402352" w:rsidRDefault="00EF4F6A" w:rsidP="007A7119">
      <w:pPr>
        <w:spacing w:after="0" w:line="360" w:lineRule="auto"/>
        <w:jc w:val="both"/>
        <w:rPr>
          <w:rFonts w:ascii="Times New Roman" w:eastAsia="Times New Roman" w:hAnsi="Times New Roman"/>
          <w:sz w:val="24"/>
          <w:szCs w:val="24"/>
          <w:lang w:eastAsia="en-IN"/>
        </w:rPr>
      </w:pPr>
      <w:r w:rsidRPr="00402352">
        <w:rPr>
          <w:rFonts w:ascii="Times New Roman" w:eastAsia="Times New Roman" w:hAnsi="Times New Roman"/>
          <w:sz w:val="24"/>
          <w:szCs w:val="24"/>
          <w:lang w:eastAsia="en-IN"/>
        </w:rPr>
        <w:t>This research aims at solving the urban heating phenomenon of an Indian city by first learning from the thermal comfort qualities of its old indigenous architecture and then incorporating these learning into the current architectural design process for design of the city residences.</w:t>
      </w:r>
    </w:p>
    <w:p w:rsidR="002673BB" w:rsidRDefault="002673BB" w:rsidP="007A7119">
      <w:pPr>
        <w:spacing w:after="0" w:line="360" w:lineRule="auto"/>
        <w:jc w:val="both"/>
        <w:rPr>
          <w:rFonts w:ascii="Times New Roman" w:eastAsia="Times New Roman" w:hAnsi="Times New Roman"/>
          <w:sz w:val="24"/>
          <w:szCs w:val="24"/>
          <w:lang w:eastAsia="en-IN"/>
        </w:rPr>
      </w:pPr>
    </w:p>
    <w:p w:rsidR="00701060" w:rsidRPr="00701060" w:rsidRDefault="00701060" w:rsidP="007A7119">
      <w:pPr>
        <w:spacing w:after="0" w:line="360" w:lineRule="auto"/>
        <w:jc w:val="both"/>
        <w:rPr>
          <w:rFonts w:ascii="Times New Roman" w:eastAsia="Times New Roman" w:hAnsi="Times New Roman"/>
          <w:b/>
          <w:bCs/>
          <w:sz w:val="24"/>
          <w:szCs w:val="24"/>
          <w:lang w:eastAsia="en-IN"/>
        </w:rPr>
      </w:pPr>
      <w:r w:rsidRPr="00701060">
        <w:rPr>
          <w:rFonts w:ascii="Times New Roman" w:eastAsia="Times New Roman" w:hAnsi="Times New Roman"/>
          <w:b/>
          <w:bCs/>
          <w:sz w:val="24"/>
          <w:szCs w:val="24"/>
          <w:lang w:eastAsia="en-IN"/>
        </w:rPr>
        <w:t>1.</w:t>
      </w:r>
      <w:r w:rsidR="00006073">
        <w:rPr>
          <w:rFonts w:ascii="Times New Roman" w:eastAsia="Times New Roman" w:hAnsi="Times New Roman"/>
          <w:b/>
          <w:bCs/>
          <w:sz w:val="24"/>
          <w:szCs w:val="24"/>
          <w:lang w:eastAsia="en-IN"/>
        </w:rPr>
        <w:t>5</w:t>
      </w:r>
      <w:r w:rsidRPr="00701060">
        <w:rPr>
          <w:rFonts w:ascii="Times New Roman" w:eastAsia="Times New Roman" w:hAnsi="Times New Roman"/>
          <w:b/>
          <w:bCs/>
          <w:sz w:val="24"/>
          <w:szCs w:val="24"/>
          <w:lang w:eastAsia="en-IN"/>
        </w:rPr>
        <w:t>.2</w:t>
      </w:r>
      <w:r w:rsidRPr="00701060">
        <w:rPr>
          <w:rFonts w:ascii="Times New Roman" w:eastAsia="Times New Roman" w:hAnsi="Times New Roman"/>
          <w:b/>
          <w:bCs/>
          <w:sz w:val="24"/>
          <w:szCs w:val="24"/>
          <w:lang w:eastAsia="en-IN"/>
        </w:rPr>
        <w:tab/>
        <w:t>Objectives</w:t>
      </w:r>
    </w:p>
    <w:p w:rsidR="00701060" w:rsidRPr="007A7119" w:rsidRDefault="00701060" w:rsidP="007A7119">
      <w:pPr>
        <w:spacing w:after="0" w:line="360" w:lineRule="auto"/>
        <w:jc w:val="both"/>
        <w:rPr>
          <w:rFonts w:ascii="Times New Roman" w:eastAsia="Times New Roman" w:hAnsi="Times New Roman"/>
          <w:sz w:val="24"/>
          <w:szCs w:val="24"/>
          <w:lang w:eastAsia="en-IN"/>
        </w:rPr>
      </w:pPr>
    </w:p>
    <w:p w:rsidR="001A7D0D" w:rsidRDefault="001A7D0D" w:rsidP="007A7119">
      <w:pPr>
        <w:numPr>
          <w:ilvl w:val="0"/>
          <w:numId w:val="4"/>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To </w:t>
      </w:r>
      <w:r w:rsidR="006F2512" w:rsidRPr="007A7119">
        <w:rPr>
          <w:rFonts w:ascii="Times New Roman" w:eastAsia="Times New Roman" w:hAnsi="Times New Roman"/>
          <w:sz w:val="24"/>
          <w:szCs w:val="24"/>
          <w:lang w:eastAsia="en-IN"/>
        </w:rPr>
        <w:t>find out whether old indigenous residential buildings of Kolkata show better thermal performance than the new residential buildings of the city</w:t>
      </w:r>
      <w:r w:rsidR="00402352">
        <w:rPr>
          <w:rFonts w:ascii="Times New Roman" w:eastAsia="Times New Roman" w:hAnsi="Times New Roman"/>
          <w:sz w:val="24"/>
          <w:szCs w:val="24"/>
          <w:lang w:eastAsia="en-IN"/>
        </w:rPr>
        <w:t xml:space="preserve"> by comparing equal number of sample buildings from both old and new building types.</w:t>
      </w:r>
    </w:p>
    <w:p w:rsidR="002673BB" w:rsidRPr="007A7119" w:rsidRDefault="002673BB" w:rsidP="002673BB">
      <w:pPr>
        <w:spacing w:after="0" w:line="360" w:lineRule="auto"/>
        <w:ind w:left="360"/>
        <w:jc w:val="both"/>
        <w:rPr>
          <w:rFonts w:ascii="Times New Roman" w:eastAsia="Times New Roman" w:hAnsi="Times New Roman"/>
          <w:sz w:val="24"/>
          <w:szCs w:val="24"/>
          <w:lang w:eastAsia="en-IN"/>
        </w:rPr>
      </w:pPr>
    </w:p>
    <w:p w:rsidR="001A7D0D" w:rsidRDefault="001A7D0D" w:rsidP="007A7119">
      <w:pPr>
        <w:numPr>
          <w:ilvl w:val="0"/>
          <w:numId w:val="4"/>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To </w:t>
      </w:r>
      <w:r w:rsidR="006F2512" w:rsidRPr="007A7119">
        <w:rPr>
          <w:rFonts w:ascii="Times New Roman" w:eastAsia="Times New Roman" w:hAnsi="Times New Roman"/>
          <w:sz w:val="24"/>
          <w:szCs w:val="24"/>
          <w:lang w:eastAsia="en-IN"/>
        </w:rPr>
        <w:t xml:space="preserve">ascertain the </w:t>
      </w:r>
      <w:r w:rsidR="0034383D" w:rsidRPr="007A7119">
        <w:rPr>
          <w:rFonts w:ascii="Times New Roman" w:eastAsia="Times New Roman" w:hAnsi="Times New Roman"/>
          <w:sz w:val="24"/>
          <w:szCs w:val="24"/>
          <w:lang w:eastAsia="en-IN"/>
        </w:rPr>
        <w:t>degree of association between indoor thermal condition of old as well as new building with the physical factors affecting thermal condition.</w:t>
      </w:r>
    </w:p>
    <w:p w:rsidR="002673BB" w:rsidRDefault="002673BB" w:rsidP="002673BB">
      <w:pPr>
        <w:pStyle w:val="ListParagraph"/>
        <w:rPr>
          <w:rFonts w:ascii="Times New Roman" w:eastAsia="Times New Roman" w:hAnsi="Times New Roman"/>
          <w:sz w:val="24"/>
          <w:szCs w:val="24"/>
          <w:lang w:eastAsia="en-IN"/>
        </w:rPr>
      </w:pPr>
    </w:p>
    <w:p w:rsidR="001A7D0D" w:rsidRPr="007A7119" w:rsidRDefault="001A7D0D" w:rsidP="007A7119">
      <w:pPr>
        <w:numPr>
          <w:ilvl w:val="0"/>
          <w:numId w:val="4"/>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lastRenderedPageBreak/>
        <w:t xml:space="preserve">To </w:t>
      </w:r>
      <w:r w:rsidR="0034383D" w:rsidRPr="007A7119">
        <w:rPr>
          <w:rFonts w:ascii="Times New Roman" w:eastAsia="Times New Roman" w:hAnsi="Times New Roman"/>
          <w:sz w:val="24"/>
          <w:szCs w:val="24"/>
          <w:lang w:eastAsia="en-IN"/>
        </w:rPr>
        <w:t xml:space="preserve">establish </w:t>
      </w:r>
      <w:r w:rsidR="00C0453F">
        <w:rPr>
          <w:rFonts w:ascii="Times New Roman" w:eastAsia="Times New Roman" w:hAnsi="Times New Roman"/>
          <w:sz w:val="24"/>
          <w:szCs w:val="24"/>
          <w:lang w:eastAsia="en-IN"/>
        </w:rPr>
        <w:t>a composite predictive mathematical model incorporating the building components to forecast</w:t>
      </w:r>
      <w:r w:rsidR="0034383D" w:rsidRPr="007A7119">
        <w:rPr>
          <w:rFonts w:ascii="Times New Roman" w:eastAsia="Times New Roman" w:hAnsi="Times New Roman"/>
          <w:sz w:val="24"/>
          <w:szCs w:val="24"/>
          <w:lang w:eastAsia="en-IN"/>
        </w:rPr>
        <w:t xml:space="preserve"> indoor thermal condition </w:t>
      </w:r>
      <w:r w:rsidR="00C0453F">
        <w:rPr>
          <w:rFonts w:ascii="Times New Roman" w:eastAsia="Times New Roman" w:hAnsi="Times New Roman"/>
          <w:sz w:val="24"/>
          <w:szCs w:val="24"/>
          <w:lang w:eastAsia="en-IN"/>
        </w:rPr>
        <w:t xml:space="preserve">of </w:t>
      </w:r>
      <w:r w:rsidR="00C17B93">
        <w:rPr>
          <w:rFonts w:ascii="Times New Roman" w:eastAsia="Times New Roman" w:hAnsi="Times New Roman"/>
          <w:sz w:val="24"/>
          <w:szCs w:val="24"/>
          <w:lang w:eastAsia="en-IN"/>
        </w:rPr>
        <w:t xml:space="preserve">the </w:t>
      </w:r>
      <w:r w:rsidR="00C0453F">
        <w:rPr>
          <w:rFonts w:ascii="Times New Roman" w:eastAsia="Times New Roman" w:hAnsi="Times New Roman"/>
          <w:sz w:val="24"/>
          <w:szCs w:val="24"/>
          <w:lang w:eastAsia="en-IN"/>
        </w:rPr>
        <w:t>design</w:t>
      </w:r>
      <w:r w:rsidR="00C17B93">
        <w:rPr>
          <w:rFonts w:ascii="Times New Roman" w:eastAsia="Times New Roman" w:hAnsi="Times New Roman"/>
          <w:sz w:val="24"/>
          <w:szCs w:val="24"/>
          <w:lang w:eastAsia="en-IN"/>
        </w:rPr>
        <w:t xml:space="preserve"> of a residential building</w:t>
      </w:r>
      <w:r w:rsidR="0034383D" w:rsidRPr="007A7119">
        <w:rPr>
          <w:rFonts w:ascii="Times New Roman" w:eastAsia="Times New Roman" w:hAnsi="Times New Roman"/>
          <w:sz w:val="24"/>
          <w:szCs w:val="24"/>
          <w:lang w:eastAsia="en-IN"/>
        </w:rPr>
        <w:t>.</w:t>
      </w:r>
    </w:p>
    <w:p w:rsidR="002673BB" w:rsidRDefault="002673BB" w:rsidP="007A7119">
      <w:pPr>
        <w:tabs>
          <w:tab w:val="left" w:pos="-1440"/>
        </w:tabs>
        <w:spacing w:after="0" w:line="360" w:lineRule="auto"/>
        <w:jc w:val="both"/>
        <w:rPr>
          <w:rFonts w:ascii="Times New Roman" w:hAnsi="Times New Roman"/>
          <w:b/>
          <w:sz w:val="24"/>
          <w:szCs w:val="24"/>
        </w:rPr>
      </w:pPr>
    </w:p>
    <w:p w:rsidR="0034383D" w:rsidRPr="007A7119" w:rsidRDefault="0034383D" w:rsidP="007A7119">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w:t>
      </w:r>
      <w:r w:rsidR="00006073">
        <w:rPr>
          <w:rFonts w:ascii="Times New Roman" w:hAnsi="Times New Roman"/>
          <w:b/>
          <w:sz w:val="24"/>
          <w:szCs w:val="24"/>
        </w:rPr>
        <w:t>6</w:t>
      </w:r>
      <w:r w:rsidRPr="007A7119">
        <w:rPr>
          <w:rFonts w:ascii="Times New Roman" w:hAnsi="Times New Roman"/>
          <w:b/>
          <w:sz w:val="24"/>
          <w:szCs w:val="24"/>
        </w:rPr>
        <w:tab/>
        <w:t>SCOPE AND LIMITATIONS</w:t>
      </w:r>
    </w:p>
    <w:p w:rsidR="002673BB" w:rsidRDefault="002673BB" w:rsidP="007A7119">
      <w:pPr>
        <w:spacing w:after="0" w:line="360" w:lineRule="auto"/>
        <w:jc w:val="both"/>
        <w:rPr>
          <w:rFonts w:ascii="Times New Roman" w:eastAsia="Times New Roman" w:hAnsi="Times New Roman"/>
          <w:sz w:val="24"/>
          <w:szCs w:val="24"/>
          <w:lang w:eastAsia="en-IN"/>
        </w:rPr>
      </w:pPr>
    </w:p>
    <w:p w:rsidR="001A7D0D" w:rsidRDefault="00AC52BC" w:rsidP="007A7119">
      <w:pPr>
        <w:spacing w:after="0" w:line="360" w:lineRule="auto"/>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The research was framed within the following scopes and limitations</w:t>
      </w:r>
      <w:r w:rsidR="001A7D0D" w:rsidRPr="007A7119">
        <w:rPr>
          <w:rFonts w:ascii="Times New Roman" w:eastAsia="Times New Roman" w:hAnsi="Times New Roman"/>
          <w:sz w:val="24"/>
          <w:szCs w:val="24"/>
          <w:lang w:eastAsia="en-IN"/>
        </w:rPr>
        <w:t xml:space="preserve">: </w:t>
      </w:r>
    </w:p>
    <w:p w:rsidR="002673BB" w:rsidRPr="007A7119" w:rsidRDefault="002673BB" w:rsidP="007A7119">
      <w:pPr>
        <w:spacing w:after="0" w:line="360" w:lineRule="auto"/>
        <w:jc w:val="both"/>
        <w:rPr>
          <w:rFonts w:ascii="Times New Roman" w:eastAsia="Times New Roman" w:hAnsi="Times New Roman"/>
          <w:sz w:val="24"/>
          <w:szCs w:val="24"/>
          <w:lang w:eastAsia="en-IN"/>
        </w:rPr>
      </w:pPr>
    </w:p>
    <w:p w:rsidR="001A7D0D" w:rsidRPr="007A7119" w:rsidRDefault="001A7D0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scope of the study </w:t>
      </w:r>
      <w:r w:rsidR="00AC52BC">
        <w:rPr>
          <w:rFonts w:ascii="Times New Roman" w:eastAsia="Times New Roman" w:hAnsi="Times New Roman"/>
          <w:sz w:val="24"/>
          <w:szCs w:val="24"/>
          <w:lang w:eastAsia="en-IN"/>
        </w:rPr>
        <w:t>includes</w:t>
      </w:r>
      <w:r w:rsidR="00E975E8">
        <w:rPr>
          <w:rFonts w:ascii="Times New Roman" w:eastAsia="Times New Roman" w:hAnsi="Times New Roman"/>
          <w:sz w:val="24"/>
          <w:szCs w:val="24"/>
          <w:lang w:eastAsia="en-IN"/>
        </w:rPr>
        <w:t xml:space="preserve"> </w:t>
      </w:r>
      <w:r w:rsidR="00AC52BC">
        <w:rPr>
          <w:rFonts w:ascii="Times New Roman" w:eastAsia="Times New Roman" w:hAnsi="Times New Roman"/>
          <w:sz w:val="24"/>
          <w:szCs w:val="24"/>
          <w:lang w:eastAsia="en-IN"/>
        </w:rPr>
        <w:t xml:space="preserve">measured drawings of ten sample </w:t>
      </w:r>
      <w:r w:rsidRPr="007A7119">
        <w:rPr>
          <w:rFonts w:ascii="Times New Roman" w:eastAsia="Times New Roman" w:hAnsi="Times New Roman"/>
          <w:sz w:val="24"/>
          <w:szCs w:val="24"/>
          <w:lang w:eastAsia="en-IN"/>
        </w:rPr>
        <w:t>old indigenous residential</w:t>
      </w:r>
      <w:r w:rsidR="0034383D" w:rsidRPr="007A7119">
        <w:rPr>
          <w:rFonts w:ascii="Times New Roman" w:eastAsia="Times New Roman" w:hAnsi="Times New Roman"/>
          <w:sz w:val="24"/>
          <w:szCs w:val="24"/>
          <w:lang w:eastAsia="en-IN"/>
        </w:rPr>
        <w:t xml:space="preserve"> buildings of Kolkata</w:t>
      </w:r>
      <w:r w:rsidR="00E975E8">
        <w:rPr>
          <w:rFonts w:ascii="Times New Roman" w:eastAsia="Times New Roman" w:hAnsi="Times New Roman"/>
          <w:sz w:val="24"/>
          <w:szCs w:val="24"/>
          <w:lang w:eastAsia="en-IN"/>
        </w:rPr>
        <w:t xml:space="preserve"> </w:t>
      </w:r>
      <w:r w:rsidR="0034383D" w:rsidRPr="007A7119">
        <w:rPr>
          <w:rFonts w:ascii="Times New Roman" w:eastAsia="Times New Roman" w:hAnsi="Times New Roman"/>
          <w:sz w:val="24"/>
          <w:szCs w:val="24"/>
          <w:lang w:eastAsia="en-IN"/>
        </w:rPr>
        <w:t xml:space="preserve">mostly </w:t>
      </w:r>
      <w:r w:rsidR="00AC52BC">
        <w:rPr>
          <w:rFonts w:ascii="Times New Roman" w:eastAsia="Times New Roman" w:hAnsi="Times New Roman"/>
          <w:sz w:val="24"/>
          <w:szCs w:val="24"/>
          <w:lang w:eastAsia="en-IN"/>
        </w:rPr>
        <w:t xml:space="preserve">from the </w:t>
      </w:r>
      <w:r w:rsidR="0034383D" w:rsidRPr="007A7119">
        <w:rPr>
          <w:rFonts w:ascii="Times New Roman" w:eastAsia="Times New Roman" w:hAnsi="Times New Roman"/>
          <w:sz w:val="24"/>
          <w:szCs w:val="24"/>
          <w:lang w:eastAsia="en-IN"/>
        </w:rPr>
        <w:t>northern old neighbourhoods of the city</w:t>
      </w:r>
      <w:r w:rsidR="00434556" w:rsidRPr="007A7119">
        <w:rPr>
          <w:rFonts w:ascii="Times New Roman" w:eastAsia="Times New Roman" w:hAnsi="Times New Roman"/>
          <w:sz w:val="24"/>
          <w:szCs w:val="24"/>
          <w:lang w:eastAsia="en-IN"/>
        </w:rPr>
        <w:t xml:space="preserve"> (Fig. 1.1</w:t>
      </w:r>
      <w:r w:rsidR="00EC3029">
        <w:rPr>
          <w:rFonts w:ascii="Times New Roman" w:eastAsia="Times New Roman" w:hAnsi="Times New Roman"/>
          <w:sz w:val="24"/>
          <w:szCs w:val="24"/>
          <w:lang w:eastAsia="en-IN"/>
        </w:rPr>
        <w:t>2</w:t>
      </w:r>
      <w:r w:rsidR="00434556" w:rsidRPr="007A7119">
        <w:rPr>
          <w:rFonts w:ascii="Times New Roman" w:eastAsia="Times New Roman" w:hAnsi="Times New Roman"/>
          <w:sz w:val="24"/>
          <w:szCs w:val="24"/>
          <w:lang w:eastAsia="en-IN"/>
        </w:rPr>
        <w:t>)</w:t>
      </w:r>
      <w:r w:rsidR="0034383D" w:rsidRPr="007A7119">
        <w:rPr>
          <w:rFonts w:ascii="Times New Roman" w:eastAsia="Times New Roman" w:hAnsi="Times New Roman"/>
          <w:sz w:val="24"/>
          <w:szCs w:val="24"/>
          <w:lang w:eastAsia="en-IN"/>
        </w:rPr>
        <w:t>.</w:t>
      </w:r>
    </w:p>
    <w:p w:rsidR="0034383D" w:rsidRPr="007A7119" w:rsidRDefault="0034383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The</w:t>
      </w:r>
      <w:r w:rsidR="00AC52BC">
        <w:rPr>
          <w:rFonts w:ascii="Times New Roman" w:eastAsia="Times New Roman" w:hAnsi="Times New Roman"/>
          <w:sz w:val="24"/>
          <w:szCs w:val="24"/>
          <w:lang w:eastAsia="en-IN"/>
        </w:rPr>
        <w:t>se</w:t>
      </w:r>
      <w:r w:rsidRPr="007A7119">
        <w:rPr>
          <w:rFonts w:ascii="Times New Roman" w:eastAsia="Times New Roman" w:hAnsi="Times New Roman"/>
          <w:sz w:val="24"/>
          <w:szCs w:val="24"/>
          <w:lang w:eastAsia="en-IN"/>
        </w:rPr>
        <w:t xml:space="preserve"> old residences studied should </w:t>
      </w:r>
      <w:r w:rsidR="00AC52BC">
        <w:rPr>
          <w:rFonts w:ascii="Times New Roman" w:eastAsia="Times New Roman" w:hAnsi="Times New Roman"/>
          <w:sz w:val="24"/>
          <w:szCs w:val="24"/>
          <w:lang w:eastAsia="en-IN"/>
        </w:rPr>
        <w:t>originally</w:t>
      </w:r>
      <w:r w:rsidRPr="007A7119">
        <w:rPr>
          <w:rFonts w:ascii="Times New Roman" w:eastAsia="Times New Roman" w:hAnsi="Times New Roman"/>
          <w:sz w:val="24"/>
          <w:szCs w:val="24"/>
          <w:lang w:eastAsia="en-IN"/>
        </w:rPr>
        <w:t xml:space="preserve"> be designed for Indian occupants (and not any European occupant), so that the design takes into consideration the traditional lifestyle.</w:t>
      </w:r>
    </w:p>
    <w:p w:rsidR="00AC52BC" w:rsidRDefault="00AC52BC" w:rsidP="00AC52BC">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study </w:t>
      </w:r>
      <w:r>
        <w:rPr>
          <w:rFonts w:ascii="Times New Roman" w:eastAsia="Times New Roman" w:hAnsi="Times New Roman"/>
          <w:sz w:val="24"/>
          <w:szCs w:val="24"/>
          <w:lang w:eastAsia="en-IN"/>
        </w:rPr>
        <w:t>also includes</w:t>
      </w:r>
      <w:r w:rsidR="00E975E8">
        <w:rPr>
          <w:rFonts w:ascii="Times New Roman" w:eastAsia="Times New Roman" w:hAnsi="Times New Roman"/>
          <w:sz w:val="24"/>
          <w:szCs w:val="24"/>
          <w:lang w:eastAsia="en-IN"/>
        </w:rPr>
        <w:t xml:space="preserve"> </w:t>
      </w:r>
      <w:r>
        <w:rPr>
          <w:rFonts w:ascii="Times New Roman" w:eastAsia="Times New Roman" w:hAnsi="Times New Roman"/>
          <w:sz w:val="24"/>
          <w:szCs w:val="24"/>
          <w:lang w:eastAsia="en-IN"/>
        </w:rPr>
        <w:t>measured drawings of ten sample new</w:t>
      </w:r>
      <w:r w:rsidRPr="007A7119">
        <w:rPr>
          <w:rFonts w:ascii="Times New Roman" w:eastAsia="Times New Roman" w:hAnsi="Times New Roman"/>
          <w:sz w:val="24"/>
          <w:szCs w:val="24"/>
          <w:lang w:eastAsia="en-IN"/>
        </w:rPr>
        <w:t xml:space="preserve"> residential buildings of Kolkata</w:t>
      </w:r>
      <w:r>
        <w:rPr>
          <w:rFonts w:ascii="Times New Roman" w:eastAsia="Times New Roman" w:hAnsi="Times New Roman"/>
          <w:sz w:val="24"/>
          <w:szCs w:val="24"/>
          <w:lang w:eastAsia="en-IN"/>
        </w:rPr>
        <w:t>,</w:t>
      </w:r>
      <w:r w:rsidRPr="007A7119">
        <w:rPr>
          <w:rFonts w:ascii="Times New Roman" w:eastAsia="Times New Roman" w:hAnsi="Times New Roman"/>
          <w:sz w:val="24"/>
          <w:szCs w:val="24"/>
          <w:lang w:eastAsia="en-IN"/>
        </w:rPr>
        <w:t xml:space="preserve"> mostly </w:t>
      </w:r>
      <w:r>
        <w:rPr>
          <w:rFonts w:ascii="Times New Roman" w:eastAsia="Times New Roman" w:hAnsi="Times New Roman"/>
          <w:sz w:val="24"/>
          <w:szCs w:val="24"/>
          <w:lang w:eastAsia="en-IN"/>
        </w:rPr>
        <w:t xml:space="preserve">from the </w:t>
      </w:r>
      <w:r w:rsidRPr="007A7119">
        <w:rPr>
          <w:rFonts w:ascii="Times New Roman" w:eastAsia="Times New Roman" w:hAnsi="Times New Roman"/>
          <w:sz w:val="24"/>
          <w:szCs w:val="24"/>
          <w:lang w:eastAsia="en-IN"/>
        </w:rPr>
        <w:t>northern old neighbourhoods of the city (Fig. 1.1</w:t>
      </w:r>
      <w:r>
        <w:rPr>
          <w:rFonts w:ascii="Times New Roman" w:eastAsia="Times New Roman" w:hAnsi="Times New Roman"/>
          <w:sz w:val="24"/>
          <w:szCs w:val="24"/>
          <w:lang w:eastAsia="en-IN"/>
        </w:rPr>
        <w:t>2</w:t>
      </w:r>
      <w:r w:rsidRPr="007A7119">
        <w:rPr>
          <w:rFonts w:ascii="Times New Roman" w:eastAsia="Times New Roman" w:hAnsi="Times New Roman"/>
          <w:sz w:val="24"/>
          <w:szCs w:val="24"/>
          <w:lang w:eastAsia="en-IN"/>
        </w:rPr>
        <w:t>).</w:t>
      </w:r>
    </w:p>
    <w:p w:rsidR="00AC52BC" w:rsidRPr="007A7119" w:rsidRDefault="00AC52BC" w:rsidP="00AC52BC">
      <w:pPr>
        <w:numPr>
          <w:ilvl w:val="0"/>
          <w:numId w:val="5"/>
        </w:numPr>
        <w:spacing w:after="0" w:line="360" w:lineRule="auto"/>
        <w:ind w:left="426"/>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Thermal data (temperature, relative humidity and wind velocity</w:t>
      </w:r>
      <w:r w:rsidR="006A5802">
        <w:rPr>
          <w:rFonts w:ascii="Times New Roman" w:eastAsia="Times New Roman" w:hAnsi="Times New Roman"/>
          <w:sz w:val="24"/>
          <w:szCs w:val="24"/>
          <w:lang w:eastAsia="en-IN"/>
        </w:rPr>
        <w:t>) is also recorded from these twenty sample residential buildings. For each sample building, thermal data for continuous 48 hours and hourly air velocity data would be collected.</w:t>
      </w:r>
    </w:p>
    <w:p w:rsidR="001A7D0D" w:rsidRPr="007A7119" w:rsidRDefault="001A7D0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w:t>
      </w:r>
      <w:r w:rsidRPr="006A5802">
        <w:rPr>
          <w:rFonts w:ascii="Times New Roman" w:eastAsia="Times New Roman" w:hAnsi="Times New Roman"/>
          <w:sz w:val="24"/>
          <w:szCs w:val="24"/>
          <w:lang w:eastAsia="en-IN"/>
        </w:rPr>
        <w:t xml:space="preserve">research </w:t>
      </w:r>
      <w:r w:rsidR="006A5802">
        <w:rPr>
          <w:rFonts w:ascii="Times New Roman" w:eastAsia="Times New Roman" w:hAnsi="Times New Roman"/>
          <w:sz w:val="24"/>
          <w:szCs w:val="24"/>
          <w:lang w:eastAsia="en-IN"/>
        </w:rPr>
        <w:t>is</w:t>
      </w:r>
      <w:r w:rsidRPr="006A5802">
        <w:rPr>
          <w:rFonts w:ascii="Times New Roman" w:eastAsia="Times New Roman" w:hAnsi="Times New Roman"/>
          <w:sz w:val="24"/>
          <w:szCs w:val="24"/>
          <w:lang w:eastAsia="en-IN"/>
        </w:rPr>
        <w:t xml:space="preserve"> limited to residential buildings of Kolkata</w:t>
      </w:r>
      <w:r w:rsidRPr="007A7119">
        <w:rPr>
          <w:rFonts w:ascii="Times New Roman" w:eastAsia="Times New Roman" w:hAnsi="Times New Roman"/>
          <w:sz w:val="24"/>
          <w:szCs w:val="24"/>
          <w:lang w:eastAsia="en-IN"/>
        </w:rPr>
        <w:t xml:space="preserve">, both before and after Independence. </w:t>
      </w:r>
    </w:p>
    <w:p w:rsidR="001A7D0D" w:rsidRPr="007A7119" w:rsidRDefault="001A7D0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study period for old buildings </w:t>
      </w:r>
      <w:r w:rsidR="00D55D92">
        <w:rPr>
          <w:rFonts w:ascii="Times New Roman" w:eastAsia="Times New Roman" w:hAnsi="Times New Roman"/>
          <w:sz w:val="24"/>
          <w:szCs w:val="24"/>
          <w:lang w:eastAsia="en-IN"/>
        </w:rPr>
        <w:t xml:space="preserve">has been limited between </w:t>
      </w:r>
      <w:r w:rsidRPr="007A7119">
        <w:rPr>
          <w:rFonts w:ascii="Times New Roman" w:eastAsia="Times New Roman" w:hAnsi="Times New Roman"/>
          <w:sz w:val="24"/>
          <w:szCs w:val="24"/>
          <w:lang w:eastAsia="en-IN"/>
        </w:rPr>
        <w:t xml:space="preserve">1851 (year on which glass and steel were being used for public building for the first time) </w:t>
      </w:r>
      <w:r w:rsidR="00D55D92">
        <w:rPr>
          <w:rFonts w:ascii="Times New Roman" w:eastAsia="Times New Roman" w:hAnsi="Times New Roman"/>
          <w:sz w:val="24"/>
          <w:szCs w:val="24"/>
          <w:lang w:eastAsia="en-IN"/>
        </w:rPr>
        <w:t>and 1947 (the year of independence for India)</w:t>
      </w:r>
      <w:r w:rsidRPr="007A7119">
        <w:rPr>
          <w:rFonts w:ascii="Times New Roman" w:eastAsia="Times New Roman" w:hAnsi="Times New Roman"/>
          <w:sz w:val="24"/>
          <w:szCs w:val="24"/>
          <w:lang w:eastAsia="en-IN"/>
        </w:rPr>
        <w:t>.</w:t>
      </w:r>
    </w:p>
    <w:p w:rsidR="001A7D0D" w:rsidRPr="007A7119" w:rsidRDefault="001A7D0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period of modern residences to be studied would span from </w:t>
      </w:r>
      <w:r w:rsidR="0012528E">
        <w:rPr>
          <w:rFonts w:ascii="Times New Roman" w:eastAsia="Times New Roman" w:hAnsi="Times New Roman"/>
          <w:sz w:val="24"/>
          <w:szCs w:val="24"/>
          <w:lang w:eastAsia="en-IN"/>
        </w:rPr>
        <w:t>1970</w:t>
      </w:r>
      <w:r w:rsidRPr="007A7119">
        <w:rPr>
          <w:rFonts w:ascii="Times New Roman" w:eastAsia="Times New Roman" w:hAnsi="Times New Roman"/>
          <w:sz w:val="24"/>
          <w:szCs w:val="24"/>
          <w:lang w:eastAsia="en-IN"/>
        </w:rPr>
        <w:t xml:space="preserve"> (</w:t>
      </w:r>
      <w:r w:rsidR="0012528E">
        <w:rPr>
          <w:rFonts w:ascii="Times New Roman" w:eastAsia="Times New Roman" w:hAnsi="Times New Roman"/>
          <w:sz w:val="24"/>
          <w:szCs w:val="24"/>
          <w:lang w:eastAsia="en-IN"/>
        </w:rPr>
        <w:t>year of considering global warming as a potential threat and concern</w:t>
      </w:r>
      <w:r w:rsidRPr="007A7119">
        <w:rPr>
          <w:rFonts w:ascii="Times New Roman" w:eastAsia="Times New Roman" w:hAnsi="Times New Roman"/>
          <w:sz w:val="24"/>
          <w:szCs w:val="24"/>
          <w:lang w:eastAsia="en-IN"/>
        </w:rPr>
        <w:t>) till date.</w:t>
      </w:r>
    </w:p>
    <w:p w:rsidR="001A7D0D" w:rsidRDefault="001A7D0D" w:rsidP="007A7119">
      <w:pPr>
        <w:numPr>
          <w:ilvl w:val="0"/>
          <w:numId w:val="5"/>
        </w:numPr>
        <w:spacing w:after="0" w:line="360" w:lineRule="auto"/>
        <w:ind w:left="426"/>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study would also be limited to a </w:t>
      </w:r>
      <w:r w:rsidRPr="00425F53">
        <w:rPr>
          <w:rFonts w:ascii="Times New Roman" w:eastAsia="Times New Roman" w:hAnsi="Times New Roman"/>
          <w:sz w:val="24"/>
          <w:szCs w:val="24"/>
          <w:lang w:eastAsia="en-IN"/>
        </w:rPr>
        <w:t>sample number of residential buildings</w:t>
      </w:r>
      <w:r w:rsidRPr="007A7119">
        <w:rPr>
          <w:rFonts w:ascii="Times New Roman" w:eastAsia="Times New Roman" w:hAnsi="Times New Roman"/>
          <w:sz w:val="24"/>
          <w:szCs w:val="24"/>
          <w:lang w:eastAsia="en-IN"/>
        </w:rPr>
        <w:t xml:space="preserve"> within northern Kolkata, and </w:t>
      </w:r>
      <w:r w:rsidRPr="00425F53">
        <w:rPr>
          <w:rFonts w:ascii="Times New Roman" w:eastAsia="Times New Roman" w:hAnsi="Times New Roman"/>
          <w:sz w:val="24"/>
          <w:szCs w:val="24"/>
          <w:lang w:eastAsia="en-IN"/>
        </w:rPr>
        <w:t>not an exhaustive study of all buildings</w:t>
      </w:r>
      <w:r w:rsidRPr="007A7119">
        <w:rPr>
          <w:rFonts w:ascii="Times New Roman" w:eastAsia="Times New Roman" w:hAnsi="Times New Roman"/>
          <w:sz w:val="24"/>
          <w:szCs w:val="24"/>
          <w:lang w:eastAsia="en-IN"/>
        </w:rPr>
        <w:t xml:space="preserve">. </w:t>
      </w:r>
      <w:r w:rsidR="0084094A">
        <w:rPr>
          <w:rFonts w:ascii="Times New Roman" w:eastAsia="Times New Roman" w:hAnsi="Times New Roman"/>
          <w:sz w:val="24"/>
          <w:szCs w:val="24"/>
          <w:lang w:eastAsia="en-IN"/>
        </w:rPr>
        <w:t>Thus, the study does not claim to represent the entire residential stock of the city of Kolkata, and only represents a selected set for the purpose of demonstrative research methodology.</w:t>
      </w:r>
    </w:p>
    <w:p w:rsidR="0084094A" w:rsidRPr="007A7119" w:rsidRDefault="0084094A" w:rsidP="007A7119">
      <w:pPr>
        <w:numPr>
          <w:ilvl w:val="0"/>
          <w:numId w:val="5"/>
        </w:numPr>
        <w:spacing w:after="0" w:line="360" w:lineRule="auto"/>
        <w:ind w:left="426"/>
        <w:jc w:val="both"/>
        <w:rPr>
          <w:rFonts w:ascii="Times New Roman" w:eastAsia="Times New Roman" w:hAnsi="Times New Roman"/>
          <w:sz w:val="24"/>
          <w:szCs w:val="24"/>
          <w:lang w:eastAsia="en-IN"/>
        </w:rPr>
      </w:pPr>
      <w:r>
        <w:rPr>
          <w:rFonts w:ascii="Times New Roman" w:eastAsia="Times New Roman" w:hAnsi="Times New Roman"/>
          <w:sz w:val="24"/>
          <w:szCs w:val="24"/>
          <w:lang w:eastAsia="en-IN"/>
        </w:rPr>
        <w:t>The study does not include any non-thermal source of heating such as noise or pollution, in its scope.</w:t>
      </w:r>
    </w:p>
    <w:p w:rsidR="002673BB" w:rsidRDefault="002673BB" w:rsidP="007A7119">
      <w:pPr>
        <w:tabs>
          <w:tab w:val="left" w:pos="-1440"/>
        </w:tabs>
        <w:spacing w:after="0" w:line="360" w:lineRule="auto"/>
        <w:jc w:val="both"/>
        <w:rPr>
          <w:rFonts w:ascii="Times New Roman" w:hAnsi="Times New Roman"/>
          <w:b/>
          <w:sz w:val="24"/>
          <w:szCs w:val="24"/>
        </w:rPr>
      </w:pPr>
    </w:p>
    <w:p w:rsidR="00C92196" w:rsidRPr="007A7119" w:rsidRDefault="00C92196" w:rsidP="007A7119">
      <w:pPr>
        <w:tabs>
          <w:tab w:val="left" w:pos="-1440"/>
        </w:tabs>
        <w:spacing w:after="0" w:line="360" w:lineRule="auto"/>
        <w:jc w:val="both"/>
        <w:rPr>
          <w:rFonts w:ascii="Times New Roman" w:eastAsia="Times New Roman" w:hAnsi="Times New Roman"/>
          <w:sz w:val="24"/>
          <w:szCs w:val="24"/>
          <w:lang w:eastAsia="en-IN"/>
        </w:rPr>
      </w:pPr>
      <w:r w:rsidRPr="007A7119">
        <w:rPr>
          <w:rFonts w:ascii="Times New Roman" w:hAnsi="Times New Roman"/>
          <w:b/>
          <w:sz w:val="24"/>
          <w:szCs w:val="24"/>
        </w:rPr>
        <w:t>1.</w:t>
      </w:r>
      <w:r w:rsidR="00BA067E" w:rsidRPr="007A7119">
        <w:rPr>
          <w:rFonts w:ascii="Times New Roman" w:hAnsi="Times New Roman"/>
          <w:b/>
          <w:sz w:val="24"/>
          <w:szCs w:val="24"/>
        </w:rPr>
        <w:t>6</w:t>
      </w:r>
      <w:r w:rsidRPr="007A7119">
        <w:rPr>
          <w:rFonts w:ascii="Times New Roman" w:hAnsi="Times New Roman"/>
          <w:b/>
          <w:sz w:val="24"/>
          <w:szCs w:val="24"/>
        </w:rPr>
        <w:t>.1</w:t>
      </w:r>
      <w:r w:rsidRPr="007A7119">
        <w:rPr>
          <w:rFonts w:ascii="Times New Roman" w:hAnsi="Times New Roman"/>
          <w:b/>
          <w:sz w:val="24"/>
          <w:szCs w:val="24"/>
        </w:rPr>
        <w:tab/>
        <w:t>Delineation of Study Region</w:t>
      </w:r>
    </w:p>
    <w:p w:rsidR="002673BB" w:rsidRDefault="002673BB" w:rsidP="007A7119">
      <w:pPr>
        <w:spacing w:after="0" w:line="360" w:lineRule="auto"/>
        <w:jc w:val="both"/>
        <w:rPr>
          <w:rFonts w:ascii="Times New Roman" w:eastAsia="Times New Roman" w:hAnsi="Times New Roman"/>
          <w:sz w:val="24"/>
          <w:szCs w:val="24"/>
          <w:lang w:eastAsia="en-IN"/>
        </w:rPr>
      </w:pPr>
    </w:p>
    <w:p w:rsidR="00C92196" w:rsidRDefault="00C92196" w:rsidP="007A7119">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For the purpose of delineating and limiting study regions for the research,</w:t>
      </w:r>
      <w:r w:rsidR="00EE3D59" w:rsidRPr="007A7119">
        <w:rPr>
          <w:rFonts w:ascii="Times New Roman" w:eastAsia="Times New Roman" w:hAnsi="Times New Roman"/>
          <w:sz w:val="24"/>
          <w:szCs w:val="24"/>
          <w:lang w:eastAsia="en-IN"/>
        </w:rPr>
        <w:t xml:space="preserve"> three zones have been designated within</w:t>
      </w:r>
      <w:r w:rsidRPr="007A7119">
        <w:rPr>
          <w:rFonts w:ascii="Times New Roman" w:eastAsia="Times New Roman" w:hAnsi="Times New Roman"/>
          <w:sz w:val="24"/>
          <w:szCs w:val="24"/>
          <w:lang w:eastAsia="en-IN"/>
        </w:rPr>
        <w:t xml:space="preserve"> the city of Kolkata</w:t>
      </w:r>
      <w:r w:rsidR="004A64BD" w:rsidRPr="007A7119">
        <w:rPr>
          <w:rFonts w:ascii="Times New Roman" w:eastAsia="Times New Roman" w:hAnsi="Times New Roman"/>
          <w:sz w:val="24"/>
          <w:szCs w:val="24"/>
          <w:lang w:eastAsia="en-IN"/>
        </w:rPr>
        <w:t xml:space="preserve"> (Fig. </w:t>
      </w:r>
      <w:r w:rsidR="00434556" w:rsidRPr="007A7119">
        <w:rPr>
          <w:rFonts w:ascii="Times New Roman" w:eastAsia="Times New Roman" w:hAnsi="Times New Roman"/>
          <w:sz w:val="24"/>
          <w:szCs w:val="24"/>
          <w:lang w:eastAsia="en-IN"/>
        </w:rPr>
        <w:t>1.1</w:t>
      </w:r>
      <w:r w:rsidR="00774975">
        <w:rPr>
          <w:rFonts w:ascii="Times New Roman" w:eastAsia="Times New Roman" w:hAnsi="Times New Roman"/>
          <w:sz w:val="24"/>
          <w:szCs w:val="24"/>
          <w:lang w:eastAsia="en-IN"/>
        </w:rPr>
        <w:t>2</w:t>
      </w:r>
      <w:r w:rsidR="004A64BD" w:rsidRPr="007A7119">
        <w:rPr>
          <w:rFonts w:ascii="Times New Roman" w:eastAsia="Times New Roman" w:hAnsi="Times New Roman"/>
          <w:sz w:val="24"/>
          <w:szCs w:val="24"/>
          <w:lang w:eastAsia="en-IN"/>
        </w:rPr>
        <w:t>)</w:t>
      </w:r>
      <w:r w:rsidRPr="007A7119">
        <w:rPr>
          <w:rFonts w:ascii="Times New Roman" w:eastAsia="Times New Roman" w:hAnsi="Times New Roman"/>
          <w:sz w:val="24"/>
          <w:szCs w:val="24"/>
          <w:lang w:eastAsia="en-IN"/>
        </w:rPr>
        <w:t xml:space="preserve">– </w:t>
      </w:r>
    </w:p>
    <w:p w:rsidR="002673BB" w:rsidRPr="007A7119" w:rsidRDefault="002673BB" w:rsidP="007A7119">
      <w:pPr>
        <w:spacing w:after="0" w:line="360" w:lineRule="auto"/>
        <w:jc w:val="both"/>
        <w:rPr>
          <w:rFonts w:ascii="Times New Roman" w:eastAsia="Times New Roman" w:hAnsi="Times New Roman"/>
          <w:sz w:val="24"/>
          <w:szCs w:val="24"/>
          <w:lang w:eastAsia="en-IN"/>
        </w:rPr>
      </w:pPr>
    </w:p>
    <w:p w:rsidR="00C92196" w:rsidRDefault="00C92196" w:rsidP="007A7119">
      <w:pPr>
        <w:pStyle w:val="ListParagraph"/>
        <w:numPr>
          <w:ilvl w:val="0"/>
          <w:numId w:val="10"/>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u w:val="single"/>
          <w:lang w:eastAsia="en-IN"/>
        </w:rPr>
        <w:lastRenderedPageBreak/>
        <w:t>Northern or Old Traditional City</w:t>
      </w:r>
      <w:r w:rsidR="00EE3D59" w:rsidRPr="007A7119">
        <w:rPr>
          <w:rFonts w:ascii="Times New Roman" w:eastAsia="Times New Roman" w:hAnsi="Times New Roman"/>
          <w:sz w:val="24"/>
          <w:szCs w:val="24"/>
          <w:lang w:eastAsia="en-IN"/>
        </w:rPr>
        <w:t xml:space="preserve"> – the area between Mahatma Gandhi Road and Dumdum Road in present day city.</w:t>
      </w:r>
      <w:r w:rsidR="004A64BD" w:rsidRPr="007A7119">
        <w:rPr>
          <w:rFonts w:ascii="Times New Roman" w:eastAsia="Times New Roman" w:hAnsi="Times New Roman"/>
          <w:sz w:val="24"/>
          <w:szCs w:val="24"/>
          <w:lang w:eastAsia="en-IN"/>
        </w:rPr>
        <w:t xml:space="preserve"> The eastern boundary is delineated by Jessore Roadvand then CIT Road up to Sealdah. </w:t>
      </w:r>
    </w:p>
    <w:p w:rsidR="006725DA" w:rsidRPr="007A7119" w:rsidRDefault="006725DA" w:rsidP="006725DA">
      <w:pPr>
        <w:pStyle w:val="ListParagraph"/>
        <w:spacing w:after="0" w:line="360" w:lineRule="auto"/>
        <w:jc w:val="both"/>
        <w:rPr>
          <w:rFonts w:ascii="Times New Roman" w:eastAsia="Times New Roman" w:hAnsi="Times New Roman"/>
          <w:sz w:val="24"/>
          <w:szCs w:val="24"/>
          <w:lang w:eastAsia="en-IN"/>
        </w:rPr>
      </w:pPr>
    </w:p>
    <w:p w:rsidR="00C92196" w:rsidRDefault="00C92196" w:rsidP="007A7119">
      <w:pPr>
        <w:pStyle w:val="ListParagraph"/>
        <w:numPr>
          <w:ilvl w:val="0"/>
          <w:numId w:val="10"/>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u w:val="single"/>
          <w:lang w:eastAsia="en-IN"/>
        </w:rPr>
        <w:t>Central or European Quarter of the city</w:t>
      </w:r>
      <w:r w:rsidR="00EE3D59" w:rsidRPr="007A7119">
        <w:rPr>
          <w:rFonts w:ascii="Times New Roman" w:eastAsia="Times New Roman" w:hAnsi="Times New Roman"/>
          <w:sz w:val="24"/>
          <w:szCs w:val="24"/>
          <w:lang w:eastAsia="en-IN"/>
        </w:rPr>
        <w:t xml:space="preserve"> – the area between Mahatma Gandhi Road on north and Acharya Jagadish Chandra Bose Road on south. The eastern boundary of this area is Acharya Prafulla Chandra Roy Road.</w:t>
      </w:r>
    </w:p>
    <w:p w:rsidR="006725DA" w:rsidRPr="006725DA" w:rsidRDefault="006725DA" w:rsidP="006725DA">
      <w:pPr>
        <w:pStyle w:val="ListParagraph"/>
        <w:rPr>
          <w:rFonts w:ascii="Times New Roman" w:eastAsia="Times New Roman" w:hAnsi="Times New Roman"/>
          <w:sz w:val="24"/>
          <w:szCs w:val="24"/>
          <w:lang w:eastAsia="en-IN"/>
        </w:rPr>
      </w:pPr>
    </w:p>
    <w:p w:rsidR="00C92196" w:rsidRPr="007A7119" w:rsidRDefault="00C92196" w:rsidP="007A7119">
      <w:pPr>
        <w:pStyle w:val="ListParagraph"/>
        <w:numPr>
          <w:ilvl w:val="0"/>
          <w:numId w:val="10"/>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u w:val="single"/>
          <w:lang w:eastAsia="en-IN"/>
        </w:rPr>
        <w:t>Southern or the Newer City</w:t>
      </w:r>
      <w:r w:rsidR="00EE3D59" w:rsidRPr="007A7119">
        <w:rPr>
          <w:rFonts w:ascii="Times New Roman" w:eastAsia="Times New Roman" w:hAnsi="Times New Roman"/>
          <w:sz w:val="24"/>
          <w:szCs w:val="24"/>
          <w:lang w:eastAsia="en-IN"/>
        </w:rPr>
        <w:t xml:space="preserve"> – northern boundary of this area is AJC Bose Road, APC Roy Road and Sealdah Station, whereas southern boundary is the South Suburban Railway track running south of the Ballygunge area and Rabindra Sarovar lake.</w:t>
      </w:r>
    </w:p>
    <w:p w:rsidR="00CA7DEF" w:rsidRPr="007A7119" w:rsidRDefault="0016445E" w:rsidP="007A7119">
      <w:pPr>
        <w:keepNext/>
        <w:spacing w:after="0" w:line="360" w:lineRule="auto"/>
        <w:ind w:left="66"/>
        <w:jc w:val="center"/>
        <w:rPr>
          <w:rFonts w:ascii="Times New Roman" w:hAnsi="Times New Roman"/>
          <w:sz w:val="24"/>
          <w:szCs w:val="24"/>
        </w:rPr>
      </w:pPr>
      <w:r w:rsidRPr="007A7119">
        <w:rPr>
          <w:rFonts w:ascii="Times New Roman" w:hAnsi="Times New Roman"/>
          <w:noProof/>
          <w:sz w:val="24"/>
          <w:szCs w:val="24"/>
          <w:lang w:val="en-US" w:bidi="hi-IN"/>
        </w:rPr>
        <w:drawing>
          <wp:inline distT="0" distB="0" distL="0" distR="0">
            <wp:extent cx="5079835" cy="5039838"/>
            <wp:effectExtent l="19050" t="19050" r="25565" b="27462"/>
            <wp:docPr id="4" name="Picture 3" descr="Kolkata Zone Renderings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olkata Zone Renderings 2.jpg"/>
                    <pic:cNvPicPr/>
                  </pic:nvPicPr>
                  <pic:blipFill>
                    <a:blip r:embed="rId20" cstate="print"/>
                    <a:stretch>
                      <a:fillRect/>
                    </a:stretch>
                  </pic:blipFill>
                  <pic:spPr>
                    <a:xfrm>
                      <a:off x="0" y="0"/>
                      <a:ext cx="5100471" cy="5060311"/>
                    </a:xfrm>
                    <a:prstGeom prst="rect">
                      <a:avLst/>
                    </a:prstGeom>
                    <a:ln>
                      <a:solidFill>
                        <a:schemeClr val="tx1"/>
                      </a:solidFill>
                    </a:ln>
                  </pic:spPr>
                </pic:pic>
              </a:graphicData>
            </a:graphic>
          </wp:inline>
        </w:drawing>
      </w:r>
    </w:p>
    <w:p w:rsidR="00A20522" w:rsidRPr="00694AE4" w:rsidRDefault="00CA7DEF" w:rsidP="007A7119">
      <w:pPr>
        <w:pStyle w:val="Caption"/>
        <w:spacing w:after="0" w:line="360" w:lineRule="auto"/>
        <w:jc w:val="center"/>
        <w:rPr>
          <w:rFonts w:ascii="Times New Roman" w:eastAsia="Times New Roman" w:hAnsi="Times New Roman"/>
          <w:b w:val="0"/>
          <w:iCs/>
          <w:noProof/>
          <w:color w:val="auto"/>
          <w:spacing w:val="-6"/>
          <w:sz w:val="22"/>
          <w:szCs w:val="22"/>
          <w:lang w:eastAsia="en-IN"/>
        </w:rPr>
      </w:pPr>
      <w:r w:rsidRPr="00694AE4">
        <w:rPr>
          <w:rFonts w:ascii="Times New Roman" w:eastAsia="Times New Roman" w:hAnsi="Times New Roman"/>
          <w:bCs w:val="0"/>
          <w:iCs/>
          <w:noProof/>
          <w:color w:val="auto"/>
          <w:spacing w:val="-6"/>
          <w:sz w:val="22"/>
          <w:szCs w:val="22"/>
          <w:lang w:eastAsia="en-IN"/>
        </w:rPr>
        <w:t>Fig. 1.</w:t>
      </w:r>
      <w:r w:rsidR="00774975" w:rsidRPr="00694AE4">
        <w:rPr>
          <w:rFonts w:ascii="Times New Roman" w:eastAsia="Times New Roman" w:hAnsi="Times New Roman"/>
          <w:bCs w:val="0"/>
          <w:iCs/>
          <w:noProof/>
          <w:color w:val="auto"/>
          <w:spacing w:val="-6"/>
          <w:sz w:val="22"/>
          <w:szCs w:val="22"/>
          <w:lang w:eastAsia="en-IN"/>
        </w:rPr>
        <w:t>12</w:t>
      </w:r>
      <w:r w:rsidR="00694AE4" w:rsidRPr="00694AE4">
        <w:rPr>
          <w:rFonts w:ascii="Times New Roman" w:eastAsia="Times New Roman" w:hAnsi="Times New Roman"/>
          <w:b w:val="0"/>
          <w:iCs/>
          <w:noProof/>
          <w:color w:val="auto"/>
          <w:spacing w:val="-6"/>
          <w:sz w:val="22"/>
          <w:szCs w:val="22"/>
          <w:lang w:eastAsia="en-IN"/>
        </w:rPr>
        <w:t>:</w:t>
      </w:r>
      <w:r w:rsidRPr="00694AE4">
        <w:rPr>
          <w:rFonts w:ascii="Times New Roman" w:eastAsia="Times New Roman" w:hAnsi="Times New Roman"/>
          <w:b w:val="0"/>
          <w:iCs/>
          <w:noProof/>
          <w:color w:val="auto"/>
          <w:spacing w:val="-6"/>
          <w:sz w:val="22"/>
          <w:szCs w:val="22"/>
          <w:lang w:eastAsia="en-IN"/>
        </w:rPr>
        <w:t xml:space="preserve">  Map of Kolkata showing delineation of research zones</w:t>
      </w:r>
    </w:p>
    <w:p w:rsidR="00ED7C15" w:rsidRDefault="00ED7C15" w:rsidP="007A7119">
      <w:pPr>
        <w:tabs>
          <w:tab w:val="left" w:pos="-1440"/>
        </w:tabs>
        <w:spacing w:after="0" w:line="360" w:lineRule="auto"/>
        <w:jc w:val="both"/>
        <w:rPr>
          <w:rFonts w:ascii="Times New Roman" w:hAnsi="Times New Roman"/>
          <w:b/>
          <w:sz w:val="24"/>
          <w:szCs w:val="24"/>
        </w:rPr>
      </w:pPr>
    </w:p>
    <w:p w:rsidR="0084094A" w:rsidRDefault="0084094A">
      <w:pPr>
        <w:rPr>
          <w:rFonts w:ascii="Times New Roman" w:hAnsi="Times New Roman"/>
          <w:b/>
          <w:sz w:val="24"/>
          <w:szCs w:val="24"/>
        </w:rPr>
      </w:pPr>
      <w:r>
        <w:rPr>
          <w:rFonts w:ascii="Times New Roman" w:hAnsi="Times New Roman"/>
          <w:b/>
          <w:sz w:val="24"/>
          <w:szCs w:val="24"/>
        </w:rPr>
        <w:br w:type="page"/>
      </w:r>
    </w:p>
    <w:p w:rsidR="00860AE8" w:rsidRDefault="00860AE8" w:rsidP="007A7119">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lastRenderedPageBreak/>
        <w:t>1.</w:t>
      </w:r>
      <w:r w:rsidR="00BA067E" w:rsidRPr="007A7119">
        <w:rPr>
          <w:rFonts w:ascii="Times New Roman" w:hAnsi="Times New Roman"/>
          <w:b/>
          <w:sz w:val="24"/>
          <w:szCs w:val="24"/>
        </w:rPr>
        <w:t>7</w:t>
      </w:r>
      <w:r w:rsidRPr="007A7119">
        <w:rPr>
          <w:rFonts w:ascii="Times New Roman" w:hAnsi="Times New Roman"/>
          <w:b/>
          <w:sz w:val="24"/>
          <w:szCs w:val="24"/>
        </w:rPr>
        <w:tab/>
      </w:r>
      <w:r w:rsidR="000A079F" w:rsidRPr="007A7119">
        <w:rPr>
          <w:rFonts w:ascii="Times New Roman" w:hAnsi="Times New Roman"/>
          <w:b/>
          <w:sz w:val="24"/>
          <w:szCs w:val="24"/>
        </w:rPr>
        <w:t xml:space="preserve">RESEARCH </w:t>
      </w:r>
      <w:r w:rsidRPr="007A7119">
        <w:rPr>
          <w:rFonts w:ascii="Times New Roman" w:hAnsi="Times New Roman"/>
          <w:b/>
          <w:sz w:val="24"/>
          <w:szCs w:val="24"/>
        </w:rPr>
        <w:t>METHODOLOGY</w:t>
      </w:r>
    </w:p>
    <w:p w:rsidR="00084635" w:rsidRDefault="00084635" w:rsidP="007A7119">
      <w:pPr>
        <w:tabs>
          <w:tab w:val="left" w:pos="-1440"/>
        </w:tabs>
        <w:spacing w:after="0" w:line="360" w:lineRule="auto"/>
        <w:jc w:val="both"/>
        <w:rPr>
          <w:rFonts w:ascii="Times New Roman" w:hAnsi="Times New Roman"/>
          <w:b/>
          <w:sz w:val="24"/>
          <w:szCs w:val="24"/>
        </w:rPr>
      </w:pPr>
    </w:p>
    <w:p w:rsidR="00084635" w:rsidRPr="007A7119"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1.7.1</w:t>
      </w:r>
      <w:r w:rsidRPr="007A7119">
        <w:rPr>
          <w:rFonts w:ascii="Times New Roman" w:hAnsi="Times New Roman"/>
          <w:b/>
          <w:sz w:val="24"/>
          <w:szCs w:val="24"/>
        </w:rPr>
        <w:tab/>
        <w:t>Step 1 – Choice of Research Techniques</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Goal of the research is to find whether old indigenous residential buildings of Kolkata provide more indoor thermal comfort than new residential buildings. Further, if it is proven that old indigenous buildings actually provide better thermal condition inside then to ascertain the reason behind this phenomenon.</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human dependent psychological and behavioural aspect of thermal comfort has been taken as constant for this research as </w:t>
      </w:r>
      <w:r w:rsidRPr="007A7119">
        <w:rPr>
          <w:rFonts w:ascii="Times New Roman" w:eastAsia="Times New Roman" w:hAnsi="Times New Roman"/>
          <w:i/>
          <w:sz w:val="24"/>
          <w:szCs w:val="24"/>
          <w:lang w:eastAsia="en-IN"/>
        </w:rPr>
        <w:t>ceteris paribus</w:t>
      </w:r>
      <w:r w:rsidRPr="007A7119">
        <w:rPr>
          <w:rFonts w:ascii="Times New Roman" w:eastAsia="Times New Roman" w:hAnsi="Times New Roman"/>
          <w:sz w:val="24"/>
          <w:szCs w:val="24"/>
          <w:lang w:eastAsia="en-IN"/>
        </w:rPr>
        <w:t xml:space="preserve">. Hence, thermal comfort has been taken as indoor thermal condition that can be machine measured in terms of temperature and relative humidity. Thus, to exclude the subjectivity of respondent –oriented study, comfort zones in terms of adaptive comfort temperature (ACT) has been chosen </w:t>
      </w:r>
      <w:sdt>
        <w:sdtPr>
          <w:rPr>
            <w:rFonts w:ascii="Times New Roman" w:eastAsia="Times New Roman" w:hAnsi="Times New Roman"/>
            <w:sz w:val="24"/>
            <w:szCs w:val="24"/>
            <w:lang w:eastAsia="en-IN"/>
          </w:rPr>
          <w:id w:val="5449789"/>
          <w:citation/>
        </w:sdtPr>
        <w:sdtContent>
          <w:r w:rsidR="005D4839" w:rsidRPr="007A7119">
            <w:rPr>
              <w:rFonts w:ascii="Times New Roman" w:eastAsia="Times New Roman" w:hAnsi="Times New Roman"/>
              <w:sz w:val="24"/>
              <w:szCs w:val="24"/>
              <w:lang w:eastAsia="en-IN"/>
            </w:rPr>
            <w:fldChar w:fldCharType="begin"/>
          </w:r>
          <w:r w:rsidRPr="007A7119">
            <w:rPr>
              <w:rFonts w:ascii="Times New Roman" w:eastAsia="Times New Roman" w:hAnsi="Times New Roman"/>
              <w:sz w:val="24"/>
              <w:szCs w:val="24"/>
              <w:lang w:eastAsia="en-IN"/>
            </w:rPr>
            <w:instrText xml:space="preserve"> CITATION Szo14 \l 16393 </w:instrText>
          </w:r>
          <w:r w:rsidR="005D4839" w:rsidRPr="007A7119">
            <w:rPr>
              <w:rFonts w:ascii="Times New Roman" w:eastAsia="Times New Roman" w:hAnsi="Times New Roman"/>
              <w:sz w:val="24"/>
              <w:szCs w:val="24"/>
              <w:lang w:eastAsia="en-IN"/>
            </w:rPr>
            <w:fldChar w:fldCharType="separate"/>
          </w:r>
          <w:r w:rsidRPr="007A7119">
            <w:rPr>
              <w:rFonts w:ascii="Times New Roman" w:eastAsia="Times New Roman" w:hAnsi="Times New Roman"/>
              <w:noProof/>
              <w:sz w:val="24"/>
              <w:szCs w:val="24"/>
              <w:lang w:eastAsia="en-IN"/>
            </w:rPr>
            <w:t>(Szokolay, 2014)</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 xml:space="preserve">. The ACT has been calculated on the average ambient temperature as described in standards </w:t>
      </w:r>
      <w:sdt>
        <w:sdtPr>
          <w:rPr>
            <w:rFonts w:ascii="Times New Roman" w:eastAsia="Times New Roman" w:hAnsi="Times New Roman"/>
            <w:sz w:val="24"/>
            <w:szCs w:val="24"/>
            <w:lang w:eastAsia="en-IN"/>
          </w:rPr>
          <w:id w:val="5449786"/>
          <w:citation/>
        </w:sdtPr>
        <w:sdtContent>
          <w:r w:rsidR="005D4839" w:rsidRPr="007A7119">
            <w:rPr>
              <w:rFonts w:ascii="Times New Roman" w:eastAsia="Times New Roman" w:hAnsi="Times New Roman"/>
              <w:sz w:val="24"/>
              <w:szCs w:val="24"/>
              <w:lang w:eastAsia="en-IN"/>
            </w:rPr>
            <w:fldChar w:fldCharType="begin"/>
          </w:r>
          <w:r w:rsidRPr="007A7119">
            <w:rPr>
              <w:rFonts w:ascii="Times New Roman" w:eastAsia="Times New Roman" w:hAnsi="Times New Roman"/>
              <w:sz w:val="24"/>
              <w:szCs w:val="24"/>
              <w:lang w:eastAsia="en-IN"/>
            </w:rPr>
            <w:instrText xml:space="preserve"> CITATION ANS13 \l 16393 </w:instrText>
          </w:r>
          <w:r w:rsidR="005D4839" w:rsidRPr="007A7119">
            <w:rPr>
              <w:rFonts w:ascii="Times New Roman" w:eastAsia="Times New Roman" w:hAnsi="Times New Roman"/>
              <w:sz w:val="24"/>
              <w:szCs w:val="24"/>
              <w:lang w:eastAsia="en-IN"/>
            </w:rPr>
            <w:fldChar w:fldCharType="separate"/>
          </w:r>
          <w:r w:rsidRPr="007A7119">
            <w:rPr>
              <w:rFonts w:ascii="Times New Roman" w:eastAsia="Times New Roman" w:hAnsi="Times New Roman"/>
              <w:noProof/>
              <w:sz w:val="24"/>
              <w:szCs w:val="24"/>
              <w:lang w:eastAsia="en-IN"/>
            </w:rPr>
            <w:t>(ANSI, 2013)</w:t>
          </w:r>
          <w:r w:rsidR="005D4839" w:rsidRPr="007A7119">
            <w:rPr>
              <w:rFonts w:ascii="Times New Roman" w:eastAsia="Times New Roman" w:hAnsi="Times New Roman"/>
              <w:sz w:val="24"/>
              <w:szCs w:val="24"/>
              <w:lang w:eastAsia="en-IN"/>
            </w:rPr>
            <w:fldChar w:fldCharType="end"/>
          </w:r>
        </w:sdtContent>
      </w:sdt>
      <w:sdt>
        <w:sdtPr>
          <w:rPr>
            <w:rFonts w:ascii="Times New Roman" w:eastAsia="Times New Roman" w:hAnsi="Times New Roman"/>
            <w:sz w:val="24"/>
            <w:szCs w:val="24"/>
            <w:lang w:eastAsia="en-IN"/>
          </w:rPr>
          <w:id w:val="5449787"/>
          <w:citation/>
        </w:sdtPr>
        <w:sdtContent>
          <w:r w:rsidR="005D4839" w:rsidRPr="007A7119">
            <w:rPr>
              <w:rFonts w:ascii="Times New Roman" w:eastAsia="Times New Roman" w:hAnsi="Times New Roman"/>
              <w:sz w:val="24"/>
              <w:szCs w:val="24"/>
              <w:lang w:eastAsia="en-IN"/>
            </w:rPr>
            <w:fldChar w:fldCharType="begin"/>
          </w:r>
          <w:r w:rsidRPr="007A7119">
            <w:rPr>
              <w:rFonts w:ascii="Times New Roman" w:eastAsia="Times New Roman" w:hAnsi="Times New Roman"/>
              <w:sz w:val="24"/>
              <w:szCs w:val="24"/>
              <w:lang w:eastAsia="en-IN"/>
            </w:rPr>
            <w:instrText xml:space="preserve"> CITATION Nay06 \l 16393 </w:instrText>
          </w:r>
          <w:r w:rsidR="005D4839" w:rsidRPr="007A7119">
            <w:rPr>
              <w:rFonts w:ascii="Times New Roman" w:eastAsia="Times New Roman" w:hAnsi="Times New Roman"/>
              <w:sz w:val="24"/>
              <w:szCs w:val="24"/>
              <w:lang w:eastAsia="en-IN"/>
            </w:rPr>
            <w:fldChar w:fldCharType="separate"/>
          </w:r>
          <w:r w:rsidRPr="007A7119">
            <w:rPr>
              <w:rFonts w:ascii="Times New Roman" w:eastAsia="Times New Roman" w:hAnsi="Times New Roman"/>
              <w:noProof/>
              <w:sz w:val="24"/>
              <w:szCs w:val="24"/>
              <w:lang w:eastAsia="en-IN"/>
            </w:rPr>
            <w:t>(Nayak &amp; Prajapati, 2006)</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 xml:space="preserve">. Based on this comfort zone, the scales of Percentage Comfort Hour (PCH) and Comfort Factor (CF) </w:t>
      </w:r>
      <w:sdt>
        <w:sdtPr>
          <w:rPr>
            <w:rFonts w:ascii="Times New Roman" w:eastAsia="Times New Roman" w:hAnsi="Times New Roman"/>
            <w:sz w:val="24"/>
            <w:szCs w:val="24"/>
            <w:lang w:eastAsia="en-IN"/>
          </w:rPr>
          <w:id w:val="5449788"/>
          <w:citation/>
        </w:sdtPr>
        <w:sdtContent>
          <w:r w:rsidR="005D4839" w:rsidRPr="007A7119">
            <w:rPr>
              <w:rFonts w:ascii="Times New Roman" w:eastAsia="Times New Roman" w:hAnsi="Times New Roman"/>
              <w:sz w:val="24"/>
              <w:szCs w:val="24"/>
              <w:lang w:eastAsia="en-IN"/>
            </w:rPr>
            <w:fldChar w:fldCharType="begin"/>
          </w:r>
          <w:r w:rsidRPr="007A7119">
            <w:rPr>
              <w:rFonts w:ascii="Times New Roman" w:eastAsia="Times New Roman" w:hAnsi="Times New Roman"/>
              <w:sz w:val="24"/>
              <w:szCs w:val="24"/>
              <w:lang w:eastAsia="en-IN"/>
            </w:rPr>
            <w:instrText xml:space="preserve"> CITATION Nay06 \l 16393 </w:instrText>
          </w:r>
          <w:r w:rsidR="005D4839" w:rsidRPr="007A7119">
            <w:rPr>
              <w:rFonts w:ascii="Times New Roman" w:eastAsia="Times New Roman" w:hAnsi="Times New Roman"/>
              <w:sz w:val="24"/>
              <w:szCs w:val="24"/>
              <w:lang w:eastAsia="en-IN"/>
            </w:rPr>
            <w:fldChar w:fldCharType="separate"/>
          </w:r>
          <w:r w:rsidRPr="007A7119">
            <w:rPr>
              <w:rFonts w:ascii="Times New Roman" w:eastAsia="Times New Roman" w:hAnsi="Times New Roman"/>
              <w:noProof/>
              <w:sz w:val="24"/>
              <w:szCs w:val="24"/>
              <w:lang w:eastAsia="en-IN"/>
            </w:rPr>
            <w:t>(Nayak &amp; Prajapati, 2006)</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 xml:space="preserve"> have been used to assess the absolute comfort condition of each building. The time series temporal condition of each house (for DBT as well as Heat Index values) is then drawn and compared with the ambient condition. Parallel to this, the PCH and CF performances of the old and new buildings are also mutually compared, aiming at the final goal of the research to decide which group performs better. Conclusions are then drawn on this comparison.</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The collected and calculated indices are then placed on a table along with the parameters. Correlation coefficients have been calculated between each pair of dependent and independent variable separately to ascertain the inter-dependability of the indices and parameters</w:t>
      </w:r>
      <w:r w:rsidR="0084094A">
        <w:rPr>
          <w:rFonts w:ascii="Times New Roman" w:eastAsia="Times New Roman" w:hAnsi="Times New Roman"/>
          <w:sz w:val="24"/>
          <w:szCs w:val="24"/>
          <w:lang w:eastAsia="en-IN"/>
        </w:rPr>
        <w:t xml:space="preserve">. </w:t>
      </w:r>
      <w:r w:rsidRPr="007A7119">
        <w:rPr>
          <w:rFonts w:ascii="Times New Roman" w:eastAsia="Times New Roman" w:hAnsi="Times New Roman"/>
          <w:sz w:val="24"/>
          <w:szCs w:val="24"/>
          <w:lang w:eastAsia="en-IN"/>
        </w:rPr>
        <w:t>Finally, the whole data table is put into a regression analysis for developing a linear regression equation to predict the thermal indices as function of the parameters.</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Pr="007A711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this are given under chapter 2.</w:t>
      </w:r>
    </w:p>
    <w:p w:rsidR="00084635" w:rsidRDefault="00084635" w:rsidP="007A7119">
      <w:pPr>
        <w:tabs>
          <w:tab w:val="left" w:pos="-1440"/>
        </w:tabs>
        <w:spacing w:after="0" w:line="360" w:lineRule="auto"/>
        <w:jc w:val="both"/>
        <w:rPr>
          <w:rFonts w:ascii="Times New Roman" w:hAnsi="Times New Roman"/>
          <w:b/>
          <w:sz w:val="24"/>
          <w:szCs w:val="24"/>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1.7.2</w:t>
      </w:r>
      <w:r w:rsidRPr="007A7119">
        <w:rPr>
          <w:rFonts w:ascii="Times New Roman" w:hAnsi="Times New Roman"/>
          <w:b/>
          <w:sz w:val="24"/>
          <w:szCs w:val="24"/>
        </w:rPr>
        <w:tab/>
        <w:t>Step 2 – Choice of Parameters and Indices</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Thermal Comfort has two aspects – the physical condition of the building, its interiors and envelope, and the psychological and behavioural condition of the users within. </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lastRenderedPageBreak/>
        <w:t xml:space="preserve">As this research is limited within the first scope, the indices and parameters have been chosen accordingly. The thermal conditions – both indoor and ambient – have been measured by the primary indices of temperature and relative humidity. Heat Index has been calculated as a composite index of these two indices. </w:t>
      </w:r>
    </w:p>
    <w:p w:rsidR="00084635" w:rsidRPr="007A711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Physical parameters and the nature of the data collected are as follows:</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Building Orientation – primary data</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Air Velocity – primary data</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Shading Device – primary data on depth, width of chhajha and their side overhangs</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Surface Volume Ratio – primary data on dimensions of room and openings</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Thermal Conductivity of Wall – primary data on thickness and materials of wall</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Thermal Conductivity of Slab – primary data on thickness and materials of slab </w:t>
      </w:r>
    </w:p>
    <w:p w:rsidR="00084635" w:rsidRPr="007A7119" w:rsidRDefault="00084635" w:rsidP="00084635">
      <w:pPr>
        <w:pStyle w:val="ListParagraph"/>
        <w:numPr>
          <w:ilvl w:val="0"/>
          <w:numId w:val="12"/>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Opening v/s Wall Area Ratio – primary data on dimensions of room and openings</w:t>
      </w:r>
    </w:p>
    <w:p w:rsidR="00084635" w:rsidRPr="007A711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this are given under chapter 2.</w:t>
      </w:r>
    </w:p>
    <w:p w:rsidR="00084635" w:rsidRDefault="00084635" w:rsidP="00084635">
      <w:pPr>
        <w:tabs>
          <w:tab w:val="left" w:pos="-1440"/>
        </w:tabs>
        <w:spacing w:after="0" w:line="360" w:lineRule="auto"/>
        <w:jc w:val="both"/>
        <w:rPr>
          <w:rFonts w:ascii="Times New Roman" w:hAnsi="Times New Roman"/>
          <w:b/>
          <w:sz w:val="24"/>
          <w:szCs w:val="24"/>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1.7.3</w:t>
      </w:r>
      <w:r w:rsidRPr="007A7119">
        <w:rPr>
          <w:rFonts w:ascii="Times New Roman" w:hAnsi="Times New Roman"/>
          <w:b/>
          <w:sz w:val="24"/>
          <w:szCs w:val="24"/>
        </w:rPr>
        <w:tab/>
        <w:t>Step 3 – Ascertaining Data Collection Time</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Kolkata falls in the Warm and Humid climatic region, and theaim of the research is to probe into ther thermal condition of residences during heated months of summer. Hence, the summer season of April, May and June has been chosen for the study. The study has been done in two time phases of summer of 2016 and that of 2017.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this are given under chapter 4.</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1.7.4</w:t>
      </w:r>
      <w:r w:rsidRPr="007A7119">
        <w:rPr>
          <w:rFonts w:ascii="Times New Roman" w:hAnsi="Times New Roman"/>
          <w:b/>
          <w:sz w:val="24"/>
          <w:szCs w:val="24"/>
        </w:rPr>
        <w:tab/>
        <w:t>Step 4 – Physical Survey of Houses and Measured Drawing</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All the survey houses, as per permission of the owner / occupant, have been measured and their physical data as detailed under the parameters in section1.6.2 have been collected. Similarly, as permitted, these buildings have been photographed in detail.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this are given under chapter 3.</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1.7.5</w:t>
      </w:r>
      <w:r w:rsidRPr="007A7119">
        <w:rPr>
          <w:rFonts w:ascii="Times New Roman" w:hAnsi="Times New Roman"/>
          <w:b/>
          <w:sz w:val="24"/>
          <w:szCs w:val="24"/>
        </w:rPr>
        <w:tab/>
        <w:t>Step 5 – Collection of Thermal Data</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Thermal data have been collected with temperature and relative humidity data loggers in the manner specified in standards </w:t>
      </w:r>
      <w:sdt>
        <w:sdtPr>
          <w:rPr>
            <w:rFonts w:ascii="Times New Roman" w:eastAsia="Times New Roman" w:hAnsi="Times New Roman"/>
            <w:sz w:val="24"/>
            <w:szCs w:val="24"/>
            <w:lang w:eastAsia="en-IN"/>
          </w:rPr>
          <w:id w:val="5449792"/>
          <w:citation/>
        </w:sdtPr>
        <w:sdtContent>
          <w:r w:rsidR="005D4839" w:rsidRPr="007A7119">
            <w:rPr>
              <w:rFonts w:ascii="Times New Roman" w:eastAsia="Times New Roman" w:hAnsi="Times New Roman"/>
              <w:sz w:val="24"/>
              <w:szCs w:val="24"/>
              <w:lang w:eastAsia="en-IN"/>
            </w:rPr>
            <w:fldChar w:fldCharType="begin"/>
          </w:r>
          <w:r w:rsidRPr="007A7119">
            <w:rPr>
              <w:rFonts w:ascii="Times New Roman" w:eastAsia="Times New Roman" w:hAnsi="Times New Roman"/>
              <w:sz w:val="24"/>
              <w:szCs w:val="24"/>
              <w:lang w:eastAsia="en-IN"/>
            </w:rPr>
            <w:instrText xml:space="preserve"> CITATION ANS13 \l 16393 </w:instrText>
          </w:r>
          <w:r w:rsidR="005D4839" w:rsidRPr="007A7119">
            <w:rPr>
              <w:rFonts w:ascii="Times New Roman" w:eastAsia="Times New Roman" w:hAnsi="Times New Roman"/>
              <w:sz w:val="24"/>
              <w:szCs w:val="24"/>
              <w:lang w:eastAsia="en-IN"/>
            </w:rPr>
            <w:fldChar w:fldCharType="separate"/>
          </w:r>
          <w:r w:rsidRPr="007A7119">
            <w:rPr>
              <w:rFonts w:ascii="Times New Roman" w:eastAsia="Times New Roman" w:hAnsi="Times New Roman"/>
              <w:noProof/>
              <w:sz w:val="24"/>
              <w:szCs w:val="24"/>
              <w:lang w:eastAsia="en-IN"/>
            </w:rPr>
            <w:t>(ANSI, 2013)</w:t>
          </w:r>
          <w:r w:rsidR="005D4839" w:rsidRPr="007A7119">
            <w:rPr>
              <w:rFonts w:ascii="Times New Roman" w:eastAsia="Times New Roman" w:hAnsi="Times New Roman"/>
              <w:sz w:val="24"/>
              <w:szCs w:val="24"/>
              <w:lang w:eastAsia="en-IN"/>
            </w:rPr>
            <w:fldChar w:fldCharType="end"/>
          </w:r>
        </w:sdtContent>
      </w:sdt>
      <w:r w:rsidRPr="007A7119">
        <w:rPr>
          <w:rFonts w:ascii="Times New Roman" w:eastAsia="Times New Roman" w:hAnsi="Times New Roman"/>
          <w:sz w:val="24"/>
          <w:szCs w:val="24"/>
          <w:lang w:eastAsia="en-IN"/>
        </w:rPr>
        <w:t>. The details of the same have been discussed in chapter 4.</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lastRenderedPageBreak/>
        <w:t>1.7.6</w:t>
      </w:r>
      <w:r w:rsidRPr="007A7119">
        <w:rPr>
          <w:rFonts w:ascii="Times New Roman" w:hAnsi="Times New Roman"/>
          <w:b/>
          <w:sz w:val="24"/>
          <w:szCs w:val="24"/>
        </w:rPr>
        <w:tab/>
        <w:t xml:space="preserve">Step 6 – Collection of Time Series Data on Ambient Condition </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Pr="007A711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The ambient data of the city of Kolkata has been collected as secondary data in two parts, viz –</w:t>
      </w:r>
    </w:p>
    <w:p w:rsidR="00084635" w:rsidRPr="007A7119" w:rsidRDefault="00084635" w:rsidP="00084635">
      <w:pPr>
        <w:pStyle w:val="ListParagraph"/>
        <w:numPr>
          <w:ilvl w:val="0"/>
          <w:numId w:val="13"/>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Time series daily data on Maximum Temperature, Minimum Temperature and Relative Humidity </w:t>
      </w:r>
      <w:r w:rsidR="0040255B">
        <w:rPr>
          <w:rFonts w:ascii="Times New Roman" w:eastAsia="Times New Roman" w:hAnsi="Times New Roman"/>
          <w:sz w:val="24"/>
          <w:szCs w:val="24"/>
          <w:lang w:eastAsia="en-IN"/>
        </w:rPr>
        <w:t>for ten calendar years including and before the conduction of the research (2013-2023)</w:t>
      </w:r>
      <w:r w:rsidRPr="007A7119">
        <w:rPr>
          <w:rFonts w:ascii="Times New Roman" w:eastAsia="Times New Roman" w:hAnsi="Times New Roman"/>
          <w:sz w:val="24"/>
          <w:szCs w:val="24"/>
          <w:lang w:eastAsia="en-IN"/>
        </w:rPr>
        <w:t>.</w:t>
      </w:r>
    </w:p>
    <w:p w:rsidR="00084635" w:rsidRPr="007A7119" w:rsidRDefault="00084635" w:rsidP="00084635">
      <w:pPr>
        <w:pStyle w:val="ListParagraph"/>
        <w:numPr>
          <w:ilvl w:val="0"/>
          <w:numId w:val="13"/>
        </w:num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Hourly data on Temperature and Relative Humidity from 15 April till 15 June in 20</w:t>
      </w:r>
      <w:r w:rsidR="0040255B">
        <w:rPr>
          <w:rFonts w:ascii="Times New Roman" w:eastAsia="Times New Roman" w:hAnsi="Times New Roman"/>
          <w:sz w:val="24"/>
          <w:szCs w:val="24"/>
          <w:lang w:eastAsia="en-IN"/>
        </w:rPr>
        <w:t>21</w:t>
      </w:r>
      <w:r w:rsidRPr="007A7119">
        <w:rPr>
          <w:rFonts w:ascii="Times New Roman" w:eastAsia="Times New Roman" w:hAnsi="Times New Roman"/>
          <w:sz w:val="24"/>
          <w:szCs w:val="24"/>
          <w:lang w:eastAsia="en-IN"/>
        </w:rPr>
        <w:t xml:space="preserve"> and 20</w:t>
      </w:r>
      <w:r w:rsidR="0040255B">
        <w:rPr>
          <w:rFonts w:ascii="Times New Roman" w:eastAsia="Times New Roman" w:hAnsi="Times New Roman"/>
          <w:sz w:val="24"/>
          <w:szCs w:val="24"/>
          <w:lang w:eastAsia="en-IN"/>
        </w:rPr>
        <w:t>22</w:t>
      </w:r>
      <w:r w:rsidRPr="007A7119">
        <w:rPr>
          <w:rFonts w:ascii="Times New Roman" w:eastAsia="Times New Roman" w:hAnsi="Times New Roman"/>
          <w:sz w:val="24"/>
          <w:szCs w:val="24"/>
          <w:lang w:eastAsia="en-IN"/>
        </w:rPr>
        <w:t>.</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this are given under chapter 4.</w:t>
      </w:r>
    </w:p>
    <w:p w:rsidR="004B6B06" w:rsidRDefault="004B6B06"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1.7.7</w:t>
      </w:r>
      <w:r w:rsidRPr="007A7119">
        <w:rPr>
          <w:rFonts w:ascii="Times New Roman" w:hAnsi="Times New Roman"/>
          <w:b/>
          <w:sz w:val="24"/>
          <w:szCs w:val="24"/>
        </w:rPr>
        <w:tab/>
        <w:t>Step 7 – Calculation of Composite Indices for Data Analysis</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research calculates three composite (or calculated) indices, viz, Heat Index, Adaptive Comfort Temperature, Percentage Comfort Hour and Comfort Factor.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these calculations are in chapter 2.</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1.7.8</w:t>
      </w:r>
      <w:r w:rsidRPr="007A7119">
        <w:rPr>
          <w:rFonts w:ascii="Times New Roman" w:hAnsi="Times New Roman"/>
          <w:b/>
          <w:sz w:val="24"/>
          <w:szCs w:val="24"/>
        </w:rPr>
        <w:tab/>
        <w:t>Step 8 – Comparison between Building Interior and Ambient Condition</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indoor thermal condition of each building has been compared with the ambient condition on both whole time series as well as singular composite index.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these are given in chapter 5.</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1.7.9</w:t>
      </w:r>
      <w:r w:rsidRPr="007A7119">
        <w:rPr>
          <w:rFonts w:ascii="Times New Roman" w:hAnsi="Times New Roman"/>
          <w:b/>
          <w:sz w:val="24"/>
          <w:szCs w:val="24"/>
        </w:rPr>
        <w:tab/>
        <w:t>Step 9 – Comparison between Old and New Buildings</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primary and composite indices for each building have been used to compare the old buildings with the new buildings by grouping them in two separate groups. In this, both inter-group and intra-group comparisons have been done to draw inferences.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Details of these are given in chapter 5.</w:t>
      </w:r>
    </w:p>
    <w:p w:rsidR="00084635" w:rsidRPr="007A7119" w:rsidRDefault="00084635"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1.7.10</w:t>
      </w:r>
      <w:r w:rsidRPr="007A7119">
        <w:rPr>
          <w:rFonts w:ascii="Times New Roman" w:hAnsi="Times New Roman"/>
          <w:b/>
          <w:sz w:val="24"/>
          <w:szCs w:val="24"/>
        </w:rPr>
        <w:tab/>
        <w:t>Step 10 – Inference on Relative Performance of Buildings</w:t>
      </w:r>
    </w:p>
    <w:p w:rsidR="00084635" w:rsidRPr="00E9795E" w:rsidRDefault="00084635" w:rsidP="00084635">
      <w:pPr>
        <w:tabs>
          <w:tab w:val="left" w:pos="-1440"/>
        </w:tabs>
        <w:spacing w:after="0" w:line="360" w:lineRule="auto"/>
        <w:jc w:val="both"/>
        <w:rPr>
          <w:rFonts w:ascii="Times New Roman" w:hAnsi="Times New Roman"/>
          <w:b/>
          <w:sz w:val="20"/>
          <w:szCs w:val="20"/>
        </w:rPr>
      </w:pPr>
    </w:p>
    <w:p w:rsidR="00084635" w:rsidRPr="007A7119" w:rsidRDefault="00084635" w:rsidP="006D2B75">
      <w:pPr>
        <w:spacing w:after="0" w:line="360" w:lineRule="auto"/>
        <w:jc w:val="both"/>
        <w:rPr>
          <w:rFonts w:ascii="Times New Roman" w:hAnsi="Times New Roman"/>
          <w:b/>
          <w:sz w:val="24"/>
          <w:szCs w:val="24"/>
        </w:rPr>
      </w:pPr>
      <w:r w:rsidRPr="007A7119">
        <w:rPr>
          <w:rFonts w:ascii="Times New Roman" w:eastAsia="Times New Roman" w:hAnsi="Times New Roman"/>
          <w:sz w:val="24"/>
          <w:szCs w:val="24"/>
          <w:lang w:eastAsia="en-IN"/>
        </w:rPr>
        <w:t>Inferences are drawn step by step at each level of comparison of the building’s thermal conditions. Details of these are given in chapter 5.</w:t>
      </w:r>
    </w:p>
    <w:p w:rsidR="00063A95" w:rsidRDefault="00063A95">
      <w:pPr>
        <w:rPr>
          <w:rFonts w:ascii="Times New Roman" w:hAnsi="Times New Roman"/>
          <w:b/>
          <w:sz w:val="24"/>
          <w:szCs w:val="24"/>
        </w:rPr>
      </w:pPr>
      <w:r>
        <w:rPr>
          <w:rFonts w:ascii="Times New Roman" w:hAnsi="Times New Roman"/>
          <w:b/>
          <w:sz w:val="24"/>
          <w:szCs w:val="24"/>
        </w:rPr>
        <w:br w:type="page"/>
      </w: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lastRenderedPageBreak/>
        <w:t>1.7.11</w:t>
      </w:r>
      <w:r w:rsidRPr="007A7119">
        <w:rPr>
          <w:rFonts w:ascii="Times New Roman" w:hAnsi="Times New Roman"/>
          <w:b/>
          <w:sz w:val="24"/>
          <w:szCs w:val="24"/>
        </w:rPr>
        <w:tab/>
        <w:t>Step 11 – Calculation of Dependability of Parameters and Indices</w:t>
      </w:r>
    </w:p>
    <w:p w:rsidR="009F5709" w:rsidRPr="006D2B75" w:rsidRDefault="009F5709" w:rsidP="00084635">
      <w:pPr>
        <w:tabs>
          <w:tab w:val="left" w:pos="-1440"/>
        </w:tabs>
        <w:spacing w:after="0" w:line="360" w:lineRule="auto"/>
        <w:jc w:val="both"/>
        <w:rPr>
          <w:rFonts w:ascii="Times New Roman" w:hAnsi="Times New Roman"/>
          <w:b/>
          <w:sz w:val="20"/>
          <w:szCs w:val="20"/>
        </w:rPr>
      </w:pPr>
    </w:p>
    <w:p w:rsidR="009F570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Finally, each building has been represented by the central tendency of their whole sample time series data of temperature and heat index values. These indices are then placed alongside their physical parameter data on a table. Each index is then correlated with the parameters one by one, and the correlation coefficients calculated.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Discussions of this is in chapter 5.</w:t>
      </w:r>
    </w:p>
    <w:p w:rsidR="009F5709" w:rsidRPr="007A7119" w:rsidRDefault="009F5709" w:rsidP="00084635">
      <w:pPr>
        <w:spacing w:after="0" w:line="360" w:lineRule="auto"/>
        <w:jc w:val="both"/>
        <w:rPr>
          <w:rFonts w:ascii="Times New Roman" w:eastAsia="Times New Roman" w:hAnsi="Times New Roman"/>
          <w:sz w:val="24"/>
          <w:szCs w:val="24"/>
          <w:lang w:eastAsia="en-IN"/>
        </w:rPr>
      </w:pPr>
    </w:p>
    <w:p w:rsidR="00084635" w:rsidRPr="007A7119"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1.7.12</w:t>
      </w:r>
      <w:r w:rsidRPr="007A7119">
        <w:rPr>
          <w:rFonts w:ascii="Times New Roman" w:hAnsi="Times New Roman"/>
          <w:b/>
          <w:sz w:val="24"/>
          <w:szCs w:val="24"/>
        </w:rPr>
        <w:tab/>
        <w:t>Step 12 – Design of Regression Equation for Composite Index of Temperature</w:t>
      </w:r>
    </w:p>
    <w:p w:rsidR="006D2B75" w:rsidRPr="006D2B75" w:rsidRDefault="006D2B75" w:rsidP="00084635">
      <w:pPr>
        <w:spacing w:after="0" w:line="360" w:lineRule="auto"/>
        <w:jc w:val="both"/>
        <w:rPr>
          <w:rFonts w:ascii="Times New Roman" w:eastAsia="Times New Roman" w:hAnsi="Times New Roman"/>
          <w:sz w:val="20"/>
          <w:szCs w:val="20"/>
          <w:lang w:eastAsia="en-IN"/>
        </w:rPr>
      </w:pPr>
    </w:p>
    <w:p w:rsidR="009F570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 xml:space="preserve">The table mentioned in section 1.6.11 is then put through a linear regression analysis and the linear equation has been formed to represent the overall / composite association of the indices with all the independent parameters. </w:t>
      </w:r>
    </w:p>
    <w:p w:rsidR="00084635"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Detail of this is in chapter 5.</w:t>
      </w:r>
    </w:p>
    <w:p w:rsidR="009F5709" w:rsidRPr="007A7119" w:rsidRDefault="009F5709" w:rsidP="00084635">
      <w:pPr>
        <w:spacing w:after="0" w:line="360" w:lineRule="auto"/>
        <w:jc w:val="both"/>
        <w:rPr>
          <w:rFonts w:ascii="Times New Roman" w:eastAsia="Times New Roman" w:hAnsi="Times New Roman"/>
          <w:sz w:val="24"/>
          <w:szCs w:val="24"/>
          <w:lang w:eastAsia="en-IN"/>
        </w:rPr>
      </w:pPr>
    </w:p>
    <w:p w:rsidR="00084635" w:rsidRDefault="00084635" w:rsidP="00084635">
      <w:pPr>
        <w:tabs>
          <w:tab w:val="left" w:pos="-1440"/>
        </w:tabs>
        <w:spacing w:after="0" w:line="360" w:lineRule="auto"/>
        <w:jc w:val="both"/>
        <w:rPr>
          <w:rFonts w:ascii="Times New Roman" w:hAnsi="Times New Roman"/>
          <w:b/>
          <w:sz w:val="24"/>
          <w:szCs w:val="24"/>
        </w:rPr>
      </w:pPr>
      <w:r w:rsidRPr="007A7119">
        <w:rPr>
          <w:rFonts w:ascii="Times New Roman" w:hAnsi="Times New Roman"/>
          <w:b/>
          <w:sz w:val="24"/>
          <w:szCs w:val="24"/>
        </w:rPr>
        <w:t>1.7.13</w:t>
      </w:r>
      <w:r w:rsidRPr="007A7119">
        <w:rPr>
          <w:rFonts w:ascii="Times New Roman" w:hAnsi="Times New Roman"/>
          <w:b/>
          <w:sz w:val="24"/>
          <w:szCs w:val="24"/>
        </w:rPr>
        <w:tab/>
        <w:t>Step 13 – Conclusion</w:t>
      </w:r>
    </w:p>
    <w:p w:rsidR="009F5709" w:rsidRPr="006D2B75" w:rsidRDefault="009F5709" w:rsidP="00084635">
      <w:pPr>
        <w:tabs>
          <w:tab w:val="left" w:pos="-1440"/>
        </w:tabs>
        <w:spacing w:after="0" w:line="360" w:lineRule="auto"/>
        <w:jc w:val="both"/>
        <w:rPr>
          <w:rFonts w:ascii="Times New Roman" w:hAnsi="Times New Roman"/>
          <w:b/>
          <w:sz w:val="20"/>
          <w:szCs w:val="20"/>
        </w:rPr>
      </w:pPr>
    </w:p>
    <w:p w:rsidR="00084635" w:rsidRPr="007A7119" w:rsidRDefault="00084635" w:rsidP="00084635">
      <w:pPr>
        <w:spacing w:after="0" w:line="360" w:lineRule="auto"/>
        <w:jc w:val="both"/>
        <w:rPr>
          <w:rFonts w:ascii="Times New Roman" w:eastAsia="Times New Roman" w:hAnsi="Times New Roman"/>
          <w:sz w:val="24"/>
          <w:szCs w:val="24"/>
          <w:lang w:eastAsia="en-IN"/>
        </w:rPr>
      </w:pPr>
      <w:r w:rsidRPr="007A7119">
        <w:rPr>
          <w:rFonts w:ascii="Times New Roman" w:eastAsia="Times New Roman" w:hAnsi="Times New Roman"/>
          <w:sz w:val="24"/>
          <w:szCs w:val="24"/>
          <w:lang w:eastAsia="en-IN"/>
        </w:rPr>
        <w:t>Finally, a conclusion has been drawn on basis of the analysis of the collected and computed data in chapter 6. In this, research questions have been briefly revisited in order to ascertain as to what extent they have been answered in the research. Utility of the method and the results in the field of architecture and the allied fields of city planning and city administration have also been mentioned. Future scope of work leading out of the research is also hinted at in this chapter.</w:t>
      </w:r>
    </w:p>
    <w:p w:rsidR="00084635" w:rsidRDefault="00084635" w:rsidP="007A7119">
      <w:pPr>
        <w:tabs>
          <w:tab w:val="left" w:pos="-1440"/>
        </w:tabs>
        <w:spacing w:after="0" w:line="360" w:lineRule="auto"/>
        <w:jc w:val="both"/>
        <w:rPr>
          <w:rFonts w:ascii="Times New Roman" w:hAnsi="Times New Roman"/>
          <w:b/>
          <w:sz w:val="24"/>
          <w:szCs w:val="24"/>
        </w:rPr>
      </w:pPr>
    </w:p>
    <w:p w:rsidR="008F58FC" w:rsidRPr="008F58FC" w:rsidRDefault="008F58FC" w:rsidP="007A7119">
      <w:pPr>
        <w:tabs>
          <w:tab w:val="left" w:pos="-1440"/>
        </w:tabs>
        <w:spacing w:after="0" w:line="360" w:lineRule="auto"/>
        <w:jc w:val="both"/>
        <w:rPr>
          <w:rFonts w:ascii="Times New Roman" w:hAnsi="Times New Roman"/>
          <w:bCs/>
          <w:sz w:val="24"/>
          <w:szCs w:val="24"/>
        </w:rPr>
      </w:pPr>
      <w:r w:rsidRPr="008F58FC">
        <w:rPr>
          <w:rFonts w:ascii="Times New Roman" w:hAnsi="Times New Roman"/>
          <w:bCs/>
          <w:sz w:val="24"/>
          <w:szCs w:val="24"/>
        </w:rPr>
        <w:t>The research methodology flow chart diagram is given in Fig. 1.13.</w:t>
      </w:r>
    </w:p>
    <w:p w:rsidR="000A079F" w:rsidRPr="007A7119" w:rsidRDefault="005D4839" w:rsidP="007A7119">
      <w:pPr>
        <w:spacing w:after="0" w:line="360" w:lineRule="auto"/>
        <w:jc w:val="both"/>
        <w:rPr>
          <w:rFonts w:ascii="Times New Roman" w:eastAsia="Times New Roman" w:hAnsi="Times New Roman"/>
          <w:sz w:val="24"/>
          <w:szCs w:val="24"/>
          <w:lang w:eastAsia="en-IN"/>
        </w:rPr>
      </w:pPr>
      <w:r>
        <w:rPr>
          <w:rFonts w:ascii="Times New Roman" w:eastAsia="Times New Roman" w:hAnsi="Times New Roman"/>
          <w:noProof/>
          <w:sz w:val="24"/>
          <w:szCs w:val="24"/>
          <w:lang w:val="en-US" w:eastAsia="zh-TW"/>
        </w:rPr>
        <w:lastRenderedPageBreak/>
        <w:pict>
          <v:shape id="_x0000_s2061" type="#_x0000_t202" style="position:absolute;left:0;text-align:left;margin-left:.6pt;margin-top:167pt;width:122.75pt;height:126.6pt;z-index:251658240;mso-width-relative:margin;mso-height-relative:margin" strokeweight="1.5pt">
            <v:textbox style="mso-next-textbox:#_x0000_s2061">
              <w:txbxContent>
                <w:p w:rsidR="0084094A" w:rsidRDefault="0084094A">
                  <w:pPr>
                    <w:rPr>
                      <w:rFonts w:ascii="Times New Roman" w:hAnsi="Times New Roman"/>
                      <w:sz w:val="20"/>
                    </w:rPr>
                  </w:pPr>
                  <w:r w:rsidRPr="00C474FF">
                    <w:rPr>
                      <w:rFonts w:ascii="Times New Roman" w:hAnsi="Times New Roman"/>
                      <w:sz w:val="20"/>
                    </w:rPr>
                    <w:t>Study on Thermal Comfort Indices and Factors</w:t>
                  </w:r>
                  <w:r>
                    <w:rPr>
                      <w:rFonts w:ascii="Times New Roman" w:hAnsi="Times New Roman"/>
                      <w:sz w:val="20"/>
                    </w:rPr>
                    <w:t xml:space="preserve"> from</w:t>
                  </w:r>
                </w:p>
                <w:p w:rsidR="0084094A" w:rsidRDefault="0084094A" w:rsidP="00824193">
                  <w:pPr>
                    <w:pStyle w:val="ListParagraph"/>
                    <w:numPr>
                      <w:ilvl w:val="0"/>
                      <w:numId w:val="11"/>
                    </w:numPr>
                    <w:ind w:left="284" w:hanging="284"/>
                    <w:rPr>
                      <w:rFonts w:ascii="Times New Roman" w:hAnsi="Times New Roman"/>
                      <w:sz w:val="20"/>
                    </w:rPr>
                  </w:pPr>
                  <w:r>
                    <w:rPr>
                      <w:rFonts w:ascii="Times New Roman" w:hAnsi="Times New Roman"/>
                      <w:sz w:val="20"/>
                    </w:rPr>
                    <w:t>Codes</w:t>
                  </w:r>
                </w:p>
                <w:p w:rsidR="0084094A" w:rsidRDefault="0084094A" w:rsidP="00824193">
                  <w:pPr>
                    <w:pStyle w:val="ListParagraph"/>
                    <w:numPr>
                      <w:ilvl w:val="0"/>
                      <w:numId w:val="11"/>
                    </w:numPr>
                    <w:ind w:left="284" w:hanging="284"/>
                    <w:rPr>
                      <w:rFonts w:ascii="Times New Roman" w:hAnsi="Times New Roman"/>
                      <w:sz w:val="20"/>
                    </w:rPr>
                  </w:pPr>
                  <w:r>
                    <w:rPr>
                      <w:rFonts w:ascii="Times New Roman" w:hAnsi="Times New Roman"/>
                      <w:sz w:val="20"/>
                    </w:rPr>
                    <w:t>Standards</w:t>
                  </w:r>
                </w:p>
                <w:p w:rsidR="0084094A" w:rsidRPr="00824193" w:rsidRDefault="0084094A" w:rsidP="00824193">
                  <w:pPr>
                    <w:pStyle w:val="ListParagraph"/>
                    <w:numPr>
                      <w:ilvl w:val="0"/>
                      <w:numId w:val="11"/>
                    </w:numPr>
                    <w:ind w:left="284" w:hanging="284"/>
                    <w:rPr>
                      <w:rFonts w:ascii="Times New Roman" w:hAnsi="Times New Roman"/>
                      <w:sz w:val="20"/>
                    </w:rPr>
                  </w:pPr>
                  <w:r>
                    <w:rPr>
                      <w:rFonts w:ascii="Times New Roman" w:hAnsi="Times New Roman"/>
                      <w:sz w:val="20"/>
                    </w:rPr>
                    <w:t>Earlier work done in the domain</w:t>
                  </w:r>
                </w:p>
              </w:txbxContent>
            </v:textbox>
          </v:shape>
        </w:pict>
      </w:r>
      <w:r w:rsidRPr="005D4839">
        <w:rPr>
          <w:rFonts w:ascii="Times New Roman" w:hAnsi="Times New Roman"/>
          <w:b/>
          <w:noProof/>
          <w:sz w:val="24"/>
          <w:szCs w:val="24"/>
          <w:lang w:eastAsia="en-IN"/>
        </w:rPr>
        <w:pict>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_x0000_s2070" type="#_x0000_t34" style="position:absolute;left:0;text-align:left;margin-left:408.35pt;margin-top:518.9pt;width:74.5pt;height:37.5pt;rotation:180;flip:y;z-index:251666432" o:connectortype="elbow" adj="-73,356256,-154389" strokeweight="1.5pt">
            <v:stroke endarrow="block"/>
          </v:shape>
        </w:pict>
      </w:r>
      <w:r w:rsidRPr="005D4839">
        <w:rPr>
          <w:rFonts w:ascii="Times New Roman" w:hAnsi="Times New Roman"/>
          <w:b/>
          <w:noProof/>
          <w:sz w:val="24"/>
          <w:szCs w:val="24"/>
          <w:lang w:eastAsia="en-IN"/>
        </w:rPr>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_x0000_s2069" type="#_x0000_t47" style="position:absolute;left:0;text-align:left;margin-left:422.35pt;margin-top:470.9pt;width:96.5pt;height:48pt;z-index:251665408" adj="-11975,4275,-1343,,-13464,2273,-11975,4275" strokeweight="1.5pt">
            <v:stroke startarrow="block"/>
            <v:textbox style="mso-next-textbox:#_x0000_s2069">
              <w:txbxContent>
                <w:p w:rsidR="0084094A" w:rsidRPr="003D7A2B" w:rsidRDefault="0084094A">
                  <w:pPr>
                    <w:rPr>
                      <w:rFonts w:ascii="Times New Roman" w:hAnsi="Times New Roman"/>
                      <w:sz w:val="20"/>
                    </w:rPr>
                  </w:pPr>
                  <w:r w:rsidRPr="003D7A2B">
                    <w:rPr>
                      <w:rFonts w:ascii="Times New Roman" w:hAnsi="Times New Roman"/>
                      <w:sz w:val="20"/>
                    </w:rPr>
                    <w:t>Study of Relevant statistical analysis tool(s)</w:t>
                  </w:r>
                </w:p>
              </w:txbxContent>
            </v:textbox>
            <o:callout v:ext="edit" minusy="t"/>
          </v:shape>
        </w:pict>
      </w:r>
      <w:r w:rsidRPr="005D4839">
        <w:rPr>
          <w:rFonts w:ascii="Times New Roman" w:hAnsi="Times New Roman"/>
          <w:b/>
          <w:noProof/>
          <w:sz w:val="24"/>
          <w:szCs w:val="24"/>
          <w:lang w:eastAsia="en-IN"/>
        </w:rPr>
        <w:pict>
          <v:shape id="_x0000_s2068" type="#_x0000_t34" style="position:absolute;left:0;text-align:left;margin-left:350.35pt;margin-top:80.8pt;width:58pt;height:76.55pt;rotation:180;flip:y;z-index:251664384" o:connectortype="elbow" adj=",69726,-170566" strokeweight="1.5pt">
            <v:stroke endarrow="block"/>
          </v:shape>
        </w:pict>
      </w:r>
      <w:r w:rsidRPr="005D4839">
        <w:rPr>
          <w:rFonts w:ascii="Times New Roman" w:eastAsia="Times New Roman" w:hAnsi="Times New Roman"/>
          <w:noProof/>
          <w:sz w:val="24"/>
          <w:szCs w:val="24"/>
          <w:lang w:eastAsia="en-IN"/>
        </w:rPr>
        <w:pict>
          <v:shape id="_x0000_s2066" type="#_x0000_t34" style="position:absolute;left:0;text-align:left;margin-left:321.85pt;margin-top:189.4pt;width:193.5pt;height:136.5pt;rotation:90;z-index:251663360" o:connectortype="elbow" adj="21572,-41618,-59888" strokeweight="1.5pt">
            <v:stroke endarrow="block"/>
          </v:shape>
        </w:pict>
      </w:r>
      <w:r w:rsidRPr="005D4839">
        <w:rPr>
          <w:rFonts w:ascii="Times New Roman" w:eastAsia="Times New Roman" w:hAnsi="Times New Roman"/>
          <w:noProof/>
          <w:sz w:val="24"/>
          <w:szCs w:val="24"/>
          <w:lang w:eastAsia="en-IN"/>
        </w:rPr>
        <w:pict>
          <v:shape id="_x0000_s2065" type="#_x0000_t34" style="position:absolute;left:0;text-align:left;margin-left:332.6pt;margin-top:177.65pt;width:130.5pt;height:95pt;rotation:90;z-index:251662336" o:connectortype="elbow" adj="21641,-59002,-81931" strokeweight="1.5pt">
            <v:stroke endarrow="block"/>
          </v:shape>
        </w:pict>
      </w:r>
      <w:r w:rsidRPr="005D4839">
        <w:rPr>
          <w:rFonts w:ascii="Times New Roman" w:eastAsia="Times New Roman" w:hAnsi="Times New Roman"/>
          <w:noProof/>
          <w:sz w:val="24"/>
          <w:szCs w:val="24"/>
          <w:lang w:eastAsia="en-IN"/>
        </w:rPr>
        <w:pict>
          <v:shape id="_x0000_s2059" type="#_x0000_t47" style="position:absolute;left:0;text-align:left;margin-left:.6pt;margin-top:113.95pt;width:136.75pt;height:35.65pt;z-index:251657216" adj="38714,5150,22548,5453,34686,3332,35737,6029" strokeweight="1.5pt">
            <v:stroke startarrow="block"/>
            <v:textbox style="mso-next-textbox:#_x0000_s2059">
              <w:txbxContent>
                <w:p w:rsidR="0084094A" w:rsidRPr="00475B0D" w:rsidRDefault="0084094A" w:rsidP="00C474FF">
                  <w:pPr>
                    <w:rPr>
                      <w:rFonts w:ascii="Times New Roman" w:hAnsi="Times New Roman"/>
                      <w:sz w:val="18"/>
                    </w:rPr>
                  </w:pPr>
                  <w:r w:rsidRPr="00475B0D">
                    <w:rPr>
                      <w:rFonts w:ascii="Times New Roman" w:hAnsi="Times New Roman"/>
                      <w:sz w:val="18"/>
                    </w:rPr>
                    <w:t>Study of Earlier Work done and Identification of Research Gaps</w:t>
                  </w:r>
                </w:p>
              </w:txbxContent>
            </v:textbox>
            <o:callout v:ext="edit" minusx="t"/>
          </v:shape>
        </w:pict>
      </w:r>
      <w:r w:rsidRPr="005D4839">
        <w:rPr>
          <w:rFonts w:ascii="Times New Roman" w:eastAsia="Times New Roman" w:hAnsi="Times New Roman"/>
          <w:noProof/>
          <w:sz w:val="24"/>
          <w:szCs w:val="24"/>
          <w:lang w:eastAsia="en-IN"/>
        </w:rPr>
        <w:pict>
          <v:shape id="_x0000_s2057" type="#_x0000_t47" style="position:absolute;left:0;text-align:left;margin-left:413.05pt;margin-top:114.15pt;width:105.8pt;height:45.75pt;z-index:251655168" adj="-28368,4249,-1225,4249,-26051,2148,-24693,4249" strokeweight="1.5pt">
            <v:stroke startarrow="block"/>
            <v:textbox style="mso-next-textbox:#_x0000_s2057">
              <w:txbxContent>
                <w:p w:rsidR="0084094A" w:rsidRPr="00C474FF" w:rsidRDefault="0084094A" w:rsidP="00C474FF">
                  <w:pPr>
                    <w:rPr>
                      <w:rFonts w:ascii="Times New Roman" w:hAnsi="Times New Roman"/>
                      <w:sz w:val="20"/>
                    </w:rPr>
                  </w:pPr>
                  <w:r>
                    <w:rPr>
                      <w:rFonts w:ascii="Times New Roman" w:hAnsi="Times New Roman"/>
                      <w:sz w:val="20"/>
                    </w:rPr>
                    <w:t>Study of History of Urbanism and Architecture of Kolkata</w:t>
                  </w:r>
                </w:p>
              </w:txbxContent>
            </v:textbox>
          </v:shape>
        </w:pict>
      </w:r>
      <w:r w:rsidRPr="005D4839">
        <w:rPr>
          <w:rFonts w:ascii="Times New Roman" w:eastAsia="Times New Roman" w:hAnsi="Times New Roman"/>
          <w:noProof/>
          <w:sz w:val="24"/>
          <w:szCs w:val="24"/>
          <w:lang w:eastAsia="en-IN"/>
        </w:rPr>
        <w:pict>
          <v:shape id="_x0000_s2064" type="#_x0000_t34" style="position:absolute;left:0;text-align:left;margin-left:59.05pt;margin-top:311.65pt;width:124.85pt;height:94.45pt;rotation:90;flip:x;z-index:251661312" o:connectortype="elbow" adj="21556,90882,-21436" strokeweight="1.5pt">
            <v:stroke endarrow="block"/>
          </v:shape>
        </w:pict>
      </w:r>
      <w:r w:rsidRPr="005D4839">
        <w:rPr>
          <w:rFonts w:ascii="Times New Roman" w:eastAsia="Times New Roman" w:hAnsi="Times New Roman"/>
          <w:noProof/>
          <w:sz w:val="24"/>
          <w:szCs w:val="24"/>
          <w:lang w:eastAsia="en-IN"/>
        </w:rPr>
        <w:pict>
          <v:shapetype id="_x0000_t32" coordsize="21600,21600" o:spt="32" o:oned="t" path="m,l21600,21600e" filled="f">
            <v:path arrowok="t" fillok="f" o:connecttype="none"/>
            <o:lock v:ext="edit" shapetype="t"/>
          </v:shapetype>
          <v:shape id="_x0000_s2063" type="#_x0000_t32" style="position:absolute;left:0;text-align:left;margin-left:124.85pt;margin-top:223.95pt;width:45.35pt;height:.05pt;z-index:251660288" o:connectortype="straight" strokeweight="1.5pt">
            <v:stroke endarrow="block"/>
          </v:shape>
        </w:pict>
      </w:r>
      <w:r w:rsidRPr="005D4839">
        <w:rPr>
          <w:rFonts w:ascii="Times New Roman" w:eastAsia="Times New Roman" w:hAnsi="Times New Roman"/>
          <w:noProof/>
          <w:sz w:val="24"/>
          <w:szCs w:val="24"/>
          <w:lang w:eastAsia="en-IN"/>
        </w:rPr>
        <w:pict>
          <v:shape id="_x0000_s2062" type="#_x0000_t32" style="position:absolute;left:0;text-align:left;margin-left:123.35pt;margin-top:172.05pt;width:45.35pt;height:0;flip:x;z-index:251659264" o:connectortype="straight" strokeweight="1.5pt">
            <v:stroke endarrow="block"/>
          </v:shape>
        </w:pict>
      </w:r>
      <w:r w:rsidRPr="005D4839">
        <w:rPr>
          <w:rFonts w:ascii="Times New Roman" w:eastAsia="Times New Roman" w:hAnsi="Times New Roman"/>
          <w:noProof/>
          <w:sz w:val="24"/>
          <w:szCs w:val="24"/>
          <w:lang w:eastAsia="en-IN"/>
        </w:rPr>
        <w:pict>
          <v:shape id="_x0000_s2058" type="#_x0000_t47" style="position:absolute;left:0;text-align:left;margin-left:.6pt;margin-top:47.4pt;width:122.75pt;height:45.15pt;z-index:251656192" adj="42910,4210,22656,4306,40270,2536,41440,4664" strokeweight="1.5pt">
            <v:stroke startarrow="block"/>
            <v:textbox style="mso-next-textbox:#_x0000_s2058">
              <w:txbxContent>
                <w:p w:rsidR="0084094A" w:rsidRPr="00C474FF" w:rsidRDefault="0084094A">
                  <w:pPr>
                    <w:rPr>
                      <w:rFonts w:ascii="Times New Roman" w:hAnsi="Times New Roman"/>
                      <w:sz w:val="20"/>
                    </w:rPr>
                  </w:pPr>
                  <w:r w:rsidRPr="00C474FF">
                    <w:rPr>
                      <w:rFonts w:ascii="Times New Roman" w:hAnsi="Times New Roman"/>
                      <w:sz w:val="20"/>
                    </w:rPr>
                    <w:t>Study of Current Affairs &amp; Policies on Sustainable Development</w:t>
                  </w:r>
                </w:p>
              </w:txbxContent>
            </v:textbox>
            <o:callout v:ext="edit" minusx="t"/>
          </v:shape>
        </w:pict>
      </w:r>
      <w:r w:rsidRPr="005D4839">
        <w:rPr>
          <w:rFonts w:ascii="Times New Roman" w:eastAsia="Times New Roman" w:hAnsi="Times New Roman"/>
          <w:noProof/>
          <w:sz w:val="24"/>
          <w:szCs w:val="24"/>
          <w:lang w:eastAsia="en-IN"/>
        </w:rPr>
        <w:pict>
          <v:shape id="_x0000_s2055" type="#_x0000_t47" style="position:absolute;left:0;text-align:left;margin-left:413.05pt;margin-top:48.3pt;width:105.8pt;height:48pt;z-index:251654144" adj="-28368,4050,-1225,,-26051,2048,-24693,4050" strokeweight="1.5pt">
            <v:stroke startarrow="block"/>
            <v:textbox style="mso-next-textbox:#_x0000_s2055">
              <w:txbxContent>
                <w:p w:rsidR="0084094A" w:rsidRPr="00C474FF" w:rsidRDefault="0084094A">
                  <w:pPr>
                    <w:rPr>
                      <w:rFonts w:ascii="Times New Roman" w:hAnsi="Times New Roman"/>
                      <w:sz w:val="20"/>
                    </w:rPr>
                  </w:pPr>
                  <w:r w:rsidRPr="00C474FF">
                    <w:rPr>
                      <w:rFonts w:ascii="Times New Roman" w:hAnsi="Times New Roman"/>
                      <w:sz w:val="20"/>
                    </w:rPr>
                    <w:t>Study of Secondary Data on Climatic Condition of Kolkata</w:t>
                  </w:r>
                </w:p>
              </w:txbxContent>
            </v:textbox>
          </v:shape>
        </w:pict>
      </w:r>
      <w:r w:rsidR="00860F10" w:rsidRPr="007A7119">
        <w:rPr>
          <w:rFonts w:ascii="Times New Roman" w:eastAsia="Times New Roman" w:hAnsi="Times New Roman"/>
          <w:noProof/>
          <w:sz w:val="24"/>
          <w:szCs w:val="24"/>
          <w:lang w:val="en-US" w:bidi="hi-IN"/>
        </w:rPr>
        <w:drawing>
          <wp:inline distT="0" distB="0" distL="0" distR="0">
            <wp:extent cx="6572250" cy="8210550"/>
            <wp:effectExtent l="19050" t="0" r="0" b="0"/>
            <wp:docPr id="14" name="Diagram 2"/>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1" r:lo="rId22" r:qs="rId23" r:cs="rId24"/>
              </a:graphicData>
            </a:graphic>
          </wp:inline>
        </w:drawing>
      </w:r>
    </w:p>
    <w:p w:rsidR="00084635" w:rsidRPr="00694AE4" w:rsidRDefault="008F58FC" w:rsidP="00CC7467">
      <w:pPr>
        <w:pStyle w:val="Caption"/>
        <w:spacing w:after="0" w:line="360" w:lineRule="auto"/>
        <w:jc w:val="center"/>
        <w:rPr>
          <w:rFonts w:ascii="Times New Roman" w:hAnsi="Times New Roman"/>
          <w:b w:val="0"/>
          <w:iCs/>
          <w:sz w:val="24"/>
          <w:szCs w:val="24"/>
        </w:rPr>
      </w:pPr>
      <w:r w:rsidRPr="00694AE4">
        <w:rPr>
          <w:rFonts w:ascii="Times New Roman" w:eastAsia="Times New Roman" w:hAnsi="Times New Roman"/>
          <w:bCs w:val="0"/>
          <w:iCs/>
          <w:noProof/>
          <w:color w:val="auto"/>
          <w:spacing w:val="-6"/>
          <w:sz w:val="24"/>
          <w:szCs w:val="24"/>
          <w:lang w:eastAsia="en-IN"/>
        </w:rPr>
        <w:t>Fig. 1.13</w:t>
      </w:r>
      <w:r w:rsidR="00694AE4">
        <w:rPr>
          <w:rFonts w:ascii="Times New Roman" w:eastAsia="Times New Roman" w:hAnsi="Times New Roman"/>
          <w:bCs w:val="0"/>
          <w:iCs/>
          <w:noProof/>
          <w:color w:val="auto"/>
          <w:spacing w:val="-6"/>
          <w:sz w:val="24"/>
          <w:szCs w:val="24"/>
          <w:lang w:eastAsia="en-IN"/>
        </w:rPr>
        <w:t xml:space="preserve">: </w:t>
      </w:r>
      <w:r w:rsidRPr="00694AE4">
        <w:rPr>
          <w:rFonts w:ascii="Times New Roman" w:eastAsia="Times New Roman" w:hAnsi="Times New Roman"/>
          <w:b w:val="0"/>
          <w:iCs/>
          <w:noProof/>
          <w:color w:val="auto"/>
          <w:spacing w:val="-6"/>
          <w:sz w:val="24"/>
          <w:szCs w:val="24"/>
          <w:lang w:eastAsia="en-IN"/>
        </w:rPr>
        <w:t>Methodolo</w:t>
      </w:r>
      <w:r w:rsidR="001F6127">
        <w:rPr>
          <w:rFonts w:ascii="Times New Roman" w:eastAsia="Times New Roman" w:hAnsi="Times New Roman"/>
          <w:b w:val="0"/>
          <w:iCs/>
          <w:noProof/>
          <w:color w:val="auto"/>
          <w:spacing w:val="-6"/>
          <w:sz w:val="24"/>
          <w:szCs w:val="24"/>
          <w:lang w:eastAsia="en-IN"/>
        </w:rPr>
        <w:t>g</w:t>
      </w:r>
      <w:r w:rsidRPr="00694AE4">
        <w:rPr>
          <w:rFonts w:ascii="Times New Roman" w:eastAsia="Times New Roman" w:hAnsi="Times New Roman"/>
          <w:b w:val="0"/>
          <w:iCs/>
          <w:noProof/>
          <w:color w:val="auto"/>
          <w:spacing w:val="-6"/>
          <w:sz w:val="24"/>
          <w:szCs w:val="24"/>
          <w:lang w:eastAsia="en-IN"/>
        </w:rPr>
        <w:t>y Flow Chart of the Dissertation</w:t>
      </w:r>
    </w:p>
    <w:p w:rsidR="00E55EDE" w:rsidRPr="00F46BC2" w:rsidRDefault="00E55EDE" w:rsidP="00F46BC2">
      <w:pPr>
        <w:spacing w:after="0" w:line="360" w:lineRule="auto"/>
        <w:rPr>
          <w:rFonts w:ascii="Times New Roman" w:hAnsi="Times New Roman"/>
          <w:b/>
          <w:sz w:val="24"/>
          <w:szCs w:val="24"/>
        </w:rPr>
      </w:pPr>
    </w:p>
    <w:sectPr w:rsidR="00E55EDE" w:rsidRPr="00F46BC2" w:rsidSect="003F1E41">
      <w:headerReference w:type="default" r:id="rId25"/>
      <w:footerReference w:type="default" r:id="rId26"/>
      <w:type w:val="continuous"/>
      <w:pgSz w:w="11906" w:h="16838"/>
      <w:pgMar w:top="1440" w:right="1133" w:bottom="1440" w:left="993" w:header="708" w:footer="708" w:gutter="0"/>
      <w:pgNumType w:start="1" w:chapStyle="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D2D2A" w:rsidRDefault="009D2D2A">
      <w:pPr>
        <w:spacing w:after="0" w:line="240" w:lineRule="auto"/>
      </w:pPr>
      <w:r>
        <w:separator/>
      </w:r>
    </w:p>
  </w:endnote>
  <w:endnote w:type="continuationSeparator" w:id="1">
    <w:p w:rsidR="009D2D2A" w:rsidRDefault="009D2D2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angal">
    <w:altName w:val="Courier New"/>
    <w:panose1 w:val="00000400000000000000"/>
    <w:charset w:val="01"/>
    <w:family w:val="roman"/>
    <w:notTrueType/>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94A" w:rsidRDefault="0084094A">
    <w:pPr>
      <w:pStyle w:val="Footer"/>
      <w:pBdr>
        <w:top w:val="thinThickSmallGap" w:sz="24" w:space="1" w:color="622423" w:themeColor="accent2" w:themeShade="7F"/>
      </w:pBdr>
      <w:rPr>
        <w:rFonts w:asciiTheme="majorHAnsi" w:eastAsiaTheme="majorEastAsia" w:hAnsiTheme="majorHAnsi" w:cstheme="majorBidi"/>
      </w:rPr>
    </w:pPr>
    <w:r>
      <w:rPr>
        <w:rFonts w:asciiTheme="majorHAnsi" w:eastAsiaTheme="majorEastAsia" w:hAnsiTheme="majorHAnsi" w:cstheme="majorBidi"/>
      </w:rPr>
      <w:ptab w:relativeTo="margin" w:alignment="right" w:leader="none"/>
    </w:r>
    <w:r>
      <w:rPr>
        <w:rFonts w:asciiTheme="majorHAnsi" w:eastAsiaTheme="majorEastAsia" w:hAnsiTheme="majorHAnsi" w:cstheme="majorBidi"/>
      </w:rPr>
      <w:t xml:space="preserve"> Page </w:t>
    </w:r>
    <w:r w:rsidR="005D4839" w:rsidRPr="005D4839">
      <w:rPr>
        <w:rFonts w:asciiTheme="minorHAnsi" w:eastAsiaTheme="minorEastAsia" w:hAnsiTheme="minorHAnsi" w:cstheme="minorBidi"/>
      </w:rPr>
      <w:fldChar w:fldCharType="begin"/>
    </w:r>
    <w:r>
      <w:instrText xml:space="preserve"> PAGE   \* MERGEFORMAT </w:instrText>
    </w:r>
    <w:r w:rsidR="005D4839" w:rsidRPr="005D4839">
      <w:rPr>
        <w:rFonts w:asciiTheme="minorHAnsi" w:eastAsiaTheme="minorEastAsia" w:hAnsiTheme="minorHAnsi" w:cstheme="minorBidi"/>
      </w:rPr>
      <w:fldChar w:fldCharType="separate"/>
    </w:r>
    <w:r w:rsidR="0088185E" w:rsidRPr="0088185E">
      <w:rPr>
        <w:rFonts w:asciiTheme="majorHAnsi" w:eastAsiaTheme="majorEastAsia" w:hAnsiTheme="majorHAnsi" w:cstheme="majorBidi"/>
        <w:noProof/>
      </w:rPr>
      <w:t>14</w:t>
    </w:r>
    <w:r w:rsidR="005D4839">
      <w:rPr>
        <w:rFonts w:asciiTheme="majorHAnsi" w:eastAsiaTheme="majorEastAsia" w:hAnsiTheme="majorHAnsi" w:cstheme="majorBidi"/>
        <w:noProof/>
      </w:rPr>
      <w:fldChar w:fldCharType="end"/>
    </w:r>
  </w:p>
  <w:p w:rsidR="0084094A" w:rsidRDefault="0084094A" w:rsidP="00AA65C6">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D2D2A" w:rsidRDefault="009D2D2A">
      <w:pPr>
        <w:spacing w:after="0" w:line="240" w:lineRule="auto"/>
      </w:pPr>
      <w:r>
        <w:separator/>
      </w:r>
    </w:p>
  </w:footnote>
  <w:footnote w:type="continuationSeparator" w:id="1">
    <w:p w:rsidR="009D2D2A" w:rsidRDefault="009D2D2A">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4094A" w:rsidRDefault="0084094A" w:rsidP="00AA65C6">
    <w:pPr>
      <w:pStyle w:val="Header"/>
      <w:pBdr>
        <w:bottom w:val="single" w:sz="12" w:space="1" w:color="auto"/>
      </w:pBdr>
      <w:jc w:val="right"/>
    </w:pPr>
    <w:r>
      <w:t>Chapter 1: Introduction</w:t>
    </w:r>
  </w:p>
  <w:p w:rsidR="0084094A" w:rsidRPr="00AA65C6" w:rsidRDefault="0084094A" w:rsidP="00AA65C6">
    <w:pPr>
      <w:pStyle w:val="Header"/>
      <w:pBdr>
        <w:bottom w:val="single" w:sz="12" w:space="1" w:color="auto"/>
      </w:pBdr>
      <w:jc w:val="right"/>
      <w:rPr>
        <w:sz w:val="8"/>
      </w:rPr>
    </w:pPr>
  </w:p>
  <w:p w:rsidR="0084094A" w:rsidRDefault="0084094A" w:rsidP="00AA65C6">
    <w:pPr>
      <w:pStyle w:val="Heade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5E37D4"/>
    <w:multiLevelType w:val="hybridMultilevel"/>
    <w:tmpl w:val="DA743FBE"/>
    <w:lvl w:ilvl="0" w:tplc="F1E8D33E">
      <w:start w:val="1"/>
      <w:numFmt w:val="bullet"/>
      <w:lvlText w:val=""/>
      <w:lvlJc w:val="left"/>
      <w:pPr>
        <w:tabs>
          <w:tab w:val="num" w:pos="720"/>
        </w:tabs>
        <w:ind w:left="720" w:hanging="360"/>
      </w:pPr>
      <w:rPr>
        <w:rFonts w:ascii="Wingdings" w:hAnsi="Wingdings" w:hint="default"/>
      </w:rPr>
    </w:lvl>
    <w:lvl w:ilvl="1" w:tplc="83F83078" w:tentative="1">
      <w:start w:val="1"/>
      <w:numFmt w:val="bullet"/>
      <w:lvlText w:val=""/>
      <w:lvlJc w:val="left"/>
      <w:pPr>
        <w:tabs>
          <w:tab w:val="num" w:pos="1440"/>
        </w:tabs>
        <w:ind w:left="1440" w:hanging="360"/>
      </w:pPr>
      <w:rPr>
        <w:rFonts w:ascii="Wingdings" w:hAnsi="Wingdings" w:hint="default"/>
      </w:rPr>
    </w:lvl>
    <w:lvl w:ilvl="2" w:tplc="CCA20C0C" w:tentative="1">
      <w:start w:val="1"/>
      <w:numFmt w:val="bullet"/>
      <w:lvlText w:val=""/>
      <w:lvlJc w:val="left"/>
      <w:pPr>
        <w:tabs>
          <w:tab w:val="num" w:pos="2160"/>
        </w:tabs>
        <w:ind w:left="2160" w:hanging="360"/>
      </w:pPr>
      <w:rPr>
        <w:rFonts w:ascii="Wingdings" w:hAnsi="Wingdings" w:hint="default"/>
      </w:rPr>
    </w:lvl>
    <w:lvl w:ilvl="3" w:tplc="6E1219FE" w:tentative="1">
      <w:start w:val="1"/>
      <w:numFmt w:val="bullet"/>
      <w:lvlText w:val=""/>
      <w:lvlJc w:val="left"/>
      <w:pPr>
        <w:tabs>
          <w:tab w:val="num" w:pos="2880"/>
        </w:tabs>
        <w:ind w:left="2880" w:hanging="360"/>
      </w:pPr>
      <w:rPr>
        <w:rFonts w:ascii="Wingdings" w:hAnsi="Wingdings" w:hint="default"/>
      </w:rPr>
    </w:lvl>
    <w:lvl w:ilvl="4" w:tplc="9410D8D2" w:tentative="1">
      <w:start w:val="1"/>
      <w:numFmt w:val="bullet"/>
      <w:lvlText w:val=""/>
      <w:lvlJc w:val="left"/>
      <w:pPr>
        <w:tabs>
          <w:tab w:val="num" w:pos="3600"/>
        </w:tabs>
        <w:ind w:left="3600" w:hanging="360"/>
      </w:pPr>
      <w:rPr>
        <w:rFonts w:ascii="Wingdings" w:hAnsi="Wingdings" w:hint="default"/>
      </w:rPr>
    </w:lvl>
    <w:lvl w:ilvl="5" w:tplc="B2144650" w:tentative="1">
      <w:start w:val="1"/>
      <w:numFmt w:val="bullet"/>
      <w:lvlText w:val=""/>
      <w:lvlJc w:val="left"/>
      <w:pPr>
        <w:tabs>
          <w:tab w:val="num" w:pos="4320"/>
        </w:tabs>
        <w:ind w:left="4320" w:hanging="360"/>
      </w:pPr>
      <w:rPr>
        <w:rFonts w:ascii="Wingdings" w:hAnsi="Wingdings" w:hint="default"/>
      </w:rPr>
    </w:lvl>
    <w:lvl w:ilvl="6" w:tplc="EDF44E9A" w:tentative="1">
      <w:start w:val="1"/>
      <w:numFmt w:val="bullet"/>
      <w:lvlText w:val=""/>
      <w:lvlJc w:val="left"/>
      <w:pPr>
        <w:tabs>
          <w:tab w:val="num" w:pos="5040"/>
        </w:tabs>
        <w:ind w:left="5040" w:hanging="360"/>
      </w:pPr>
      <w:rPr>
        <w:rFonts w:ascii="Wingdings" w:hAnsi="Wingdings" w:hint="default"/>
      </w:rPr>
    </w:lvl>
    <w:lvl w:ilvl="7" w:tplc="E7D80F5E" w:tentative="1">
      <w:start w:val="1"/>
      <w:numFmt w:val="bullet"/>
      <w:lvlText w:val=""/>
      <w:lvlJc w:val="left"/>
      <w:pPr>
        <w:tabs>
          <w:tab w:val="num" w:pos="5760"/>
        </w:tabs>
        <w:ind w:left="5760" w:hanging="360"/>
      </w:pPr>
      <w:rPr>
        <w:rFonts w:ascii="Wingdings" w:hAnsi="Wingdings" w:hint="default"/>
      </w:rPr>
    </w:lvl>
    <w:lvl w:ilvl="8" w:tplc="F754FF04" w:tentative="1">
      <w:start w:val="1"/>
      <w:numFmt w:val="bullet"/>
      <w:lvlText w:val=""/>
      <w:lvlJc w:val="left"/>
      <w:pPr>
        <w:tabs>
          <w:tab w:val="num" w:pos="6480"/>
        </w:tabs>
        <w:ind w:left="6480" w:hanging="360"/>
      </w:pPr>
      <w:rPr>
        <w:rFonts w:ascii="Wingdings" w:hAnsi="Wingdings" w:hint="default"/>
      </w:rPr>
    </w:lvl>
  </w:abstractNum>
  <w:abstractNum w:abstractNumId="1">
    <w:nsid w:val="04236285"/>
    <w:multiLevelType w:val="hybridMultilevel"/>
    <w:tmpl w:val="C72203CE"/>
    <w:lvl w:ilvl="0" w:tplc="51545A06">
      <w:start w:val="1"/>
      <w:numFmt w:val="bullet"/>
      <w:lvlText w:val="•"/>
      <w:lvlJc w:val="left"/>
      <w:pPr>
        <w:tabs>
          <w:tab w:val="num" w:pos="720"/>
        </w:tabs>
        <w:ind w:left="720" w:hanging="360"/>
      </w:pPr>
      <w:rPr>
        <w:rFonts w:ascii="Times New Roman" w:hAnsi="Times New Roman" w:hint="default"/>
      </w:rPr>
    </w:lvl>
    <w:lvl w:ilvl="1" w:tplc="1C8CA11E" w:tentative="1">
      <w:start w:val="1"/>
      <w:numFmt w:val="bullet"/>
      <w:lvlText w:val="•"/>
      <w:lvlJc w:val="left"/>
      <w:pPr>
        <w:tabs>
          <w:tab w:val="num" w:pos="1440"/>
        </w:tabs>
        <w:ind w:left="1440" w:hanging="360"/>
      </w:pPr>
      <w:rPr>
        <w:rFonts w:ascii="Times New Roman" w:hAnsi="Times New Roman" w:hint="default"/>
      </w:rPr>
    </w:lvl>
    <w:lvl w:ilvl="2" w:tplc="8CCAB666" w:tentative="1">
      <w:start w:val="1"/>
      <w:numFmt w:val="bullet"/>
      <w:lvlText w:val="•"/>
      <w:lvlJc w:val="left"/>
      <w:pPr>
        <w:tabs>
          <w:tab w:val="num" w:pos="2160"/>
        </w:tabs>
        <w:ind w:left="2160" w:hanging="360"/>
      </w:pPr>
      <w:rPr>
        <w:rFonts w:ascii="Times New Roman" w:hAnsi="Times New Roman" w:hint="default"/>
      </w:rPr>
    </w:lvl>
    <w:lvl w:ilvl="3" w:tplc="14EAC89C" w:tentative="1">
      <w:start w:val="1"/>
      <w:numFmt w:val="bullet"/>
      <w:lvlText w:val="•"/>
      <w:lvlJc w:val="left"/>
      <w:pPr>
        <w:tabs>
          <w:tab w:val="num" w:pos="2880"/>
        </w:tabs>
        <w:ind w:left="2880" w:hanging="360"/>
      </w:pPr>
      <w:rPr>
        <w:rFonts w:ascii="Times New Roman" w:hAnsi="Times New Roman" w:hint="default"/>
      </w:rPr>
    </w:lvl>
    <w:lvl w:ilvl="4" w:tplc="9104EDE6" w:tentative="1">
      <w:start w:val="1"/>
      <w:numFmt w:val="bullet"/>
      <w:lvlText w:val="•"/>
      <w:lvlJc w:val="left"/>
      <w:pPr>
        <w:tabs>
          <w:tab w:val="num" w:pos="3600"/>
        </w:tabs>
        <w:ind w:left="3600" w:hanging="360"/>
      </w:pPr>
      <w:rPr>
        <w:rFonts w:ascii="Times New Roman" w:hAnsi="Times New Roman" w:hint="default"/>
      </w:rPr>
    </w:lvl>
    <w:lvl w:ilvl="5" w:tplc="574A3DD8" w:tentative="1">
      <w:start w:val="1"/>
      <w:numFmt w:val="bullet"/>
      <w:lvlText w:val="•"/>
      <w:lvlJc w:val="left"/>
      <w:pPr>
        <w:tabs>
          <w:tab w:val="num" w:pos="4320"/>
        </w:tabs>
        <w:ind w:left="4320" w:hanging="360"/>
      </w:pPr>
      <w:rPr>
        <w:rFonts w:ascii="Times New Roman" w:hAnsi="Times New Roman" w:hint="default"/>
      </w:rPr>
    </w:lvl>
    <w:lvl w:ilvl="6" w:tplc="E0860216" w:tentative="1">
      <w:start w:val="1"/>
      <w:numFmt w:val="bullet"/>
      <w:lvlText w:val="•"/>
      <w:lvlJc w:val="left"/>
      <w:pPr>
        <w:tabs>
          <w:tab w:val="num" w:pos="5040"/>
        </w:tabs>
        <w:ind w:left="5040" w:hanging="360"/>
      </w:pPr>
      <w:rPr>
        <w:rFonts w:ascii="Times New Roman" w:hAnsi="Times New Roman" w:hint="default"/>
      </w:rPr>
    </w:lvl>
    <w:lvl w:ilvl="7" w:tplc="49328B66" w:tentative="1">
      <w:start w:val="1"/>
      <w:numFmt w:val="bullet"/>
      <w:lvlText w:val="•"/>
      <w:lvlJc w:val="left"/>
      <w:pPr>
        <w:tabs>
          <w:tab w:val="num" w:pos="5760"/>
        </w:tabs>
        <w:ind w:left="5760" w:hanging="360"/>
      </w:pPr>
      <w:rPr>
        <w:rFonts w:ascii="Times New Roman" w:hAnsi="Times New Roman" w:hint="default"/>
      </w:rPr>
    </w:lvl>
    <w:lvl w:ilvl="8" w:tplc="72D82664" w:tentative="1">
      <w:start w:val="1"/>
      <w:numFmt w:val="bullet"/>
      <w:lvlText w:val="•"/>
      <w:lvlJc w:val="left"/>
      <w:pPr>
        <w:tabs>
          <w:tab w:val="num" w:pos="6480"/>
        </w:tabs>
        <w:ind w:left="6480" w:hanging="360"/>
      </w:pPr>
      <w:rPr>
        <w:rFonts w:ascii="Times New Roman" w:hAnsi="Times New Roman" w:hint="default"/>
      </w:rPr>
    </w:lvl>
  </w:abstractNum>
  <w:abstractNum w:abstractNumId="2">
    <w:nsid w:val="08C93CF0"/>
    <w:multiLevelType w:val="hybridMultilevel"/>
    <w:tmpl w:val="FDB00EE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179D2300"/>
    <w:multiLevelType w:val="hybridMultilevel"/>
    <w:tmpl w:val="D0F275C2"/>
    <w:lvl w:ilvl="0" w:tplc="4009000F">
      <w:start w:val="1"/>
      <w:numFmt w:val="decimal"/>
      <w:lvlText w:val="%1."/>
      <w:lvlJc w:val="left"/>
      <w:pPr>
        <w:ind w:left="720" w:hanging="360"/>
      </w:pPr>
    </w:lvl>
    <w:lvl w:ilvl="1" w:tplc="40090019">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4">
    <w:nsid w:val="1B887882"/>
    <w:multiLevelType w:val="hybridMultilevel"/>
    <w:tmpl w:val="C5E432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5">
    <w:nsid w:val="1B961003"/>
    <w:multiLevelType w:val="hybridMultilevel"/>
    <w:tmpl w:val="791CBA74"/>
    <w:lvl w:ilvl="0" w:tplc="4009000F">
      <w:start w:val="1"/>
      <w:numFmt w:val="decimal"/>
      <w:lvlText w:val="%1."/>
      <w:lvlJc w:val="left"/>
      <w:pPr>
        <w:ind w:left="36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1C842509"/>
    <w:multiLevelType w:val="hybridMultilevel"/>
    <w:tmpl w:val="1A3E02A0"/>
    <w:lvl w:ilvl="0" w:tplc="20D2651E">
      <w:start w:val="1"/>
      <w:numFmt w:val="bullet"/>
      <w:lvlText w:val="•"/>
      <w:lvlJc w:val="left"/>
      <w:pPr>
        <w:tabs>
          <w:tab w:val="num" w:pos="720"/>
        </w:tabs>
        <w:ind w:left="720" w:hanging="360"/>
      </w:pPr>
      <w:rPr>
        <w:rFonts w:ascii="Times New Roman" w:hAnsi="Times New Roman" w:hint="default"/>
      </w:rPr>
    </w:lvl>
    <w:lvl w:ilvl="1" w:tplc="C3B0C3B6" w:tentative="1">
      <w:start w:val="1"/>
      <w:numFmt w:val="bullet"/>
      <w:lvlText w:val="•"/>
      <w:lvlJc w:val="left"/>
      <w:pPr>
        <w:tabs>
          <w:tab w:val="num" w:pos="1440"/>
        </w:tabs>
        <w:ind w:left="1440" w:hanging="360"/>
      </w:pPr>
      <w:rPr>
        <w:rFonts w:ascii="Times New Roman" w:hAnsi="Times New Roman" w:hint="default"/>
      </w:rPr>
    </w:lvl>
    <w:lvl w:ilvl="2" w:tplc="9D3A4226" w:tentative="1">
      <w:start w:val="1"/>
      <w:numFmt w:val="bullet"/>
      <w:lvlText w:val="•"/>
      <w:lvlJc w:val="left"/>
      <w:pPr>
        <w:tabs>
          <w:tab w:val="num" w:pos="2160"/>
        </w:tabs>
        <w:ind w:left="2160" w:hanging="360"/>
      </w:pPr>
      <w:rPr>
        <w:rFonts w:ascii="Times New Roman" w:hAnsi="Times New Roman" w:hint="default"/>
      </w:rPr>
    </w:lvl>
    <w:lvl w:ilvl="3" w:tplc="0B5869D0" w:tentative="1">
      <w:start w:val="1"/>
      <w:numFmt w:val="bullet"/>
      <w:lvlText w:val="•"/>
      <w:lvlJc w:val="left"/>
      <w:pPr>
        <w:tabs>
          <w:tab w:val="num" w:pos="2880"/>
        </w:tabs>
        <w:ind w:left="2880" w:hanging="360"/>
      </w:pPr>
      <w:rPr>
        <w:rFonts w:ascii="Times New Roman" w:hAnsi="Times New Roman" w:hint="default"/>
      </w:rPr>
    </w:lvl>
    <w:lvl w:ilvl="4" w:tplc="BC828176" w:tentative="1">
      <w:start w:val="1"/>
      <w:numFmt w:val="bullet"/>
      <w:lvlText w:val="•"/>
      <w:lvlJc w:val="left"/>
      <w:pPr>
        <w:tabs>
          <w:tab w:val="num" w:pos="3600"/>
        </w:tabs>
        <w:ind w:left="3600" w:hanging="360"/>
      </w:pPr>
      <w:rPr>
        <w:rFonts w:ascii="Times New Roman" w:hAnsi="Times New Roman" w:hint="default"/>
      </w:rPr>
    </w:lvl>
    <w:lvl w:ilvl="5" w:tplc="F81A9DE4" w:tentative="1">
      <w:start w:val="1"/>
      <w:numFmt w:val="bullet"/>
      <w:lvlText w:val="•"/>
      <w:lvlJc w:val="left"/>
      <w:pPr>
        <w:tabs>
          <w:tab w:val="num" w:pos="4320"/>
        </w:tabs>
        <w:ind w:left="4320" w:hanging="360"/>
      </w:pPr>
      <w:rPr>
        <w:rFonts w:ascii="Times New Roman" w:hAnsi="Times New Roman" w:hint="default"/>
      </w:rPr>
    </w:lvl>
    <w:lvl w:ilvl="6" w:tplc="C3FE5DBA" w:tentative="1">
      <w:start w:val="1"/>
      <w:numFmt w:val="bullet"/>
      <w:lvlText w:val="•"/>
      <w:lvlJc w:val="left"/>
      <w:pPr>
        <w:tabs>
          <w:tab w:val="num" w:pos="5040"/>
        </w:tabs>
        <w:ind w:left="5040" w:hanging="360"/>
      </w:pPr>
      <w:rPr>
        <w:rFonts w:ascii="Times New Roman" w:hAnsi="Times New Roman" w:hint="default"/>
      </w:rPr>
    </w:lvl>
    <w:lvl w:ilvl="7" w:tplc="230AA0A0" w:tentative="1">
      <w:start w:val="1"/>
      <w:numFmt w:val="bullet"/>
      <w:lvlText w:val="•"/>
      <w:lvlJc w:val="left"/>
      <w:pPr>
        <w:tabs>
          <w:tab w:val="num" w:pos="5760"/>
        </w:tabs>
        <w:ind w:left="5760" w:hanging="360"/>
      </w:pPr>
      <w:rPr>
        <w:rFonts w:ascii="Times New Roman" w:hAnsi="Times New Roman" w:hint="default"/>
      </w:rPr>
    </w:lvl>
    <w:lvl w:ilvl="8" w:tplc="9DBE12E4" w:tentative="1">
      <w:start w:val="1"/>
      <w:numFmt w:val="bullet"/>
      <w:lvlText w:val="•"/>
      <w:lvlJc w:val="left"/>
      <w:pPr>
        <w:tabs>
          <w:tab w:val="num" w:pos="6480"/>
        </w:tabs>
        <w:ind w:left="6480" w:hanging="360"/>
      </w:pPr>
      <w:rPr>
        <w:rFonts w:ascii="Times New Roman" w:hAnsi="Times New Roman" w:hint="default"/>
      </w:rPr>
    </w:lvl>
  </w:abstractNum>
  <w:abstractNum w:abstractNumId="7">
    <w:nsid w:val="1FB93310"/>
    <w:multiLevelType w:val="hybridMultilevel"/>
    <w:tmpl w:val="680E3C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nsid w:val="340276DF"/>
    <w:multiLevelType w:val="hybridMultilevel"/>
    <w:tmpl w:val="16D8D88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366333D8"/>
    <w:multiLevelType w:val="hybridMultilevel"/>
    <w:tmpl w:val="4306BBBE"/>
    <w:lvl w:ilvl="0" w:tplc="F39ADF7A">
      <w:start w:val="1"/>
      <w:numFmt w:val="lowerRoman"/>
      <w:lvlText w:val="(%1)"/>
      <w:lvlJc w:val="righ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99E17AC"/>
    <w:multiLevelType w:val="hybridMultilevel"/>
    <w:tmpl w:val="56C09F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1">
    <w:nsid w:val="44E7057E"/>
    <w:multiLevelType w:val="hybridMultilevel"/>
    <w:tmpl w:val="C0B0A14A"/>
    <w:lvl w:ilvl="0" w:tplc="44D2A0BC">
      <w:start w:val="1"/>
      <w:numFmt w:val="bullet"/>
      <w:lvlText w:val="•"/>
      <w:lvlJc w:val="left"/>
      <w:pPr>
        <w:tabs>
          <w:tab w:val="num" w:pos="720"/>
        </w:tabs>
        <w:ind w:left="720" w:hanging="360"/>
      </w:pPr>
      <w:rPr>
        <w:rFonts w:ascii="Times New Roman" w:hAnsi="Times New Roman" w:hint="default"/>
      </w:rPr>
    </w:lvl>
    <w:lvl w:ilvl="1" w:tplc="BCC69622" w:tentative="1">
      <w:start w:val="1"/>
      <w:numFmt w:val="bullet"/>
      <w:lvlText w:val="•"/>
      <w:lvlJc w:val="left"/>
      <w:pPr>
        <w:tabs>
          <w:tab w:val="num" w:pos="1440"/>
        </w:tabs>
        <w:ind w:left="1440" w:hanging="360"/>
      </w:pPr>
      <w:rPr>
        <w:rFonts w:ascii="Times New Roman" w:hAnsi="Times New Roman" w:hint="default"/>
      </w:rPr>
    </w:lvl>
    <w:lvl w:ilvl="2" w:tplc="06AEAA5A" w:tentative="1">
      <w:start w:val="1"/>
      <w:numFmt w:val="bullet"/>
      <w:lvlText w:val="•"/>
      <w:lvlJc w:val="left"/>
      <w:pPr>
        <w:tabs>
          <w:tab w:val="num" w:pos="2160"/>
        </w:tabs>
        <w:ind w:left="2160" w:hanging="360"/>
      </w:pPr>
      <w:rPr>
        <w:rFonts w:ascii="Times New Roman" w:hAnsi="Times New Roman" w:hint="default"/>
      </w:rPr>
    </w:lvl>
    <w:lvl w:ilvl="3" w:tplc="E79A89A6" w:tentative="1">
      <w:start w:val="1"/>
      <w:numFmt w:val="bullet"/>
      <w:lvlText w:val="•"/>
      <w:lvlJc w:val="left"/>
      <w:pPr>
        <w:tabs>
          <w:tab w:val="num" w:pos="2880"/>
        </w:tabs>
        <w:ind w:left="2880" w:hanging="360"/>
      </w:pPr>
      <w:rPr>
        <w:rFonts w:ascii="Times New Roman" w:hAnsi="Times New Roman" w:hint="default"/>
      </w:rPr>
    </w:lvl>
    <w:lvl w:ilvl="4" w:tplc="1B5A8B1A" w:tentative="1">
      <w:start w:val="1"/>
      <w:numFmt w:val="bullet"/>
      <w:lvlText w:val="•"/>
      <w:lvlJc w:val="left"/>
      <w:pPr>
        <w:tabs>
          <w:tab w:val="num" w:pos="3600"/>
        </w:tabs>
        <w:ind w:left="3600" w:hanging="360"/>
      </w:pPr>
      <w:rPr>
        <w:rFonts w:ascii="Times New Roman" w:hAnsi="Times New Roman" w:hint="default"/>
      </w:rPr>
    </w:lvl>
    <w:lvl w:ilvl="5" w:tplc="048E13A6" w:tentative="1">
      <w:start w:val="1"/>
      <w:numFmt w:val="bullet"/>
      <w:lvlText w:val="•"/>
      <w:lvlJc w:val="left"/>
      <w:pPr>
        <w:tabs>
          <w:tab w:val="num" w:pos="4320"/>
        </w:tabs>
        <w:ind w:left="4320" w:hanging="360"/>
      </w:pPr>
      <w:rPr>
        <w:rFonts w:ascii="Times New Roman" w:hAnsi="Times New Roman" w:hint="default"/>
      </w:rPr>
    </w:lvl>
    <w:lvl w:ilvl="6" w:tplc="3C307A6A" w:tentative="1">
      <w:start w:val="1"/>
      <w:numFmt w:val="bullet"/>
      <w:lvlText w:val="•"/>
      <w:lvlJc w:val="left"/>
      <w:pPr>
        <w:tabs>
          <w:tab w:val="num" w:pos="5040"/>
        </w:tabs>
        <w:ind w:left="5040" w:hanging="360"/>
      </w:pPr>
      <w:rPr>
        <w:rFonts w:ascii="Times New Roman" w:hAnsi="Times New Roman" w:hint="default"/>
      </w:rPr>
    </w:lvl>
    <w:lvl w:ilvl="7" w:tplc="A4E8C50A" w:tentative="1">
      <w:start w:val="1"/>
      <w:numFmt w:val="bullet"/>
      <w:lvlText w:val="•"/>
      <w:lvlJc w:val="left"/>
      <w:pPr>
        <w:tabs>
          <w:tab w:val="num" w:pos="5760"/>
        </w:tabs>
        <w:ind w:left="5760" w:hanging="360"/>
      </w:pPr>
      <w:rPr>
        <w:rFonts w:ascii="Times New Roman" w:hAnsi="Times New Roman" w:hint="default"/>
      </w:rPr>
    </w:lvl>
    <w:lvl w:ilvl="8" w:tplc="BF164278"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62F428C"/>
    <w:multiLevelType w:val="hybridMultilevel"/>
    <w:tmpl w:val="730AD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69463A9"/>
    <w:multiLevelType w:val="hybridMultilevel"/>
    <w:tmpl w:val="4D6C84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nsid w:val="4A8A53E6"/>
    <w:multiLevelType w:val="hybridMultilevel"/>
    <w:tmpl w:val="DA882896"/>
    <w:lvl w:ilvl="0" w:tplc="4009000F">
      <w:start w:val="1"/>
      <w:numFmt w:val="decimal"/>
      <w:lvlText w:val="%1."/>
      <w:lvlJc w:val="left"/>
      <w:pPr>
        <w:ind w:left="720" w:hanging="360"/>
      </w:pPr>
      <w:rPr>
        <w:rFont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nsid w:val="4B4D7C60"/>
    <w:multiLevelType w:val="hybridMultilevel"/>
    <w:tmpl w:val="9DB6C130"/>
    <w:lvl w:ilvl="0" w:tplc="FF54FE58">
      <w:start w:val="1"/>
      <w:numFmt w:val="bullet"/>
      <w:lvlText w:val="•"/>
      <w:lvlJc w:val="left"/>
      <w:pPr>
        <w:tabs>
          <w:tab w:val="num" w:pos="720"/>
        </w:tabs>
        <w:ind w:left="720" w:hanging="360"/>
      </w:pPr>
      <w:rPr>
        <w:rFonts w:ascii="Times New Roman" w:hAnsi="Times New Roman" w:hint="default"/>
      </w:rPr>
    </w:lvl>
    <w:lvl w:ilvl="1" w:tplc="10783344" w:tentative="1">
      <w:start w:val="1"/>
      <w:numFmt w:val="bullet"/>
      <w:lvlText w:val="•"/>
      <w:lvlJc w:val="left"/>
      <w:pPr>
        <w:tabs>
          <w:tab w:val="num" w:pos="1440"/>
        </w:tabs>
        <w:ind w:left="1440" w:hanging="360"/>
      </w:pPr>
      <w:rPr>
        <w:rFonts w:ascii="Times New Roman" w:hAnsi="Times New Roman" w:hint="default"/>
      </w:rPr>
    </w:lvl>
    <w:lvl w:ilvl="2" w:tplc="25FA3D4A" w:tentative="1">
      <w:start w:val="1"/>
      <w:numFmt w:val="bullet"/>
      <w:lvlText w:val="•"/>
      <w:lvlJc w:val="left"/>
      <w:pPr>
        <w:tabs>
          <w:tab w:val="num" w:pos="2160"/>
        </w:tabs>
        <w:ind w:left="2160" w:hanging="360"/>
      </w:pPr>
      <w:rPr>
        <w:rFonts w:ascii="Times New Roman" w:hAnsi="Times New Roman" w:hint="default"/>
      </w:rPr>
    </w:lvl>
    <w:lvl w:ilvl="3" w:tplc="CC5A1F40" w:tentative="1">
      <w:start w:val="1"/>
      <w:numFmt w:val="bullet"/>
      <w:lvlText w:val="•"/>
      <w:lvlJc w:val="left"/>
      <w:pPr>
        <w:tabs>
          <w:tab w:val="num" w:pos="2880"/>
        </w:tabs>
        <w:ind w:left="2880" w:hanging="360"/>
      </w:pPr>
      <w:rPr>
        <w:rFonts w:ascii="Times New Roman" w:hAnsi="Times New Roman" w:hint="default"/>
      </w:rPr>
    </w:lvl>
    <w:lvl w:ilvl="4" w:tplc="4DB4700E" w:tentative="1">
      <w:start w:val="1"/>
      <w:numFmt w:val="bullet"/>
      <w:lvlText w:val="•"/>
      <w:lvlJc w:val="left"/>
      <w:pPr>
        <w:tabs>
          <w:tab w:val="num" w:pos="3600"/>
        </w:tabs>
        <w:ind w:left="3600" w:hanging="360"/>
      </w:pPr>
      <w:rPr>
        <w:rFonts w:ascii="Times New Roman" w:hAnsi="Times New Roman" w:hint="default"/>
      </w:rPr>
    </w:lvl>
    <w:lvl w:ilvl="5" w:tplc="69927D8C" w:tentative="1">
      <w:start w:val="1"/>
      <w:numFmt w:val="bullet"/>
      <w:lvlText w:val="•"/>
      <w:lvlJc w:val="left"/>
      <w:pPr>
        <w:tabs>
          <w:tab w:val="num" w:pos="4320"/>
        </w:tabs>
        <w:ind w:left="4320" w:hanging="360"/>
      </w:pPr>
      <w:rPr>
        <w:rFonts w:ascii="Times New Roman" w:hAnsi="Times New Roman" w:hint="default"/>
      </w:rPr>
    </w:lvl>
    <w:lvl w:ilvl="6" w:tplc="CAEC40E8" w:tentative="1">
      <w:start w:val="1"/>
      <w:numFmt w:val="bullet"/>
      <w:lvlText w:val="•"/>
      <w:lvlJc w:val="left"/>
      <w:pPr>
        <w:tabs>
          <w:tab w:val="num" w:pos="5040"/>
        </w:tabs>
        <w:ind w:left="5040" w:hanging="360"/>
      </w:pPr>
      <w:rPr>
        <w:rFonts w:ascii="Times New Roman" w:hAnsi="Times New Roman" w:hint="default"/>
      </w:rPr>
    </w:lvl>
    <w:lvl w:ilvl="7" w:tplc="993CFA00" w:tentative="1">
      <w:start w:val="1"/>
      <w:numFmt w:val="bullet"/>
      <w:lvlText w:val="•"/>
      <w:lvlJc w:val="left"/>
      <w:pPr>
        <w:tabs>
          <w:tab w:val="num" w:pos="5760"/>
        </w:tabs>
        <w:ind w:left="5760" w:hanging="360"/>
      </w:pPr>
      <w:rPr>
        <w:rFonts w:ascii="Times New Roman" w:hAnsi="Times New Roman" w:hint="default"/>
      </w:rPr>
    </w:lvl>
    <w:lvl w:ilvl="8" w:tplc="5A805A02" w:tentative="1">
      <w:start w:val="1"/>
      <w:numFmt w:val="bullet"/>
      <w:lvlText w:val="•"/>
      <w:lvlJc w:val="left"/>
      <w:pPr>
        <w:tabs>
          <w:tab w:val="num" w:pos="6480"/>
        </w:tabs>
        <w:ind w:left="6480" w:hanging="360"/>
      </w:pPr>
      <w:rPr>
        <w:rFonts w:ascii="Times New Roman" w:hAnsi="Times New Roman" w:hint="default"/>
      </w:rPr>
    </w:lvl>
  </w:abstractNum>
  <w:abstractNum w:abstractNumId="16">
    <w:nsid w:val="52623B5D"/>
    <w:multiLevelType w:val="hybridMultilevel"/>
    <w:tmpl w:val="2970F06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7">
    <w:nsid w:val="562C106A"/>
    <w:multiLevelType w:val="multilevel"/>
    <w:tmpl w:val="CFE2A782"/>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56D02941"/>
    <w:multiLevelType w:val="hybridMultilevel"/>
    <w:tmpl w:val="A3D8045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nsid w:val="5A147070"/>
    <w:multiLevelType w:val="hybridMultilevel"/>
    <w:tmpl w:val="6DA822E8"/>
    <w:lvl w:ilvl="0" w:tplc="7AB6255A">
      <w:start w:val="1"/>
      <w:numFmt w:val="bullet"/>
      <w:lvlText w:val="•"/>
      <w:lvlJc w:val="left"/>
      <w:pPr>
        <w:tabs>
          <w:tab w:val="num" w:pos="720"/>
        </w:tabs>
        <w:ind w:left="720" w:hanging="360"/>
      </w:pPr>
      <w:rPr>
        <w:rFonts w:ascii="Arial" w:hAnsi="Arial" w:hint="default"/>
      </w:rPr>
    </w:lvl>
    <w:lvl w:ilvl="1" w:tplc="73F043A2">
      <w:numFmt w:val="bullet"/>
      <w:lvlText w:val="•"/>
      <w:lvlJc w:val="left"/>
      <w:pPr>
        <w:tabs>
          <w:tab w:val="num" w:pos="1440"/>
        </w:tabs>
        <w:ind w:left="1440" w:hanging="360"/>
      </w:pPr>
      <w:rPr>
        <w:rFonts w:ascii="Arial" w:hAnsi="Arial" w:hint="default"/>
      </w:rPr>
    </w:lvl>
    <w:lvl w:ilvl="2" w:tplc="F5EE5F60" w:tentative="1">
      <w:start w:val="1"/>
      <w:numFmt w:val="bullet"/>
      <w:lvlText w:val="•"/>
      <w:lvlJc w:val="left"/>
      <w:pPr>
        <w:tabs>
          <w:tab w:val="num" w:pos="2160"/>
        </w:tabs>
        <w:ind w:left="2160" w:hanging="360"/>
      </w:pPr>
      <w:rPr>
        <w:rFonts w:ascii="Arial" w:hAnsi="Arial" w:hint="default"/>
      </w:rPr>
    </w:lvl>
    <w:lvl w:ilvl="3" w:tplc="6CD48CB6" w:tentative="1">
      <w:start w:val="1"/>
      <w:numFmt w:val="bullet"/>
      <w:lvlText w:val="•"/>
      <w:lvlJc w:val="left"/>
      <w:pPr>
        <w:tabs>
          <w:tab w:val="num" w:pos="2880"/>
        </w:tabs>
        <w:ind w:left="2880" w:hanging="360"/>
      </w:pPr>
      <w:rPr>
        <w:rFonts w:ascii="Arial" w:hAnsi="Arial" w:hint="default"/>
      </w:rPr>
    </w:lvl>
    <w:lvl w:ilvl="4" w:tplc="87266068" w:tentative="1">
      <w:start w:val="1"/>
      <w:numFmt w:val="bullet"/>
      <w:lvlText w:val="•"/>
      <w:lvlJc w:val="left"/>
      <w:pPr>
        <w:tabs>
          <w:tab w:val="num" w:pos="3600"/>
        </w:tabs>
        <w:ind w:left="3600" w:hanging="360"/>
      </w:pPr>
      <w:rPr>
        <w:rFonts w:ascii="Arial" w:hAnsi="Arial" w:hint="default"/>
      </w:rPr>
    </w:lvl>
    <w:lvl w:ilvl="5" w:tplc="FFEE0D66" w:tentative="1">
      <w:start w:val="1"/>
      <w:numFmt w:val="bullet"/>
      <w:lvlText w:val="•"/>
      <w:lvlJc w:val="left"/>
      <w:pPr>
        <w:tabs>
          <w:tab w:val="num" w:pos="4320"/>
        </w:tabs>
        <w:ind w:left="4320" w:hanging="360"/>
      </w:pPr>
      <w:rPr>
        <w:rFonts w:ascii="Arial" w:hAnsi="Arial" w:hint="default"/>
      </w:rPr>
    </w:lvl>
    <w:lvl w:ilvl="6" w:tplc="85361340" w:tentative="1">
      <w:start w:val="1"/>
      <w:numFmt w:val="bullet"/>
      <w:lvlText w:val="•"/>
      <w:lvlJc w:val="left"/>
      <w:pPr>
        <w:tabs>
          <w:tab w:val="num" w:pos="5040"/>
        </w:tabs>
        <w:ind w:left="5040" w:hanging="360"/>
      </w:pPr>
      <w:rPr>
        <w:rFonts w:ascii="Arial" w:hAnsi="Arial" w:hint="default"/>
      </w:rPr>
    </w:lvl>
    <w:lvl w:ilvl="7" w:tplc="010A17D8" w:tentative="1">
      <w:start w:val="1"/>
      <w:numFmt w:val="bullet"/>
      <w:lvlText w:val="•"/>
      <w:lvlJc w:val="left"/>
      <w:pPr>
        <w:tabs>
          <w:tab w:val="num" w:pos="5760"/>
        </w:tabs>
        <w:ind w:left="5760" w:hanging="360"/>
      </w:pPr>
      <w:rPr>
        <w:rFonts w:ascii="Arial" w:hAnsi="Arial" w:hint="default"/>
      </w:rPr>
    </w:lvl>
    <w:lvl w:ilvl="8" w:tplc="0C8E2914" w:tentative="1">
      <w:start w:val="1"/>
      <w:numFmt w:val="bullet"/>
      <w:lvlText w:val="•"/>
      <w:lvlJc w:val="left"/>
      <w:pPr>
        <w:tabs>
          <w:tab w:val="num" w:pos="6480"/>
        </w:tabs>
        <w:ind w:left="6480" w:hanging="360"/>
      </w:pPr>
      <w:rPr>
        <w:rFonts w:ascii="Arial" w:hAnsi="Arial" w:hint="default"/>
      </w:rPr>
    </w:lvl>
  </w:abstractNum>
  <w:abstractNum w:abstractNumId="20">
    <w:nsid w:val="635D36E5"/>
    <w:multiLevelType w:val="hybridMultilevel"/>
    <w:tmpl w:val="599417E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1">
    <w:nsid w:val="6F4205AA"/>
    <w:multiLevelType w:val="hybridMultilevel"/>
    <w:tmpl w:val="F564A5D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nsid w:val="71DD74A5"/>
    <w:multiLevelType w:val="hybridMultilevel"/>
    <w:tmpl w:val="410834DA"/>
    <w:lvl w:ilvl="0" w:tplc="40090019">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3">
    <w:nsid w:val="769805FE"/>
    <w:multiLevelType w:val="hybridMultilevel"/>
    <w:tmpl w:val="56C09FA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4">
    <w:nsid w:val="7A8A5B4C"/>
    <w:multiLevelType w:val="hybridMultilevel"/>
    <w:tmpl w:val="69E00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E0E3F6A"/>
    <w:multiLevelType w:val="hybridMultilevel"/>
    <w:tmpl w:val="2DDCC1B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0"/>
  </w:num>
  <w:num w:numId="2">
    <w:abstractNumId w:val="3"/>
  </w:num>
  <w:num w:numId="3">
    <w:abstractNumId w:val="22"/>
  </w:num>
  <w:num w:numId="4">
    <w:abstractNumId w:val="5"/>
  </w:num>
  <w:num w:numId="5">
    <w:abstractNumId w:val="14"/>
  </w:num>
  <w:num w:numId="6">
    <w:abstractNumId w:val="23"/>
  </w:num>
  <w:num w:numId="7">
    <w:abstractNumId w:val="13"/>
  </w:num>
  <w:num w:numId="8">
    <w:abstractNumId w:val="4"/>
  </w:num>
  <w:num w:numId="9">
    <w:abstractNumId w:val="16"/>
  </w:num>
  <w:num w:numId="10">
    <w:abstractNumId w:val="25"/>
  </w:num>
  <w:num w:numId="11">
    <w:abstractNumId w:val="20"/>
  </w:num>
  <w:num w:numId="12">
    <w:abstractNumId w:val="7"/>
  </w:num>
  <w:num w:numId="13">
    <w:abstractNumId w:val="18"/>
  </w:num>
  <w:num w:numId="14">
    <w:abstractNumId w:val="21"/>
  </w:num>
  <w:num w:numId="15">
    <w:abstractNumId w:val="2"/>
  </w:num>
  <w:num w:numId="16">
    <w:abstractNumId w:val="17"/>
  </w:num>
  <w:num w:numId="17">
    <w:abstractNumId w:val="24"/>
  </w:num>
  <w:num w:numId="18">
    <w:abstractNumId w:val="9"/>
  </w:num>
  <w:num w:numId="19">
    <w:abstractNumId w:val="12"/>
  </w:num>
  <w:num w:numId="20">
    <w:abstractNumId w:val="0"/>
  </w:num>
  <w:num w:numId="21">
    <w:abstractNumId w:val="8"/>
  </w:num>
  <w:num w:numId="22">
    <w:abstractNumId w:val="11"/>
  </w:num>
  <w:num w:numId="23">
    <w:abstractNumId w:val="1"/>
  </w:num>
  <w:num w:numId="24">
    <w:abstractNumId w:val="15"/>
  </w:num>
  <w:num w:numId="25">
    <w:abstractNumId w:val="6"/>
  </w:num>
  <w:num w:numId="26">
    <w:abstractNumId w:val="1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hdrShapeDefaults>
    <o:shapedefaults v:ext="edit" spidmax="10242"/>
  </w:hdrShapeDefaults>
  <w:footnotePr>
    <w:footnote w:id="0"/>
    <w:footnote w:id="1"/>
  </w:footnotePr>
  <w:endnotePr>
    <w:endnote w:id="0"/>
    <w:endnote w:id="1"/>
  </w:endnotePr>
  <w:compat/>
  <w:rsids>
    <w:rsidRoot w:val="00820F97"/>
    <w:rsid w:val="00006073"/>
    <w:rsid w:val="00010B3E"/>
    <w:rsid w:val="00014DBD"/>
    <w:rsid w:val="00015803"/>
    <w:rsid w:val="00015CA6"/>
    <w:rsid w:val="00017FD3"/>
    <w:rsid w:val="00022D37"/>
    <w:rsid w:val="00037F28"/>
    <w:rsid w:val="00041200"/>
    <w:rsid w:val="00051071"/>
    <w:rsid w:val="00063A95"/>
    <w:rsid w:val="00084635"/>
    <w:rsid w:val="000965C2"/>
    <w:rsid w:val="000A0685"/>
    <w:rsid w:val="000A079F"/>
    <w:rsid w:val="000B4F3C"/>
    <w:rsid w:val="000B5D32"/>
    <w:rsid w:val="000B78B4"/>
    <w:rsid w:val="000C284D"/>
    <w:rsid w:val="000D08B1"/>
    <w:rsid w:val="000D2583"/>
    <w:rsid w:val="000D3354"/>
    <w:rsid w:val="000D6EBA"/>
    <w:rsid w:val="000E2374"/>
    <w:rsid w:val="000E77F5"/>
    <w:rsid w:val="000F31B3"/>
    <w:rsid w:val="000F75CF"/>
    <w:rsid w:val="00102FA8"/>
    <w:rsid w:val="00103860"/>
    <w:rsid w:val="001068DD"/>
    <w:rsid w:val="0011434A"/>
    <w:rsid w:val="00120AB6"/>
    <w:rsid w:val="00121EBF"/>
    <w:rsid w:val="001222E4"/>
    <w:rsid w:val="0012528E"/>
    <w:rsid w:val="00135D69"/>
    <w:rsid w:val="00137326"/>
    <w:rsid w:val="00145BC3"/>
    <w:rsid w:val="00160205"/>
    <w:rsid w:val="00160409"/>
    <w:rsid w:val="0016445E"/>
    <w:rsid w:val="001649F5"/>
    <w:rsid w:val="0016787D"/>
    <w:rsid w:val="001705D6"/>
    <w:rsid w:val="00174FDF"/>
    <w:rsid w:val="001768E7"/>
    <w:rsid w:val="0018160C"/>
    <w:rsid w:val="00181DA0"/>
    <w:rsid w:val="00182177"/>
    <w:rsid w:val="00185E8B"/>
    <w:rsid w:val="00190F58"/>
    <w:rsid w:val="00195815"/>
    <w:rsid w:val="0019748B"/>
    <w:rsid w:val="001A054E"/>
    <w:rsid w:val="001A24A0"/>
    <w:rsid w:val="001A4F23"/>
    <w:rsid w:val="001A53F7"/>
    <w:rsid w:val="001A7C59"/>
    <w:rsid w:val="001A7D0D"/>
    <w:rsid w:val="001B0962"/>
    <w:rsid w:val="001B12A4"/>
    <w:rsid w:val="001C0EFA"/>
    <w:rsid w:val="001C13BF"/>
    <w:rsid w:val="001C5F3B"/>
    <w:rsid w:val="001C5F58"/>
    <w:rsid w:val="001D1AC4"/>
    <w:rsid w:val="001D1E54"/>
    <w:rsid w:val="001D776E"/>
    <w:rsid w:val="001E1EC5"/>
    <w:rsid w:val="001E21BD"/>
    <w:rsid w:val="001E4B52"/>
    <w:rsid w:val="001E4FA4"/>
    <w:rsid w:val="001E5D24"/>
    <w:rsid w:val="001F0946"/>
    <w:rsid w:val="001F4F12"/>
    <w:rsid w:val="001F6127"/>
    <w:rsid w:val="001F76C6"/>
    <w:rsid w:val="002049DE"/>
    <w:rsid w:val="0021631B"/>
    <w:rsid w:val="00240173"/>
    <w:rsid w:val="002417C4"/>
    <w:rsid w:val="00241976"/>
    <w:rsid w:val="00245873"/>
    <w:rsid w:val="002673BB"/>
    <w:rsid w:val="00281AF3"/>
    <w:rsid w:val="00282F30"/>
    <w:rsid w:val="0028327B"/>
    <w:rsid w:val="00285E5F"/>
    <w:rsid w:val="0029031F"/>
    <w:rsid w:val="0029280A"/>
    <w:rsid w:val="0029294D"/>
    <w:rsid w:val="002944B9"/>
    <w:rsid w:val="00294BFE"/>
    <w:rsid w:val="002A119E"/>
    <w:rsid w:val="002A23CF"/>
    <w:rsid w:val="002B15B2"/>
    <w:rsid w:val="002B315A"/>
    <w:rsid w:val="002B703A"/>
    <w:rsid w:val="002C0AEF"/>
    <w:rsid w:val="002C1234"/>
    <w:rsid w:val="002C6F04"/>
    <w:rsid w:val="002C7351"/>
    <w:rsid w:val="002D6AE0"/>
    <w:rsid w:val="002F15B9"/>
    <w:rsid w:val="002F3130"/>
    <w:rsid w:val="002F321D"/>
    <w:rsid w:val="002F7AEA"/>
    <w:rsid w:val="00304E5C"/>
    <w:rsid w:val="00307C82"/>
    <w:rsid w:val="00310ABA"/>
    <w:rsid w:val="003152B2"/>
    <w:rsid w:val="003217A9"/>
    <w:rsid w:val="0033144D"/>
    <w:rsid w:val="00341FB4"/>
    <w:rsid w:val="0034383D"/>
    <w:rsid w:val="003450DA"/>
    <w:rsid w:val="0035024B"/>
    <w:rsid w:val="00356350"/>
    <w:rsid w:val="00357151"/>
    <w:rsid w:val="00357259"/>
    <w:rsid w:val="00364A3E"/>
    <w:rsid w:val="00371B10"/>
    <w:rsid w:val="00396E72"/>
    <w:rsid w:val="003A1399"/>
    <w:rsid w:val="003A7D2A"/>
    <w:rsid w:val="003C4D64"/>
    <w:rsid w:val="003D190C"/>
    <w:rsid w:val="003D235C"/>
    <w:rsid w:val="003D7449"/>
    <w:rsid w:val="003D7A2B"/>
    <w:rsid w:val="003E6324"/>
    <w:rsid w:val="003F1E41"/>
    <w:rsid w:val="003F6E1A"/>
    <w:rsid w:val="0040217A"/>
    <w:rsid w:val="00402352"/>
    <w:rsid w:val="0040255B"/>
    <w:rsid w:val="0041772E"/>
    <w:rsid w:val="0042399F"/>
    <w:rsid w:val="00423E56"/>
    <w:rsid w:val="00425F53"/>
    <w:rsid w:val="004327A8"/>
    <w:rsid w:val="00434556"/>
    <w:rsid w:val="00435CA2"/>
    <w:rsid w:val="004376A6"/>
    <w:rsid w:val="00442D1E"/>
    <w:rsid w:val="00452457"/>
    <w:rsid w:val="004533C0"/>
    <w:rsid w:val="004558EA"/>
    <w:rsid w:val="0046467B"/>
    <w:rsid w:val="00464A72"/>
    <w:rsid w:val="0046503B"/>
    <w:rsid w:val="004656FD"/>
    <w:rsid w:val="004753E6"/>
    <w:rsid w:val="00475B0D"/>
    <w:rsid w:val="00477407"/>
    <w:rsid w:val="004946F4"/>
    <w:rsid w:val="004A040E"/>
    <w:rsid w:val="004A64BD"/>
    <w:rsid w:val="004B17DB"/>
    <w:rsid w:val="004B585E"/>
    <w:rsid w:val="004B6B06"/>
    <w:rsid w:val="004C19A9"/>
    <w:rsid w:val="004C4BFF"/>
    <w:rsid w:val="004C56E4"/>
    <w:rsid w:val="004C605B"/>
    <w:rsid w:val="004D3118"/>
    <w:rsid w:val="004D5E1E"/>
    <w:rsid w:val="004D7506"/>
    <w:rsid w:val="004F23F8"/>
    <w:rsid w:val="0050190E"/>
    <w:rsid w:val="00512119"/>
    <w:rsid w:val="005130D3"/>
    <w:rsid w:val="00514F7E"/>
    <w:rsid w:val="00516AA7"/>
    <w:rsid w:val="00522F2A"/>
    <w:rsid w:val="00534BAE"/>
    <w:rsid w:val="0053664B"/>
    <w:rsid w:val="00540F65"/>
    <w:rsid w:val="005427B6"/>
    <w:rsid w:val="005511BC"/>
    <w:rsid w:val="005523C8"/>
    <w:rsid w:val="00552FFD"/>
    <w:rsid w:val="0056018B"/>
    <w:rsid w:val="005624E4"/>
    <w:rsid w:val="005631A2"/>
    <w:rsid w:val="005645D4"/>
    <w:rsid w:val="00574E28"/>
    <w:rsid w:val="00582606"/>
    <w:rsid w:val="005867E7"/>
    <w:rsid w:val="00590C0A"/>
    <w:rsid w:val="005A0C85"/>
    <w:rsid w:val="005A128F"/>
    <w:rsid w:val="005A2194"/>
    <w:rsid w:val="005A795B"/>
    <w:rsid w:val="005B1F9E"/>
    <w:rsid w:val="005B349D"/>
    <w:rsid w:val="005B6FAA"/>
    <w:rsid w:val="005C1FB1"/>
    <w:rsid w:val="005C69AC"/>
    <w:rsid w:val="005D4839"/>
    <w:rsid w:val="00603653"/>
    <w:rsid w:val="0060434E"/>
    <w:rsid w:val="00606967"/>
    <w:rsid w:val="00606C85"/>
    <w:rsid w:val="0061763E"/>
    <w:rsid w:val="00620482"/>
    <w:rsid w:val="006213F8"/>
    <w:rsid w:val="00621558"/>
    <w:rsid w:val="006238F1"/>
    <w:rsid w:val="006317BD"/>
    <w:rsid w:val="0063341A"/>
    <w:rsid w:val="00635467"/>
    <w:rsid w:val="00636858"/>
    <w:rsid w:val="006425CE"/>
    <w:rsid w:val="00656C62"/>
    <w:rsid w:val="00665EEB"/>
    <w:rsid w:val="0066669D"/>
    <w:rsid w:val="006725DA"/>
    <w:rsid w:val="006748CC"/>
    <w:rsid w:val="00694641"/>
    <w:rsid w:val="00694AE4"/>
    <w:rsid w:val="00695585"/>
    <w:rsid w:val="006A5802"/>
    <w:rsid w:val="006A705B"/>
    <w:rsid w:val="006B04F0"/>
    <w:rsid w:val="006B1297"/>
    <w:rsid w:val="006C39A9"/>
    <w:rsid w:val="006D1109"/>
    <w:rsid w:val="006D2B75"/>
    <w:rsid w:val="006D42E9"/>
    <w:rsid w:val="006D77EE"/>
    <w:rsid w:val="006F2512"/>
    <w:rsid w:val="006F2D0E"/>
    <w:rsid w:val="006F50E1"/>
    <w:rsid w:val="00701060"/>
    <w:rsid w:val="007015AB"/>
    <w:rsid w:val="00713458"/>
    <w:rsid w:val="00713693"/>
    <w:rsid w:val="0074609C"/>
    <w:rsid w:val="00756BF8"/>
    <w:rsid w:val="007632DF"/>
    <w:rsid w:val="00765D84"/>
    <w:rsid w:val="007670B4"/>
    <w:rsid w:val="00770DE8"/>
    <w:rsid w:val="007742AF"/>
    <w:rsid w:val="00774975"/>
    <w:rsid w:val="00774C6F"/>
    <w:rsid w:val="00775274"/>
    <w:rsid w:val="00777023"/>
    <w:rsid w:val="0078075D"/>
    <w:rsid w:val="0078293F"/>
    <w:rsid w:val="00785B8A"/>
    <w:rsid w:val="00787A14"/>
    <w:rsid w:val="00790055"/>
    <w:rsid w:val="00796021"/>
    <w:rsid w:val="007A7119"/>
    <w:rsid w:val="007B64C9"/>
    <w:rsid w:val="007C4BD2"/>
    <w:rsid w:val="007D7C3A"/>
    <w:rsid w:val="007D7C90"/>
    <w:rsid w:val="007E2614"/>
    <w:rsid w:val="007E2B5C"/>
    <w:rsid w:val="007E7434"/>
    <w:rsid w:val="007F0635"/>
    <w:rsid w:val="007F0CEA"/>
    <w:rsid w:val="007F3438"/>
    <w:rsid w:val="007F3EE6"/>
    <w:rsid w:val="007F5829"/>
    <w:rsid w:val="007F599A"/>
    <w:rsid w:val="00814DB8"/>
    <w:rsid w:val="00815199"/>
    <w:rsid w:val="00815B0F"/>
    <w:rsid w:val="00820F97"/>
    <w:rsid w:val="008211F8"/>
    <w:rsid w:val="00824193"/>
    <w:rsid w:val="008318A5"/>
    <w:rsid w:val="008364C0"/>
    <w:rsid w:val="00836D4C"/>
    <w:rsid w:val="0084094A"/>
    <w:rsid w:val="00841EC1"/>
    <w:rsid w:val="00841EF0"/>
    <w:rsid w:val="00846BBA"/>
    <w:rsid w:val="008541C3"/>
    <w:rsid w:val="00855F37"/>
    <w:rsid w:val="00860AE8"/>
    <w:rsid w:val="00860F10"/>
    <w:rsid w:val="0086122C"/>
    <w:rsid w:val="008670BC"/>
    <w:rsid w:val="00872F33"/>
    <w:rsid w:val="0087305C"/>
    <w:rsid w:val="0088185E"/>
    <w:rsid w:val="008862F3"/>
    <w:rsid w:val="00891597"/>
    <w:rsid w:val="00892704"/>
    <w:rsid w:val="00894220"/>
    <w:rsid w:val="008978BC"/>
    <w:rsid w:val="00897FB9"/>
    <w:rsid w:val="008A136B"/>
    <w:rsid w:val="008A601C"/>
    <w:rsid w:val="008B4AF6"/>
    <w:rsid w:val="008B69F5"/>
    <w:rsid w:val="008B6FEF"/>
    <w:rsid w:val="008B7AA5"/>
    <w:rsid w:val="008C02FE"/>
    <w:rsid w:val="008C65D3"/>
    <w:rsid w:val="008C6F6E"/>
    <w:rsid w:val="008E2F5A"/>
    <w:rsid w:val="008E4A16"/>
    <w:rsid w:val="008E7379"/>
    <w:rsid w:val="008F4B03"/>
    <w:rsid w:val="008F58FC"/>
    <w:rsid w:val="008F7CA3"/>
    <w:rsid w:val="009047BA"/>
    <w:rsid w:val="00905344"/>
    <w:rsid w:val="009109F6"/>
    <w:rsid w:val="00910E59"/>
    <w:rsid w:val="00920905"/>
    <w:rsid w:val="009245D8"/>
    <w:rsid w:val="00926CE9"/>
    <w:rsid w:val="009316C3"/>
    <w:rsid w:val="00931C46"/>
    <w:rsid w:val="00931C8B"/>
    <w:rsid w:val="0093527E"/>
    <w:rsid w:val="009443B6"/>
    <w:rsid w:val="009508E2"/>
    <w:rsid w:val="00952891"/>
    <w:rsid w:val="00962DF3"/>
    <w:rsid w:val="009639E7"/>
    <w:rsid w:val="0097210B"/>
    <w:rsid w:val="00972E4E"/>
    <w:rsid w:val="0097410F"/>
    <w:rsid w:val="00974EF3"/>
    <w:rsid w:val="00981ED0"/>
    <w:rsid w:val="00990568"/>
    <w:rsid w:val="00991934"/>
    <w:rsid w:val="009940BF"/>
    <w:rsid w:val="00994D1C"/>
    <w:rsid w:val="00994DFC"/>
    <w:rsid w:val="00996F27"/>
    <w:rsid w:val="009A5163"/>
    <w:rsid w:val="009B0675"/>
    <w:rsid w:val="009B541F"/>
    <w:rsid w:val="009C45F8"/>
    <w:rsid w:val="009D2D2A"/>
    <w:rsid w:val="009D4E9B"/>
    <w:rsid w:val="009E63AE"/>
    <w:rsid w:val="009F0C92"/>
    <w:rsid w:val="009F129C"/>
    <w:rsid w:val="009F5709"/>
    <w:rsid w:val="00A0273C"/>
    <w:rsid w:val="00A05A87"/>
    <w:rsid w:val="00A0655B"/>
    <w:rsid w:val="00A14B94"/>
    <w:rsid w:val="00A16017"/>
    <w:rsid w:val="00A20522"/>
    <w:rsid w:val="00A2216A"/>
    <w:rsid w:val="00A23FA7"/>
    <w:rsid w:val="00A256E2"/>
    <w:rsid w:val="00A35A78"/>
    <w:rsid w:val="00A36B58"/>
    <w:rsid w:val="00A374BB"/>
    <w:rsid w:val="00A377D1"/>
    <w:rsid w:val="00A37EAA"/>
    <w:rsid w:val="00A44C90"/>
    <w:rsid w:val="00A47E0F"/>
    <w:rsid w:val="00A51232"/>
    <w:rsid w:val="00A57FC4"/>
    <w:rsid w:val="00A61688"/>
    <w:rsid w:val="00A76E38"/>
    <w:rsid w:val="00A862A4"/>
    <w:rsid w:val="00A92314"/>
    <w:rsid w:val="00AA2645"/>
    <w:rsid w:val="00AA2F94"/>
    <w:rsid w:val="00AA3F4F"/>
    <w:rsid w:val="00AA5235"/>
    <w:rsid w:val="00AA65C6"/>
    <w:rsid w:val="00AB6888"/>
    <w:rsid w:val="00AC4574"/>
    <w:rsid w:val="00AC52BC"/>
    <w:rsid w:val="00AD7FF4"/>
    <w:rsid w:val="00AE1B77"/>
    <w:rsid w:val="00AE6333"/>
    <w:rsid w:val="00AF0319"/>
    <w:rsid w:val="00AF7FB2"/>
    <w:rsid w:val="00B00971"/>
    <w:rsid w:val="00B31E6E"/>
    <w:rsid w:val="00B37B08"/>
    <w:rsid w:val="00B47739"/>
    <w:rsid w:val="00B54481"/>
    <w:rsid w:val="00B55324"/>
    <w:rsid w:val="00B65072"/>
    <w:rsid w:val="00B65539"/>
    <w:rsid w:val="00B73547"/>
    <w:rsid w:val="00B76E8C"/>
    <w:rsid w:val="00B80244"/>
    <w:rsid w:val="00B871A3"/>
    <w:rsid w:val="00B91E32"/>
    <w:rsid w:val="00B966B1"/>
    <w:rsid w:val="00BA067E"/>
    <w:rsid w:val="00BB2B6E"/>
    <w:rsid w:val="00BB5222"/>
    <w:rsid w:val="00BB530D"/>
    <w:rsid w:val="00BC1EB5"/>
    <w:rsid w:val="00BC54D2"/>
    <w:rsid w:val="00BC721B"/>
    <w:rsid w:val="00BC78EE"/>
    <w:rsid w:val="00BD428B"/>
    <w:rsid w:val="00BD4B24"/>
    <w:rsid w:val="00BD6363"/>
    <w:rsid w:val="00BE1434"/>
    <w:rsid w:val="00BE38D1"/>
    <w:rsid w:val="00C01A98"/>
    <w:rsid w:val="00C0453F"/>
    <w:rsid w:val="00C073D3"/>
    <w:rsid w:val="00C1238B"/>
    <w:rsid w:val="00C1536F"/>
    <w:rsid w:val="00C175DD"/>
    <w:rsid w:val="00C17B93"/>
    <w:rsid w:val="00C2445A"/>
    <w:rsid w:val="00C2493C"/>
    <w:rsid w:val="00C26C8A"/>
    <w:rsid w:val="00C33B0C"/>
    <w:rsid w:val="00C410C7"/>
    <w:rsid w:val="00C474FF"/>
    <w:rsid w:val="00C558E7"/>
    <w:rsid w:val="00C60873"/>
    <w:rsid w:val="00C6325A"/>
    <w:rsid w:val="00C658EE"/>
    <w:rsid w:val="00C70134"/>
    <w:rsid w:val="00C70D6A"/>
    <w:rsid w:val="00C83A89"/>
    <w:rsid w:val="00C83E9F"/>
    <w:rsid w:val="00C92196"/>
    <w:rsid w:val="00CA1245"/>
    <w:rsid w:val="00CA1C7E"/>
    <w:rsid w:val="00CA7DEF"/>
    <w:rsid w:val="00CB521E"/>
    <w:rsid w:val="00CC1C6D"/>
    <w:rsid w:val="00CC7467"/>
    <w:rsid w:val="00CD5E04"/>
    <w:rsid w:val="00CE0267"/>
    <w:rsid w:val="00CF07A5"/>
    <w:rsid w:val="00CF4C74"/>
    <w:rsid w:val="00CF5D5A"/>
    <w:rsid w:val="00CF7B30"/>
    <w:rsid w:val="00D02FF7"/>
    <w:rsid w:val="00D16916"/>
    <w:rsid w:val="00D22432"/>
    <w:rsid w:val="00D3057C"/>
    <w:rsid w:val="00D325A3"/>
    <w:rsid w:val="00D34149"/>
    <w:rsid w:val="00D378B8"/>
    <w:rsid w:val="00D44DB9"/>
    <w:rsid w:val="00D45351"/>
    <w:rsid w:val="00D514EA"/>
    <w:rsid w:val="00D52558"/>
    <w:rsid w:val="00D542F1"/>
    <w:rsid w:val="00D55D92"/>
    <w:rsid w:val="00D6363D"/>
    <w:rsid w:val="00D66ABC"/>
    <w:rsid w:val="00D707DE"/>
    <w:rsid w:val="00D710A1"/>
    <w:rsid w:val="00D75146"/>
    <w:rsid w:val="00D9531C"/>
    <w:rsid w:val="00D96CF6"/>
    <w:rsid w:val="00DA0396"/>
    <w:rsid w:val="00DC3F1F"/>
    <w:rsid w:val="00DC57C3"/>
    <w:rsid w:val="00DD1199"/>
    <w:rsid w:val="00DD5405"/>
    <w:rsid w:val="00DE1D38"/>
    <w:rsid w:val="00DF444A"/>
    <w:rsid w:val="00E01AC6"/>
    <w:rsid w:val="00E049C7"/>
    <w:rsid w:val="00E128A5"/>
    <w:rsid w:val="00E140A8"/>
    <w:rsid w:val="00E14F7A"/>
    <w:rsid w:val="00E212FE"/>
    <w:rsid w:val="00E23DD6"/>
    <w:rsid w:val="00E319EE"/>
    <w:rsid w:val="00E35A76"/>
    <w:rsid w:val="00E40846"/>
    <w:rsid w:val="00E40EA9"/>
    <w:rsid w:val="00E43B3B"/>
    <w:rsid w:val="00E53EC1"/>
    <w:rsid w:val="00E55337"/>
    <w:rsid w:val="00E55EDE"/>
    <w:rsid w:val="00E570E4"/>
    <w:rsid w:val="00E64697"/>
    <w:rsid w:val="00E7204C"/>
    <w:rsid w:val="00E7727B"/>
    <w:rsid w:val="00E91685"/>
    <w:rsid w:val="00E975E8"/>
    <w:rsid w:val="00E9795E"/>
    <w:rsid w:val="00EA119A"/>
    <w:rsid w:val="00EA3082"/>
    <w:rsid w:val="00EA6858"/>
    <w:rsid w:val="00EB0220"/>
    <w:rsid w:val="00EB1F6F"/>
    <w:rsid w:val="00EB73A6"/>
    <w:rsid w:val="00EC26C7"/>
    <w:rsid w:val="00EC3029"/>
    <w:rsid w:val="00EC4E14"/>
    <w:rsid w:val="00ED7C15"/>
    <w:rsid w:val="00EE3D59"/>
    <w:rsid w:val="00EE5C38"/>
    <w:rsid w:val="00EF14FC"/>
    <w:rsid w:val="00EF4F6A"/>
    <w:rsid w:val="00EF71B5"/>
    <w:rsid w:val="00F02D5C"/>
    <w:rsid w:val="00F04907"/>
    <w:rsid w:val="00F06E05"/>
    <w:rsid w:val="00F078AF"/>
    <w:rsid w:val="00F13310"/>
    <w:rsid w:val="00F16C82"/>
    <w:rsid w:val="00F214AA"/>
    <w:rsid w:val="00F21E79"/>
    <w:rsid w:val="00F24539"/>
    <w:rsid w:val="00F30A83"/>
    <w:rsid w:val="00F4112D"/>
    <w:rsid w:val="00F44FE2"/>
    <w:rsid w:val="00F46BC2"/>
    <w:rsid w:val="00F566D9"/>
    <w:rsid w:val="00F57CEB"/>
    <w:rsid w:val="00F603FB"/>
    <w:rsid w:val="00F60D8A"/>
    <w:rsid w:val="00F664D0"/>
    <w:rsid w:val="00F8503F"/>
    <w:rsid w:val="00F8640B"/>
    <w:rsid w:val="00F87414"/>
    <w:rsid w:val="00F922A3"/>
    <w:rsid w:val="00FA0C55"/>
    <w:rsid w:val="00FA51D0"/>
    <w:rsid w:val="00FB6B21"/>
    <w:rsid w:val="00FC1644"/>
    <w:rsid w:val="00FC4E50"/>
    <w:rsid w:val="00FC5926"/>
    <w:rsid w:val="00FD42EB"/>
    <w:rsid w:val="00FE2900"/>
    <w:rsid w:val="00FE2993"/>
    <w:rsid w:val="00FE2F09"/>
    <w:rsid w:val="00FE68A0"/>
    <w:rsid w:val="00FF2F48"/>
    <w:rsid w:val="00FF39E7"/>
    <w:rsid w:val="00FF6E19"/>
  </w:rsids>
  <m:mathPr>
    <m:mathFont m:val="Cambria Math"/>
    <m:brkBin m:val="before"/>
    <m:brkBinSub m:val="--"/>
    <m:smallFrac/>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42"/>
    <o:shapelayout v:ext="edit">
      <o:idmap v:ext="edit" data="2"/>
      <o:rules v:ext="edit">
        <o:r id="V:Rule2" type="callout" idref="#_x0000_s2069"/>
        <o:r id="V:Rule6" type="callout" idref="#_x0000_s2059"/>
        <o:r id="V:Rule7" type="callout" idref="#_x0000_s2057"/>
        <o:r id="V:Rule11" type="callout" idref="#_x0000_s2058"/>
        <o:r id="V:Rule12" type="callout" idref="#_x0000_s2055"/>
        <o:r id="V:Rule13" type="connector" idref="#_x0000_s2068"/>
        <o:r id="V:Rule14" type="connector" idref="#_x0000_s2062"/>
        <o:r id="V:Rule15" type="connector" idref="#_x0000_s2066"/>
        <o:r id="V:Rule16" type="connector" idref="#_x0000_s2065"/>
        <o:r id="V:Rule17" type="connector" idref="#_x0000_s2063"/>
        <o:r id="V:Rule18" type="connector" idref="#_x0000_s2070"/>
        <o:r id="V:Rule19" type="connector" idref="#_x0000_s206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0F97"/>
    <w:rPr>
      <w:rFonts w:ascii="Calibri" w:eastAsia="Calibri" w:hAnsi="Calibri" w:cs="Times New Roman"/>
    </w:rPr>
  </w:style>
  <w:style w:type="paragraph" w:styleId="Heading1">
    <w:name w:val="heading 1"/>
    <w:basedOn w:val="Normal"/>
    <w:next w:val="Normal"/>
    <w:link w:val="Heading1Char"/>
    <w:uiPriority w:val="9"/>
    <w:qFormat/>
    <w:rsid w:val="00CD5E04"/>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20F97"/>
    <w:pPr>
      <w:ind w:left="720"/>
      <w:contextualSpacing/>
    </w:pPr>
  </w:style>
  <w:style w:type="paragraph" w:styleId="Footer">
    <w:name w:val="footer"/>
    <w:basedOn w:val="Normal"/>
    <w:link w:val="FooterChar"/>
    <w:uiPriority w:val="99"/>
    <w:unhideWhenUsed/>
    <w:rsid w:val="00820F97"/>
    <w:pPr>
      <w:tabs>
        <w:tab w:val="center" w:pos="4513"/>
        <w:tab w:val="right" w:pos="9026"/>
      </w:tabs>
      <w:spacing w:after="0" w:line="240" w:lineRule="auto"/>
    </w:pPr>
  </w:style>
  <w:style w:type="character" w:customStyle="1" w:styleId="FooterChar">
    <w:name w:val="Footer Char"/>
    <w:basedOn w:val="DefaultParagraphFont"/>
    <w:link w:val="Footer"/>
    <w:uiPriority w:val="99"/>
    <w:rsid w:val="00820F97"/>
    <w:rPr>
      <w:rFonts w:ascii="Calibri" w:eastAsia="Calibri" w:hAnsi="Calibri" w:cs="Times New Roman"/>
    </w:rPr>
  </w:style>
  <w:style w:type="paragraph" w:styleId="BodyText">
    <w:name w:val="Body Text"/>
    <w:basedOn w:val="Normal"/>
    <w:link w:val="BodyTextChar"/>
    <w:rsid w:val="00102FA8"/>
    <w:pPr>
      <w:spacing w:before="120" w:after="120" w:line="240" w:lineRule="auto"/>
      <w:jc w:val="both"/>
    </w:pPr>
    <w:rPr>
      <w:rFonts w:ascii="Times New Roman" w:eastAsia="Times New Roman" w:hAnsi="Times New Roman"/>
      <w:sz w:val="18"/>
      <w:szCs w:val="24"/>
      <w:lang w:val="en-US" w:eastAsia="tr-TR"/>
    </w:rPr>
  </w:style>
  <w:style w:type="character" w:customStyle="1" w:styleId="BodyTextChar">
    <w:name w:val="Body Text Char"/>
    <w:basedOn w:val="DefaultParagraphFont"/>
    <w:link w:val="BodyText"/>
    <w:rsid w:val="00102FA8"/>
    <w:rPr>
      <w:rFonts w:ascii="Times New Roman" w:eastAsia="Times New Roman" w:hAnsi="Times New Roman" w:cs="Times New Roman"/>
      <w:sz w:val="18"/>
      <w:szCs w:val="24"/>
      <w:lang w:val="en-US" w:eastAsia="tr-TR"/>
    </w:rPr>
  </w:style>
  <w:style w:type="paragraph" w:styleId="Header">
    <w:name w:val="header"/>
    <w:basedOn w:val="Normal"/>
    <w:link w:val="HeaderChar"/>
    <w:uiPriority w:val="99"/>
    <w:unhideWhenUsed/>
    <w:rsid w:val="00AA65C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A65C6"/>
    <w:rPr>
      <w:rFonts w:ascii="Calibri" w:eastAsia="Calibri" w:hAnsi="Calibri" w:cs="Times New Roman"/>
    </w:rPr>
  </w:style>
  <w:style w:type="table" w:styleId="TableGrid">
    <w:name w:val="Table Grid"/>
    <w:basedOn w:val="TableNormal"/>
    <w:uiPriority w:val="59"/>
    <w:rsid w:val="005A795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212F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212FE"/>
    <w:rPr>
      <w:rFonts w:ascii="Tahoma" w:eastAsia="Calibri" w:hAnsi="Tahoma" w:cs="Tahoma"/>
      <w:sz w:val="16"/>
      <w:szCs w:val="16"/>
    </w:rPr>
  </w:style>
  <w:style w:type="paragraph" w:styleId="EndnoteText">
    <w:name w:val="endnote text"/>
    <w:basedOn w:val="Normal"/>
    <w:link w:val="EndnoteTextChar"/>
    <w:uiPriority w:val="99"/>
    <w:semiHidden/>
    <w:unhideWhenUsed/>
    <w:rsid w:val="004239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42399F"/>
    <w:rPr>
      <w:rFonts w:ascii="Calibri" w:eastAsia="Calibri" w:hAnsi="Calibri" w:cs="Times New Roman"/>
      <w:sz w:val="20"/>
      <w:szCs w:val="20"/>
    </w:rPr>
  </w:style>
  <w:style w:type="character" w:styleId="EndnoteReference">
    <w:name w:val="endnote reference"/>
    <w:basedOn w:val="DefaultParagraphFont"/>
    <w:uiPriority w:val="99"/>
    <w:semiHidden/>
    <w:unhideWhenUsed/>
    <w:rsid w:val="0042399F"/>
    <w:rPr>
      <w:vertAlign w:val="superscript"/>
    </w:rPr>
  </w:style>
  <w:style w:type="character" w:customStyle="1" w:styleId="Heading1Char">
    <w:name w:val="Heading 1 Char"/>
    <w:basedOn w:val="DefaultParagraphFont"/>
    <w:link w:val="Heading1"/>
    <w:uiPriority w:val="9"/>
    <w:rsid w:val="00CD5E04"/>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CD5E04"/>
  </w:style>
  <w:style w:type="paragraph" w:styleId="Caption">
    <w:name w:val="caption"/>
    <w:basedOn w:val="Normal"/>
    <w:next w:val="Normal"/>
    <w:uiPriority w:val="35"/>
    <w:unhideWhenUsed/>
    <w:qFormat/>
    <w:rsid w:val="00C6325A"/>
    <w:pPr>
      <w:spacing w:line="240" w:lineRule="auto"/>
    </w:pPr>
    <w:rPr>
      <w:b/>
      <w:bCs/>
      <w:color w:val="4F81BD" w:themeColor="accent1"/>
      <w:sz w:val="18"/>
      <w:szCs w:val="18"/>
    </w:rPr>
  </w:style>
  <w:style w:type="character" w:styleId="Hyperlink">
    <w:name w:val="Hyperlink"/>
    <w:basedOn w:val="DefaultParagraphFont"/>
    <w:uiPriority w:val="99"/>
    <w:unhideWhenUsed/>
    <w:rsid w:val="00DE1D38"/>
    <w:rPr>
      <w:color w:val="0000FF"/>
      <w:u w:val="single"/>
    </w:rPr>
  </w:style>
</w:styles>
</file>

<file path=word/webSettings.xml><?xml version="1.0" encoding="utf-8"?>
<w:webSettings xmlns:r="http://schemas.openxmlformats.org/officeDocument/2006/relationships" xmlns:w="http://schemas.openxmlformats.org/wordprocessingml/2006/main">
  <w:divs>
    <w:div w:id="4406993">
      <w:bodyDiv w:val="1"/>
      <w:marLeft w:val="0"/>
      <w:marRight w:val="0"/>
      <w:marTop w:val="0"/>
      <w:marBottom w:val="0"/>
      <w:divBdr>
        <w:top w:val="none" w:sz="0" w:space="0" w:color="auto"/>
        <w:left w:val="none" w:sz="0" w:space="0" w:color="auto"/>
        <w:bottom w:val="none" w:sz="0" w:space="0" w:color="auto"/>
        <w:right w:val="none" w:sz="0" w:space="0" w:color="auto"/>
      </w:divBdr>
    </w:div>
    <w:div w:id="242375659">
      <w:bodyDiv w:val="1"/>
      <w:marLeft w:val="0"/>
      <w:marRight w:val="0"/>
      <w:marTop w:val="0"/>
      <w:marBottom w:val="0"/>
      <w:divBdr>
        <w:top w:val="none" w:sz="0" w:space="0" w:color="auto"/>
        <w:left w:val="none" w:sz="0" w:space="0" w:color="auto"/>
        <w:bottom w:val="none" w:sz="0" w:space="0" w:color="auto"/>
        <w:right w:val="none" w:sz="0" w:space="0" w:color="auto"/>
      </w:divBdr>
      <w:divsChild>
        <w:div w:id="1879972318">
          <w:marLeft w:val="547"/>
          <w:marRight w:val="0"/>
          <w:marTop w:val="0"/>
          <w:marBottom w:val="0"/>
          <w:divBdr>
            <w:top w:val="none" w:sz="0" w:space="0" w:color="auto"/>
            <w:left w:val="none" w:sz="0" w:space="0" w:color="auto"/>
            <w:bottom w:val="none" w:sz="0" w:space="0" w:color="auto"/>
            <w:right w:val="none" w:sz="0" w:space="0" w:color="auto"/>
          </w:divBdr>
        </w:div>
        <w:div w:id="1544949167">
          <w:marLeft w:val="547"/>
          <w:marRight w:val="0"/>
          <w:marTop w:val="0"/>
          <w:marBottom w:val="0"/>
          <w:divBdr>
            <w:top w:val="none" w:sz="0" w:space="0" w:color="auto"/>
            <w:left w:val="none" w:sz="0" w:space="0" w:color="auto"/>
            <w:bottom w:val="none" w:sz="0" w:space="0" w:color="auto"/>
            <w:right w:val="none" w:sz="0" w:space="0" w:color="auto"/>
          </w:divBdr>
        </w:div>
      </w:divsChild>
    </w:div>
    <w:div w:id="428238481">
      <w:bodyDiv w:val="1"/>
      <w:marLeft w:val="0"/>
      <w:marRight w:val="0"/>
      <w:marTop w:val="0"/>
      <w:marBottom w:val="0"/>
      <w:divBdr>
        <w:top w:val="none" w:sz="0" w:space="0" w:color="auto"/>
        <w:left w:val="none" w:sz="0" w:space="0" w:color="auto"/>
        <w:bottom w:val="none" w:sz="0" w:space="0" w:color="auto"/>
        <w:right w:val="none" w:sz="0" w:space="0" w:color="auto"/>
      </w:divBdr>
      <w:divsChild>
        <w:div w:id="887453727">
          <w:marLeft w:val="360"/>
          <w:marRight w:val="0"/>
          <w:marTop w:val="0"/>
          <w:marBottom w:val="0"/>
          <w:divBdr>
            <w:top w:val="none" w:sz="0" w:space="0" w:color="auto"/>
            <w:left w:val="none" w:sz="0" w:space="0" w:color="auto"/>
            <w:bottom w:val="none" w:sz="0" w:space="0" w:color="auto"/>
            <w:right w:val="none" w:sz="0" w:space="0" w:color="auto"/>
          </w:divBdr>
        </w:div>
        <w:div w:id="109739386">
          <w:marLeft w:val="360"/>
          <w:marRight w:val="0"/>
          <w:marTop w:val="0"/>
          <w:marBottom w:val="0"/>
          <w:divBdr>
            <w:top w:val="none" w:sz="0" w:space="0" w:color="auto"/>
            <w:left w:val="none" w:sz="0" w:space="0" w:color="auto"/>
            <w:bottom w:val="none" w:sz="0" w:space="0" w:color="auto"/>
            <w:right w:val="none" w:sz="0" w:space="0" w:color="auto"/>
          </w:divBdr>
        </w:div>
        <w:div w:id="821198676">
          <w:marLeft w:val="360"/>
          <w:marRight w:val="0"/>
          <w:marTop w:val="0"/>
          <w:marBottom w:val="0"/>
          <w:divBdr>
            <w:top w:val="none" w:sz="0" w:space="0" w:color="auto"/>
            <w:left w:val="none" w:sz="0" w:space="0" w:color="auto"/>
            <w:bottom w:val="none" w:sz="0" w:space="0" w:color="auto"/>
            <w:right w:val="none" w:sz="0" w:space="0" w:color="auto"/>
          </w:divBdr>
        </w:div>
        <w:div w:id="751437916">
          <w:marLeft w:val="360"/>
          <w:marRight w:val="0"/>
          <w:marTop w:val="0"/>
          <w:marBottom w:val="0"/>
          <w:divBdr>
            <w:top w:val="none" w:sz="0" w:space="0" w:color="auto"/>
            <w:left w:val="none" w:sz="0" w:space="0" w:color="auto"/>
            <w:bottom w:val="none" w:sz="0" w:space="0" w:color="auto"/>
            <w:right w:val="none" w:sz="0" w:space="0" w:color="auto"/>
          </w:divBdr>
        </w:div>
        <w:div w:id="1000501120">
          <w:marLeft w:val="360"/>
          <w:marRight w:val="0"/>
          <w:marTop w:val="0"/>
          <w:marBottom w:val="0"/>
          <w:divBdr>
            <w:top w:val="none" w:sz="0" w:space="0" w:color="auto"/>
            <w:left w:val="none" w:sz="0" w:space="0" w:color="auto"/>
            <w:bottom w:val="none" w:sz="0" w:space="0" w:color="auto"/>
            <w:right w:val="none" w:sz="0" w:space="0" w:color="auto"/>
          </w:divBdr>
        </w:div>
        <w:div w:id="1954173067">
          <w:marLeft w:val="360"/>
          <w:marRight w:val="14"/>
          <w:marTop w:val="0"/>
          <w:marBottom w:val="0"/>
          <w:divBdr>
            <w:top w:val="none" w:sz="0" w:space="0" w:color="auto"/>
            <w:left w:val="none" w:sz="0" w:space="0" w:color="auto"/>
            <w:bottom w:val="none" w:sz="0" w:space="0" w:color="auto"/>
            <w:right w:val="none" w:sz="0" w:space="0" w:color="auto"/>
          </w:divBdr>
        </w:div>
        <w:div w:id="707224407">
          <w:marLeft w:val="360"/>
          <w:marRight w:val="0"/>
          <w:marTop w:val="0"/>
          <w:marBottom w:val="0"/>
          <w:divBdr>
            <w:top w:val="none" w:sz="0" w:space="0" w:color="auto"/>
            <w:left w:val="none" w:sz="0" w:space="0" w:color="auto"/>
            <w:bottom w:val="none" w:sz="0" w:space="0" w:color="auto"/>
            <w:right w:val="none" w:sz="0" w:space="0" w:color="auto"/>
          </w:divBdr>
        </w:div>
      </w:divsChild>
    </w:div>
    <w:div w:id="475148653">
      <w:bodyDiv w:val="1"/>
      <w:marLeft w:val="0"/>
      <w:marRight w:val="0"/>
      <w:marTop w:val="0"/>
      <w:marBottom w:val="0"/>
      <w:divBdr>
        <w:top w:val="none" w:sz="0" w:space="0" w:color="auto"/>
        <w:left w:val="none" w:sz="0" w:space="0" w:color="auto"/>
        <w:bottom w:val="none" w:sz="0" w:space="0" w:color="auto"/>
        <w:right w:val="none" w:sz="0" w:space="0" w:color="auto"/>
      </w:divBdr>
    </w:div>
    <w:div w:id="912084235">
      <w:bodyDiv w:val="1"/>
      <w:marLeft w:val="0"/>
      <w:marRight w:val="0"/>
      <w:marTop w:val="0"/>
      <w:marBottom w:val="0"/>
      <w:divBdr>
        <w:top w:val="none" w:sz="0" w:space="0" w:color="auto"/>
        <w:left w:val="none" w:sz="0" w:space="0" w:color="auto"/>
        <w:bottom w:val="none" w:sz="0" w:space="0" w:color="auto"/>
        <w:right w:val="none" w:sz="0" w:space="0" w:color="auto"/>
      </w:divBdr>
      <w:divsChild>
        <w:div w:id="1795439208">
          <w:marLeft w:val="1440"/>
          <w:marRight w:val="0"/>
          <w:marTop w:val="200"/>
          <w:marBottom w:val="0"/>
          <w:divBdr>
            <w:top w:val="none" w:sz="0" w:space="0" w:color="auto"/>
            <w:left w:val="none" w:sz="0" w:space="0" w:color="auto"/>
            <w:bottom w:val="none" w:sz="0" w:space="0" w:color="auto"/>
            <w:right w:val="none" w:sz="0" w:space="0" w:color="auto"/>
          </w:divBdr>
        </w:div>
        <w:div w:id="76833245">
          <w:marLeft w:val="1440"/>
          <w:marRight w:val="0"/>
          <w:marTop w:val="200"/>
          <w:marBottom w:val="0"/>
          <w:divBdr>
            <w:top w:val="none" w:sz="0" w:space="0" w:color="auto"/>
            <w:left w:val="none" w:sz="0" w:space="0" w:color="auto"/>
            <w:bottom w:val="none" w:sz="0" w:space="0" w:color="auto"/>
            <w:right w:val="none" w:sz="0" w:space="0" w:color="auto"/>
          </w:divBdr>
        </w:div>
        <w:div w:id="1633830225">
          <w:marLeft w:val="1440"/>
          <w:marRight w:val="0"/>
          <w:marTop w:val="200"/>
          <w:marBottom w:val="0"/>
          <w:divBdr>
            <w:top w:val="none" w:sz="0" w:space="0" w:color="auto"/>
            <w:left w:val="none" w:sz="0" w:space="0" w:color="auto"/>
            <w:bottom w:val="none" w:sz="0" w:space="0" w:color="auto"/>
            <w:right w:val="none" w:sz="0" w:space="0" w:color="auto"/>
          </w:divBdr>
        </w:div>
        <w:div w:id="1579705735">
          <w:marLeft w:val="1440"/>
          <w:marRight w:val="0"/>
          <w:marTop w:val="200"/>
          <w:marBottom w:val="0"/>
          <w:divBdr>
            <w:top w:val="none" w:sz="0" w:space="0" w:color="auto"/>
            <w:left w:val="none" w:sz="0" w:space="0" w:color="auto"/>
            <w:bottom w:val="none" w:sz="0" w:space="0" w:color="auto"/>
            <w:right w:val="none" w:sz="0" w:space="0" w:color="auto"/>
          </w:divBdr>
        </w:div>
        <w:div w:id="1626231071">
          <w:marLeft w:val="1440"/>
          <w:marRight w:val="0"/>
          <w:marTop w:val="200"/>
          <w:marBottom w:val="0"/>
          <w:divBdr>
            <w:top w:val="none" w:sz="0" w:space="0" w:color="auto"/>
            <w:left w:val="none" w:sz="0" w:space="0" w:color="auto"/>
            <w:bottom w:val="none" w:sz="0" w:space="0" w:color="auto"/>
            <w:right w:val="none" w:sz="0" w:space="0" w:color="auto"/>
          </w:divBdr>
        </w:div>
      </w:divsChild>
    </w:div>
    <w:div w:id="1434129672">
      <w:bodyDiv w:val="1"/>
      <w:marLeft w:val="0"/>
      <w:marRight w:val="0"/>
      <w:marTop w:val="0"/>
      <w:marBottom w:val="0"/>
      <w:divBdr>
        <w:top w:val="none" w:sz="0" w:space="0" w:color="auto"/>
        <w:left w:val="none" w:sz="0" w:space="0" w:color="auto"/>
        <w:bottom w:val="none" w:sz="0" w:space="0" w:color="auto"/>
        <w:right w:val="none" w:sz="0" w:space="0" w:color="auto"/>
      </w:divBdr>
      <w:divsChild>
        <w:div w:id="410346328">
          <w:marLeft w:val="547"/>
          <w:marRight w:val="0"/>
          <w:marTop w:val="0"/>
          <w:marBottom w:val="0"/>
          <w:divBdr>
            <w:top w:val="none" w:sz="0" w:space="0" w:color="auto"/>
            <w:left w:val="none" w:sz="0" w:space="0" w:color="auto"/>
            <w:bottom w:val="none" w:sz="0" w:space="0" w:color="auto"/>
            <w:right w:val="none" w:sz="0" w:space="0" w:color="auto"/>
          </w:divBdr>
        </w:div>
      </w:divsChild>
    </w:div>
    <w:div w:id="1588226684">
      <w:bodyDiv w:val="1"/>
      <w:marLeft w:val="0"/>
      <w:marRight w:val="0"/>
      <w:marTop w:val="0"/>
      <w:marBottom w:val="0"/>
      <w:divBdr>
        <w:top w:val="none" w:sz="0" w:space="0" w:color="auto"/>
        <w:left w:val="none" w:sz="0" w:space="0" w:color="auto"/>
        <w:bottom w:val="none" w:sz="0" w:space="0" w:color="auto"/>
        <w:right w:val="none" w:sz="0" w:space="0" w:color="auto"/>
      </w:divBdr>
      <w:divsChild>
        <w:div w:id="1430003805">
          <w:marLeft w:val="547"/>
          <w:marRight w:val="0"/>
          <w:marTop w:val="0"/>
          <w:marBottom w:val="0"/>
          <w:divBdr>
            <w:top w:val="none" w:sz="0" w:space="0" w:color="auto"/>
            <w:left w:val="none" w:sz="0" w:space="0" w:color="auto"/>
            <w:bottom w:val="none" w:sz="0" w:space="0" w:color="auto"/>
            <w:right w:val="none" w:sz="0" w:space="0" w:color="auto"/>
          </w:divBdr>
        </w:div>
        <w:div w:id="1461218220">
          <w:marLeft w:val="547"/>
          <w:marRight w:val="0"/>
          <w:marTop w:val="0"/>
          <w:marBottom w:val="0"/>
          <w:divBdr>
            <w:top w:val="none" w:sz="0" w:space="0" w:color="auto"/>
            <w:left w:val="none" w:sz="0" w:space="0" w:color="auto"/>
            <w:bottom w:val="none" w:sz="0" w:space="0" w:color="auto"/>
            <w:right w:val="none" w:sz="0" w:space="0" w:color="auto"/>
          </w:divBdr>
        </w:div>
      </w:divsChild>
    </w:div>
    <w:div w:id="1588339698">
      <w:bodyDiv w:val="1"/>
      <w:marLeft w:val="0"/>
      <w:marRight w:val="0"/>
      <w:marTop w:val="0"/>
      <w:marBottom w:val="0"/>
      <w:divBdr>
        <w:top w:val="none" w:sz="0" w:space="0" w:color="auto"/>
        <w:left w:val="none" w:sz="0" w:space="0" w:color="auto"/>
        <w:bottom w:val="none" w:sz="0" w:space="0" w:color="auto"/>
        <w:right w:val="none" w:sz="0" w:space="0" w:color="auto"/>
      </w:divBdr>
    </w:div>
    <w:div w:id="1745057756">
      <w:bodyDiv w:val="1"/>
      <w:marLeft w:val="0"/>
      <w:marRight w:val="0"/>
      <w:marTop w:val="0"/>
      <w:marBottom w:val="0"/>
      <w:divBdr>
        <w:top w:val="none" w:sz="0" w:space="0" w:color="auto"/>
        <w:left w:val="none" w:sz="0" w:space="0" w:color="auto"/>
        <w:bottom w:val="none" w:sz="0" w:space="0" w:color="auto"/>
        <w:right w:val="none" w:sz="0" w:space="0" w:color="auto"/>
      </w:divBdr>
    </w:div>
    <w:div w:id="1761217104">
      <w:bodyDiv w:val="1"/>
      <w:marLeft w:val="0"/>
      <w:marRight w:val="0"/>
      <w:marTop w:val="0"/>
      <w:marBottom w:val="0"/>
      <w:divBdr>
        <w:top w:val="none" w:sz="0" w:space="0" w:color="auto"/>
        <w:left w:val="none" w:sz="0" w:space="0" w:color="auto"/>
        <w:bottom w:val="none" w:sz="0" w:space="0" w:color="auto"/>
        <w:right w:val="none" w:sz="0" w:space="0" w:color="auto"/>
      </w:divBdr>
    </w:div>
    <w:div w:id="1762025046">
      <w:bodyDiv w:val="1"/>
      <w:marLeft w:val="0"/>
      <w:marRight w:val="0"/>
      <w:marTop w:val="0"/>
      <w:marBottom w:val="0"/>
      <w:divBdr>
        <w:top w:val="none" w:sz="0" w:space="0" w:color="auto"/>
        <w:left w:val="none" w:sz="0" w:space="0" w:color="auto"/>
        <w:bottom w:val="none" w:sz="0" w:space="0" w:color="auto"/>
        <w:right w:val="none" w:sz="0" w:space="0" w:color="auto"/>
      </w:divBdr>
      <w:divsChild>
        <w:div w:id="1431779885">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jpeg"/><Relationship Id="rId18" Type="http://schemas.openxmlformats.org/officeDocument/2006/relationships/image" Target="media/image7.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diagramData" Target="diagrams/data1.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chart" Target="charts/chart2.xm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chart" Target="charts/chart1.xml"/><Relationship Id="rId20" Type="http://schemas.openxmlformats.org/officeDocument/2006/relationships/image" Target="media/image9.jpeg"/><Relationship Id="rId29" Type="http://schemas.microsoft.com/office/2007/relationships/diagramDrawing" Target="diagrams/drawing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implypsychology.org/maslow.html" TargetMode="External"/><Relationship Id="rId24" Type="http://schemas.openxmlformats.org/officeDocument/2006/relationships/diagramColors" Target="diagrams/colors1.xml"/><Relationship Id="rId5" Type="http://schemas.openxmlformats.org/officeDocument/2006/relationships/webSettings" Target="webSettings.xml"/><Relationship Id="rId15" Type="http://schemas.openxmlformats.org/officeDocument/2006/relationships/hyperlink" Target="https://en.wikipedia.org/wiki/Climate_of_Kolkata" TargetMode="External"/><Relationship Id="rId23" Type="http://schemas.openxmlformats.org/officeDocument/2006/relationships/diagramQuickStyle" Target="diagrams/quickStyle1.xml"/><Relationship Id="rId28"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jpeg"/><Relationship Id="rId22" Type="http://schemas.openxmlformats.org/officeDocument/2006/relationships/diagramLayout" Target="diagrams/layout1.xml"/><Relationship Id="rId27" Type="http://schemas.openxmlformats.org/officeDocument/2006/relationships/fontTable" Target="fontTable.xml"/></Relationships>
</file>

<file path=word/charts/_rels/chart1.xml.rels><?xml version="1.0" encoding="UTF-8" standalone="yes"?>
<Relationships xmlns="http://schemas.openxmlformats.org/package/2006/relationships"><Relationship Id="rId2" Type="http://schemas.openxmlformats.org/officeDocument/2006/relationships/chartUserShapes" Target="../drawings/drawing1.xml"/><Relationship Id="rId1" Type="http://schemas.openxmlformats.org/officeDocument/2006/relationships/oleObject" Target="file:///H:\PhD%20files\PhD%20Thermal%20Data%20Sorted%20Bldg-wise\Kolkata%20Met%20Data\Temperature%20Data%20-%20Summer%20only%20NEW.xlsx" TargetMode="External"/></Relationships>
</file>

<file path=word/charts/_rels/chart2.xml.rels><?xml version="1.0" encoding="UTF-8" standalone="yes"?>
<Relationships xmlns="http://schemas.openxmlformats.org/package/2006/relationships"><Relationship Id="rId2" Type="http://schemas.openxmlformats.org/officeDocument/2006/relationships/chartUserShapes" Target="../drawings/drawing2.xml"/><Relationship Id="rId1" Type="http://schemas.openxmlformats.org/officeDocument/2006/relationships/oleObject" Target="file:///H:\PhD%20files\PhD%20Thermal%20Data%20Sorted%20Bldg-wise\Kolkata%20Met%20Data\Temperature%20Data%20-%20Summer%20only%20NEW.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en-US"/>
  <c:chart>
    <c:plotArea>
      <c:layout>
        <c:manualLayout>
          <c:layoutTarget val="inner"/>
          <c:xMode val="edge"/>
          <c:yMode val="edge"/>
          <c:x val="0.12010361942908068"/>
          <c:y val="2.3165563908366188E-2"/>
          <c:w val="0.86488189299601803"/>
          <c:h val="0.83445789845454665"/>
        </c:manualLayout>
      </c:layout>
      <c:barChart>
        <c:barDir val="col"/>
        <c:grouping val="clustered"/>
        <c:ser>
          <c:idx val="0"/>
          <c:order val="0"/>
          <c:tx>
            <c:strRef>
              <c:f>'Temp &amp; RH monthly avg_SORTE (2'!$H$3</c:f>
              <c:strCache>
                <c:ptCount val="1"/>
                <c:pt idx="0">
                  <c:v>April</c:v>
                </c:pt>
              </c:strCache>
            </c:strRef>
          </c:tx>
          <c:cat>
            <c:strRef>
              <c:f>'Temp &amp; RH monthly avg_SORTE (2'!$I$27:$I$38</c:f>
              <c:strCache>
                <c:ptCount val="12"/>
                <c:pt idx="0">
                  <c:v>2005</c:v>
                </c:pt>
                <c:pt idx="1">
                  <c:v>2006</c:v>
                </c:pt>
                <c:pt idx="2">
                  <c:v>2007</c:v>
                </c:pt>
                <c:pt idx="3">
                  <c:v>2008</c:v>
                </c:pt>
                <c:pt idx="4">
                  <c:v>2009</c:v>
                </c:pt>
                <c:pt idx="5">
                  <c:v>2010</c:v>
                </c:pt>
                <c:pt idx="6">
                  <c:v>2011</c:v>
                </c:pt>
                <c:pt idx="7">
                  <c:v>2012</c:v>
                </c:pt>
                <c:pt idx="8">
                  <c:v>2013</c:v>
                </c:pt>
                <c:pt idx="9">
                  <c:v>2014</c:v>
                </c:pt>
                <c:pt idx="10">
                  <c:v>2015</c:v>
                </c:pt>
                <c:pt idx="11">
                  <c:v>Average</c:v>
                </c:pt>
              </c:strCache>
            </c:strRef>
          </c:cat>
          <c:val>
            <c:numRef>
              <c:f>'Temp &amp; RH monthly avg_SORTE (2'!$D$3:$D$14</c:f>
              <c:numCache>
                <c:formatCode>0.0</c:formatCode>
                <c:ptCount val="12"/>
                <c:pt idx="0">
                  <c:v>34.986666666666245</c:v>
                </c:pt>
                <c:pt idx="1">
                  <c:v>34.879999999999995</c:v>
                </c:pt>
                <c:pt idx="2">
                  <c:v>35.276666666666372</c:v>
                </c:pt>
                <c:pt idx="3">
                  <c:v>34.906666666666261</c:v>
                </c:pt>
                <c:pt idx="4">
                  <c:v>37.68333333333333</c:v>
                </c:pt>
                <c:pt idx="5">
                  <c:v>36.740000000000009</c:v>
                </c:pt>
                <c:pt idx="6">
                  <c:v>34.733333333333363</c:v>
                </c:pt>
                <c:pt idx="7">
                  <c:v>35.670000000000009</c:v>
                </c:pt>
                <c:pt idx="8">
                  <c:v>36.353333333333325</c:v>
                </c:pt>
                <c:pt idx="9">
                  <c:v>37.523333333333362</c:v>
                </c:pt>
                <c:pt idx="10">
                  <c:v>34.530000000000008</c:v>
                </c:pt>
                <c:pt idx="11">
                  <c:v>35.7530303030303</c:v>
                </c:pt>
              </c:numCache>
            </c:numRef>
          </c:val>
          <c:extLst xmlns:c16r2="http://schemas.microsoft.com/office/drawing/2015/06/chart">
            <c:ext xmlns:c16="http://schemas.microsoft.com/office/drawing/2014/chart" uri="{C3380CC4-5D6E-409C-BE32-E72D297353CC}">
              <c16:uniqueId val="{00000000-B707-45AF-90CC-312B5159BEDD}"/>
            </c:ext>
          </c:extLst>
        </c:ser>
        <c:ser>
          <c:idx val="1"/>
          <c:order val="1"/>
          <c:tx>
            <c:strRef>
              <c:f>'Temp &amp; RH monthly avg_SORTE (2'!$H$15</c:f>
              <c:strCache>
                <c:ptCount val="1"/>
                <c:pt idx="0">
                  <c:v>May</c:v>
                </c:pt>
              </c:strCache>
            </c:strRef>
          </c:tx>
          <c:cat>
            <c:strRef>
              <c:f>'Temp &amp; RH monthly avg_SORTE (2'!$I$27:$I$38</c:f>
              <c:strCache>
                <c:ptCount val="12"/>
                <c:pt idx="0">
                  <c:v>2005</c:v>
                </c:pt>
                <c:pt idx="1">
                  <c:v>2006</c:v>
                </c:pt>
                <c:pt idx="2">
                  <c:v>2007</c:v>
                </c:pt>
                <c:pt idx="3">
                  <c:v>2008</c:v>
                </c:pt>
                <c:pt idx="4">
                  <c:v>2009</c:v>
                </c:pt>
                <c:pt idx="5">
                  <c:v>2010</c:v>
                </c:pt>
                <c:pt idx="6">
                  <c:v>2011</c:v>
                </c:pt>
                <c:pt idx="7">
                  <c:v>2012</c:v>
                </c:pt>
                <c:pt idx="8">
                  <c:v>2013</c:v>
                </c:pt>
                <c:pt idx="9">
                  <c:v>2014</c:v>
                </c:pt>
                <c:pt idx="10">
                  <c:v>2015</c:v>
                </c:pt>
                <c:pt idx="11">
                  <c:v>Average</c:v>
                </c:pt>
              </c:strCache>
            </c:strRef>
          </c:cat>
          <c:val>
            <c:numRef>
              <c:f>'Temp &amp; RH monthly avg_SORTE (2'!$D$15:$D$26</c:f>
              <c:numCache>
                <c:formatCode>0.0</c:formatCode>
                <c:ptCount val="12"/>
                <c:pt idx="0">
                  <c:v>35.661290322580662</c:v>
                </c:pt>
                <c:pt idx="1">
                  <c:v>35.203225806451663</c:v>
                </c:pt>
                <c:pt idx="2">
                  <c:v>35.396774193548396</c:v>
                </c:pt>
                <c:pt idx="3">
                  <c:v>36.274193548387103</c:v>
                </c:pt>
                <c:pt idx="4">
                  <c:v>35.180645161290045</c:v>
                </c:pt>
                <c:pt idx="5">
                  <c:v>35.467741935483872</c:v>
                </c:pt>
                <c:pt idx="6">
                  <c:v>35.012903225806454</c:v>
                </c:pt>
                <c:pt idx="7">
                  <c:v>36.754838709677394</c:v>
                </c:pt>
                <c:pt idx="8">
                  <c:v>34.829032258064515</c:v>
                </c:pt>
                <c:pt idx="9">
                  <c:v>37.219354838709918</c:v>
                </c:pt>
                <c:pt idx="10">
                  <c:v>36.167741935483882</c:v>
                </c:pt>
                <c:pt idx="11">
                  <c:v>35.742521994135117</c:v>
                </c:pt>
              </c:numCache>
            </c:numRef>
          </c:val>
          <c:extLst xmlns:c16r2="http://schemas.microsoft.com/office/drawing/2015/06/chart">
            <c:ext xmlns:c16="http://schemas.microsoft.com/office/drawing/2014/chart" uri="{C3380CC4-5D6E-409C-BE32-E72D297353CC}">
              <c16:uniqueId val="{00000001-B707-45AF-90CC-312B5159BEDD}"/>
            </c:ext>
          </c:extLst>
        </c:ser>
        <c:ser>
          <c:idx val="2"/>
          <c:order val="2"/>
          <c:tx>
            <c:strRef>
              <c:f>'Temp &amp; RH monthly avg_SORTE (2'!$H$27</c:f>
              <c:strCache>
                <c:ptCount val="1"/>
                <c:pt idx="0">
                  <c:v>June</c:v>
                </c:pt>
              </c:strCache>
            </c:strRef>
          </c:tx>
          <c:cat>
            <c:strRef>
              <c:f>'Temp &amp; RH monthly avg_SORTE (2'!$I$27:$I$38</c:f>
              <c:strCache>
                <c:ptCount val="12"/>
                <c:pt idx="0">
                  <c:v>2005</c:v>
                </c:pt>
                <c:pt idx="1">
                  <c:v>2006</c:v>
                </c:pt>
                <c:pt idx="2">
                  <c:v>2007</c:v>
                </c:pt>
                <c:pt idx="3">
                  <c:v>2008</c:v>
                </c:pt>
                <c:pt idx="4">
                  <c:v>2009</c:v>
                </c:pt>
                <c:pt idx="5">
                  <c:v>2010</c:v>
                </c:pt>
                <c:pt idx="6">
                  <c:v>2011</c:v>
                </c:pt>
                <c:pt idx="7">
                  <c:v>2012</c:v>
                </c:pt>
                <c:pt idx="8">
                  <c:v>2013</c:v>
                </c:pt>
                <c:pt idx="9">
                  <c:v>2014</c:v>
                </c:pt>
                <c:pt idx="10">
                  <c:v>2015</c:v>
                </c:pt>
                <c:pt idx="11">
                  <c:v>Average</c:v>
                </c:pt>
              </c:strCache>
            </c:strRef>
          </c:cat>
          <c:val>
            <c:numRef>
              <c:f>'Temp &amp; RH monthly avg_SORTE (2'!$D$27:$D$38</c:f>
              <c:numCache>
                <c:formatCode>0.0</c:formatCode>
                <c:ptCount val="12"/>
                <c:pt idx="0">
                  <c:v>36.133333333333333</c:v>
                </c:pt>
                <c:pt idx="1">
                  <c:v>34.186666666666291</c:v>
                </c:pt>
                <c:pt idx="2">
                  <c:v>34.206666666666372</c:v>
                </c:pt>
                <c:pt idx="3">
                  <c:v>32.660000000000011</c:v>
                </c:pt>
                <c:pt idx="4">
                  <c:v>35.813333333333347</c:v>
                </c:pt>
                <c:pt idx="5">
                  <c:v>34.61</c:v>
                </c:pt>
                <c:pt idx="6">
                  <c:v>33.983333333333341</c:v>
                </c:pt>
                <c:pt idx="7">
                  <c:v>35.879999999999995</c:v>
                </c:pt>
                <c:pt idx="8">
                  <c:v>33.753333333333337</c:v>
                </c:pt>
                <c:pt idx="9">
                  <c:v>34.43</c:v>
                </c:pt>
                <c:pt idx="10">
                  <c:v>33.863333333333337</c:v>
                </c:pt>
                <c:pt idx="11">
                  <c:v>34.501818181818145</c:v>
                </c:pt>
              </c:numCache>
            </c:numRef>
          </c:val>
          <c:extLst xmlns:c16r2="http://schemas.microsoft.com/office/drawing/2015/06/chart">
            <c:ext xmlns:c16="http://schemas.microsoft.com/office/drawing/2014/chart" uri="{C3380CC4-5D6E-409C-BE32-E72D297353CC}">
              <c16:uniqueId val="{00000002-B707-45AF-90CC-312B5159BEDD}"/>
            </c:ext>
          </c:extLst>
        </c:ser>
        <c:axId val="102265216"/>
        <c:axId val="102469632"/>
      </c:barChart>
      <c:catAx>
        <c:axId val="102265216"/>
        <c:scaling>
          <c:orientation val="minMax"/>
        </c:scaling>
        <c:axPos val="b"/>
        <c:numFmt formatCode="General" sourceLinked="0"/>
        <c:tickLblPos val="nextTo"/>
        <c:crossAx val="102469632"/>
        <c:crosses val="autoZero"/>
        <c:auto val="1"/>
        <c:lblAlgn val="ctr"/>
        <c:lblOffset val="100"/>
      </c:catAx>
      <c:valAx>
        <c:axId val="102469632"/>
        <c:scaling>
          <c:orientation val="minMax"/>
          <c:max val="38"/>
          <c:min val="32"/>
        </c:scaling>
        <c:axPos val="l"/>
        <c:majorGridlines/>
        <c:numFmt formatCode="#,##0.0" sourceLinked="0"/>
        <c:tickLblPos val="nextTo"/>
        <c:crossAx val="102265216"/>
        <c:crosses val="autoZero"/>
        <c:crossBetween val="between"/>
      </c:valAx>
    </c:plotArea>
    <c:legend>
      <c:legendPos val="b"/>
      <c:layout>
        <c:manualLayout>
          <c:xMode val="edge"/>
          <c:yMode val="edge"/>
          <c:x val="0.74735480180362068"/>
          <c:y val="2.6691923186230856E-2"/>
          <c:w val="0.23060670300827782"/>
          <c:h val="4.7529323410761798E-2"/>
        </c:manualLayout>
      </c:layout>
    </c:legend>
    <c:plotVisOnly val="1"/>
    <c:dispBlanksAs val="gap"/>
  </c:chart>
  <c:spPr>
    <a:ln>
      <a:solidFill>
        <a:schemeClr val="tx1"/>
      </a:solidFill>
    </a:ln>
  </c:spPr>
  <c:externalData r:id="rId1"/>
  <c:userShapes r:id="rId2"/>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en-US"/>
  <c:style val="6"/>
  <c:chart>
    <c:plotArea>
      <c:layout>
        <c:manualLayout>
          <c:layoutTarget val="inner"/>
          <c:xMode val="edge"/>
          <c:yMode val="edge"/>
          <c:x val="9.869809543037962E-2"/>
          <c:y val="2.3165563908366188E-2"/>
          <c:w val="0.88628726697624005"/>
          <c:h val="0.85471611491973598"/>
        </c:manualLayout>
      </c:layout>
      <c:barChart>
        <c:barDir val="col"/>
        <c:grouping val="clustered"/>
        <c:ser>
          <c:idx val="0"/>
          <c:order val="0"/>
          <c:tx>
            <c:v>April</c:v>
          </c:tx>
          <c:cat>
            <c:strRef>
              <c:f>'Temp &amp; RH monthly avg_SORTE (2'!$I$27:$I$38</c:f>
              <c:strCache>
                <c:ptCount val="12"/>
                <c:pt idx="0">
                  <c:v>2005</c:v>
                </c:pt>
                <c:pt idx="1">
                  <c:v>2006</c:v>
                </c:pt>
                <c:pt idx="2">
                  <c:v>2007</c:v>
                </c:pt>
                <c:pt idx="3">
                  <c:v>2008</c:v>
                </c:pt>
                <c:pt idx="4">
                  <c:v>2009</c:v>
                </c:pt>
                <c:pt idx="5">
                  <c:v>2010</c:v>
                </c:pt>
                <c:pt idx="6">
                  <c:v>2011</c:v>
                </c:pt>
                <c:pt idx="7">
                  <c:v>2012</c:v>
                </c:pt>
                <c:pt idx="8">
                  <c:v>2013</c:v>
                </c:pt>
                <c:pt idx="9">
                  <c:v>2014</c:v>
                </c:pt>
                <c:pt idx="10">
                  <c:v>2015</c:v>
                </c:pt>
                <c:pt idx="11">
                  <c:v>Average</c:v>
                </c:pt>
              </c:strCache>
            </c:strRef>
          </c:cat>
          <c:val>
            <c:numRef>
              <c:f>'Temp &amp; RH monthly avg_SORTE (2'!$F$3:$F$14</c:f>
              <c:numCache>
                <c:formatCode>General</c:formatCode>
                <c:ptCount val="12"/>
                <c:pt idx="0">
                  <c:v>72.316666666666663</c:v>
                </c:pt>
                <c:pt idx="1">
                  <c:v>67.849999999999994</c:v>
                </c:pt>
                <c:pt idx="2">
                  <c:v>70.733333333333249</c:v>
                </c:pt>
                <c:pt idx="3">
                  <c:v>65.75</c:v>
                </c:pt>
                <c:pt idx="4">
                  <c:v>62.216666666666313</c:v>
                </c:pt>
                <c:pt idx="5">
                  <c:v>71.88333333333297</c:v>
                </c:pt>
                <c:pt idx="6">
                  <c:v>68.166666666666671</c:v>
                </c:pt>
                <c:pt idx="7">
                  <c:v>67.61666666666666</c:v>
                </c:pt>
                <c:pt idx="8">
                  <c:v>61.916666666666238</c:v>
                </c:pt>
                <c:pt idx="9">
                  <c:v>55.383333333333326</c:v>
                </c:pt>
                <c:pt idx="10">
                  <c:v>68.166666666666671</c:v>
                </c:pt>
                <c:pt idx="11">
                  <c:v>66.545454545454518</c:v>
                </c:pt>
              </c:numCache>
            </c:numRef>
          </c:val>
          <c:extLst xmlns:c16r2="http://schemas.microsoft.com/office/drawing/2015/06/chart">
            <c:ext xmlns:c16="http://schemas.microsoft.com/office/drawing/2014/chart" uri="{C3380CC4-5D6E-409C-BE32-E72D297353CC}">
              <c16:uniqueId val="{00000000-6EB8-414F-AC79-674D00BE47A8}"/>
            </c:ext>
          </c:extLst>
        </c:ser>
        <c:ser>
          <c:idx val="1"/>
          <c:order val="1"/>
          <c:tx>
            <c:v>May</c:v>
          </c:tx>
          <c:val>
            <c:numRef>
              <c:f>'Temp &amp; RH monthly avg_SORTE (2'!$F$15:$F$26</c:f>
              <c:numCache>
                <c:formatCode>General</c:formatCode>
                <c:ptCount val="12"/>
                <c:pt idx="0">
                  <c:v>70.629032258063916</c:v>
                </c:pt>
                <c:pt idx="1">
                  <c:v>69.322580645161281</c:v>
                </c:pt>
                <c:pt idx="2">
                  <c:v>71.741935483871345</c:v>
                </c:pt>
                <c:pt idx="3">
                  <c:v>67.564516129032327</c:v>
                </c:pt>
                <c:pt idx="4">
                  <c:v>72.306451612903189</c:v>
                </c:pt>
                <c:pt idx="5">
                  <c:v>74.403225806451559</c:v>
                </c:pt>
                <c:pt idx="6">
                  <c:v>72.435483870967744</c:v>
                </c:pt>
                <c:pt idx="7">
                  <c:v>67.698412698412682</c:v>
                </c:pt>
                <c:pt idx="8">
                  <c:v>75.564516129032327</c:v>
                </c:pt>
                <c:pt idx="9">
                  <c:v>67.064516129032327</c:v>
                </c:pt>
                <c:pt idx="10">
                  <c:v>69.6612903225803</c:v>
                </c:pt>
                <c:pt idx="11">
                  <c:v>70.762905553228109</c:v>
                </c:pt>
              </c:numCache>
            </c:numRef>
          </c:val>
          <c:extLst xmlns:c16r2="http://schemas.microsoft.com/office/drawing/2015/06/chart">
            <c:ext xmlns:c16="http://schemas.microsoft.com/office/drawing/2014/chart" uri="{C3380CC4-5D6E-409C-BE32-E72D297353CC}">
              <c16:uniqueId val="{00000001-6EB8-414F-AC79-674D00BE47A8}"/>
            </c:ext>
          </c:extLst>
        </c:ser>
        <c:ser>
          <c:idx val="2"/>
          <c:order val="2"/>
          <c:tx>
            <c:v>June</c:v>
          </c:tx>
          <c:val>
            <c:numRef>
              <c:f>'Temp &amp; RH monthly avg_SORTE (2'!$F$27:$F$38</c:f>
              <c:numCache>
                <c:formatCode>General</c:formatCode>
                <c:ptCount val="12"/>
                <c:pt idx="0">
                  <c:v>74.916666666666927</c:v>
                </c:pt>
                <c:pt idx="1">
                  <c:v>77.61666666666666</c:v>
                </c:pt>
                <c:pt idx="2">
                  <c:v>77.016666666666666</c:v>
                </c:pt>
                <c:pt idx="3">
                  <c:v>82.183333333332854</c:v>
                </c:pt>
                <c:pt idx="4">
                  <c:v>73.566666666666663</c:v>
                </c:pt>
                <c:pt idx="5">
                  <c:v>79.349999999999994</c:v>
                </c:pt>
                <c:pt idx="6">
                  <c:v>81.466666666666697</c:v>
                </c:pt>
                <c:pt idx="7">
                  <c:v>74.416666666666927</c:v>
                </c:pt>
                <c:pt idx="8">
                  <c:v>79.7</c:v>
                </c:pt>
                <c:pt idx="9">
                  <c:v>79.733333333333249</c:v>
                </c:pt>
                <c:pt idx="10">
                  <c:v>77.75</c:v>
                </c:pt>
                <c:pt idx="11" formatCode="0.0">
                  <c:v>66.545454545454518</c:v>
                </c:pt>
              </c:numCache>
            </c:numRef>
          </c:val>
          <c:extLst xmlns:c16r2="http://schemas.microsoft.com/office/drawing/2015/06/chart">
            <c:ext xmlns:c16="http://schemas.microsoft.com/office/drawing/2014/chart" uri="{C3380CC4-5D6E-409C-BE32-E72D297353CC}">
              <c16:uniqueId val="{00000002-6EB8-414F-AC79-674D00BE47A8}"/>
            </c:ext>
          </c:extLst>
        </c:ser>
        <c:axId val="119349248"/>
        <c:axId val="119350784"/>
      </c:barChart>
      <c:catAx>
        <c:axId val="119349248"/>
        <c:scaling>
          <c:orientation val="minMax"/>
        </c:scaling>
        <c:axPos val="b"/>
        <c:numFmt formatCode="General" sourceLinked="0"/>
        <c:tickLblPos val="nextTo"/>
        <c:crossAx val="119350784"/>
        <c:crosses val="autoZero"/>
        <c:auto val="1"/>
        <c:lblAlgn val="ctr"/>
        <c:lblOffset val="100"/>
      </c:catAx>
      <c:valAx>
        <c:axId val="119350784"/>
        <c:scaling>
          <c:orientation val="minMax"/>
          <c:min val="50"/>
        </c:scaling>
        <c:axPos val="l"/>
        <c:majorGridlines/>
        <c:numFmt formatCode="General" sourceLinked="1"/>
        <c:tickLblPos val="nextTo"/>
        <c:crossAx val="119349248"/>
        <c:crosses val="autoZero"/>
        <c:crossBetween val="between"/>
      </c:valAx>
    </c:plotArea>
    <c:legend>
      <c:legendPos val="b"/>
      <c:layout>
        <c:manualLayout>
          <c:xMode val="edge"/>
          <c:yMode val="edge"/>
          <c:x val="0.73061797563766051"/>
          <c:y val="4.0030512393647327E-2"/>
          <c:w val="0.23915371155528636"/>
          <c:h val="5.4062068797010414E-2"/>
        </c:manualLayout>
      </c:layout>
    </c:legend>
    <c:plotVisOnly val="1"/>
    <c:dispBlanksAs val="gap"/>
  </c:chart>
  <c:externalData r:id="rId1"/>
  <c:userShapes r:id="rId2"/>
</c:chartSpace>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310726A-7009-4C2F-9A7F-FEDB3D8A31AA}" type="doc">
      <dgm:prSet loTypeId="urn:microsoft.com/office/officeart/2005/8/layout/process2" loCatId="process" qsTypeId="urn:microsoft.com/office/officeart/2005/8/quickstyle/3d2#2" qsCatId="3D" csTypeId="urn:microsoft.com/office/officeart/2005/8/colors/accent0_1" csCatId="mainScheme" phldr="1"/>
      <dgm:spPr/>
    </dgm:pt>
    <dgm:pt modelId="{9E2EF274-8FEB-4CFE-ADE4-DB3ACDED8485}">
      <dgm:prSet phldrT="[Text]" custT="1"/>
      <dgm:spPr/>
      <dgm:t>
        <a:bodyPr/>
        <a:lstStyle/>
        <a:p>
          <a:pPr algn="ctr"/>
          <a:r>
            <a:rPr lang="en-IN" sz="1100" b="1" dirty="0">
              <a:latin typeface="Times New Roman" pitchFamily="18" charset="0"/>
              <a:cs typeface="Times New Roman" pitchFamily="18" charset="0"/>
            </a:rPr>
            <a:t>Background Study</a:t>
          </a:r>
        </a:p>
      </dgm:t>
    </dgm:pt>
    <dgm:pt modelId="{3916B814-068E-4AA8-96B7-7851D04E29DC}" type="parTrans" cxnId="{3361DC31-7656-447A-8463-6E5AA2703EF7}">
      <dgm:prSet/>
      <dgm:spPr/>
      <dgm:t>
        <a:bodyPr/>
        <a:lstStyle/>
        <a:p>
          <a:pPr algn="ctr"/>
          <a:endParaRPr lang="en-IN" sz="2400" b="1">
            <a:latin typeface="Times New Roman" pitchFamily="18" charset="0"/>
            <a:cs typeface="Times New Roman" pitchFamily="18" charset="0"/>
          </a:endParaRPr>
        </a:p>
      </dgm:t>
    </dgm:pt>
    <dgm:pt modelId="{B843240F-ED86-4249-9E34-863FD080F0C7}" type="sibTrans" cxnId="{3361DC31-7656-447A-8463-6E5AA2703EF7}">
      <dgm:prSet custT="1"/>
      <dgm:spPr/>
      <dgm:t>
        <a:bodyPr/>
        <a:lstStyle/>
        <a:p>
          <a:pPr algn="ctr"/>
          <a:endParaRPr lang="en-IN" sz="1000" b="1">
            <a:latin typeface="Times New Roman" pitchFamily="18" charset="0"/>
            <a:cs typeface="Times New Roman" pitchFamily="18" charset="0"/>
          </a:endParaRPr>
        </a:p>
      </dgm:t>
    </dgm:pt>
    <dgm:pt modelId="{45D99CFC-62E2-453D-8425-469849E76C70}">
      <dgm:prSet phldrT="[Text]" custT="1"/>
      <dgm:spPr/>
      <dgm:t>
        <a:bodyPr/>
        <a:lstStyle/>
        <a:p>
          <a:pPr algn="ctr"/>
          <a:r>
            <a:rPr lang="en-IN" sz="1100" b="1" dirty="0">
              <a:latin typeface="Times New Roman" pitchFamily="18" charset="0"/>
              <a:cs typeface="Times New Roman" pitchFamily="18" charset="0"/>
            </a:rPr>
            <a:t>Establishing the Need for Research</a:t>
          </a:r>
        </a:p>
      </dgm:t>
    </dgm:pt>
    <dgm:pt modelId="{22936657-43E2-425A-8949-ED3BD50C9B1E}" type="parTrans" cxnId="{2E865D54-C880-4540-9112-08017B321CDB}">
      <dgm:prSet/>
      <dgm:spPr/>
      <dgm:t>
        <a:bodyPr/>
        <a:lstStyle/>
        <a:p>
          <a:pPr algn="ctr"/>
          <a:endParaRPr lang="en-IN" sz="2400" b="1">
            <a:latin typeface="Times New Roman" pitchFamily="18" charset="0"/>
            <a:cs typeface="Times New Roman" pitchFamily="18" charset="0"/>
          </a:endParaRPr>
        </a:p>
      </dgm:t>
    </dgm:pt>
    <dgm:pt modelId="{ED257072-0AAE-4185-B819-2EDF0654BE82}" type="sibTrans" cxnId="{2E865D54-C880-4540-9112-08017B321CDB}">
      <dgm:prSet custT="1"/>
      <dgm:spPr/>
      <dgm:t>
        <a:bodyPr/>
        <a:lstStyle/>
        <a:p>
          <a:pPr algn="ctr"/>
          <a:endParaRPr lang="en-IN" sz="1000" b="1">
            <a:latin typeface="Times New Roman" pitchFamily="18" charset="0"/>
            <a:cs typeface="Times New Roman" pitchFamily="18" charset="0"/>
          </a:endParaRPr>
        </a:p>
      </dgm:t>
    </dgm:pt>
    <dgm:pt modelId="{6B407E00-0343-4033-B68D-D973616C4EE7}">
      <dgm:prSet phldrT="[Text]" custT="1"/>
      <dgm:spPr/>
      <dgm:t>
        <a:bodyPr/>
        <a:lstStyle/>
        <a:p>
          <a:pPr algn="ctr"/>
          <a:r>
            <a:rPr lang="en-IN" sz="1100" b="1" dirty="0">
              <a:latin typeface="Times New Roman" pitchFamily="18" charset="0"/>
              <a:cs typeface="Times New Roman" pitchFamily="18" charset="0"/>
            </a:rPr>
            <a:t>Formation of Research Question(s)</a:t>
          </a:r>
        </a:p>
      </dgm:t>
    </dgm:pt>
    <dgm:pt modelId="{5FB8C7E2-36D7-43F9-8CFC-8B579E1F7E1A}" type="parTrans" cxnId="{CB574486-25D4-4D23-9EB2-A1A680CFA403}">
      <dgm:prSet/>
      <dgm:spPr/>
      <dgm:t>
        <a:bodyPr/>
        <a:lstStyle/>
        <a:p>
          <a:pPr algn="ctr"/>
          <a:endParaRPr lang="en-IN" sz="2400" b="1">
            <a:latin typeface="Times New Roman" pitchFamily="18" charset="0"/>
            <a:cs typeface="Times New Roman" pitchFamily="18" charset="0"/>
          </a:endParaRPr>
        </a:p>
      </dgm:t>
    </dgm:pt>
    <dgm:pt modelId="{087D8624-8A4C-45AD-822D-B333E3C68DDC}" type="sibTrans" cxnId="{CB574486-25D4-4D23-9EB2-A1A680CFA403}">
      <dgm:prSet custT="1"/>
      <dgm:spPr/>
      <dgm:t>
        <a:bodyPr/>
        <a:lstStyle/>
        <a:p>
          <a:pPr algn="ctr"/>
          <a:endParaRPr lang="en-IN" sz="1000" b="1">
            <a:latin typeface="Times New Roman" pitchFamily="18" charset="0"/>
            <a:cs typeface="Times New Roman" pitchFamily="18" charset="0"/>
          </a:endParaRPr>
        </a:p>
      </dgm:t>
    </dgm:pt>
    <dgm:pt modelId="{22361E53-36B6-4A12-8431-C29C1D9BD2E0}">
      <dgm:prSet phldrT="[Text]" custT="1"/>
      <dgm:spPr/>
      <dgm:t>
        <a:bodyPr/>
        <a:lstStyle/>
        <a:p>
          <a:pPr algn="ctr"/>
          <a:r>
            <a:rPr lang="en-IN" sz="1100" b="1" dirty="0">
              <a:latin typeface="Times New Roman" pitchFamily="18" charset="0"/>
              <a:cs typeface="Times New Roman" pitchFamily="18" charset="0"/>
            </a:rPr>
            <a:t>CONCLUSION</a:t>
          </a:r>
        </a:p>
      </dgm:t>
    </dgm:pt>
    <dgm:pt modelId="{60317221-CA04-4591-9A52-11261F835CA2}" type="parTrans" cxnId="{2A6CC01B-659E-460C-9EB2-10245AAE93AB}">
      <dgm:prSet/>
      <dgm:spPr/>
      <dgm:t>
        <a:bodyPr/>
        <a:lstStyle/>
        <a:p>
          <a:pPr algn="ctr"/>
          <a:endParaRPr lang="en-IN" sz="2400" b="1">
            <a:latin typeface="Times New Roman" pitchFamily="18" charset="0"/>
            <a:cs typeface="Times New Roman" pitchFamily="18" charset="0"/>
          </a:endParaRPr>
        </a:p>
      </dgm:t>
    </dgm:pt>
    <dgm:pt modelId="{4EE90A2C-03BF-4561-9158-27DF2BE1D088}" type="sibTrans" cxnId="{2A6CC01B-659E-460C-9EB2-10245AAE93AB}">
      <dgm:prSet/>
      <dgm:spPr/>
      <dgm:t>
        <a:bodyPr/>
        <a:lstStyle/>
        <a:p>
          <a:pPr algn="ctr"/>
          <a:endParaRPr lang="en-IN" sz="2400" b="1">
            <a:latin typeface="Times New Roman" pitchFamily="18" charset="0"/>
            <a:cs typeface="Times New Roman" pitchFamily="18" charset="0"/>
          </a:endParaRPr>
        </a:p>
      </dgm:t>
    </dgm:pt>
    <dgm:pt modelId="{CE59DA01-CCD9-4280-93FA-A50314C3940D}">
      <dgm:prSet phldrT="[Text]" custT="1"/>
      <dgm:spPr/>
      <dgm:t>
        <a:bodyPr/>
        <a:lstStyle/>
        <a:p>
          <a:pPr algn="ctr"/>
          <a:r>
            <a:rPr lang="en-IN" sz="1100" b="1" dirty="0">
              <a:latin typeface="Times New Roman" pitchFamily="18" charset="0"/>
              <a:cs typeface="Times New Roman" pitchFamily="18" charset="0"/>
            </a:rPr>
            <a:t>Framing of Scopes and Limitations of Research</a:t>
          </a:r>
        </a:p>
      </dgm:t>
    </dgm:pt>
    <dgm:pt modelId="{707D81EC-8ECB-4B15-BF72-2232306CC45F}" type="parTrans" cxnId="{881EB33D-0D12-457C-B5EE-FB1F9C4C85C9}">
      <dgm:prSet/>
      <dgm:spPr/>
      <dgm:t>
        <a:bodyPr/>
        <a:lstStyle/>
        <a:p>
          <a:pPr algn="ctr"/>
          <a:endParaRPr lang="en-IN" sz="2400" b="1">
            <a:latin typeface="Times New Roman" pitchFamily="18" charset="0"/>
            <a:cs typeface="Times New Roman" pitchFamily="18" charset="0"/>
          </a:endParaRPr>
        </a:p>
      </dgm:t>
    </dgm:pt>
    <dgm:pt modelId="{CC9915BD-E1AE-43D3-9150-8D7D50513E99}" type="sibTrans" cxnId="{881EB33D-0D12-457C-B5EE-FB1F9C4C85C9}">
      <dgm:prSet custT="1"/>
      <dgm:spPr/>
      <dgm:t>
        <a:bodyPr/>
        <a:lstStyle/>
        <a:p>
          <a:pPr algn="ctr"/>
          <a:endParaRPr lang="en-IN" sz="1000" b="1">
            <a:latin typeface="Times New Roman" pitchFamily="18" charset="0"/>
            <a:cs typeface="Times New Roman" pitchFamily="18" charset="0"/>
          </a:endParaRPr>
        </a:p>
      </dgm:t>
    </dgm:pt>
    <dgm:pt modelId="{1977C2C9-3DC0-4763-B3E8-CC764004C164}">
      <dgm:prSet phldrT="[Text]" custT="1"/>
      <dgm:spPr/>
      <dgm:t>
        <a:bodyPr/>
        <a:lstStyle/>
        <a:p>
          <a:pPr algn="ctr"/>
          <a:r>
            <a:rPr lang="en-IN" sz="1100" b="1" dirty="0">
              <a:latin typeface="Times New Roman" pitchFamily="18" charset="0"/>
              <a:cs typeface="Times New Roman" pitchFamily="18" charset="0"/>
            </a:rPr>
            <a:t>Choice of Study Zones</a:t>
          </a:r>
        </a:p>
      </dgm:t>
    </dgm:pt>
    <dgm:pt modelId="{9A880454-6B73-4802-A230-F82A39AB54F9}" type="parTrans" cxnId="{05ED309E-3D75-4D3E-B400-B9D7CFD19E15}">
      <dgm:prSet/>
      <dgm:spPr/>
      <dgm:t>
        <a:bodyPr/>
        <a:lstStyle/>
        <a:p>
          <a:pPr algn="ctr"/>
          <a:endParaRPr lang="en-IN" sz="2400" b="1">
            <a:latin typeface="Times New Roman" pitchFamily="18" charset="0"/>
            <a:cs typeface="Times New Roman" pitchFamily="18" charset="0"/>
          </a:endParaRPr>
        </a:p>
      </dgm:t>
    </dgm:pt>
    <dgm:pt modelId="{A1715CEE-BE81-476A-90EF-103D7580AD1F}" type="sibTrans" cxnId="{05ED309E-3D75-4D3E-B400-B9D7CFD19E15}">
      <dgm:prSet custT="1"/>
      <dgm:spPr/>
      <dgm:t>
        <a:bodyPr/>
        <a:lstStyle/>
        <a:p>
          <a:pPr algn="ctr"/>
          <a:endParaRPr lang="en-IN" sz="1000" b="1">
            <a:latin typeface="Times New Roman" pitchFamily="18" charset="0"/>
            <a:cs typeface="Times New Roman" pitchFamily="18" charset="0"/>
          </a:endParaRPr>
        </a:p>
      </dgm:t>
    </dgm:pt>
    <dgm:pt modelId="{7A9E25C7-6388-46D4-9F47-DB89FC64E209}">
      <dgm:prSet phldrT="[Text]" custT="1"/>
      <dgm:spPr/>
      <dgm:t>
        <a:bodyPr/>
        <a:lstStyle/>
        <a:p>
          <a:pPr algn="ctr"/>
          <a:r>
            <a:rPr lang="en-IN" sz="1100" b="1" dirty="0">
              <a:latin typeface="Times New Roman" pitchFamily="18" charset="0"/>
              <a:cs typeface="Times New Roman" pitchFamily="18" charset="0"/>
            </a:rPr>
            <a:t>Earmarking of Study Subjects, i.e. the Buildings</a:t>
          </a:r>
        </a:p>
      </dgm:t>
    </dgm:pt>
    <dgm:pt modelId="{DFB709F6-94AB-4B0D-B681-D3F2CC9BA064}" type="parTrans" cxnId="{629442D8-CA50-4A0A-81EF-66CF350EF7BB}">
      <dgm:prSet/>
      <dgm:spPr/>
      <dgm:t>
        <a:bodyPr/>
        <a:lstStyle/>
        <a:p>
          <a:pPr algn="ctr"/>
          <a:endParaRPr lang="en-IN" sz="2400" b="1">
            <a:latin typeface="Times New Roman" pitchFamily="18" charset="0"/>
            <a:cs typeface="Times New Roman" pitchFamily="18" charset="0"/>
          </a:endParaRPr>
        </a:p>
      </dgm:t>
    </dgm:pt>
    <dgm:pt modelId="{419FCCFD-30B3-4137-8AAE-D32E9E89F6F6}" type="sibTrans" cxnId="{629442D8-CA50-4A0A-81EF-66CF350EF7BB}">
      <dgm:prSet custT="1"/>
      <dgm:spPr/>
      <dgm:t>
        <a:bodyPr/>
        <a:lstStyle/>
        <a:p>
          <a:pPr algn="ctr"/>
          <a:endParaRPr lang="en-IN" sz="1000" b="1">
            <a:latin typeface="Times New Roman" pitchFamily="18" charset="0"/>
            <a:cs typeface="Times New Roman" pitchFamily="18" charset="0"/>
          </a:endParaRPr>
        </a:p>
      </dgm:t>
    </dgm:pt>
    <dgm:pt modelId="{DF0B6677-43E1-4B16-BDAE-3D02D95CE43A}">
      <dgm:prSet phldrT="[Text]" custT="1"/>
      <dgm:spPr/>
      <dgm:t>
        <a:bodyPr/>
        <a:lstStyle/>
        <a:p>
          <a:pPr algn="ctr"/>
          <a:r>
            <a:rPr lang="en-IN" sz="1100" b="1" dirty="0">
              <a:latin typeface="Times New Roman" pitchFamily="18" charset="0"/>
              <a:cs typeface="Times New Roman" pitchFamily="18" charset="0"/>
            </a:rPr>
            <a:t>Conduction of Physical Thermal Performance Survey</a:t>
          </a:r>
        </a:p>
      </dgm:t>
    </dgm:pt>
    <dgm:pt modelId="{915A3EF3-2E6E-4CA0-BE63-65586CC4FC88}" type="parTrans" cxnId="{855E4185-CA9D-4C2B-B939-0E4F2FD44E82}">
      <dgm:prSet/>
      <dgm:spPr/>
      <dgm:t>
        <a:bodyPr/>
        <a:lstStyle/>
        <a:p>
          <a:pPr algn="ctr"/>
          <a:endParaRPr lang="en-IN" sz="2400" b="1">
            <a:latin typeface="Times New Roman" pitchFamily="18" charset="0"/>
            <a:cs typeface="Times New Roman" pitchFamily="18" charset="0"/>
          </a:endParaRPr>
        </a:p>
      </dgm:t>
    </dgm:pt>
    <dgm:pt modelId="{6326B6B4-C181-4DDD-B4F5-6BB6F333F754}" type="sibTrans" cxnId="{855E4185-CA9D-4C2B-B939-0E4F2FD44E82}">
      <dgm:prSet custT="1"/>
      <dgm:spPr/>
      <dgm:t>
        <a:bodyPr/>
        <a:lstStyle/>
        <a:p>
          <a:pPr algn="ctr"/>
          <a:endParaRPr lang="en-IN" sz="1000" b="1">
            <a:latin typeface="Times New Roman" pitchFamily="18" charset="0"/>
            <a:cs typeface="Times New Roman" pitchFamily="18" charset="0"/>
          </a:endParaRPr>
        </a:p>
      </dgm:t>
    </dgm:pt>
    <dgm:pt modelId="{67075EFC-82C1-4DC0-8B2C-7F14E60E443D}">
      <dgm:prSet phldrT="[Text]" custT="1"/>
      <dgm:spPr/>
      <dgm:t>
        <a:bodyPr/>
        <a:lstStyle/>
        <a:p>
          <a:pPr algn="ctr"/>
          <a:r>
            <a:rPr lang="en-IN" sz="1100" b="1" dirty="0">
              <a:latin typeface="Times New Roman" pitchFamily="18" charset="0"/>
              <a:cs typeface="Times New Roman" pitchFamily="18" charset="0"/>
            </a:rPr>
            <a:t>Checking correlation of Thermal Performance with Independent Variables</a:t>
          </a:r>
        </a:p>
      </dgm:t>
    </dgm:pt>
    <dgm:pt modelId="{551760E9-7B4C-4AEE-816E-E57E9E49B37E}" type="parTrans" cxnId="{410F2474-D85B-4408-97EC-E781DD1FC949}">
      <dgm:prSet/>
      <dgm:spPr/>
      <dgm:t>
        <a:bodyPr/>
        <a:lstStyle/>
        <a:p>
          <a:pPr algn="ctr"/>
          <a:endParaRPr lang="en-IN" sz="2400" b="1">
            <a:latin typeface="Times New Roman" pitchFamily="18" charset="0"/>
            <a:cs typeface="Times New Roman" pitchFamily="18" charset="0"/>
          </a:endParaRPr>
        </a:p>
      </dgm:t>
    </dgm:pt>
    <dgm:pt modelId="{805F4CB2-025D-4E0B-86A5-7E5E073D43A4}" type="sibTrans" cxnId="{410F2474-D85B-4408-97EC-E781DD1FC949}">
      <dgm:prSet custT="1"/>
      <dgm:spPr/>
      <dgm:t>
        <a:bodyPr/>
        <a:lstStyle/>
        <a:p>
          <a:pPr algn="ctr"/>
          <a:endParaRPr lang="en-IN" sz="1000" b="1">
            <a:latin typeface="Times New Roman" pitchFamily="18" charset="0"/>
            <a:cs typeface="Times New Roman" pitchFamily="18" charset="0"/>
          </a:endParaRPr>
        </a:p>
      </dgm:t>
    </dgm:pt>
    <dgm:pt modelId="{C841F583-D316-47B8-BEEA-D31767301783}">
      <dgm:prSet phldrT="[Text]" custT="1"/>
      <dgm:spPr/>
      <dgm:t>
        <a:bodyPr/>
        <a:lstStyle/>
        <a:p>
          <a:pPr algn="ctr"/>
          <a:r>
            <a:rPr lang="en-IN" sz="1100" b="1" dirty="0">
              <a:latin typeface="Times New Roman" pitchFamily="18" charset="0"/>
              <a:cs typeface="Times New Roman" pitchFamily="18" charset="0"/>
            </a:rPr>
            <a:t>Establishing Composite Relationship Regression) between Thermal Performance and Physical Attributes of Building</a:t>
          </a:r>
        </a:p>
      </dgm:t>
    </dgm:pt>
    <dgm:pt modelId="{61FACE2D-9DFD-4779-82D8-9F4699DED0E5}" type="parTrans" cxnId="{BF231A44-B013-478C-884C-6367148172F9}">
      <dgm:prSet/>
      <dgm:spPr/>
      <dgm:t>
        <a:bodyPr/>
        <a:lstStyle/>
        <a:p>
          <a:pPr algn="ctr"/>
          <a:endParaRPr lang="en-IN" sz="2400" b="1">
            <a:latin typeface="Times New Roman" pitchFamily="18" charset="0"/>
            <a:cs typeface="Times New Roman" pitchFamily="18" charset="0"/>
          </a:endParaRPr>
        </a:p>
      </dgm:t>
    </dgm:pt>
    <dgm:pt modelId="{DC500982-8BE1-4682-ACD3-7386A22E9ACF}" type="sibTrans" cxnId="{BF231A44-B013-478C-884C-6367148172F9}">
      <dgm:prSet custT="1"/>
      <dgm:spPr/>
      <dgm:t>
        <a:bodyPr/>
        <a:lstStyle/>
        <a:p>
          <a:pPr algn="ctr"/>
          <a:endParaRPr lang="en-IN" sz="1000" b="1">
            <a:latin typeface="Times New Roman" pitchFamily="18" charset="0"/>
            <a:cs typeface="Times New Roman" pitchFamily="18" charset="0"/>
          </a:endParaRPr>
        </a:p>
      </dgm:t>
    </dgm:pt>
    <dgm:pt modelId="{0699B06D-D174-4A74-A757-BEB0EB50155C}" type="pres">
      <dgm:prSet presAssocID="{8310726A-7009-4C2F-9A7F-FEDB3D8A31AA}" presName="linearFlow" presStyleCnt="0">
        <dgm:presLayoutVars>
          <dgm:resizeHandles val="exact"/>
        </dgm:presLayoutVars>
      </dgm:prSet>
      <dgm:spPr/>
    </dgm:pt>
    <dgm:pt modelId="{3D671546-E4BF-4E63-9902-A90413E21FAA}" type="pres">
      <dgm:prSet presAssocID="{9E2EF274-8FEB-4CFE-ADE4-DB3ACDED8485}" presName="node" presStyleLbl="node1" presStyleIdx="0" presStyleCnt="10">
        <dgm:presLayoutVars>
          <dgm:bulletEnabled val="1"/>
        </dgm:presLayoutVars>
      </dgm:prSet>
      <dgm:spPr/>
      <dgm:t>
        <a:bodyPr/>
        <a:lstStyle/>
        <a:p>
          <a:endParaRPr lang="en-US"/>
        </a:p>
      </dgm:t>
    </dgm:pt>
    <dgm:pt modelId="{3C573848-FBB9-4880-AD91-85F9E103BE90}" type="pres">
      <dgm:prSet presAssocID="{B843240F-ED86-4249-9E34-863FD080F0C7}" presName="sibTrans" presStyleLbl="sibTrans2D1" presStyleIdx="0" presStyleCnt="9"/>
      <dgm:spPr/>
      <dgm:t>
        <a:bodyPr/>
        <a:lstStyle/>
        <a:p>
          <a:endParaRPr lang="en-US"/>
        </a:p>
      </dgm:t>
    </dgm:pt>
    <dgm:pt modelId="{00D520B7-7343-4271-8E88-7744B04F135D}" type="pres">
      <dgm:prSet presAssocID="{B843240F-ED86-4249-9E34-863FD080F0C7}" presName="connectorText" presStyleLbl="sibTrans2D1" presStyleIdx="0" presStyleCnt="9"/>
      <dgm:spPr/>
      <dgm:t>
        <a:bodyPr/>
        <a:lstStyle/>
        <a:p>
          <a:endParaRPr lang="en-US"/>
        </a:p>
      </dgm:t>
    </dgm:pt>
    <dgm:pt modelId="{83AC0943-01A0-4D08-BE50-3F41E2CAE0FD}" type="pres">
      <dgm:prSet presAssocID="{45D99CFC-62E2-453D-8425-469849E76C70}" presName="node" presStyleLbl="node1" presStyleIdx="1" presStyleCnt="10">
        <dgm:presLayoutVars>
          <dgm:bulletEnabled val="1"/>
        </dgm:presLayoutVars>
      </dgm:prSet>
      <dgm:spPr/>
      <dgm:t>
        <a:bodyPr/>
        <a:lstStyle/>
        <a:p>
          <a:endParaRPr lang="en-US"/>
        </a:p>
      </dgm:t>
    </dgm:pt>
    <dgm:pt modelId="{B3EC03BB-5595-4276-85CF-97075C8FED3B}" type="pres">
      <dgm:prSet presAssocID="{ED257072-0AAE-4185-B819-2EDF0654BE82}" presName="sibTrans" presStyleLbl="sibTrans2D1" presStyleIdx="1" presStyleCnt="9"/>
      <dgm:spPr/>
      <dgm:t>
        <a:bodyPr/>
        <a:lstStyle/>
        <a:p>
          <a:endParaRPr lang="en-US"/>
        </a:p>
      </dgm:t>
    </dgm:pt>
    <dgm:pt modelId="{997390DF-6B2F-44C5-948C-23E8D0F1CFB5}" type="pres">
      <dgm:prSet presAssocID="{ED257072-0AAE-4185-B819-2EDF0654BE82}" presName="connectorText" presStyleLbl="sibTrans2D1" presStyleIdx="1" presStyleCnt="9"/>
      <dgm:spPr/>
      <dgm:t>
        <a:bodyPr/>
        <a:lstStyle/>
        <a:p>
          <a:endParaRPr lang="en-US"/>
        </a:p>
      </dgm:t>
    </dgm:pt>
    <dgm:pt modelId="{402E6C5A-1B98-4C9E-BC33-7CFDC5096D4D}" type="pres">
      <dgm:prSet presAssocID="{6B407E00-0343-4033-B68D-D973616C4EE7}" presName="node" presStyleLbl="node1" presStyleIdx="2" presStyleCnt="10">
        <dgm:presLayoutVars>
          <dgm:bulletEnabled val="1"/>
        </dgm:presLayoutVars>
      </dgm:prSet>
      <dgm:spPr/>
      <dgm:t>
        <a:bodyPr/>
        <a:lstStyle/>
        <a:p>
          <a:endParaRPr lang="en-US"/>
        </a:p>
      </dgm:t>
    </dgm:pt>
    <dgm:pt modelId="{5AECF207-BD13-4E52-BFEA-EC3BDDDCB495}" type="pres">
      <dgm:prSet presAssocID="{087D8624-8A4C-45AD-822D-B333E3C68DDC}" presName="sibTrans" presStyleLbl="sibTrans2D1" presStyleIdx="2" presStyleCnt="9"/>
      <dgm:spPr/>
      <dgm:t>
        <a:bodyPr/>
        <a:lstStyle/>
        <a:p>
          <a:endParaRPr lang="en-US"/>
        </a:p>
      </dgm:t>
    </dgm:pt>
    <dgm:pt modelId="{FA29763E-34B9-425A-BD22-69441AED4D66}" type="pres">
      <dgm:prSet presAssocID="{087D8624-8A4C-45AD-822D-B333E3C68DDC}" presName="connectorText" presStyleLbl="sibTrans2D1" presStyleIdx="2" presStyleCnt="9"/>
      <dgm:spPr/>
      <dgm:t>
        <a:bodyPr/>
        <a:lstStyle/>
        <a:p>
          <a:endParaRPr lang="en-US"/>
        </a:p>
      </dgm:t>
    </dgm:pt>
    <dgm:pt modelId="{D3A6AC70-4340-4C09-9210-CBE43E7B7F8D}" type="pres">
      <dgm:prSet presAssocID="{CE59DA01-CCD9-4280-93FA-A50314C3940D}" presName="node" presStyleLbl="node1" presStyleIdx="3" presStyleCnt="10">
        <dgm:presLayoutVars>
          <dgm:bulletEnabled val="1"/>
        </dgm:presLayoutVars>
      </dgm:prSet>
      <dgm:spPr/>
      <dgm:t>
        <a:bodyPr/>
        <a:lstStyle/>
        <a:p>
          <a:endParaRPr lang="en-US"/>
        </a:p>
      </dgm:t>
    </dgm:pt>
    <dgm:pt modelId="{EB6D353B-BE43-4176-9EAD-6FF75C7D515F}" type="pres">
      <dgm:prSet presAssocID="{CC9915BD-E1AE-43D3-9150-8D7D50513E99}" presName="sibTrans" presStyleLbl="sibTrans2D1" presStyleIdx="3" presStyleCnt="9"/>
      <dgm:spPr/>
      <dgm:t>
        <a:bodyPr/>
        <a:lstStyle/>
        <a:p>
          <a:endParaRPr lang="en-US"/>
        </a:p>
      </dgm:t>
    </dgm:pt>
    <dgm:pt modelId="{D901E7AA-89CC-4EDB-9A4A-7FB8AFA1078A}" type="pres">
      <dgm:prSet presAssocID="{CC9915BD-E1AE-43D3-9150-8D7D50513E99}" presName="connectorText" presStyleLbl="sibTrans2D1" presStyleIdx="3" presStyleCnt="9"/>
      <dgm:spPr/>
      <dgm:t>
        <a:bodyPr/>
        <a:lstStyle/>
        <a:p>
          <a:endParaRPr lang="en-US"/>
        </a:p>
      </dgm:t>
    </dgm:pt>
    <dgm:pt modelId="{00A2EC49-C1A8-4888-AFAB-2A0E0D51E040}" type="pres">
      <dgm:prSet presAssocID="{1977C2C9-3DC0-4763-B3E8-CC764004C164}" presName="node" presStyleLbl="node1" presStyleIdx="4" presStyleCnt="10">
        <dgm:presLayoutVars>
          <dgm:bulletEnabled val="1"/>
        </dgm:presLayoutVars>
      </dgm:prSet>
      <dgm:spPr/>
      <dgm:t>
        <a:bodyPr/>
        <a:lstStyle/>
        <a:p>
          <a:endParaRPr lang="en-US"/>
        </a:p>
      </dgm:t>
    </dgm:pt>
    <dgm:pt modelId="{DEFD36D8-CB61-4237-ABBE-3F9DD9DAE66A}" type="pres">
      <dgm:prSet presAssocID="{A1715CEE-BE81-476A-90EF-103D7580AD1F}" presName="sibTrans" presStyleLbl="sibTrans2D1" presStyleIdx="4" presStyleCnt="9"/>
      <dgm:spPr/>
      <dgm:t>
        <a:bodyPr/>
        <a:lstStyle/>
        <a:p>
          <a:endParaRPr lang="en-US"/>
        </a:p>
      </dgm:t>
    </dgm:pt>
    <dgm:pt modelId="{165A7D8C-588D-4F49-ACB6-F4E39174BD25}" type="pres">
      <dgm:prSet presAssocID="{A1715CEE-BE81-476A-90EF-103D7580AD1F}" presName="connectorText" presStyleLbl="sibTrans2D1" presStyleIdx="4" presStyleCnt="9"/>
      <dgm:spPr/>
      <dgm:t>
        <a:bodyPr/>
        <a:lstStyle/>
        <a:p>
          <a:endParaRPr lang="en-US"/>
        </a:p>
      </dgm:t>
    </dgm:pt>
    <dgm:pt modelId="{ADB2EA00-AE28-457C-9456-864BE23C4943}" type="pres">
      <dgm:prSet presAssocID="{7A9E25C7-6388-46D4-9F47-DB89FC64E209}" presName="node" presStyleLbl="node1" presStyleIdx="5" presStyleCnt="10">
        <dgm:presLayoutVars>
          <dgm:bulletEnabled val="1"/>
        </dgm:presLayoutVars>
      </dgm:prSet>
      <dgm:spPr/>
      <dgm:t>
        <a:bodyPr/>
        <a:lstStyle/>
        <a:p>
          <a:endParaRPr lang="en-US"/>
        </a:p>
      </dgm:t>
    </dgm:pt>
    <dgm:pt modelId="{5FA41C74-2B64-4EE1-901E-EAE9EE3C51CD}" type="pres">
      <dgm:prSet presAssocID="{419FCCFD-30B3-4137-8AAE-D32E9E89F6F6}" presName="sibTrans" presStyleLbl="sibTrans2D1" presStyleIdx="5" presStyleCnt="9"/>
      <dgm:spPr/>
      <dgm:t>
        <a:bodyPr/>
        <a:lstStyle/>
        <a:p>
          <a:endParaRPr lang="en-US"/>
        </a:p>
      </dgm:t>
    </dgm:pt>
    <dgm:pt modelId="{87675C4B-A12A-4EA2-81BB-D2191E31C79D}" type="pres">
      <dgm:prSet presAssocID="{419FCCFD-30B3-4137-8AAE-D32E9E89F6F6}" presName="connectorText" presStyleLbl="sibTrans2D1" presStyleIdx="5" presStyleCnt="9"/>
      <dgm:spPr/>
      <dgm:t>
        <a:bodyPr/>
        <a:lstStyle/>
        <a:p>
          <a:endParaRPr lang="en-US"/>
        </a:p>
      </dgm:t>
    </dgm:pt>
    <dgm:pt modelId="{23BE7F85-45B8-4A5A-BCF7-DC841EF3DAD7}" type="pres">
      <dgm:prSet presAssocID="{DF0B6677-43E1-4B16-BDAE-3D02D95CE43A}" presName="node" presStyleLbl="node1" presStyleIdx="6" presStyleCnt="10">
        <dgm:presLayoutVars>
          <dgm:bulletEnabled val="1"/>
        </dgm:presLayoutVars>
      </dgm:prSet>
      <dgm:spPr/>
      <dgm:t>
        <a:bodyPr/>
        <a:lstStyle/>
        <a:p>
          <a:endParaRPr lang="en-US"/>
        </a:p>
      </dgm:t>
    </dgm:pt>
    <dgm:pt modelId="{E42D4728-4DE0-449A-B550-3BEA2F450F84}" type="pres">
      <dgm:prSet presAssocID="{6326B6B4-C181-4DDD-B4F5-6BB6F333F754}" presName="sibTrans" presStyleLbl="sibTrans2D1" presStyleIdx="6" presStyleCnt="9"/>
      <dgm:spPr/>
      <dgm:t>
        <a:bodyPr/>
        <a:lstStyle/>
        <a:p>
          <a:endParaRPr lang="en-US"/>
        </a:p>
      </dgm:t>
    </dgm:pt>
    <dgm:pt modelId="{2B188932-63DD-4010-ACD7-177648CB4B3B}" type="pres">
      <dgm:prSet presAssocID="{6326B6B4-C181-4DDD-B4F5-6BB6F333F754}" presName="connectorText" presStyleLbl="sibTrans2D1" presStyleIdx="6" presStyleCnt="9"/>
      <dgm:spPr/>
      <dgm:t>
        <a:bodyPr/>
        <a:lstStyle/>
        <a:p>
          <a:endParaRPr lang="en-US"/>
        </a:p>
      </dgm:t>
    </dgm:pt>
    <dgm:pt modelId="{F1570C9F-ABF7-4E90-96F2-1B09CFD46844}" type="pres">
      <dgm:prSet presAssocID="{67075EFC-82C1-4DC0-8B2C-7F14E60E443D}" presName="node" presStyleLbl="node1" presStyleIdx="7" presStyleCnt="10" custScaleX="117031">
        <dgm:presLayoutVars>
          <dgm:bulletEnabled val="1"/>
        </dgm:presLayoutVars>
      </dgm:prSet>
      <dgm:spPr/>
      <dgm:t>
        <a:bodyPr/>
        <a:lstStyle/>
        <a:p>
          <a:endParaRPr lang="en-US"/>
        </a:p>
      </dgm:t>
    </dgm:pt>
    <dgm:pt modelId="{33C74CDE-1577-46C6-8727-76BF975FCB4C}" type="pres">
      <dgm:prSet presAssocID="{805F4CB2-025D-4E0B-86A5-7E5E073D43A4}" presName="sibTrans" presStyleLbl="sibTrans2D1" presStyleIdx="7" presStyleCnt="9"/>
      <dgm:spPr/>
      <dgm:t>
        <a:bodyPr/>
        <a:lstStyle/>
        <a:p>
          <a:endParaRPr lang="en-US"/>
        </a:p>
      </dgm:t>
    </dgm:pt>
    <dgm:pt modelId="{A69D3AFE-C8D3-487D-B517-3A395A1BBA7E}" type="pres">
      <dgm:prSet presAssocID="{805F4CB2-025D-4E0B-86A5-7E5E073D43A4}" presName="connectorText" presStyleLbl="sibTrans2D1" presStyleIdx="7" presStyleCnt="9"/>
      <dgm:spPr/>
      <dgm:t>
        <a:bodyPr/>
        <a:lstStyle/>
        <a:p>
          <a:endParaRPr lang="en-US"/>
        </a:p>
      </dgm:t>
    </dgm:pt>
    <dgm:pt modelId="{5E0FB72C-F9D2-44F5-877F-6F8AB5525056}" type="pres">
      <dgm:prSet presAssocID="{C841F583-D316-47B8-BEEA-D31767301783}" presName="node" presStyleLbl="node1" presStyleIdx="8" presStyleCnt="10" custScaleX="164932">
        <dgm:presLayoutVars>
          <dgm:bulletEnabled val="1"/>
        </dgm:presLayoutVars>
      </dgm:prSet>
      <dgm:spPr/>
      <dgm:t>
        <a:bodyPr/>
        <a:lstStyle/>
        <a:p>
          <a:endParaRPr lang="en-US"/>
        </a:p>
      </dgm:t>
    </dgm:pt>
    <dgm:pt modelId="{1BEC2E83-AD35-4890-928A-850E99EB105F}" type="pres">
      <dgm:prSet presAssocID="{DC500982-8BE1-4682-ACD3-7386A22E9ACF}" presName="sibTrans" presStyleLbl="sibTrans2D1" presStyleIdx="8" presStyleCnt="9"/>
      <dgm:spPr/>
      <dgm:t>
        <a:bodyPr/>
        <a:lstStyle/>
        <a:p>
          <a:endParaRPr lang="en-US"/>
        </a:p>
      </dgm:t>
    </dgm:pt>
    <dgm:pt modelId="{8F8AA48E-41A3-4169-9340-030074EE0EB2}" type="pres">
      <dgm:prSet presAssocID="{DC500982-8BE1-4682-ACD3-7386A22E9ACF}" presName="connectorText" presStyleLbl="sibTrans2D1" presStyleIdx="8" presStyleCnt="9"/>
      <dgm:spPr/>
      <dgm:t>
        <a:bodyPr/>
        <a:lstStyle/>
        <a:p>
          <a:endParaRPr lang="en-US"/>
        </a:p>
      </dgm:t>
    </dgm:pt>
    <dgm:pt modelId="{DBBA1BC0-D6AA-4782-A6D2-8B5CA4007B3A}" type="pres">
      <dgm:prSet presAssocID="{22361E53-36B6-4A12-8431-C29C1D9BD2E0}" presName="node" presStyleLbl="node1" presStyleIdx="9" presStyleCnt="10">
        <dgm:presLayoutVars>
          <dgm:bulletEnabled val="1"/>
        </dgm:presLayoutVars>
      </dgm:prSet>
      <dgm:spPr/>
      <dgm:t>
        <a:bodyPr/>
        <a:lstStyle/>
        <a:p>
          <a:endParaRPr lang="en-US"/>
        </a:p>
      </dgm:t>
    </dgm:pt>
  </dgm:ptLst>
  <dgm:cxnLst>
    <dgm:cxn modelId="{C8F7A9F5-84EE-482C-A2F4-08CB5B978EA1}" type="presOf" srcId="{805F4CB2-025D-4E0B-86A5-7E5E073D43A4}" destId="{A69D3AFE-C8D3-487D-B517-3A395A1BBA7E}" srcOrd="1" destOrd="0" presId="urn:microsoft.com/office/officeart/2005/8/layout/process2"/>
    <dgm:cxn modelId="{7BA016BD-CDE6-460B-AC41-148742F466B0}" type="presOf" srcId="{CC9915BD-E1AE-43D3-9150-8D7D50513E99}" destId="{D901E7AA-89CC-4EDB-9A4A-7FB8AFA1078A}" srcOrd="1" destOrd="0" presId="urn:microsoft.com/office/officeart/2005/8/layout/process2"/>
    <dgm:cxn modelId="{5D81F8C3-A9F2-4678-8EF2-388D6DF945FF}" type="presOf" srcId="{7A9E25C7-6388-46D4-9F47-DB89FC64E209}" destId="{ADB2EA00-AE28-457C-9456-864BE23C4943}" srcOrd="0" destOrd="0" presId="urn:microsoft.com/office/officeart/2005/8/layout/process2"/>
    <dgm:cxn modelId="{DDDB6A04-0774-4181-B6FC-EFDD73157690}" type="presOf" srcId="{B843240F-ED86-4249-9E34-863FD080F0C7}" destId="{00D520B7-7343-4271-8E88-7744B04F135D}" srcOrd="1" destOrd="0" presId="urn:microsoft.com/office/officeart/2005/8/layout/process2"/>
    <dgm:cxn modelId="{410F2474-D85B-4408-97EC-E781DD1FC949}" srcId="{8310726A-7009-4C2F-9A7F-FEDB3D8A31AA}" destId="{67075EFC-82C1-4DC0-8B2C-7F14E60E443D}" srcOrd="7" destOrd="0" parTransId="{551760E9-7B4C-4AEE-816E-E57E9E49B37E}" sibTransId="{805F4CB2-025D-4E0B-86A5-7E5E073D43A4}"/>
    <dgm:cxn modelId="{BF231A44-B013-478C-884C-6367148172F9}" srcId="{8310726A-7009-4C2F-9A7F-FEDB3D8A31AA}" destId="{C841F583-D316-47B8-BEEA-D31767301783}" srcOrd="8" destOrd="0" parTransId="{61FACE2D-9DFD-4779-82D8-9F4699DED0E5}" sibTransId="{DC500982-8BE1-4682-ACD3-7386A22E9ACF}"/>
    <dgm:cxn modelId="{0D519BF4-F2EE-4D19-BBA2-BF8089F73E2B}" type="presOf" srcId="{9E2EF274-8FEB-4CFE-ADE4-DB3ACDED8485}" destId="{3D671546-E4BF-4E63-9902-A90413E21FAA}" srcOrd="0" destOrd="0" presId="urn:microsoft.com/office/officeart/2005/8/layout/process2"/>
    <dgm:cxn modelId="{290C6970-128B-4866-93C9-BB3134298BA6}" type="presOf" srcId="{419FCCFD-30B3-4137-8AAE-D32E9E89F6F6}" destId="{5FA41C74-2B64-4EE1-901E-EAE9EE3C51CD}" srcOrd="0" destOrd="0" presId="urn:microsoft.com/office/officeart/2005/8/layout/process2"/>
    <dgm:cxn modelId="{6B498FB1-9B62-4DF3-A6F7-E33845193AB5}" type="presOf" srcId="{C841F583-D316-47B8-BEEA-D31767301783}" destId="{5E0FB72C-F9D2-44F5-877F-6F8AB5525056}" srcOrd="0" destOrd="0" presId="urn:microsoft.com/office/officeart/2005/8/layout/process2"/>
    <dgm:cxn modelId="{855E4185-CA9D-4C2B-B939-0E4F2FD44E82}" srcId="{8310726A-7009-4C2F-9A7F-FEDB3D8A31AA}" destId="{DF0B6677-43E1-4B16-BDAE-3D02D95CE43A}" srcOrd="6" destOrd="0" parTransId="{915A3EF3-2E6E-4CA0-BE63-65586CC4FC88}" sibTransId="{6326B6B4-C181-4DDD-B4F5-6BB6F333F754}"/>
    <dgm:cxn modelId="{64E284C9-6055-4856-808C-3DB1EDE002A5}" type="presOf" srcId="{A1715CEE-BE81-476A-90EF-103D7580AD1F}" destId="{DEFD36D8-CB61-4237-ABBE-3F9DD9DAE66A}" srcOrd="0" destOrd="0" presId="urn:microsoft.com/office/officeart/2005/8/layout/process2"/>
    <dgm:cxn modelId="{C959ACE4-504E-4BA4-9FB0-0CBD04A83C33}" type="presOf" srcId="{DC500982-8BE1-4682-ACD3-7386A22E9ACF}" destId="{8F8AA48E-41A3-4169-9340-030074EE0EB2}" srcOrd="1" destOrd="0" presId="urn:microsoft.com/office/officeart/2005/8/layout/process2"/>
    <dgm:cxn modelId="{471E9E44-879D-4317-B43B-53F6A02CBBB2}" type="presOf" srcId="{419FCCFD-30B3-4137-8AAE-D32E9E89F6F6}" destId="{87675C4B-A12A-4EA2-81BB-D2191E31C79D}" srcOrd="1" destOrd="0" presId="urn:microsoft.com/office/officeart/2005/8/layout/process2"/>
    <dgm:cxn modelId="{8DA9C2C0-92A9-4B05-80CC-6AE95CAAB3D4}" type="presOf" srcId="{CC9915BD-E1AE-43D3-9150-8D7D50513E99}" destId="{EB6D353B-BE43-4176-9EAD-6FF75C7D515F}" srcOrd="0" destOrd="0" presId="urn:microsoft.com/office/officeart/2005/8/layout/process2"/>
    <dgm:cxn modelId="{3A1CCF49-4532-4DDE-9DEB-F0A98E116F9A}" type="presOf" srcId="{22361E53-36B6-4A12-8431-C29C1D9BD2E0}" destId="{DBBA1BC0-D6AA-4782-A6D2-8B5CA4007B3A}" srcOrd="0" destOrd="0" presId="urn:microsoft.com/office/officeart/2005/8/layout/process2"/>
    <dgm:cxn modelId="{E95CB1D6-750E-4A3E-AA76-10F69E5AD11F}" type="presOf" srcId="{087D8624-8A4C-45AD-822D-B333E3C68DDC}" destId="{5AECF207-BD13-4E52-BFEA-EC3BDDDCB495}" srcOrd="0" destOrd="0" presId="urn:microsoft.com/office/officeart/2005/8/layout/process2"/>
    <dgm:cxn modelId="{005E5A66-8DE1-4BE9-ABE9-B90525C8127A}" type="presOf" srcId="{DF0B6677-43E1-4B16-BDAE-3D02D95CE43A}" destId="{23BE7F85-45B8-4A5A-BCF7-DC841EF3DAD7}" srcOrd="0" destOrd="0" presId="urn:microsoft.com/office/officeart/2005/8/layout/process2"/>
    <dgm:cxn modelId="{4E8DAD21-3261-474C-B28A-279A32F6E6AB}" type="presOf" srcId="{1977C2C9-3DC0-4763-B3E8-CC764004C164}" destId="{00A2EC49-C1A8-4888-AFAB-2A0E0D51E040}" srcOrd="0" destOrd="0" presId="urn:microsoft.com/office/officeart/2005/8/layout/process2"/>
    <dgm:cxn modelId="{629442D8-CA50-4A0A-81EF-66CF350EF7BB}" srcId="{8310726A-7009-4C2F-9A7F-FEDB3D8A31AA}" destId="{7A9E25C7-6388-46D4-9F47-DB89FC64E209}" srcOrd="5" destOrd="0" parTransId="{DFB709F6-94AB-4B0D-B681-D3F2CC9BA064}" sibTransId="{419FCCFD-30B3-4137-8AAE-D32E9E89F6F6}"/>
    <dgm:cxn modelId="{A8559958-86FE-4B30-B361-5B7A1801587B}" type="presOf" srcId="{ED257072-0AAE-4185-B819-2EDF0654BE82}" destId="{B3EC03BB-5595-4276-85CF-97075C8FED3B}" srcOrd="0" destOrd="0" presId="urn:microsoft.com/office/officeart/2005/8/layout/process2"/>
    <dgm:cxn modelId="{6F2415D3-9045-48AF-ABBE-25C0056BDA14}" type="presOf" srcId="{A1715CEE-BE81-476A-90EF-103D7580AD1F}" destId="{165A7D8C-588D-4F49-ACB6-F4E39174BD25}" srcOrd="1" destOrd="0" presId="urn:microsoft.com/office/officeart/2005/8/layout/process2"/>
    <dgm:cxn modelId="{E2987BC1-7481-4972-90DF-C614FE207B7A}" type="presOf" srcId="{DC500982-8BE1-4682-ACD3-7386A22E9ACF}" destId="{1BEC2E83-AD35-4890-928A-850E99EB105F}" srcOrd="0" destOrd="0" presId="urn:microsoft.com/office/officeart/2005/8/layout/process2"/>
    <dgm:cxn modelId="{E17CEF1C-F39E-49F0-82CD-3F3D95F21A07}" type="presOf" srcId="{805F4CB2-025D-4E0B-86A5-7E5E073D43A4}" destId="{33C74CDE-1577-46C6-8727-76BF975FCB4C}" srcOrd="0" destOrd="0" presId="urn:microsoft.com/office/officeart/2005/8/layout/process2"/>
    <dgm:cxn modelId="{E46191E3-BE16-47DD-BE77-890FB777219E}" type="presOf" srcId="{6326B6B4-C181-4DDD-B4F5-6BB6F333F754}" destId="{E42D4728-4DE0-449A-B550-3BEA2F450F84}" srcOrd="0" destOrd="0" presId="urn:microsoft.com/office/officeart/2005/8/layout/process2"/>
    <dgm:cxn modelId="{2A6CC01B-659E-460C-9EB2-10245AAE93AB}" srcId="{8310726A-7009-4C2F-9A7F-FEDB3D8A31AA}" destId="{22361E53-36B6-4A12-8431-C29C1D9BD2E0}" srcOrd="9" destOrd="0" parTransId="{60317221-CA04-4591-9A52-11261F835CA2}" sibTransId="{4EE90A2C-03BF-4561-9158-27DF2BE1D088}"/>
    <dgm:cxn modelId="{2E865D54-C880-4540-9112-08017B321CDB}" srcId="{8310726A-7009-4C2F-9A7F-FEDB3D8A31AA}" destId="{45D99CFC-62E2-453D-8425-469849E76C70}" srcOrd="1" destOrd="0" parTransId="{22936657-43E2-425A-8949-ED3BD50C9B1E}" sibTransId="{ED257072-0AAE-4185-B819-2EDF0654BE82}"/>
    <dgm:cxn modelId="{CB574486-25D4-4D23-9EB2-A1A680CFA403}" srcId="{8310726A-7009-4C2F-9A7F-FEDB3D8A31AA}" destId="{6B407E00-0343-4033-B68D-D973616C4EE7}" srcOrd="2" destOrd="0" parTransId="{5FB8C7E2-36D7-43F9-8CFC-8B579E1F7E1A}" sibTransId="{087D8624-8A4C-45AD-822D-B333E3C68DDC}"/>
    <dgm:cxn modelId="{071C894E-918C-4346-B59D-1FD8A853E529}" type="presOf" srcId="{67075EFC-82C1-4DC0-8B2C-7F14E60E443D}" destId="{F1570C9F-ABF7-4E90-96F2-1B09CFD46844}" srcOrd="0" destOrd="0" presId="urn:microsoft.com/office/officeart/2005/8/layout/process2"/>
    <dgm:cxn modelId="{05ED309E-3D75-4D3E-B400-B9D7CFD19E15}" srcId="{8310726A-7009-4C2F-9A7F-FEDB3D8A31AA}" destId="{1977C2C9-3DC0-4763-B3E8-CC764004C164}" srcOrd="4" destOrd="0" parTransId="{9A880454-6B73-4802-A230-F82A39AB54F9}" sibTransId="{A1715CEE-BE81-476A-90EF-103D7580AD1F}"/>
    <dgm:cxn modelId="{35010DC0-47AD-4B93-8F88-C69CD0E84AB7}" type="presOf" srcId="{ED257072-0AAE-4185-B819-2EDF0654BE82}" destId="{997390DF-6B2F-44C5-948C-23E8D0F1CFB5}" srcOrd="1" destOrd="0" presId="urn:microsoft.com/office/officeart/2005/8/layout/process2"/>
    <dgm:cxn modelId="{3361DC31-7656-447A-8463-6E5AA2703EF7}" srcId="{8310726A-7009-4C2F-9A7F-FEDB3D8A31AA}" destId="{9E2EF274-8FEB-4CFE-ADE4-DB3ACDED8485}" srcOrd="0" destOrd="0" parTransId="{3916B814-068E-4AA8-96B7-7851D04E29DC}" sibTransId="{B843240F-ED86-4249-9E34-863FD080F0C7}"/>
    <dgm:cxn modelId="{37FF077E-6BC7-4A0F-89B1-50AF261BB197}" type="presOf" srcId="{6326B6B4-C181-4DDD-B4F5-6BB6F333F754}" destId="{2B188932-63DD-4010-ACD7-177648CB4B3B}" srcOrd="1" destOrd="0" presId="urn:microsoft.com/office/officeart/2005/8/layout/process2"/>
    <dgm:cxn modelId="{881EB33D-0D12-457C-B5EE-FB1F9C4C85C9}" srcId="{8310726A-7009-4C2F-9A7F-FEDB3D8A31AA}" destId="{CE59DA01-CCD9-4280-93FA-A50314C3940D}" srcOrd="3" destOrd="0" parTransId="{707D81EC-8ECB-4B15-BF72-2232306CC45F}" sibTransId="{CC9915BD-E1AE-43D3-9150-8D7D50513E99}"/>
    <dgm:cxn modelId="{151E90E2-6C60-4DF2-B17D-7FE0A63D69A3}" type="presOf" srcId="{8310726A-7009-4C2F-9A7F-FEDB3D8A31AA}" destId="{0699B06D-D174-4A74-A757-BEB0EB50155C}" srcOrd="0" destOrd="0" presId="urn:microsoft.com/office/officeart/2005/8/layout/process2"/>
    <dgm:cxn modelId="{55F965DF-1B9D-45A9-9C5E-1BFAAC9159E9}" type="presOf" srcId="{6B407E00-0343-4033-B68D-D973616C4EE7}" destId="{402E6C5A-1B98-4C9E-BC33-7CFDC5096D4D}" srcOrd="0" destOrd="0" presId="urn:microsoft.com/office/officeart/2005/8/layout/process2"/>
    <dgm:cxn modelId="{C1F27F38-1E31-499A-BF43-EB3763FCAC65}" type="presOf" srcId="{B843240F-ED86-4249-9E34-863FD080F0C7}" destId="{3C573848-FBB9-4880-AD91-85F9E103BE90}" srcOrd="0" destOrd="0" presId="urn:microsoft.com/office/officeart/2005/8/layout/process2"/>
    <dgm:cxn modelId="{8F025625-9C36-4C88-8F4C-FE6A34B3186E}" type="presOf" srcId="{087D8624-8A4C-45AD-822D-B333E3C68DDC}" destId="{FA29763E-34B9-425A-BD22-69441AED4D66}" srcOrd="1" destOrd="0" presId="urn:microsoft.com/office/officeart/2005/8/layout/process2"/>
    <dgm:cxn modelId="{7BD54ED5-3C5A-4681-8A5F-86F96AFF667B}" type="presOf" srcId="{45D99CFC-62E2-453D-8425-469849E76C70}" destId="{83AC0943-01A0-4D08-BE50-3F41E2CAE0FD}" srcOrd="0" destOrd="0" presId="urn:microsoft.com/office/officeart/2005/8/layout/process2"/>
    <dgm:cxn modelId="{8DBBFC92-B587-4C30-A390-9EFE0021702D}" type="presOf" srcId="{CE59DA01-CCD9-4280-93FA-A50314C3940D}" destId="{D3A6AC70-4340-4C09-9210-CBE43E7B7F8D}" srcOrd="0" destOrd="0" presId="urn:microsoft.com/office/officeart/2005/8/layout/process2"/>
    <dgm:cxn modelId="{730D02E8-F6D8-472F-88FD-71EF3242B3A1}" type="presParOf" srcId="{0699B06D-D174-4A74-A757-BEB0EB50155C}" destId="{3D671546-E4BF-4E63-9902-A90413E21FAA}" srcOrd="0" destOrd="0" presId="urn:microsoft.com/office/officeart/2005/8/layout/process2"/>
    <dgm:cxn modelId="{F13E28D7-5DB6-4473-870E-56ED3A616C6A}" type="presParOf" srcId="{0699B06D-D174-4A74-A757-BEB0EB50155C}" destId="{3C573848-FBB9-4880-AD91-85F9E103BE90}" srcOrd="1" destOrd="0" presId="urn:microsoft.com/office/officeart/2005/8/layout/process2"/>
    <dgm:cxn modelId="{A26B6AC6-DAF0-4B89-B201-D50553540B7D}" type="presParOf" srcId="{3C573848-FBB9-4880-AD91-85F9E103BE90}" destId="{00D520B7-7343-4271-8E88-7744B04F135D}" srcOrd="0" destOrd="0" presId="urn:microsoft.com/office/officeart/2005/8/layout/process2"/>
    <dgm:cxn modelId="{F1A69B85-6FA6-4C51-8583-129EA6AC5BF4}" type="presParOf" srcId="{0699B06D-D174-4A74-A757-BEB0EB50155C}" destId="{83AC0943-01A0-4D08-BE50-3F41E2CAE0FD}" srcOrd="2" destOrd="0" presId="urn:microsoft.com/office/officeart/2005/8/layout/process2"/>
    <dgm:cxn modelId="{9F35165A-4F28-466D-B8D1-5A02DAC2D5D4}" type="presParOf" srcId="{0699B06D-D174-4A74-A757-BEB0EB50155C}" destId="{B3EC03BB-5595-4276-85CF-97075C8FED3B}" srcOrd="3" destOrd="0" presId="urn:microsoft.com/office/officeart/2005/8/layout/process2"/>
    <dgm:cxn modelId="{4EB19F83-C561-4CF7-8770-E0CC8129D627}" type="presParOf" srcId="{B3EC03BB-5595-4276-85CF-97075C8FED3B}" destId="{997390DF-6B2F-44C5-948C-23E8D0F1CFB5}" srcOrd="0" destOrd="0" presId="urn:microsoft.com/office/officeart/2005/8/layout/process2"/>
    <dgm:cxn modelId="{6CFF6F42-CF6F-47C5-A719-762BC72D6979}" type="presParOf" srcId="{0699B06D-D174-4A74-A757-BEB0EB50155C}" destId="{402E6C5A-1B98-4C9E-BC33-7CFDC5096D4D}" srcOrd="4" destOrd="0" presId="urn:microsoft.com/office/officeart/2005/8/layout/process2"/>
    <dgm:cxn modelId="{B31AD841-B764-4F38-BA4D-FDB937AC87AF}" type="presParOf" srcId="{0699B06D-D174-4A74-A757-BEB0EB50155C}" destId="{5AECF207-BD13-4E52-BFEA-EC3BDDDCB495}" srcOrd="5" destOrd="0" presId="urn:microsoft.com/office/officeart/2005/8/layout/process2"/>
    <dgm:cxn modelId="{5FB33F64-9CA6-4936-9190-BEAEEE847F28}" type="presParOf" srcId="{5AECF207-BD13-4E52-BFEA-EC3BDDDCB495}" destId="{FA29763E-34B9-425A-BD22-69441AED4D66}" srcOrd="0" destOrd="0" presId="urn:microsoft.com/office/officeart/2005/8/layout/process2"/>
    <dgm:cxn modelId="{A829C341-EAD2-481B-A948-1A0B987D65CD}" type="presParOf" srcId="{0699B06D-D174-4A74-A757-BEB0EB50155C}" destId="{D3A6AC70-4340-4C09-9210-CBE43E7B7F8D}" srcOrd="6" destOrd="0" presId="urn:microsoft.com/office/officeart/2005/8/layout/process2"/>
    <dgm:cxn modelId="{9831A75B-C955-4B44-87CA-6D25419FE927}" type="presParOf" srcId="{0699B06D-D174-4A74-A757-BEB0EB50155C}" destId="{EB6D353B-BE43-4176-9EAD-6FF75C7D515F}" srcOrd="7" destOrd="0" presId="urn:microsoft.com/office/officeart/2005/8/layout/process2"/>
    <dgm:cxn modelId="{C2F56871-675E-4207-9727-E60216C6A3CF}" type="presParOf" srcId="{EB6D353B-BE43-4176-9EAD-6FF75C7D515F}" destId="{D901E7AA-89CC-4EDB-9A4A-7FB8AFA1078A}" srcOrd="0" destOrd="0" presId="urn:microsoft.com/office/officeart/2005/8/layout/process2"/>
    <dgm:cxn modelId="{1612D7B9-C6EF-45BF-821D-632A5958F3DC}" type="presParOf" srcId="{0699B06D-D174-4A74-A757-BEB0EB50155C}" destId="{00A2EC49-C1A8-4888-AFAB-2A0E0D51E040}" srcOrd="8" destOrd="0" presId="urn:microsoft.com/office/officeart/2005/8/layout/process2"/>
    <dgm:cxn modelId="{07E280FA-3FD8-4DEE-8C4A-CFF3537F6E28}" type="presParOf" srcId="{0699B06D-D174-4A74-A757-BEB0EB50155C}" destId="{DEFD36D8-CB61-4237-ABBE-3F9DD9DAE66A}" srcOrd="9" destOrd="0" presId="urn:microsoft.com/office/officeart/2005/8/layout/process2"/>
    <dgm:cxn modelId="{F01F848C-C558-4077-8DFD-D108540509A3}" type="presParOf" srcId="{DEFD36D8-CB61-4237-ABBE-3F9DD9DAE66A}" destId="{165A7D8C-588D-4F49-ACB6-F4E39174BD25}" srcOrd="0" destOrd="0" presId="urn:microsoft.com/office/officeart/2005/8/layout/process2"/>
    <dgm:cxn modelId="{BDDDB379-F180-4DB2-9169-0D08507E806A}" type="presParOf" srcId="{0699B06D-D174-4A74-A757-BEB0EB50155C}" destId="{ADB2EA00-AE28-457C-9456-864BE23C4943}" srcOrd="10" destOrd="0" presId="urn:microsoft.com/office/officeart/2005/8/layout/process2"/>
    <dgm:cxn modelId="{443C3648-E6D9-4847-BC94-08D350D6098B}" type="presParOf" srcId="{0699B06D-D174-4A74-A757-BEB0EB50155C}" destId="{5FA41C74-2B64-4EE1-901E-EAE9EE3C51CD}" srcOrd="11" destOrd="0" presId="urn:microsoft.com/office/officeart/2005/8/layout/process2"/>
    <dgm:cxn modelId="{FB9B55A0-0E09-4EC4-AD2D-8CE92BC9BF08}" type="presParOf" srcId="{5FA41C74-2B64-4EE1-901E-EAE9EE3C51CD}" destId="{87675C4B-A12A-4EA2-81BB-D2191E31C79D}" srcOrd="0" destOrd="0" presId="urn:microsoft.com/office/officeart/2005/8/layout/process2"/>
    <dgm:cxn modelId="{EDBC81F9-C410-438D-ADEB-D1D683B4BFE1}" type="presParOf" srcId="{0699B06D-D174-4A74-A757-BEB0EB50155C}" destId="{23BE7F85-45B8-4A5A-BCF7-DC841EF3DAD7}" srcOrd="12" destOrd="0" presId="urn:microsoft.com/office/officeart/2005/8/layout/process2"/>
    <dgm:cxn modelId="{B6EF9B85-09D7-4DEB-803E-E4A357B363E7}" type="presParOf" srcId="{0699B06D-D174-4A74-A757-BEB0EB50155C}" destId="{E42D4728-4DE0-449A-B550-3BEA2F450F84}" srcOrd="13" destOrd="0" presId="urn:microsoft.com/office/officeart/2005/8/layout/process2"/>
    <dgm:cxn modelId="{2D40B6E9-1138-4B05-8E54-6DD48DE1935E}" type="presParOf" srcId="{E42D4728-4DE0-449A-B550-3BEA2F450F84}" destId="{2B188932-63DD-4010-ACD7-177648CB4B3B}" srcOrd="0" destOrd="0" presId="urn:microsoft.com/office/officeart/2005/8/layout/process2"/>
    <dgm:cxn modelId="{2BE91174-C27A-4765-A478-85EF274EC12B}" type="presParOf" srcId="{0699B06D-D174-4A74-A757-BEB0EB50155C}" destId="{F1570C9F-ABF7-4E90-96F2-1B09CFD46844}" srcOrd="14" destOrd="0" presId="urn:microsoft.com/office/officeart/2005/8/layout/process2"/>
    <dgm:cxn modelId="{08A9597A-51A6-4044-B6E0-AEA116A91284}" type="presParOf" srcId="{0699B06D-D174-4A74-A757-BEB0EB50155C}" destId="{33C74CDE-1577-46C6-8727-76BF975FCB4C}" srcOrd="15" destOrd="0" presId="urn:microsoft.com/office/officeart/2005/8/layout/process2"/>
    <dgm:cxn modelId="{AB01763C-EA4D-4E06-8E7B-FCC21F176FCB}" type="presParOf" srcId="{33C74CDE-1577-46C6-8727-76BF975FCB4C}" destId="{A69D3AFE-C8D3-487D-B517-3A395A1BBA7E}" srcOrd="0" destOrd="0" presId="urn:microsoft.com/office/officeart/2005/8/layout/process2"/>
    <dgm:cxn modelId="{15D7E632-8CC5-4F7F-A3DB-B603D767CFB2}" type="presParOf" srcId="{0699B06D-D174-4A74-A757-BEB0EB50155C}" destId="{5E0FB72C-F9D2-44F5-877F-6F8AB5525056}" srcOrd="16" destOrd="0" presId="urn:microsoft.com/office/officeart/2005/8/layout/process2"/>
    <dgm:cxn modelId="{40A62532-3D02-4427-97E1-9109C92FBB8C}" type="presParOf" srcId="{0699B06D-D174-4A74-A757-BEB0EB50155C}" destId="{1BEC2E83-AD35-4890-928A-850E99EB105F}" srcOrd="17" destOrd="0" presId="urn:microsoft.com/office/officeart/2005/8/layout/process2"/>
    <dgm:cxn modelId="{60D8530A-656B-47FD-8C58-ABB688D62779}" type="presParOf" srcId="{1BEC2E83-AD35-4890-928A-850E99EB105F}" destId="{8F8AA48E-41A3-4169-9340-030074EE0EB2}" srcOrd="0" destOrd="0" presId="urn:microsoft.com/office/officeart/2005/8/layout/process2"/>
    <dgm:cxn modelId="{E88BCA9E-7073-43C5-B5A3-93F856C73AB8}" type="presParOf" srcId="{0699B06D-D174-4A74-A757-BEB0EB50155C}" destId="{DBBA1BC0-D6AA-4782-A6D2-8B5CA4007B3A}" srcOrd="18" destOrd="0" presId="urn:microsoft.com/office/officeart/2005/8/layout/process2"/>
  </dgm:cxnLst>
  <dgm:bg>
    <a:solidFill>
      <a:schemeClr val="accent6">
        <a:lumMod val="75000"/>
      </a:schemeClr>
    </a:solidFill>
  </dgm:bg>
  <dgm:whole/>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D671546-E4BF-4E63-9902-A90413E21FAA}">
      <dsp:nvSpPr>
        <dsp:cNvPr id="0" name=""/>
        <dsp:cNvSpPr/>
      </dsp:nvSpPr>
      <dsp:spPr>
        <a:xfrm>
          <a:off x="2156674" y="11018"/>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Background Study</a:t>
          </a:r>
        </a:p>
      </dsp:txBody>
      <dsp:txXfrm>
        <a:off x="2173214" y="27558"/>
        <a:ext cx="2225820" cy="531645"/>
      </dsp:txXfrm>
    </dsp:sp>
    <dsp:sp modelId="{3C573848-FBB9-4880-AD91-85F9E103BE90}">
      <dsp:nvSpPr>
        <dsp:cNvPr id="0" name=""/>
        <dsp:cNvSpPr/>
      </dsp:nvSpPr>
      <dsp:spPr>
        <a:xfrm rot="5400000">
          <a:off x="3180239" y="589861"/>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611039"/>
        <a:ext cx="152476" cy="148240"/>
      </dsp:txXfrm>
    </dsp:sp>
    <dsp:sp modelId="{83AC0943-01A0-4D08-BE50-3F41E2CAE0FD}">
      <dsp:nvSpPr>
        <dsp:cNvPr id="0" name=""/>
        <dsp:cNvSpPr/>
      </dsp:nvSpPr>
      <dsp:spPr>
        <a:xfrm>
          <a:off x="2156674" y="858105"/>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Establishing the Need for Research</a:t>
          </a:r>
        </a:p>
      </dsp:txBody>
      <dsp:txXfrm>
        <a:off x="2173214" y="874645"/>
        <a:ext cx="2225820" cy="531645"/>
      </dsp:txXfrm>
    </dsp:sp>
    <dsp:sp modelId="{B3EC03BB-5595-4276-85CF-97075C8FED3B}">
      <dsp:nvSpPr>
        <dsp:cNvPr id="0" name=""/>
        <dsp:cNvSpPr/>
      </dsp:nvSpPr>
      <dsp:spPr>
        <a:xfrm rot="5400000">
          <a:off x="3180239" y="1436948"/>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1458126"/>
        <a:ext cx="152476" cy="148240"/>
      </dsp:txXfrm>
    </dsp:sp>
    <dsp:sp modelId="{402E6C5A-1B98-4C9E-BC33-7CFDC5096D4D}">
      <dsp:nvSpPr>
        <dsp:cNvPr id="0" name=""/>
        <dsp:cNvSpPr/>
      </dsp:nvSpPr>
      <dsp:spPr>
        <a:xfrm>
          <a:off x="2156674" y="1705193"/>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Formation of Research Question(s)</a:t>
          </a:r>
        </a:p>
      </dsp:txBody>
      <dsp:txXfrm>
        <a:off x="2173214" y="1721733"/>
        <a:ext cx="2225820" cy="531645"/>
      </dsp:txXfrm>
    </dsp:sp>
    <dsp:sp modelId="{5AECF207-BD13-4E52-BFEA-EC3BDDDCB495}">
      <dsp:nvSpPr>
        <dsp:cNvPr id="0" name=""/>
        <dsp:cNvSpPr/>
      </dsp:nvSpPr>
      <dsp:spPr>
        <a:xfrm rot="5400000">
          <a:off x="3180239" y="2284036"/>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2305214"/>
        <a:ext cx="152476" cy="148240"/>
      </dsp:txXfrm>
    </dsp:sp>
    <dsp:sp modelId="{D3A6AC70-4340-4C09-9210-CBE43E7B7F8D}">
      <dsp:nvSpPr>
        <dsp:cNvPr id="0" name=""/>
        <dsp:cNvSpPr/>
      </dsp:nvSpPr>
      <dsp:spPr>
        <a:xfrm>
          <a:off x="2156674" y="2552280"/>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Framing of Scopes and Limitations of Research</a:t>
          </a:r>
        </a:p>
      </dsp:txBody>
      <dsp:txXfrm>
        <a:off x="2173214" y="2568820"/>
        <a:ext cx="2225820" cy="531645"/>
      </dsp:txXfrm>
    </dsp:sp>
    <dsp:sp modelId="{EB6D353B-BE43-4176-9EAD-6FF75C7D515F}">
      <dsp:nvSpPr>
        <dsp:cNvPr id="0" name=""/>
        <dsp:cNvSpPr/>
      </dsp:nvSpPr>
      <dsp:spPr>
        <a:xfrm rot="5400000">
          <a:off x="3180239" y="3131124"/>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3152302"/>
        <a:ext cx="152476" cy="148240"/>
      </dsp:txXfrm>
    </dsp:sp>
    <dsp:sp modelId="{00A2EC49-C1A8-4888-AFAB-2A0E0D51E040}">
      <dsp:nvSpPr>
        <dsp:cNvPr id="0" name=""/>
        <dsp:cNvSpPr/>
      </dsp:nvSpPr>
      <dsp:spPr>
        <a:xfrm>
          <a:off x="2156674" y="3399368"/>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Choice of Study Zones</a:t>
          </a:r>
        </a:p>
      </dsp:txBody>
      <dsp:txXfrm>
        <a:off x="2173214" y="3415908"/>
        <a:ext cx="2225820" cy="531645"/>
      </dsp:txXfrm>
    </dsp:sp>
    <dsp:sp modelId="{DEFD36D8-CB61-4237-ABBE-3F9DD9DAE66A}">
      <dsp:nvSpPr>
        <dsp:cNvPr id="0" name=""/>
        <dsp:cNvSpPr/>
      </dsp:nvSpPr>
      <dsp:spPr>
        <a:xfrm rot="5400000">
          <a:off x="3180239" y="3978211"/>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3999389"/>
        <a:ext cx="152476" cy="148240"/>
      </dsp:txXfrm>
    </dsp:sp>
    <dsp:sp modelId="{ADB2EA00-AE28-457C-9456-864BE23C4943}">
      <dsp:nvSpPr>
        <dsp:cNvPr id="0" name=""/>
        <dsp:cNvSpPr/>
      </dsp:nvSpPr>
      <dsp:spPr>
        <a:xfrm>
          <a:off x="2156674" y="4246456"/>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Earmarking of Study Subjects, i.e. the Buildings</a:t>
          </a:r>
        </a:p>
      </dsp:txBody>
      <dsp:txXfrm>
        <a:off x="2173214" y="4262996"/>
        <a:ext cx="2225820" cy="531645"/>
      </dsp:txXfrm>
    </dsp:sp>
    <dsp:sp modelId="{5FA41C74-2B64-4EE1-901E-EAE9EE3C51CD}">
      <dsp:nvSpPr>
        <dsp:cNvPr id="0" name=""/>
        <dsp:cNvSpPr/>
      </dsp:nvSpPr>
      <dsp:spPr>
        <a:xfrm rot="5400000">
          <a:off x="3180239" y="4825299"/>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4846477"/>
        <a:ext cx="152476" cy="148240"/>
      </dsp:txXfrm>
    </dsp:sp>
    <dsp:sp modelId="{23BE7F85-45B8-4A5A-BCF7-DC841EF3DAD7}">
      <dsp:nvSpPr>
        <dsp:cNvPr id="0" name=""/>
        <dsp:cNvSpPr/>
      </dsp:nvSpPr>
      <dsp:spPr>
        <a:xfrm>
          <a:off x="2156674" y="5093543"/>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Conduction of Physical Thermal Performance Survey</a:t>
          </a:r>
        </a:p>
      </dsp:txBody>
      <dsp:txXfrm>
        <a:off x="2173214" y="5110083"/>
        <a:ext cx="2225820" cy="531645"/>
      </dsp:txXfrm>
    </dsp:sp>
    <dsp:sp modelId="{E42D4728-4DE0-449A-B550-3BEA2F450F84}">
      <dsp:nvSpPr>
        <dsp:cNvPr id="0" name=""/>
        <dsp:cNvSpPr/>
      </dsp:nvSpPr>
      <dsp:spPr>
        <a:xfrm rot="5400000">
          <a:off x="3180239" y="5672387"/>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5693565"/>
        <a:ext cx="152476" cy="148240"/>
      </dsp:txXfrm>
    </dsp:sp>
    <dsp:sp modelId="{F1570C9F-ABF7-4E90-96F2-1B09CFD46844}">
      <dsp:nvSpPr>
        <dsp:cNvPr id="0" name=""/>
        <dsp:cNvSpPr/>
      </dsp:nvSpPr>
      <dsp:spPr>
        <a:xfrm>
          <a:off x="1964318" y="5940631"/>
          <a:ext cx="2643613"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Checking correlation of Thermal Performance with Independent Variables</a:t>
          </a:r>
        </a:p>
      </dsp:txBody>
      <dsp:txXfrm>
        <a:off x="1980858" y="5957171"/>
        <a:ext cx="2610533" cy="531645"/>
      </dsp:txXfrm>
    </dsp:sp>
    <dsp:sp modelId="{33C74CDE-1577-46C6-8727-76BF975FCB4C}">
      <dsp:nvSpPr>
        <dsp:cNvPr id="0" name=""/>
        <dsp:cNvSpPr/>
      </dsp:nvSpPr>
      <dsp:spPr>
        <a:xfrm rot="5400000">
          <a:off x="3180239" y="6519474"/>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6540652"/>
        <a:ext cx="152476" cy="148240"/>
      </dsp:txXfrm>
    </dsp:sp>
    <dsp:sp modelId="{5E0FB72C-F9D2-44F5-877F-6F8AB5525056}">
      <dsp:nvSpPr>
        <dsp:cNvPr id="0" name=""/>
        <dsp:cNvSpPr/>
      </dsp:nvSpPr>
      <dsp:spPr>
        <a:xfrm>
          <a:off x="1423300" y="6787719"/>
          <a:ext cx="3725649"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Establishing Composite Relationship Regression) between Thermal Performance and Physical Attributes of Building</a:t>
          </a:r>
        </a:p>
      </dsp:txBody>
      <dsp:txXfrm>
        <a:off x="1439840" y="6804259"/>
        <a:ext cx="3692569" cy="531645"/>
      </dsp:txXfrm>
    </dsp:sp>
    <dsp:sp modelId="{1BEC2E83-AD35-4890-928A-850E99EB105F}">
      <dsp:nvSpPr>
        <dsp:cNvPr id="0" name=""/>
        <dsp:cNvSpPr/>
      </dsp:nvSpPr>
      <dsp:spPr>
        <a:xfrm rot="5400000">
          <a:off x="3180239" y="7366562"/>
          <a:ext cx="211771" cy="254126"/>
        </a:xfrm>
        <a:prstGeom prst="rightArrow">
          <a:avLst>
            <a:gd name="adj1" fmla="val 60000"/>
            <a:gd name="adj2" fmla="val 50000"/>
          </a:avLst>
        </a:prstGeom>
        <a:solidFill>
          <a:schemeClr val="dk1">
            <a:tint val="60000"/>
            <a:hueOff val="0"/>
            <a:satOff val="0"/>
            <a:lumOff val="0"/>
            <a:alphaOff val="0"/>
          </a:schemeClr>
        </a:solidFill>
        <a:ln>
          <a:noFill/>
        </a:ln>
        <a:effectLst>
          <a:outerShdw blurRad="40000" dist="23000" dir="5400000" rotWithShape="0">
            <a:srgbClr val="000000">
              <a:alpha val="35000"/>
            </a:srgbClr>
          </a:outerShdw>
        </a:effectLst>
        <a:scene3d>
          <a:camera prst="orthographicFront"/>
          <a:lightRig rig="threePt" dir="t">
            <a:rot lat="0" lon="0" rev="7500000"/>
          </a:lightRig>
        </a:scene3d>
        <a:sp3d z="-70000" extrusionH="63500" prstMaterial="matte">
          <a:bevelT w="25400" h="6350" prst="relaxedInset"/>
          <a:contourClr>
            <a:schemeClr val="bg1"/>
          </a:contourClr>
        </a:sp3d>
      </dsp:spPr>
      <dsp:style>
        <a:lnRef idx="0">
          <a:scrgbClr r="0" g="0" b="0"/>
        </a:lnRef>
        <a:fillRef idx="1">
          <a:scrgbClr r="0" g="0" b="0"/>
        </a:fillRef>
        <a:effectRef idx="2">
          <a:scrgbClr r="0" g="0" b="0"/>
        </a:effectRef>
        <a:fontRef idx="minor">
          <a:schemeClr val="lt1"/>
        </a:fontRef>
      </dsp:style>
      <dsp:txBody>
        <a:bodyPr spcFirstLastPara="0" vert="horz" wrap="square" lIns="0" tIns="0" rIns="0" bIns="0" numCol="1" spcCol="1270" anchor="ctr" anchorCtr="0">
          <a:noAutofit/>
        </a:bodyPr>
        <a:lstStyle/>
        <a:p>
          <a:pPr marL="0" lvl="0" indent="0" algn="ctr" defTabSz="444500">
            <a:lnSpc>
              <a:spcPct val="90000"/>
            </a:lnSpc>
            <a:spcBef>
              <a:spcPct val="0"/>
            </a:spcBef>
            <a:spcAft>
              <a:spcPct val="35000"/>
            </a:spcAft>
            <a:buNone/>
          </a:pPr>
          <a:endParaRPr lang="en-IN" sz="1000" b="1" kern="1200">
            <a:latin typeface="Times New Roman" pitchFamily="18" charset="0"/>
            <a:cs typeface="Times New Roman" pitchFamily="18" charset="0"/>
          </a:endParaRPr>
        </a:p>
      </dsp:txBody>
      <dsp:txXfrm rot="-5400000">
        <a:off x="3209887" y="7387740"/>
        <a:ext cx="152476" cy="148240"/>
      </dsp:txXfrm>
    </dsp:sp>
    <dsp:sp modelId="{DBBA1BC0-D6AA-4782-A6D2-8B5CA4007B3A}">
      <dsp:nvSpPr>
        <dsp:cNvPr id="0" name=""/>
        <dsp:cNvSpPr/>
      </dsp:nvSpPr>
      <dsp:spPr>
        <a:xfrm>
          <a:off x="2156674" y="7634806"/>
          <a:ext cx="2258900" cy="564725"/>
        </a:xfrm>
        <a:prstGeom prst="roundRect">
          <a:avLst>
            <a:gd name="adj" fmla="val 10000"/>
          </a:avLst>
        </a:prstGeom>
        <a:gradFill rotWithShape="0">
          <a:gsLst>
            <a:gs pos="0">
              <a:schemeClr val="lt1">
                <a:hueOff val="0"/>
                <a:satOff val="0"/>
                <a:lumOff val="0"/>
                <a:alphaOff val="0"/>
                <a:shade val="51000"/>
                <a:satMod val="130000"/>
              </a:schemeClr>
            </a:gs>
            <a:gs pos="80000">
              <a:schemeClr val="lt1">
                <a:hueOff val="0"/>
                <a:satOff val="0"/>
                <a:lumOff val="0"/>
                <a:alphaOff val="0"/>
                <a:shade val="93000"/>
                <a:satMod val="130000"/>
              </a:schemeClr>
            </a:gs>
            <a:gs pos="100000">
              <a:schemeClr val="lt1">
                <a:hueOff val="0"/>
                <a:satOff val="0"/>
                <a:lumOff val="0"/>
                <a:alphaOff val="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lightRig rig="threePt" dir="t">
            <a:rot lat="0" lon="0" rev="7500000"/>
          </a:lightRig>
        </a:scene3d>
        <a:sp3d prstMaterial="plastic">
          <a:bevelT w="127000" h="25400" prst="relaxedInset"/>
        </a:sp3d>
      </dsp:spPr>
      <dsp:style>
        <a:lnRef idx="0">
          <a:scrgbClr r="0" g="0" b="0"/>
        </a:lnRef>
        <a:fillRef idx="3">
          <a:scrgbClr r="0" g="0" b="0"/>
        </a:fillRef>
        <a:effectRef idx="2">
          <a:scrgbClr r="0" g="0" b="0"/>
        </a:effectRef>
        <a:fontRef idx="minor">
          <a:schemeClr val="lt1"/>
        </a:fontRef>
      </dsp:style>
      <dsp:txBody>
        <a:bodyPr spcFirstLastPara="0" vert="horz" wrap="square" lIns="41910" tIns="41910" rIns="41910" bIns="41910" numCol="1" spcCol="1270" anchor="ctr" anchorCtr="0">
          <a:noAutofit/>
        </a:bodyPr>
        <a:lstStyle/>
        <a:p>
          <a:pPr marL="0" lvl="0" indent="0" algn="ctr" defTabSz="488950">
            <a:lnSpc>
              <a:spcPct val="90000"/>
            </a:lnSpc>
            <a:spcBef>
              <a:spcPct val="0"/>
            </a:spcBef>
            <a:spcAft>
              <a:spcPct val="35000"/>
            </a:spcAft>
            <a:buNone/>
          </a:pPr>
          <a:r>
            <a:rPr lang="en-IN" sz="1100" b="1" kern="1200" dirty="0">
              <a:latin typeface="Times New Roman" pitchFamily="18" charset="0"/>
              <a:cs typeface="Times New Roman" pitchFamily="18" charset="0"/>
            </a:rPr>
            <a:t>CONCLUSION</a:t>
          </a:r>
        </a:p>
      </dsp:txBody>
      <dsp:txXfrm>
        <a:off x="2173214" y="7651346"/>
        <a:ext cx="2225820" cy="531645"/>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3d2#2">
  <dgm:title val=""/>
  <dgm:desc val=""/>
  <dgm:catLst>
    <dgm:cat type="3D" pri="11200"/>
  </dgm:catLst>
  <dgm:scene3d>
    <a:camera prst="orthographicFront"/>
    <a:lightRig rig="threePt" dir="t"/>
  </dgm:scene3d>
  <dgm:styleLbl name="node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a:rot lat="0" lon="0" rev="7500000"/>
      </a:lightRig>
    </dgm:scene3d>
    <dgm:sp3d prstMaterial="plastic">
      <a:bevelT w="127000" h="25400" prst="relaxedInset"/>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tx1"/>
      </a:fontRef>
    </dgm:style>
  </dgm:styleLbl>
  <dgm:styleLbl name="aling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dgm:style>
  </dgm:styleLbl>
  <dgm:styleLbl name="alignImgPlace1">
    <dgm:scene3d>
      <a:camera prst="orthographicFront"/>
      <a:lightRig rig="threePt" dir="t">
        <a:rot lat="0" lon="0" rev="7500000"/>
      </a:lightRig>
    </dgm:scene3d>
    <dgm:sp3d z="2540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bgImgPlace1">
    <dgm:scene3d>
      <a:camera prst="orthographicFront"/>
      <a:lightRig rig="threePt" dir="t">
        <a:rot lat="0" lon="0" rev="7500000"/>
      </a:lightRig>
    </dgm:scene3d>
    <dgm:sp3d z="-152400" extrusionH="63500" contourW="1270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threePt" dir="t">
        <a:rot lat="0" lon="0" rev="7500000"/>
      </a:lightRig>
    </dgm:scene3d>
    <dgm:sp3d z="-700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f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bgSibTrans2D1">
    <dgm:scene3d>
      <a:camera prst="orthographicFront"/>
      <a:lightRig rig="threePt" dir="t">
        <a:rot lat="0" lon="0" rev="7500000"/>
      </a:lightRig>
    </dgm:scene3d>
    <dgm:sp3d z="-152400" extrusionH="63500" prstMaterial="matte">
      <a:bevelT w="25400" h="63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sibTrans1D1">
    <dgm:scene3d>
      <a:camera prst="orthographicFront"/>
      <a:lightRig rig="threePt" dir="t">
        <a:rot lat="0" lon="0" rev="7500000"/>
      </a:lightRig>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threePt" dir="t">
        <a:rot lat="0" lon="0" rev="7500000"/>
      </a:lightRig>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a:rot lat="0" lon="0" rev="7500000"/>
      </a:lightRig>
    </dgm:scene3d>
    <dgm:sp3d prstMaterial="plastic">
      <a:bevelT w="127000" h="25400" prst="relaxedInset"/>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parChTrans2D2">
    <dgm:scene3d>
      <a:camera prst="orthographicFront"/>
      <a:lightRig rig="threePt" dir="t">
        <a:rot lat="0" lon="0" rev="7500000"/>
      </a:lightRig>
    </dgm:scene3d>
    <dgm:sp3d extrusionH="63500" prstMaterial="matte">
      <a:bevelT w="50800" h="19050" prst="relaxedInset"/>
      <a:contourClr>
        <a:schemeClr val="bg1"/>
      </a:contourClr>
    </dgm:sp3d>
    <dgm:txPr/>
    <dgm:style>
      <a:lnRef idx="0">
        <a:scrgbClr r="0" g="0" b="0"/>
      </a:lnRef>
      <a:fillRef idx="1">
        <a:scrgbClr r="0" g="0" b="0"/>
      </a:fillRef>
      <a:effectRef idx="0">
        <a:scrgbClr r="0" g="0" b="0"/>
      </a:effectRef>
      <a:fontRef idx="minor">
        <a:schemeClr val="lt1"/>
      </a:fontRef>
    </dgm:style>
  </dgm:styleLbl>
  <dgm:styleLbl name="parChTrans2D3">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2D4">
    <dgm:scene3d>
      <a:camera prst="orthographicFront"/>
      <a:lightRig rig="threePt" dir="t">
        <a:rot lat="0" lon="0" rev="7500000"/>
      </a:lightRig>
    </dgm:scene3d>
    <dgm:sp3d z="60000" prstMaterial="flat">
      <a:bevelT w="120900" h="88900"/>
    </dgm:sp3d>
    <dgm:txPr/>
    <dgm:style>
      <a:lnRef idx="0">
        <a:scrgbClr r="0" g="0" b="0"/>
      </a:lnRef>
      <a:fillRef idx="3">
        <a:scrgbClr r="0" g="0" b="0"/>
      </a:fillRef>
      <a:effectRef idx="1">
        <a:scrgbClr r="0" g="0" b="0"/>
      </a:effectRef>
      <a:fontRef idx="minor">
        <a:schemeClr val="lt1"/>
      </a:fontRef>
    </dgm:style>
  </dgm:styleLbl>
  <dgm:styleLbl name="parChTrans1D1">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a:rot lat="0" lon="0" rev="7500000"/>
      </a:lightRig>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conFgAcc1">
    <dgm:scene3d>
      <a:camera prst="orthographicFront"/>
      <a:lightRig rig="threePt" dir="t">
        <a:rot lat="0" lon="0" rev="7500000"/>
      </a:lightRig>
    </dgm:scene3d>
    <dgm:sp3d z="152400" extrusionH="63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alignAcc1">
    <dgm:scene3d>
      <a:camera prst="orthographicFront"/>
      <a:lightRig rig="threePt" dir="t">
        <a:rot lat="0" lon="0" rev="7500000"/>
      </a:lightRig>
    </dgm:scene3d>
    <dgm:sp3d extrusionH="190500" prstMaterial="dkEdge">
      <a:bevelT w="135400" h="16350" prst="relaxedInset"/>
      <a:contourClr>
        <a:schemeClr val="bg1"/>
      </a:contourClr>
    </dgm:sp3d>
    <dgm:txPr/>
    <dgm:style>
      <a:lnRef idx="1">
        <a:scrgbClr r="0" g="0" b="0"/>
      </a:lnRef>
      <a:fillRef idx="1">
        <a:scrgbClr r="0" g="0" b="0"/>
      </a:fillRef>
      <a:effectRef idx="2">
        <a:scrgbClr r="0" g="0" b="0"/>
      </a:effectRef>
      <a:fontRef idx="minor"/>
    </dgm:style>
  </dgm:styleLbl>
  <dgm:styleLbl name="trAlignAcc1">
    <dgm:scene3d>
      <a:camera prst="orthographicFront"/>
      <a:lightRig rig="threePt" dir="t">
        <a:rot lat="0" lon="0" rev="7500000"/>
      </a:lightRig>
    </dgm:scene3d>
    <dgm:sp3d prstMaterial="plastic">
      <a:bevelT w="127000" h="35400"/>
    </dgm:sp3d>
    <dgm:txPr/>
    <dgm:style>
      <a:lnRef idx="1">
        <a:scrgbClr r="0" g="0" b="0"/>
      </a:lnRef>
      <a:fillRef idx="1">
        <a:scrgbClr r="0" g="0" b="0"/>
      </a:fillRef>
      <a:effectRef idx="2">
        <a:scrgbClr r="0" g="0" b="0"/>
      </a:effectRef>
      <a:fontRef idx="minor">
        <a:schemeClr val="lt1"/>
      </a:fontRef>
    </dgm:style>
  </dgm:styleLbl>
  <dgm:styleLbl name="bgAcc1">
    <dgm:scene3d>
      <a:camera prst="orthographicFront"/>
      <a:lightRig rig="threePt" dir="t">
        <a:rot lat="0" lon="0" rev="7500000"/>
      </a:lightRig>
    </dgm:scene3d>
    <dgm:sp3d z="-152400" extrusionH="63500" prstMaterial="dkEdge">
      <a:bevelT w="124450" h="16350" prst="relaxedInset"/>
      <a:contourClr>
        <a:schemeClr val="bg1"/>
      </a:contourClr>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a:rot lat="0" lon="0" rev="7500000"/>
      </a:lightRig>
    </dgm:scene3d>
    <dgm:sp3d z="152400" extrusionH="63500" prstMaterial="dkEdge">
      <a:bevelT w="120800" h="19050" prst="relaxedInset"/>
      <a:contourClr>
        <a:schemeClr val="bg1"/>
      </a:contourClr>
    </dgm:sp3d>
    <dgm:txPr/>
    <dgm:style>
      <a:lnRef idx="1">
        <a:scrgbClr r="0" g="0" b="0"/>
      </a:lnRef>
      <a:fillRef idx="1">
        <a:scrgbClr r="0" g="0" b="0"/>
      </a:fillRef>
      <a:effectRef idx="2">
        <a:scrgbClr r="0" g="0" b="0"/>
      </a:effectRef>
      <a:fontRef idx="minor"/>
    </dgm:style>
  </dgm:styleLbl>
  <dgm:styleLbl name="solidAlignAcc1">
    <dgm:scene3d>
      <a:camera prst="orthographicFront"/>
      <a:lightRig rig="threePt" dir="t">
        <a:rot lat="0" lon="0" rev="7500000"/>
      </a:lightRig>
    </dgm:scene3d>
    <dgm:sp3d extrusionH="190500" prstMaterial="dkEdge">
      <a:bevelT w="120650" h="38100" prst="relaxedInset"/>
      <a:contourClr>
        <a:schemeClr val="bg1"/>
      </a:contourClr>
    </dgm:sp3d>
    <dgm:txPr/>
    <dgm:style>
      <a:lnRef idx="1">
        <a:scrgbClr r="0" g="0" b="0"/>
      </a:lnRef>
      <a:fillRef idx="1">
        <a:scrgbClr r="0" g="0" b="0"/>
      </a:fillRef>
      <a:effectRef idx="2">
        <a:scrgbClr r="0" g="0" b="0"/>
      </a:effectRef>
      <a:fontRef idx="minor"/>
    </dgm:style>
  </dgm:styleLbl>
  <dgm:styleLbl name="solidBgAcc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a:rot lat="0" lon="0" rev="7500000"/>
      </a:lightRig>
    </dgm:scene3d>
    <dgm:sp3d extrusionH="190500" prstMaterial="dkEdge">
      <a:bevelT w="120650" h="38100" prst="relaxedInset"/>
      <a:bevelB w="120650" h="57150" prst="relaxedInset"/>
      <a:contourClr>
        <a:schemeClr val="bg1"/>
      </a:contourClr>
    </dgm:sp3d>
    <dgm:txPr/>
    <dgm:style>
      <a:lnRef idx="1">
        <a:scrgbClr r="0" g="0" b="0"/>
      </a:lnRef>
      <a:fillRef idx="1">
        <a:scrgbClr r="0" g="0" b="0"/>
      </a:fillRef>
      <a:effectRef idx="2">
        <a:scrgbClr r="0" g="0" b="0"/>
      </a:effectRef>
      <a:fontRef idx="minor"/>
    </dgm:style>
  </dgm:styleLbl>
  <dgm:styleLbl name="bgAccFollowNode1">
    <dgm:scene3d>
      <a:camera prst="orthographicFront"/>
      <a:lightRig rig="threePt" dir="t">
        <a:rot lat="0" lon="0" rev="7500000"/>
      </a:lightRig>
    </dgm:scene3d>
    <dgm:sp3d z="-152400" extrusionH="63500" prstMaterial="dkEdge">
      <a:bevelT w="144450" h="36350" prst="relaxedInset"/>
      <a:contourClr>
        <a:schemeClr val="bg1"/>
      </a:contourClr>
    </dgm:sp3d>
    <dgm:txPr/>
    <dgm:style>
      <a:lnRef idx="1">
        <a:scrgbClr r="0" g="0" b="0"/>
      </a:lnRef>
      <a:fillRef idx="1">
        <a:scrgbClr r="0" g="0" b="0"/>
      </a:fillRef>
      <a:effectRef idx="2">
        <a:scrgbClr r="0" g="0" b="0"/>
      </a:effectRef>
      <a:fontRef idx="minor"/>
    </dgm:style>
  </dgm:styleLbl>
  <dgm:styleLbl name="fgAcc0">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2">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3">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fgAcc4">
    <dgm:scene3d>
      <a:camera prst="orthographicFront"/>
      <a:lightRig rig="threePt" dir="t">
        <a:rot lat="0" lon="0" rev="7500000"/>
      </a:lightRig>
    </dgm:scene3d>
    <dgm:sp3d z="152400" extrusionH="63500" prstMaterial="dkEdge">
      <a:bevelT w="125400" h="36350" prst="relaxedInset"/>
      <a:contourClr>
        <a:schemeClr val="bg1"/>
      </a:contourClr>
    </dgm:sp3d>
    <dgm:txPr/>
    <dgm:style>
      <a:lnRef idx="1">
        <a:scrgbClr r="0" g="0" b="0"/>
      </a:lnRef>
      <a:fillRef idx="1">
        <a:scrgbClr r="0" g="0" b="0"/>
      </a:fillRef>
      <a:effectRef idx="2">
        <a:scrgbClr r="0" g="0" b="0"/>
      </a:effectRef>
      <a:fontRef idx="minor"/>
    </dgm:style>
  </dgm:styleLbl>
  <dgm:styleLbl name="bgShp">
    <dgm:scene3d>
      <a:camera prst="orthographicFront"/>
      <a:lightRig rig="threePt" dir="t">
        <a:rot lat="0" lon="0" rev="7500000"/>
      </a:lightRig>
    </dgm:scene3d>
    <dgm:sp3d z="-152400" extrusionH="63500" prstMaterial="matte">
      <a:bevelT w="144450" h="6350" prst="relaxedInset"/>
      <a:contourClr>
        <a:schemeClr val="bg1"/>
      </a:contourClr>
    </dgm:sp3d>
    <dgm:txPr/>
    <dgm:style>
      <a:lnRef idx="0">
        <a:scrgbClr r="0" g="0" b="0"/>
      </a:lnRef>
      <a:fillRef idx="3">
        <a:scrgbClr r="0" g="0" b="0"/>
      </a:fillRef>
      <a:effectRef idx="0">
        <a:scrgbClr r="0" g="0" b="0"/>
      </a:effectRef>
      <a:fontRef idx="minor"/>
    </dgm:style>
  </dgm:styleLbl>
  <dgm:styleLbl name="dkBgShp">
    <dgm:scene3d>
      <a:camera prst="orthographicFront"/>
      <a:lightRig rig="threePt" dir="t">
        <a:rot lat="0" lon="0" rev="7500000"/>
      </a:lightRig>
    </dgm:scene3d>
    <dgm:sp3d prstMaterial="plastic">
      <a:bevelT w="127000" h="25400" prst="relaxedInset"/>
      <a:bevelB w="88900" h="121750" prst="angle"/>
    </dgm:sp3d>
    <dgm:txPr/>
    <dgm:style>
      <a:lnRef idx="0">
        <a:scrgbClr r="0" g="0" b="0"/>
      </a:lnRef>
      <a:fillRef idx="1">
        <a:scrgbClr r="0" g="0" b="0"/>
      </a:fillRef>
      <a:effectRef idx="2">
        <a:scrgbClr r="0" g="0" b="0"/>
      </a:effectRef>
      <a:fontRef idx="minor">
        <a:schemeClr val="lt1"/>
      </a:fontRef>
    </dgm:style>
  </dgm:styleLbl>
  <dgm:styleLbl name="trBgShp">
    <dgm:scene3d>
      <a:camera prst="orthographicFront"/>
      <a:lightRig rig="threePt"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threePt" dir="t">
        <a:rot lat="0" lon="0" rev="7500000"/>
      </a:lightRig>
    </dgm:scene3d>
    <dgm:sp3d z="152400" extrusionH="63500" prstMaterial="matte">
      <a:bevelT w="50800" h="19050" prst="relaxedInset"/>
      <a:contourClr>
        <a:schemeClr val="bg1"/>
      </a:contourClr>
    </dgm:sp3d>
    <dgm:txPr/>
    <dgm:style>
      <a:lnRef idx="0">
        <a:scrgbClr r="0" g="0" b="0"/>
      </a:lnRef>
      <a:fillRef idx="1">
        <a:scrgbClr r="0" g="0" b="0"/>
      </a:fillRef>
      <a:effectRef idx="2">
        <a:scrgbClr r="0" g="0" b="0"/>
      </a:effectRef>
      <a:fontRef idx="minor">
        <a:schemeClr val="lt1"/>
      </a:fontRef>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rawings/drawing1.xml><?xml version="1.0" encoding="utf-8"?>
<c:userShapes xmlns:c="http://schemas.openxmlformats.org/drawingml/2006/chart">
  <cdr:relSizeAnchor xmlns:cdr="http://schemas.openxmlformats.org/drawingml/2006/chartDrawing">
    <cdr:from>
      <cdr:x>0.0025</cdr:x>
      <cdr:y>0.11743</cdr:y>
    </cdr:from>
    <cdr:to>
      <cdr:x>0.06167</cdr:x>
      <cdr:y>0.73936</cdr:y>
    </cdr:to>
    <cdr:sp macro="" textlink="">
      <cdr:nvSpPr>
        <cdr:cNvPr id="2" name="TextBox 1"/>
        <cdr:cNvSpPr txBox="1"/>
      </cdr:nvSpPr>
      <cdr:spPr>
        <a:xfrm xmlns:a="http://schemas.openxmlformats.org/drawingml/2006/main" rot="16200000">
          <a:off x="-713693" y="1070083"/>
          <a:ext cx="1808874" cy="351759"/>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en-IN" sz="1200" b="1"/>
            <a:t>Temperature in degree C</a:t>
          </a:r>
        </a:p>
      </cdr:txBody>
    </cdr:sp>
  </cdr:relSizeAnchor>
  <cdr:relSizeAnchor xmlns:cdr="http://schemas.openxmlformats.org/drawingml/2006/chartDrawing">
    <cdr:from>
      <cdr:x>0.31586</cdr:x>
      <cdr:y>0.92287</cdr:y>
    </cdr:from>
    <cdr:to>
      <cdr:x>0.71161</cdr:x>
      <cdr:y>0.99237</cdr:y>
    </cdr:to>
    <cdr:sp macro="" textlink="">
      <cdr:nvSpPr>
        <cdr:cNvPr id="3" name="TextBox 2"/>
        <cdr:cNvSpPr txBox="1"/>
      </cdr:nvSpPr>
      <cdr:spPr>
        <a:xfrm xmlns:a="http://schemas.openxmlformats.org/drawingml/2006/main">
          <a:off x="1877490" y="3822853"/>
          <a:ext cx="2352362" cy="287883"/>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algn="ctr"/>
          <a:r>
            <a:rPr lang="en-IN" sz="1400" b="1"/>
            <a:t>Year</a:t>
          </a:r>
          <a:endParaRPr lang="en-IN" sz="1600" b="1"/>
        </a:p>
      </cdr:txBody>
    </cdr:sp>
  </cdr:relSizeAnchor>
</c:userShapes>
</file>

<file path=word/drawings/drawing2.xml><?xml version="1.0" encoding="utf-8"?>
<c:userShapes xmlns:c="http://schemas.openxmlformats.org/drawingml/2006/chart">
  <cdr:relSizeAnchor xmlns:cdr="http://schemas.openxmlformats.org/drawingml/2006/chartDrawing">
    <cdr:from>
      <cdr:x>0</cdr:x>
      <cdr:y>0.14451</cdr:y>
    </cdr:from>
    <cdr:to>
      <cdr:x>0.04684</cdr:x>
      <cdr:y>0.70554</cdr:y>
    </cdr:to>
    <cdr:sp macro="" textlink="">
      <cdr:nvSpPr>
        <cdr:cNvPr id="2" name="TextBox 1"/>
        <cdr:cNvSpPr txBox="1"/>
      </cdr:nvSpPr>
      <cdr:spPr>
        <a:xfrm xmlns:a="http://schemas.openxmlformats.org/drawingml/2006/main" rot="16200000">
          <a:off x="-951468" y="1513325"/>
          <a:ext cx="2181342" cy="278405"/>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r>
            <a:rPr lang="en-IN" sz="1050" b="1"/>
            <a:t>Relative Humidity in</a:t>
          </a:r>
          <a:r>
            <a:rPr lang="en-IN" sz="1050" b="1" baseline="0"/>
            <a:t> percentage</a:t>
          </a:r>
          <a:endParaRPr lang="en-IN" sz="1050" b="1"/>
        </a:p>
      </cdr:txBody>
    </cdr:sp>
  </cdr:relSizeAnchor>
  <cdr:relSizeAnchor xmlns:cdr="http://schemas.openxmlformats.org/drawingml/2006/chartDrawing">
    <cdr:from>
      <cdr:x>0.34457</cdr:x>
      <cdr:y>0.92088</cdr:y>
    </cdr:from>
    <cdr:to>
      <cdr:x>0.74032</cdr:x>
      <cdr:y>0.98664</cdr:y>
    </cdr:to>
    <cdr:sp macro="" textlink="">
      <cdr:nvSpPr>
        <cdr:cNvPr id="3" name="TextBox 1"/>
        <cdr:cNvSpPr txBox="1"/>
      </cdr:nvSpPr>
      <cdr:spPr>
        <a:xfrm xmlns:a="http://schemas.openxmlformats.org/drawingml/2006/main">
          <a:off x="2047986" y="3580483"/>
          <a:ext cx="2352180" cy="255678"/>
        </a:xfrm>
        <a:prstGeom xmlns:a="http://schemas.openxmlformats.org/drawingml/2006/main" prst="rect">
          <a:avLst/>
        </a:prstGeom>
      </cdr:spPr>
      <cdr:txBody>
        <a:bodyPr xmlns:a="http://schemas.openxmlformats.org/drawingml/2006/main" wrap="square" rtlCol="0"/>
        <a:lstStyle xmlns:a="http://schemas.openxmlformats.org/drawingml/2006/main">
          <a:lvl1pPr marL="0" indent="0">
            <a:defRPr sz="1100">
              <a:latin typeface="Calibri"/>
            </a:defRPr>
          </a:lvl1pPr>
          <a:lvl2pPr marL="457200" indent="0">
            <a:defRPr sz="1100">
              <a:latin typeface="Calibri"/>
            </a:defRPr>
          </a:lvl2pPr>
          <a:lvl3pPr marL="914400" indent="0">
            <a:defRPr sz="1100">
              <a:latin typeface="Calibri"/>
            </a:defRPr>
          </a:lvl3pPr>
          <a:lvl4pPr marL="1371600" indent="0">
            <a:defRPr sz="1100">
              <a:latin typeface="Calibri"/>
            </a:defRPr>
          </a:lvl4pPr>
          <a:lvl5pPr marL="1828800" indent="0">
            <a:defRPr sz="1100">
              <a:latin typeface="Calibri"/>
            </a:defRPr>
          </a:lvl5pPr>
          <a:lvl6pPr marL="2286000" indent="0">
            <a:defRPr sz="1100">
              <a:latin typeface="Calibri"/>
            </a:defRPr>
          </a:lvl6pPr>
          <a:lvl7pPr marL="2743200" indent="0">
            <a:defRPr sz="1100">
              <a:latin typeface="Calibri"/>
            </a:defRPr>
          </a:lvl7pPr>
          <a:lvl8pPr marL="3200400" indent="0">
            <a:defRPr sz="1100">
              <a:latin typeface="Calibri"/>
            </a:defRPr>
          </a:lvl8pPr>
          <a:lvl9pPr marL="3657600" indent="0">
            <a:defRPr sz="1100">
              <a:latin typeface="Calibri"/>
            </a:defRPr>
          </a:lvl9pPr>
        </a:lstStyle>
        <a:p xmlns:a="http://schemas.openxmlformats.org/drawingml/2006/main">
          <a:pPr algn="ctr"/>
          <a:r>
            <a:rPr lang="en-IN" sz="1600" b="1"/>
            <a:t>Year</a:t>
          </a:r>
        </a:p>
      </cdr:txBody>
    </cdr:sp>
  </cdr:relSizeAnchor>
</c:userShap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b:Source>
    <b:Tag>Toe13</b:Tag>
    <b:SourceType>JournalArticle</b:SourceType>
    <b:Guid>{28B9E566-059C-4C14-B7AC-7CAF0EF6D97F}</b:Guid>
    <b:Author>
      <b:Author>
        <b:NameList>
          <b:Person>
            <b:Last>Toe</b:Last>
            <b:First>Doris</b:First>
            <b:Middle>Hooi Chyee</b:Middle>
          </b:Person>
          <b:Person>
            <b:Last>Kubota</b:Last>
            <b:First>Tetsu</b:First>
          </b:Person>
        </b:NameList>
      </b:Author>
    </b:Author>
    <b:Title>Development of an Adaptive Thermal Comfort Equation for Naturally Ventilated Buildings in Hot Humid Climates using ASHRAE RP-884 database</b:Title>
    <b:Year>2013</b:Year>
    <b:JournalName>Frontiers of Architectural Research (2)</b:JournalName>
    <b:Pages>278-291</b:Pages>
    <b:RefOrder>23</b:RefOrder>
  </b:Source>
  <b:Source>
    <b:Tag>Til89</b:Tag>
    <b:SourceType>Book</b:SourceType>
    <b:Guid>{C61DD8CA-832D-4016-A70D-0396024DD928}</b:Guid>
    <b:Author>
      <b:Author>
        <b:NameList>
          <b:Person>
            <b:Last>Tilotson</b:Last>
            <b:First>G.H.R.</b:First>
          </b:Person>
        </b:NameList>
      </b:Author>
    </b:Author>
    <b:Title>The Tradition of Indian Architecture: Continuity, Controversy and Change since 1850</b:Title>
    <b:Year>1989</b:Year>
    <b:City>New Haven and London</b:City>
    <b:Publisher>Yale University Press</b:Publisher>
    <b:RefOrder>24</b:RefOrder>
  </b:Source>
  <b:Source>
    <b:Tag>Tay16</b:Tag>
    <b:SourceType>Book</b:SourceType>
    <b:Guid>{DB5BDEC1-B65F-4938-93C6-A3FAA1E3E36D}</b:Guid>
    <b:Author>
      <b:Author>
        <b:NameList>
          <b:Person>
            <b:Last>Taylor</b:Last>
            <b:First>Joanne</b:First>
          </b:Person>
          <b:Person>
            <b:Last>Lang</b:Last>
            <b:First>John</b:First>
          </b:Person>
        </b:NameList>
      </b:Author>
    </b:Author>
    <b:Title>The Great Houses of Calcutta: their Antecedents, Precedents, Splendour and Portents</b:Title>
    <b:Year>2016</b:Year>
    <b:City>New Delhi</b:City>
    <b:Publisher>Niyogi Books</b:Publisher>
    <b:RefOrder>13</b:RefOrder>
  </b:Source>
  <b:Source>
    <b:Tag>Joa16</b:Tag>
    <b:SourceType>Book</b:SourceType>
    <b:Guid>{B1FF9197-1917-44DF-9367-CEAFB513ADC9}</b:Guid>
    <b:Author>
      <b:Author>
        <b:NameList>
          <b:Person>
            <b:Last>Taylor</b:Last>
            <b:First>Joanne</b:First>
          </b:Person>
          <b:Person>
            <b:Last>Lang</b:Last>
            <b:First>John</b:First>
          </b:Person>
        </b:NameList>
      </b:Author>
    </b:Author>
    <b:Title>The Great Houses of Calcutta: Their Antecedents, Precedents, Speldour and Portents</b:Title>
    <b:Year>2016</b:Year>
    <b:City>New Delhi</b:City>
    <b:Publisher>Niyogi Books</b:Publisher>
    <b:RefOrder>25</b:RefOrder>
  </b:Source>
  <b:Source>
    <b:Tag>Tay11</b:Tag>
    <b:SourceType>Book</b:SourceType>
    <b:Guid>{06CEA6F4-A665-49E6-813B-D00A427709E0}</b:Guid>
    <b:Author>
      <b:Author>
        <b:NameList>
          <b:Person>
            <b:Last>Taylor</b:Last>
            <b:First>Joanne</b:First>
          </b:Person>
        </b:NameList>
      </b:Author>
    </b:Author>
    <b:Title>The Forgotten Palaces of Calcutta</b:Title>
    <b:Year>2011</b:Year>
    <b:City>New Delhi</b:City>
    <b:Publisher>Niyogi Books</b:Publisher>
    <b:RefOrder>26</b:RefOrder>
  </b:Source>
  <b:Source>
    <b:Tag>Tab05</b:Tag>
    <b:SourceType>ConferenceProceedings</b:SourceType>
    <b:Guid>{9BD73F3D-E372-4E6C-8159-B1412C969EBB}</b:Guid>
    <b:Author>
      <b:Author>
        <b:NameList>
          <b:Person>
            <b:Last>Tablada</b:Last>
            <b:First>Abel</b:First>
          </b:Person>
          <b:Person>
            <b:Last>Peña</b:Last>
            <b:First>Ana</b:First>
            <b:Middle>M. De la</b:Middle>
          </b:Person>
          <b:Person>
            <b:Last>Troyer</b:Last>
            <b:First>Frank</b:First>
            <b:Middle>De</b:Middle>
          </b:Person>
        </b:NameList>
      </b:Author>
    </b:Author>
    <b:Title>Thermal Comfort of Naturally Ventilated Buildingsin Warm-Humid Climates: field survey</b:Title>
    <b:Year>2005</b:Year>
    <b:Pages>1-6</b:Pages>
    <b:ConferenceName>PLEA2005 - The 22nd Conference on Passive and Low Energy Architecture</b:ConferenceName>
    <b:City>Lebanon</b:City>
    <b:Publisher>PLEA</b:Publisher>
    <b:RefOrder>27</b:RefOrder>
  </b:Source>
  <b:Source>
    <b:Tag>Szo14</b:Tag>
    <b:SourceType>Book</b:SourceType>
    <b:Guid>{798479BB-CD5A-4E9E-BFD0-B89294D52682}</b:Guid>
    <b:Author>
      <b:Author>
        <b:NameList>
          <b:Person>
            <b:Last>Szokolay</b:Last>
            <b:First>S.</b:First>
            <b:Middle>V.</b:Middle>
          </b:Person>
        </b:NameList>
      </b:Author>
    </b:Author>
    <b:Title>Introduction to Architectural Science: The basis of sustainable design</b:Title>
    <b:Year>2014</b:Year>
    <b:City>London</b:City>
    <b:Publisher>Routledge</b:Publisher>
    <b:RefOrder>4</b:RefOrder>
  </b:Source>
  <b:Source>
    <b:Tag>Sub17</b:Tag>
    <b:SourceType>JournalArticle</b:SourceType>
    <b:Guid>{2DD6A5D3-7FEE-4F64-B67B-0AC56E6CACC7}</b:Guid>
    <b:Author>
      <b:Author>
        <b:NameList>
          <b:Person>
            <b:Last>Subramanian</b:Last>
            <b:First>C.V.</b:First>
          </b:Person>
          <b:Person>
            <b:Last>Ramachandran</b:Last>
            <b:First>N</b:First>
          </b:Person>
          <b:Person>
            <b:Last>Senthamil Kumar</b:Last>
            <b:First>S.</b:First>
          </b:Person>
        </b:NameList>
      </b:Author>
    </b:Author>
    <b:Title>Performance Evaluation of Traditionaland Modern Residential Buildings Forthermal Comfort by Questionnairesurvey in Thanjavur</b:Title>
    <b:JournalName>International Journal of Civil Engineering and Technology 8(2)</b:JournalName>
    <b:Year>2017</b:Year>
    <b:Pages>440-451</b:Pages>
    <b:RefOrder>28</b:RefOrder>
  </b:Source>
  <b:Source>
    <b:Tag>Ste17</b:Tag>
    <b:SourceType>InternetSite</b:SourceType>
    <b:Guid>{CE990CB3-817F-4476-874F-E88068D44F4D}</b:Guid>
    <b:Author>
      <b:Author>
        <b:NameList>
          <b:Person>
            <b:Last>Stevens</b:Last>
            <b:First>Harry</b:First>
          </b:Person>
        </b:NameList>
      </b:Author>
    </b:Author>
    <b:Year>2017</b:Year>
    <b:InternetSiteTitle>Hindustan Times</b:InternetSiteTitle>
    <b:Month>May</b:Month>
    <b:Day>4</b:Day>
    <b:YearAccessed>2019</b:YearAccessed>
    <b:MonthAccessed>March</b:MonthAccessed>
    <b:DayAccessed>22</b:DayAccessed>
    <b:URL>https://www.hindustantimes.com/interactives/cities-since-1901/</b:URL>
    <b:Title>How India’s cities have grown and shrunk over the last 116 years</b:Title>
    <b:RefOrder>16</b:RefOrder>
  </b:Source>
  <b:Source>
    <b:Tag>Sin18</b:Tag>
    <b:SourceType>InternetSite</b:SourceType>
    <b:Guid>{4B884544-2BFB-4F47-A036-3C8891B5D82D}</b:Guid>
    <b:Author>
      <b:Author>
        <b:NameList>
          <b:Person>
            <b:Last>Sinha</b:Last>
            <b:First>NK</b:First>
          </b:Person>
          <b:Person>
            <b:Last>Banerjee-Guha</b:Last>
            <b:First>S</b:First>
          </b:Person>
        </b:NameList>
      </b:Author>
    </b:Author>
    <b:Title>Kolkata</b:Title>
    <b:InternetSiteTitle>Encyclopædia Britannica</b:InternetSiteTitle>
    <b:Year>2018</b:Year>
    <b:Month>December</b:Month>
    <b:Day>3</b:Day>
    <b:YearAccessed>2019</b:YearAccessed>
    <b:MonthAccessed>March</b:MonthAccessed>
    <b:DayAccessed>22</b:DayAccessed>
    <b:URL>https://www.britannica.com/place/Kolkata/City-layout</b:URL>
    <b:RefOrder>17</b:RefOrder>
  </b:Source>
  <b:Source>
    <b:Tag>Sim12</b:Tag>
    <b:SourceType>ConferenceProceedings</b:SourceType>
    <b:Guid>{F54DC0C9-0E98-432D-B29F-7DD8D5526491}</b:Guid>
    <b:Author>
      <b:Author>
        <b:NameList>
          <b:Person>
            <b:Last>Simha</b:Last>
            <b:First>RV</b:First>
          </b:Person>
        </b:NameList>
      </b:Author>
    </b:Author>
    <b:Title>Thermal Comfort in India</b:Title>
    <b:Year>2012</b:Year>
    <b:ConferenceName>Innovations in Sustainable Habitats - the GRIHA Approach</b:ConferenceName>
    <b:Publisher>TERI</b:Publisher>
    <b:Month>December</b:Month>
    <b:Day>11</b:Day>
    <b:RefOrder>29</b:RefOrder>
  </b:Source>
  <b:Source>
    <b:Tag>Sha12</b:Tag>
    <b:SourceType>JournalArticle</b:SourceType>
    <b:Guid>{165FA390-D775-4905-8EE3-B09007FABB47}</b:Guid>
    <b:Author>
      <b:Author>
        <b:NameList>
          <b:Person>
            <b:Last>Shanthi Priya</b:Last>
            <b:First>R</b:First>
          </b:Person>
          <b:Person>
            <b:Last>Sundarraja</b:Last>
            <b:First>MC</b:First>
          </b:Person>
          <b:Person>
            <b:Last>Radhakrishnan</b:Last>
            <b:First>S</b:First>
          </b:Person>
        </b:NameList>
      </b:Author>
    </b:Author>
    <b:Title>Comparing the thermal performance of traditional and modern building in the coastal region of Nagappattinam, Tamil Nadu</b:Title>
    <b:JournalName>Indina Journal of Traditional Knowledge 11(3)</b:JournalName>
    <b:Year>2012</b:Year>
    <b:Pages>542-547</b:Pages>
    <b:RefOrder>30</b:RefOrder>
  </b:Source>
  <b:Source>
    <b:Tag>Sha13</b:Tag>
    <b:SourceType>DocumentFromInternetSite</b:SourceType>
    <b:Guid>{A3C736CE-911F-43B4-AEE9-A15A2AFC1349}</b:Guid>
    <b:Author>
      <b:Author>
        <b:NameList>
          <b:Person>
            <b:Last>Shajahan</b:Last>
            <b:First>Amreen</b:First>
          </b:Person>
          <b:Person>
            <b:Last>Ahmed</b:Last>
            <b:First>Zebun</b:First>
            <b:Middle>Nasreen</b:Middle>
          </b:Person>
        </b:NameList>
      </b:Author>
    </b:Author>
    <b:Title>An Investigation of Existing Thermal Comfort Condition in Rural Houses of Bangladesh</b:Title>
    <b:Year>2013</b:Year>
    <b:InternetSiteTitle>Acadmia</b:InternetSiteTitle>
    <b:YearAccessed>2018</b:YearAccessed>
    <b:MonthAccessed>December</b:MonthAccessed>
    <b:URL>https://www.academia.edu/8235433/An_Investigation_of_Existing_Thermal_Comfort_Condition_in_Rural_Houses_of_Bangladesh</b:URL>
    <b:RefOrder>31</b:RefOrder>
  </b:Source>
  <b:Source>
    <b:Tag>Sen18</b:Tag>
    <b:SourceType>InternetSite</b:SourceType>
    <b:Guid>{F2B26625-7D13-429B-B116-8E1E482C8A5D}</b:Guid>
    <b:Author>
      <b:Author>
        <b:NameList>
          <b:Person>
            <b:Last>Sengupta</b:Last>
            <b:First>S</b:First>
          </b:Person>
        </b:NameList>
      </b:Author>
    </b:Author>
    <b:Title>In India, Summer Heat May Soon Be Literally Unbearable</b:Title>
    <b:InternetSiteTitle>The New York Times</b:InternetSiteTitle>
    <b:Year>2018</b:Year>
    <b:Month>July</b:Month>
    <b:Day>17</b:Day>
    <b:YearAccessed>2018</b:YearAccessed>
    <b:MonthAccessed>August</b:MonthAccessed>
    <b:DayAccessed>20</b:DayAccessed>
    <b:URL>https://www.nytimes.com/2018/07/17/climate/india-heat-wave-summer.html</b:URL>
    <b:RefOrder>18</b:RefOrder>
  </b:Source>
  <b:Source>
    <b:Tag>San01</b:Tag>
    <b:SourceType>ConferenceProceedings</b:SourceType>
    <b:Guid>{6D712D4B-6729-410D-9F5D-1D1AEFE5FDF5}</b:Guid>
    <b:Author>
      <b:Author>
        <b:NameList>
          <b:Person>
            <b:Last>Santos</b:Last>
            <b:First>Adele</b:First>
            <b:Middle>Naude</b:Middle>
          </b:Person>
        </b:NameList>
      </b:Author>
    </b:Author>
    <b:Title>Researching Vernacular Architecture</b:Title>
    <b:Pages>99-104</b:Pages>
    <b:Year>2001</b:Year>
    <b:ConferenceName>Traditional and Vernacular Architecture</b:ConferenceName>
    <b:City>Chennai</b:City>
    <b:Publisher>Madras Craft Foundation</b:Publisher>
    <b:RefOrder>32</b:RefOrder>
  </b:Source>
  <b:Source>
    <b:Tag>Req16</b:Tag>
    <b:SourceType>JournalArticle</b:SourceType>
    <b:Guid>{F2DCE2EF-DF3E-4518-A8A2-8D04290F81BA}</b:Guid>
    <b:Author>
      <b:Author>
        <b:NameList>
          <b:Person>
            <b:Last>Requena-Ruiz</b:Last>
            <b:First>Ignacio</b:First>
          </b:Person>
        </b:NameList>
      </b:Author>
    </b:Author>
    <b:Title>Thermal Comfort in Twentieth-century Architectural Heritage: Two Houses of Le Corbusier and Andre Wogenscky</b:Title>
    <b:JournalName>Frontiers of Architectural Research 5(2)</b:JournalName>
    <b:Year>2016</b:Year>
    <b:Pages>157-170</b:Pages>
    <b:URL>https://halshs.archives-ouvertes.fr/halshs-01330999</b:URL>
    <b:DOI>10.1016/j.foar.2016.02.001</b:DOI>
    <b:RefOrder>33</b:RefOrder>
  </b:Source>
  <b:Source>
    <b:Tag>Raw18</b:Tag>
    <b:SourceType>DocumentFromInternetSite</b:SourceType>
    <b:Guid>{979A307F-E183-4611-B450-406F9EA6E1BB}</b:Guid>
    <b:Author>
      <b:Author>
        <b:NameList>
          <b:Person>
            <b:Last>Rawal</b:Last>
            <b:First>Rajan</b:First>
          </b:Person>
        </b:NameList>
      </b:Author>
    </b:Author>
    <b:Title>Adaptive Thermal Comfort: Practices and Policies</b:Title>
    <b:Year>2018</b:Year>
    <b:Month>June</b:Month>
    <b:Day>5</b:Day>
    <b:YearAccessed>2019</b:YearAccessed>
    <b:MonthAccessed>March</b:MonthAccessed>
    <b:DayAccessed>7</b:DayAccessed>
    <b:URL>https://d2oc0ihd6a5bt.cloudfront.net/wp-content/uploads/sites/837/2018/06/Rajan-Rawal-Adaptive-Thermal-Comfort_-Practices-and-Policies.pdf</b:URL>
    <b:RefOrder>11</b:RefOrder>
  </b:Source>
  <b:Source>
    <b:Tag>Rad10</b:Tag>
    <b:SourceType>JournalArticle</b:SourceType>
    <b:Guid>{7BF09E5F-A7BE-4A3C-BF28-ADEE75B27D9E}</b:Guid>
    <b:Author>
      <b:Author>
        <b:NameList>
          <b:Person>
            <b:Last>Radhakrishnan</b:Last>
            <b:First>S</b:First>
          </b:Person>
          <b:Person>
            <b:Last>Shanthi Priya</b:Last>
            <b:First>R</b:First>
          </b:Person>
          <b:Person>
            <b:Last>Sundarraja</b:Last>
            <b:First>M.C.</b:First>
          </b:Person>
        </b:NameList>
      </b:Author>
    </b:Author>
    <b:Title>Climate Responsive Vernacular Architecture: A case study of Chettinadu Housing in Tamilnadu</b:Title>
    <b:JournalName>ABACUS 5(1)</b:JournalName>
    <b:Year>2010</b:Year>
    <b:Pages>51-58</b:Pages>
    <b:RefOrder>34</b:RefOrder>
  </b:Source>
  <b:Source>
    <b:Tag>Pil12</b:Tag>
    <b:SourceType>Report</b:SourceType>
    <b:Guid>{E4BB79EC-7562-4877-BCEE-B29F73917832}</b:Guid>
    <b:Author>
      <b:Author>
        <b:NameList>
          <b:Person>
            <b:Last>Pillai</b:Last>
            <b:First>PS</b:First>
            <b:Middle>Harimohan</b:Middle>
          </b:Person>
        </b:NameList>
      </b:Author>
    </b:Author>
    <b:Title>Identifying and Establishing Linkages in Architecture: Traditional to Modern</b:Title>
    <b:Year>2010-12</b:Year>
    <b:Publisher>IIT Kharagpur</b:Publisher>
    <b:ThesisType>PhD Report</b:ThesisType>
    <b:URL>http://www.idr.iitkgp.ac.in/xmlui/handle/123456789/799</b:URL>
    <b:RefOrder>35</b:RefOrder>
  </b:Source>
  <b:Source>
    <b:Tag>Pel16</b:Tag>
    <b:SourceType>JournalArticle</b:SourceType>
    <b:Guid>{E3DA20F4-B77A-469A-81E9-331E1EB0D9C6}</b:Guid>
    <b:Author>
      <b:Author>
        <b:NameList>
          <b:Person>
            <b:Last>Pellegrino</b:Last>
            <b:First>Margot</b:First>
          </b:Person>
          <b:Person>
            <b:Last>Simonetti</b:Last>
            <b:First>Marco</b:First>
          </b:Person>
          <b:Person>
            <b:Last>Chiesa</b:Last>
            <b:First>Giacomo</b:First>
          </b:Person>
        </b:NameList>
      </b:Author>
    </b:Author>
    <b:Title>Reducing thermal discomfort and energy consumption of Indian residential buildings: Model validation by in-field measurements and simulation of low-cot interventions</b:Title>
    <b:Pages>145-158</b:Pages>
    <b:Year>2016</b:Year>
    <b:JournalName>Energy and Buildings</b:JournalName>
    <b:RefOrder>36</b:RefOrder>
  </b:Source>
  <b:Source>
    <b:Tag>Pel121</b:Tag>
    <b:SourceType>JournalArticle</b:SourceType>
    <b:Guid>{557CC101-47A7-4322-B1CF-D1C7C304364B}</b:Guid>
    <b:Author>
      <b:Author>
        <b:NameList>
          <b:Person>
            <b:Last>Pellegrino</b:Last>
            <b:First>Margot</b:First>
          </b:Person>
        </b:NameList>
      </b:Author>
    </b:Author>
    <b:Title>Comparing Techniques, Bioclimatic Features and Indoor Thermal Conditions Inside Heritage and Modern Buildings in Kolkata</b:Title>
    <b:JournalName>ABACUS 7(2)</b:JournalName>
    <b:Year>2012</b:Year>
    <b:Pages>35-39</b:Pages>
    <b:RefOrder>37</b:RefOrder>
  </b:Source>
  <b:Source>
    <b:Tag>Pel15</b:Tag>
    <b:SourceType>ConferenceProceedings</b:SourceType>
    <b:Guid>{8DDB744C-5AA9-47EC-8F6A-540DE510A45E}</b:Guid>
    <b:Author>
      <b:Author>
        <b:NameList>
          <b:Person>
            <b:Last>Pellegrino</b:Last>
            <b:First>Margot</b:First>
          </b:Person>
          <b:Person>
            <b:Last>Simonetti</b:Last>
            <b:First>Marco</b:First>
          </b:Person>
          <b:Person>
            <b:Last>Chie</b:Last>
            <b:First>Giacomo</b:First>
          </b:Person>
        </b:NameList>
      </b:Author>
    </b:Author>
    <b:Title>Climate-responsive residential buildings in India - Just a drop in the ocean?</b:Title>
    <b:Year>2015</b:Year>
    <b:ConferenceName>9th International Conference on Urban Climate</b:ConferenceName>
    <b:City>Toulouse, France</b:City>
    <b:RefOrder>5</b:RefOrder>
  </b:Source>
  <b:Source>
    <b:Tag>Pau13</b:Tag>
    <b:SourceType>JournalArticle</b:SourceType>
    <b:Guid>{14D020E9-32B6-4921-8F61-3AD2BF5FC6CB}</b:Guid>
    <b:Author>
      <b:Author>
        <b:NameList>
          <b:Person>
            <b:Last>Pau</b:Last>
            <b:First>J.S.</b:First>
          </b:Person>
          <b:Person>
            <b:Last>Pao</b:Last>
            <b:First>William</b:First>
            <b:Middle>K.S.</b:Middle>
          </b:Person>
        </b:NameList>
      </b:Author>
    </b:Author>
    <b:Title>A Unified Adaptive Fanger’s Model for Thermal Comfort in Tropical</b:Title>
    <b:JournalName>Applied Mechanics and Materials (393)</b:JournalName>
    <b:Year>2013</b:Year>
    <b:Pages>799-808</b:Pages>
    <b:RefOrder>38</b:RefOrder>
  </b:Source>
  <b:Source>
    <b:Tag>Pad90</b:Tag>
    <b:SourceType>JournalArticle</b:SourceType>
    <b:Guid>{8BDBC4D6-5E6C-4CE9-B203-076F2F728CD0}</b:Guid>
    <b:Author>
      <b:Author>
        <b:NameList>
          <b:Person>
            <b:Last>Padmanabhamurty</b:Last>
            <b:First>B</b:First>
          </b:Person>
        </b:NameList>
      </b:Author>
    </b:Author>
    <b:Title>Microclimates in Tropical Urban Complexes</b:Title>
    <b:Year>1990</b:Year>
    <b:JournalName>Energy and Buildings, Vol 15-16</b:JournalName>
    <b:Pages>83-92</b:Pages>
    <b:RefOrder>39</b:RefOrder>
  </b:Source>
  <b:Source>
    <b:Tag>Olg73</b:Tag>
    <b:SourceType>Book</b:SourceType>
    <b:Guid>{4280D75B-ED01-4510-839C-B926A4DF8950}</b:Guid>
    <b:Author>
      <b:Author>
        <b:NameList>
          <b:Person>
            <b:Last>Olgyay</b:Last>
            <b:First>Victor</b:First>
          </b:Person>
        </b:NameList>
      </b:Author>
    </b:Author>
    <b:Title>Design with Climate: Bioclimatic Approach to Architectural Regionalism</b:Title>
    <b:Year>1973</b:Year>
    <b:City>New Jersey</b:City>
    <b:Publisher>Princeton University Press</b:Publisher>
    <b:RefOrder>40</b:RefOrder>
  </b:Source>
  <b:Source>
    <b:Tag>Nut04</b:Tag>
    <b:SourceType>Book</b:SourceType>
    <b:Guid>{EEC52141-92BE-48D8-B3EB-94B8F34356AF}</b:Guid>
    <b:Author>
      <b:Author>
        <b:NameList>
          <b:Person>
            <b:Last>Nuttgens</b:Last>
            <b:First>Patrick</b:First>
          </b:Person>
        </b:NameList>
      </b:Author>
    </b:Author>
    <b:Title>The Story of Architecture</b:Title>
    <b:Year>2004</b:Year>
    <b:City>London</b:City>
    <b:Publisher>Phaidon</b:Publisher>
    <b:RefOrder>41</b:RefOrder>
  </b:Source>
  <b:Source>
    <b:Tag>Nic04</b:Tag>
    <b:SourceType>JournalArticle</b:SourceType>
    <b:Guid>{78E6DADF-1FF0-4140-B6C8-4C46B17AECA8}</b:Guid>
    <b:Author>
      <b:Author>
        <b:NameList>
          <b:Person>
            <b:Last>Nicol</b:Last>
            <b:First>Fergus</b:First>
          </b:Person>
        </b:NameList>
      </b:Author>
    </b:Author>
    <b:Title>Adaptive thermal comfort standards in the hot–humid tropics</b:Title>
    <b:JournalName>Energy and Buildings (36)</b:JournalName>
    <b:Year>2004</b:Year>
    <b:Pages>628-637</b:Pages>
    <b:RefOrder>42</b:RefOrder>
  </b:Source>
  <b:Source>
    <b:Tag>Nic96</b:Tag>
    <b:SourceType>JournalArticle</b:SourceType>
    <b:Guid>{540CC78F-F96C-42CA-A0DF-B523675C1116}</b:Guid>
    <b:Author>
      <b:Author>
        <b:NameList>
          <b:Person>
            <b:Last>Nicol</b:Last>
            <b:First>F</b:First>
          </b:Person>
          <b:Person>
            <b:Last>Rauf</b:Last>
            <b:First>S</b:First>
          </b:Person>
        </b:NameList>
      </b:Author>
    </b:Author>
    <b:Title>Pioneering new indoor temperature standards: the Pakistan project</b:Title>
    <b:Year>1996</b:Year>
    <b:JournalName>Energy and Buildings, 23</b:JournalName>
    <b:Pages>169-174</b:Pages>
    <b:RefOrder>43</b:RefOrder>
  </b:Source>
  <b:Source>
    <b:Tag>Nay06</b:Tag>
    <b:SourceType>Book</b:SourceType>
    <b:Guid>{4D62B21B-1863-4736-898E-AAC9333A5B42}</b:Guid>
    <b:Author>
      <b:Author>
        <b:NameList>
          <b:Person>
            <b:Last>Nayak</b:Last>
            <b:First>J.K.</b:First>
          </b:Person>
          <b:Person>
            <b:Last>Prajapati</b:Last>
            <b:First>J.A.</b:First>
          </b:Person>
        </b:NameList>
      </b:Author>
    </b:Author>
    <b:Title>Handbook of Energy Conscious Building</b:Title>
    <b:Year>2006</b:Year>
    <b:City>Bombay</b:City>
    <b:Publisher>IIT Bombay and Solar Energy Centre, Ministry of Non-conventional Energy Sources</b:Publisher>
    <b:RefOrder>6</b:RefOrder>
  </b:Source>
  <b:Source>
    <b:Tag>Nai90</b:Tag>
    <b:SourceType>BookSection</b:SourceType>
    <b:Guid>{D3045D5D-CDB3-47EC-BCC0-390872ACA7F5}</b:Guid>
    <b:Author>
      <b:Author>
        <b:NameList>
          <b:Person>
            <b:Last>Nair</b:Last>
            <b:First>Thankappan</b:First>
            <b:Middle>P.</b:Middle>
          </b:Person>
        </b:NameList>
      </b:Author>
      <b:BookAuthor>
        <b:NameList>
          <b:Person>
            <b:Last>Chaudhuri (ed.)</b:Last>
            <b:First>Sukanta</b:First>
          </b:Person>
        </b:NameList>
      </b:BookAuthor>
    </b:Author>
    <b:Title>The Growth and Development of Old Calcutta</b:Title>
    <b:Year>1990</b:Year>
    <b:City>New Delhi</b:City>
    <b:Publisher>Oxford University Press</b:Publisher>
    <b:BookTitle>Calcutta: the Living City</b:BookTitle>
    <b:Pages>10-23</b:Pages>
    <b:RefOrder>15</b:RefOrder>
  </b:Source>
  <b:Source>
    <b:Tag>Mit19</b:Tag>
    <b:SourceType>JournalArticle</b:SourceType>
    <b:Guid>{C6B562A6-CC0E-407B-9708-35375D7FB9A3}</b:Guid>
    <b:Author>
      <b:Author>
        <b:NameList>
          <b:Person>
            <b:Last>Mitra</b:Last>
            <b:First>Sanmarga</b:First>
          </b:Person>
        </b:NameList>
      </b:Author>
    </b:Author>
    <b:Title>Examining the Thermal Performance of Old Indigenous Architecture of Kolkata to Attain Sustainable Development</b:Title>
    <b:JournalName>International Journal of Advanced Research in Engineering and Technology 10(2)</b:JournalName>
    <b:Year>2019</b:Year>
    <b:Pages>403-413</b:Pages>
    <b:RefOrder>44</b:RefOrder>
  </b:Source>
  <b:Source>
    <b:Tag>Mit15</b:Tag>
    <b:SourceType>JournalArticle</b:SourceType>
    <b:Guid>{B6A80CCD-8F69-4E41-AC2A-CF427C221F07}</b:Guid>
    <b:Author>
      <b:Author>
        <b:NameList>
          <b:Person>
            <b:Last>Mitra</b:Last>
            <b:First>Sanmarga</b:First>
          </b:Person>
          <b:Person>
            <b:Last>Mitra</b:Last>
            <b:First>Parama</b:First>
          </b:Person>
        </b:NameList>
      </b:Author>
    </b:Author>
    <b:Title>Continuing Traditional Skill: Learning from the Innovative Adaptations of Indigenous Mud Construction in Rabindranath Tagore's Residence SHyamali at Santiniketan, West Bengal</b:Title>
    <b:JournalName>SPANDREL (10)</b:JournalName>
    <b:Year>2015</b:Year>
    <b:Pages>114-125</b:Pages>
    <b:RefOrder>45</b:RefOrder>
  </b:Source>
  <b:Source>
    <b:Tag>Mit18</b:Tag>
    <b:SourceType>JournalArticle</b:SourceType>
    <b:Guid>{0AD93D87-26FD-4AF7-B8FC-4386B5F8E3EA}</b:Guid>
    <b:Author>
      <b:Author>
        <b:NameList>
          <b:Person>
            <b:Last>Mitra</b:Last>
            <b:First>Sanmarga</b:First>
          </b:Person>
        </b:NameList>
      </b:Author>
    </b:Author>
    <b:Title>A Methodology to Attain Green Urban Settlements through GIS Mapping</b:Title>
    <b:Year>2018</b:Year>
    <b:JournalName>Journal of Civil Engineering and Environmental Technology (JCEET), Vol 5 Issue 4</b:JournalName>
    <b:Pages>211 - 214</b:Pages>
    <b:RefOrder>7</b:RefOrder>
  </b:Source>
  <b:Source>
    <b:Tag>Mis14</b:Tag>
    <b:SourceType>Book</b:SourceType>
    <b:Guid>{05B714B7-6E1B-4E20-8753-9455BCF914F2}</b:Guid>
    <b:Author>
      <b:Author>
        <b:NameList>
          <b:Person>
            <b:Last>Mishra</b:Last>
            <b:First>G.C.(ed)</b:First>
          </b:Person>
        </b:NameList>
      </b:Author>
    </b:Author>
    <b:Title>Sustainable Constructivism: Traditional vis-a-vis Modern Architecture</b:Title>
    <b:Year>2014</b:Year>
    <b:City>New Delhi</b:City>
    <b:Publisher>Excellent Publishing House</b:Publisher>
    <b:RefOrder>46</b:RefOrder>
  </b:Source>
  <b:Source>
    <b:Tag>Mas54</b:Tag>
    <b:SourceType>Book</b:SourceType>
    <b:Guid>{E4BC9F65-1002-43E6-B731-E595F3CB085C}</b:Guid>
    <b:Author>
      <b:Author>
        <b:NameList>
          <b:Person>
            <b:Last>Maslow</b:Last>
            <b:First>A.</b:First>
            <b:Middle>H.</b:Middle>
          </b:Person>
        </b:NameList>
      </b:Author>
    </b:Author>
    <b:Title>Motivation and Personality</b:Title>
    <b:Year>1954</b:Year>
    <b:City>New York</b:City>
    <b:Publisher>Harper and Row</b:Publisher>
    <b:RefOrder>3</b:RefOrder>
  </b:Source>
  <b:Source>
    <b:Tag>Mas00</b:Tag>
    <b:SourceType>DocumentFromInternetSite</b:SourceType>
    <b:Guid>{EEA5E628-5D54-479D-8E3F-C7F8A6196245}</b:Guid>
    <b:Author>
      <b:Author>
        <b:NameList>
          <b:Person>
            <b:Last>Maslow</b:Last>
            <b:First>A</b:First>
          </b:Person>
        </b:NameList>
      </b:Author>
    </b:Author>
    <b:Title>A Theory of Human Motivation</b:Title>
    <b:JournalName>Psychological Review</b:JournalName>
    <b:Year>1943</b:Year>
    <b:InternetSiteTitle>Classics in the History of Psychology</b:InternetSiteTitle>
    <b:YearAccessed>2019</b:YearAccessed>
    <b:MonthAccessed>March</b:MonthAccessed>
    <b:DayAccessed>22</b:DayAccessed>
    <b:URL>http://psychclassics.yorku.ca/Maslow/motivation.htm</b:URL>
    <b:RefOrder>2</b:RefOrder>
  </b:Source>
  <b:Source>
    <b:Tag>Man16</b:Tag>
    <b:SourceType>JournalArticle</b:SourceType>
    <b:Guid>{14014577-C53D-46FC-AD16-6E4AAD94EA9E}</b:Guid>
    <b:Author>
      <b:Author>
        <b:NameList>
          <b:Person>
            <b:Last>Manu</b:Last>
            <b:First>Sanyogita</b:First>
          </b:Person>
          <b:Person>
            <b:Last>Shukla</b:Last>
            <b:First>Yash</b:First>
          </b:Person>
          <b:Person>
            <b:Last>Rawal</b:Last>
            <b:First>Rajan</b:First>
          </b:Person>
          <b:Person>
            <b:Last>Thomas</b:Last>
            <b:First>Leena</b:First>
            <b:Middle>E.</b:Middle>
          </b:Person>
          <b:Person>
            <b:Last>de Dear</b:Last>
            <b:First>Richard</b:First>
          </b:Person>
        </b:NameList>
      </b:Author>
    </b:Author>
    <b:Title>Field studies of thermal comfort across multiple climate zones for the subcontinent: India Model for Adaptive Comfort (IMAC)</b:Title>
    <b:Year>2016</b:Year>
    <b:JournalName>Building and Environment, 98</b:JournalName>
    <b:Pages>55-70</b:Pages>
    <b:RefOrder>47</b:RefOrder>
  </b:Source>
  <b:Source>
    <b:Tag>Man141</b:Tag>
    <b:SourceType>DocumentFromInternetSite</b:SourceType>
    <b:Guid>{F6C42728-B866-4353-B30E-FD28994D2ECE}</b:Guid>
    <b:Author>
      <b:Author>
        <b:NameList>
          <b:Person>
            <b:Last>Manu</b:Last>
            <b:First>Sanyogita</b:First>
          </b:Person>
          <b:Person>
            <b:Last>Shukla</b:Last>
            <b:First>Yash</b:First>
          </b:Person>
          <b:Person>
            <b:Last>Rawal</b:Last>
            <b:First>Rajan</b:First>
          </b:Person>
        </b:NameList>
      </b:Author>
    </b:Author>
    <b:Title>An Introduction to the Indian Model for Adaptive (Thermal) Comfort - IMAC 2014</b:Title>
    <b:Year>2014</b:Year>
    <b:YearAccessed>2019</b:YearAccessed>
    <b:MonthAccessed>February</b:MonthAccessed>
    <b:URL>www.carbse.org/wp-content/uploads/2014/09/Introduction_IMAC2014.pdf</b:URL>
    <b:RefOrder>48</b:RefOrder>
  </b:Source>
  <b:Source>
    <b:Tag>Man14</b:Tag>
    <b:SourceType>Report</b:SourceType>
    <b:Guid>{1365C33E-E777-4F2F-A45C-D2A026FF5D1F}</b:Guid>
    <b:Author>
      <b:Author>
        <b:NameList>
          <b:Person>
            <b:Last>Manu</b:Last>
            <b:First>Sanyogita</b:First>
          </b:Person>
          <b:Person>
            <b:Last>Shukla</b:Last>
            <b:First>Yash</b:First>
          </b:Person>
          <b:Person>
            <b:Last>Rawal</b:Last>
            <b:First>Rajan</b:First>
          </b:Person>
        </b:NameList>
      </b:Author>
    </b:Author>
    <b:Title>An Introduction to the India Model for Adaptive (Thermal) Comfort, IMAC 2014</b:Title>
    <b:Year>2014</b:Year>
    <b:Publisher>Centre for Advanced Research in Building Science and Energy, CEPT University</b:Publisher>
    <b:City>Ahmedabad</b:City>
    <b:RefOrder>10</b:RefOrder>
  </b:Source>
  <b:Source>
    <b:Tag>Mad14</b:Tag>
    <b:SourceType>JournalArticle</b:SourceType>
    <b:Guid>{2C869888-4502-463F-96A0-CBDC2633FAB5}</b:Guid>
    <b:Author>
      <b:Author>
        <b:NameList>
          <b:Person>
            <b:Last>Madhumathi</b:Last>
            <b:First>A</b:First>
          </b:Person>
          <b:Person>
            <b:Last>Vishnupriya</b:Last>
            <b:First>J</b:First>
          </b:Person>
          <b:Person>
            <b:Last>Vignesh</b:Last>
            <b:First>S</b:First>
          </b:Person>
        </b:NameList>
      </b:Author>
    </b:Author>
    <b:Title>Sustainability of traditional rural mud houses in Tamilnadu, India: An analysis related to thermal comfort</b:Title>
    <b:JournalName>Journal of Multidisciplinary Engineering Science and Technology 1(5)</b:JournalName>
    <b:Year>2014</b:Year>
    <b:Pages>302-311</b:Pages>
    <b:RefOrder>49</b:RefOrder>
  </b:Source>
  <b:Source>
    <b:Tag>Leh18</b:Tag>
    <b:SourceType>BookSection</b:SourceType>
    <b:Guid>{B66806E1-11C1-4029-A875-63B5FED813EC}</b:Guid>
    <b:Author>
      <b:Author>
        <b:NameList>
          <b:Person>
            <b:Last>Lehmann</b:Last>
            <b:First>Steffen</b:First>
          </b:Person>
        </b:NameList>
      </b:Author>
    </b:Author>
    <b:Title>Energy Efficient Building Design: Towards Climate Responsive Architecture</b:Title>
    <b:City>Adelaide</b:City>
    <b:BookTitle>Encyclopedia of Life Support System (EOLSS)</b:BookTitle>
    <b:YearAccessed>2018</b:YearAccessed>
    <b:MonthAccessed>November</b:MonthAccessed>
    <b:URL>http://www.eolss.net/sample-chapters/c15/e1-32-19-00.pdf</b:URL>
    <b:Year>2011</b:Year>
    <b:Publisher>University of South Australia</b:Publisher>
    <b:RefOrder>20</b:RefOrder>
  </b:Source>
  <b:Source>
    <b:Tag>Kot12</b:Tag>
    <b:SourceType>JournalArticle</b:SourceType>
    <b:Guid>{BD1C4AB1-42A8-43B5-B937-C4B935A95960}</b:Guid>
    <b:Author>
      <b:Author>
        <b:NameList>
          <b:Person>
            <b:Last>Kotharkar</b:Last>
            <b:First>Rajashree</b:First>
          </b:Person>
          <b:Person>
            <b:Last>Bahadure</b:Last>
            <b:First>Sarika</b:First>
          </b:Person>
          <b:Person>
            <b:Last>Bahadure</b:Last>
            <b:First>Pankaj</b:First>
          </b:Person>
          <b:Person>
            <b:Last>Surawar</b:Last>
            <b:First>Meenal</b:First>
          </b:Person>
        </b:NameList>
      </b:Author>
    </b:Author>
    <b:Title>Measurability for Sustainable Urban Development: Concept to Application</b:Title>
    <b:JournalName>ABACUS 7(1)</b:JournalName>
    <b:Year>2012</b:Year>
    <b:Pages>72-82</b:Pages>
    <b:RefOrder>50</b:RefOrder>
  </b:Source>
  <b:Source>
    <b:Tag>Jac10</b:Tag>
    <b:SourceType>Book</b:SourceType>
    <b:Guid>{C48308BD-762B-4FF3-A11B-B5683431F7C4}</b:Guid>
    <b:Author>
      <b:Author>
        <b:NameList>
          <b:Person>
            <b:Last>Jacquet</b:Last>
            <b:First>Pierre</b:First>
          </b:Person>
          <b:Person>
            <b:Last>Pachauri</b:Last>
            <b:First>Rajendra</b:First>
            <b:Middle>K.</b:Middle>
          </b:Person>
          <b:Person>
            <b:Last>Tubiana</b:Last>
            <b:First>Laurence</b:First>
          </b:Person>
        </b:NameList>
      </b:Author>
    </b:Author>
    <b:Title>Cities: Steering Towrds Sustainability</b:Title>
    <b:Year>2010</b:Year>
    <b:City>New Delhi</b:City>
    <b:Publisher>TERI, AFD, IDDRI</b:Publisher>
    <b:RefOrder>51</b:RefOrder>
  </b:Source>
  <b:Source>
    <b:Tag>Jac09</b:Tag>
    <b:SourceType>Book</b:SourceType>
    <b:Guid>{875771A8-C54A-402C-8455-AA2A0C89C1B9}</b:Guid>
    <b:Author>
      <b:Author>
        <b:NameList>
          <b:Person>
            <b:Last>Jackson</b:Last>
            <b:First>Sherri</b:First>
            <b:Middle>L</b:Middle>
          </b:Person>
        </b:NameList>
      </b:Author>
    </b:Author>
    <b:Title>Research Methods and Statistics</b:Title>
    <b:Year>2009</b:Year>
    <b:City>New Delhi</b:City>
    <b:Publisher>Cengage Learning</b:Publisher>
    <b:RefOrder>52</b:RefOrder>
  </b:Source>
  <b:Source>
    <b:Tag>Jab10</b:Tag>
    <b:SourceType>JournalArticle</b:SourceType>
    <b:Guid>{046D7B21-E231-4533-AC39-B49291724305}</b:Guid>
    <b:Author>
      <b:Author>
        <b:NameList>
          <b:Person>
            <b:Last>Jabeen</b:Last>
            <b:First>Huraera</b:First>
          </b:Person>
          <b:Person>
            <b:Last>Johnson</b:Last>
            <b:First>Cassidy</b:First>
          </b:Person>
          <b:Person>
            <b:Last>Allen</b:Last>
            <b:First>Adriana</b:First>
          </b:Person>
        </b:NameList>
      </b:Author>
    </b:Author>
    <b:Title>Built-in Resilience: learning from grassroots coping strategies for climate variability</b:Title>
    <b:Pages>415-431</b:Pages>
    <b:Year>2010</b:Year>
    <b:JournalName>Environment &amp; Urbanization 22(2)</b:JournalName>
    <b:DOI>10.1177/0956247810379937</b:DOI>
    <b:RefOrder>53</b:RefOrder>
  </b:Source>
  <b:Source>
    <b:Tag>Hum78</b:Tag>
    <b:SourceType>JournalArticle</b:SourceType>
    <b:Guid>{F6D4E071-51F9-4538-99E7-9B06BB84B91B}</b:Guid>
    <b:Author>
      <b:Author>
        <b:NameList>
          <b:Person>
            <b:Last>Humphreys</b:Last>
            <b:First>M</b:First>
          </b:Person>
        </b:NameList>
      </b:Author>
    </b:Author>
    <b:Title>Outdoor Temperatures and comfort indoors</b:Title>
    <b:Year>1978</b:Year>
    <b:JournalName>Building Research and Practice 6(2)</b:JournalName>
    <b:Pages>92-105</b:Pages>
    <b:RefOrder>54</b:RefOrder>
  </b:Source>
  <b:Source>
    <b:Tag>Gup12</b:Tag>
    <b:SourceType>JournalArticle</b:SourceType>
    <b:Guid>{AFF4CBFF-9F9D-4E62-8238-0E53C3F5FB47}</b:Guid>
    <b:Author>
      <b:Author>
        <b:NameList>
          <b:Person>
            <b:Last>Gupta</b:Last>
            <b:First>Janmejoy</b:First>
          </b:Person>
          <b:Person>
            <b:Last>Chakraborty</b:Last>
            <b:First>M.</b:First>
          </b:Person>
        </b:NameList>
      </b:Author>
    </b:Author>
    <b:Title>Sustainability of Rural Mud Houses in Jharkhand: Analysis Related to Thermal Comfort</b:Title>
    <b:Year>2012</b:Year>
    <b:JournalName>ABACUS 7(1)</b:JournalName>
    <b:Pages>56-64</b:Pages>
    <b:RefOrder>55</b:RefOrder>
  </b:Source>
  <b:Source>
    <b:Tag>Gun18</b:Tag>
    <b:SourceType>Book</b:SourceType>
    <b:Guid>{0F3EAE37-6DAE-459D-AA86-FC7AB35ACD62}</b:Guid>
    <b:Author>
      <b:Author>
        <b:NameList>
          <b:Person>
            <b:Last>Gun</b:Last>
            <b:First>A.M.</b:First>
          </b:Person>
          <b:Person>
            <b:Last>Gupta</b:Last>
            <b:First>M.K.</b:First>
          </b:Person>
          <b:Person>
            <b:Last>Dasgupta</b:Last>
            <b:First>B</b:First>
          </b:Person>
        </b:NameList>
      </b:Author>
    </b:Author>
    <b:Title>Fundamentals of Statistics</b:Title>
    <b:Year>2018</b:Year>
    <b:City>Kolkata</b:City>
    <b:Publisher>The World Press Private Limited</b:Publisher>
    <b:Volume>2</b:Volume>
    <b:NumberVolumes>2</b:NumberVolumes>
    <b:RefOrder>56</b:RefOrder>
  </b:Source>
  <b:Source>
    <b:Tag>Gun17</b:Tag>
    <b:SourceType>Book</b:SourceType>
    <b:Guid>{90FAFCF6-9523-4D84-B7A5-8AA2129FA612}</b:Guid>
    <b:Author>
      <b:Author>
        <b:NameList>
          <b:Person>
            <b:Last>Gun</b:Last>
            <b:First>A.M.</b:First>
          </b:Person>
          <b:Person>
            <b:Last>Gupta</b:Last>
            <b:First>M.</b:First>
            <b:Middle>K.</b:Middle>
          </b:Person>
          <b:Person>
            <b:Last>Dasgupta</b:Last>
            <b:First>B</b:First>
          </b:Person>
        </b:NameList>
      </b:Author>
    </b:Author>
    <b:Title>Fundamentals of Statistics</b:Title>
    <b:Year>2017</b:Year>
    <b:City>Kolkata</b:City>
    <b:Publisher>The World Press Private Limited</b:Publisher>
    <b:Volume>1</b:Volume>
    <b:NumberVolumes>2</b:NumberVolumes>
    <b:RefOrder>57</b:RefOrder>
  </b:Source>
  <b:Source>
    <b:Tag>Gul14</b:Tag>
    <b:SourceType>ConferenceProceedings</b:SourceType>
    <b:Guid>{5779C902-4E27-47A7-A476-915B8D2ED651}</b:Guid>
    <b:Author>
      <b:Author>
        <b:NameList>
          <b:Person>
            <b:Last>Gulati</b:Last>
            <b:First>Ritu</b:First>
          </b:Person>
          <b:Person>
            <b:Last>Pandya</b:Last>
            <b:First>Yatin</b:First>
          </b:Person>
        </b:NameList>
      </b:Author>
    </b:Author>
    <b:Title>Comparative Thermal Performance of Vernacular Houses at Lucknow: A Quantitative Assessment &amp; Dominant Multiple Strtegies</b:Title>
    <b:Year>2014</b:Year>
    <b:City>Ahmedabad</b:City>
    <b:Publisher>PLEA</b:Publisher>
    <b:Pages>1-7</b:Pages>
    <b:ConferenceName>30th International PLEA Confrence</b:ConferenceName>
    <b:RefOrder>58</b:RefOrder>
  </b:Source>
  <b:Source>
    <b:Tag>Gri90</b:Tag>
    <b:SourceType>Report</b:SourceType>
    <b:Guid>{B01F7243-DC3A-4B3B-9521-EFD80559AC44}</b:Guid>
    <b:Author>
      <b:Author>
        <b:NameList>
          <b:Person>
            <b:Last>Griffith</b:Last>
            <b:First>I</b:First>
          </b:Person>
        </b:NameList>
      </b:Author>
    </b:Author>
    <b:Title>Thermal comfort studies in builidngs with pasive solar features</b:Title>
    <b:Year>1990</b:Year>
    <b:Publisher>Report to EC, UK</b:Publisher>
    <b:RefOrder>59</b:RefOrder>
  </b:Source>
  <b:Source>
    <b:Tag>Gho15</b:Tag>
    <b:SourceType>Misc</b:SourceType>
    <b:Guid>{E85FACF6-5169-4AE6-B4B9-DC4988172931}</b:Guid>
    <b:Author>
      <b:Author>
        <b:NameList>
          <b:Person>
            <b:Last>Ghosh</b:Last>
            <b:First>Oindrila</b:First>
          </b:Person>
        </b:NameList>
      </b:Author>
    </b:Author>
    <b:Title>Comfort Band in Hot and Humid Climate</b:Title>
    <b:Year>2015</b:Year>
    <b:Month>January</b:Month>
    <b:Day>15</b:Day>
    <b:YearAccessed>2019</b:YearAccessed>
    <b:MonthAccessed>February</b:MonthAccessed>
    <b:URL>https://www.academia.edu/23275650/COMFORT_BAND_IN_HOT_AND_HUMID_CLIMATES</b:URL>
    <b:City>London</b:City>
    <b:CountryRegion>UK</b:CountryRegion>
    <b:RefOrder>60</b:RefOrder>
  </b:Source>
  <b:Source>
    <b:Tag>Fan15</b:Tag>
    <b:SourceType>JournalArticle</b:SourceType>
    <b:Guid>{5CD78ABC-5C63-4EEF-8A74-6D6B6605E59E}</b:Guid>
    <b:Author>
      <b:Author>
        <b:NameList>
          <b:Person>
            <b:Last>Fang</b:Last>
            <b:First>Liwei</b:First>
          </b:Person>
        </b:NameList>
      </b:Author>
    </b:Author>
    <b:Title>Vernacular Architecture and Thermal Comfort in Warm and Humid Tropics</b:Title>
    <b:JournalName>International Journal of Science 2(2)</b:JournalName>
    <b:Year>2015</b:Year>
    <b:Pages>98-104</b:Pages>
    <b:RefOrder>61</b:RefOrder>
  </b:Source>
  <b:Source>
    <b:Tag>Ere11</b:Tag>
    <b:SourceType>Book</b:SourceType>
    <b:Guid>{689CE55E-B6FD-49C5-980B-350A992CA196}</b:Guid>
    <b:Author>
      <b:Author>
        <b:NameList>
          <b:Person>
            <b:Last>Erell</b:Last>
            <b:First>Evyatar</b:First>
          </b:Person>
          <b:Person>
            <b:Last>Pearlmutter</b:Last>
            <b:First>David</b:First>
          </b:Person>
          <b:Person>
            <b:Last>Williamson</b:Last>
            <b:First>Terry</b:First>
          </b:Person>
        </b:NameList>
      </b:Author>
    </b:Author>
    <b:Title>Urban Microclimate: Designing the Spaces Between Buildings</b:Title>
    <b:Year>2011</b:Year>
    <b:City>London</b:City>
    <b:Publisher>Earthscan</b:Publisher>
    <b:RefOrder>62</b:RefOrder>
  </b:Source>
  <b:Source>
    <b:Tag>Das90</b:Tag>
    <b:SourceType>BookSection</b:SourceType>
    <b:Guid>{962472E1-9249-42A7-825F-5B8007E0B2EC}</b:Guid>
    <b:Author>
      <b:Author>
        <b:NameList>
          <b:Person>
            <b:Last>Das Gupta</b:Last>
            <b:First>Siva</b:First>
            <b:Middle>Prasad</b:Middle>
          </b:Person>
        </b:NameList>
      </b:Author>
      <b:BookAuthor>
        <b:NameList>
          <b:Person>
            <b:Last>Chaudhuri (ed.)</b:Last>
            <b:First>S.</b:First>
          </b:Person>
        </b:NameList>
      </b:BookAuthor>
    </b:Author>
    <b:Title>The SIte of Calcutta: Geology and Physiography</b:Title>
    <b:BookTitle>Calcutta: the Living City (pp. 10-23).</b:BookTitle>
    <b:Year>1990</b:Year>
    <b:Pages>2-4</b:Pages>
    <b:City>New Delhi</b:City>
    <b:Publisher>Oxford University Press.</b:Publisher>
    <b:RefOrder>21</b:RefOrder>
  </b:Source>
  <b:Source>
    <b:Tag>Das13</b:Tag>
    <b:SourceType>Book</b:SourceType>
    <b:Guid>{C52CA1BC-2F65-4D84-BDD2-8656FACB37F1}</b:Guid>
    <b:Author>
      <b:Author>
        <b:NameList>
          <b:Person>
            <b:Last>Das</b:Last>
            <b:First>Samit</b:First>
          </b:Person>
        </b:NameList>
      </b:Author>
    </b:Author>
    <b:Title>Architecture of Santiniketan: Tagore's Concept of Space</b:Title>
    <b:Year>2013</b:Year>
    <b:City>New Delhi</b:City>
    <b:Publisher>Niyogi Books</b:Publisher>
    <b:RefOrder>63</b:RefOrder>
  </b:Source>
  <b:Source>
    <b:Tag>Dar11</b:Tag>
    <b:SourceType>JournalArticle</b:SourceType>
    <b:Guid>{4194D4CA-F0AE-479B-8BCB-2645BCC32B2F}</b:Guid>
    <b:Author>
      <b:Author>
        <b:NameList>
          <b:Person>
            <b:Last>Daroda</b:Last>
            <b:First>K.S.</b:First>
          </b:Person>
        </b:NameList>
      </b:Author>
    </b:Author>
    <b:Title>Climate Responsive Architecture: Creating Greater Design Awareness Among Architects</b:Title>
    <b:JournalName>Journal of Environmental Issues and Agriculture in Developing Countries 3(1)</b:JournalName>
    <b:Year>2011</b:Year>
    <b:Pages>33-43</b:Pages>
    <b:RefOrder>64</b:RefOrder>
  </b:Source>
  <b:Source>
    <b:Tag>Cur06</b:Tag>
    <b:SourceType>Book</b:SourceType>
    <b:Guid>{1F25C6DE-7DB5-473D-8684-EDB4D8D1594E}</b:Guid>
    <b:Author>
      <b:Author>
        <b:NameList>
          <b:Person>
            <b:Last>Curtis</b:Last>
            <b:First>William</b:First>
            <b:Middle>JR</b:Middle>
          </b:Person>
        </b:NameList>
      </b:Author>
    </b:Author>
    <b:Title>Modern Architecture since 1900</b:Title>
    <b:Year>2006</b:Year>
    <b:City>London</b:City>
    <b:Publisher>Phaidon</b:Publisher>
    <b:RefOrder>65</b:RefOrder>
  </b:Source>
  <b:Source>
    <b:Tag>Cor10</b:Tag>
    <b:SourceType>Book</b:SourceType>
    <b:Guid>{AC8D522C-7B4F-456F-A9EE-1B52041E4930}</b:Guid>
    <b:Author>
      <b:Author>
        <b:NameList>
          <b:Person>
            <b:Last>Correa</b:Last>
            <b:First>Charles</b:First>
          </b:Person>
        </b:NameList>
      </b:Author>
    </b:Author>
    <b:Title>A Place in the Shade: The New landscape and Other Essays</b:Title>
    <b:Year>2010</b:Year>
    <b:City>London</b:City>
    <b:Publisher>Penguin Books</b:Publisher>
    <b:RefOrder>66</b:RefOrder>
  </b:Source>
  <b:Source>
    <b:Tag>Col05</b:Tag>
    <b:SourceType>Book</b:SourceType>
    <b:Guid>{C5B3F5C6-EECA-4128-B961-FBB6E7B1E993}</b:Guid>
    <b:Author>
      <b:Author>
        <b:NameList>
          <b:Person>
            <b:Last>Cole</b:Last>
            <b:First>Emily</b:First>
            <b:Middle>(ed)</b:Middle>
          </b:Person>
        </b:NameList>
      </b:Author>
    </b:Author>
    <b:Title>The Grammar of Architecture</b:Title>
    <b:Year>2005</b:Year>
    <b:City>New York</b:City>
    <b:Publisher>Metro Books</b:Publisher>
    <b:RefOrder>67</b:RefOrder>
  </b:Source>
  <b:Source>
    <b:Tag>Tor07</b:Tag>
    <b:SourceType>JournalArticle</b:SourceType>
    <b:Guid>{A8D7F82E-539F-4D47-B1C1-0B80988C72D9}</b:Guid>
    <b:Author>
      <b:Author>
        <b:NameList>
          <b:Person>
            <b:Last>Chenvidyakarn</b:Last>
            <b:First>Torwong</b:First>
          </b:Person>
        </b:NameList>
      </b:Author>
    </b:Author>
    <b:Title>Review Article: Passive Design for Thermal Comfort in Hot Humid Climates</b:Title>
    <b:Year>2007</b:Year>
    <b:JournalName>Journal of Architectural/Planning Research and Studies, Vol. 5 Issue 1</b:JournalName>
    <b:Pages>3-27</b:Pages>
    <b:RefOrder>19</b:RefOrder>
  </b:Source>
  <b:Source>
    <b:Tag>Cha13</b:Tag>
    <b:SourceType>Book</b:SourceType>
    <b:Guid>{E5A5C130-E3F7-44D9-890C-C4085867A0BB}</b:Guid>
    <b:Author>
      <b:Author>
        <b:NameList>
          <b:Person>
            <b:Last>Chakraborty</b:Last>
            <b:First>Bidisha</b:First>
          </b:Person>
          <b:Person>
            <b:Last>De</b:Last>
            <b:First>Sarmistha</b:First>
          </b:Person>
        </b:NameList>
      </b:Author>
    </b:Author>
    <b:Title>Calcutta in the Nineteenth Century: an archival exploration</b:Title>
    <b:Year>2013</b:Year>
    <b:City>New Delhi</b:City>
    <b:Publisher>Niyogi Books</b:Publisher>
    <b:RefOrder>68</b:RefOrder>
  </b:Source>
  <b:Source>
    <b:Tag>Boy65</b:Tag>
    <b:SourceType>Book</b:SourceType>
    <b:Guid>{730F1969-6CD0-4E2A-8B06-757F15A6FD6D}</b:Guid>
    <b:Author>
      <b:Author>
        <b:NameList>
          <b:Person>
            <b:Last>Boyd</b:Last>
            <b:First>Robin</b:First>
          </b:Person>
        </b:NameList>
      </b:Author>
    </b:Author>
    <b:Title>The Puzzle of Architecture</b:Title>
    <b:Year>1965</b:Year>
    <b:City>London &amp; New York</b:City>
    <b:Publisher>Melbourne University Press</b:Publisher>
    <b:RefOrder>69</b:RefOrder>
  </b:Source>
  <b:Source>
    <b:Tag>Bos15</b:Tag>
    <b:SourceType>JournalArticle</b:SourceType>
    <b:Guid>{C65CEEFE-94EE-4F2C-A3EC-914546EF6CE0}</b:Guid>
    <b:Author>
      <b:Author>
        <b:NameList>
          <b:Person>
            <b:Last>Bose</b:Last>
            <b:First>Shivashish</b:First>
          </b:Person>
          <b:Person>
            <b:Last>Sarkar</b:Last>
            <b:First>Soumen</b:First>
          </b:Person>
        </b:NameList>
      </b:Author>
    </b:Author>
    <b:Title>Top floors of low rise modern residences in Kolkata: preliminary exploration towards a sustainable solution</b:Title>
    <b:Year>2015</b:Year>
    <b:Pages>1581-1589</b:Pages>
    <b:JournalName>Current Science 109(9)</b:JournalName>
    <b:RefOrder>70</b:RefOrder>
  </b:Source>
  <b:Source>
    <b:Tag>Bos10</b:Tag>
    <b:SourceType>JournalArticle</b:SourceType>
    <b:Guid>{2B57C3B6-21B9-40BE-A477-C24B04758C92}</b:Guid>
    <b:Author>
      <b:Author>
        <b:NameList>
          <b:Person>
            <b:Last>Bose</b:Last>
            <b:First>Shivashish</b:First>
          </b:Person>
        </b:NameList>
      </b:Author>
    </b:Author>
    <b:Title>Management of Existing Building Stock at Chitpur in Kolkata for Sustainability through Conservation and Conversion</b:Title>
    <b:JournalName>ABACUS 5(1)</b:JournalName>
    <b:Year>2010</b:Year>
    <b:Pages>65-73</b:Pages>
    <b:RefOrder>71</b:RefOrder>
  </b:Source>
  <b:Source>
    <b:Tag>Bos12</b:Tag>
    <b:SourceType>JournalArticle</b:SourceType>
    <b:Guid>{104EF399-9F50-4AD2-AE44-400C4F2C2F8A}</b:Guid>
    <b:Author>
      <b:Author>
        <b:NameList>
          <b:Person>
            <b:Last>Bose</b:Last>
            <b:First>Shivashish</b:First>
          </b:Person>
          <b:Person>
            <b:Last>Chatterjee</b:Last>
            <b:First>Prerna</b:First>
          </b:Person>
          <b:Person>
            <b:Last>Roy</b:Last>
            <b:First>Preeti</b:First>
          </b:Person>
          <b:Person>
            <b:Last>Ray</b:Last>
            <b:First>Tiasa</b:First>
          </b:Person>
          <b:Person>
            <b:Last>Bhattacharyya</b:Last>
            <b:First>Koel</b:First>
          </b:Person>
        </b:NameList>
      </b:Author>
    </b:Author>
    <b:Title>Baboo Ghat: Study of Historic Riverfront Element in Kolkata</b:Title>
    <b:JournalName>ABACUS 7(1)</b:JournalName>
    <b:Year>2012</b:Year>
    <b:Pages>103 - 108</b:Pages>
    <b:RefOrder>72</b:RefOrder>
  </b:Source>
  <b:Source>
    <b:Tag>Bos08</b:Tag>
    <b:SourceType>Book</b:SourceType>
    <b:Guid>{666CEC43-B225-43B6-95DB-5CC74407CF71}</b:Guid>
    <b:Author>
      <b:Author>
        <b:NameList>
          <b:Person>
            <b:Last>Bose</b:Last>
            <b:First>Kamalika</b:First>
          </b:Person>
        </b:NameList>
      </b:Author>
    </b:Author>
    <b:Title>Seeking the Lost Layers: an Inquiry into the Traditional Dwellings of the Urban Elite in North Calcutta</b:Title>
    <b:Year>2008</b:Year>
    <b:City>Ahmedabad</b:City>
    <b:Publisher>CEPT University</b:Publisher>
    <b:RefOrder>14</b:RefOrder>
  </b:Source>
  <b:Source>
    <b:Tag>Bis14</b:Tag>
    <b:SourceType>ConferenceProceedings</b:SourceType>
    <b:Guid>{6EF9C6CA-7718-4735-8E74-E359B0797E73}</b:Guid>
    <b:Author>
      <b:Author>
        <b:NameList>
          <b:Person>
            <b:Last>Biswas</b:Last>
            <b:First>S</b:First>
          </b:Person>
          <b:Person>
            <b:Last>Roy</b:Last>
            <b:First>A</b:First>
          </b:Person>
          <b:Person>
            <b:Last>Neogi</b:Last>
            <b:First>S</b:First>
          </b:Person>
        </b:NameList>
      </b:Author>
    </b:Author>
    <b:Title>Study on the Impact of Thermal Inertia on Building System Performance</b:Title>
    <b:Year>2014</b:Year>
    <b:Publisher>Bengal Engineering and Science University</b:Publisher>
    <b:City>Shibpur</b:City>
    <b:Pages>21-28</b:Pages>
    <b:ConferenceName>National Symposium on Sustainability and the Built Environment: Searching for Synergies</b:ConferenceName>
    <b:RefOrder>73</b:RefOrder>
  </b:Source>
  <b:Source>
    <b:Tag>Ban13</b:Tag>
    <b:SourceType>Book</b:SourceType>
    <b:Guid>{BDB98BEC-7D83-4222-83CC-DED38FD0C3BE}</b:Guid>
    <b:Author>
      <b:Author>
        <b:NameList>
          <b:Person>
            <b:Last>Bandyopadhyay</b:Last>
            <b:First>Debasis</b:First>
          </b:Person>
        </b:NameList>
      </b:Author>
    </b:Author>
    <b:Title>Bonedi Kolkatar Ghorbari (bengali)</b:Title>
    <b:Year>2013</b:Year>
    <b:City>Kolkata</b:City>
    <b:Publisher>Ananda Publishers</b:Publisher>
    <b:RefOrder>74</b:RefOrder>
  </b:Source>
  <b:Source>
    <b:Tag>Ban12</b:Tag>
    <b:SourceType>JournalArticle</b:SourceType>
    <b:Guid>{FE8F1497-1229-48A4-A184-FF09F9CE8A7E}</b:Guid>
    <b:Author>
      <b:Author>
        <b:NameList>
          <b:Person>
            <b:Last>Bandyopadhyay</b:Last>
            <b:First>Abir</b:First>
          </b:Person>
          <b:Person>
            <b:Last>Awasthi</b:Last>
            <b:First>Neha</b:First>
          </b:Person>
        </b:NameList>
      </b:Author>
    </b:Author>
    <b:Title>The Havelis of Ramgarh, Shekhwati, Rajasthan: "A Study on Thermal Response of Built Heritage"</b:Title>
    <b:JournalName>ABACUS 7(2)</b:JournalName>
    <b:Year>2012</b:Year>
    <b:Pages>28-34</b:Pages>
    <b:RefOrder>75</b:RefOrder>
  </b:Source>
  <b:Source>
    <b:Tag>Ban11</b:Tag>
    <b:SourceType>JournalArticle</b:SourceType>
    <b:Guid>{CA69D9C7-78E4-4114-B7C6-7191E8C7B29B}</b:Guid>
    <b:Author>
      <b:Author>
        <b:NameList>
          <b:Person>
            <b:Last>Bandyopadhyay</b:Last>
            <b:First>Abir</b:First>
          </b:Person>
        </b:NameList>
      </b:Author>
    </b:Author>
    <b:Title>Modern Architecture in India - in search of Identity</b:Title>
    <b:JournalName>ABACUS 6(1)</b:JournalName>
    <b:Year>2011</b:Year>
    <b:Pages>1-6</b:Pages>
    <b:RefOrder>76</b:RefOrder>
  </b:Source>
  <b:Source>
    <b:Tag>Aul81</b:Tag>
    <b:SourceType>JournalArticle</b:SourceType>
    <b:Guid>{C8F2CFCE-7F49-414B-9863-5684D9825262}</b:Guid>
    <b:Author>
      <b:Author>
        <b:NameList>
          <b:Person>
            <b:Last>Aulicliems</b:Last>
            <b:First>A</b:First>
          </b:Person>
        </b:NameList>
      </b:Author>
    </b:Author>
    <b:Title>Towards a psycho-physiological model of thermal perception</b:Title>
    <b:JournalName>International Journal of Biometeorology 25</b:JournalName>
    <b:Year>1981</b:Year>
    <b:Pages>109-122</b:Pages>
    <b:RefOrder>77</b:RefOrder>
  </b:Source>
  <b:Source>
    <b:Tag>Abe12</b:Tag>
    <b:SourceType>Report</b:SourceType>
    <b:Guid>{92B770D5-C4F8-44C3-B445-1622C490B19A}</b:Guid>
    <b:Author>
      <b:Author>
        <b:NameList>
          <b:Person>
            <b:Last>Abed</b:Last>
            <b:First>Huda</b:First>
            <b:Middle>Mohammed Hussein</b:Middle>
          </b:Person>
        </b:NameList>
      </b:Author>
    </b:Author>
    <b:Title>Effect of Building Form on the Thermal Performance of Residential Complexes in the Mediterranean Climate of the Gaza Strip</b:Title>
    <b:Year>2012</b:Year>
    <b:Publisher>Islamic University of Gaza</b:Publisher>
    <b:City>Gaza</b:City>
    <b:RefOrder>78</b:RefOrder>
  </b:Source>
  <b:Source>
    <b:Tag>NOA17</b:Tag>
    <b:SourceType>InternetSite</b:SourceType>
    <b:Guid>{5EE9843D-F0E4-4CC3-920E-AB856F81A569}</b:Guid>
    <b:Author>
      <b:Author>
        <b:Corporate>NOAA, USA</b:Corporate>
      </b:Author>
    </b:Author>
    <b:Title>The Heat Index Equation</b:Title>
    <b:InternetSiteTitle>National Weather Service: Weather Prediction Centre</b:InternetSiteTitle>
    <b:YearAccessed>2017</b:YearAccessed>
    <b:MonthAccessed>March</b:MonthAccessed>
    <b:URL>https://www.wpc.ncep.noaa.gov/html/heatindex_equation.shtml</b:URL>
    <b:RefOrder>79</b:RefOrder>
  </b:Source>
  <b:Source>
    <b:Tag>Uni12</b:Tag>
    <b:SourceType>InternetSite</b:SourceType>
    <b:Guid>{4E7D2D55-944A-41CB-B08B-DFC760627319}</b:Guid>
    <b:Author>
      <b:Author>
        <b:Corporate>UNDP</b:Corporate>
      </b:Author>
    </b:Author>
    <b:Title>Sustainable Development Goals</b:Title>
    <b:InternetSiteTitle>United Nations Development Program (UNDP)</b:InternetSiteTitle>
    <b:Year>2012</b:Year>
    <b:YearAccessed>2019</b:YearAccessed>
    <b:MonthAccessed>January</b:MonthAccessed>
    <b:URL>https://www.undp.org/content/undp/en/home/sustainable-development-goals.html</b:URL>
    <b:RefOrder>9</b:RefOrder>
  </b:Source>
  <b:Source>
    <b:Tag>ICA04</b:Tag>
    <b:SourceType>Book</b:SourceType>
    <b:Guid>{2DE27196-2D08-4DB5-9013-003DCEA85AD7}</b:Guid>
    <b:Author>
      <b:Author>
        <b:Corporate>ICAEN</b:Corporate>
      </b:Author>
    </b:Author>
    <b:Title>Sustainable Building Design Manual: Sustainable Building Design Practices (vol 1)</b:Title>
    <b:Year>2004</b:Year>
    <b:City>New Delhi</b:City>
    <b:Publisher>The Energy and Resources Institute</b:Publisher>
    <b:RefOrder>80</b:RefOrder>
  </b:Source>
  <b:Source>
    <b:Tag>BIS05</b:Tag>
    <b:SourceType>Book</b:SourceType>
    <b:Guid>{E46A037D-FC76-472A-A4B9-C002213829F1}</b:Guid>
    <b:Author>
      <b:Author>
        <b:Corporate>BIS</b:Corporate>
      </b:Author>
    </b:Author>
    <b:Title>National Building Code (NBC)</b:Title>
    <b:Year>2005</b:Year>
    <b:City>New Delhi</b:City>
    <b:Publisher>Bureau of Indian Standards (BIS)</b:Publisher>
    <b:RefOrder>81</b:RefOrder>
  </b:Source>
  <b:Source>
    <b:Tag>Inc19</b:Tag>
    <b:SourceType>InternetSite</b:SourceType>
    <b:Guid>{EC8191C7-7892-491C-A620-BEF8FD46F107}</b:Guid>
    <b:Title>Income Distribution:India</b:Title>
    <b:Year>2019</b:Year>
    <b:InternetSiteTitle>Indpaedia</b:InternetSiteTitle>
    <b:Month>January</b:Month>
    <b:Day>28</b:Day>
    <b:YearAccessed>2019</b:YearAccessed>
    <b:MonthAccessed>March</b:MonthAccessed>
    <b:DayAccessed>10</b:DayAccessed>
    <b:URL>http://indpaedia.com/ind/index.php/Income_Distribution:India#2014:_Income_inequality_highest_since_1922</b:URL>
    <b:RefOrder>12</b:RefOrder>
  </b:Source>
  <b:Source>
    <b:Tag>TER07</b:Tag>
    <b:SourceType>Book</b:SourceType>
    <b:Guid>{1F15ABA1-EED9-4263-BE4D-8C63E27D621B}</b:Guid>
    <b:Author>
      <b:Author>
        <b:Corporate>TERI</b:Corporate>
      </b:Author>
    </b:Author>
    <b:Title>GRIHA Manual - vol 1</b:Title>
    <b:Year>2007</b:Year>
    <b:City>New Delhi</b:City>
    <b:Publisher>The Energy and Resource Institute (TERI)</b:Publisher>
    <b:RefOrder>82</b:RefOrder>
  </b:Source>
  <b:Source>
    <b:Tag>Oxf19</b:Tag>
    <b:SourceType>InternetSite</b:SourceType>
    <b:Guid>{15EACFDD-4978-458D-A1EE-A35248299F3B}</b:Guid>
    <b:Author>
      <b:Author>
        <b:Corporate>Oxford University Press</b:Corporate>
      </b:Author>
    </b:Author>
    <b:Title>English Oxford Living Dictionaries</b:Title>
    <b:YearAccessed>2019</b:YearAccessed>
    <b:MonthAccessed>March</b:MonthAccessed>
    <b:DayAccessed>30</b:DayAccessed>
    <b:URL>https://en.oxforddictionaries.com/definition/indigenous</b:URL>
    <b:RefOrder>83</b:RefOrder>
  </b:Source>
  <b:Source>
    <b:Tag>Min18</b:Tag>
    <b:SourceType>DocumentFromInternetSite</b:SourceType>
    <b:Guid>{4CA46FD8-4F1E-4D64-AAB7-26C37B8A9753}</b:Guid>
    <b:Author>
      <b:Author>
        <b:Corporate>Ministry of Urban Development, GoI</b:Corporate>
      </b:Author>
    </b:Author>
    <b:Title>Downloads</b:Title>
    <b:Year>2018</b:Year>
    <b:InternetSiteTitle>Smart City Bhopal</b:InternetSiteTitle>
    <b:Month>March</b:Month>
    <b:Day>27</b:Day>
    <b:YearAccessed>2019</b:YearAccessed>
    <b:MonthAccessed>January</b:MonthAccessed>
    <b:DayAccessed>10</b:DayAccessed>
    <b:URL>https://smartbhopal.city/en/home/download</b:URL>
    <b:RefOrder>8</b:RefOrder>
  </b:Source>
  <b:Source>
    <b:Tag>ICO99</b:Tag>
    <b:SourceType>Report</b:SourceType>
    <b:Guid>{371A33CC-2B93-4E3D-B23B-4D59A6FAD527}</b:Guid>
    <b:Author>
      <b:Author>
        <b:Corporate>ICOMOS</b:Corporate>
      </b:Author>
    </b:Author>
    <b:Title>Charter on the Built Vernacular Heritage</b:Title>
    <b:Year>1999</b:Year>
    <b:Publisher>International Council on Monument and Sites</b:Publisher>
    <b:City>Mexico</b:City>
    <b:RefOrder>84</b:RefOrder>
  </b:Source>
  <b:Source>
    <b:Tag>ANS13</b:Tag>
    <b:SourceType>Book</b:SourceType>
    <b:Guid>{1CFDDD9B-50AE-49CA-A2C2-C3EBAB6E6819}</b:Guid>
    <b:Author>
      <b:Author>
        <b:Corporate>ANSI</b:Corporate>
      </b:Author>
    </b:Author>
    <b:Title>ANSI/ASHRAE Standard 55-2013: Thermal Environmental Conditions for Human Occupancy</b:Title>
    <b:Year>2013</b:Year>
    <b:City>Atlanta</b:City>
    <b:Publisher>Approved American National Standard (ANSI)</b:Publisher>
    <b:RefOrder>22</b:RefOrder>
  </b:Source>
  <b:Source>
    <b:Tag>Pel12</b:Tag>
    <b:SourceType>ConferenceProceedings</b:SourceType>
    <b:Guid>{EED943CB-27D7-4AD6-85A5-2E9A98E1E9D5}</b:Guid>
    <b:Author>
      <b:Author>
        <b:NameList>
          <b:Person>
            <b:Last>Pellegrino</b:Last>
            <b:First>Margot</b:First>
          </b:Person>
          <b:Person>
            <b:Last>Simonetti</b:Last>
            <b:First>Marco</b:First>
          </b:Person>
          <b:Person>
            <b:Last>Fournier</b:Last>
            <b:First>Laurent</b:First>
          </b:Person>
        </b:NameList>
      </b:Author>
    </b:Author>
    <b:Title>A field survey in Calcutta. Architectural issues, thermal comfort and adaptive mechanisms in hot humid climates</b:Title>
    <b:Year>2012</b:Year>
    <b:ConferenceName>Proceeding of 7th Windsor Confernce: The changing context of comfort in an unpredictable world</b:ConferenceName>
    <b:City>Windsor</b:City>
    <b:Publisher>Network for Comfort and Energy Use in Buildings</b:Publisher>
    <b:RefOrder>85</b:RefOrder>
  </b:Source>
  <b:Source>
    <b:Tag>Nat13</b:Tag>
    <b:SourceType>JournalArticle</b:SourceType>
    <b:Guid>{608F7974-B03E-4646-9B99-17DC79432F19}</b:Guid>
    <b:Title>Urban Municipal Growth and Landuse Change Monitoring Using High Resolution Satellite Imageries and Secondary Data A Geospatial Study on Kolkata Municipal Corporation, India</b:Title>
    <b:JournalName>Studies in Surveying and Mapping Science (SSMS)</b:JournalName>
    <b:Year>2013</b:Year>
    <b:Pages>43-54</b:Pages>
    <b:Author>
      <b:Author>
        <b:NameList>
          <b:Person>
            <b:Last>Nath</b:Last>
            <b:First>B</b:First>
          </b:Person>
          <b:Person>
            <b:Last>Acharjee</b:Last>
            <b:First>S</b:First>
          </b:Person>
        </b:NameList>
      </b:Author>
    </b:Author>
    <b:Volume>1</b:Volume>
    <b:Issue>3</b:Issue>
    <b:RefOrder>1</b:RefOrder>
  </b:Source>
</b:Sources>
</file>

<file path=customXml/itemProps1.xml><?xml version="1.0" encoding="utf-8"?>
<ds:datastoreItem xmlns:ds="http://schemas.openxmlformats.org/officeDocument/2006/customXml" ds:itemID="{25633A3F-8443-4B32-8326-3709FAC9F2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21</Pages>
  <Words>5132</Words>
  <Characters>29258</Characters>
  <Application>Microsoft Office Word</Application>
  <DocSecurity>0</DocSecurity>
  <Lines>243</Lines>
  <Paragraphs>68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34322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Sanmarga Mitra</dc:creator>
  <cp:lastModifiedBy>Dell54</cp:lastModifiedBy>
  <cp:revision>7</cp:revision>
  <cp:lastPrinted>2024-11-07T07:39:00Z</cp:lastPrinted>
  <dcterms:created xsi:type="dcterms:W3CDTF">2024-11-06T07:03:00Z</dcterms:created>
  <dcterms:modified xsi:type="dcterms:W3CDTF">2024-11-07T07:42:00Z</dcterms:modified>
</cp:coreProperties>
</file>