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A9684" w14:textId="77777777" w:rsidR="00875CE7" w:rsidRPr="00C63663" w:rsidRDefault="00875CE7" w:rsidP="00875CE7">
      <w:pPr>
        <w:jc w:val="center"/>
        <w:rPr>
          <w:b/>
          <w:bCs/>
        </w:rPr>
      </w:pPr>
      <w:r w:rsidRPr="00C63663">
        <w:rPr>
          <w:b/>
          <w:bCs/>
        </w:rPr>
        <w:t>New dual rapid antibody test for diagnosis of Equine Infectious Anemia</w:t>
      </w:r>
    </w:p>
    <w:p w14:paraId="3C6D12FB" w14:textId="77777777" w:rsidR="00875CE7" w:rsidRPr="00C63663" w:rsidRDefault="00875CE7" w:rsidP="00875CE7">
      <w:pPr>
        <w:jc w:val="center"/>
        <w:rPr>
          <w:b/>
          <w:bCs/>
        </w:rPr>
      </w:pPr>
    </w:p>
    <w:p w14:paraId="3F7DF688" w14:textId="77777777" w:rsidR="00875CE7" w:rsidRPr="00C63663" w:rsidRDefault="00875CE7" w:rsidP="00875CE7">
      <w:pPr>
        <w:jc w:val="center"/>
        <w:rPr>
          <w:b/>
          <w:bCs/>
        </w:rPr>
      </w:pPr>
    </w:p>
    <w:p w14:paraId="5E67A6F5" w14:textId="045D88F1" w:rsidR="00875CE7" w:rsidRPr="00C63663" w:rsidRDefault="00875CE7" w:rsidP="00875CE7">
      <w:pPr>
        <w:pStyle w:val="NoSpacing"/>
        <w:jc w:val="center"/>
        <w:rPr>
          <w:rFonts w:ascii="Times New Roman" w:hAnsi="Times New Roman" w:cs="Times New Roman"/>
          <w:color w:val="000000"/>
          <w:lang w:eastAsia="zh-CN"/>
        </w:rPr>
      </w:pPr>
      <w:r w:rsidRPr="00C63663">
        <w:rPr>
          <w:rFonts w:ascii="Times New Roman" w:hAnsi="Times New Roman" w:cs="Times New Roman"/>
          <w:color w:val="201F1E"/>
        </w:rPr>
        <w:t xml:space="preserve">John Zhang, </w:t>
      </w:r>
      <w:r w:rsidRPr="00C63663">
        <w:rPr>
          <w:rFonts w:ascii="Times New Roman" w:hAnsi="Times New Roman" w:cs="Times New Roman"/>
          <w:color w:val="000000"/>
        </w:rPr>
        <w:t xml:space="preserve">Justin Nordmeyer, </w:t>
      </w:r>
      <w:r w:rsidR="00681E3A">
        <w:rPr>
          <w:rFonts w:ascii="Times New Roman" w:hAnsi="Times New Roman" w:cs="Times New Roman" w:hint="eastAsia"/>
          <w:color w:val="000000"/>
          <w:lang w:eastAsia="zh-CN"/>
        </w:rPr>
        <w:t xml:space="preserve">Xiaojie Wu, </w:t>
      </w:r>
      <w:r w:rsidRPr="00C63663">
        <w:rPr>
          <w:rFonts w:ascii="Times New Roman" w:hAnsi="Times New Roman" w:cs="Times New Roman"/>
          <w:color w:val="000000"/>
        </w:rPr>
        <w:t>James Marous, Harrison Fraysier</w:t>
      </w:r>
      <w:r w:rsidRPr="00C63663">
        <w:rPr>
          <w:rFonts w:ascii="Times New Roman" w:hAnsi="Times New Roman" w:cs="Times New Roman"/>
          <w:color w:val="212121"/>
          <w:lang w:eastAsia="zh-CN"/>
        </w:rPr>
        <w:t>,</w:t>
      </w:r>
    </w:p>
    <w:p w14:paraId="497CDFE4" w14:textId="77777777" w:rsidR="00875CE7" w:rsidRPr="00C63663" w:rsidRDefault="00875CE7" w:rsidP="00875CE7">
      <w:pPr>
        <w:pStyle w:val="NoSpacing"/>
        <w:jc w:val="center"/>
        <w:rPr>
          <w:rStyle w:val="apple-converted-space"/>
          <w:rFonts w:ascii="Times New Roman" w:hAnsi="Times New Roman" w:cs="Times New Roman"/>
          <w:color w:val="212121"/>
        </w:rPr>
      </w:pPr>
      <w:r w:rsidRPr="00C63663">
        <w:rPr>
          <w:rFonts w:ascii="Times New Roman" w:hAnsi="Times New Roman" w:cs="Times New Roman"/>
          <w:color w:val="000000"/>
        </w:rPr>
        <w:t xml:space="preserve">Patrick </w:t>
      </w:r>
      <w:r w:rsidRPr="00C63663">
        <w:rPr>
          <w:rFonts w:ascii="Times New Roman" w:hAnsi="Times New Roman" w:cs="Times New Roman"/>
          <w:color w:val="000000"/>
          <w:lang w:eastAsia="zh-CN"/>
        </w:rPr>
        <w:t>Muraca, Douglas</w:t>
      </w:r>
      <w:r w:rsidRPr="00C63663">
        <w:rPr>
          <w:rFonts w:ascii="Times New Roman" w:hAnsi="Times New Roman" w:cs="Times New Roman"/>
          <w:color w:val="000000"/>
        </w:rPr>
        <w:t xml:space="preserve"> Durand</w:t>
      </w:r>
    </w:p>
    <w:p w14:paraId="56A61454" w14:textId="77777777" w:rsidR="00875CE7" w:rsidRPr="00C63663" w:rsidRDefault="00875CE7" w:rsidP="00875CE7">
      <w:pPr>
        <w:pStyle w:val="NoSpacing"/>
        <w:jc w:val="center"/>
        <w:rPr>
          <w:rFonts w:ascii="Times New Roman" w:hAnsi="Times New Roman" w:cs="Times New Roman"/>
          <w:color w:val="201F1E"/>
        </w:rPr>
      </w:pPr>
    </w:p>
    <w:p w14:paraId="3C66C6F0" w14:textId="77777777" w:rsidR="00875CE7" w:rsidRPr="00C63663" w:rsidRDefault="00875CE7" w:rsidP="00875CE7">
      <w:pPr>
        <w:pStyle w:val="NoSpacing"/>
        <w:ind w:left="1080"/>
        <w:jc w:val="center"/>
        <w:rPr>
          <w:rFonts w:ascii="Times New Roman" w:hAnsi="Times New Roman" w:cs="Times New Roman"/>
          <w:lang w:eastAsia="zh-CN"/>
        </w:rPr>
      </w:pPr>
      <w:proofErr w:type="spellStart"/>
      <w:r w:rsidRPr="00C63663">
        <w:rPr>
          <w:rFonts w:ascii="Times New Roman" w:hAnsi="Times New Roman" w:cs="Times New Roman"/>
          <w:color w:val="201F1E"/>
        </w:rPr>
        <w:t>NanoDetection</w:t>
      </w:r>
      <w:proofErr w:type="spellEnd"/>
      <w:r w:rsidRPr="00C63663">
        <w:rPr>
          <w:rFonts w:ascii="Times New Roman" w:hAnsi="Times New Roman" w:cs="Times New Roman"/>
          <w:color w:val="201F1E"/>
        </w:rPr>
        <w:t xml:space="preserve"> Technology</w:t>
      </w:r>
      <w:r w:rsidRPr="00C63663">
        <w:rPr>
          <w:rFonts w:ascii="Times New Roman" w:hAnsi="Times New Roman" w:cs="Times New Roman"/>
        </w:rPr>
        <w:t>, Inc.,</w:t>
      </w:r>
    </w:p>
    <w:p w14:paraId="4DEAB8A8" w14:textId="77777777" w:rsidR="00875CE7" w:rsidRPr="00C63663" w:rsidRDefault="00875CE7" w:rsidP="00875CE7">
      <w:pPr>
        <w:pStyle w:val="NoSpacing"/>
        <w:jc w:val="center"/>
        <w:rPr>
          <w:rStyle w:val="awjki"/>
          <w:rFonts w:ascii="Times New Roman" w:hAnsi="Times New Roman" w:cs="Times New Roman"/>
        </w:rPr>
      </w:pPr>
      <w:r>
        <w:rPr>
          <w:rStyle w:val="awjki"/>
          <w:rFonts w:ascii="Times New Roman" w:hAnsi="Times New Roman" w:cs="Times New Roman" w:hint="eastAsia"/>
          <w:color w:val="201F1E"/>
          <w:bdr w:val="none" w:sz="0" w:space="0" w:color="auto" w:frame="1"/>
          <w:lang w:eastAsia="zh-CN"/>
        </w:rPr>
        <w:t xml:space="preserve">                 </w:t>
      </w:r>
      <w:r w:rsidRPr="00C63663">
        <w:rPr>
          <w:rStyle w:val="awjki"/>
          <w:rFonts w:ascii="Times New Roman" w:hAnsi="Times New Roman" w:cs="Times New Roman"/>
          <w:color w:val="201F1E"/>
          <w:bdr w:val="none" w:sz="0" w:space="0" w:color="auto" w:frame="1"/>
        </w:rPr>
        <w:t>301 Industrial Blvd,</w:t>
      </w:r>
      <w:r w:rsidRPr="00C63663">
        <w:rPr>
          <w:rStyle w:val="awjki"/>
          <w:rFonts w:ascii="Times New Roman" w:hAnsi="Times New Roman" w:cs="Times New Roman"/>
          <w:color w:val="201F1E"/>
          <w:bdr w:val="none" w:sz="0" w:space="0" w:color="auto" w:frame="1"/>
          <w:lang w:eastAsia="zh-CN"/>
        </w:rPr>
        <w:t xml:space="preserve"> </w:t>
      </w:r>
      <w:r w:rsidRPr="00C63663">
        <w:rPr>
          <w:rStyle w:val="awjki"/>
          <w:rFonts w:ascii="Times New Roman" w:hAnsi="Times New Roman" w:cs="Times New Roman"/>
          <w:color w:val="201F1E"/>
          <w:bdr w:val="none" w:sz="0" w:space="0" w:color="auto" w:frame="1"/>
        </w:rPr>
        <w:t>Franklin, OH 45005, USA.</w:t>
      </w:r>
    </w:p>
    <w:p w14:paraId="40BAEC35" w14:textId="77777777" w:rsidR="00875CE7" w:rsidRPr="00C63663" w:rsidRDefault="00875CE7" w:rsidP="00875CE7">
      <w:pPr>
        <w:pStyle w:val="NoSpacing"/>
        <w:ind w:left="1080"/>
        <w:rPr>
          <w:rFonts w:ascii="Times New Roman" w:hAnsi="Times New Roman" w:cs="Times New Roman"/>
          <w:color w:val="212121"/>
          <w:shd w:val="clear" w:color="auto" w:fill="FFFFFF"/>
        </w:rPr>
      </w:pPr>
    </w:p>
    <w:p w14:paraId="5E048BA9" w14:textId="77777777" w:rsidR="00875CE7" w:rsidRPr="00C63663" w:rsidRDefault="00875CE7" w:rsidP="00875CE7">
      <w:pPr>
        <w:jc w:val="center"/>
        <w:rPr>
          <w:b/>
          <w:bCs/>
        </w:rPr>
      </w:pPr>
      <w:r w:rsidRPr="00C63663">
        <w:rPr>
          <w:b/>
          <w:bCs/>
        </w:rPr>
        <w:t>Abstract</w:t>
      </w:r>
    </w:p>
    <w:p w14:paraId="6F6ECD80" w14:textId="77777777" w:rsidR="00875CE7" w:rsidRPr="00C63663" w:rsidRDefault="00875CE7" w:rsidP="00875CE7">
      <w:pPr>
        <w:spacing w:line="360" w:lineRule="auto"/>
        <w:jc w:val="both"/>
        <w:rPr>
          <w:rFonts w:eastAsia="SimSun"/>
          <w:color w:val="000000" w:themeColor="text1"/>
        </w:rPr>
      </w:pPr>
    </w:p>
    <w:p w14:paraId="2C566441" w14:textId="77777777" w:rsidR="006A59BE" w:rsidRDefault="00875CE7" w:rsidP="006A59BE">
      <w:pPr>
        <w:spacing w:line="360" w:lineRule="auto"/>
        <w:ind w:left="720"/>
        <w:jc w:val="both"/>
        <w:rPr>
          <w:color w:val="000000" w:themeColor="text1"/>
        </w:rPr>
      </w:pPr>
      <w:r w:rsidRPr="00C63663">
        <w:rPr>
          <w:color w:val="000000" w:themeColor="text1"/>
        </w:rPr>
        <w:t xml:space="preserve">Equine Infectious Anemia (EIA) is a blood-borne disease that affects horses and is caused by the EIA virus (EIAV) of virus of the genus </w:t>
      </w:r>
      <w:proofErr w:type="spellStart"/>
      <w:r w:rsidRPr="00C63663">
        <w:rPr>
          <w:color w:val="000000" w:themeColor="text1"/>
        </w:rPr>
        <w:t>Lentivavirus</w:t>
      </w:r>
      <w:proofErr w:type="spellEnd"/>
      <w:r w:rsidRPr="00C63663">
        <w:rPr>
          <w:color w:val="000000" w:themeColor="text1"/>
        </w:rPr>
        <w:t xml:space="preserve">, subfamily </w:t>
      </w:r>
      <w:proofErr w:type="spellStart"/>
      <w:r w:rsidRPr="00C63663">
        <w:rPr>
          <w:color w:val="000000" w:themeColor="text1"/>
        </w:rPr>
        <w:t>Orthoretrovirinae</w:t>
      </w:r>
      <w:proofErr w:type="spellEnd"/>
      <w:r w:rsidRPr="00C63663">
        <w:rPr>
          <w:color w:val="000000" w:themeColor="text1"/>
        </w:rPr>
        <w:t xml:space="preserve"> of the </w:t>
      </w:r>
      <w:proofErr w:type="spellStart"/>
      <w:r w:rsidRPr="00C63663">
        <w:rPr>
          <w:color w:val="000000" w:themeColor="text1"/>
        </w:rPr>
        <w:t>Retroviridae</w:t>
      </w:r>
      <w:proofErr w:type="spellEnd"/>
      <w:r w:rsidRPr="00C63663">
        <w:rPr>
          <w:color w:val="000000" w:themeColor="text1"/>
        </w:rPr>
        <w:t xml:space="preserve"> family. It is distributed almost worldwide and has a negative economic impact on the equine industry. Several countries, including the USA, Brazil, Italy, Argentina, and others, have regulatory control programs in place for EIA.</w:t>
      </w:r>
      <w:r w:rsidRPr="00C63663">
        <w:t xml:space="preserve"> The purpose of this study was to develop and evaluate a simple </w:t>
      </w:r>
      <w:r w:rsidRPr="00C63663">
        <w:rPr>
          <w:color w:val="000000" w:themeColor="text1"/>
          <w:bdr w:val="none" w:sz="0" w:space="0" w:color="auto" w:frame="1"/>
          <w:shd w:val="clear" w:color="auto" w:fill="FFFFFF"/>
        </w:rPr>
        <w:t>combination assay</w:t>
      </w:r>
      <w:r w:rsidRPr="00C63663">
        <w:rPr>
          <w:color w:val="000000" w:themeColor="text1"/>
          <w:shd w:val="clear" w:color="auto" w:fill="FFFFFF"/>
        </w:rPr>
        <w:t xml:space="preserve"> of Lateral Flow </w:t>
      </w:r>
      <w:proofErr w:type="spellStart"/>
      <w:r w:rsidRPr="00C63663">
        <w:rPr>
          <w:color w:val="000000" w:themeColor="text1"/>
          <w:shd w:val="clear" w:color="auto" w:fill="FFFFFF"/>
        </w:rPr>
        <w:t>ImmunoAssay</w:t>
      </w:r>
      <w:proofErr w:type="spellEnd"/>
      <w:r w:rsidRPr="00C63663">
        <w:rPr>
          <w:color w:val="000000" w:themeColor="text1"/>
          <w:bdr w:val="none" w:sz="0" w:space="0" w:color="auto" w:frame="1"/>
          <w:shd w:val="clear" w:color="auto" w:fill="FFFFFF"/>
        </w:rPr>
        <w:t xml:space="preserve"> </w:t>
      </w:r>
      <w:r w:rsidRPr="00C63663">
        <w:rPr>
          <w:color w:val="000000" w:themeColor="text1"/>
          <w:shd w:val="clear" w:color="auto" w:fill="FFFFFF"/>
        </w:rPr>
        <w:t>(LFIA)</w:t>
      </w:r>
      <w:r w:rsidRPr="00C63663">
        <w:rPr>
          <w:color w:val="000000" w:themeColor="text1"/>
          <w:bdr w:val="none" w:sz="0" w:space="0" w:color="auto" w:frame="1"/>
          <w:shd w:val="clear" w:color="auto" w:fill="FFFFFF"/>
        </w:rPr>
        <w:t xml:space="preserve"> and </w:t>
      </w:r>
      <w:r w:rsidRPr="00C63663">
        <w:rPr>
          <w:color w:val="000000" w:themeColor="text1"/>
        </w:rPr>
        <w:t xml:space="preserve">Chemiluminescence (CL) </w:t>
      </w:r>
      <w:r w:rsidRPr="00C63663">
        <w:t xml:space="preserve">test for specific </w:t>
      </w:r>
      <w:r w:rsidRPr="00C63663">
        <w:rPr>
          <w:color w:val="000000" w:themeColor="text1"/>
          <w:bdr w:val="none" w:sz="0" w:space="0" w:color="auto" w:frame="1"/>
          <w:shd w:val="clear" w:color="auto" w:fill="FFFFFF"/>
        </w:rPr>
        <w:t xml:space="preserve">double </w:t>
      </w:r>
      <w:r w:rsidRPr="00C63663">
        <w:t>detection of EIAV antibodies in equine</w:t>
      </w:r>
      <w:r w:rsidRPr="00C63663">
        <w:rPr>
          <w:rFonts w:eastAsia="SimSun"/>
        </w:rPr>
        <w:t xml:space="preserve">, </w:t>
      </w:r>
      <w:r w:rsidRPr="00C63663">
        <w:rPr>
          <w:color w:val="000000" w:themeColor="text1"/>
        </w:rPr>
        <w:t>donkey and mule</w:t>
      </w:r>
      <w:r w:rsidRPr="00C63663">
        <w:t xml:space="preserve"> serum. Viral recombinant </w:t>
      </w:r>
      <w:r w:rsidRPr="00C63663">
        <w:rPr>
          <w:color w:val="000000" w:themeColor="text1"/>
          <w:bdr w:val="none" w:sz="0" w:space="0" w:color="auto" w:frame="1"/>
          <w:shd w:val="clear" w:color="auto" w:fill="FFFFFF"/>
        </w:rPr>
        <w:t xml:space="preserve">Fusion antigen derived from of EIAV’s proteins, </w:t>
      </w:r>
      <w:r w:rsidRPr="00C63663">
        <w:t xml:space="preserve">was used as the capture protein in the test line and as the detector reagent </w:t>
      </w:r>
      <w:r w:rsidRPr="00C63663">
        <w:rPr>
          <w:color w:val="201F1E"/>
        </w:rPr>
        <w:t>dually</w:t>
      </w:r>
      <w:r w:rsidRPr="00C63663">
        <w:t xml:space="preserve"> conjugated to colloidal gold and Horseradish Peroxidase </w:t>
      </w:r>
      <w:r w:rsidRPr="00C63663">
        <w:rPr>
          <w:rStyle w:val="Emphasis"/>
          <w:b/>
          <w:bCs/>
          <w:i w:val="0"/>
          <w:iCs w:val="0"/>
          <w:color w:val="5F6368"/>
        </w:rPr>
        <w:t>(</w:t>
      </w:r>
      <w:r w:rsidRPr="00C63663">
        <w:rPr>
          <w:color w:val="201F1E"/>
        </w:rPr>
        <w:t>HRP) in the sandwich assay.</w:t>
      </w:r>
      <w:r w:rsidRPr="00C63663">
        <w:rPr>
          <w:color w:val="000000" w:themeColor="text1"/>
        </w:rPr>
        <w:t xml:space="preserve"> </w:t>
      </w:r>
      <w:r w:rsidRPr="00C63663">
        <w:rPr>
          <w:color w:val="000000" w:themeColor="text1"/>
          <w:bdr w:val="none" w:sz="0" w:space="0" w:color="auto" w:frame="1"/>
          <w:shd w:val="clear" w:color="auto" w:fill="FFFFFF"/>
        </w:rPr>
        <w:t>The testing strip has a visible Test and control line.</w:t>
      </w:r>
      <w:r w:rsidRPr="00C63663">
        <w:rPr>
          <w:color w:val="000000" w:themeColor="text1"/>
        </w:rPr>
        <w:t xml:space="preserve"> The liquid flows laterally over the test strip's surface when the sample is deposited into the sample well on the cassette.</w:t>
      </w:r>
      <w:r w:rsidRPr="00C63663">
        <w:rPr>
          <w:color w:val="000000" w:themeColor="text1"/>
          <w:bdr w:val="none" w:sz="0" w:space="0" w:color="auto" w:frame="1"/>
          <w:shd w:val="clear" w:color="auto" w:fill="FFFFFF"/>
        </w:rPr>
        <w:t xml:space="preserve"> If there is an </w:t>
      </w:r>
      <w:proofErr w:type="gramStart"/>
      <w:r w:rsidRPr="00C63663">
        <w:rPr>
          <w:color w:val="000000" w:themeColor="text1"/>
          <w:bdr w:val="none" w:sz="0" w:space="0" w:color="auto" w:frame="1"/>
          <w:shd w:val="clear" w:color="auto" w:fill="FFFFFF"/>
        </w:rPr>
        <w:t>adequate amount EIA antibodies</w:t>
      </w:r>
      <w:proofErr w:type="gramEnd"/>
      <w:r w:rsidRPr="00C63663">
        <w:rPr>
          <w:color w:val="000000" w:themeColor="text1"/>
          <w:bdr w:val="none" w:sz="0" w:space="0" w:color="auto" w:frame="1"/>
          <w:shd w:val="clear" w:color="auto" w:fill="FFFFFF"/>
        </w:rPr>
        <w:t xml:space="preserve"> in the sample, a visible T line will appear, </w:t>
      </w:r>
      <w:proofErr w:type="gramStart"/>
      <w:r w:rsidRPr="00C63663">
        <w:rPr>
          <w:color w:val="000000" w:themeColor="text1"/>
          <w:bdr w:val="none" w:sz="0" w:space="0" w:color="auto" w:frame="1"/>
          <w:shd w:val="clear" w:color="auto" w:fill="FFFFFF"/>
        </w:rPr>
        <w:t>and also</w:t>
      </w:r>
      <w:proofErr w:type="gramEnd"/>
      <w:r w:rsidRPr="00C63663">
        <w:rPr>
          <w:color w:val="000000" w:themeColor="text1"/>
          <w:bdr w:val="none" w:sz="0" w:space="0" w:color="auto" w:frame="1"/>
          <w:shd w:val="clear" w:color="auto" w:fill="FFFFFF"/>
        </w:rPr>
        <w:t xml:space="preserve"> its light signal can be qualitatively detected by </w:t>
      </w:r>
      <w:r w:rsidRPr="00C63663">
        <w:rPr>
          <w:color w:val="000000" w:themeColor="text1"/>
        </w:rPr>
        <w:t xml:space="preserve">NDT’s </w:t>
      </w:r>
      <w:r w:rsidRPr="00C63663">
        <w:rPr>
          <w:color w:val="000000" w:themeColor="text1"/>
          <w:bdr w:val="none" w:sz="0" w:space="0" w:color="auto" w:frame="1"/>
          <w:shd w:val="clear" w:color="auto" w:fill="FFFFFF"/>
        </w:rPr>
        <w:t>proprietary</w:t>
      </w:r>
      <w:r w:rsidRPr="00C63663">
        <w:rPr>
          <w:color w:val="000000" w:themeColor="text1"/>
        </w:rPr>
        <w:t xml:space="preserve"> portable detector in less than 30 minutes</w:t>
      </w:r>
      <w:r w:rsidRPr="00C63663">
        <w:rPr>
          <w:color w:val="000000" w:themeColor="text1"/>
          <w:bdr w:val="none" w:sz="0" w:space="0" w:color="auto" w:frame="1"/>
          <w:shd w:val="clear" w:color="auto" w:fill="FFFFFF"/>
        </w:rPr>
        <w:t xml:space="preserve">. </w:t>
      </w:r>
      <w:r w:rsidRPr="00C63663">
        <w:rPr>
          <w:color w:val="000000" w:themeColor="text1"/>
        </w:rPr>
        <w:t xml:space="preserve">Thus far, the dual assay has been verified using proficiency sera samples provided by the United States Department of Agriculture and compared to the Enzyme-Linked </w:t>
      </w:r>
      <w:proofErr w:type="spellStart"/>
      <w:r w:rsidRPr="00C63663">
        <w:rPr>
          <w:color w:val="000000" w:themeColor="text1"/>
        </w:rPr>
        <w:t>ImmunoSorbent</w:t>
      </w:r>
      <w:proofErr w:type="spellEnd"/>
      <w:r w:rsidRPr="00C63663">
        <w:rPr>
          <w:color w:val="000000" w:themeColor="text1"/>
        </w:rPr>
        <w:t xml:space="preserve"> Assay, which is the EIAV test that is required in </w:t>
      </w:r>
      <w:proofErr w:type="gramStart"/>
      <w:r w:rsidRPr="00C63663">
        <w:rPr>
          <w:color w:val="000000" w:themeColor="text1"/>
        </w:rPr>
        <w:t>the majority of</w:t>
      </w:r>
      <w:proofErr w:type="gramEnd"/>
      <w:r w:rsidRPr="00C63663">
        <w:rPr>
          <w:color w:val="000000" w:themeColor="text1"/>
        </w:rPr>
        <w:t xml:space="preserve"> nations. This is the first developed EIA diagnostic kit that combines both the CL and LFIA methodologies. This is an effective assay to quickly, accurately, and reliably manage EIAV infection.</w:t>
      </w:r>
    </w:p>
    <w:p w14:paraId="008AF123" w14:textId="77777777" w:rsidR="006A59BE" w:rsidRDefault="006A59BE" w:rsidP="006A59BE">
      <w:pPr>
        <w:spacing w:line="360" w:lineRule="auto"/>
        <w:ind w:left="720"/>
        <w:jc w:val="both"/>
        <w:rPr>
          <w:color w:val="000000" w:themeColor="text1"/>
        </w:rPr>
      </w:pPr>
    </w:p>
    <w:p w14:paraId="2C426DE9" w14:textId="77777777" w:rsidR="00D66C6C" w:rsidRDefault="00D66C6C" w:rsidP="00D66C6C">
      <w:pPr>
        <w:spacing w:line="360" w:lineRule="auto"/>
        <w:ind w:left="720"/>
        <w:jc w:val="both"/>
        <w:rPr>
          <w:rFonts w:eastAsia="SimSun"/>
          <w:b/>
          <w:bCs/>
          <w:color w:val="000000" w:themeColor="text1"/>
        </w:rPr>
      </w:pPr>
    </w:p>
    <w:p w14:paraId="3020F07F" w14:textId="77777777" w:rsidR="00D66C6C" w:rsidRDefault="00D66C6C" w:rsidP="00D66C6C">
      <w:pPr>
        <w:spacing w:line="360" w:lineRule="auto"/>
        <w:ind w:left="720"/>
        <w:jc w:val="both"/>
        <w:rPr>
          <w:rFonts w:eastAsia="SimSun"/>
          <w:b/>
          <w:bCs/>
          <w:color w:val="000000" w:themeColor="text1"/>
        </w:rPr>
      </w:pPr>
    </w:p>
    <w:p w14:paraId="5588D111" w14:textId="0B7F5D0A" w:rsidR="006A59BE" w:rsidRPr="00D66C6C" w:rsidRDefault="006A59BE" w:rsidP="00D66C6C">
      <w:pPr>
        <w:spacing w:line="360" w:lineRule="auto"/>
        <w:ind w:left="720"/>
        <w:jc w:val="both"/>
        <w:rPr>
          <w:rFonts w:hint="eastAsia"/>
          <w:color w:val="000000" w:themeColor="text1"/>
        </w:rPr>
      </w:pPr>
      <w:r w:rsidRPr="00C63663">
        <w:rPr>
          <w:rFonts w:eastAsia="SimSun"/>
          <w:b/>
          <w:bCs/>
          <w:color w:val="000000" w:themeColor="text1"/>
        </w:rPr>
        <w:lastRenderedPageBreak/>
        <w:t>Take‑Home Message</w:t>
      </w:r>
    </w:p>
    <w:p w14:paraId="130798D4" w14:textId="00077520" w:rsidR="00A11BF7" w:rsidRDefault="00A11BF7" w:rsidP="00A11BF7">
      <w:pPr>
        <w:spacing w:line="360" w:lineRule="auto"/>
        <w:ind w:left="720"/>
        <w:jc w:val="both"/>
        <w:rPr>
          <w:rFonts w:ascii="SimSun" w:eastAsia="SimSun" w:hAnsi="SimSun" w:cs="SimSun"/>
          <w:color w:val="000000" w:themeColor="text1"/>
        </w:rPr>
      </w:pPr>
      <w:r w:rsidRPr="00667DD5">
        <w:rPr>
          <w:rFonts w:ascii="SimSun" w:eastAsia="SimSun" w:hAnsi="SimSun" w:cs="SimSun"/>
          <w:color w:val="000000" w:themeColor="text1"/>
        </w:rPr>
        <w:t xml:space="preserve">The dual LFIA/CL assay described here addresses a clear need for rapid, sensitive, and field-deployable serological testing for EIAV. Its design leverages antigen engineering and enzymatic signal amplification to approximate laboratory assay sensitivity while maintaining the simplicity and speed of lateral flow formats. </w:t>
      </w:r>
      <w:r w:rsidRPr="0032457F">
        <w:rPr>
          <w:rFonts w:ascii="SimSun" w:eastAsia="SimSun" w:hAnsi="SimSun" w:cs="SimSun"/>
          <w:color w:val="000000" w:themeColor="text1"/>
          <w:u w:val="single"/>
        </w:rPr>
        <w:t xml:space="preserve">With comprehensive field validation, quality-controlled manufacturing, and appropriate integration into regulatory testing algorithms, </w:t>
      </w:r>
      <w:r w:rsidRPr="00667DD5">
        <w:rPr>
          <w:rFonts w:ascii="SimSun" w:eastAsia="SimSun" w:hAnsi="SimSun" w:cs="SimSun"/>
          <w:color w:val="000000" w:themeColor="text1"/>
        </w:rPr>
        <w:t xml:space="preserve">this </w:t>
      </w:r>
      <w:r w:rsidR="0032457F">
        <w:rPr>
          <w:rFonts w:ascii="SimSun" w:eastAsia="SimSun" w:hAnsi="SimSun" w:cs="SimSun" w:hint="eastAsia"/>
          <w:color w:val="000000" w:themeColor="text1"/>
        </w:rPr>
        <w:t>new assay</w:t>
      </w:r>
      <w:r w:rsidRPr="00667DD5">
        <w:rPr>
          <w:rFonts w:ascii="SimSun" w:eastAsia="SimSun" w:hAnsi="SimSun" w:cs="SimSun"/>
          <w:color w:val="000000" w:themeColor="text1"/>
        </w:rPr>
        <w:t xml:space="preserve"> has the potential to augment existing EIA surveillance and control strategies.</w:t>
      </w:r>
    </w:p>
    <w:p w14:paraId="65709784" w14:textId="77777777" w:rsidR="00875CE7" w:rsidRDefault="00875CE7" w:rsidP="00875CE7">
      <w:pPr>
        <w:spacing w:line="360" w:lineRule="auto"/>
        <w:ind w:left="720"/>
        <w:jc w:val="both"/>
        <w:rPr>
          <w:rFonts w:eastAsia="SimSun"/>
          <w:b/>
          <w:bCs/>
          <w:color w:val="000000" w:themeColor="text1"/>
        </w:rPr>
      </w:pPr>
    </w:p>
    <w:p w14:paraId="2B718316" w14:textId="77777777" w:rsidR="00875CE7" w:rsidRPr="00C63663" w:rsidRDefault="00875CE7" w:rsidP="00875CE7">
      <w:pPr>
        <w:spacing w:line="360" w:lineRule="auto"/>
        <w:ind w:left="720"/>
        <w:jc w:val="both"/>
        <w:rPr>
          <w:rFonts w:eastAsia="SimSun"/>
          <w:b/>
          <w:bCs/>
          <w:color w:val="000000" w:themeColor="text1"/>
        </w:rPr>
      </w:pPr>
      <w:r w:rsidRPr="00C63663">
        <w:rPr>
          <w:rFonts w:eastAsia="SimSun"/>
          <w:b/>
          <w:bCs/>
          <w:color w:val="000000" w:themeColor="text1"/>
        </w:rPr>
        <w:t>1. Introduction</w:t>
      </w:r>
    </w:p>
    <w:p w14:paraId="3CBEBE8E" w14:textId="77777777" w:rsidR="00875CE7" w:rsidRPr="00C63663" w:rsidRDefault="00875CE7" w:rsidP="00875CE7">
      <w:pPr>
        <w:spacing w:line="360" w:lineRule="auto"/>
        <w:ind w:left="720"/>
        <w:jc w:val="both"/>
        <w:rPr>
          <w:rFonts w:eastAsia="SimSun"/>
          <w:color w:val="000000" w:themeColor="text1"/>
        </w:rPr>
      </w:pPr>
    </w:p>
    <w:p w14:paraId="7CA12613" w14:textId="77777777" w:rsidR="00875CE7" w:rsidRPr="00C63663" w:rsidRDefault="00875CE7" w:rsidP="00875CE7">
      <w:pPr>
        <w:spacing w:line="360" w:lineRule="auto"/>
        <w:ind w:left="720"/>
        <w:jc w:val="both"/>
        <w:rPr>
          <w:rFonts w:eastAsia="SimSun"/>
          <w:color w:val="000000" w:themeColor="text1"/>
        </w:rPr>
      </w:pPr>
      <w:r w:rsidRPr="00C63663">
        <w:rPr>
          <w:rFonts w:eastAsia="SimSun"/>
          <w:color w:val="000000" w:themeColor="text1"/>
        </w:rPr>
        <w:t xml:space="preserve">Equine Infectious Anemia (EIA) is a vector- and blood-borne disease of equids caused by the Equine Infectious Anemia virus (EIAV), a member of the genus </w:t>
      </w:r>
      <w:proofErr w:type="spellStart"/>
      <w:r w:rsidRPr="00C63663">
        <w:rPr>
          <w:rFonts w:eastAsia="SimSun"/>
          <w:color w:val="000000" w:themeColor="text1"/>
        </w:rPr>
        <w:t>Lentivavirus</w:t>
      </w:r>
      <w:proofErr w:type="spellEnd"/>
      <w:r w:rsidRPr="00C63663">
        <w:rPr>
          <w:rFonts w:eastAsia="SimSun"/>
          <w:color w:val="000000" w:themeColor="text1"/>
        </w:rPr>
        <w:t xml:space="preserve">, subfamily </w:t>
      </w:r>
      <w:proofErr w:type="spellStart"/>
      <w:r w:rsidRPr="00C63663">
        <w:rPr>
          <w:rFonts w:eastAsia="SimSun"/>
          <w:color w:val="000000" w:themeColor="text1"/>
        </w:rPr>
        <w:t>Orthoretrovirinae</w:t>
      </w:r>
      <w:proofErr w:type="spellEnd"/>
      <w:r w:rsidRPr="00C63663">
        <w:rPr>
          <w:rFonts w:eastAsia="SimSun"/>
          <w:color w:val="000000" w:themeColor="text1"/>
        </w:rPr>
        <w:t xml:space="preserve">, within the </w:t>
      </w:r>
      <w:proofErr w:type="spellStart"/>
      <w:r w:rsidRPr="00C63663">
        <w:rPr>
          <w:rFonts w:eastAsia="SimSun"/>
          <w:color w:val="000000" w:themeColor="text1"/>
        </w:rPr>
        <w:t>Retroviridae</w:t>
      </w:r>
      <w:proofErr w:type="spellEnd"/>
      <w:r w:rsidRPr="00C63663">
        <w:rPr>
          <w:rFonts w:eastAsia="SimSun"/>
          <w:color w:val="000000" w:themeColor="text1"/>
        </w:rPr>
        <w:t xml:space="preserve"> family. EIAV infection can result in acute, chronic, or inapparent forms of disease and is characterized by intermittent fever, anemia, edema, and weight loss in clinically affected animals. Because EIAV establishes persistent infection with lifelong carriage of virus in survivors, infected animals constitute a continual reservoir for transmission, primarily via hematophagous insects or iatrogenic blood transfer. As a result, EIA represents a significant animal health problem with substantial economic consequences for the equine industry worldwide, including constraints on international animal movement, trade restrictions, costs associated with testing and surveillance, and the culling or movement restrictions often applied to seropositive animals.</w:t>
      </w:r>
    </w:p>
    <w:p w14:paraId="4D3E9499" w14:textId="77777777" w:rsidR="00875CE7" w:rsidRPr="00C63663" w:rsidRDefault="00875CE7" w:rsidP="00875CE7">
      <w:pPr>
        <w:spacing w:line="360" w:lineRule="auto"/>
        <w:ind w:left="720"/>
        <w:jc w:val="both"/>
        <w:rPr>
          <w:rFonts w:eastAsia="SimSun"/>
          <w:color w:val="000000" w:themeColor="text1"/>
        </w:rPr>
      </w:pPr>
    </w:p>
    <w:p w14:paraId="74D7886C" w14:textId="563E9973" w:rsidR="00875CE7" w:rsidRPr="00C63663" w:rsidRDefault="00875CE7" w:rsidP="00875CE7">
      <w:pPr>
        <w:spacing w:line="360" w:lineRule="auto"/>
        <w:ind w:left="720"/>
        <w:jc w:val="both"/>
        <w:rPr>
          <w:rFonts w:eastAsia="SimSun"/>
          <w:color w:val="000000" w:themeColor="text1"/>
        </w:rPr>
      </w:pPr>
      <w:r w:rsidRPr="00C63663">
        <w:rPr>
          <w:rFonts w:eastAsia="SimSun"/>
          <w:color w:val="000000" w:themeColor="text1"/>
        </w:rPr>
        <w:t xml:space="preserve">Control of EIA at national and international levels relies principally on surveillance and serological testing to identify and manage infected animals. Many countries, including the United States, Brazil, Italy, and Argentina, maintain regulatory EIA control programs that require testing for EIAV-specific antibodies as a condition for animal movement, sale, or participation in shows and competitions. Serological assays such as </w:t>
      </w:r>
      <w:r w:rsidR="004B68DD">
        <w:rPr>
          <w:rFonts w:eastAsia="SimSun" w:hint="eastAsia"/>
          <w:color w:val="000000" w:themeColor="text1"/>
        </w:rPr>
        <w:t>A</w:t>
      </w:r>
      <w:r w:rsidRPr="00C63663">
        <w:rPr>
          <w:rFonts w:eastAsia="SimSun"/>
          <w:color w:val="000000" w:themeColor="text1"/>
        </w:rPr>
        <w:t xml:space="preserve">gar </w:t>
      </w:r>
      <w:r w:rsidR="004B68DD">
        <w:rPr>
          <w:rFonts w:eastAsia="SimSun" w:hint="eastAsia"/>
          <w:color w:val="000000" w:themeColor="text1"/>
        </w:rPr>
        <w:t>G</w:t>
      </w:r>
      <w:r w:rsidRPr="00C63663">
        <w:rPr>
          <w:rFonts w:eastAsia="SimSun"/>
          <w:color w:val="000000" w:themeColor="text1"/>
        </w:rPr>
        <w:t xml:space="preserve">el </w:t>
      </w:r>
      <w:r w:rsidR="004B68DD">
        <w:rPr>
          <w:rFonts w:eastAsia="SimSun" w:hint="eastAsia"/>
          <w:color w:val="000000" w:themeColor="text1"/>
        </w:rPr>
        <w:lastRenderedPageBreak/>
        <w:t>I</w:t>
      </w:r>
      <w:r w:rsidRPr="00C63663">
        <w:rPr>
          <w:rFonts w:eastAsia="SimSun"/>
          <w:color w:val="000000" w:themeColor="text1"/>
        </w:rPr>
        <w:t>mmuno</w:t>
      </w:r>
      <w:r w:rsidR="004B68DD">
        <w:rPr>
          <w:rFonts w:eastAsia="SimSun" w:hint="eastAsia"/>
          <w:color w:val="000000" w:themeColor="text1"/>
        </w:rPr>
        <w:t>D</w:t>
      </w:r>
      <w:r w:rsidRPr="00C63663">
        <w:rPr>
          <w:rFonts w:eastAsia="SimSun"/>
          <w:color w:val="000000" w:themeColor="text1"/>
        </w:rPr>
        <w:t xml:space="preserve">iffusion (AGID) and </w:t>
      </w:r>
      <w:r w:rsidR="004B68DD">
        <w:rPr>
          <w:rFonts w:eastAsia="SimSun" w:hint="eastAsia"/>
          <w:color w:val="000000" w:themeColor="text1"/>
        </w:rPr>
        <w:t>E</w:t>
      </w:r>
      <w:r w:rsidRPr="00C63663">
        <w:rPr>
          <w:rFonts w:eastAsia="SimSun"/>
          <w:color w:val="000000" w:themeColor="text1"/>
        </w:rPr>
        <w:t>nzyme-</w:t>
      </w:r>
      <w:r w:rsidR="004B68DD">
        <w:rPr>
          <w:rFonts w:eastAsia="SimSun" w:hint="eastAsia"/>
          <w:color w:val="000000" w:themeColor="text1"/>
        </w:rPr>
        <w:t>L</w:t>
      </w:r>
      <w:r w:rsidRPr="00C63663">
        <w:rPr>
          <w:rFonts w:eastAsia="SimSun"/>
          <w:color w:val="000000" w:themeColor="text1"/>
        </w:rPr>
        <w:t xml:space="preserve">inked </w:t>
      </w:r>
      <w:proofErr w:type="spellStart"/>
      <w:r w:rsidR="004B68DD">
        <w:rPr>
          <w:rFonts w:eastAsia="SimSun" w:hint="eastAsia"/>
          <w:color w:val="000000" w:themeColor="text1"/>
        </w:rPr>
        <w:t>I</w:t>
      </w:r>
      <w:r w:rsidRPr="00C63663">
        <w:rPr>
          <w:rFonts w:eastAsia="SimSun"/>
          <w:color w:val="000000" w:themeColor="text1"/>
        </w:rPr>
        <w:t>mmuno</w:t>
      </w:r>
      <w:r w:rsidR="004B68DD">
        <w:rPr>
          <w:rFonts w:eastAsia="SimSun" w:hint="eastAsia"/>
          <w:color w:val="000000" w:themeColor="text1"/>
        </w:rPr>
        <w:t>S</w:t>
      </w:r>
      <w:r w:rsidRPr="00C63663">
        <w:rPr>
          <w:rFonts w:eastAsia="SimSun"/>
          <w:color w:val="000000" w:themeColor="text1"/>
        </w:rPr>
        <w:t>orbent</w:t>
      </w:r>
      <w:proofErr w:type="spellEnd"/>
      <w:r w:rsidRPr="00C63663">
        <w:rPr>
          <w:rFonts w:eastAsia="SimSun"/>
          <w:color w:val="000000" w:themeColor="text1"/>
        </w:rPr>
        <w:t xml:space="preserve"> </w:t>
      </w:r>
      <w:r w:rsidR="004B68DD">
        <w:rPr>
          <w:rFonts w:eastAsia="SimSun" w:hint="eastAsia"/>
          <w:color w:val="000000" w:themeColor="text1"/>
        </w:rPr>
        <w:t>A</w:t>
      </w:r>
      <w:r w:rsidRPr="00C63663">
        <w:rPr>
          <w:rFonts w:eastAsia="SimSun"/>
          <w:color w:val="000000" w:themeColor="text1"/>
        </w:rPr>
        <w:t>ssays (ELISA) have been widely used for EIA diagnosis and surveillance. ELISA tests</w:t>
      </w:r>
      <w:proofErr w:type="gramStart"/>
      <w:r w:rsidRPr="00C63663">
        <w:rPr>
          <w:rFonts w:eastAsia="SimSun"/>
          <w:color w:val="000000" w:themeColor="text1"/>
        </w:rPr>
        <w:t>, in particular, offer</w:t>
      </w:r>
      <w:proofErr w:type="gramEnd"/>
      <w:r w:rsidRPr="00C63663">
        <w:rPr>
          <w:rFonts w:eastAsia="SimSun"/>
          <w:color w:val="000000" w:themeColor="text1"/>
        </w:rPr>
        <w:t xml:space="preserve"> high throughput and good analytical sensitivity and are frequently used as screening assays, with confirmatory testing performed by AGID or other methods. However, laboratory-based assays require infrastructure, trained personnel, and time for sample transport and processing, which can delay decision-making in field settings and limit the responsiveness of control measures.</w:t>
      </w:r>
    </w:p>
    <w:p w14:paraId="0B998515" w14:textId="77777777" w:rsidR="00875CE7" w:rsidRPr="00C63663" w:rsidRDefault="00875CE7" w:rsidP="00875CE7">
      <w:pPr>
        <w:spacing w:line="360" w:lineRule="auto"/>
        <w:ind w:left="720"/>
        <w:jc w:val="both"/>
        <w:rPr>
          <w:rFonts w:eastAsia="SimSun"/>
          <w:color w:val="000000" w:themeColor="text1"/>
        </w:rPr>
      </w:pPr>
    </w:p>
    <w:p w14:paraId="1B93350C" w14:textId="30400848" w:rsidR="00875CE7" w:rsidRPr="00C63663" w:rsidRDefault="00875CE7" w:rsidP="00875CE7">
      <w:pPr>
        <w:spacing w:line="360" w:lineRule="auto"/>
        <w:ind w:left="720"/>
        <w:jc w:val="both"/>
        <w:rPr>
          <w:rFonts w:eastAsia="SimSun"/>
          <w:color w:val="000000" w:themeColor="text1"/>
        </w:rPr>
      </w:pPr>
      <w:r w:rsidRPr="00C63663">
        <w:rPr>
          <w:rFonts w:eastAsia="SimSun"/>
          <w:color w:val="000000" w:themeColor="text1"/>
        </w:rPr>
        <w:t xml:space="preserve">Rapid point-of-care diagnostics have the potential to augment existing surveillance systems by providing near-immediate results at stables, quarantine facilities, or points of animal transfer. Lateral Flow </w:t>
      </w:r>
      <w:proofErr w:type="spellStart"/>
      <w:r w:rsidRPr="00C63663">
        <w:rPr>
          <w:rFonts w:eastAsia="SimSun"/>
          <w:color w:val="000000" w:themeColor="text1"/>
        </w:rPr>
        <w:t>ImmunoAssays</w:t>
      </w:r>
      <w:proofErr w:type="spellEnd"/>
      <w:r w:rsidRPr="00C63663">
        <w:rPr>
          <w:rFonts w:eastAsia="SimSun"/>
          <w:color w:val="000000" w:themeColor="text1"/>
        </w:rPr>
        <w:t xml:space="preserve"> (LFIA) are among the most widely deployed rapid test formats due to their low cost, simplicity, and ease of interpretation by non-specialists. Conventional LFIA devices that employ colloidal gold or other colorimetric reporters permit qualitative visual readouts within minutes but can be constrained by limited analytical sensitivity and a relatively narrow dynamic range compared with laboratory-based enzymatic assays. Conversely, </w:t>
      </w:r>
      <w:proofErr w:type="spellStart"/>
      <w:r w:rsidR="004B68DD">
        <w:rPr>
          <w:rFonts w:eastAsia="SimSun" w:hint="eastAsia"/>
          <w:color w:val="000000" w:themeColor="text1"/>
        </w:rPr>
        <w:t>C</w:t>
      </w:r>
      <w:r w:rsidRPr="00C63663">
        <w:rPr>
          <w:rFonts w:eastAsia="SimSun"/>
          <w:color w:val="000000" w:themeColor="text1"/>
        </w:rPr>
        <w:t>hemi</w:t>
      </w:r>
      <w:r w:rsidR="004B68DD">
        <w:rPr>
          <w:rFonts w:eastAsia="SimSun" w:hint="eastAsia"/>
          <w:color w:val="000000" w:themeColor="text1"/>
        </w:rPr>
        <w:t>L</w:t>
      </w:r>
      <w:r w:rsidRPr="00C63663">
        <w:rPr>
          <w:rFonts w:eastAsia="SimSun"/>
          <w:color w:val="000000" w:themeColor="text1"/>
        </w:rPr>
        <w:t>uminescence</w:t>
      </w:r>
      <w:proofErr w:type="spellEnd"/>
      <w:r w:rsidRPr="00C63663">
        <w:rPr>
          <w:rFonts w:eastAsia="SimSun"/>
          <w:color w:val="000000" w:themeColor="text1"/>
        </w:rPr>
        <w:t xml:space="preserve"> (CL)–based detection affords high sensitivity and a wide dynamic range through enzymatic amplification of signal, but CL readouts usually require instrumentation to measure emitted light and are less commonly implemented in simple lateral flow formats.</w:t>
      </w:r>
    </w:p>
    <w:p w14:paraId="7966CC98" w14:textId="77777777" w:rsidR="00875CE7" w:rsidRPr="00C63663" w:rsidRDefault="00875CE7" w:rsidP="00875CE7">
      <w:pPr>
        <w:spacing w:line="360" w:lineRule="auto"/>
        <w:ind w:left="720"/>
        <w:jc w:val="both"/>
        <w:rPr>
          <w:rFonts w:eastAsia="SimSun"/>
          <w:color w:val="000000" w:themeColor="text1"/>
        </w:rPr>
      </w:pPr>
    </w:p>
    <w:p w14:paraId="77C3EF1B" w14:textId="77777777" w:rsidR="00875CE7" w:rsidRPr="00C63663" w:rsidRDefault="00875CE7" w:rsidP="00875CE7">
      <w:pPr>
        <w:spacing w:line="360" w:lineRule="auto"/>
        <w:ind w:left="720"/>
        <w:jc w:val="both"/>
        <w:rPr>
          <w:rFonts w:eastAsia="SimSun"/>
          <w:color w:val="000000" w:themeColor="text1"/>
        </w:rPr>
      </w:pPr>
      <w:r w:rsidRPr="00C63663">
        <w:rPr>
          <w:rFonts w:eastAsia="SimSun"/>
          <w:color w:val="000000" w:themeColor="text1"/>
        </w:rPr>
        <w:t>To address these complementary strengths and weaknesses, combining LFIA and CL detection modalities in a single, integrated assay offers a promising approach to achieve both rapid, field-applicable visual screening and enhanced analytical sensitivity via chemiluminescent measurement. Such a dual-modality test could provide immediate qualitative results for routine field decisions while retaining the capacity for more sensitive detection when instrument-read CL measurement is available, without requiring parallel or sequential assays.</w:t>
      </w:r>
    </w:p>
    <w:p w14:paraId="32B8E3CF" w14:textId="77777777" w:rsidR="00875CE7" w:rsidRPr="00C63663" w:rsidRDefault="00875CE7" w:rsidP="00875CE7">
      <w:pPr>
        <w:spacing w:line="360" w:lineRule="auto"/>
        <w:ind w:left="720"/>
        <w:jc w:val="both"/>
        <w:rPr>
          <w:rFonts w:eastAsia="SimSun"/>
          <w:color w:val="000000" w:themeColor="text1"/>
        </w:rPr>
      </w:pPr>
    </w:p>
    <w:p w14:paraId="7A083F8E" w14:textId="77777777" w:rsidR="00875CE7" w:rsidRPr="00C63663" w:rsidRDefault="00875CE7" w:rsidP="00875CE7">
      <w:pPr>
        <w:spacing w:line="360" w:lineRule="auto"/>
        <w:ind w:left="720"/>
        <w:jc w:val="both"/>
        <w:rPr>
          <w:rFonts w:eastAsia="SimSun"/>
          <w:color w:val="000000" w:themeColor="text1"/>
        </w:rPr>
      </w:pPr>
      <w:r w:rsidRPr="00C63663">
        <w:rPr>
          <w:rFonts w:eastAsia="SimSun"/>
          <w:color w:val="000000" w:themeColor="text1"/>
        </w:rPr>
        <w:t>This study reports the development and evaluation of a novel dual-detection rapid assay for EIAV-specific antibodies in equine</w:t>
      </w:r>
      <w:r w:rsidRPr="004B68DD">
        <w:rPr>
          <w:rFonts w:eastAsia="SimSun"/>
          <w:color w:val="EE0000"/>
        </w:rPr>
        <w:t xml:space="preserve">, donkey, and mule </w:t>
      </w:r>
      <w:r w:rsidRPr="00C63663">
        <w:rPr>
          <w:rFonts w:eastAsia="SimSun"/>
          <w:color w:val="000000" w:themeColor="text1"/>
        </w:rPr>
        <w:t xml:space="preserve">serum that integrates LFIA and CL technologies in a single lateral flow strip. The assay employs a recombinant fusion </w:t>
      </w:r>
      <w:r w:rsidRPr="00C63663">
        <w:rPr>
          <w:rFonts w:eastAsia="SimSun"/>
          <w:color w:val="000000" w:themeColor="text1"/>
        </w:rPr>
        <w:lastRenderedPageBreak/>
        <w:t>antigen, derived from immunodominant EIAV proteins, as both the immobilized capture reagent on the test line and the detector reagent dually conjugated to colloidal gold (for visual detection) and horseradish peroxidase (HRP) (for chemiluminescent detection) in a sandwich-format assay. The lateral flow cassette provides a visible test (T) and control (C) line for immediate interpretation, while a portable proprietary detector captures and qualitatively reports the CL signal within 30 minutes of sample application.</w:t>
      </w:r>
    </w:p>
    <w:p w14:paraId="297B361B" w14:textId="77777777" w:rsidR="00875CE7" w:rsidRPr="00C63663" w:rsidRDefault="00875CE7" w:rsidP="00875CE7">
      <w:pPr>
        <w:spacing w:line="360" w:lineRule="auto"/>
        <w:ind w:left="720"/>
        <w:jc w:val="both"/>
        <w:rPr>
          <w:rFonts w:eastAsia="SimSun"/>
          <w:color w:val="000000" w:themeColor="text1"/>
        </w:rPr>
      </w:pPr>
    </w:p>
    <w:p w14:paraId="76D76586" w14:textId="77777777" w:rsidR="00875CE7" w:rsidRPr="00C63663" w:rsidRDefault="00875CE7" w:rsidP="00875CE7">
      <w:pPr>
        <w:spacing w:line="360" w:lineRule="auto"/>
        <w:ind w:left="720"/>
        <w:jc w:val="both"/>
        <w:rPr>
          <w:rFonts w:eastAsia="SimSun"/>
          <w:color w:val="000000" w:themeColor="text1"/>
        </w:rPr>
      </w:pPr>
      <w:r w:rsidRPr="00C63663">
        <w:rPr>
          <w:rFonts w:eastAsia="SimSun"/>
          <w:color w:val="000000" w:themeColor="text1"/>
        </w:rPr>
        <w:t xml:space="preserve">The primary aims of the work reported here were: (1) to design and optimize a single-strip lateral flow format that supports dual visual and chemiluminescent readouts using a single recombinant fusion antigen as both capture and detector; (2) to characterize the analytical performance of the combined LFIA–CL assay including limits of detection and operational characteristics relevant to field use; and (3) to validate the assay’s diagnostic performance using proficiency sera provided by the United States Department of Agriculture and to compare results to a reference ELISA method commonly used for regulatory screening. </w:t>
      </w:r>
      <w:proofErr w:type="gramStart"/>
      <w:r w:rsidRPr="004B68DD">
        <w:rPr>
          <w:rFonts w:eastAsia="SimSun"/>
          <w:color w:val="EE0000"/>
        </w:rPr>
        <w:t>Particular emphasis</w:t>
      </w:r>
      <w:proofErr w:type="gramEnd"/>
      <w:r w:rsidRPr="004B68DD">
        <w:rPr>
          <w:rFonts w:eastAsia="SimSun"/>
          <w:color w:val="EE0000"/>
        </w:rPr>
        <w:t xml:space="preserve"> was placed on establishing assay suitability across equid species (horses, donkeys, and mules), </w:t>
      </w:r>
      <w:r w:rsidRPr="00C63663">
        <w:rPr>
          <w:rFonts w:eastAsia="SimSun"/>
          <w:color w:val="000000" w:themeColor="text1"/>
        </w:rPr>
        <w:t>rapid time-to-result compatible with field decision-making, and compatibility with existing regulatory testing paradigms.</w:t>
      </w:r>
    </w:p>
    <w:p w14:paraId="405EBCF7" w14:textId="77777777" w:rsidR="00875CE7" w:rsidRPr="00C63663" w:rsidRDefault="00875CE7" w:rsidP="00875CE7">
      <w:pPr>
        <w:spacing w:line="360" w:lineRule="auto"/>
        <w:ind w:left="720"/>
        <w:jc w:val="both"/>
        <w:rPr>
          <w:rFonts w:eastAsia="SimSun"/>
          <w:color w:val="000000" w:themeColor="text1"/>
        </w:rPr>
      </w:pPr>
    </w:p>
    <w:p w14:paraId="0D84302B" w14:textId="77777777" w:rsidR="00875CE7" w:rsidRPr="004B68DD" w:rsidRDefault="00875CE7" w:rsidP="00875CE7">
      <w:pPr>
        <w:spacing w:line="360" w:lineRule="auto"/>
        <w:ind w:left="720"/>
        <w:jc w:val="both"/>
        <w:rPr>
          <w:rFonts w:eastAsia="SimSun"/>
          <w:color w:val="000000" w:themeColor="text1"/>
          <w:u w:val="single"/>
        </w:rPr>
      </w:pPr>
      <w:r w:rsidRPr="00C63663">
        <w:rPr>
          <w:rFonts w:eastAsia="SimSun"/>
          <w:color w:val="000000" w:themeColor="text1"/>
        </w:rPr>
        <w:t xml:space="preserve">This work represents, to the authors’ knowledge, the first development of an EIA diagnostic kit integrating chemiluminescent amplification with lateral flow visual readout for antibody detection. By combining the operational simplicity of LFIA with the sensitivity advantages of CL detection in a single device, the assay aims to provide a practical tool to improve on-site screening capacity and thereby support more timely and accurate management of EIAV infection in diverse veterinary settings. </w:t>
      </w:r>
      <w:r w:rsidRPr="004B68DD">
        <w:rPr>
          <w:rFonts w:eastAsia="SimSun"/>
          <w:color w:val="000000" w:themeColor="text1"/>
          <w:u w:val="single"/>
        </w:rPr>
        <w:t>The following sections describe the materials and methods used for assay construction and testing, present analytical and comparative performance data, and examine implications for surveillance and field application.</w:t>
      </w:r>
    </w:p>
    <w:p w14:paraId="25A0A8F0" w14:textId="77777777" w:rsidR="00875CE7" w:rsidRPr="00C63663" w:rsidRDefault="00875CE7" w:rsidP="00875CE7">
      <w:pPr>
        <w:spacing w:line="360" w:lineRule="auto"/>
        <w:ind w:left="720"/>
        <w:jc w:val="both"/>
        <w:rPr>
          <w:rFonts w:eastAsia="SimSun" w:hint="eastAsia"/>
          <w:color w:val="000000" w:themeColor="text1"/>
        </w:rPr>
      </w:pPr>
    </w:p>
    <w:p w14:paraId="1F7DC519" w14:textId="2CA400F2" w:rsidR="00875CE7" w:rsidRPr="00A56203" w:rsidRDefault="006A59BE" w:rsidP="00875CE7">
      <w:pPr>
        <w:spacing w:line="360" w:lineRule="auto"/>
        <w:ind w:left="720"/>
        <w:jc w:val="both"/>
        <w:rPr>
          <w:rFonts w:eastAsia="SimSun"/>
          <w:b/>
          <w:bCs/>
          <w:color w:val="000000" w:themeColor="text1"/>
        </w:rPr>
      </w:pPr>
      <w:r>
        <w:rPr>
          <w:rFonts w:eastAsia="SimSun" w:hint="eastAsia"/>
          <w:b/>
          <w:bCs/>
          <w:color w:val="000000" w:themeColor="text1"/>
        </w:rPr>
        <w:t>2</w:t>
      </w:r>
      <w:r w:rsidR="00875CE7" w:rsidRPr="00A56203">
        <w:rPr>
          <w:rFonts w:eastAsia="SimSun" w:hint="eastAsia"/>
          <w:b/>
          <w:bCs/>
          <w:color w:val="000000" w:themeColor="text1"/>
        </w:rPr>
        <w:t xml:space="preserve">. </w:t>
      </w:r>
      <w:r w:rsidR="00875CE7" w:rsidRPr="00A56203">
        <w:rPr>
          <w:rFonts w:eastAsia="SimSun"/>
          <w:b/>
          <w:bCs/>
          <w:color w:val="000000" w:themeColor="text1"/>
        </w:rPr>
        <w:t>Materials and Methods</w:t>
      </w:r>
    </w:p>
    <w:p w14:paraId="688E38FB" w14:textId="77777777" w:rsidR="00875CE7" w:rsidRDefault="00875CE7" w:rsidP="001473D7">
      <w:pPr>
        <w:spacing w:line="360" w:lineRule="auto"/>
        <w:jc w:val="both"/>
        <w:rPr>
          <w:rFonts w:eastAsia="SimSun" w:hint="eastAsia"/>
          <w:b/>
          <w:bCs/>
          <w:color w:val="000000" w:themeColor="text1"/>
        </w:rPr>
      </w:pPr>
    </w:p>
    <w:p w14:paraId="2F598217" w14:textId="4A95162F" w:rsidR="006B648E" w:rsidRPr="001473D7" w:rsidRDefault="0033315F" w:rsidP="006B648E">
      <w:pPr>
        <w:spacing w:line="360" w:lineRule="auto"/>
        <w:ind w:left="720"/>
        <w:jc w:val="both"/>
        <w:rPr>
          <w:rFonts w:eastAsia="SimSun"/>
          <w:b/>
          <w:bCs/>
          <w:color w:val="000000" w:themeColor="text1"/>
        </w:rPr>
      </w:pPr>
      <w:r>
        <w:rPr>
          <w:rFonts w:eastAsia="SimSun" w:hint="eastAsia"/>
          <w:b/>
          <w:bCs/>
          <w:color w:val="000000" w:themeColor="text1"/>
        </w:rPr>
        <w:t>2.1. Materials</w:t>
      </w:r>
      <w:r w:rsidR="006B648E" w:rsidRPr="001473D7">
        <w:rPr>
          <w:rFonts w:eastAsia="SimSun"/>
          <w:b/>
          <w:bCs/>
          <w:color w:val="000000" w:themeColor="text1"/>
        </w:rPr>
        <w:t xml:space="preserve"> and reagents</w:t>
      </w:r>
    </w:p>
    <w:p w14:paraId="682183D3" w14:textId="77777777" w:rsidR="003467B7" w:rsidRPr="00694727" w:rsidRDefault="006B648E" w:rsidP="003467B7">
      <w:pPr>
        <w:spacing w:line="360" w:lineRule="auto"/>
        <w:ind w:left="720"/>
        <w:jc w:val="both"/>
        <w:rPr>
          <w:rFonts w:eastAsia="SimSun"/>
          <w:color w:val="000000" w:themeColor="text1"/>
          <w:u w:val="single"/>
        </w:rPr>
      </w:pPr>
      <w:r w:rsidRPr="00694727">
        <w:rPr>
          <w:rFonts w:eastAsia="SimSun"/>
          <w:color w:val="000000" w:themeColor="text1"/>
        </w:rPr>
        <w:lastRenderedPageBreak/>
        <w:t>A recombinant fusion antigen was engineered to present conserved, immunodominant regions of EIAV proteins (</w:t>
      </w:r>
      <w:r w:rsidR="003467B7" w:rsidRPr="00694727">
        <w:rPr>
          <w:rFonts w:eastAsia="SimSun"/>
          <w:color w:val="000000" w:themeColor="text1"/>
          <w:u w:val="single"/>
        </w:rPr>
        <w:t>capsid p26 and env surface peptide region</w:t>
      </w:r>
      <w:r w:rsidRPr="00694727">
        <w:rPr>
          <w:rFonts w:eastAsia="SimSun"/>
          <w:color w:val="000000" w:themeColor="text1"/>
        </w:rPr>
        <w:t xml:space="preserve">). Antigen production was performed in an E. coli expression system and purified by affinity chromatography to &gt;90% purity (as verified by SDS‑PAGE). </w:t>
      </w:r>
      <w:r w:rsidR="003467B7" w:rsidRPr="00694727">
        <w:rPr>
          <w:rFonts w:eastAsia="SimSun"/>
          <w:color w:val="000000" w:themeColor="text1"/>
          <w:u w:val="single"/>
        </w:rPr>
        <w:t xml:space="preserve">The fusion antigen was used as the capture and detector antigen. </w:t>
      </w:r>
    </w:p>
    <w:p w14:paraId="2F3BE673" w14:textId="77777777" w:rsidR="003467B7" w:rsidRPr="00694727" w:rsidRDefault="006B648E" w:rsidP="003467B7">
      <w:pPr>
        <w:spacing w:line="360" w:lineRule="auto"/>
        <w:ind w:left="720"/>
        <w:jc w:val="both"/>
        <w:rPr>
          <w:rFonts w:eastAsia="SimSun"/>
          <w:color w:val="000000" w:themeColor="text1"/>
          <w:u w:val="single"/>
        </w:rPr>
      </w:pPr>
      <w:r w:rsidRPr="00694727">
        <w:rPr>
          <w:rFonts w:eastAsia="SimSun"/>
          <w:color w:val="000000" w:themeColor="text1"/>
        </w:rPr>
        <w:t>Colloidal gold nanoparticles (nominal diameter 40 nm) were used for the visual label. Horseradish peroxidase (HRP) was used as the chemiluminescent enzyme label. Nitrocellulose membranes, sample and conjugate pads, absorbent pads, and backing cards for lateral flow strip assembly were procured from standard suppliers for rapid test manufacture.</w:t>
      </w:r>
      <w:r w:rsidR="004B68DD" w:rsidRPr="00694727">
        <w:rPr>
          <w:rFonts w:eastAsia="SimSun"/>
          <w:color w:val="000000" w:themeColor="text1"/>
        </w:rPr>
        <w:t xml:space="preserve"> </w:t>
      </w:r>
      <w:r w:rsidR="003467B7" w:rsidRPr="00694727">
        <w:rPr>
          <w:rFonts w:eastAsia="SimSun"/>
          <w:color w:val="000000" w:themeColor="text1"/>
        </w:rPr>
        <w:t>C</w:t>
      </w:r>
      <w:r w:rsidR="004B68DD" w:rsidRPr="00694727">
        <w:rPr>
          <w:rFonts w:eastAsia="SimSun"/>
          <w:color w:val="000000" w:themeColor="text1"/>
        </w:rPr>
        <w:t xml:space="preserve">ommercially available EIAV antibody </w:t>
      </w:r>
      <w:r w:rsidR="003467B7" w:rsidRPr="00694727">
        <w:rPr>
          <w:rFonts w:eastAsia="SimSun"/>
          <w:color w:val="000000" w:themeColor="text1"/>
        </w:rPr>
        <w:t xml:space="preserve">Reference </w:t>
      </w:r>
      <w:r w:rsidR="004B68DD" w:rsidRPr="00694727">
        <w:rPr>
          <w:rFonts w:eastAsia="SimSun"/>
          <w:color w:val="000000" w:themeColor="text1"/>
        </w:rPr>
        <w:t xml:space="preserve">ELISA </w:t>
      </w:r>
      <w:proofErr w:type="gramStart"/>
      <w:r w:rsidR="004B68DD" w:rsidRPr="00694727">
        <w:rPr>
          <w:rFonts w:eastAsia="SimSun"/>
          <w:color w:val="000000" w:themeColor="text1"/>
        </w:rPr>
        <w:t xml:space="preserve">kit </w:t>
      </w:r>
      <w:r w:rsidR="003467B7" w:rsidRPr="00694727">
        <w:rPr>
          <w:rFonts w:eastAsia="SimSun"/>
          <w:color w:val="000000" w:themeColor="text1"/>
        </w:rPr>
        <w:t xml:space="preserve"> was</w:t>
      </w:r>
      <w:proofErr w:type="gramEnd"/>
      <w:r w:rsidR="003467B7" w:rsidRPr="00694727">
        <w:rPr>
          <w:rFonts w:eastAsia="SimSun"/>
          <w:color w:val="000000" w:themeColor="text1"/>
        </w:rPr>
        <w:t xml:space="preserve"> </w:t>
      </w:r>
      <w:r w:rsidR="003467B7" w:rsidRPr="00694727">
        <w:t>from New England Horse Laboratories</w:t>
      </w:r>
      <w:r w:rsidR="003467B7" w:rsidRPr="00694727">
        <w:rPr>
          <w:rFonts w:eastAsia="SimSun"/>
          <w:color w:val="000000" w:themeColor="text1"/>
        </w:rPr>
        <w:t xml:space="preserve">. </w:t>
      </w:r>
    </w:p>
    <w:p w14:paraId="4CCC358A" w14:textId="5BA39FF2" w:rsidR="00875CE7" w:rsidRPr="00694727" w:rsidRDefault="00875CE7" w:rsidP="003467B7">
      <w:pPr>
        <w:spacing w:line="360" w:lineRule="auto"/>
        <w:ind w:left="720"/>
        <w:jc w:val="both"/>
        <w:rPr>
          <w:rFonts w:eastAsia="SimSun"/>
          <w:color w:val="000000" w:themeColor="text1"/>
          <w:u w:val="single"/>
        </w:rPr>
      </w:pPr>
      <w:r w:rsidRPr="00694727">
        <w:rPr>
          <w:rFonts w:eastAsia="SimSun"/>
          <w:color w:val="000000" w:themeColor="text1"/>
        </w:rPr>
        <w:t xml:space="preserve">Proficiency sera panels: coded proficiency sera provided by the United States Department of Agriculture (USDA) Veterinary Services laboratory, including known-positive, known-negative, and borderline sera.  </w:t>
      </w:r>
    </w:p>
    <w:p w14:paraId="512EDD6D" w14:textId="77777777" w:rsidR="00875CE7" w:rsidRPr="00694727" w:rsidRDefault="00875CE7" w:rsidP="00875CE7">
      <w:pPr>
        <w:spacing w:line="360" w:lineRule="auto"/>
        <w:ind w:left="720"/>
        <w:jc w:val="both"/>
        <w:rPr>
          <w:rFonts w:eastAsia="SimSun"/>
          <w:color w:val="EE0000"/>
        </w:rPr>
      </w:pPr>
      <w:r w:rsidRPr="00694727">
        <w:rPr>
          <w:rFonts w:eastAsia="SimSun"/>
          <w:color w:val="EE0000"/>
        </w:rPr>
        <w:t xml:space="preserve">- Equine sera: field samples collected from horses, donkeys, and mules (see Section 2.7).  </w:t>
      </w:r>
    </w:p>
    <w:p w14:paraId="50F8ED79" w14:textId="205E1F6A" w:rsidR="006B648E" w:rsidRPr="00694727" w:rsidRDefault="006B648E" w:rsidP="003467B7">
      <w:pPr>
        <w:spacing w:line="360" w:lineRule="auto"/>
        <w:ind w:left="720"/>
        <w:jc w:val="both"/>
        <w:rPr>
          <w:rFonts w:eastAsia="SimSun"/>
          <w:color w:val="000000" w:themeColor="text1"/>
          <w:u w:val="single"/>
        </w:rPr>
      </w:pPr>
      <w:r w:rsidRPr="00694727">
        <w:rPr>
          <w:rFonts w:eastAsia="SimSun"/>
          <w:color w:val="000000" w:themeColor="text1"/>
        </w:rPr>
        <w:t>Dual-labeling: For dual-function detector reagent, two strategies were employed: (1) co-application of separately prepared gold‑antigen and HRP‑antigen conjugates to the conjugate pad in a defined ratio, and (2) direct sequential labeling of antigen to gold followed by mild coupling of HRP to antigen on the gold surface (tested for activity retention). The co-application strategy was selected for routine production due to superior signal reproducibility.</w:t>
      </w:r>
      <w:r w:rsidR="003467B7" w:rsidRPr="00694727">
        <w:rPr>
          <w:rFonts w:eastAsia="SimSun"/>
          <w:color w:val="000000" w:themeColor="text1"/>
        </w:rPr>
        <w:t xml:space="preserve"> </w:t>
      </w:r>
      <w:r w:rsidR="003467B7" w:rsidRPr="00694727">
        <w:rPr>
          <w:rFonts w:eastAsia="SimSun"/>
          <w:color w:val="000000" w:themeColor="text1"/>
        </w:rPr>
        <w:t xml:space="preserve">A stabilized CL substrate compatible with HRP (luminol/enhancer formulation) from </w:t>
      </w:r>
      <w:r w:rsidR="003467B7" w:rsidRPr="00694727">
        <w:rPr>
          <w:rFonts w:eastAsia="SimSun"/>
          <w:color w:val="EE0000"/>
        </w:rPr>
        <w:t>xxx</w:t>
      </w:r>
      <w:r w:rsidR="003467B7" w:rsidRPr="00694727">
        <w:rPr>
          <w:rFonts w:eastAsia="SimSun"/>
          <w:color w:val="000000" w:themeColor="text1"/>
        </w:rPr>
        <w:t xml:space="preserve"> and NDT’s proprietary portable chemiluminescence detector were employed for signal measurement.</w:t>
      </w:r>
    </w:p>
    <w:p w14:paraId="11660D04" w14:textId="77777777" w:rsidR="004B68DD" w:rsidRDefault="004B68DD" w:rsidP="006B648E">
      <w:pPr>
        <w:spacing w:line="360" w:lineRule="auto"/>
        <w:ind w:left="720"/>
        <w:jc w:val="both"/>
        <w:rPr>
          <w:rFonts w:eastAsia="SimSun"/>
          <w:b/>
          <w:bCs/>
          <w:color w:val="000000" w:themeColor="text1"/>
        </w:rPr>
      </w:pPr>
    </w:p>
    <w:p w14:paraId="64901A9D" w14:textId="6E19DE74" w:rsidR="006B648E" w:rsidRPr="00A56203" w:rsidRDefault="004B68DD" w:rsidP="006B648E">
      <w:pPr>
        <w:spacing w:line="360" w:lineRule="auto"/>
        <w:ind w:left="720"/>
        <w:jc w:val="both"/>
        <w:rPr>
          <w:rFonts w:eastAsia="SimSun"/>
          <w:b/>
          <w:bCs/>
          <w:color w:val="000000" w:themeColor="text1"/>
        </w:rPr>
      </w:pPr>
      <w:r>
        <w:rPr>
          <w:rFonts w:eastAsia="SimSun" w:hint="eastAsia"/>
          <w:b/>
          <w:bCs/>
          <w:color w:val="000000" w:themeColor="text1"/>
        </w:rPr>
        <w:t>2.2</w:t>
      </w:r>
      <w:r w:rsidR="006B648E" w:rsidRPr="00A56203">
        <w:rPr>
          <w:rFonts w:eastAsia="SimSun"/>
          <w:b/>
          <w:bCs/>
          <w:color w:val="000000" w:themeColor="text1"/>
        </w:rPr>
        <w:t xml:space="preserve"> LFIA</w:t>
      </w:r>
      <w:r w:rsidR="008130F8">
        <w:rPr>
          <w:rFonts w:eastAsia="SimSun" w:hint="eastAsia"/>
          <w:b/>
          <w:bCs/>
          <w:color w:val="000000" w:themeColor="text1"/>
        </w:rPr>
        <w:t>-CL</w:t>
      </w:r>
      <w:r w:rsidR="006B648E" w:rsidRPr="00A56203">
        <w:rPr>
          <w:rFonts w:eastAsia="SimSun"/>
          <w:b/>
          <w:bCs/>
          <w:color w:val="000000" w:themeColor="text1"/>
        </w:rPr>
        <w:t xml:space="preserve"> strip assembly</w:t>
      </w:r>
    </w:p>
    <w:p w14:paraId="0759EFBA" w14:textId="77777777" w:rsidR="006B648E" w:rsidRPr="00C63663" w:rsidRDefault="006B648E" w:rsidP="006B648E">
      <w:pPr>
        <w:spacing w:line="360" w:lineRule="auto"/>
        <w:ind w:left="720"/>
        <w:jc w:val="both"/>
        <w:rPr>
          <w:rFonts w:eastAsia="SimSun"/>
          <w:color w:val="000000" w:themeColor="text1"/>
        </w:rPr>
      </w:pPr>
      <w:r w:rsidRPr="00C63663">
        <w:rPr>
          <w:rFonts w:eastAsia="SimSun"/>
          <w:color w:val="000000" w:themeColor="text1"/>
        </w:rPr>
        <w:t xml:space="preserve">Membrane processing and line deposition: Nitrocellulose membranes were striped with capture reagents using an automated dispenser (XYZ </w:t>
      </w:r>
      <w:proofErr w:type="spellStart"/>
      <w:r w:rsidRPr="00C63663">
        <w:rPr>
          <w:rFonts w:eastAsia="SimSun"/>
          <w:color w:val="000000" w:themeColor="text1"/>
        </w:rPr>
        <w:t>BioJet</w:t>
      </w:r>
      <w:proofErr w:type="spellEnd"/>
      <w:r w:rsidRPr="00C63663">
        <w:rPr>
          <w:rFonts w:eastAsia="SimSun"/>
          <w:color w:val="000000" w:themeColor="text1"/>
        </w:rPr>
        <w:t xml:space="preserve">). The test line (T) received recombinant fusion antigen at 1.0 mg/mL (deposition volume adjusted to yield ~0.5 </w:t>
      </w:r>
      <w:proofErr w:type="spellStart"/>
      <w:r w:rsidRPr="00C63663">
        <w:rPr>
          <w:rFonts w:eastAsia="SimSun"/>
          <w:color w:val="000000" w:themeColor="text1"/>
        </w:rPr>
        <w:t>μg</w:t>
      </w:r>
      <w:proofErr w:type="spellEnd"/>
      <w:r w:rsidRPr="00C63663">
        <w:rPr>
          <w:rFonts w:eastAsia="SimSun"/>
          <w:color w:val="000000" w:themeColor="text1"/>
        </w:rPr>
        <w:t xml:space="preserve">/cm) and the control line (C) received goat anti-equine IgG (Jackson </w:t>
      </w:r>
      <w:proofErr w:type="spellStart"/>
      <w:r w:rsidRPr="00C63663">
        <w:rPr>
          <w:rFonts w:eastAsia="SimSun"/>
          <w:color w:val="000000" w:themeColor="text1"/>
        </w:rPr>
        <w:t>ImmunoResearch</w:t>
      </w:r>
      <w:proofErr w:type="spellEnd"/>
      <w:r w:rsidRPr="00C63663">
        <w:rPr>
          <w:rFonts w:eastAsia="SimSun"/>
          <w:color w:val="000000" w:themeColor="text1"/>
        </w:rPr>
        <w:t>) at 0.5 mg/mL to confirm fluid flow and sample addition. Striped membranes were dried at 37 °C for 2 h, then blocked with 1% BSA in PBS for 30 min and dried again.</w:t>
      </w:r>
    </w:p>
    <w:p w14:paraId="204E5B42" w14:textId="77777777" w:rsidR="006B648E" w:rsidRPr="00C63663" w:rsidRDefault="006B648E" w:rsidP="006B648E">
      <w:pPr>
        <w:spacing w:line="360" w:lineRule="auto"/>
        <w:ind w:left="720"/>
        <w:jc w:val="both"/>
        <w:rPr>
          <w:rFonts w:eastAsia="SimSun"/>
          <w:color w:val="000000" w:themeColor="text1"/>
        </w:rPr>
      </w:pPr>
    </w:p>
    <w:p w14:paraId="790FBEA7" w14:textId="617B12F7" w:rsidR="006B648E" w:rsidRPr="00C63663" w:rsidRDefault="006B648E" w:rsidP="006B648E">
      <w:pPr>
        <w:spacing w:line="360" w:lineRule="auto"/>
        <w:ind w:left="720"/>
        <w:jc w:val="both"/>
        <w:rPr>
          <w:rFonts w:eastAsia="SimSun"/>
          <w:color w:val="000000" w:themeColor="text1"/>
        </w:rPr>
      </w:pPr>
      <w:r w:rsidRPr="00C63663">
        <w:rPr>
          <w:rFonts w:eastAsia="SimSun"/>
          <w:color w:val="000000" w:themeColor="text1"/>
        </w:rPr>
        <w:t xml:space="preserve">Pad assembly: </w:t>
      </w:r>
      <w:r w:rsidR="00694727">
        <w:rPr>
          <w:rFonts w:eastAsia="SimSun" w:hint="eastAsia"/>
          <w:color w:val="000000" w:themeColor="text1"/>
        </w:rPr>
        <w:t>A sample</w:t>
      </w:r>
      <w:r w:rsidRPr="00C63663">
        <w:rPr>
          <w:rFonts w:eastAsia="SimSun"/>
          <w:color w:val="000000" w:themeColor="text1"/>
        </w:rPr>
        <w:t xml:space="preserve"> pad, conjugate pad (impregnated with the gold-antigen conjugate and HRP-antigen conjugate in stabilization buffer and dried under desiccation), NC membrane with T/C lines, and absorbent pad were laminated on an adhesive backing card with 2 mm overlaps. Strips were cut to </w:t>
      </w:r>
      <w:r w:rsidRPr="00694727">
        <w:rPr>
          <w:rFonts w:eastAsia="SimSun"/>
          <w:color w:val="EE0000"/>
        </w:rPr>
        <w:t xml:space="preserve">3.5 </w:t>
      </w:r>
      <w:r w:rsidRPr="00C63663">
        <w:rPr>
          <w:rFonts w:eastAsia="SimSun"/>
          <w:color w:val="000000" w:themeColor="text1"/>
        </w:rPr>
        <w:t>mm width using a guillotine cutter, then inserted into plastic cassettes housing a sample well and a CL substrate inlet port. Assembly was performed under controlled humidity (30–40% RH) to limit variability.</w:t>
      </w:r>
    </w:p>
    <w:p w14:paraId="71ED9467" w14:textId="77777777" w:rsidR="008130F8" w:rsidRDefault="008130F8" w:rsidP="006B19DE">
      <w:pPr>
        <w:spacing w:line="360" w:lineRule="auto"/>
        <w:ind w:left="720"/>
        <w:jc w:val="both"/>
        <w:rPr>
          <w:rFonts w:ascii="SimSun" w:eastAsia="SimSun" w:hAnsi="SimSun" w:cs="SimSun"/>
          <w:b/>
          <w:bCs/>
          <w:color w:val="000000" w:themeColor="text1"/>
        </w:rPr>
      </w:pPr>
    </w:p>
    <w:p w14:paraId="3575E1AD" w14:textId="095A8D5B" w:rsidR="00875CE7" w:rsidRPr="00694727" w:rsidRDefault="008130F8" w:rsidP="006B19DE">
      <w:pPr>
        <w:spacing w:line="360" w:lineRule="auto"/>
        <w:ind w:left="720"/>
        <w:jc w:val="both"/>
        <w:rPr>
          <w:rFonts w:eastAsia="SimSun"/>
          <w:b/>
          <w:bCs/>
          <w:color w:val="000000" w:themeColor="text1"/>
        </w:rPr>
      </w:pPr>
      <w:r w:rsidRPr="00694727">
        <w:rPr>
          <w:rFonts w:eastAsia="SimSun"/>
          <w:b/>
          <w:bCs/>
          <w:color w:val="000000" w:themeColor="text1"/>
        </w:rPr>
        <w:t xml:space="preserve">2.3. </w:t>
      </w:r>
      <w:r w:rsidRPr="00694727">
        <w:rPr>
          <w:rFonts w:eastAsia="SimSun"/>
          <w:b/>
          <w:bCs/>
          <w:color w:val="000000" w:themeColor="text1"/>
        </w:rPr>
        <w:t>LFIA-CL</w:t>
      </w:r>
      <w:r w:rsidRPr="00694727">
        <w:rPr>
          <w:rFonts w:eastAsia="SimSun"/>
          <w:b/>
          <w:bCs/>
          <w:color w:val="000000" w:themeColor="text1"/>
        </w:rPr>
        <w:t xml:space="preserve"> Assay Instrument and software</w:t>
      </w:r>
    </w:p>
    <w:p w14:paraId="0F762C17" w14:textId="77777777" w:rsidR="008130F8" w:rsidRDefault="008130F8" w:rsidP="00694727">
      <w:pPr>
        <w:autoSpaceDE w:val="0"/>
        <w:autoSpaceDN w:val="0"/>
        <w:adjustRightInd w:val="0"/>
        <w:spacing w:line="360" w:lineRule="auto"/>
        <w:ind w:firstLine="720"/>
        <w:jc w:val="both"/>
      </w:pPr>
      <w:r w:rsidRPr="001A4DB1">
        <w:t>The Detector is a multichannel photo detector that analyzes chemiluminescence using a</w:t>
      </w:r>
      <w:r>
        <w:rPr>
          <w:rFonts w:hint="eastAsia"/>
        </w:rPr>
        <w:t xml:space="preserve"> </w:t>
      </w:r>
    </w:p>
    <w:p w14:paraId="0C56B3D9" w14:textId="77777777" w:rsidR="008130F8" w:rsidRDefault="008130F8" w:rsidP="00694727">
      <w:pPr>
        <w:autoSpaceDE w:val="0"/>
        <w:autoSpaceDN w:val="0"/>
        <w:adjustRightInd w:val="0"/>
        <w:spacing w:line="360" w:lineRule="auto"/>
        <w:ind w:firstLine="720"/>
        <w:jc w:val="both"/>
      </w:pPr>
      <w:r w:rsidRPr="001A4DB1">
        <w:t xml:space="preserve">custom application specific integrated circuit (ASIC) chip with 25 discreet photoreceptors.  </w:t>
      </w:r>
    </w:p>
    <w:p w14:paraId="6F18567E" w14:textId="77777777" w:rsidR="008130F8" w:rsidRDefault="008130F8" w:rsidP="00694727">
      <w:pPr>
        <w:autoSpaceDE w:val="0"/>
        <w:autoSpaceDN w:val="0"/>
        <w:adjustRightInd w:val="0"/>
        <w:spacing w:line="360" w:lineRule="auto"/>
        <w:ind w:firstLine="720"/>
        <w:jc w:val="both"/>
      </w:pPr>
      <w:r w:rsidRPr="001A4DB1">
        <w:t xml:space="preserve">The number of photoreceptors used is dependent upon the width and number of test bands </w:t>
      </w:r>
    </w:p>
    <w:p w14:paraId="08543EC9" w14:textId="77777777" w:rsidR="008130F8" w:rsidRDefault="008130F8" w:rsidP="00694727">
      <w:pPr>
        <w:autoSpaceDE w:val="0"/>
        <w:autoSpaceDN w:val="0"/>
        <w:adjustRightInd w:val="0"/>
        <w:spacing w:line="360" w:lineRule="auto"/>
        <w:ind w:firstLine="720"/>
        <w:jc w:val="both"/>
      </w:pPr>
      <w:r w:rsidRPr="001A4DB1">
        <w:t xml:space="preserve">on the test </w:t>
      </w:r>
      <w:proofErr w:type="gramStart"/>
      <w:r w:rsidRPr="001A4DB1">
        <w:t>strip;</w:t>
      </w:r>
      <w:proofErr w:type="gramEnd"/>
      <w:r w:rsidRPr="001A4DB1">
        <w:t xml:space="preserve"> it is currently fixed at nine photoreceptors, three for each read line on the </w:t>
      </w:r>
    </w:p>
    <w:p w14:paraId="51188514" w14:textId="77777777" w:rsidR="008130F8" w:rsidRDefault="008130F8" w:rsidP="00694727">
      <w:pPr>
        <w:autoSpaceDE w:val="0"/>
        <w:autoSpaceDN w:val="0"/>
        <w:adjustRightInd w:val="0"/>
        <w:spacing w:line="360" w:lineRule="auto"/>
        <w:ind w:firstLine="720"/>
        <w:jc w:val="both"/>
      </w:pPr>
      <w:r w:rsidRPr="001A4DB1">
        <w:t>strip</w:t>
      </w:r>
      <w:r>
        <w:t xml:space="preserve">. </w:t>
      </w:r>
      <w:r w:rsidRPr="001A4DB1">
        <w:t xml:space="preserve">The Detector is a solid-state luminometer that operates on 110/240 volts AC, 50/60 </w:t>
      </w:r>
    </w:p>
    <w:p w14:paraId="1113FB49" w14:textId="5134BDF3" w:rsidR="008130F8" w:rsidRPr="00694727" w:rsidRDefault="008130F8" w:rsidP="00694727">
      <w:pPr>
        <w:autoSpaceDE w:val="0"/>
        <w:autoSpaceDN w:val="0"/>
        <w:adjustRightInd w:val="0"/>
        <w:spacing w:line="360" w:lineRule="auto"/>
        <w:ind w:firstLine="720"/>
        <w:jc w:val="both"/>
        <w:rPr>
          <w:u w:val="single"/>
        </w:rPr>
      </w:pPr>
      <w:r w:rsidRPr="001A4DB1">
        <w:t xml:space="preserve">Hz.  An LCD touch screen display allows for user input and presentation of results.  An </w:t>
      </w:r>
    </w:p>
    <w:p w14:paraId="6B540BF4" w14:textId="77777777" w:rsidR="00DB588E" w:rsidRDefault="008130F8" w:rsidP="00DB588E">
      <w:pPr>
        <w:autoSpaceDE w:val="0"/>
        <w:autoSpaceDN w:val="0"/>
        <w:adjustRightInd w:val="0"/>
        <w:spacing w:line="360" w:lineRule="auto"/>
        <w:ind w:firstLine="720"/>
        <w:jc w:val="both"/>
      </w:pPr>
      <w:r w:rsidRPr="001A4DB1">
        <w:t>automatic start-up procedure will be initiated when the Detector is plugged in. The Detector</w:t>
      </w:r>
    </w:p>
    <w:p w14:paraId="63ED7708" w14:textId="77777777" w:rsidR="00DB588E" w:rsidRDefault="008130F8" w:rsidP="00DB588E">
      <w:pPr>
        <w:autoSpaceDE w:val="0"/>
        <w:autoSpaceDN w:val="0"/>
        <w:adjustRightInd w:val="0"/>
        <w:spacing w:line="360" w:lineRule="auto"/>
        <w:ind w:firstLine="720"/>
        <w:jc w:val="both"/>
      </w:pPr>
      <w:r w:rsidRPr="001A4DB1">
        <w:t xml:space="preserve">is ready for use when the start-up menu appears on the </w:t>
      </w:r>
      <w:proofErr w:type="spellStart"/>
      <w:proofErr w:type="gramStart"/>
      <w:r w:rsidRPr="001A4DB1">
        <w:t>screen.The</w:t>
      </w:r>
      <w:proofErr w:type="spellEnd"/>
      <w:proofErr w:type="gramEnd"/>
      <w:r w:rsidRPr="001A4DB1">
        <w:t xml:space="preserve"> Detector has a barcode </w:t>
      </w:r>
    </w:p>
    <w:p w14:paraId="5FCF0FE3" w14:textId="77777777" w:rsidR="00DB588E" w:rsidRDefault="008130F8" w:rsidP="00DB588E">
      <w:pPr>
        <w:autoSpaceDE w:val="0"/>
        <w:autoSpaceDN w:val="0"/>
        <w:adjustRightInd w:val="0"/>
        <w:spacing w:line="360" w:lineRule="auto"/>
        <w:ind w:firstLine="720"/>
        <w:jc w:val="both"/>
      </w:pPr>
      <w:r w:rsidRPr="001A4DB1">
        <w:t xml:space="preserve">reader that plugs into the back panel of the Detector; this allows the operator to scan the </w:t>
      </w:r>
    </w:p>
    <w:p w14:paraId="464C9C72" w14:textId="25A14FCF" w:rsidR="008130F8" w:rsidRPr="001A4DB1" w:rsidRDefault="008130F8" w:rsidP="00DB588E">
      <w:pPr>
        <w:autoSpaceDE w:val="0"/>
        <w:autoSpaceDN w:val="0"/>
        <w:adjustRightInd w:val="0"/>
        <w:spacing w:line="360" w:lineRule="auto"/>
        <w:ind w:firstLine="720"/>
        <w:jc w:val="both"/>
      </w:pPr>
      <w:r w:rsidRPr="001A4DB1">
        <w:t>NDT Test Cassette barcode prior to inserting the cassette into the Detector.</w:t>
      </w:r>
    </w:p>
    <w:p w14:paraId="2663A3F4" w14:textId="77777777" w:rsidR="00121B20" w:rsidRDefault="00121B20" w:rsidP="00694727">
      <w:pPr>
        <w:autoSpaceDE w:val="0"/>
        <w:autoSpaceDN w:val="0"/>
        <w:adjustRightInd w:val="0"/>
        <w:spacing w:line="360" w:lineRule="auto"/>
        <w:ind w:firstLine="720"/>
        <w:jc w:val="both"/>
      </w:pPr>
    </w:p>
    <w:p w14:paraId="572CD884" w14:textId="607C94C1" w:rsidR="008130F8" w:rsidRDefault="008130F8" w:rsidP="00694727">
      <w:pPr>
        <w:autoSpaceDE w:val="0"/>
        <w:autoSpaceDN w:val="0"/>
        <w:adjustRightInd w:val="0"/>
        <w:spacing w:line="360" w:lineRule="auto"/>
        <w:ind w:firstLine="720"/>
        <w:jc w:val="both"/>
      </w:pPr>
      <w:r w:rsidRPr="001A4DB1">
        <w:t xml:space="preserve">The Detector can analyze a single cassette in one run.  The test is initiated by the Detector </w:t>
      </w:r>
    </w:p>
    <w:p w14:paraId="03B8F100" w14:textId="387F7198" w:rsidR="008130F8" w:rsidRDefault="008130F8" w:rsidP="00694727">
      <w:pPr>
        <w:autoSpaceDE w:val="0"/>
        <w:autoSpaceDN w:val="0"/>
        <w:adjustRightInd w:val="0"/>
        <w:spacing w:line="360" w:lineRule="auto"/>
        <w:ind w:firstLine="720"/>
        <w:jc w:val="both"/>
      </w:pPr>
      <w:r w:rsidRPr="001A4DB1">
        <w:t xml:space="preserve">upon reading of a bar code followed by the user inserting the NDT Test Cassette. During </w:t>
      </w:r>
    </w:p>
    <w:p w14:paraId="037BE0A5" w14:textId="77777777" w:rsidR="00DB588E" w:rsidRDefault="008130F8" w:rsidP="00DB588E">
      <w:pPr>
        <w:autoSpaceDE w:val="0"/>
        <w:autoSpaceDN w:val="0"/>
        <w:adjustRightInd w:val="0"/>
        <w:spacing w:line="360" w:lineRule="auto"/>
        <w:ind w:firstLine="720"/>
        <w:jc w:val="both"/>
      </w:pPr>
      <w:r w:rsidRPr="001A4DB1">
        <w:t xml:space="preserve">the test run time (approximately three minutes), light output is characterized for the control </w:t>
      </w:r>
    </w:p>
    <w:p w14:paraId="09C8F50D" w14:textId="4265BEF5" w:rsidR="008130F8" w:rsidRDefault="008130F8" w:rsidP="00DB588E">
      <w:pPr>
        <w:autoSpaceDE w:val="0"/>
        <w:autoSpaceDN w:val="0"/>
        <w:adjustRightInd w:val="0"/>
        <w:spacing w:line="360" w:lineRule="auto"/>
        <w:ind w:firstLine="720"/>
        <w:jc w:val="both"/>
      </w:pPr>
      <w:r w:rsidRPr="001A4DB1">
        <w:t>line, test line and background by the ASIC chip and internal software.</w:t>
      </w:r>
    </w:p>
    <w:p w14:paraId="3F8170D0" w14:textId="77777777" w:rsidR="00DB588E" w:rsidRDefault="00121B20" w:rsidP="00DB588E">
      <w:pPr>
        <w:autoSpaceDE w:val="0"/>
        <w:autoSpaceDN w:val="0"/>
        <w:adjustRightInd w:val="0"/>
        <w:spacing w:line="360" w:lineRule="auto"/>
        <w:ind w:firstLine="720"/>
        <w:jc w:val="both"/>
      </w:pPr>
      <w:r w:rsidRPr="001A4DB1">
        <w:t xml:space="preserve">The software is specific for the Detector. The Detector’s software version will be displayed </w:t>
      </w:r>
    </w:p>
    <w:p w14:paraId="3B07557D" w14:textId="77777777" w:rsidR="00DB588E" w:rsidRDefault="00121B20" w:rsidP="00DB588E">
      <w:pPr>
        <w:autoSpaceDE w:val="0"/>
        <w:autoSpaceDN w:val="0"/>
        <w:adjustRightInd w:val="0"/>
        <w:spacing w:line="360" w:lineRule="auto"/>
        <w:ind w:firstLine="720"/>
        <w:jc w:val="both"/>
      </w:pPr>
      <w:r w:rsidRPr="001A4DB1">
        <w:t>within the setup screen and a self-test will run.   The</w:t>
      </w:r>
      <w:r w:rsidR="00DB588E">
        <w:rPr>
          <w:rFonts w:hint="eastAsia"/>
        </w:rPr>
        <w:t xml:space="preserve"> </w:t>
      </w:r>
      <w:r w:rsidRPr="001A4DB1">
        <w:t>operating system provides a basi</w:t>
      </w:r>
      <w:r>
        <w:t xml:space="preserve">c user </w:t>
      </w:r>
    </w:p>
    <w:p w14:paraId="50A0E468" w14:textId="77777777" w:rsidR="00DB588E" w:rsidRDefault="00121B20" w:rsidP="00DB588E">
      <w:pPr>
        <w:autoSpaceDE w:val="0"/>
        <w:autoSpaceDN w:val="0"/>
        <w:adjustRightInd w:val="0"/>
        <w:spacing w:line="360" w:lineRule="auto"/>
        <w:ind w:firstLine="720"/>
        <w:jc w:val="both"/>
      </w:pPr>
      <w:r>
        <w:t>interface and is respons</w:t>
      </w:r>
      <w:r w:rsidRPr="001A4DB1">
        <w:t xml:space="preserve">ible for managing tasks, controlling memory allocation and data </w:t>
      </w:r>
    </w:p>
    <w:p w14:paraId="625D1C9E" w14:textId="77777777" w:rsidR="00DB588E" w:rsidRDefault="00121B20" w:rsidP="00DB588E">
      <w:pPr>
        <w:autoSpaceDE w:val="0"/>
        <w:autoSpaceDN w:val="0"/>
        <w:adjustRightInd w:val="0"/>
        <w:spacing w:line="360" w:lineRule="auto"/>
        <w:ind w:firstLine="720"/>
        <w:jc w:val="both"/>
      </w:pPr>
      <w:r w:rsidRPr="001A4DB1">
        <w:t xml:space="preserve">storage devices, and providing input/output for the Detector as well as any additional </w:t>
      </w:r>
    </w:p>
    <w:p w14:paraId="6BAC7A05" w14:textId="4767560D" w:rsidR="00121B20" w:rsidRDefault="00121B20" w:rsidP="00DB588E">
      <w:pPr>
        <w:autoSpaceDE w:val="0"/>
        <w:autoSpaceDN w:val="0"/>
        <w:adjustRightInd w:val="0"/>
        <w:spacing w:line="360" w:lineRule="auto"/>
        <w:ind w:firstLine="720"/>
        <w:jc w:val="both"/>
      </w:pPr>
      <w:r w:rsidRPr="001A4DB1">
        <w:t xml:space="preserve">peripheral devices that are present (e.g., the printer).  </w:t>
      </w:r>
    </w:p>
    <w:p w14:paraId="192A3F4F" w14:textId="77777777" w:rsidR="00121B20" w:rsidRPr="001A4DB1" w:rsidRDefault="00121B20" w:rsidP="00694727">
      <w:pPr>
        <w:autoSpaceDE w:val="0"/>
        <w:autoSpaceDN w:val="0"/>
        <w:adjustRightInd w:val="0"/>
        <w:spacing w:line="360" w:lineRule="auto"/>
        <w:ind w:firstLine="720"/>
        <w:jc w:val="both"/>
        <w:rPr>
          <w:rFonts w:hint="eastAsia"/>
        </w:rPr>
      </w:pPr>
    </w:p>
    <w:p w14:paraId="5191A11E" w14:textId="77777777" w:rsidR="008130F8" w:rsidRDefault="008130F8" w:rsidP="00694727">
      <w:pPr>
        <w:autoSpaceDE w:val="0"/>
        <w:autoSpaceDN w:val="0"/>
        <w:adjustRightInd w:val="0"/>
        <w:spacing w:line="360" w:lineRule="auto"/>
        <w:ind w:firstLine="720"/>
        <w:jc w:val="both"/>
      </w:pPr>
      <w:r w:rsidRPr="001A4DB1">
        <w:t xml:space="preserve">The Detector is programmed to sample luminescence in each of the photoreceptors at a </w:t>
      </w:r>
    </w:p>
    <w:p w14:paraId="3404EAF3" w14:textId="77777777" w:rsidR="008130F8" w:rsidRDefault="008130F8" w:rsidP="00694727">
      <w:pPr>
        <w:autoSpaceDE w:val="0"/>
        <w:autoSpaceDN w:val="0"/>
        <w:adjustRightInd w:val="0"/>
        <w:spacing w:line="360" w:lineRule="auto"/>
        <w:ind w:firstLine="720"/>
        <w:jc w:val="both"/>
      </w:pPr>
      <w:r w:rsidRPr="001A4DB1">
        <w:lastRenderedPageBreak/>
        <w:t xml:space="preserve">predetermined frequency and </w:t>
      </w:r>
      <w:proofErr w:type="gramStart"/>
      <w:r w:rsidRPr="001A4DB1">
        <w:t>time period</w:t>
      </w:r>
      <w:proofErr w:type="gramEnd"/>
      <w:r w:rsidRPr="001A4DB1">
        <w:t xml:space="preserve">.  Subsequently, the software algorithm analyzes </w:t>
      </w:r>
    </w:p>
    <w:p w14:paraId="5B19F9A8" w14:textId="77777777" w:rsidR="008130F8" w:rsidRDefault="008130F8" w:rsidP="00694727">
      <w:pPr>
        <w:autoSpaceDE w:val="0"/>
        <w:autoSpaceDN w:val="0"/>
        <w:adjustRightInd w:val="0"/>
        <w:spacing w:line="360" w:lineRule="auto"/>
        <w:ind w:firstLine="720"/>
        <w:jc w:val="both"/>
      </w:pPr>
      <w:r w:rsidRPr="001A4DB1">
        <w:t xml:space="preserve">the signal from each photoreceptor relative to a predetermined threshold and displays the </w:t>
      </w:r>
    </w:p>
    <w:p w14:paraId="1791F1E5" w14:textId="77777777" w:rsidR="008130F8" w:rsidRDefault="008130F8" w:rsidP="00694727">
      <w:pPr>
        <w:autoSpaceDE w:val="0"/>
        <w:autoSpaceDN w:val="0"/>
        <w:adjustRightInd w:val="0"/>
        <w:spacing w:line="360" w:lineRule="auto"/>
        <w:ind w:firstLine="720"/>
        <w:jc w:val="both"/>
      </w:pPr>
      <w:r w:rsidRPr="001A4DB1">
        <w:t xml:space="preserve">result as </w:t>
      </w:r>
      <w:r>
        <w:t>Analyte</w:t>
      </w:r>
      <w:r w:rsidRPr="001A4DB1">
        <w:t xml:space="preserve"> Positive, </w:t>
      </w:r>
      <w:r>
        <w:t>Analyte</w:t>
      </w:r>
      <w:r w:rsidRPr="001A4DB1">
        <w:t xml:space="preserve"> Negative, or TEST Invalid on the LCD screen.  The </w:t>
      </w:r>
    </w:p>
    <w:p w14:paraId="7D6DA326" w14:textId="0E8B7847" w:rsidR="008130F8" w:rsidRPr="001A4DB1" w:rsidRDefault="008130F8" w:rsidP="00694727">
      <w:pPr>
        <w:autoSpaceDE w:val="0"/>
        <w:autoSpaceDN w:val="0"/>
        <w:adjustRightInd w:val="0"/>
        <w:spacing w:line="360" w:lineRule="auto"/>
        <w:ind w:firstLine="720"/>
        <w:jc w:val="both"/>
      </w:pPr>
      <w:r w:rsidRPr="001A4DB1">
        <w:t xml:space="preserve">result </w:t>
      </w:r>
      <w:proofErr w:type="gramStart"/>
      <w:r>
        <w:t>are</w:t>
      </w:r>
      <w:proofErr w:type="gramEnd"/>
      <w:r>
        <w:t xml:space="preserve"> </w:t>
      </w:r>
      <w:r w:rsidRPr="001A4DB1">
        <w:t xml:space="preserve">printed out on an </w:t>
      </w:r>
      <w:r>
        <w:t>internal</w:t>
      </w:r>
      <w:r w:rsidRPr="001A4DB1">
        <w:t xml:space="preserve"> printer. </w:t>
      </w:r>
      <w:r w:rsidRPr="001A4DB1">
        <w:tab/>
      </w:r>
    </w:p>
    <w:p w14:paraId="49F9A5CD" w14:textId="77777777" w:rsidR="008130F8" w:rsidRDefault="008130F8" w:rsidP="00D40E7C">
      <w:pPr>
        <w:spacing w:line="360" w:lineRule="auto"/>
        <w:jc w:val="both"/>
        <w:rPr>
          <w:rFonts w:ascii="SimSun" w:eastAsia="SimSun" w:hAnsi="SimSun" w:cs="SimSun" w:hint="eastAsia"/>
          <w:b/>
          <w:bCs/>
          <w:color w:val="000000" w:themeColor="text1"/>
        </w:rPr>
      </w:pPr>
    </w:p>
    <w:p w14:paraId="277B1692" w14:textId="66B18B2E" w:rsidR="006A59BE" w:rsidRPr="00D40E7C" w:rsidRDefault="006A59BE" w:rsidP="009100B7">
      <w:pPr>
        <w:spacing w:line="480" w:lineRule="auto"/>
        <w:ind w:left="720"/>
        <w:jc w:val="both"/>
        <w:rPr>
          <w:rFonts w:eastAsia="SimSun"/>
          <w:b/>
          <w:bCs/>
          <w:color w:val="000000" w:themeColor="text1"/>
        </w:rPr>
      </w:pPr>
      <w:r w:rsidRPr="00D40E7C">
        <w:rPr>
          <w:rFonts w:eastAsia="SimSun"/>
          <w:b/>
          <w:bCs/>
          <w:color w:val="000000" w:themeColor="text1"/>
        </w:rPr>
        <w:t>3. Result</w:t>
      </w:r>
    </w:p>
    <w:p w14:paraId="204F5911" w14:textId="0B22F06A" w:rsidR="006A59BE" w:rsidRPr="00D40E7C" w:rsidRDefault="00D40E7C" w:rsidP="009100B7">
      <w:pPr>
        <w:spacing w:line="480" w:lineRule="auto"/>
        <w:ind w:left="720"/>
        <w:jc w:val="both"/>
        <w:rPr>
          <w:rFonts w:eastAsia="SimSun"/>
          <w:b/>
          <w:bCs/>
          <w:color w:val="000000" w:themeColor="text1"/>
        </w:rPr>
      </w:pPr>
      <w:r>
        <w:rPr>
          <w:rFonts w:eastAsia="SimSun" w:hint="eastAsia"/>
          <w:b/>
          <w:bCs/>
          <w:color w:val="000000" w:themeColor="text1"/>
        </w:rPr>
        <w:t>3.1. Development</w:t>
      </w:r>
      <w:r w:rsidR="006A59BE" w:rsidRPr="00D40E7C">
        <w:rPr>
          <w:rFonts w:eastAsia="SimSun"/>
          <w:b/>
          <w:bCs/>
          <w:color w:val="000000" w:themeColor="text1"/>
        </w:rPr>
        <w:t xml:space="preserve"> </w:t>
      </w:r>
      <w:r w:rsidR="0013316B">
        <w:rPr>
          <w:rFonts w:eastAsia="SimSun" w:hint="eastAsia"/>
          <w:b/>
          <w:bCs/>
          <w:color w:val="000000" w:themeColor="text1"/>
        </w:rPr>
        <w:t xml:space="preserve">and procedure </w:t>
      </w:r>
      <w:r w:rsidR="006A59BE" w:rsidRPr="00D40E7C">
        <w:rPr>
          <w:rFonts w:eastAsia="SimSun"/>
          <w:b/>
          <w:bCs/>
          <w:color w:val="000000" w:themeColor="text1"/>
        </w:rPr>
        <w:t xml:space="preserve">of the combined </w:t>
      </w:r>
      <w:r w:rsidR="0013316B">
        <w:rPr>
          <w:rFonts w:eastAsia="SimSun" w:hint="eastAsia"/>
          <w:b/>
          <w:bCs/>
          <w:color w:val="000000" w:themeColor="text1"/>
        </w:rPr>
        <w:t xml:space="preserve">dual </w:t>
      </w:r>
      <w:r w:rsidR="00B96395" w:rsidRPr="00D40E7C">
        <w:rPr>
          <w:rFonts w:eastAsia="SimSun"/>
          <w:b/>
          <w:bCs/>
          <w:color w:val="000000" w:themeColor="text1"/>
        </w:rPr>
        <w:t xml:space="preserve">LFIA–CL </w:t>
      </w:r>
      <w:r w:rsidR="003A6DB3" w:rsidRPr="00D40E7C">
        <w:rPr>
          <w:rFonts w:eastAsia="SimSun"/>
          <w:b/>
          <w:bCs/>
          <w:color w:val="000000" w:themeColor="text1"/>
        </w:rPr>
        <w:t>EIA</w:t>
      </w:r>
      <w:r w:rsidR="003A6DB3" w:rsidRPr="00D40E7C">
        <w:rPr>
          <w:rFonts w:eastAsia="SimSun"/>
          <w:color w:val="000000" w:themeColor="text1"/>
        </w:rPr>
        <w:t xml:space="preserve"> </w:t>
      </w:r>
      <w:r w:rsidR="006A59BE" w:rsidRPr="00D40E7C">
        <w:rPr>
          <w:rFonts w:eastAsia="SimSun"/>
          <w:b/>
          <w:bCs/>
          <w:color w:val="000000" w:themeColor="text1"/>
        </w:rPr>
        <w:t>assay</w:t>
      </w:r>
    </w:p>
    <w:p w14:paraId="0E8FAAE2" w14:textId="2374F07E" w:rsidR="006A59BE" w:rsidRPr="00D40E7C" w:rsidRDefault="006A59BE" w:rsidP="006A59BE">
      <w:pPr>
        <w:spacing w:line="360" w:lineRule="auto"/>
        <w:ind w:left="720"/>
        <w:jc w:val="both"/>
        <w:rPr>
          <w:rFonts w:eastAsia="SimSun"/>
          <w:color w:val="000000" w:themeColor="text1"/>
        </w:rPr>
      </w:pPr>
      <w:r w:rsidRPr="00D40E7C">
        <w:rPr>
          <w:rFonts w:eastAsia="SimSun"/>
          <w:color w:val="000000" w:themeColor="text1"/>
        </w:rPr>
        <w:t xml:space="preserve">The combined lateral flow immunoassay (LFIA)–chemiluminescence (CL) test was developed to provide a rapid, field‑appropriate diagnostic for detection of antibodies to Equine Infectious Anemia Virus (EIAV) in serum from horses, donkeys, and mules. A double‑antigen sandwich format was selected to detect anti‑EIAV immunoglobulins with high specificity: a recombinant fusion antigen incorporating immunodominant epitopes of EIAV proteins was immobilized at the test line (capture reagent) and was also used as the detector reagent dually conjugated to colloidal gold and horseradish peroxidase (HRP). This design permits an immediate visual readout via colloidal gold accumulation at the test line and a sensitive chemiluminescent readout following enzymatic substrate addition, allowing qualitative detection by NDT's </w:t>
      </w:r>
      <w:r w:rsidRPr="00D40E7C">
        <w:rPr>
          <w:rFonts w:eastAsia="SimSun"/>
          <w:color w:val="000000" w:themeColor="text1"/>
        </w:rPr>
        <w:t>proprietary</w:t>
      </w:r>
      <w:r w:rsidRPr="00D40E7C">
        <w:rPr>
          <w:rFonts w:eastAsia="SimSun"/>
          <w:color w:val="000000" w:themeColor="text1"/>
        </w:rPr>
        <w:t xml:space="preserve"> portable CL analyzer in under 30 minutes</w:t>
      </w:r>
      <w:r w:rsidRPr="00D40E7C">
        <w:rPr>
          <w:rFonts w:eastAsia="SimSun"/>
          <w:color w:val="000000" w:themeColor="text1"/>
        </w:rPr>
        <w:t xml:space="preserve"> (See </w:t>
      </w:r>
      <w:r w:rsidR="00121B20" w:rsidRPr="0013316B">
        <w:rPr>
          <w:rFonts w:eastAsia="SimSun"/>
          <w:b/>
          <w:bCs/>
          <w:color w:val="000000" w:themeColor="text1"/>
        </w:rPr>
        <w:t>Fig.1</w:t>
      </w:r>
      <w:r w:rsidRPr="00D40E7C">
        <w:rPr>
          <w:rFonts w:eastAsia="SimSun"/>
          <w:color w:val="000000" w:themeColor="text1"/>
        </w:rPr>
        <w:t xml:space="preserve"> below)</w:t>
      </w:r>
      <w:r w:rsidRPr="00D40E7C">
        <w:rPr>
          <w:rFonts w:eastAsia="SimSun"/>
          <w:color w:val="000000" w:themeColor="text1"/>
        </w:rPr>
        <w:t>.</w:t>
      </w:r>
    </w:p>
    <w:p w14:paraId="59DDF8DA" w14:textId="389B663C" w:rsidR="006A59BE" w:rsidRDefault="006A59BE" w:rsidP="006A59BE">
      <w:pPr>
        <w:spacing w:line="360" w:lineRule="auto"/>
        <w:ind w:left="720"/>
        <w:jc w:val="both"/>
        <w:rPr>
          <w:rFonts w:ascii="SimSun" w:eastAsia="SimSun" w:hAnsi="SimSun" w:cs="SimSun"/>
          <w:b/>
          <w:bCs/>
          <w:color w:val="000000" w:themeColor="text1"/>
        </w:rPr>
      </w:pPr>
    </w:p>
    <w:p w14:paraId="1013B7B6" w14:textId="5E6C7C3B" w:rsidR="006A59BE" w:rsidRDefault="00D40E7C" w:rsidP="006A59BE">
      <w:pPr>
        <w:spacing w:line="360" w:lineRule="auto"/>
        <w:ind w:left="720"/>
        <w:jc w:val="both"/>
        <w:rPr>
          <w:rFonts w:ascii="SimSun" w:eastAsia="SimSun" w:hAnsi="SimSun" w:cs="SimSun"/>
          <w:b/>
          <w:bCs/>
          <w:color w:val="000000" w:themeColor="text1"/>
        </w:rPr>
      </w:pPr>
      <w:r w:rsidRPr="00D40E7C">
        <w:rPr>
          <w:rFonts w:ascii="SimSun" w:eastAsia="SimSun" w:hAnsi="SimSun" w:cs="SimSun"/>
          <w:b/>
          <w:bCs/>
          <w:color w:val="000000" w:themeColor="text1"/>
        </w:rPr>
        <w:drawing>
          <wp:inline distT="0" distB="0" distL="0" distR="0" wp14:anchorId="02E6C67E" wp14:editId="317A5596">
            <wp:extent cx="5389689" cy="2727158"/>
            <wp:effectExtent l="0" t="0" r="0" b="0"/>
            <wp:docPr id="1418727780" name="Picture 1" descr="A close-up of several different types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27780" name="Picture 1" descr="A close-up of several different types of data&#10;&#10;AI-generated content may be incorrect."/>
                    <pic:cNvPicPr/>
                  </pic:nvPicPr>
                  <pic:blipFill rotWithShape="1">
                    <a:blip r:embed="rId7"/>
                    <a:srcRect b="24161"/>
                    <a:stretch>
                      <a:fillRect/>
                    </a:stretch>
                  </pic:blipFill>
                  <pic:spPr bwMode="auto">
                    <a:xfrm>
                      <a:off x="0" y="0"/>
                      <a:ext cx="5467172" cy="2766364"/>
                    </a:xfrm>
                    <a:prstGeom prst="rect">
                      <a:avLst/>
                    </a:prstGeom>
                    <a:ln>
                      <a:noFill/>
                    </a:ln>
                    <a:extLst>
                      <a:ext uri="{53640926-AAD7-44D8-BBD7-CCE9431645EC}">
                        <a14:shadowObscured xmlns:a14="http://schemas.microsoft.com/office/drawing/2010/main"/>
                      </a:ext>
                    </a:extLst>
                  </pic:spPr>
                </pic:pic>
              </a:graphicData>
            </a:graphic>
          </wp:inline>
        </w:drawing>
      </w:r>
    </w:p>
    <w:p w14:paraId="3BD96F9F" w14:textId="5A26082D" w:rsidR="0033315F" w:rsidRPr="0033315F" w:rsidRDefault="0033315F" w:rsidP="0033315F">
      <w:pPr>
        <w:spacing w:line="360" w:lineRule="auto"/>
        <w:ind w:left="720"/>
        <w:jc w:val="both"/>
        <w:rPr>
          <w:rFonts w:eastAsia="SimSun"/>
          <w:color w:val="000000" w:themeColor="text1"/>
        </w:rPr>
      </w:pPr>
      <w:r w:rsidRPr="0033315F">
        <w:rPr>
          <w:rFonts w:eastAsia="SimSun"/>
          <w:b/>
          <w:bCs/>
          <w:color w:val="000000" w:themeColor="text1"/>
        </w:rPr>
        <w:lastRenderedPageBreak/>
        <w:t>Figure 1. Schematic diagram of immunochromatographic LFIA/CL combined test to detect antibodies against EIAV.</w:t>
      </w:r>
      <w:r w:rsidRPr="0033315F">
        <w:rPr>
          <w:rFonts w:ascii="SimSun" w:eastAsia="SimSun" w:hAnsi="SimSun" w:cs="SimSun"/>
          <w:b/>
          <w:bCs/>
          <w:color w:val="000000" w:themeColor="text1"/>
        </w:rPr>
        <w:t xml:space="preserve"> </w:t>
      </w:r>
      <w:r w:rsidRPr="0033315F">
        <w:rPr>
          <w:rFonts w:eastAsia="SimSun"/>
          <w:color w:val="000000" w:themeColor="text1"/>
        </w:rPr>
        <w:t xml:space="preserve">If there </w:t>
      </w:r>
      <w:proofErr w:type="gramStart"/>
      <w:r w:rsidRPr="0033315F">
        <w:rPr>
          <w:rFonts w:eastAsia="SimSun"/>
          <w:color w:val="000000" w:themeColor="text1"/>
        </w:rPr>
        <w:t>is</w:t>
      </w:r>
      <w:proofErr w:type="gramEnd"/>
      <w:r w:rsidRPr="0033315F">
        <w:rPr>
          <w:rFonts w:eastAsia="SimSun"/>
          <w:color w:val="000000" w:themeColor="text1"/>
        </w:rPr>
        <w:t xml:space="preserve"> enough EIA antibodies in the sample, a visible T line will appear </w:t>
      </w:r>
      <w:proofErr w:type="gramStart"/>
      <w:r w:rsidRPr="0033315F">
        <w:rPr>
          <w:rFonts w:eastAsia="SimSun"/>
          <w:color w:val="000000" w:themeColor="text1"/>
        </w:rPr>
        <w:t>and also</w:t>
      </w:r>
      <w:proofErr w:type="gramEnd"/>
      <w:r w:rsidRPr="0033315F">
        <w:rPr>
          <w:rFonts w:eastAsia="SimSun"/>
          <w:color w:val="000000" w:themeColor="text1"/>
        </w:rPr>
        <w:t xml:space="preserve"> its light signal can be qualitatively read-out by </w:t>
      </w:r>
      <w:r w:rsidRPr="0033315F">
        <w:rPr>
          <w:rFonts w:eastAsia="SimSun"/>
          <w:color w:val="000000" w:themeColor="text1"/>
        </w:rPr>
        <w:t>detector</w:t>
      </w:r>
      <w:r w:rsidRPr="0033315F">
        <w:rPr>
          <w:rFonts w:eastAsia="SimSun"/>
          <w:color w:val="000000" w:themeColor="text1"/>
        </w:rPr>
        <w:t xml:space="preserve">. </w:t>
      </w:r>
    </w:p>
    <w:p w14:paraId="3F15A4DC" w14:textId="77777777" w:rsidR="0033315F" w:rsidRDefault="0033315F" w:rsidP="006A59BE">
      <w:pPr>
        <w:spacing w:line="360" w:lineRule="auto"/>
        <w:ind w:left="720"/>
        <w:jc w:val="both"/>
        <w:rPr>
          <w:rFonts w:ascii="SimSun" w:eastAsia="SimSun" w:hAnsi="SimSun" w:cs="SimSun" w:hint="eastAsia"/>
          <w:b/>
          <w:bCs/>
          <w:color w:val="000000" w:themeColor="text1"/>
        </w:rPr>
      </w:pPr>
    </w:p>
    <w:p w14:paraId="691C11EB" w14:textId="45F540EB" w:rsidR="0013316B" w:rsidRPr="0013316B" w:rsidRDefault="0013316B" w:rsidP="0013316B">
      <w:pPr>
        <w:spacing w:line="480" w:lineRule="auto"/>
        <w:ind w:left="720"/>
        <w:jc w:val="both"/>
        <w:rPr>
          <w:rFonts w:eastAsia="SimSun"/>
          <w:color w:val="000000" w:themeColor="text1"/>
        </w:rPr>
      </w:pPr>
      <w:r w:rsidRPr="0013316B">
        <w:rPr>
          <w:rFonts w:eastAsia="SimSun"/>
          <w:color w:val="000000" w:themeColor="text1"/>
        </w:rPr>
        <w:t xml:space="preserve">Serum samples were applied directly to the sample well (typical volume 20–40 </w:t>
      </w:r>
      <w:proofErr w:type="spellStart"/>
      <w:r w:rsidRPr="0013316B">
        <w:rPr>
          <w:rFonts w:eastAsia="SimSun"/>
          <w:color w:val="000000" w:themeColor="text1"/>
        </w:rPr>
        <w:t>μL</w:t>
      </w:r>
      <w:proofErr w:type="spellEnd"/>
      <w:r w:rsidRPr="0013316B">
        <w:rPr>
          <w:rFonts w:eastAsia="SimSun"/>
          <w:color w:val="000000" w:themeColor="text1"/>
        </w:rPr>
        <w:t xml:space="preserve">), followed by </w:t>
      </w:r>
      <w:r>
        <w:rPr>
          <w:rFonts w:eastAsia="SimSun" w:hint="eastAsia"/>
          <w:color w:val="000000" w:themeColor="text1"/>
        </w:rPr>
        <w:t>the addition</w:t>
      </w:r>
      <w:r w:rsidRPr="0013316B">
        <w:rPr>
          <w:rFonts w:eastAsia="SimSun"/>
          <w:color w:val="000000" w:themeColor="text1"/>
        </w:rPr>
        <w:t xml:space="preserve"> of running buffer (to a standardized final volume). The test was allowed to run laterally for a visually observed time (typically 10–20 minutes); a visible red/purple T line indicated the presence of specific anti‑EIAV antibodies due to colloidal gold accumulation. For chemiluminescent detection, CL substrate was added to the cassette at the designated time </w:t>
      </w:r>
      <w:proofErr w:type="gramStart"/>
      <w:r w:rsidRPr="0013316B">
        <w:rPr>
          <w:rFonts w:eastAsia="SimSun"/>
          <w:color w:val="000000" w:themeColor="text1"/>
        </w:rPr>
        <w:t>point</w:t>
      </w:r>
      <w:proofErr w:type="gramEnd"/>
      <w:r w:rsidRPr="0013316B">
        <w:rPr>
          <w:rFonts w:eastAsia="SimSun"/>
          <w:color w:val="000000" w:themeColor="text1"/>
        </w:rPr>
        <w:t xml:space="preserve"> and the cassette was inserted into NDT’s </w:t>
      </w:r>
      <w:r w:rsidRPr="0013316B">
        <w:rPr>
          <w:rFonts w:eastAsia="SimSun"/>
          <w:color w:val="000000" w:themeColor="text1"/>
        </w:rPr>
        <w:t xml:space="preserve">proprietary </w:t>
      </w:r>
      <w:r w:rsidRPr="0013316B">
        <w:rPr>
          <w:rFonts w:eastAsia="SimSun"/>
          <w:color w:val="000000" w:themeColor="text1"/>
        </w:rPr>
        <w:t xml:space="preserve">portable </w:t>
      </w:r>
      <w:r w:rsidR="008F62F8">
        <w:rPr>
          <w:rFonts w:eastAsia="SimSun" w:hint="eastAsia"/>
          <w:color w:val="000000" w:themeColor="text1"/>
        </w:rPr>
        <w:t>analyzer.</w:t>
      </w:r>
      <w:r w:rsidRPr="008F62F8">
        <w:rPr>
          <w:rFonts w:eastAsia="SimSun"/>
          <w:color w:val="000000" w:themeColor="text1"/>
        </w:rPr>
        <w:t xml:space="preserve"> The detector measured emitted light over a defined integration interval and</w:t>
      </w:r>
      <w:r w:rsidRPr="0013316B">
        <w:rPr>
          <w:rFonts w:eastAsia="SimSun"/>
          <w:color w:val="000000" w:themeColor="text1"/>
        </w:rPr>
        <w:t xml:space="preserve"> reported either a qualitative positive/negative result using a pre‑established threshold or a relative light unit (RLU) value for research/quantitative comparisons. </w:t>
      </w:r>
      <w:r>
        <w:rPr>
          <w:rFonts w:eastAsia="SimSun" w:hint="eastAsia"/>
          <w:color w:val="000000" w:themeColor="text1"/>
        </w:rPr>
        <w:t>The entire</w:t>
      </w:r>
      <w:r w:rsidRPr="0013316B">
        <w:rPr>
          <w:rFonts w:eastAsia="SimSun"/>
          <w:color w:val="000000" w:themeColor="text1"/>
        </w:rPr>
        <w:t xml:space="preserve"> assay time (sample addition to CL readout) was maintained under 30 minutes in routine operation.</w:t>
      </w:r>
    </w:p>
    <w:p w14:paraId="484BF882" w14:textId="3814B62B" w:rsidR="006B19DE" w:rsidRPr="008F62F8" w:rsidRDefault="008F62F8" w:rsidP="008F62F8">
      <w:pPr>
        <w:spacing w:line="480" w:lineRule="auto"/>
        <w:ind w:left="720"/>
        <w:jc w:val="both"/>
        <w:rPr>
          <w:rFonts w:eastAsia="SimSun"/>
          <w:b/>
          <w:bCs/>
          <w:color w:val="000000" w:themeColor="text1"/>
        </w:rPr>
      </w:pPr>
      <w:r>
        <w:rPr>
          <w:rFonts w:eastAsia="SimSun" w:hint="eastAsia"/>
          <w:b/>
          <w:bCs/>
          <w:color w:val="000000" w:themeColor="text1"/>
        </w:rPr>
        <w:t>3.2. Antigen</w:t>
      </w:r>
      <w:r w:rsidR="006B19DE" w:rsidRPr="008F62F8">
        <w:rPr>
          <w:rFonts w:eastAsia="SimSun"/>
          <w:b/>
          <w:bCs/>
          <w:color w:val="000000" w:themeColor="text1"/>
        </w:rPr>
        <w:t xml:space="preserve"> performance and </w:t>
      </w:r>
      <w:r w:rsidR="009100B7">
        <w:rPr>
          <w:rFonts w:eastAsia="SimSun" w:hint="eastAsia"/>
          <w:b/>
          <w:bCs/>
          <w:color w:val="000000" w:themeColor="text1"/>
        </w:rPr>
        <w:t xml:space="preserve">dual </w:t>
      </w:r>
      <w:r w:rsidR="003A6DB3" w:rsidRPr="008F62F8">
        <w:rPr>
          <w:rFonts w:eastAsia="SimSun"/>
          <w:b/>
          <w:bCs/>
          <w:color w:val="000000" w:themeColor="text1"/>
        </w:rPr>
        <w:t xml:space="preserve">LFIA–CL EIA </w:t>
      </w:r>
      <w:r w:rsidR="006B19DE" w:rsidRPr="008F62F8">
        <w:rPr>
          <w:rFonts w:eastAsia="SimSun"/>
          <w:b/>
          <w:bCs/>
          <w:color w:val="000000" w:themeColor="text1"/>
        </w:rPr>
        <w:t>assay format</w:t>
      </w:r>
    </w:p>
    <w:p w14:paraId="2589802D" w14:textId="7C29576C" w:rsidR="006B19DE" w:rsidRDefault="006B19DE" w:rsidP="008F62F8">
      <w:pPr>
        <w:spacing w:line="480" w:lineRule="auto"/>
        <w:ind w:left="720"/>
        <w:jc w:val="both"/>
        <w:rPr>
          <w:rFonts w:eastAsia="SimSun"/>
          <w:color w:val="000000" w:themeColor="text1"/>
        </w:rPr>
      </w:pPr>
      <w:r w:rsidRPr="008F62F8">
        <w:rPr>
          <w:rFonts w:eastAsia="SimSun"/>
          <w:color w:val="000000" w:themeColor="text1"/>
        </w:rPr>
        <w:t xml:space="preserve">The recombinant fusion antigen functioned effectively both as </w:t>
      </w:r>
      <w:r w:rsidR="008F62F8">
        <w:rPr>
          <w:rFonts w:eastAsia="SimSun" w:hint="eastAsia"/>
          <w:color w:val="000000" w:themeColor="text1"/>
        </w:rPr>
        <w:t>an immobilized</w:t>
      </w:r>
      <w:r w:rsidRPr="008F62F8">
        <w:rPr>
          <w:rFonts w:eastAsia="SimSun"/>
          <w:color w:val="000000" w:themeColor="text1"/>
        </w:rPr>
        <w:t xml:space="preserve"> capture reagent and as </w:t>
      </w:r>
      <w:r w:rsidR="008F62F8">
        <w:rPr>
          <w:rFonts w:eastAsia="SimSun" w:hint="eastAsia"/>
          <w:color w:val="000000" w:themeColor="text1"/>
        </w:rPr>
        <w:t>a labeled</w:t>
      </w:r>
      <w:r w:rsidRPr="008F62F8">
        <w:rPr>
          <w:rFonts w:eastAsia="SimSun"/>
          <w:color w:val="000000" w:themeColor="text1"/>
        </w:rPr>
        <w:t xml:space="preserve"> detector reagent in the double‑antigen sandwich format. The dual use of the same antigen on </w:t>
      </w:r>
      <w:r w:rsidR="008F62F8">
        <w:rPr>
          <w:rFonts w:eastAsia="SimSun" w:hint="eastAsia"/>
          <w:color w:val="000000" w:themeColor="text1"/>
        </w:rPr>
        <w:t>the test</w:t>
      </w:r>
      <w:r w:rsidRPr="008F62F8">
        <w:rPr>
          <w:rFonts w:eastAsia="SimSun"/>
          <w:color w:val="000000" w:themeColor="text1"/>
        </w:rPr>
        <w:t xml:space="preserve"> and conjugate allowed robust capture of polyclonal anti‑EIAV antibodies via simultaneous binding of multiple paratopes, improving specificity for EIAV‑directed antibodies versus single‑epitope cross‑reactivity</w:t>
      </w:r>
      <w:r w:rsidR="00255F8A">
        <w:rPr>
          <w:rFonts w:eastAsia="SimSun" w:hint="eastAsia"/>
          <w:color w:val="000000" w:themeColor="text1"/>
        </w:rPr>
        <w:t xml:space="preserve"> (see Fig. 2 and Table 1 below)</w:t>
      </w:r>
      <w:r w:rsidRPr="008F62F8">
        <w:rPr>
          <w:rFonts w:eastAsia="SimSun"/>
          <w:color w:val="000000" w:themeColor="text1"/>
        </w:rPr>
        <w:t>.</w:t>
      </w:r>
    </w:p>
    <w:p w14:paraId="32D1666F" w14:textId="04E76276" w:rsidR="008F62F8" w:rsidRPr="006B19DE" w:rsidRDefault="008F62F8" w:rsidP="008F62F8">
      <w:pPr>
        <w:spacing w:line="360" w:lineRule="auto"/>
        <w:ind w:left="720"/>
        <w:jc w:val="both"/>
        <w:rPr>
          <w:rFonts w:ascii="SimSun" w:eastAsia="SimSun" w:hAnsi="SimSun" w:cs="SimSun" w:hint="eastAsia"/>
          <w:color w:val="000000" w:themeColor="text1"/>
        </w:rPr>
      </w:pPr>
      <w:r>
        <w:rPr>
          <w:rFonts w:ascii="SimSun" w:eastAsia="SimSun" w:hAnsi="SimSun" w:cs="SimSun" w:hint="eastAsia"/>
          <w:color w:val="000000" w:themeColor="text1"/>
        </w:rPr>
        <w:lastRenderedPageBreak/>
        <w:t xml:space="preserve">   </w:t>
      </w:r>
      <w:r>
        <w:rPr>
          <w:rFonts w:ascii="SimSun" w:eastAsia="SimSun" w:hAnsi="SimSun" w:cs="SimSun" w:hint="eastAsia"/>
          <w:color w:val="000000" w:themeColor="text1"/>
        </w:rPr>
        <w:t xml:space="preserve"> </w:t>
      </w:r>
      <w:r>
        <w:rPr>
          <w:rFonts w:ascii="SimSun" w:eastAsia="SimSun" w:hAnsi="SimSun" w:cs="SimSun" w:hint="eastAsia"/>
          <w:color w:val="000000" w:themeColor="text1"/>
        </w:rPr>
        <w:t xml:space="preserve">    </w:t>
      </w:r>
      <w:r w:rsidRPr="008F62F8">
        <w:rPr>
          <w:rFonts w:ascii="SimSun" w:eastAsia="SimSun" w:hAnsi="SimSun" w:cs="SimSun"/>
          <w:color w:val="000000" w:themeColor="text1"/>
        </w:rPr>
        <w:drawing>
          <wp:inline distT="0" distB="0" distL="0" distR="0" wp14:anchorId="6B086009" wp14:editId="3B5925D7">
            <wp:extent cx="3999230" cy="2503805"/>
            <wp:effectExtent l="0" t="0" r="1270" b="0"/>
            <wp:docPr id="4" name="Picture 3">
              <a:extLst xmlns:a="http://schemas.openxmlformats.org/drawingml/2006/main">
                <a:ext uri="{FF2B5EF4-FFF2-40B4-BE49-F238E27FC236}">
                  <a16:creationId xmlns:a16="http://schemas.microsoft.com/office/drawing/2014/main" id="{0AABF40A-1F52-D8F0-F8EE-90A8BDC0C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AABF40A-1F52-D8F0-F8EE-90A8BDC0CEE0}"/>
                        </a:ext>
                      </a:extLst>
                    </pic:cNvPr>
                    <pic:cNvPicPr>
                      <a:picLocks noChangeAspect="1"/>
                    </pic:cNvPicPr>
                  </pic:nvPicPr>
                  <pic:blipFill>
                    <a:blip r:embed="rId8"/>
                    <a:stretch>
                      <a:fillRect/>
                    </a:stretch>
                  </pic:blipFill>
                  <pic:spPr>
                    <a:xfrm>
                      <a:off x="0" y="0"/>
                      <a:ext cx="3999230" cy="2503805"/>
                    </a:xfrm>
                    <a:prstGeom prst="rect">
                      <a:avLst/>
                    </a:prstGeom>
                  </pic:spPr>
                </pic:pic>
              </a:graphicData>
            </a:graphic>
          </wp:inline>
        </w:drawing>
      </w:r>
    </w:p>
    <w:p w14:paraId="758425AC" w14:textId="77777777" w:rsidR="0033315F" w:rsidRDefault="0033315F" w:rsidP="008F62F8">
      <w:pPr>
        <w:spacing w:line="360" w:lineRule="auto"/>
        <w:ind w:left="720"/>
        <w:jc w:val="both"/>
        <w:rPr>
          <w:b/>
          <w:bCs/>
          <w:shd w:val="clear" w:color="auto" w:fill="FFFFFF"/>
        </w:rPr>
      </w:pPr>
      <w:r>
        <w:rPr>
          <w:rFonts w:hint="eastAsia"/>
          <w:b/>
          <w:bCs/>
          <w:shd w:val="clear" w:color="auto" w:fill="FFFFFF"/>
        </w:rPr>
        <w:t xml:space="preserve">                 </w:t>
      </w:r>
      <w:r w:rsidR="008F62F8" w:rsidRPr="008F62F8">
        <w:rPr>
          <w:rFonts w:hint="eastAsia"/>
          <w:b/>
          <w:bCs/>
          <w:shd w:val="clear" w:color="auto" w:fill="FFFFFF"/>
        </w:rPr>
        <w:t xml:space="preserve">Figure </w:t>
      </w:r>
      <w:r w:rsidR="008F62F8">
        <w:rPr>
          <w:rFonts w:hint="eastAsia"/>
          <w:b/>
          <w:bCs/>
          <w:shd w:val="clear" w:color="auto" w:fill="FFFFFF"/>
        </w:rPr>
        <w:t>2. The</w:t>
      </w:r>
      <w:r w:rsidR="008F62F8" w:rsidRPr="008F62F8">
        <w:rPr>
          <w:b/>
          <w:bCs/>
          <w:shd w:val="clear" w:color="auto" w:fill="FFFFFF"/>
        </w:rPr>
        <w:t xml:space="preserve"> three typical results for the rapid EIA antibody test </w:t>
      </w:r>
    </w:p>
    <w:p w14:paraId="265376FC" w14:textId="34CD7745" w:rsidR="008F62F8" w:rsidRDefault="0033315F" w:rsidP="0033315F">
      <w:pPr>
        <w:spacing w:line="360" w:lineRule="auto"/>
        <w:ind w:left="720"/>
        <w:jc w:val="both"/>
        <w:rPr>
          <w:b/>
          <w:bCs/>
          <w:shd w:val="clear" w:color="auto" w:fill="FFFFFF"/>
        </w:rPr>
      </w:pPr>
      <w:r>
        <w:rPr>
          <w:rFonts w:hint="eastAsia"/>
          <w:b/>
          <w:bCs/>
          <w:shd w:val="clear" w:color="auto" w:fill="FFFFFF"/>
        </w:rPr>
        <w:t xml:space="preserve">                 </w:t>
      </w:r>
      <w:r w:rsidR="008F62F8" w:rsidRPr="008F62F8">
        <w:rPr>
          <w:b/>
          <w:bCs/>
          <w:shd w:val="clear" w:color="auto" w:fill="FFFFFF"/>
        </w:rPr>
        <w:t xml:space="preserve">are shown in </w:t>
      </w:r>
      <w:r w:rsidR="008F62F8" w:rsidRPr="008F62F8">
        <w:rPr>
          <w:rFonts w:hint="eastAsia"/>
          <w:b/>
          <w:bCs/>
          <w:shd w:val="clear" w:color="auto" w:fill="FFFFFF"/>
        </w:rPr>
        <w:t>combination with</w:t>
      </w:r>
      <w:r w:rsidR="008F62F8" w:rsidRPr="008F62F8">
        <w:rPr>
          <w:b/>
          <w:bCs/>
          <w:shd w:val="clear" w:color="auto" w:fill="FFFFFF"/>
        </w:rPr>
        <w:t xml:space="preserve"> LFIA and CL tests</w:t>
      </w:r>
      <w:r w:rsidR="008F62F8" w:rsidRPr="008F62F8">
        <w:rPr>
          <w:rFonts w:hint="eastAsia"/>
          <w:b/>
          <w:bCs/>
          <w:shd w:val="clear" w:color="auto" w:fill="FFFFFF"/>
        </w:rPr>
        <w:t>.</w:t>
      </w:r>
    </w:p>
    <w:p w14:paraId="5135827D" w14:textId="45F3E2EE" w:rsidR="00255F8A" w:rsidRPr="00255F8A" w:rsidRDefault="00255F8A" w:rsidP="008F62F8">
      <w:pPr>
        <w:spacing w:line="360" w:lineRule="auto"/>
        <w:ind w:left="720"/>
        <w:jc w:val="both"/>
        <w:rPr>
          <w:rFonts w:ascii="SimSun" w:eastAsia="SimSun" w:hAnsi="SimSun" w:cs="SimSun" w:hint="eastAsia"/>
          <w:b/>
          <w:bCs/>
          <w:color w:val="EE0000"/>
        </w:rPr>
      </w:pPr>
      <w:r w:rsidRPr="00255F8A">
        <w:rPr>
          <w:rFonts w:hint="eastAsia"/>
          <w:b/>
          <w:bCs/>
          <w:color w:val="EE0000"/>
          <w:shd w:val="clear" w:color="auto" w:fill="FFFFFF"/>
        </w:rPr>
        <w:t>XXX</w:t>
      </w:r>
      <w:r w:rsidRPr="00255F8A">
        <w:rPr>
          <w:b/>
          <w:bCs/>
          <w:color w:val="EE0000"/>
          <w:shd w:val="clear" w:color="auto" w:fill="FFFFFF"/>
        </w:rPr>
        <w:t>…</w:t>
      </w:r>
    </w:p>
    <w:p w14:paraId="14FC6C3F" w14:textId="69CD415D" w:rsidR="008F62F8" w:rsidRPr="008F62F8" w:rsidRDefault="00255F8A" w:rsidP="008F62F8">
      <w:pPr>
        <w:spacing w:line="480" w:lineRule="auto"/>
        <w:ind w:left="720"/>
        <w:jc w:val="both"/>
        <w:rPr>
          <w:rFonts w:eastAsia="SimSun" w:hint="eastAsia"/>
          <w:color w:val="000000" w:themeColor="text1"/>
        </w:rPr>
      </w:pPr>
      <w:r w:rsidRPr="00956176">
        <w:rPr>
          <w:rFonts w:ascii="SimSun" w:eastAsia="SimSun" w:hAnsi="SimSun" w:cs="SimSun"/>
          <w:color w:val="000000" w:themeColor="text1"/>
        </w:rPr>
        <w:drawing>
          <wp:inline distT="0" distB="0" distL="0" distR="0" wp14:anchorId="0251705E" wp14:editId="095088FD">
            <wp:extent cx="5459925" cy="2368884"/>
            <wp:effectExtent l="0" t="0" r="1270" b="6350"/>
            <wp:docPr id="673750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50078" name=""/>
                    <pic:cNvPicPr/>
                  </pic:nvPicPr>
                  <pic:blipFill>
                    <a:blip r:embed="rId9"/>
                    <a:stretch>
                      <a:fillRect/>
                    </a:stretch>
                  </pic:blipFill>
                  <pic:spPr>
                    <a:xfrm>
                      <a:off x="0" y="0"/>
                      <a:ext cx="5490810" cy="2382284"/>
                    </a:xfrm>
                    <a:prstGeom prst="rect">
                      <a:avLst/>
                    </a:prstGeom>
                  </pic:spPr>
                </pic:pic>
              </a:graphicData>
            </a:graphic>
          </wp:inline>
        </w:drawing>
      </w:r>
    </w:p>
    <w:p w14:paraId="23F6EA77" w14:textId="0DA3A1DD" w:rsidR="00DD1DF9" w:rsidRPr="008F62F8" w:rsidRDefault="008F62F8" w:rsidP="008F62F8">
      <w:pPr>
        <w:spacing w:line="480" w:lineRule="auto"/>
        <w:ind w:left="720"/>
        <w:jc w:val="both"/>
        <w:rPr>
          <w:rFonts w:eastAsia="SimSun"/>
          <w:b/>
          <w:bCs/>
          <w:color w:val="000000" w:themeColor="text1"/>
        </w:rPr>
      </w:pPr>
      <w:r>
        <w:rPr>
          <w:rFonts w:eastAsia="SimSun" w:hint="eastAsia"/>
          <w:b/>
          <w:bCs/>
          <w:color w:val="000000" w:themeColor="text1"/>
        </w:rPr>
        <w:t>3.</w:t>
      </w:r>
      <w:r w:rsidR="00255F8A">
        <w:rPr>
          <w:rFonts w:eastAsia="SimSun" w:hint="eastAsia"/>
          <w:b/>
          <w:bCs/>
          <w:color w:val="000000" w:themeColor="text1"/>
        </w:rPr>
        <w:t>3</w:t>
      </w:r>
      <w:r>
        <w:rPr>
          <w:rFonts w:eastAsia="SimSun" w:hint="eastAsia"/>
          <w:b/>
          <w:bCs/>
          <w:color w:val="000000" w:themeColor="text1"/>
        </w:rPr>
        <w:t>. Visual</w:t>
      </w:r>
      <w:r w:rsidR="00DD1DF9" w:rsidRPr="008F62F8">
        <w:rPr>
          <w:rFonts w:eastAsia="SimSun"/>
          <w:b/>
          <w:bCs/>
          <w:color w:val="000000" w:themeColor="text1"/>
        </w:rPr>
        <w:t xml:space="preserve"> and chemiluminescent signal characteristics</w:t>
      </w:r>
    </w:p>
    <w:p w14:paraId="207E54D6" w14:textId="0D5E7A9A" w:rsidR="00DD1DF9" w:rsidRPr="00255F8A" w:rsidRDefault="00DD1DF9" w:rsidP="00255F8A">
      <w:pPr>
        <w:spacing w:line="480" w:lineRule="auto"/>
        <w:ind w:left="720"/>
        <w:jc w:val="both"/>
        <w:rPr>
          <w:rFonts w:eastAsia="SimSun" w:hint="eastAsia"/>
          <w:color w:val="000000" w:themeColor="text1"/>
        </w:rPr>
      </w:pPr>
      <w:r w:rsidRPr="008F62F8">
        <w:rPr>
          <w:rFonts w:eastAsia="SimSun"/>
          <w:color w:val="000000" w:themeColor="text1"/>
        </w:rPr>
        <w:t xml:space="preserve">Under optimized conditions, positive sera produced a readily visible test line within 10–20 minutes due to colloidal gold accumulation. The HRP component produced a chemiluminescent signal upon substrate addition that was detectable by the portable reader and provided an objective, sensitive readout to supplement subjective visual interpretation. </w:t>
      </w:r>
      <w:r w:rsidRPr="008F62F8">
        <w:rPr>
          <w:rFonts w:eastAsia="SimSun"/>
          <w:color w:val="000000" w:themeColor="text1"/>
        </w:rPr>
        <w:lastRenderedPageBreak/>
        <w:t>The CL readout expanded the assay’s dynamic range and was particularly useful for weakly positive samples near the visual detection threshold</w:t>
      </w:r>
      <w:r w:rsidR="00255F8A">
        <w:rPr>
          <w:rFonts w:eastAsia="SimSun" w:hint="eastAsia"/>
          <w:color w:val="000000" w:themeColor="text1"/>
        </w:rPr>
        <w:t xml:space="preserve"> (see Fig. 3A/3B below)</w:t>
      </w:r>
      <w:r w:rsidRPr="008F62F8">
        <w:rPr>
          <w:rFonts w:eastAsia="SimSun"/>
          <w:color w:val="000000" w:themeColor="text1"/>
        </w:rPr>
        <w:t>.</w:t>
      </w:r>
    </w:p>
    <w:p w14:paraId="78770D17" w14:textId="0406172E" w:rsidR="003A6DB3" w:rsidRDefault="00A240F1" w:rsidP="003A6DB3">
      <w:pPr>
        <w:spacing w:line="360" w:lineRule="auto"/>
        <w:ind w:left="720"/>
        <w:jc w:val="both"/>
        <w:rPr>
          <w:rFonts w:eastAsia="SimSun"/>
          <w:b/>
          <w:bCs/>
          <w:color w:val="000000" w:themeColor="text1"/>
        </w:rPr>
      </w:pPr>
      <w:r>
        <w:rPr>
          <w:rFonts w:eastAsia="SimSun" w:hint="eastAsia"/>
          <w:b/>
          <w:bCs/>
          <w:color w:val="000000" w:themeColor="text1"/>
        </w:rPr>
        <w:t xml:space="preserve">                   </w:t>
      </w:r>
      <w:r w:rsidRPr="00A240F1">
        <w:rPr>
          <w:rFonts w:eastAsia="SimSun"/>
          <w:b/>
          <w:bCs/>
          <w:color w:val="000000" w:themeColor="text1"/>
        </w:rPr>
        <w:drawing>
          <wp:inline distT="0" distB="0" distL="0" distR="0" wp14:anchorId="72D80985" wp14:editId="64F21BC4">
            <wp:extent cx="3670300" cy="3670300"/>
            <wp:effectExtent l="0" t="0" r="0" b="0"/>
            <wp:docPr id="1465522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22960" name=""/>
                    <pic:cNvPicPr/>
                  </pic:nvPicPr>
                  <pic:blipFill>
                    <a:blip r:embed="rId10"/>
                    <a:stretch>
                      <a:fillRect/>
                    </a:stretch>
                  </pic:blipFill>
                  <pic:spPr>
                    <a:xfrm>
                      <a:off x="0" y="0"/>
                      <a:ext cx="3670300" cy="3670300"/>
                    </a:xfrm>
                    <a:prstGeom prst="rect">
                      <a:avLst/>
                    </a:prstGeom>
                  </pic:spPr>
                </pic:pic>
              </a:graphicData>
            </a:graphic>
          </wp:inline>
        </w:drawing>
      </w:r>
    </w:p>
    <w:p w14:paraId="2CE6FBED" w14:textId="3CC8E07E" w:rsidR="00A240F1" w:rsidRDefault="00A240F1" w:rsidP="00A240F1">
      <w:pPr>
        <w:spacing w:line="360" w:lineRule="auto"/>
        <w:ind w:left="720"/>
        <w:jc w:val="both"/>
        <w:rPr>
          <w:rFonts w:eastAsia="SimSun"/>
          <w:color w:val="000000" w:themeColor="text1"/>
        </w:rPr>
      </w:pPr>
      <w:r>
        <w:rPr>
          <w:rFonts w:eastAsia="SimSun" w:hint="eastAsia"/>
          <w:b/>
          <w:bCs/>
          <w:color w:val="000000" w:themeColor="text1"/>
        </w:rPr>
        <w:t>Fig. 3A.</w:t>
      </w:r>
      <w:r w:rsidRPr="00A240F1">
        <w:rPr>
          <w:rFonts w:eastAsia="SimSun"/>
          <w:b/>
          <w:bCs/>
          <w:color w:val="000000" w:themeColor="text1"/>
        </w:rPr>
        <w:t xml:space="preserve"> Representative optical signal up to 22,450,176 RLU detected by NDT-</w:t>
      </w:r>
      <w:proofErr w:type="gramStart"/>
      <w:r w:rsidRPr="00A240F1">
        <w:rPr>
          <w:rFonts w:eastAsia="SimSun"/>
          <w:b/>
          <w:bCs/>
          <w:color w:val="000000" w:themeColor="text1"/>
        </w:rPr>
        <w:t>EIA  assay</w:t>
      </w:r>
      <w:proofErr w:type="gramEnd"/>
      <w:r w:rsidRPr="00A240F1">
        <w:rPr>
          <w:rFonts w:eastAsia="SimSun"/>
          <w:b/>
          <w:bCs/>
          <w:color w:val="000000" w:themeColor="text1"/>
        </w:rPr>
        <w:t xml:space="preserve">. </w:t>
      </w:r>
      <w:r w:rsidRPr="00A240F1">
        <w:rPr>
          <w:rFonts w:eastAsia="SimSun"/>
          <w:color w:val="000000" w:themeColor="text1"/>
        </w:rPr>
        <w:t xml:space="preserve">Each assay showed </w:t>
      </w:r>
      <w:r w:rsidRPr="00A240F1">
        <w:rPr>
          <w:rFonts w:eastAsia="SimSun" w:hint="eastAsia"/>
          <w:color w:val="000000" w:themeColor="text1"/>
        </w:rPr>
        <w:t>a binding</w:t>
      </w:r>
      <w:r w:rsidRPr="00A240F1">
        <w:rPr>
          <w:rFonts w:eastAsia="SimSun"/>
          <w:color w:val="000000" w:themeColor="text1"/>
        </w:rPr>
        <w:t xml:space="preserve"> signal (Green line) when </w:t>
      </w:r>
      <w:r>
        <w:rPr>
          <w:rFonts w:eastAsia="SimSun" w:hint="eastAsia"/>
          <w:color w:val="000000" w:themeColor="text1"/>
        </w:rPr>
        <w:t>checking</w:t>
      </w:r>
      <w:r w:rsidRPr="00A240F1">
        <w:rPr>
          <w:rFonts w:eastAsia="SimSun"/>
          <w:color w:val="000000" w:themeColor="text1"/>
        </w:rPr>
        <w:t xml:space="preserve"> the positive sera sample in different dilutions. </w:t>
      </w:r>
    </w:p>
    <w:p w14:paraId="29ADB3CF" w14:textId="7A41C5FB" w:rsidR="00A240F1" w:rsidRDefault="00A240F1" w:rsidP="00A240F1">
      <w:pPr>
        <w:spacing w:line="360" w:lineRule="auto"/>
        <w:ind w:left="720"/>
        <w:jc w:val="both"/>
        <w:rPr>
          <w:rFonts w:eastAsia="SimSun"/>
          <w:color w:val="000000" w:themeColor="text1"/>
        </w:rPr>
      </w:pPr>
      <w:r>
        <w:rPr>
          <w:rFonts w:eastAsia="SimSun" w:hint="eastAsia"/>
          <w:color w:val="000000" w:themeColor="text1"/>
        </w:rPr>
        <w:t xml:space="preserve">                                                  </w:t>
      </w:r>
      <w:r w:rsidRPr="00A240F1">
        <w:rPr>
          <w:rFonts w:eastAsia="SimSun"/>
          <w:color w:val="000000" w:themeColor="text1"/>
        </w:rPr>
        <w:drawing>
          <wp:inline distT="0" distB="0" distL="0" distR="0" wp14:anchorId="28373422" wp14:editId="7141768A">
            <wp:extent cx="1828800" cy="2324100"/>
            <wp:effectExtent l="0" t="0" r="0" b="0"/>
            <wp:docPr id="1293684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84788" name=""/>
                    <pic:cNvPicPr/>
                  </pic:nvPicPr>
                  <pic:blipFill>
                    <a:blip r:embed="rId11"/>
                    <a:stretch>
                      <a:fillRect/>
                    </a:stretch>
                  </pic:blipFill>
                  <pic:spPr>
                    <a:xfrm>
                      <a:off x="0" y="0"/>
                      <a:ext cx="1828800" cy="2324100"/>
                    </a:xfrm>
                    <a:prstGeom prst="rect">
                      <a:avLst/>
                    </a:prstGeom>
                  </pic:spPr>
                </pic:pic>
              </a:graphicData>
            </a:graphic>
          </wp:inline>
        </w:drawing>
      </w:r>
    </w:p>
    <w:p w14:paraId="05DF6888" w14:textId="3EBFA15B" w:rsidR="00A240F1" w:rsidRPr="00A240F1" w:rsidRDefault="00A240F1" w:rsidP="00A240F1">
      <w:pPr>
        <w:spacing w:line="360" w:lineRule="auto"/>
        <w:ind w:left="720"/>
        <w:jc w:val="both"/>
        <w:rPr>
          <w:rFonts w:eastAsia="SimSun" w:hint="eastAsia"/>
          <w:color w:val="000000" w:themeColor="text1"/>
        </w:rPr>
      </w:pPr>
      <w:r w:rsidRPr="00A240F1">
        <w:rPr>
          <w:rFonts w:eastAsia="SimSun"/>
          <w:b/>
          <w:bCs/>
          <w:color w:val="000000" w:themeColor="text1"/>
        </w:rPr>
        <w:t xml:space="preserve">Fig.3B. The same serum </w:t>
      </w:r>
      <w:r>
        <w:rPr>
          <w:rFonts w:eastAsia="SimSun" w:hint="eastAsia"/>
          <w:b/>
          <w:bCs/>
          <w:color w:val="000000" w:themeColor="text1"/>
        </w:rPr>
        <w:t>sample was</w:t>
      </w:r>
      <w:r w:rsidRPr="00A240F1">
        <w:rPr>
          <w:rFonts w:eastAsia="SimSun"/>
          <w:b/>
          <w:bCs/>
          <w:color w:val="000000" w:themeColor="text1"/>
        </w:rPr>
        <w:t xml:space="preserve"> checked by Conventional Lateral Flow Assay (LFIA) in parallel. </w:t>
      </w:r>
      <w:r>
        <w:rPr>
          <w:rFonts w:eastAsia="SimSun" w:hint="eastAsia"/>
          <w:b/>
          <w:bCs/>
          <w:color w:val="000000" w:themeColor="text1"/>
        </w:rPr>
        <w:t>The visual control</w:t>
      </w:r>
      <w:r w:rsidRPr="00A240F1">
        <w:rPr>
          <w:rFonts w:eastAsia="SimSun"/>
          <w:color w:val="000000" w:themeColor="text1"/>
        </w:rPr>
        <w:t xml:space="preserve"> line as internal control shows up as always during </w:t>
      </w:r>
      <w:r w:rsidRPr="00A240F1">
        <w:rPr>
          <w:rFonts w:eastAsia="SimSun"/>
          <w:color w:val="000000" w:themeColor="text1"/>
        </w:rPr>
        <w:lastRenderedPageBreak/>
        <w:t xml:space="preserve">testing. </w:t>
      </w:r>
      <w:r>
        <w:rPr>
          <w:rFonts w:eastAsia="SimSun" w:hint="eastAsia"/>
          <w:color w:val="000000" w:themeColor="text1"/>
        </w:rPr>
        <w:t>The test</w:t>
      </w:r>
      <w:r w:rsidRPr="00A240F1">
        <w:rPr>
          <w:rFonts w:eastAsia="SimSun"/>
          <w:color w:val="000000" w:themeColor="text1"/>
        </w:rPr>
        <w:t xml:space="preserve"> line was specifically positive when the </w:t>
      </w:r>
      <w:r>
        <w:rPr>
          <w:rFonts w:eastAsia="SimSun" w:hint="eastAsia"/>
          <w:color w:val="000000" w:themeColor="text1"/>
        </w:rPr>
        <w:t>serum</w:t>
      </w:r>
      <w:r w:rsidRPr="00A240F1">
        <w:rPr>
          <w:rFonts w:eastAsia="SimSun"/>
          <w:color w:val="000000" w:themeColor="text1"/>
        </w:rPr>
        <w:t xml:space="preserve"> sample </w:t>
      </w:r>
      <w:r>
        <w:rPr>
          <w:rFonts w:eastAsia="SimSun" w:hint="eastAsia"/>
          <w:color w:val="000000" w:themeColor="text1"/>
        </w:rPr>
        <w:t>contained</w:t>
      </w:r>
      <w:r w:rsidRPr="00A240F1">
        <w:rPr>
          <w:rFonts w:eastAsia="SimSun"/>
          <w:color w:val="000000" w:themeColor="text1"/>
        </w:rPr>
        <w:t xml:space="preserve"> EIA antibody.</w:t>
      </w:r>
    </w:p>
    <w:p w14:paraId="6DF1248B" w14:textId="77777777" w:rsidR="00A240F1" w:rsidRDefault="00A240F1" w:rsidP="003A6DB3">
      <w:pPr>
        <w:spacing w:line="360" w:lineRule="auto"/>
        <w:ind w:left="720"/>
        <w:jc w:val="both"/>
        <w:rPr>
          <w:rFonts w:eastAsia="SimSun" w:hint="eastAsia"/>
          <w:b/>
          <w:bCs/>
          <w:color w:val="000000" w:themeColor="text1"/>
        </w:rPr>
      </w:pPr>
    </w:p>
    <w:p w14:paraId="3240903E" w14:textId="6C1F8A02" w:rsidR="003A6DB3" w:rsidRPr="00255F8A" w:rsidRDefault="00DD1DF9" w:rsidP="00255F8A">
      <w:pPr>
        <w:spacing w:line="480" w:lineRule="auto"/>
        <w:ind w:left="720"/>
        <w:jc w:val="both"/>
        <w:rPr>
          <w:rFonts w:eastAsia="SimSun"/>
          <w:b/>
          <w:bCs/>
          <w:color w:val="000000" w:themeColor="text1"/>
        </w:rPr>
      </w:pPr>
      <w:r w:rsidRPr="00255F8A">
        <w:rPr>
          <w:rFonts w:eastAsia="SimSun"/>
          <w:b/>
          <w:bCs/>
          <w:color w:val="000000" w:themeColor="text1"/>
        </w:rPr>
        <w:t>3</w:t>
      </w:r>
      <w:r w:rsidR="003A6DB3" w:rsidRPr="00255F8A">
        <w:rPr>
          <w:rFonts w:eastAsia="SimSun"/>
          <w:b/>
          <w:bCs/>
          <w:color w:val="000000" w:themeColor="text1"/>
        </w:rPr>
        <w:t>.</w:t>
      </w:r>
      <w:r w:rsidR="00255F8A" w:rsidRPr="00255F8A">
        <w:rPr>
          <w:rFonts w:eastAsia="SimSun"/>
          <w:b/>
          <w:bCs/>
          <w:color w:val="000000" w:themeColor="text1"/>
        </w:rPr>
        <w:t>4</w:t>
      </w:r>
      <w:r w:rsidRPr="00255F8A">
        <w:rPr>
          <w:rFonts w:eastAsia="SimSun"/>
          <w:b/>
          <w:bCs/>
          <w:color w:val="000000" w:themeColor="text1"/>
        </w:rPr>
        <w:t>.</w:t>
      </w:r>
      <w:r w:rsidR="003A6DB3" w:rsidRPr="00255F8A">
        <w:rPr>
          <w:rFonts w:eastAsia="SimSun"/>
          <w:b/>
          <w:bCs/>
          <w:color w:val="000000" w:themeColor="text1"/>
        </w:rPr>
        <w:t xml:space="preserve"> LFIA–CL EIA assay performance and study samples</w:t>
      </w:r>
    </w:p>
    <w:p w14:paraId="71EA6C91" w14:textId="783CC2C0" w:rsidR="003A6DB3" w:rsidRPr="00255F8A" w:rsidRDefault="003A6DB3" w:rsidP="00255F8A">
      <w:pPr>
        <w:spacing w:line="480" w:lineRule="auto"/>
        <w:ind w:left="720"/>
        <w:jc w:val="both"/>
        <w:rPr>
          <w:rFonts w:eastAsia="SimSun"/>
          <w:color w:val="000000" w:themeColor="text1"/>
        </w:rPr>
      </w:pPr>
      <w:r w:rsidRPr="00255F8A">
        <w:rPr>
          <w:rFonts w:eastAsia="SimSun"/>
          <w:color w:val="000000" w:themeColor="text1"/>
        </w:rPr>
        <w:t>A dual-mode lateral flow immunoassay/chemiluminescence (LFIA–CL) cassette was evaluated using USDA proficiency sera</w:t>
      </w:r>
      <w:r w:rsidR="0096585A" w:rsidRPr="00255F8A">
        <w:rPr>
          <w:rFonts w:eastAsia="SimSun"/>
          <w:color w:val="000000" w:themeColor="text1"/>
        </w:rPr>
        <w:t xml:space="preserve"> </w:t>
      </w:r>
      <w:r w:rsidR="0096585A" w:rsidRPr="00255F8A">
        <w:rPr>
          <w:rFonts w:eastAsia="SimSun"/>
          <w:color w:val="000000" w:themeColor="text1"/>
        </w:rPr>
        <w:t>panel</w:t>
      </w:r>
      <w:r w:rsidR="0096585A" w:rsidRPr="00255F8A">
        <w:rPr>
          <w:rFonts w:eastAsia="SimSun"/>
          <w:color w:val="000000" w:themeColor="text1"/>
        </w:rPr>
        <w:t xml:space="preserve"> </w:t>
      </w:r>
      <w:r w:rsidR="0096585A" w:rsidRPr="00255F8A">
        <w:rPr>
          <w:rFonts w:eastAsia="SimSun"/>
          <w:color w:val="000000" w:themeColor="text1"/>
        </w:rPr>
        <w:t>(n = 20; 1</w:t>
      </w:r>
      <w:r w:rsidR="0096585A" w:rsidRPr="00255F8A">
        <w:rPr>
          <w:rFonts w:eastAsia="SimSun"/>
          <w:color w:val="000000" w:themeColor="text1"/>
        </w:rPr>
        <w:t>2</w:t>
      </w:r>
      <w:r w:rsidR="0096585A" w:rsidRPr="00255F8A">
        <w:rPr>
          <w:rFonts w:eastAsia="SimSun"/>
          <w:color w:val="000000" w:themeColor="text1"/>
        </w:rPr>
        <w:t xml:space="preserve"> </w:t>
      </w:r>
      <w:proofErr w:type="gramStart"/>
      <w:r w:rsidR="0096585A" w:rsidRPr="00255F8A">
        <w:rPr>
          <w:rFonts w:eastAsia="SimSun"/>
          <w:color w:val="000000" w:themeColor="text1"/>
        </w:rPr>
        <w:t>positive</w:t>
      </w:r>
      <w:proofErr w:type="gramEnd"/>
      <w:r w:rsidR="0096585A" w:rsidRPr="00255F8A">
        <w:rPr>
          <w:rFonts w:eastAsia="SimSun"/>
          <w:color w:val="000000" w:themeColor="text1"/>
        </w:rPr>
        <w:t xml:space="preserve">, </w:t>
      </w:r>
      <w:r w:rsidR="0096585A" w:rsidRPr="00255F8A">
        <w:rPr>
          <w:rFonts w:eastAsia="SimSun"/>
          <w:color w:val="000000" w:themeColor="text1"/>
        </w:rPr>
        <w:t>8</w:t>
      </w:r>
      <w:r w:rsidR="0096585A" w:rsidRPr="00255F8A">
        <w:rPr>
          <w:rFonts w:eastAsia="SimSun"/>
          <w:color w:val="000000" w:themeColor="text1"/>
        </w:rPr>
        <w:t xml:space="preserve"> negative)</w:t>
      </w:r>
      <w:r w:rsidRPr="00255F8A">
        <w:rPr>
          <w:rFonts w:eastAsia="SimSun"/>
          <w:color w:val="000000" w:themeColor="text1"/>
        </w:rPr>
        <w:t xml:space="preserve">. In total, </w:t>
      </w:r>
      <w:r w:rsidR="0096585A" w:rsidRPr="00255F8A">
        <w:rPr>
          <w:rFonts w:eastAsia="SimSun"/>
          <w:color w:val="EE0000"/>
        </w:rPr>
        <w:t>2</w:t>
      </w:r>
      <w:r w:rsidRPr="00255F8A">
        <w:rPr>
          <w:rFonts w:eastAsia="SimSun"/>
          <w:color w:val="EE0000"/>
        </w:rPr>
        <w:t xml:space="preserve">0 </w:t>
      </w:r>
      <w:r w:rsidRPr="00255F8A">
        <w:rPr>
          <w:rFonts w:eastAsia="SimSun"/>
          <w:color w:val="000000" w:themeColor="text1"/>
        </w:rPr>
        <w:t>equid sera were tested</w:t>
      </w:r>
      <w:r w:rsidR="0096585A" w:rsidRPr="00255F8A">
        <w:rPr>
          <w:rFonts w:eastAsia="SimSun"/>
          <w:color w:val="000000" w:themeColor="text1"/>
        </w:rPr>
        <w:t xml:space="preserve"> </w:t>
      </w:r>
      <w:r w:rsidR="0096585A" w:rsidRPr="00255F8A">
        <w:rPr>
          <w:rFonts w:eastAsia="SimSun"/>
          <w:color w:val="000000" w:themeColor="text1"/>
        </w:rPr>
        <w:t>to assess diagnostic performance and specificity</w:t>
      </w:r>
      <w:r w:rsidRPr="00255F8A">
        <w:rPr>
          <w:rFonts w:eastAsia="SimSun"/>
          <w:color w:val="000000" w:themeColor="text1"/>
        </w:rPr>
        <w:t>. An independent, laboratory-based EIAV ELISA (the reference method used in regulatory screening) was run in parallel for all specimens. All LFIA test strips incorporated a recombinant EIAV fusion antigen as capture on the test line and a dually labelled detector (colloidal gold + HRP) to produce both a visible test line and a chemiluminescent signal read by NDT’s portable CL detector</w:t>
      </w:r>
      <w:r w:rsidR="0096585A" w:rsidRPr="00255F8A">
        <w:rPr>
          <w:rFonts w:eastAsia="SimSun"/>
          <w:color w:val="000000" w:themeColor="text1"/>
        </w:rPr>
        <w:t xml:space="preserve"> </w:t>
      </w:r>
      <w:r w:rsidR="0096585A" w:rsidRPr="00255F8A">
        <w:rPr>
          <w:rFonts w:eastAsia="SimSun"/>
          <w:color w:val="000000" w:themeColor="text1"/>
        </w:rPr>
        <w:t xml:space="preserve">(see </w:t>
      </w:r>
      <w:r w:rsidR="0096585A" w:rsidRPr="00255F8A">
        <w:rPr>
          <w:rFonts w:eastAsia="SimSun"/>
          <w:b/>
          <w:bCs/>
          <w:color w:val="000000" w:themeColor="text1"/>
        </w:rPr>
        <w:t>Table</w:t>
      </w:r>
      <w:r w:rsidR="00DD1DF9" w:rsidRPr="00255F8A">
        <w:rPr>
          <w:rFonts w:eastAsia="SimSun"/>
          <w:color w:val="000000" w:themeColor="text1"/>
        </w:rPr>
        <w:t xml:space="preserve"> 2.</w:t>
      </w:r>
      <w:r w:rsidR="0096585A" w:rsidRPr="00255F8A">
        <w:t xml:space="preserve"> </w:t>
      </w:r>
      <w:r w:rsidR="0096585A" w:rsidRPr="00255F8A">
        <w:rPr>
          <w:rFonts w:eastAsia="SimSun"/>
          <w:color w:val="000000" w:themeColor="text1"/>
        </w:rPr>
        <w:t>below)</w:t>
      </w:r>
      <w:r w:rsidRPr="00255F8A">
        <w:rPr>
          <w:rFonts w:eastAsia="SimSun"/>
          <w:color w:val="000000" w:themeColor="text1"/>
        </w:rPr>
        <w:t>.</w:t>
      </w:r>
    </w:p>
    <w:p w14:paraId="3CB044D1" w14:textId="7AD57678" w:rsidR="00B77FC8" w:rsidRPr="00C63663" w:rsidRDefault="00817CB5" w:rsidP="003A6DB3">
      <w:pPr>
        <w:spacing w:line="360" w:lineRule="auto"/>
        <w:ind w:left="720"/>
        <w:jc w:val="both"/>
        <w:rPr>
          <w:rFonts w:eastAsia="SimSun" w:hint="eastAsia"/>
          <w:color w:val="000000" w:themeColor="text1"/>
        </w:rPr>
      </w:pPr>
      <w:r w:rsidRPr="00817CB5">
        <w:rPr>
          <w:rFonts w:eastAsia="SimSun"/>
          <w:color w:val="000000" w:themeColor="text1"/>
        </w:rPr>
        <w:drawing>
          <wp:inline distT="0" distB="0" distL="0" distR="0" wp14:anchorId="6A2ECBC8" wp14:editId="2822D2A8">
            <wp:extent cx="5406189" cy="4158029"/>
            <wp:effectExtent l="0" t="0" r="4445" b="0"/>
            <wp:docPr id="78855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59320" name=""/>
                    <pic:cNvPicPr/>
                  </pic:nvPicPr>
                  <pic:blipFill>
                    <a:blip r:embed="rId12"/>
                    <a:stretch>
                      <a:fillRect/>
                    </a:stretch>
                  </pic:blipFill>
                  <pic:spPr>
                    <a:xfrm>
                      <a:off x="0" y="0"/>
                      <a:ext cx="5436007" cy="4180963"/>
                    </a:xfrm>
                    <a:prstGeom prst="rect">
                      <a:avLst/>
                    </a:prstGeom>
                  </pic:spPr>
                </pic:pic>
              </a:graphicData>
            </a:graphic>
          </wp:inline>
        </w:drawing>
      </w:r>
    </w:p>
    <w:p w14:paraId="2706F5DF" w14:textId="1714395C" w:rsidR="006B19DE" w:rsidRPr="00A240F1" w:rsidRDefault="00A240F1" w:rsidP="006B19DE">
      <w:pPr>
        <w:spacing w:line="360" w:lineRule="auto"/>
        <w:ind w:left="720"/>
        <w:jc w:val="both"/>
        <w:rPr>
          <w:rFonts w:ascii="SimSun" w:eastAsia="SimSun" w:hAnsi="SimSun" w:cs="SimSun" w:hint="eastAsia"/>
          <w:color w:val="EE0000"/>
        </w:rPr>
      </w:pPr>
      <w:r w:rsidRPr="00A240F1">
        <w:rPr>
          <w:rFonts w:ascii="SimSun" w:eastAsia="SimSun" w:hAnsi="SimSun" w:cs="SimSun" w:hint="eastAsia"/>
          <w:color w:val="EE0000"/>
        </w:rPr>
        <w:lastRenderedPageBreak/>
        <w:t>XXX</w:t>
      </w:r>
    </w:p>
    <w:p w14:paraId="1A190EE3" w14:textId="754BF521" w:rsidR="006B19DE" w:rsidRPr="00AF632F" w:rsidRDefault="00AF632F" w:rsidP="00AF632F">
      <w:pPr>
        <w:spacing w:line="480" w:lineRule="auto"/>
        <w:ind w:left="720"/>
        <w:jc w:val="both"/>
        <w:rPr>
          <w:rFonts w:eastAsia="SimSun"/>
          <w:b/>
          <w:bCs/>
          <w:color w:val="000000" w:themeColor="text1"/>
        </w:rPr>
      </w:pPr>
      <w:r>
        <w:rPr>
          <w:rFonts w:eastAsia="SimSun" w:hint="eastAsia"/>
          <w:b/>
          <w:bCs/>
          <w:color w:val="000000" w:themeColor="text1"/>
        </w:rPr>
        <w:t>3.5. Analytical</w:t>
      </w:r>
      <w:r w:rsidR="006B19DE" w:rsidRPr="00AF632F">
        <w:rPr>
          <w:rFonts w:eastAsia="SimSun"/>
          <w:b/>
          <w:bCs/>
          <w:color w:val="000000" w:themeColor="text1"/>
        </w:rPr>
        <w:t xml:space="preserve"> performance and reproducibility</w:t>
      </w:r>
    </w:p>
    <w:p w14:paraId="5CFE7E10" w14:textId="444B7A51" w:rsidR="006B19DE" w:rsidRPr="00AF632F" w:rsidRDefault="006B19DE" w:rsidP="00AF632F">
      <w:pPr>
        <w:spacing w:line="480" w:lineRule="auto"/>
        <w:ind w:left="720"/>
        <w:jc w:val="both"/>
        <w:rPr>
          <w:rFonts w:eastAsia="SimSun" w:hint="eastAsia"/>
          <w:color w:val="000000" w:themeColor="text1"/>
        </w:rPr>
      </w:pPr>
      <w:r w:rsidRPr="00AF632F">
        <w:rPr>
          <w:rFonts w:eastAsia="SimSun"/>
          <w:color w:val="000000" w:themeColor="text1"/>
        </w:rPr>
        <w:t xml:space="preserve">Optimization resulted in an assay with low background on negative sera and reproducible positive signals across replicate tests. Intra‑assay variability for CL measurements (expressed as coefficient of variation) was acceptable for a point‑of‑care </w:t>
      </w:r>
      <w:proofErr w:type="gramStart"/>
      <w:r w:rsidRPr="00AF632F">
        <w:rPr>
          <w:rFonts w:eastAsia="SimSun"/>
          <w:color w:val="000000" w:themeColor="text1"/>
        </w:rPr>
        <w:t>format, and</w:t>
      </w:r>
      <w:proofErr w:type="gramEnd"/>
      <w:r w:rsidRPr="00AF632F">
        <w:rPr>
          <w:rFonts w:eastAsia="SimSun"/>
          <w:color w:val="000000" w:themeColor="text1"/>
        </w:rPr>
        <w:t xml:space="preserve"> inter‑assay reproducibility across multiple production lots met predefined acceptance criteria for development testing. Serial dilution experiments established a detection range sufficient to identify clinically relevant antibody titers; CL detection extended sensitivity beyond the visual limit, enabling identification of low‑titer samples that were visually equivocal.</w:t>
      </w:r>
    </w:p>
    <w:p w14:paraId="2A370474" w14:textId="0DC3A294" w:rsidR="006B19DE" w:rsidRPr="00AF632F" w:rsidRDefault="003A6DB3" w:rsidP="00AF632F">
      <w:pPr>
        <w:spacing w:line="480" w:lineRule="auto"/>
        <w:ind w:left="720"/>
        <w:jc w:val="both"/>
        <w:rPr>
          <w:rFonts w:eastAsia="SimSun"/>
          <w:b/>
          <w:bCs/>
          <w:color w:val="000000" w:themeColor="text1"/>
        </w:rPr>
      </w:pPr>
      <w:r w:rsidRPr="00AF632F">
        <w:rPr>
          <w:rFonts w:eastAsia="SimSun"/>
          <w:b/>
          <w:bCs/>
          <w:color w:val="000000" w:themeColor="text1"/>
        </w:rPr>
        <w:t>3.6. Verification</w:t>
      </w:r>
      <w:r w:rsidR="006B19DE" w:rsidRPr="00AF632F">
        <w:rPr>
          <w:rFonts w:eastAsia="SimSun"/>
          <w:b/>
          <w:bCs/>
          <w:color w:val="000000" w:themeColor="text1"/>
        </w:rPr>
        <w:t xml:space="preserve"> against USDA proficiency panels and ELISA</w:t>
      </w:r>
    </w:p>
    <w:p w14:paraId="1BB2AB69" w14:textId="5FE031E1" w:rsidR="006B19DE" w:rsidRPr="00AF632F" w:rsidRDefault="006B19DE" w:rsidP="00AF632F">
      <w:pPr>
        <w:spacing w:line="480" w:lineRule="auto"/>
        <w:ind w:left="720"/>
        <w:jc w:val="both"/>
        <w:rPr>
          <w:rFonts w:eastAsia="SimSun"/>
          <w:color w:val="000000" w:themeColor="text1"/>
        </w:rPr>
      </w:pPr>
      <w:r w:rsidRPr="00AF632F">
        <w:rPr>
          <w:rFonts w:eastAsia="SimSun"/>
          <w:color w:val="000000" w:themeColor="text1"/>
        </w:rPr>
        <w:t xml:space="preserve">Blind testing of USDA proficiency sera demonstrated high concordance between the combined LFIA–CL assay and the reference ELISA. Both visual and CL modalities correctly identified </w:t>
      </w:r>
      <w:proofErr w:type="gramStart"/>
      <w:r w:rsidRPr="00AF632F">
        <w:rPr>
          <w:rFonts w:eastAsia="SimSun"/>
          <w:color w:val="000000" w:themeColor="text1"/>
        </w:rPr>
        <w:t>the majority of</w:t>
      </w:r>
      <w:proofErr w:type="gramEnd"/>
      <w:r w:rsidRPr="00AF632F">
        <w:rPr>
          <w:rFonts w:eastAsia="SimSun"/>
          <w:color w:val="000000" w:themeColor="text1"/>
        </w:rPr>
        <w:t xml:space="preserve"> positive and negative samples</w:t>
      </w:r>
      <w:r w:rsidR="0096585A" w:rsidRPr="00AF632F">
        <w:rPr>
          <w:rFonts w:eastAsia="SimSun"/>
          <w:color w:val="000000" w:themeColor="text1"/>
        </w:rPr>
        <w:t xml:space="preserve"> (see </w:t>
      </w:r>
      <w:r w:rsidR="0096585A" w:rsidRPr="00AF632F">
        <w:rPr>
          <w:rFonts w:eastAsia="SimSun"/>
          <w:b/>
          <w:bCs/>
          <w:color w:val="000000" w:themeColor="text1"/>
        </w:rPr>
        <w:t>Table</w:t>
      </w:r>
      <w:r w:rsidR="00956176" w:rsidRPr="00AF632F">
        <w:rPr>
          <w:rFonts w:eastAsia="SimSun"/>
          <w:b/>
          <w:bCs/>
          <w:color w:val="000000" w:themeColor="text1"/>
        </w:rPr>
        <w:t xml:space="preserve"> </w:t>
      </w:r>
      <w:r w:rsidR="00956176" w:rsidRPr="00AF632F">
        <w:rPr>
          <w:rFonts w:eastAsia="SimSun"/>
          <w:color w:val="000000" w:themeColor="text1"/>
        </w:rPr>
        <w:t xml:space="preserve">2 </w:t>
      </w:r>
      <w:r w:rsidR="00956176" w:rsidRPr="00AF632F">
        <w:rPr>
          <w:rFonts w:eastAsia="SimSun"/>
          <w:color w:val="000000" w:themeColor="text1"/>
        </w:rPr>
        <w:t>above</w:t>
      </w:r>
      <w:r w:rsidR="00956176" w:rsidRPr="00AF632F">
        <w:rPr>
          <w:rFonts w:eastAsia="SimSun"/>
          <w:color w:val="000000" w:themeColor="text1"/>
        </w:rPr>
        <w:t xml:space="preserve"> and </w:t>
      </w:r>
      <w:r w:rsidR="00956176" w:rsidRPr="00AF632F">
        <w:rPr>
          <w:rFonts w:eastAsia="SimSun"/>
          <w:b/>
          <w:bCs/>
          <w:color w:val="000000" w:themeColor="text1"/>
        </w:rPr>
        <w:t>Fig</w:t>
      </w:r>
      <w:r w:rsidR="00D41849" w:rsidRPr="00AF632F">
        <w:rPr>
          <w:rFonts w:eastAsia="SimSun"/>
          <w:b/>
          <w:bCs/>
          <w:color w:val="000000" w:themeColor="text1"/>
        </w:rPr>
        <w:t>s</w:t>
      </w:r>
      <w:r w:rsidR="00956176" w:rsidRPr="00AF632F">
        <w:rPr>
          <w:rFonts w:eastAsia="SimSun"/>
          <w:b/>
          <w:bCs/>
          <w:color w:val="000000" w:themeColor="text1"/>
        </w:rPr>
        <w:t>.</w:t>
      </w:r>
      <w:r w:rsidR="004178BC" w:rsidRPr="00AF632F">
        <w:rPr>
          <w:rFonts w:eastAsia="SimSun"/>
          <w:b/>
          <w:bCs/>
          <w:color w:val="000000" w:themeColor="text1"/>
        </w:rPr>
        <w:t xml:space="preserve"> 4</w:t>
      </w:r>
      <w:r w:rsidR="00D41849" w:rsidRPr="00AF632F">
        <w:rPr>
          <w:rFonts w:eastAsia="SimSun"/>
          <w:b/>
          <w:bCs/>
          <w:color w:val="000000" w:themeColor="text1"/>
        </w:rPr>
        <w:t>A</w:t>
      </w:r>
      <w:r w:rsidR="00A240F1">
        <w:rPr>
          <w:rFonts w:eastAsia="SimSun" w:hint="eastAsia"/>
          <w:b/>
          <w:bCs/>
          <w:color w:val="000000" w:themeColor="text1"/>
        </w:rPr>
        <w:t xml:space="preserve"> </w:t>
      </w:r>
      <w:r w:rsidR="00A240F1" w:rsidRPr="00A240F1">
        <w:rPr>
          <w:rFonts w:eastAsia="SimSun" w:hint="eastAsia"/>
          <w:color w:val="000000" w:themeColor="text1"/>
        </w:rPr>
        <w:t xml:space="preserve">and </w:t>
      </w:r>
      <w:r w:rsidR="00D41849" w:rsidRPr="00AF632F">
        <w:rPr>
          <w:rFonts w:eastAsia="SimSun"/>
          <w:b/>
          <w:bCs/>
          <w:color w:val="000000" w:themeColor="text1"/>
        </w:rPr>
        <w:t>4B</w:t>
      </w:r>
      <w:r w:rsidR="00A240F1">
        <w:rPr>
          <w:rFonts w:eastAsia="SimSun" w:hint="eastAsia"/>
          <w:b/>
          <w:bCs/>
          <w:color w:val="000000" w:themeColor="text1"/>
        </w:rPr>
        <w:t xml:space="preserve"> </w:t>
      </w:r>
      <w:r w:rsidR="004178BC" w:rsidRPr="00A240F1">
        <w:rPr>
          <w:rFonts w:eastAsia="SimSun"/>
          <w:color w:val="000000" w:themeColor="text1"/>
        </w:rPr>
        <w:t>below</w:t>
      </w:r>
      <w:r w:rsidR="004178BC" w:rsidRPr="00AF632F">
        <w:rPr>
          <w:rFonts w:eastAsia="SimSun"/>
          <w:b/>
          <w:bCs/>
          <w:color w:val="000000" w:themeColor="text1"/>
        </w:rPr>
        <w:t>).</w:t>
      </w:r>
      <w:r w:rsidRPr="00AF632F">
        <w:rPr>
          <w:rFonts w:eastAsia="SimSun"/>
          <w:color w:val="000000" w:themeColor="text1"/>
        </w:rPr>
        <w:t xml:space="preserve"> The CL readout resolved several specimens that were borderline by visual inspection, reducing ambiguous interpretations. Discrepancies that occurred were investigated and attributed to factors such as very low antibody titers near the limits of detection and potential differences in antigenic composition between the assay antigen and reference ELISA antigen; in some cases, supplemental testing (where available) helped reconcile discordant results.</w:t>
      </w:r>
    </w:p>
    <w:p w14:paraId="3066A9BF" w14:textId="1A48F6F5" w:rsidR="006B19DE" w:rsidRDefault="00A240F1" w:rsidP="006B19DE">
      <w:pPr>
        <w:spacing w:line="360" w:lineRule="auto"/>
        <w:ind w:left="720"/>
        <w:jc w:val="both"/>
        <w:rPr>
          <w:rFonts w:ascii="SimSun" w:eastAsia="SimSun" w:hAnsi="SimSun" w:cs="SimSun"/>
          <w:color w:val="000000" w:themeColor="text1"/>
        </w:rPr>
      </w:pPr>
      <w:r w:rsidRPr="00A240F1">
        <w:rPr>
          <w:rFonts w:ascii="SimSun" w:eastAsia="SimSun" w:hAnsi="SimSun" w:cs="SimSun"/>
          <w:color w:val="000000" w:themeColor="text1"/>
        </w:rPr>
        <w:lastRenderedPageBreak/>
        <w:drawing>
          <wp:inline distT="0" distB="0" distL="0" distR="0" wp14:anchorId="7C36D4EA" wp14:editId="3126D2C7">
            <wp:extent cx="5943600" cy="3489960"/>
            <wp:effectExtent l="0" t="0" r="0" b="0"/>
            <wp:docPr id="1334824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24639" name=""/>
                    <pic:cNvPicPr/>
                  </pic:nvPicPr>
                  <pic:blipFill>
                    <a:blip r:embed="rId13"/>
                    <a:stretch>
                      <a:fillRect/>
                    </a:stretch>
                  </pic:blipFill>
                  <pic:spPr>
                    <a:xfrm>
                      <a:off x="0" y="0"/>
                      <a:ext cx="5943600" cy="3489960"/>
                    </a:xfrm>
                    <a:prstGeom prst="rect">
                      <a:avLst/>
                    </a:prstGeom>
                  </pic:spPr>
                </pic:pic>
              </a:graphicData>
            </a:graphic>
          </wp:inline>
        </w:drawing>
      </w:r>
    </w:p>
    <w:p w14:paraId="08427EFE" w14:textId="5D046F87" w:rsidR="00A240F1" w:rsidRPr="00A240F1" w:rsidRDefault="00A240F1" w:rsidP="00CE691A">
      <w:pPr>
        <w:spacing w:line="360" w:lineRule="auto"/>
        <w:ind w:left="720"/>
        <w:jc w:val="both"/>
        <w:rPr>
          <w:rFonts w:eastAsia="SimSun"/>
          <w:color w:val="000000" w:themeColor="text1"/>
        </w:rPr>
      </w:pPr>
      <w:r w:rsidRPr="00A240F1">
        <w:rPr>
          <w:rFonts w:eastAsia="SimSun"/>
          <w:b/>
          <w:bCs/>
          <w:color w:val="000000" w:themeColor="text1"/>
        </w:rPr>
        <w:t xml:space="preserve">Fig.4. Representative optical signal (4A) and visual line (4B) detected by NDT Dual </w:t>
      </w:r>
      <w:r>
        <w:rPr>
          <w:rFonts w:eastAsia="SimSun" w:hint="eastAsia"/>
          <w:b/>
          <w:bCs/>
          <w:color w:val="000000" w:themeColor="text1"/>
        </w:rPr>
        <w:t xml:space="preserve">LFIA-CL </w:t>
      </w:r>
      <w:r w:rsidRPr="00A240F1">
        <w:rPr>
          <w:rFonts w:eastAsia="SimSun"/>
          <w:b/>
          <w:bCs/>
          <w:color w:val="000000" w:themeColor="text1"/>
        </w:rPr>
        <w:t xml:space="preserve">EIA assay. </w:t>
      </w:r>
      <w:r w:rsidR="00CE691A">
        <w:rPr>
          <w:rFonts w:ascii="SimSun" w:eastAsia="SimSun" w:hAnsi="SimSun" w:cs="SimSun" w:hint="eastAsia"/>
          <w:color w:val="000000" w:themeColor="text1"/>
        </w:rPr>
        <w:t>The sample test</w:t>
      </w:r>
      <w:r w:rsidRPr="00A240F1">
        <w:rPr>
          <w:rFonts w:ascii="SimSun" w:eastAsia="SimSun" w:hAnsi="SimSun" w:cs="SimSun"/>
          <w:color w:val="000000" w:themeColor="text1"/>
        </w:rPr>
        <w:t xml:space="preserve"> line was specifically positive or negative when the sera sample </w:t>
      </w:r>
      <w:r w:rsidR="00CE691A">
        <w:rPr>
          <w:rFonts w:ascii="SimSun" w:eastAsia="SimSun" w:hAnsi="SimSun" w:cs="SimSun" w:hint="eastAsia"/>
          <w:color w:val="000000" w:themeColor="text1"/>
        </w:rPr>
        <w:t>contained</w:t>
      </w:r>
      <w:r w:rsidRPr="00A240F1">
        <w:rPr>
          <w:rFonts w:ascii="SimSun" w:eastAsia="SimSun" w:hAnsi="SimSun" w:cs="SimSun"/>
          <w:color w:val="000000" w:themeColor="text1"/>
        </w:rPr>
        <w:t xml:space="preserve"> EIA antibody or no antibody.</w:t>
      </w:r>
    </w:p>
    <w:p w14:paraId="7DDE432D" w14:textId="77777777" w:rsidR="00CE691A" w:rsidRDefault="00CE691A" w:rsidP="006B19DE">
      <w:pPr>
        <w:spacing w:line="360" w:lineRule="auto"/>
        <w:ind w:left="720"/>
        <w:jc w:val="both"/>
        <w:rPr>
          <w:rFonts w:ascii="SimSun" w:eastAsia="SimSun" w:hAnsi="SimSun" w:cs="SimSun"/>
          <w:color w:val="000000" w:themeColor="text1"/>
        </w:rPr>
      </w:pPr>
    </w:p>
    <w:p w14:paraId="6CDF5204" w14:textId="0E376304" w:rsidR="00694727" w:rsidRPr="006B19DE" w:rsidRDefault="00CE691A" w:rsidP="006B19DE">
      <w:pPr>
        <w:spacing w:line="360" w:lineRule="auto"/>
        <w:ind w:left="720"/>
        <w:jc w:val="both"/>
        <w:rPr>
          <w:rFonts w:ascii="SimSun" w:eastAsia="SimSun" w:hAnsi="SimSun" w:cs="SimSun" w:hint="eastAsia"/>
          <w:color w:val="000000" w:themeColor="text1"/>
        </w:rPr>
      </w:pPr>
      <w:r w:rsidRPr="00A240F1">
        <w:rPr>
          <w:rFonts w:ascii="SimSun" w:eastAsia="SimSun" w:hAnsi="SimSun" w:cs="SimSun"/>
          <w:color w:val="000000" w:themeColor="text1"/>
        </w:rPr>
        <w:t xml:space="preserve">The assay showed </w:t>
      </w:r>
      <w:r>
        <w:rPr>
          <w:rFonts w:ascii="SimSun" w:eastAsia="SimSun" w:hAnsi="SimSun" w:cs="SimSun" w:hint="eastAsia"/>
          <w:color w:val="000000" w:themeColor="text1"/>
        </w:rPr>
        <w:t>a binding</w:t>
      </w:r>
      <w:r w:rsidRPr="00A240F1">
        <w:rPr>
          <w:rFonts w:ascii="SimSun" w:eastAsia="SimSun" w:hAnsi="SimSun" w:cs="SimSun"/>
          <w:color w:val="000000" w:themeColor="text1"/>
        </w:rPr>
        <w:t xml:space="preserve"> signal </w:t>
      </w:r>
      <w:r>
        <w:rPr>
          <w:rFonts w:ascii="SimSun" w:eastAsia="SimSun" w:hAnsi="SimSun" w:cs="SimSun" w:hint="eastAsia"/>
          <w:color w:val="000000" w:themeColor="text1"/>
        </w:rPr>
        <w:t>(green</w:t>
      </w:r>
      <w:r w:rsidRPr="00A240F1">
        <w:rPr>
          <w:rFonts w:ascii="SimSun" w:eastAsia="SimSun" w:hAnsi="SimSun" w:cs="SimSun"/>
          <w:color w:val="000000" w:themeColor="text1"/>
        </w:rPr>
        <w:t xml:space="preserve"> line) when </w:t>
      </w:r>
      <w:r>
        <w:rPr>
          <w:rFonts w:ascii="SimSun" w:eastAsia="SimSun" w:hAnsi="SimSun" w:cs="SimSun" w:hint="eastAsia"/>
          <w:color w:val="000000" w:themeColor="text1"/>
        </w:rPr>
        <w:t>checking</w:t>
      </w:r>
      <w:r w:rsidRPr="00A240F1">
        <w:rPr>
          <w:rFonts w:ascii="SimSun" w:eastAsia="SimSun" w:hAnsi="SimSun" w:cs="SimSun"/>
          <w:color w:val="000000" w:themeColor="text1"/>
        </w:rPr>
        <w:t xml:space="preserve"> the positive sera like Sample Number 1. Blue line: Control signal, </w:t>
      </w:r>
      <w:proofErr w:type="gramStart"/>
      <w:r w:rsidRPr="00A240F1">
        <w:rPr>
          <w:rFonts w:ascii="SimSun" w:eastAsia="SimSun" w:hAnsi="SimSun" w:cs="SimSun"/>
          <w:color w:val="000000" w:themeColor="text1"/>
        </w:rPr>
        <w:t>Red</w:t>
      </w:r>
      <w:proofErr w:type="gramEnd"/>
      <w:r w:rsidRPr="00A240F1">
        <w:rPr>
          <w:rFonts w:ascii="SimSun" w:eastAsia="SimSun" w:hAnsi="SimSun" w:cs="SimSun"/>
          <w:color w:val="000000" w:themeColor="text1"/>
        </w:rPr>
        <w:t xml:space="preserve"> line: </w:t>
      </w:r>
      <w:proofErr w:type="spellStart"/>
      <w:r w:rsidRPr="00A240F1">
        <w:rPr>
          <w:rFonts w:ascii="SimSun" w:eastAsia="SimSun" w:hAnsi="SimSun" w:cs="SimSun"/>
          <w:color w:val="000000" w:themeColor="text1"/>
        </w:rPr>
        <w:t>Bionoise</w:t>
      </w:r>
      <w:proofErr w:type="spellEnd"/>
      <w:r w:rsidRPr="00A240F1">
        <w:rPr>
          <w:rFonts w:ascii="SimSun" w:eastAsia="SimSun" w:hAnsi="SimSun" w:cs="SimSun"/>
          <w:color w:val="000000" w:themeColor="text1"/>
        </w:rPr>
        <w:t xml:space="preserve"> signal. Visual and analytic Control lines as internal control showed up as always during testing.</w:t>
      </w:r>
    </w:p>
    <w:p w14:paraId="6D8ACC9D" w14:textId="4D0E3FB8" w:rsidR="006B19DE" w:rsidRPr="00AF632F" w:rsidRDefault="004178BC" w:rsidP="00AF632F">
      <w:pPr>
        <w:spacing w:line="480" w:lineRule="auto"/>
        <w:ind w:left="720"/>
        <w:jc w:val="both"/>
        <w:rPr>
          <w:rFonts w:eastAsia="SimSun"/>
          <w:b/>
          <w:bCs/>
          <w:color w:val="000000" w:themeColor="text1"/>
        </w:rPr>
      </w:pPr>
      <w:r w:rsidRPr="00AF632F">
        <w:rPr>
          <w:rFonts w:eastAsia="SimSun"/>
          <w:b/>
          <w:bCs/>
          <w:color w:val="000000" w:themeColor="text1"/>
        </w:rPr>
        <w:t>3.7. Operational</w:t>
      </w:r>
      <w:r w:rsidR="006B19DE" w:rsidRPr="00AF632F">
        <w:rPr>
          <w:rFonts w:eastAsia="SimSun"/>
          <w:b/>
          <w:bCs/>
          <w:color w:val="000000" w:themeColor="text1"/>
        </w:rPr>
        <w:t xml:space="preserve"> considerations and stability</w:t>
      </w:r>
    </w:p>
    <w:p w14:paraId="00D8A723" w14:textId="77777777" w:rsidR="006B19DE" w:rsidRPr="00AF632F" w:rsidRDefault="006B19DE" w:rsidP="00AF632F">
      <w:pPr>
        <w:spacing w:line="480" w:lineRule="auto"/>
        <w:ind w:left="720"/>
        <w:jc w:val="both"/>
        <w:rPr>
          <w:rFonts w:eastAsia="SimSun"/>
          <w:color w:val="000000" w:themeColor="text1"/>
        </w:rPr>
      </w:pPr>
      <w:r w:rsidRPr="00AF632F">
        <w:rPr>
          <w:rFonts w:eastAsia="SimSun"/>
          <w:color w:val="000000" w:themeColor="text1"/>
        </w:rPr>
        <w:t xml:space="preserve">The lateral flow format enabled rapid testing without specialized laboratory infrastructure. The dual‑label conjugate and strip components demonstrated stability under refrigerated storage for the duration of the development testing period. Preliminary accelerated stability experiments indicated retained visual and CL performance after short‑term exposure to elevated temperatures, supporting suitability for field conditions with appropriate </w:t>
      </w:r>
      <w:r w:rsidRPr="00AF632F">
        <w:rPr>
          <w:rFonts w:eastAsia="SimSun"/>
          <w:color w:val="000000" w:themeColor="text1"/>
        </w:rPr>
        <w:lastRenderedPageBreak/>
        <w:t>packaging and storage recommendations. Built‑in procedural control (control line) provided clear indication of proper flow and conjugate activity for each test.</w:t>
      </w:r>
    </w:p>
    <w:p w14:paraId="1853BEA8" w14:textId="6E6FB07E" w:rsidR="006A59BE" w:rsidRPr="00C92CFB" w:rsidRDefault="006A59BE" w:rsidP="00C92CFB">
      <w:pPr>
        <w:spacing w:line="480" w:lineRule="auto"/>
        <w:ind w:left="720"/>
        <w:jc w:val="both"/>
        <w:rPr>
          <w:rFonts w:eastAsia="SimSun"/>
          <w:b/>
          <w:bCs/>
          <w:color w:val="000000" w:themeColor="text1"/>
        </w:rPr>
      </w:pPr>
      <w:r w:rsidRPr="00C92CFB">
        <w:rPr>
          <w:rFonts w:eastAsia="SimSun"/>
          <w:b/>
          <w:bCs/>
          <w:color w:val="000000" w:themeColor="text1"/>
        </w:rPr>
        <w:t xml:space="preserve">4. </w:t>
      </w:r>
      <w:r w:rsidRPr="00C92CFB">
        <w:rPr>
          <w:rFonts w:eastAsia="SimSun"/>
          <w:b/>
          <w:bCs/>
          <w:color w:val="000000" w:themeColor="text1"/>
        </w:rPr>
        <w:t>Discussion</w:t>
      </w:r>
    </w:p>
    <w:p w14:paraId="448DA5EA" w14:textId="73301657" w:rsidR="00C92CFB" w:rsidRPr="00C92CFB" w:rsidRDefault="00C92CFB" w:rsidP="00C92CFB">
      <w:pPr>
        <w:spacing w:line="480" w:lineRule="auto"/>
        <w:ind w:left="720"/>
        <w:jc w:val="both"/>
        <w:rPr>
          <w:rFonts w:eastAsia="SimSun"/>
          <w:color w:val="000000" w:themeColor="text1"/>
        </w:rPr>
      </w:pPr>
      <w:r w:rsidRPr="00C92CFB">
        <w:rPr>
          <w:rFonts w:eastAsia="SimSun"/>
          <w:color w:val="000000" w:themeColor="text1"/>
        </w:rPr>
        <w:t xml:space="preserve">The present study describes the development and preliminary evaluation of a dual-modality lateral flow immunoassay (LFIA) that integrates a traditional colloidal-gold visual read with a chemiluminescent (CL) readout for the detection of antibodies to Equine Infectious Anemia Virus (EIAV) in equine serum. By employing a recombinant fusion antigen (deriving epitopes from multiple EIAV proteins) as both the immobilized capture reagent and the dual-labeled detector (colloidal gold + horseradish peroxidase), the assay produces a visible test line for immediate on-site interpretation and a CL signal measurable by a portable </w:t>
      </w:r>
      <w:r w:rsidRPr="00C92CFB">
        <w:rPr>
          <w:rFonts w:eastAsia="SimSun"/>
          <w:color w:val="000000" w:themeColor="text1"/>
        </w:rPr>
        <w:t xml:space="preserve">light </w:t>
      </w:r>
      <w:r w:rsidRPr="00C92CFB">
        <w:rPr>
          <w:rFonts w:eastAsia="SimSun"/>
          <w:color w:val="000000" w:themeColor="text1"/>
        </w:rPr>
        <w:t xml:space="preserve">detector to enhance </w:t>
      </w:r>
      <w:r w:rsidRPr="00C92CFB">
        <w:rPr>
          <w:rFonts w:eastAsia="SimSun"/>
          <w:color w:val="000000" w:themeColor="text1"/>
        </w:rPr>
        <w:t xml:space="preserve">both </w:t>
      </w:r>
      <w:r w:rsidRPr="00C92CFB">
        <w:rPr>
          <w:rFonts w:eastAsia="SimSun"/>
          <w:color w:val="000000" w:themeColor="text1"/>
        </w:rPr>
        <w:t>sensitivity</w:t>
      </w:r>
      <w:r w:rsidRPr="00C92CFB">
        <w:rPr>
          <w:rFonts w:eastAsia="SimSun"/>
          <w:color w:val="000000" w:themeColor="text1"/>
        </w:rPr>
        <w:t xml:space="preserve"> and specificity.</w:t>
      </w:r>
      <w:r w:rsidRPr="00C92CFB">
        <w:rPr>
          <w:rFonts w:eastAsia="SimSun"/>
          <w:color w:val="000000" w:themeColor="text1"/>
        </w:rPr>
        <w:t xml:space="preserve"> Evaluation against United States Department of Agriculture (USDA) proficiency sera and comparison with reference Enzyme-Linked Immunosorbent Assay (ELISA) testing demonstrate high concordance between the dual LFIA/CL format and established laboratory-based serology, while substantially reducing time-to-result to under 30 minutes.</w:t>
      </w:r>
    </w:p>
    <w:p w14:paraId="1AFDD3BB" w14:textId="77777777" w:rsidR="006B19DE" w:rsidRPr="00C92CFB" w:rsidRDefault="006B19DE" w:rsidP="00C92CFB">
      <w:pPr>
        <w:spacing w:line="480" w:lineRule="auto"/>
        <w:ind w:left="720"/>
        <w:jc w:val="both"/>
        <w:rPr>
          <w:rFonts w:eastAsia="SimSun"/>
          <w:color w:val="000000" w:themeColor="text1"/>
        </w:rPr>
      </w:pPr>
      <w:r w:rsidRPr="00C92CFB">
        <w:rPr>
          <w:rFonts w:eastAsia="SimSun"/>
          <w:color w:val="000000" w:themeColor="text1"/>
        </w:rPr>
        <w:t>The combined LFIA–CL approach leverages complementary detection mechanisms: colloidal gold provides an immediate, easy‑to‑read visual result suitable for on‑site screening, while the HRP/CL component enhances sensitivity and provides an objective measurement when needed. The double‑antigen sandwich format is well suited for antibody detection against lentiviral pathogens such as EIAV because it targets polyclonal responses and can reduce nonspecific signal from single‑epitope cross‑reactivity.</w:t>
      </w:r>
    </w:p>
    <w:p w14:paraId="16B06A14" w14:textId="77777777" w:rsidR="006B19DE" w:rsidRPr="00C92CFB" w:rsidRDefault="006B19DE" w:rsidP="00C92CFB">
      <w:pPr>
        <w:spacing w:line="480" w:lineRule="auto"/>
        <w:ind w:left="720"/>
        <w:jc w:val="both"/>
        <w:rPr>
          <w:rFonts w:eastAsia="SimSun"/>
          <w:color w:val="000000" w:themeColor="text1"/>
        </w:rPr>
      </w:pPr>
    </w:p>
    <w:p w14:paraId="08E23D23" w14:textId="77777777" w:rsidR="006B19DE" w:rsidRPr="00C92CFB" w:rsidRDefault="006B19DE" w:rsidP="00C92CFB">
      <w:pPr>
        <w:spacing w:line="480" w:lineRule="auto"/>
        <w:ind w:left="720"/>
        <w:jc w:val="both"/>
        <w:rPr>
          <w:rFonts w:eastAsia="SimSun"/>
          <w:color w:val="000000" w:themeColor="text1"/>
        </w:rPr>
      </w:pPr>
      <w:r w:rsidRPr="00C92CFB">
        <w:rPr>
          <w:rFonts w:eastAsia="SimSun"/>
          <w:color w:val="000000" w:themeColor="text1"/>
        </w:rPr>
        <w:lastRenderedPageBreak/>
        <w:t>Development challenges included optimization of the dual conjugation chemistry to maintain both colloidal stability and enzyme activity, and harmonizing antigen presentation between the immobilized and labeled formats. Selection of the control line reagent required balancing capture of excess conjugate against potential competition with sample‑derived complexes. Matrix effects from whole serum necessitated careful buffer design and pad treatments to minimize nonspecific binding without impairing antigen–antibody interactions.</w:t>
      </w:r>
    </w:p>
    <w:p w14:paraId="646D51E5" w14:textId="77777777" w:rsidR="00864321" w:rsidRPr="00667DD5" w:rsidRDefault="00864321" w:rsidP="00864321">
      <w:pPr>
        <w:spacing w:line="360" w:lineRule="auto"/>
        <w:ind w:left="720"/>
        <w:jc w:val="both"/>
        <w:rPr>
          <w:rFonts w:ascii="SimSun" w:eastAsia="SimSun" w:hAnsi="SimSun" w:cs="SimSun"/>
          <w:color w:val="000000" w:themeColor="text1"/>
        </w:rPr>
      </w:pPr>
      <w:r w:rsidRPr="00667DD5">
        <w:rPr>
          <w:rFonts w:ascii="SimSun" w:eastAsia="SimSun" w:hAnsi="SimSun" w:cs="SimSun"/>
          <w:color w:val="000000" w:themeColor="text1"/>
        </w:rPr>
        <w:t>The dual LFIA/CL format offers several practical benefits for EIA surveillance and outbreak control. Rapid, on-site screening reduces delays in identifying seropositive animals, enabling timelier implementation of movement restrictions and biosecurity measures. The visual read provides immediate actionable information for field personnel, while the CL readout enables confirmation of weak positives or equivocal findings without the need to ship samples to a centralized laboratory. The portable nature of the CL detector further supports decentralized testing workflows and could enhance coverage in remote or resource-limited settings where laboratory infrastructure is sparse. Additionally, the reduced turnaround and simplified logistics could decrease the time and cost burden associated with routine regulatory testing programs.</w:t>
      </w:r>
    </w:p>
    <w:p w14:paraId="6A502035" w14:textId="77777777" w:rsidR="006B19DE" w:rsidRPr="00C92CFB" w:rsidRDefault="006B19DE" w:rsidP="00C92CFB">
      <w:pPr>
        <w:spacing w:line="480" w:lineRule="auto"/>
        <w:ind w:left="720"/>
        <w:jc w:val="both"/>
        <w:rPr>
          <w:rFonts w:eastAsia="SimSun"/>
          <w:color w:val="000000" w:themeColor="text1"/>
        </w:rPr>
      </w:pPr>
    </w:p>
    <w:p w14:paraId="2A26EC92" w14:textId="48220C80" w:rsidR="006E7435" w:rsidRPr="00C92CFB" w:rsidRDefault="006B19DE" w:rsidP="00C92CFB">
      <w:pPr>
        <w:spacing w:line="480" w:lineRule="auto"/>
        <w:ind w:left="720"/>
        <w:jc w:val="both"/>
        <w:rPr>
          <w:rFonts w:eastAsia="SimSun"/>
          <w:color w:val="000000" w:themeColor="text1"/>
        </w:rPr>
      </w:pPr>
      <w:r w:rsidRPr="00C92CFB">
        <w:rPr>
          <w:rFonts w:eastAsia="SimSun"/>
          <w:color w:val="000000" w:themeColor="text1"/>
        </w:rPr>
        <w:t xml:space="preserve">Planned further work to support regulatory validation includes expanded testing with well‑characterized clinical cohorts, larger-lot manufacturing variability studies, extended real‑time and accelerated stability studies under defined storage conditions, and formal determination of diagnostic sensitivity and specificity with statistically powered sample sets. Continued comparison with OIE‑recommended and country‑specific reference </w:t>
      </w:r>
      <w:r w:rsidRPr="00C92CFB">
        <w:rPr>
          <w:rFonts w:eastAsia="SimSun"/>
          <w:color w:val="000000" w:themeColor="text1"/>
        </w:rPr>
        <w:lastRenderedPageBreak/>
        <w:t>methods (ELISA</w:t>
      </w:r>
      <w:r w:rsidR="00C92CFB" w:rsidRPr="00C92CFB">
        <w:rPr>
          <w:rFonts w:eastAsia="SimSun"/>
          <w:color w:val="000000" w:themeColor="text1"/>
        </w:rPr>
        <w:t>，</w:t>
      </w:r>
      <w:r w:rsidR="00C92CFB" w:rsidRPr="00C92CFB">
        <w:rPr>
          <w:rFonts w:eastAsia="SimSun"/>
          <w:color w:val="000000" w:themeColor="text1"/>
        </w:rPr>
        <w:t>AGID</w:t>
      </w:r>
      <w:r w:rsidRPr="00C92CFB">
        <w:rPr>
          <w:rFonts w:eastAsia="SimSun"/>
          <w:color w:val="000000" w:themeColor="text1"/>
        </w:rPr>
        <w:t xml:space="preserve"> and confirmatory immunoblot) will support assessment of the combined assay’s role within regulatory surveillance and field screening programs.</w:t>
      </w:r>
    </w:p>
    <w:p w14:paraId="324E5A1B" w14:textId="77777777"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t>The USDA proficiency sera panel demonstrated that the dual LFIA/CL assay reliably detects EIAV-specific antibodies across the spectrum of reactivities represented in a regulatory testing context. The CL modality provided an objective enhancement in analytical sensitivity relative to subjective visual LFIA interpretation, particularly for low-titer sera near the threshold of detection. Importantly, the combined format did not introduce false positives in this standardized panel: both readouts maintained perfect specificity against ELISA-classified negatives.</w:t>
      </w:r>
    </w:p>
    <w:p w14:paraId="02E39913" w14:textId="547DDE05" w:rsidR="006E7435" w:rsidRPr="00A11BF7" w:rsidRDefault="00A11BF7" w:rsidP="00A11BF7">
      <w:pPr>
        <w:spacing w:line="360" w:lineRule="auto"/>
        <w:ind w:left="720"/>
        <w:jc w:val="both"/>
        <w:rPr>
          <w:rFonts w:ascii="SimSun" w:eastAsia="SimSun" w:hAnsi="SimSun" w:cs="SimSun" w:hint="eastAsia"/>
          <w:color w:val="000000" w:themeColor="text1"/>
        </w:rPr>
      </w:pPr>
      <w:r w:rsidRPr="00667DD5">
        <w:rPr>
          <w:rFonts w:ascii="SimSun" w:eastAsia="SimSun" w:hAnsi="SimSun" w:cs="SimSun"/>
          <w:color w:val="000000" w:themeColor="text1"/>
        </w:rPr>
        <w:t>Serological surveillance for EIA most commonly relies on AGID and ELISA platforms, which are well established and widely accepted by regulatory authorities in many countries. These laboratory assays offer robust analytic performance but require centralized facilities, specialized equipment, and longer turnaround times. The dual LFIA/CL approach bridges the gap between point-of-care applicability and laboratory-level sensitivity. The visual (colloidal-gold) component provides an immediate qualitative result useful for rapid on-farm screening, whereas the CL read increases analytical sensitivity and allows detection of weakly reactive or borderline sera that might be missed by visual interpretation alone. In our proficiency panel testing, the dual-format assay showed high agreement with ELISA results, indicating that the CL augmentation yields diagnostic performance approaching that of laboratory immunoassays while preserving the logistical advantages of lateral flow formats.</w:t>
      </w:r>
    </w:p>
    <w:p w14:paraId="70742A84" w14:textId="77777777"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t>These results support the intended use of the dual assay as a rapid screening tool with the following operational implications:</w:t>
      </w:r>
    </w:p>
    <w:p w14:paraId="33900823" w14:textId="77777777" w:rsidR="006E7435" w:rsidRPr="00C92CFB" w:rsidRDefault="006E7435" w:rsidP="00C92CFB">
      <w:pPr>
        <w:spacing w:line="480" w:lineRule="auto"/>
        <w:ind w:left="720"/>
        <w:jc w:val="both"/>
        <w:rPr>
          <w:rFonts w:eastAsia="SimSun"/>
          <w:color w:val="000000" w:themeColor="text1"/>
        </w:rPr>
      </w:pPr>
    </w:p>
    <w:p w14:paraId="3794ECA0" w14:textId="77777777"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lastRenderedPageBreak/>
        <w:t>- For routine field or point-of-care screening where speed and portability are primary constraints, the visual LFIA readout provides a fast, specific result for clear positives and negatives.</w:t>
      </w:r>
    </w:p>
    <w:p w14:paraId="67467BA8" w14:textId="77777777"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t>- For cases involving borderline reactivity, early seroconversion, or where confirmatory sensitivity is required at the point of testing, the CL detector adds a layer of objective sensitivity that aligns with laboratory ELISA performance.</w:t>
      </w:r>
    </w:p>
    <w:p w14:paraId="1602CB74" w14:textId="77777777"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t>- The availability of both readouts on the same cassette reduces the need for reflex testing in many instances and facilitates immediate decision-making when CL detection is available.</w:t>
      </w:r>
    </w:p>
    <w:p w14:paraId="0443D871" w14:textId="77777777" w:rsidR="006E7435" w:rsidRPr="00C92CFB" w:rsidRDefault="006E7435" w:rsidP="00C92CFB">
      <w:pPr>
        <w:spacing w:line="480" w:lineRule="auto"/>
        <w:ind w:left="720"/>
        <w:jc w:val="both"/>
        <w:rPr>
          <w:rFonts w:eastAsia="SimSun"/>
          <w:color w:val="000000" w:themeColor="text1"/>
        </w:rPr>
      </w:pPr>
    </w:p>
    <w:p w14:paraId="39D31C7A" w14:textId="77777777"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t xml:space="preserve">Limitations encountered during proficiency evaluation included the relatively small number of low-titer samples within the provided panel (a common limitation of many proficiency panels). While the CL readout resolved the single </w:t>
      </w:r>
      <w:proofErr w:type="gramStart"/>
      <w:r w:rsidRPr="00C92CFB">
        <w:rPr>
          <w:rFonts w:eastAsia="SimSun"/>
          <w:color w:val="000000" w:themeColor="text1"/>
        </w:rPr>
        <w:t>visually-missed</w:t>
      </w:r>
      <w:proofErr w:type="gramEnd"/>
      <w:r w:rsidRPr="00C92CFB">
        <w:rPr>
          <w:rFonts w:eastAsia="SimSun"/>
          <w:color w:val="000000" w:themeColor="text1"/>
        </w:rPr>
        <w:t xml:space="preserve"> low-titer case in this panel, larger-scale studies with expanded numbers of seroconversion and low-antibody-titer specimens will be necessary to fully characterize the assay’s clinical sensitivity across the early infection window and to establish robust quantitative CL cutoffs correlated with ELISA titers.</w:t>
      </w:r>
    </w:p>
    <w:p w14:paraId="72F83B59" w14:textId="5D32D69E" w:rsidR="006E7435" w:rsidRPr="00C92CFB" w:rsidRDefault="00C92CFB" w:rsidP="00CE691A">
      <w:pPr>
        <w:spacing w:line="480" w:lineRule="auto"/>
        <w:ind w:left="720"/>
        <w:jc w:val="both"/>
        <w:rPr>
          <w:rFonts w:eastAsia="SimSun" w:hint="eastAsia"/>
          <w:color w:val="000000" w:themeColor="text1"/>
        </w:rPr>
      </w:pPr>
      <w:r w:rsidRPr="00C92CFB">
        <w:rPr>
          <w:rFonts w:eastAsia="SimSun"/>
          <w:color w:val="000000" w:themeColor="text1"/>
        </w:rPr>
        <w:t xml:space="preserve">In the USDA proficiency panel used for this study, the LFIA–CL cassette showed greater analytical sensitivity than AGID and ELISA and produced rapid, instrument-assisted readouts that reduce subjectivity and support point-of-care use. Both AGID and ELISA retained high specificity and remains valuable as a regulatory-confirmatory assay. The complementary strengths of the two methods suggest a pragmatic testing algorithm in which LFIA–CL is employed for rapid field screening and AGID (or ELISA) </w:t>
      </w:r>
      <w:proofErr w:type="gramStart"/>
      <w:r w:rsidRPr="00C92CFB">
        <w:rPr>
          <w:rFonts w:eastAsia="SimSun"/>
          <w:color w:val="000000" w:themeColor="text1"/>
        </w:rPr>
        <w:t>is</w:t>
      </w:r>
      <w:proofErr w:type="gramEnd"/>
      <w:r w:rsidRPr="00C92CFB">
        <w:rPr>
          <w:rFonts w:eastAsia="SimSun"/>
          <w:color w:val="000000" w:themeColor="text1"/>
        </w:rPr>
        <w:t xml:space="preserve"> reserved </w:t>
      </w:r>
      <w:r w:rsidRPr="00C92CFB">
        <w:rPr>
          <w:rFonts w:eastAsia="SimSun"/>
          <w:color w:val="000000" w:themeColor="text1"/>
        </w:rPr>
        <w:lastRenderedPageBreak/>
        <w:t>for confirmatory testing and regulatory adjudication. Further large-scale, multi-site validation is recommended to establish diagnostic performance across diverse epidemiological contexts and to inform policy adoption.</w:t>
      </w:r>
    </w:p>
    <w:p w14:paraId="2A5B6966" w14:textId="5D465B09" w:rsidR="006E7435" w:rsidRPr="00C92CFB" w:rsidRDefault="006E7435" w:rsidP="00C92CFB">
      <w:pPr>
        <w:spacing w:line="480" w:lineRule="auto"/>
        <w:ind w:left="720"/>
        <w:jc w:val="both"/>
        <w:rPr>
          <w:rFonts w:eastAsia="SimSun"/>
          <w:color w:val="000000" w:themeColor="text1"/>
        </w:rPr>
      </w:pPr>
      <w:r w:rsidRPr="00C92CFB">
        <w:rPr>
          <w:rFonts w:eastAsia="SimSun"/>
          <w:color w:val="000000" w:themeColor="text1"/>
        </w:rPr>
        <w:t>No instances of non-specific binding or cross-reactivity were observed in this panel; however, targeted specificity studies against sera containing antibodies to other equine pathogens were not part of the USDA proficiency evaluation and are addressed separately in specificity testing.</w:t>
      </w:r>
    </w:p>
    <w:p w14:paraId="43E06E3B" w14:textId="3AFCA572" w:rsidR="00A11BF7" w:rsidRPr="00CE691A" w:rsidRDefault="00A11BF7" w:rsidP="00CE691A">
      <w:pPr>
        <w:spacing w:line="480" w:lineRule="auto"/>
        <w:ind w:left="720"/>
        <w:jc w:val="both"/>
        <w:rPr>
          <w:rFonts w:eastAsia="SimSun" w:hint="eastAsia"/>
          <w:color w:val="000000" w:themeColor="text1"/>
        </w:rPr>
      </w:pPr>
      <w:r>
        <w:rPr>
          <w:rFonts w:ascii="SimSun" w:eastAsia="SimSun" w:hAnsi="SimSun" w:cs="SimSun" w:hint="eastAsia"/>
          <w:color w:val="000000" w:themeColor="text1"/>
        </w:rPr>
        <w:t>In summary, t</w:t>
      </w:r>
      <w:r w:rsidRPr="00E06858">
        <w:rPr>
          <w:rFonts w:ascii="SimSun" w:eastAsia="SimSun" w:hAnsi="SimSun" w:cs="SimSun"/>
          <w:color w:val="000000" w:themeColor="text1"/>
        </w:rPr>
        <w:t xml:space="preserve">he dual LFIA–chemiluminescence (CL) format described herein provides a practical compromise between rapid, field-deployable testing and enhanced analytical sensitivity. The use of a recombinant EIAV fusion antigen as both capture reagent on the test line and as a dually labeled detector (colloidal gold + horseradish peroxidase) enabled two distinct readout modalities from a single sample application: a visually discernible lateral-flow test line and a CL signal measurable by a portable detector. Qualitative detection by visual inspection was achievable within the 30-minute assay window, and the CL readout offered a secondary, instrument-read signal that increases the potential to detect low-abundance antibody responses that might be missed by visual interpretation alone. Verification with USDA proficiency sera and head-to-head comparison with ELISA-based assays indicate concordance with established laboratory methods for serological detection of EIAV antibodies, supporting the assay’s potential utility for screening in </w:t>
      </w:r>
      <w:r w:rsidRPr="00E06858">
        <w:rPr>
          <w:rFonts w:ascii="SimSun" w:eastAsia="SimSun" w:hAnsi="SimSun" w:cs="SimSun"/>
          <w:color w:val="000000" w:themeColor="text1"/>
        </w:rPr>
        <w:lastRenderedPageBreak/>
        <w:t>clinical and surveillance contexts.</w:t>
      </w:r>
      <w:r w:rsidR="00CE691A" w:rsidRPr="00CE691A">
        <w:rPr>
          <w:rFonts w:eastAsia="SimSun"/>
          <w:color w:val="000000" w:themeColor="text1"/>
        </w:rPr>
        <w:t xml:space="preserve"> </w:t>
      </w:r>
      <w:r w:rsidR="00CE691A" w:rsidRPr="00C92CFB">
        <w:rPr>
          <w:rFonts w:eastAsia="SimSun"/>
          <w:color w:val="000000" w:themeColor="text1"/>
        </w:rPr>
        <w:t>Overall, the comparative analysis demonstrates that the LFIA–CL cassette achieves clinical performance approaching that of standard ELISA while providing substantially faster results and reduced infrastructure needs. The CL detection channel enhances analytical sensitivity and offers semi-quantitative concordance with ELISA OD values, addressing key limitations of visual lateral flow assays and supporting practical applications in field-based EIAV screening.</w:t>
      </w:r>
    </w:p>
    <w:p w14:paraId="6236CB7D" w14:textId="77777777" w:rsidR="00667DD5" w:rsidRPr="00667DD5" w:rsidRDefault="00667DD5" w:rsidP="00CE691A">
      <w:pPr>
        <w:spacing w:line="360" w:lineRule="auto"/>
        <w:jc w:val="both"/>
        <w:rPr>
          <w:rFonts w:ascii="SimSun" w:eastAsia="SimSun" w:hAnsi="SimSun" w:cs="SimSun" w:hint="eastAsia"/>
          <w:color w:val="000000" w:themeColor="text1"/>
        </w:rPr>
      </w:pPr>
    </w:p>
    <w:p w14:paraId="6EDDDC5B" w14:textId="1439A846" w:rsidR="00903D50" w:rsidRPr="000B784A" w:rsidRDefault="000B784A" w:rsidP="00903D50">
      <w:pPr>
        <w:spacing w:line="360" w:lineRule="auto"/>
        <w:ind w:left="720"/>
        <w:jc w:val="both"/>
        <w:rPr>
          <w:rFonts w:eastAsia="SimSun"/>
          <w:b/>
          <w:bCs/>
          <w:color w:val="000000" w:themeColor="text1"/>
        </w:rPr>
      </w:pPr>
      <w:r w:rsidRPr="000B784A">
        <w:rPr>
          <w:rFonts w:eastAsia="SimSun" w:hint="eastAsia"/>
          <w:b/>
          <w:bCs/>
          <w:color w:val="000000" w:themeColor="text1"/>
        </w:rPr>
        <w:t>5. Acknowledgments</w:t>
      </w:r>
    </w:p>
    <w:p w14:paraId="505B8512" w14:textId="77777777" w:rsidR="00903D50" w:rsidRPr="00C63663" w:rsidRDefault="00903D50" w:rsidP="00903D50">
      <w:pPr>
        <w:spacing w:line="360" w:lineRule="auto"/>
        <w:ind w:left="720"/>
        <w:jc w:val="both"/>
        <w:rPr>
          <w:rFonts w:eastAsia="SimSun"/>
          <w:color w:val="000000" w:themeColor="text1"/>
        </w:rPr>
      </w:pPr>
    </w:p>
    <w:p w14:paraId="6DCE322C" w14:textId="75E4ACE8" w:rsidR="00620320" w:rsidRDefault="00620320" w:rsidP="00903D50">
      <w:pPr>
        <w:spacing w:line="360" w:lineRule="auto"/>
        <w:ind w:left="720"/>
        <w:jc w:val="both"/>
        <w:rPr>
          <w:rFonts w:eastAsia="SimSun"/>
          <w:color w:val="000000" w:themeColor="text1"/>
        </w:rPr>
      </w:pPr>
      <w:r w:rsidRPr="00C63663">
        <w:rPr>
          <w:rFonts w:eastAsia="SimSun"/>
          <w:color w:val="000000" w:themeColor="text1"/>
        </w:rPr>
        <w:t xml:space="preserve">We </w:t>
      </w:r>
      <w:r>
        <w:rPr>
          <w:rFonts w:eastAsia="SimSun" w:hint="eastAsia"/>
          <w:color w:val="000000" w:themeColor="text1"/>
        </w:rPr>
        <w:t xml:space="preserve">first deeply </w:t>
      </w:r>
      <w:r w:rsidRPr="00C63663">
        <w:rPr>
          <w:rFonts w:eastAsia="SimSun"/>
          <w:color w:val="000000" w:themeColor="text1"/>
        </w:rPr>
        <w:t xml:space="preserve">acknowledge the contributions of our collaborating </w:t>
      </w:r>
      <w:r>
        <w:rPr>
          <w:rFonts w:eastAsia="SimSun" w:hint="eastAsia"/>
          <w:color w:val="000000" w:themeColor="text1"/>
        </w:rPr>
        <w:t xml:space="preserve">partner, </w:t>
      </w:r>
      <w:proofErr w:type="spellStart"/>
      <w:r>
        <w:rPr>
          <w:rFonts w:eastAsia="SimSun" w:hint="eastAsia"/>
          <w:color w:val="000000" w:themeColor="text1"/>
        </w:rPr>
        <w:t>EveGen</w:t>
      </w:r>
      <w:proofErr w:type="spellEnd"/>
      <w:r>
        <w:rPr>
          <w:rFonts w:eastAsia="SimSun" w:hint="eastAsia"/>
          <w:color w:val="000000" w:themeColor="text1"/>
        </w:rPr>
        <w:t xml:space="preserve"> Biotech,</w:t>
      </w:r>
      <w:r w:rsidRPr="00C63663">
        <w:rPr>
          <w:rFonts w:eastAsia="SimSun"/>
          <w:color w:val="000000" w:themeColor="text1"/>
        </w:rPr>
        <w:t xml:space="preserve"> for</w:t>
      </w:r>
      <w:r>
        <w:rPr>
          <w:rFonts w:eastAsia="SimSun" w:hint="eastAsia"/>
          <w:color w:val="000000" w:themeColor="text1"/>
        </w:rPr>
        <w:t xml:space="preserve"> making LFIA-CL strip and generating the EIAV fusion antigen.</w:t>
      </w:r>
    </w:p>
    <w:p w14:paraId="620CE0AC" w14:textId="7F5DCED2" w:rsidR="00903D50" w:rsidRPr="00C63663" w:rsidRDefault="00903D50" w:rsidP="00903D50">
      <w:pPr>
        <w:spacing w:line="360" w:lineRule="auto"/>
        <w:ind w:left="720"/>
        <w:jc w:val="both"/>
        <w:rPr>
          <w:rFonts w:eastAsia="SimSun"/>
          <w:color w:val="000000" w:themeColor="text1"/>
        </w:rPr>
      </w:pPr>
      <w:r w:rsidRPr="00C63663">
        <w:rPr>
          <w:rFonts w:eastAsia="SimSun"/>
          <w:color w:val="000000" w:themeColor="text1"/>
        </w:rPr>
        <w:t>The authors gratefully acknowledge the United States Department of Agriculture (USDA) for the provision of proficiency serum panels that were critical for verification and comparative evaluation of the dual LFIA–chemiluminescence assay. We also thank the horse, donkey, and mule owners and attending veterinarians who facilitated sample collection and provided access to clinical material used in assay development and validation.</w:t>
      </w:r>
    </w:p>
    <w:p w14:paraId="23141E39" w14:textId="77777777" w:rsidR="00903D50" w:rsidRPr="00C63663" w:rsidRDefault="00903D50" w:rsidP="00903D50">
      <w:pPr>
        <w:spacing w:line="360" w:lineRule="auto"/>
        <w:ind w:left="720"/>
        <w:jc w:val="both"/>
        <w:rPr>
          <w:rFonts w:eastAsia="SimSun"/>
          <w:color w:val="000000" w:themeColor="text1"/>
        </w:rPr>
      </w:pPr>
    </w:p>
    <w:p w14:paraId="55D82E39" w14:textId="4CD45981" w:rsidR="00903D50" w:rsidRPr="00C63663" w:rsidRDefault="00903D50" w:rsidP="00903D50">
      <w:pPr>
        <w:spacing w:line="360" w:lineRule="auto"/>
        <w:ind w:left="720"/>
        <w:jc w:val="both"/>
        <w:rPr>
          <w:rFonts w:eastAsia="SimSun"/>
          <w:color w:val="000000" w:themeColor="text1"/>
        </w:rPr>
      </w:pPr>
      <w:r w:rsidRPr="00C63663">
        <w:rPr>
          <w:rFonts w:eastAsia="SimSun"/>
          <w:color w:val="000000" w:themeColor="text1"/>
        </w:rPr>
        <w:t xml:space="preserve">We are indebted to the technical staff and laboratory personnel whose skilled work made this study possible: members of the NDT diagnostic development team for assay design, strip assembly, and prototype production. </w:t>
      </w:r>
    </w:p>
    <w:p w14:paraId="61721F6A" w14:textId="77777777" w:rsidR="00903D50" w:rsidRPr="00C63663" w:rsidRDefault="00903D50" w:rsidP="00903D50">
      <w:pPr>
        <w:spacing w:line="360" w:lineRule="auto"/>
        <w:ind w:left="720"/>
        <w:jc w:val="both"/>
        <w:rPr>
          <w:rFonts w:eastAsia="SimSun"/>
          <w:color w:val="000000" w:themeColor="text1"/>
        </w:rPr>
      </w:pPr>
    </w:p>
    <w:p w14:paraId="722C161F" w14:textId="51E992E6" w:rsidR="00903D50" w:rsidRPr="00620320" w:rsidRDefault="00903D50" w:rsidP="00903D50">
      <w:pPr>
        <w:spacing w:line="360" w:lineRule="auto"/>
        <w:ind w:left="720"/>
        <w:jc w:val="both"/>
        <w:rPr>
          <w:rFonts w:eastAsia="SimSun"/>
          <w:color w:val="000000" w:themeColor="text1"/>
          <w:u w:val="single"/>
        </w:rPr>
      </w:pPr>
      <w:r w:rsidRPr="00C63663">
        <w:rPr>
          <w:rFonts w:eastAsia="SimSun"/>
          <w:color w:val="000000" w:themeColor="text1"/>
        </w:rPr>
        <w:t>We acknowledge the contributions of our collaborating institution</w:t>
      </w:r>
      <w:r w:rsidR="00CE691A">
        <w:rPr>
          <w:rFonts w:eastAsia="SimSun" w:hint="eastAsia"/>
          <w:color w:val="000000" w:themeColor="text1"/>
        </w:rPr>
        <w:t>,XXX</w:t>
      </w:r>
      <w:r w:rsidRPr="00C63663">
        <w:rPr>
          <w:rFonts w:eastAsia="SimSun"/>
          <w:color w:val="000000" w:themeColor="text1"/>
        </w:rPr>
        <w:t xml:space="preserve"> for providing access to laboratory facilities and instrumentation used for comparative ELISA testing, and for critical technical discussions that improved assay performance. </w:t>
      </w:r>
      <w:r w:rsidRPr="00620320">
        <w:rPr>
          <w:rFonts w:eastAsia="SimSun"/>
          <w:color w:val="000000" w:themeColor="text1"/>
          <w:u w:val="single"/>
        </w:rPr>
        <w:t>We also thank the external reviewers and colleagues who provided constructive feedback on earlier drafts of the manuscript.</w:t>
      </w:r>
    </w:p>
    <w:p w14:paraId="2059A3B1" w14:textId="77777777" w:rsidR="00903D50" w:rsidRPr="00C63663" w:rsidRDefault="00903D50" w:rsidP="00903D50">
      <w:pPr>
        <w:spacing w:line="360" w:lineRule="auto"/>
        <w:ind w:left="720"/>
        <w:jc w:val="both"/>
        <w:rPr>
          <w:rFonts w:eastAsia="SimSun"/>
          <w:color w:val="000000" w:themeColor="text1"/>
        </w:rPr>
      </w:pPr>
    </w:p>
    <w:p w14:paraId="29E97D84" w14:textId="77777777" w:rsidR="00903D50" w:rsidRPr="00A04E3F" w:rsidRDefault="00903D50" w:rsidP="00903D50">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lastRenderedPageBreak/>
        <w:t xml:space="preserve">All sample collection and handling procedures were performed in accordance with applicable institutional and national guidelines for the use of animal biological </w:t>
      </w:r>
      <w:proofErr w:type="gramStart"/>
      <w:r w:rsidRPr="00A04E3F">
        <w:rPr>
          <w:rFonts w:ascii="Arial" w:eastAsia="SimSun" w:hAnsi="Arial" w:cs="Arial"/>
          <w:color w:val="000000" w:themeColor="text1"/>
          <w:u w:val="single"/>
        </w:rPr>
        <w:t>materials, and</w:t>
      </w:r>
      <w:proofErr w:type="gramEnd"/>
      <w:r w:rsidRPr="00A04E3F">
        <w:rPr>
          <w:rFonts w:ascii="Arial" w:eastAsia="SimSun" w:hAnsi="Arial" w:cs="Arial"/>
          <w:color w:val="000000" w:themeColor="text1"/>
          <w:u w:val="single"/>
        </w:rPr>
        <w:t xml:space="preserve"> were conducted under approvals provided by the relevant institutional oversight committees. Finally, we appreciate the internal research and development support from NDT that enabled this project; their contributions encompassed funding, personnel time, and provision of the portable chemiluminescence detector used in this work.</w:t>
      </w:r>
    </w:p>
    <w:p w14:paraId="7D80FDFA" w14:textId="3E957FAB" w:rsidR="00903D50" w:rsidRDefault="00A04E3F" w:rsidP="00903D50">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All procedures involving animals and animal-derived materials were conducted in accordance with applicable institutional, national, and international ethical standards and guidelines. </w:t>
      </w:r>
      <w:proofErr w:type="gramStart"/>
      <w:r w:rsidRPr="00A04E3F">
        <w:rPr>
          <w:rFonts w:ascii="Arial" w:eastAsia="SimSun" w:hAnsi="Arial" w:cs="Arial"/>
          <w:color w:val="000000" w:themeColor="text1"/>
          <w:u w:val="single"/>
        </w:rPr>
        <w:t>In particular, work</w:t>
      </w:r>
      <w:proofErr w:type="gramEnd"/>
      <w:r w:rsidRPr="00A04E3F">
        <w:rPr>
          <w:rFonts w:ascii="Arial" w:eastAsia="SimSun" w:hAnsi="Arial" w:cs="Arial"/>
          <w:color w:val="000000" w:themeColor="text1"/>
          <w:u w:val="single"/>
        </w:rPr>
        <w:t xml:space="preserve"> was carried out in compliance with the World </w:t>
      </w:r>
      <w:proofErr w:type="spellStart"/>
      <w:r w:rsidRPr="00A04E3F">
        <w:rPr>
          <w:rFonts w:ascii="Arial" w:eastAsia="SimSun" w:hAnsi="Arial" w:cs="Arial"/>
          <w:color w:val="000000" w:themeColor="text1"/>
          <w:u w:val="single"/>
        </w:rPr>
        <w:t>Organisation</w:t>
      </w:r>
      <w:proofErr w:type="spellEnd"/>
      <w:r w:rsidRPr="00A04E3F">
        <w:rPr>
          <w:rFonts w:ascii="Arial" w:eastAsia="SimSun" w:hAnsi="Arial" w:cs="Arial"/>
          <w:color w:val="000000" w:themeColor="text1"/>
          <w:u w:val="single"/>
        </w:rPr>
        <w:t xml:space="preserve"> for Animal Health (OIE) Terrestrial Animal Health Code requirements for Equine Infectious Anemia (EIA) surveillance and diagnostic testing, and with the United States Department of Agriculture (USDA) regulatory frameworks governing transfer and use of proficiency panels and diagnostic specimens.</w:t>
      </w:r>
    </w:p>
    <w:p w14:paraId="182ED912" w14:textId="68068A2D" w:rsidR="00A04E3F" w:rsidRDefault="00A04E3F" w:rsidP="00903D50">
      <w:pPr>
        <w:spacing w:line="360" w:lineRule="auto"/>
        <w:ind w:left="720"/>
        <w:jc w:val="both"/>
        <w:rPr>
          <w:rFonts w:ascii="Arial" w:eastAsia="SimSun" w:hAnsi="Arial" w:cs="Arial"/>
          <w:color w:val="000000" w:themeColor="text1"/>
          <w:u w:val="single"/>
        </w:rPr>
      </w:pPr>
      <w:r>
        <w:rPr>
          <w:rFonts w:ascii="Arial" w:eastAsia="SimSun" w:hAnsi="Arial" w:cs="Arial" w:hint="eastAsia"/>
          <w:color w:val="000000" w:themeColor="text1"/>
          <w:u w:val="single"/>
        </w:rPr>
        <w:t>///</w:t>
      </w:r>
    </w:p>
    <w:p w14:paraId="2BF216F3"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Conflict of Interest Declarations</w:t>
      </w:r>
    </w:p>
    <w:p w14:paraId="01673442"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6F4C827E"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The authors provide the following declarations in the interest of transparency and to allow readers and regulatory reviewers to assess potential sources of bias.</w:t>
      </w:r>
    </w:p>
    <w:p w14:paraId="653716A8"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0D6D0C37"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1. Competing interests</w:t>
      </w:r>
    </w:p>
    <w:p w14:paraId="2B7A6403"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One or more authors are employees of NDT (the developer/manufacturer of the lateral flow immunoassay [LFIA] cassette and the proprietary chemiluminescence [CL] detector used in this study) and may hold stock, stock options, or other equity interests in NDT.  </w:t>
      </w:r>
    </w:p>
    <w:p w14:paraId="115B8C40"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The LFIA/CL assay described in this manuscript and the portable detector are the subject of one or more pending or granted intellectual property filings (patent applications and/or issued patents) owned or licensed by NDT and/or by one or more of the named inventors who are also authors of this paper.  </w:t>
      </w:r>
    </w:p>
    <w:p w14:paraId="00203FD5"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lastRenderedPageBreak/>
        <w:t>- No other authors report personal financial interests, consultancies, honoraria, or paid advisory roles with organizations that could be perceived to influence the content of this manuscript.</w:t>
      </w:r>
    </w:p>
    <w:p w14:paraId="703D73EA"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0094D84A"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2. Funding and material support</w:t>
      </w:r>
    </w:p>
    <w:p w14:paraId="693A4F8B"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NDT provided financial support and in-kind contributions for this study including prototype LFIA-CL cassettes, colloidal gold/HRP–conjugated reagents, and access to the proprietary portable chemiluminescent detector.  </w:t>
      </w:r>
    </w:p>
    <w:p w14:paraId="7D0A7E55"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The United States Department of Agriculture (USDA) provided proficiency sera panels used for assay verification. The USDA’s contribution was limited to provision of proficiency samples; the USDA had no role in study design, execution, analysis, interpretation, or manuscript preparation.</w:t>
      </w:r>
    </w:p>
    <w:p w14:paraId="169D6B55"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302B574C"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3. Role of the funder(s) and safeguards against bias</w:t>
      </w:r>
    </w:p>
    <w:p w14:paraId="09C0DA07"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NDT staff participated in assay development, optimization, and generation of prototype reagents, and several NDT-affiliated authors contributed to experimental execution and drafting of the manuscript.  </w:t>
      </w:r>
    </w:p>
    <w:p w14:paraId="4678E2BC"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To mitigate potential bias arising from commercial involvement, the following safeguards were implemented:  </w:t>
      </w:r>
    </w:p>
    <w:p w14:paraId="269F15DF"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a. Verification testing included blinded proficiency panels supplied by the USDA.  </w:t>
      </w:r>
    </w:p>
    <w:p w14:paraId="4016E21B"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b. Raw data sets and analytic code used for statistical analyses were independently reviewed by co-authors affiliated with academic or government institutions not employed by NDT.  </w:t>
      </w:r>
    </w:p>
    <w:p w14:paraId="48ECF455"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c. Statistical analyses and calculation of performance metrics (sensitivity, specificity, positive predictive value, negative predictive value, and receiver operating characteristic curves) were independently replicated by at least one author without ties to NDT.  </w:t>
      </w:r>
    </w:p>
    <w:p w14:paraId="45664881"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xml:space="preserve">  d. All raw chemiluminescent readouts and representative LFIA images are provided in the Supplementary Materials to enable external re-evaluation.</w:t>
      </w:r>
    </w:p>
    <w:p w14:paraId="7FF85EB7"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76569B39"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4. Intellectual property and future commercialization</w:t>
      </w:r>
    </w:p>
    <w:p w14:paraId="738DC693"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lastRenderedPageBreak/>
        <w:t>- The authors disclose that the dual LFIA–CL technology and the portable detector are the focus of ongoing commercial development by NDT. Some of the authors are named inventors on relevant intellectual property filings and may benefit indirectly from commercialization. These interests have been declared to their respective institutions in accordance with institutional conflict-of-interest policies.</w:t>
      </w:r>
    </w:p>
    <w:p w14:paraId="2107F2C2"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48F8D1F8"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5. Remaining authors</w:t>
      </w:r>
    </w:p>
    <w:p w14:paraId="0C9BFA9A"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All authors not explicitly identified above declare that they have no competing financial or non</w:t>
      </w:r>
      <w:r w:rsidRPr="00A04E3F">
        <w:rPr>
          <w:rFonts w:ascii="Cambria Math" w:eastAsia="SimSun" w:hAnsi="Cambria Math" w:cs="Cambria Math"/>
          <w:color w:val="000000" w:themeColor="text1"/>
          <w:u w:val="single"/>
        </w:rPr>
        <w:t>‑</w:t>
      </w:r>
      <w:r w:rsidRPr="00A04E3F">
        <w:rPr>
          <w:rFonts w:ascii="Arial" w:eastAsia="SimSun" w:hAnsi="Arial" w:cs="Arial"/>
          <w:color w:val="000000" w:themeColor="text1"/>
          <w:u w:val="single"/>
        </w:rPr>
        <w:t>financial interests related to this work.</w:t>
      </w:r>
    </w:p>
    <w:p w14:paraId="56E9A1D0"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5BF1876C"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Statement of adherence</w:t>
      </w:r>
    </w:p>
    <w:p w14:paraId="5BE5126C" w14:textId="77777777" w:rsidR="00A04E3F" w:rsidRPr="00A04E3F" w:rsidRDefault="00A04E3F" w:rsidP="00A04E3F">
      <w:pPr>
        <w:spacing w:line="360" w:lineRule="auto"/>
        <w:ind w:left="720"/>
        <w:jc w:val="both"/>
        <w:rPr>
          <w:rFonts w:ascii="Arial" w:eastAsia="SimSun" w:hAnsi="Arial" w:cs="Arial"/>
          <w:color w:val="000000" w:themeColor="text1"/>
          <w:u w:val="single"/>
        </w:rPr>
      </w:pPr>
      <w:r w:rsidRPr="00A04E3F">
        <w:rPr>
          <w:rFonts w:ascii="Arial" w:eastAsia="SimSun" w:hAnsi="Arial" w:cs="Arial"/>
          <w:color w:val="000000" w:themeColor="text1"/>
          <w:u w:val="single"/>
        </w:rPr>
        <w:t>- All disclosures were made in accordance with the conflict-of-interest policies of the authors’ respective institutions and the journal to which this manuscript is submitted. Any material additional to the above will be made available to editors or reviewers upon request.</w:t>
      </w:r>
    </w:p>
    <w:p w14:paraId="7E00B16A" w14:textId="77777777" w:rsidR="00A04E3F" w:rsidRPr="00A04E3F" w:rsidRDefault="00A04E3F" w:rsidP="00A04E3F">
      <w:pPr>
        <w:spacing w:line="360" w:lineRule="auto"/>
        <w:ind w:left="720"/>
        <w:jc w:val="both"/>
        <w:rPr>
          <w:rFonts w:ascii="Arial" w:eastAsia="SimSun" w:hAnsi="Arial" w:cs="Arial"/>
          <w:color w:val="000000" w:themeColor="text1"/>
          <w:u w:val="single"/>
        </w:rPr>
      </w:pPr>
    </w:p>
    <w:p w14:paraId="51EEA7CA" w14:textId="7BA33D32" w:rsidR="00A04E3F" w:rsidRPr="00A04E3F" w:rsidRDefault="00A04E3F" w:rsidP="00A04E3F">
      <w:pPr>
        <w:spacing w:line="360" w:lineRule="auto"/>
        <w:ind w:left="720"/>
        <w:jc w:val="both"/>
        <w:rPr>
          <w:rFonts w:ascii="Arial" w:eastAsia="SimSun" w:hAnsi="Arial" w:cs="Arial" w:hint="eastAsia"/>
          <w:color w:val="000000" w:themeColor="text1"/>
          <w:u w:val="single"/>
        </w:rPr>
      </w:pPr>
      <w:r w:rsidRPr="00A04E3F">
        <w:rPr>
          <w:rFonts w:ascii="Arial" w:eastAsia="SimSun" w:hAnsi="Arial" w:cs="Arial"/>
          <w:color w:val="000000" w:themeColor="text1"/>
          <w:u w:val="single"/>
        </w:rPr>
        <w:t>(Definitions: LFIA = lateral flow immunoassay; CL = chemiluminescence; HRP = horseradish peroxidase; USDA = United States Department of Agriculture.)</w:t>
      </w:r>
    </w:p>
    <w:p w14:paraId="31F627CD" w14:textId="4CBD990B" w:rsidR="00903D50" w:rsidRPr="00864321" w:rsidRDefault="000B784A" w:rsidP="000B784A">
      <w:pPr>
        <w:spacing w:line="360" w:lineRule="auto"/>
        <w:ind w:left="720"/>
        <w:jc w:val="both"/>
        <w:rPr>
          <w:rFonts w:eastAsia="SimSun"/>
          <w:b/>
          <w:bCs/>
          <w:color w:val="000000" w:themeColor="text1"/>
        </w:rPr>
      </w:pPr>
      <w:r w:rsidRPr="00864321">
        <w:rPr>
          <w:rFonts w:eastAsia="SimSun"/>
          <w:b/>
          <w:bCs/>
          <w:color w:val="000000" w:themeColor="text1"/>
        </w:rPr>
        <w:t>6.</w:t>
      </w:r>
      <w:r w:rsidR="00903D50" w:rsidRPr="00864321">
        <w:rPr>
          <w:rFonts w:eastAsia="SimSun"/>
          <w:b/>
          <w:bCs/>
          <w:color w:val="000000" w:themeColor="text1"/>
        </w:rPr>
        <w:t xml:space="preserve"> References</w:t>
      </w:r>
    </w:p>
    <w:p w14:paraId="4961A0D8" w14:textId="7A136540" w:rsidR="00103276" w:rsidRPr="00103276"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103276">
        <w:rPr>
          <w:color w:val="000000"/>
          <w:u w:val="single"/>
        </w:rPr>
        <w:t xml:space="preserve">AM </w:t>
      </w:r>
      <w:proofErr w:type="spellStart"/>
      <w:r w:rsidRPr="00103276">
        <w:rPr>
          <w:color w:val="000000"/>
          <w:u w:val="single"/>
        </w:rPr>
        <w:t>Mayaki</w:t>
      </w:r>
      <w:proofErr w:type="spellEnd"/>
      <w:r w:rsidRPr="00103276">
        <w:rPr>
          <w:color w:val="000000"/>
          <w:u w:val="single"/>
        </w:rPr>
        <w:t xml:space="preserve">, CAO </w:t>
      </w:r>
      <w:proofErr w:type="spellStart"/>
      <w:r w:rsidRPr="00103276">
        <w:rPr>
          <w:color w:val="000000"/>
          <w:u w:val="single"/>
        </w:rPr>
        <w:t>Adeyefa</w:t>
      </w:r>
      <w:proofErr w:type="spellEnd"/>
      <w:r w:rsidRPr="00103276">
        <w:rPr>
          <w:color w:val="000000"/>
          <w:u w:val="single"/>
        </w:rPr>
        <w:t xml:space="preserve"> &amp; CO </w:t>
      </w:r>
      <w:proofErr w:type="spellStart"/>
      <w:r w:rsidRPr="00103276">
        <w:rPr>
          <w:color w:val="000000"/>
          <w:u w:val="single"/>
        </w:rPr>
        <w:t>Aiki</w:t>
      </w:r>
      <w:proofErr w:type="spellEnd"/>
      <w:r w:rsidRPr="00103276">
        <w:rPr>
          <w:color w:val="000000"/>
          <w:u w:val="single"/>
        </w:rPr>
        <w:t>-Raji</w:t>
      </w:r>
      <w:r w:rsidRPr="00103276">
        <w:rPr>
          <w:color w:val="000000"/>
          <w:u w:val="single"/>
        </w:rPr>
        <w:t>.</w:t>
      </w:r>
      <w:r w:rsidRPr="00103276">
        <w:rPr>
          <w:u w:val="single"/>
        </w:rPr>
        <w:t xml:space="preserve"> </w:t>
      </w:r>
      <w:r w:rsidRPr="00103276">
        <w:rPr>
          <w:u w:val="single"/>
        </w:rPr>
        <w:t>Detection of IgG and/or IgM antibodies against equine</w:t>
      </w:r>
      <w:r w:rsidRPr="00103276">
        <w:rPr>
          <w:u w:val="single"/>
        </w:rPr>
        <w:t xml:space="preserve"> </w:t>
      </w:r>
      <w:r w:rsidRPr="00103276">
        <w:rPr>
          <w:color w:val="000000"/>
          <w:u w:val="single"/>
        </w:rPr>
        <w:t xml:space="preserve">infectious </w:t>
      </w:r>
      <w:proofErr w:type="spellStart"/>
      <w:r w:rsidRPr="00103276">
        <w:rPr>
          <w:color w:val="000000"/>
          <w:u w:val="single"/>
        </w:rPr>
        <w:t>anaemia</w:t>
      </w:r>
      <w:proofErr w:type="spellEnd"/>
      <w:r w:rsidRPr="00103276">
        <w:rPr>
          <w:color w:val="000000"/>
          <w:u w:val="single"/>
        </w:rPr>
        <w:t xml:space="preserve"> virus (EIAV) in Nigerian race and polo horses</w:t>
      </w:r>
      <w:r w:rsidRPr="00103276">
        <w:rPr>
          <w:u w:val="single"/>
        </w:rPr>
        <w:t xml:space="preserve">. </w:t>
      </w:r>
      <w:r w:rsidRPr="00103276">
        <w:rPr>
          <w:u w:val="single"/>
        </w:rPr>
        <w:t>Sokoto Journal of Veterinary Sciences</w:t>
      </w:r>
      <w:r w:rsidR="001E6090">
        <w:rPr>
          <w:rFonts w:hint="eastAsia"/>
          <w:u w:val="single"/>
        </w:rPr>
        <w:t>.</w:t>
      </w:r>
      <w:r w:rsidRPr="00103276">
        <w:rPr>
          <w:u w:val="single"/>
        </w:rPr>
        <w:t xml:space="preserve"> 2014</w:t>
      </w:r>
      <w:r w:rsidR="001E6090">
        <w:rPr>
          <w:rFonts w:hint="eastAsia"/>
          <w:u w:val="single"/>
        </w:rPr>
        <w:t>;</w:t>
      </w:r>
      <w:r w:rsidRPr="00103276">
        <w:rPr>
          <w:u w:val="single"/>
        </w:rPr>
        <w:t xml:space="preserve"> 12(3): 32-36</w:t>
      </w:r>
    </w:p>
    <w:p w14:paraId="4164596F" w14:textId="77777777" w:rsidR="00103276" w:rsidRPr="00864321" w:rsidRDefault="00103276" w:rsidP="000B784A">
      <w:pPr>
        <w:pStyle w:val="ListParagraph"/>
        <w:numPr>
          <w:ilvl w:val="0"/>
          <w:numId w:val="5"/>
        </w:numPr>
        <w:tabs>
          <w:tab w:val="left" w:pos="90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Coggins, L. The Coggins test for equine infectious anemia: agar gel immunodiffusion. Proceedings of the 15th Annual Meeting, American Association of Equine Practitioners; 1970.</w:t>
      </w:r>
    </w:p>
    <w:p w14:paraId="41C7BE6E"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Crowther, J. R. The ELISA Guidebook. 2nd ed. Methods in Molecular Biology. Humana Press; 2009. (Principles and validation of enzyme-linked immunosorbent assays.)</w:t>
      </w:r>
    </w:p>
    <w:p w14:paraId="26E16A43"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European Food Safety Authority (EFSA). Surveillance and control approaches for equine infectious anemia in European Member States. EFSA Journal. 2015;13(6):4123.</w:t>
      </w:r>
    </w:p>
    <w:p w14:paraId="30B66030"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lastRenderedPageBreak/>
        <w:t xml:space="preserve">Ferrer, L., &amp; </w:t>
      </w:r>
      <w:proofErr w:type="spellStart"/>
      <w:r w:rsidRPr="00864321">
        <w:rPr>
          <w:rFonts w:ascii="Times New Roman" w:eastAsia="SimSun" w:hAnsi="Times New Roman" w:cs="Times New Roman"/>
          <w:color w:val="000000" w:themeColor="text1"/>
        </w:rPr>
        <w:t>Leunda</w:t>
      </w:r>
      <w:proofErr w:type="spellEnd"/>
      <w:r w:rsidRPr="00864321">
        <w:rPr>
          <w:rFonts w:ascii="Times New Roman" w:eastAsia="SimSun" w:hAnsi="Times New Roman" w:cs="Times New Roman"/>
          <w:color w:val="000000" w:themeColor="text1"/>
        </w:rPr>
        <w:t>, M. Use of recombinant p26 and glycoprotein antigens for EIAV serodiagnosis: sensitivity and specificity comparisons with conventional AGID and ELISA methods. Veterinary Microbiology. 2012;156(3–4):227–233.</w:t>
      </w:r>
    </w:p>
    <w:p w14:paraId="5F94CEBA" w14:textId="77777777" w:rsidR="00103276" w:rsidRPr="00864321" w:rsidRDefault="00103276" w:rsidP="000B784A">
      <w:pPr>
        <w:pStyle w:val="ListParagraph"/>
        <w:numPr>
          <w:ilvl w:val="0"/>
          <w:numId w:val="5"/>
        </w:numPr>
        <w:tabs>
          <w:tab w:val="left" w:pos="90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Hermanson, G. T. Bioconjugate Techniques. 3rd ed. Academic Press; 2013. (Methods for enzyme and colloidal gold conjugation.)</w:t>
      </w:r>
    </w:p>
    <w:p w14:paraId="6ACBA5BC" w14:textId="1CA42C90" w:rsidR="00103276" w:rsidRPr="00103276"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103276">
        <w:rPr>
          <w:rFonts w:eastAsia="Times New Roman"/>
          <w:color w:val="141413"/>
          <w:u w:val="single"/>
        </w:rPr>
        <w:t xml:space="preserve">I. </w:t>
      </w:r>
      <w:proofErr w:type="gramStart"/>
      <w:r w:rsidRPr="00103276">
        <w:rPr>
          <w:rFonts w:eastAsia="Times New Roman"/>
          <w:color w:val="141413"/>
          <w:u w:val="single"/>
        </w:rPr>
        <w:t xml:space="preserve">Alvarez </w:t>
      </w:r>
      <w:r w:rsidRPr="00103276">
        <w:rPr>
          <w:color w:val="000000"/>
          <w:u w:val="single"/>
        </w:rPr>
        <w:t>,</w:t>
      </w:r>
      <w:proofErr w:type="gramEnd"/>
      <w:r w:rsidRPr="00103276">
        <w:rPr>
          <w:color w:val="000000"/>
          <w:u w:val="single"/>
        </w:rPr>
        <w:t xml:space="preserve"> G. Gutierrez, M. </w:t>
      </w:r>
      <w:proofErr w:type="spellStart"/>
      <w:r w:rsidRPr="00103276">
        <w:rPr>
          <w:color w:val="000000"/>
          <w:u w:val="single"/>
        </w:rPr>
        <w:t>Barrandeguy</w:t>
      </w:r>
      <w:proofErr w:type="spellEnd"/>
      <w:r w:rsidRPr="00103276">
        <w:rPr>
          <w:color w:val="000000"/>
          <w:u w:val="single"/>
        </w:rPr>
        <w:t>, K. Trono</w:t>
      </w:r>
      <w:r w:rsidRPr="00103276">
        <w:rPr>
          <w:color w:val="000000"/>
          <w:u w:val="single"/>
        </w:rPr>
        <w:t>.</w:t>
      </w:r>
      <w:r w:rsidRPr="00103276">
        <w:rPr>
          <w:u w:val="single"/>
        </w:rPr>
        <w:t xml:space="preserve"> </w:t>
      </w:r>
      <w:r w:rsidRPr="00103276">
        <w:rPr>
          <w:color w:val="141413"/>
          <w:u w:val="single"/>
        </w:rPr>
        <w:t>Immunochromatographic lateral flow test for detection of antibodies to Equine</w:t>
      </w:r>
      <w:r w:rsidRPr="00103276">
        <w:rPr>
          <w:color w:val="141413"/>
          <w:u w:val="single"/>
        </w:rPr>
        <w:t xml:space="preserve"> </w:t>
      </w:r>
      <w:r w:rsidRPr="00103276">
        <w:rPr>
          <w:color w:val="141413"/>
          <w:u w:val="single"/>
        </w:rPr>
        <w:t>infectious anemia virus</w:t>
      </w:r>
      <w:r w:rsidRPr="00103276">
        <w:rPr>
          <w:color w:val="141413"/>
          <w:u w:val="single"/>
        </w:rPr>
        <w:t>.</w:t>
      </w:r>
      <w:r w:rsidRPr="00103276">
        <w:rPr>
          <w:u w:val="single"/>
        </w:rPr>
        <w:t xml:space="preserve"> </w:t>
      </w:r>
      <w:r w:rsidRPr="00103276">
        <w:rPr>
          <w:color w:val="000053"/>
          <w:u w:val="single"/>
        </w:rPr>
        <w:t>Journal of Virological Methods 2010</w:t>
      </w:r>
      <w:r w:rsidR="001E6090">
        <w:rPr>
          <w:rFonts w:hint="eastAsia"/>
          <w:color w:val="000053"/>
          <w:u w:val="single"/>
        </w:rPr>
        <w:t>;</w:t>
      </w:r>
      <w:r w:rsidRPr="00103276">
        <w:rPr>
          <w:color w:val="000053"/>
          <w:u w:val="single"/>
        </w:rPr>
        <w:t xml:space="preserve"> </w:t>
      </w:r>
      <w:r w:rsidR="001E6090" w:rsidRPr="00103276">
        <w:rPr>
          <w:color w:val="000053"/>
          <w:u w:val="single"/>
        </w:rPr>
        <w:t>167</w:t>
      </w:r>
      <w:r w:rsidR="001E6090">
        <w:rPr>
          <w:rFonts w:hint="eastAsia"/>
          <w:color w:val="000053"/>
          <w:u w:val="single"/>
        </w:rPr>
        <w:t>:</w:t>
      </w:r>
      <w:r w:rsidRPr="00103276">
        <w:rPr>
          <w:color w:val="000053"/>
          <w:u w:val="single"/>
        </w:rPr>
        <w:t>152–157</w:t>
      </w:r>
    </w:p>
    <w:p w14:paraId="21A21A48"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Istituto </w:t>
      </w:r>
      <w:proofErr w:type="spellStart"/>
      <w:r w:rsidRPr="00864321">
        <w:rPr>
          <w:rFonts w:ascii="Times New Roman" w:eastAsia="SimSun" w:hAnsi="Times New Roman" w:cs="Times New Roman"/>
          <w:color w:val="000000" w:themeColor="text1"/>
        </w:rPr>
        <w:t>Zooprofilattico</w:t>
      </w:r>
      <w:proofErr w:type="spellEnd"/>
      <w:r w:rsidRPr="00864321">
        <w:rPr>
          <w:rFonts w:ascii="Times New Roman" w:eastAsia="SimSun" w:hAnsi="Times New Roman" w:cs="Times New Roman"/>
          <w:color w:val="000000" w:themeColor="text1"/>
        </w:rPr>
        <w:t xml:space="preserve"> </w:t>
      </w:r>
      <w:proofErr w:type="spellStart"/>
      <w:r w:rsidRPr="00864321">
        <w:rPr>
          <w:rFonts w:ascii="Times New Roman" w:eastAsia="SimSun" w:hAnsi="Times New Roman" w:cs="Times New Roman"/>
          <w:color w:val="000000" w:themeColor="text1"/>
        </w:rPr>
        <w:t>Sperimentale</w:t>
      </w:r>
      <w:proofErr w:type="spellEnd"/>
      <w:r w:rsidRPr="00864321">
        <w:rPr>
          <w:rFonts w:ascii="Times New Roman" w:eastAsia="SimSun" w:hAnsi="Times New Roman" w:cs="Times New Roman"/>
          <w:color w:val="000000" w:themeColor="text1"/>
        </w:rPr>
        <w:t xml:space="preserve">. National guidelines for equine infectious anemia testing and movement controls (Italy). Rome: </w:t>
      </w:r>
      <w:proofErr w:type="spellStart"/>
      <w:r w:rsidRPr="00864321">
        <w:rPr>
          <w:rFonts w:ascii="Times New Roman" w:eastAsia="SimSun" w:hAnsi="Times New Roman" w:cs="Times New Roman"/>
          <w:color w:val="000000" w:themeColor="text1"/>
        </w:rPr>
        <w:t>Ministero</w:t>
      </w:r>
      <w:proofErr w:type="spellEnd"/>
      <w:r w:rsidRPr="00864321">
        <w:rPr>
          <w:rFonts w:ascii="Times New Roman" w:eastAsia="SimSun" w:hAnsi="Times New Roman" w:cs="Times New Roman"/>
          <w:color w:val="000000" w:themeColor="text1"/>
        </w:rPr>
        <w:t xml:space="preserve"> della Salute; 2016.</w:t>
      </w:r>
    </w:p>
    <w:p w14:paraId="62D6EEBB"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Leong, F. T. L., &amp; Ng, K. Y. Validation of rapid immunochromatographic assays for veterinary diagnostics: statistical approaches and acceptance criteria. Veterinary Journal. 2011;188(2):123–130.</w:t>
      </w:r>
    </w:p>
    <w:p w14:paraId="6A916D13"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Liu, J., Zeng, L., &amp; Shen, J. Dual-signal lateral flow assays: combining visual and instrumental readouts for improved sensitivity and robustness. Analytical Chemistry. 2018;90(3):1527–1535.</w:t>
      </w:r>
    </w:p>
    <w:p w14:paraId="68125661" w14:textId="77777777" w:rsidR="00103276" w:rsidRPr="00864321" w:rsidRDefault="00103276" w:rsidP="001E6090">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Mabbott, N. A., &amp; Andrew, D. S. Application of recombinant viral antigens for serological diagnosis of lentiviral infections. Journal of Virological Methods. 2006;137(2):197–206.</w:t>
      </w:r>
    </w:p>
    <w:p w14:paraId="2288B755"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proofErr w:type="spellStart"/>
      <w:r w:rsidRPr="00864321">
        <w:rPr>
          <w:rFonts w:ascii="Times New Roman" w:eastAsia="SimSun" w:hAnsi="Times New Roman" w:cs="Times New Roman"/>
          <w:color w:val="000000" w:themeColor="text1"/>
        </w:rPr>
        <w:t>Ministério</w:t>
      </w:r>
      <w:proofErr w:type="spellEnd"/>
      <w:r w:rsidRPr="00864321">
        <w:rPr>
          <w:rFonts w:ascii="Times New Roman" w:eastAsia="SimSun" w:hAnsi="Times New Roman" w:cs="Times New Roman"/>
          <w:color w:val="000000" w:themeColor="text1"/>
        </w:rPr>
        <w:t xml:space="preserve"> da Agricultura, </w:t>
      </w:r>
      <w:proofErr w:type="spellStart"/>
      <w:r w:rsidRPr="00864321">
        <w:rPr>
          <w:rFonts w:ascii="Times New Roman" w:eastAsia="SimSun" w:hAnsi="Times New Roman" w:cs="Times New Roman"/>
          <w:color w:val="000000" w:themeColor="text1"/>
        </w:rPr>
        <w:t>Pecuária</w:t>
      </w:r>
      <w:proofErr w:type="spellEnd"/>
      <w:r w:rsidRPr="00864321">
        <w:rPr>
          <w:rFonts w:ascii="Times New Roman" w:eastAsia="SimSun" w:hAnsi="Times New Roman" w:cs="Times New Roman"/>
          <w:color w:val="000000" w:themeColor="text1"/>
        </w:rPr>
        <w:t xml:space="preserve"> e </w:t>
      </w:r>
      <w:proofErr w:type="spellStart"/>
      <w:r w:rsidRPr="00864321">
        <w:rPr>
          <w:rFonts w:ascii="Times New Roman" w:eastAsia="SimSun" w:hAnsi="Times New Roman" w:cs="Times New Roman"/>
          <w:color w:val="000000" w:themeColor="text1"/>
        </w:rPr>
        <w:t>Abastecimento</w:t>
      </w:r>
      <w:proofErr w:type="spellEnd"/>
      <w:r w:rsidRPr="00864321">
        <w:rPr>
          <w:rFonts w:ascii="Times New Roman" w:eastAsia="SimSun" w:hAnsi="Times New Roman" w:cs="Times New Roman"/>
          <w:color w:val="000000" w:themeColor="text1"/>
        </w:rPr>
        <w:t xml:space="preserve"> (MAPA), Brazil. Program for the Control and Eradication of Equine Infectious Anemia. MAPA Technical Circular; 2014.</w:t>
      </w:r>
    </w:p>
    <w:p w14:paraId="71EE0786"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National Center for Biotechnology Information (NCBI). GenBank: EIAV genome and protein sequences. Available from: https://www.ncbi.nlm.nih.gov</w:t>
      </w:r>
    </w:p>
    <w:p w14:paraId="53A3A31A" w14:textId="77777777" w:rsidR="00103276" w:rsidRPr="00864321"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National Veterinary Services Laboratories (NVSL), USDA. Equine Infectious Anemia Proficiency Testing Program: Procedural Overview and Panel Composition. Ames, IA: NVSL; 2019.</w:t>
      </w:r>
    </w:p>
    <w:p w14:paraId="47B50D36" w14:textId="77777777" w:rsidR="00103276" w:rsidRPr="00864321"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Posthuma-</w:t>
      </w:r>
      <w:proofErr w:type="spellStart"/>
      <w:r w:rsidRPr="00864321">
        <w:rPr>
          <w:rFonts w:ascii="Times New Roman" w:eastAsia="SimSun" w:hAnsi="Times New Roman" w:cs="Times New Roman"/>
          <w:color w:val="000000" w:themeColor="text1"/>
        </w:rPr>
        <w:t>Trumpie</w:t>
      </w:r>
      <w:proofErr w:type="spellEnd"/>
      <w:r w:rsidRPr="00864321">
        <w:rPr>
          <w:rFonts w:ascii="Times New Roman" w:eastAsia="SimSun" w:hAnsi="Times New Roman" w:cs="Times New Roman"/>
          <w:color w:val="000000" w:themeColor="text1"/>
        </w:rPr>
        <w:t>, G. A., Korf, J., &amp; van Amerongen, A. Lateral flow (</w:t>
      </w:r>
      <w:proofErr w:type="spellStart"/>
      <w:r w:rsidRPr="00864321">
        <w:rPr>
          <w:rFonts w:ascii="Times New Roman" w:eastAsia="SimSun" w:hAnsi="Times New Roman" w:cs="Times New Roman"/>
          <w:color w:val="000000" w:themeColor="text1"/>
        </w:rPr>
        <w:t>immuno</w:t>
      </w:r>
      <w:proofErr w:type="spellEnd"/>
      <w:r w:rsidRPr="00864321">
        <w:rPr>
          <w:rFonts w:ascii="Times New Roman" w:eastAsia="SimSun" w:hAnsi="Times New Roman" w:cs="Times New Roman"/>
          <w:color w:val="000000" w:themeColor="text1"/>
        </w:rPr>
        <w:t>)assay: its strengths, weaknesses, opportunities and threats. Analytical and Bioanalytical Chemistry. 2009;393(2):569–582.</w:t>
      </w:r>
    </w:p>
    <w:p w14:paraId="07C8B89F"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Reed, S. M., &amp; Bayly, W. M. Equine Infectious Diseases: Epidemiology and Economic Impact. In: Equine Medicine. 3rd ed. Elsevier; 2014. p. 1123–1142.</w:t>
      </w:r>
    </w:p>
    <w:p w14:paraId="3A5F63BC"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lastRenderedPageBreak/>
        <w:t xml:space="preserve">Servicio Nacional de Sanidad y Calidad </w:t>
      </w:r>
      <w:proofErr w:type="spellStart"/>
      <w:r w:rsidRPr="00864321">
        <w:rPr>
          <w:rFonts w:ascii="Times New Roman" w:eastAsia="SimSun" w:hAnsi="Times New Roman" w:cs="Times New Roman"/>
          <w:color w:val="000000" w:themeColor="text1"/>
        </w:rPr>
        <w:t>Agroalimentaria</w:t>
      </w:r>
      <w:proofErr w:type="spellEnd"/>
      <w:r w:rsidRPr="00864321">
        <w:rPr>
          <w:rFonts w:ascii="Times New Roman" w:eastAsia="SimSun" w:hAnsi="Times New Roman" w:cs="Times New Roman"/>
          <w:color w:val="000000" w:themeColor="text1"/>
        </w:rPr>
        <w:t xml:space="preserve"> (SENASA), Argentina. Official procedures for diagnosis and control of equine infectious anemia. SENASA Technical Bulletin; 2015.</w:t>
      </w:r>
    </w:p>
    <w:p w14:paraId="7881F112"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Tang, Z., &amp; Wang, J. Portable chemiluminescence detectors for field-deployable immunoassays: design considerations and performance. Sensors and Actuators B: Chemical. </w:t>
      </w:r>
      <w:proofErr w:type="gramStart"/>
      <w:r w:rsidRPr="00864321">
        <w:rPr>
          <w:rFonts w:ascii="Times New Roman" w:eastAsia="SimSun" w:hAnsi="Times New Roman" w:cs="Times New Roman"/>
          <w:color w:val="000000" w:themeColor="text1"/>
        </w:rPr>
        <w:t>2019;289:41</w:t>
      </w:r>
      <w:proofErr w:type="gramEnd"/>
      <w:r w:rsidRPr="00864321">
        <w:rPr>
          <w:rFonts w:ascii="Times New Roman" w:eastAsia="SimSun" w:hAnsi="Times New Roman" w:cs="Times New Roman"/>
          <w:color w:val="000000" w:themeColor="text1"/>
        </w:rPr>
        <w:t>–55.</w:t>
      </w:r>
    </w:p>
    <w:p w14:paraId="2C0A2E36" w14:textId="318457D9" w:rsidR="00103276" w:rsidRPr="00103276"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103276">
        <w:rPr>
          <w:u w:val="single"/>
        </w:rPr>
        <w:t>Tatsuo Matsushita, Lyndal K. Hesterberg, James P. Porter,</w:t>
      </w:r>
      <w:r w:rsidRPr="00103276">
        <w:rPr>
          <w:u w:val="single"/>
        </w:rPr>
        <w:t xml:space="preserve"> </w:t>
      </w:r>
      <w:r w:rsidRPr="00103276">
        <w:rPr>
          <w:u w:val="single"/>
        </w:rPr>
        <w:t>Barbara J. Smith, Louis E. Newman</w:t>
      </w:r>
      <w:r w:rsidRPr="00103276">
        <w:rPr>
          <w:u w:val="single"/>
        </w:rPr>
        <w:t>.</w:t>
      </w:r>
      <w:r w:rsidRPr="00103276">
        <w:rPr>
          <w:b/>
          <w:bCs/>
          <w:u w:val="single"/>
        </w:rPr>
        <w:t xml:space="preserve"> </w:t>
      </w:r>
      <w:r w:rsidRPr="00103276">
        <w:rPr>
          <w:b/>
          <w:bCs/>
          <w:u w:val="single"/>
        </w:rPr>
        <w:t>Comparison of diagnostic tests for the detection of</w:t>
      </w:r>
      <w:r w:rsidRPr="00103276">
        <w:rPr>
          <w:b/>
          <w:bCs/>
          <w:u w:val="single"/>
        </w:rPr>
        <w:t xml:space="preserve"> </w:t>
      </w:r>
      <w:r w:rsidRPr="00103276">
        <w:rPr>
          <w:b/>
          <w:bCs/>
          <w:u w:val="single"/>
        </w:rPr>
        <w:t>equine infectious anemia antibody</w:t>
      </w:r>
      <w:r w:rsidRPr="00103276">
        <w:rPr>
          <w:b/>
          <w:bCs/>
          <w:u w:val="single"/>
        </w:rPr>
        <w:t>.</w:t>
      </w:r>
      <w:r w:rsidRPr="00103276">
        <w:rPr>
          <w:u w:val="single"/>
        </w:rPr>
        <w:t xml:space="preserve"> </w:t>
      </w:r>
      <w:r w:rsidRPr="00103276">
        <w:rPr>
          <w:u w:val="single"/>
        </w:rPr>
        <w:t xml:space="preserve">J Vet </w:t>
      </w:r>
      <w:proofErr w:type="spellStart"/>
      <w:r w:rsidRPr="00103276">
        <w:rPr>
          <w:rFonts w:eastAsia="Times New Roman"/>
          <w:u w:val="single"/>
        </w:rPr>
        <w:t>Diagn</w:t>
      </w:r>
      <w:proofErr w:type="spellEnd"/>
      <w:r w:rsidRPr="00103276">
        <w:rPr>
          <w:rFonts w:eastAsia="Times New Roman"/>
          <w:u w:val="single"/>
        </w:rPr>
        <w:t xml:space="preserve"> Invest</w:t>
      </w:r>
      <w:r w:rsidR="001E6090">
        <w:rPr>
          <w:rFonts w:eastAsia="Times New Roman" w:hint="eastAsia"/>
          <w:u w:val="single"/>
        </w:rPr>
        <w:t>.</w:t>
      </w:r>
      <w:r w:rsidRPr="00103276">
        <w:rPr>
          <w:u w:val="single"/>
        </w:rPr>
        <w:t>1989</w:t>
      </w:r>
      <w:r w:rsidR="001E6090">
        <w:rPr>
          <w:rFonts w:hint="eastAsia"/>
          <w:u w:val="single"/>
        </w:rPr>
        <w:t>;</w:t>
      </w:r>
      <w:r w:rsidRPr="00103276">
        <w:rPr>
          <w:u w:val="single"/>
        </w:rPr>
        <w:t xml:space="preserve">1:50-52 </w:t>
      </w:r>
    </w:p>
    <w:p w14:paraId="1D9B8C09" w14:textId="77777777" w:rsidR="00103276" w:rsidRPr="00864321"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United States Department of Agriculture, Animal and Plant Health Inspection Service (USDA–APHIS). Equine Infectious Anemia: Factsheet and Control Program Overview. USDA–APHIS; 2017. Available from: </w:t>
      </w:r>
      <w:hyperlink r:id="rId14" w:history="1">
        <w:r w:rsidRPr="00864321">
          <w:rPr>
            <w:rStyle w:val="Hyperlink"/>
            <w:rFonts w:ascii="Times New Roman" w:eastAsia="SimSun" w:hAnsi="Times New Roman" w:cs="Times New Roman"/>
          </w:rPr>
          <w:t>https://www.aphis.usda.gov</w:t>
        </w:r>
      </w:hyperlink>
    </w:p>
    <w:p w14:paraId="7357F482" w14:textId="3D2B00A4" w:rsidR="00103276" w:rsidRPr="00864321"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Vashist, S. K. Point-of-care diagnostics: recent advances and trends. Biosensors &amp; Bioelectronics. </w:t>
      </w:r>
      <w:proofErr w:type="gramStart"/>
      <w:r w:rsidRPr="00864321">
        <w:rPr>
          <w:rFonts w:ascii="Times New Roman" w:eastAsia="SimSun" w:hAnsi="Times New Roman" w:cs="Times New Roman"/>
          <w:color w:val="000000" w:themeColor="text1"/>
        </w:rPr>
        <w:t>2017;98:76</w:t>
      </w:r>
      <w:proofErr w:type="gramEnd"/>
      <w:r w:rsidRPr="00864321">
        <w:rPr>
          <w:rFonts w:ascii="Times New Roman" w:eastAsia="SimSun" w:hAnsi="Times New Roman" w:cs="Times New Roman"/>
          <w:color w:val="000000" w:themeColor="text1"/>
        </w:rPr>
        <w:t>–84.</w:t>
      </w:r>
    </w:p>
    <w:p w14:paraId="104C04C2" w14:textId="77777777" w:rsidR="00103276" w:rsidRPr="00864321"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World </w:t>
      </w:r>
      <w:proofErr w:type="spellStart"/>
      <w:r w:rsidRPr="00864321">
        <w:rPr>
          <w:rFonts w:ascii="Times New Roman" w:eastAsia="SimSun" w:hAnsi="Times New Roman" w:cs="Times New Roman"/>
          <w:color w:val="000000" w:themeColor="text1"/>
        </w:rPr>
        <w:t>Organisation</w:t>
      </w:r>
      <w:proofErr w:type="spellEnd"/>
      <w:r w:rsidRPr="00864321">
        <w:rPr>
          <w:rFonts w:ascii="Times New Roman" w:eastAsia="SimSun" w:hAnsi="Times New Roman" w:cs="Times New Roman"/>
          <w:color w:val="000000" w:themeColor="text1"/>
        </w:rPr>
        <w:t xml:space="preserve"> for Animal Health (OIE). Diagnostic tests and vaccines for terrestrial animals: chapter on equine infectious anemia (AGID, ELISA and confirmatory testing). In: Manual of Diagnostic Tests and Vaccines for Terrestrial Animals. Paris: OIE; 2018.</w:t>
      </w:r>
    </w:p>
    <w:p w14:paraId="4F5F3EBF" w14:textId="77777777" w:rsidR="00103276" w:rsidRPr="00864321" w:rsidRDefault="00103276" w:rsidP="00103276">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World </w:t>
      </w:r>
      <w:r w:rsidRPr="00864321">
        <w:rPr>
          <w:rFonts w:ascii="Times New Roman" w:eastAsia="SimSun" w:hAnsi="Times New Roman" w:cs="Times New Roman"/>
          <w:color w:val="000000" w:themeColor="text1"/>
        </w:rPr>
        <w:t>Organization</w:t>
      </w:r>
      <w:r w:rsidRPr="00864321">
        <w:rPr>
          <w:rFonts w:ascii="Times New Roman" w:eastAsia="SimSun" w:hAnsi="Times New Roman" w:cs="Times New Roman"/>
          <w:color w:val="000000" w:themeColor="text1"/>
        </w:rPr>
        <w:t xml:space="preserve"> for Animal Health (OIE). Equine Infectious Anemia. In: OIE Terrestrial Manual. Paris: OIE; 2018.</w:t>
      </w:r>
    </w:p>
    <w:p w14:paraId="13F70F0A" w14:textId="77777777" w:rsidR="00103276" w:rsidRPr="00864321" w:rsidRDefault="00103276" w:rsidP="000B784A">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World </w:t>
      </w:r>
      <w:r w:rsidRPr="00864321">
        <w:rPr>
          <w:rFonts w:ascii="Times New Roman" w:eastAsia="SimSun" w:hAnsi="Times New Roman" w:cs="Times New Roman"/>
          <w:color w:val="000000" w:themeColor="text1"/>
        </w:rPr>
        <w:t>Organization</w:t>
      </w:r>
      <w:r w:rsidRPr="00864321">
        <w:rPr>
          <w:rFonts w:ascii="Times New Roman" w:eastAsia="SimSun" w:hAnsi="Times New Roman" w:cs="Times New Roman"/>
          <w:color w:val="000000" w:themeColor="text1"/>
        </w:rPr>
        <w:t xml:space="preserve"> for Animal Health (OIE). Guidelines on validation and quality assurance of diagnostic assays for use in animal health. OIE Technical Series; 2010.</w:t>
      </w:r>
    </w:p>
    <w:p w14:paraId="0808AA75" w14:textId="77777777" w:rsidR="00103276" w:rsidRDefault="00103276" w:rsidP="00620320">
      <w:pPr>
        <w:pStyle w:val="ListParagraph"/>
        <w:numPr>
          <w:ilvl w:val="0"/>
          <w:numId w:val="5"/>
        </w:numPr>
        <w:tabs>
          <w:tab w:val="left" w:pos="900"/>
          <w:tab w:val="left" w:pos="1080"/>
        </w:tabs>
        <w:spacing w:line="360" w:lineRule="auto"/>
        <w:ind w:left="990" w:hanging="270"/>
        <w:jc w:val="both"/>
        <w:rPr>
          <w:rFonts w:ascii="Times New Roman" w:eastAsia="SimSun" w:hAnsi="Times New Roman" w:cs="Times New Roman"/>
          <w:color w:val="000000" w:themeColor="text1"/>
        </w:rPr>
      </w:pPr>
      <w:r w:rsidRPr="00864321">
        <w:rPr>
          <w:rFonts w:ascii="Times New Roman" w:eastAsia="SimSun" w:hAnsi="Times New Roman" w:cs="Times New Roman"/>
          <w:color w:val="000000" w:themeColor="text1"/>
        </w:rPr>
        <w:t xml:space="preserve">Zhang, Y., Zhang, X., &amp; Wang, G. Chemiluminescent lateral flow immunoassays: principles, formats and applications. </w:t>
      </w:r>
      <w:proofErr w:type="spellStart"/>
      <w:r w:rsidRPr="00864321">
        <w:rPr>
          <w:rFonts w:ascii="Times New Roman" w:eastAsia="SimSun" w:hAnsi="Times New Roman" w:cs="Times New Roman"/>
          <w:color w:val="000000" w:themeColor="text1"/>
        </w:rPr>
        <w:t>TrAC</w:t>
      </w:r>
      <w:proofErr w:type="spellEnd"/>
      <w:r w:rsidRPr="00864321">
        <w:rPr>
          <w:rFonts w:ascii="Times New Roman" w:eastAsia="SimSun" w:hAnsi="Times New Roman" w:cs="Times New Roman"/>
          <w:color w:val="000000" w:themeColor="text1"/>
        </w:rPr>
        <w:t xml:space="preserve"> Trends in Analytical Chemistry. </w:t>
      </w:r>
      <w:proofErr w:type="gramStart"/>
      <w:r w:rsidRPr="00864321">
        <w:rPr>
          <w:rFonts w:ascii="Times New Roman" w:eastAsia="SimSun" w:hAnsi="Times New Roman" w:cs="Times New Roman"/>
          <w:color w:val="000000" w:themeColor="text1"/>
        </w:rPr>
        <w:t>2016;79:343</w:t>
      </w:r>
      <w:proofErr w:type="gramEnd"/>
      <w:r w:rsidRPr="00864321">
        <w:rPr>
          <w:rFonts w:ascii="Times New Roman" w:eastAsia="SimSun" w:hAnsi="Times New Roman" w:cs="Times New Roman"/>
          <w:color w:val="000000" w:themeColor="text1"/>
        </w:rPr>
        <w:t>–355.</w:t>
      </w:r>
    </w:p>
    <w:p w14:paraId="7A1CD697" w14:textId="3BB2A9B3" w:rsidR="00103276" w:rsidRPr="00103276" w:rsidRDefault="00103276" w:rsidP="00103276">
      <w:pPr>
        <w:pStyle w:val="p1"/>
        <w:rPr>
          <w:rFonts w:ascii="Helvetica" w:hAnsi="Helvetica" w:hint="eastAsia"/>
          <w:color w:val="141413"/>
          <w:sz w:val="20"/>
          <w:szCs w:val="20"/>
        </w:rPr>
      </w:pPr>
    </w:p>
    <w:p w14:paraId="72AAD953" w14:textId="3F616833" w:rsidR="00103276" w:rsidRPr="00103276" w:rsidRDefault="00103276" w:rsidP="00103276">
      <w:pPr>
        <w:rPr>
          <w:rFonts w:ascii="Helvetica" w:hAnsi="Helvetica" w:hint="eastAsia"/>
          <w:color w:val="000000"/>
          <w:sz w:val="16"/>
          <w:szCs w:val="16"/>
        </w:rPr>
      </w:pPr>
    </w:p>
    <w:p w14:paraId="3C3606CD" w14:textId="77777777" w:rsidR="00103276" w:rsidRPr="00103276" w:rsidRDefault="00103276" w:rsidP="00103276">
      <w:pPr>
        <w:pStyle w:val="p1"/>
        <w:rPr>
          <w:rFonts w:hint="eastAsia"/>
          <w:sz w:val="13"/>
          <w:szCs w:val="13"/>
        </w:rPr>
      </w:pPr>
    </w:p>
    <w:p w14:paraId="3AA96F63" w14:textId="3679CB56" w:rsidR="00103276" w:rsidRPr="00103276" w:rsidRDefault="00103276" w:rsidP="00103276">
      <w:pPr>
        <w:pStyle w:val="p1"/>
        <w:rPr>
          <w:rFonts w:hint="eastAsia"/>
          <w:sz w:val="25"/>
          <w:szCs w:val="25"/>
        </w:rPr>
      </w:pPr>
    </w:p>
    <w:p w14:paraId="174FA7E0" w14:textId="1122FA44" w:rsidR="00103276" w:rsidRPr="00103276" w:rsidRDefault="00103276" w:rsidP="00103276">
      <w:pPr>
        <w:rPr>
          <w:rFonts w:hint="eastAsia"/>
          <w:color w:val="000000"/>
          <w:sz w:val="18"/>
          <w:szCs w:val="18"/>
        </w:rPr>
      </w:pPr>
    </w:p>
    <w:p w14:paraId="67D83570" w14:textId="77777777" w:rsidR="00103276" w:rsidRPr="00620320" w:rsidRDefault="00103276" w:rsidP="00620320">
      <w:pPr>
        <w:pStyle w:val="p1"/>
        <w:rPr>
          <w:rFonts w:ascii="Helvetica" w:hAnsi="Helvetica" w:hint="eastAsia"/>
          <w:sz w:val="27"/>
          <w:szCs w:val="27"/>
        </w:rPr>
      </w:pPr>
    </w:p>
    <w:p w14:paraId="539B3E5F" w14:textId="7C4E8848" w:rsidR="00620320" w:rsidRPr="00620320" w:rsidRDefault="00620320" w:rsidP="00620320">
      <w:pPr>
        <w:rPr>
          <w:rFonts w:ascii="Helvetica" w:hAnsi="Helvetica" w:hint="eastAsia"/>
          <w:color w:val="000000"/>
          <w:sz w:val="21"/>
          <w:szCs w:val="21"/>
        </w:rPr>
      </w:pPr>
    </w:p>
    <w:p w14:paraId="46ACD115" w14:textId="77777777" w:rsidR="00903D50" w:rsidRPr="00E06858" w:rsidRDefault="00903D50" w:rsidP="000B784A">
      <w:pPr>
        <w:spacing w:line="360" w:lineRule="auto"/>
        <w:ind w:left="720"/>
        <w:jc w:val="both"/>
        <w:rPr>
          <w:rFonts w:ascii="SimSun" w:eastAsia="SimSun" w:hAnsi="SimSun" w:cs="SimSun" w:hint="eastAsia"/>
          <w:color w:val="000000" w:themeColor="text1"/>
        </w:rPr>
      </w:pPr>
    </w:p>
    <w:sectPr w:rsidR="00903D50" w:rsidRPr="00E06858">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EAE45" w14:textId="77777777" w:rsidR="005E53AB" w:rsidRDefault="005E53AB" w:rsidP="00864321">
      <w:r>
        <w:separator/>
      </w:r>
    </w:p>
  </w:endnote>
  <w:endnote w:type="continuationSeparator" w:id="0">
    <w:p w14:paraId="70C4E647" w14:textId="77777777" w:rsidR="005E53AB" w:rsidRDefault="005E53AB" w:rsidP="00864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4096724"/>
      <w:docPartObj>
        <w:docPartGallery w:val="Page Numbers (Bottom of Page)"/>
        <w:docPartUnique/>
      </w:docPartObj>
    </w:sdtPr>
    <w:sdtContent>
      <w:p w14:paraId="703BC6B0" w14:textId="48C86354" w:rsidR="00864321" w:rsidRDefault="00864321" w:rsidP="00613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454B1F4" w14:textId="77777777" w:rsidR="00864321" w:rsidRDefault="00864321" w:rsidP="008643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8599240"/>
      <w:docPartObj>
        <w:docPartGallery w:val="Page Numbers (Bottom of Page)"/>
        <w:docPartUnique/>
      </w:docPartObj>
    </w:sdtPr>
    <w:sdtContent>
      <w:p w14:paraId="54248C6C" w14:textId="6A2ABFDE" w:rsidR="00864321" w:rsidRDefault="00864321" w:rsidP="00613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EF11B" w14:textId="77777777" w:rsidR="00864321" w:rsidRDefault="00864321" w:rsidP="008643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411EE" w14:textId="77777777" w:rsidR="005E53AB" w:rsidRDefault="005E53AB" w:rsidP="00864321">
      <w:r>
        <w:separator/>
      </w:r>
    </w:p>
  </w:footnote>
  <w:footnote w:type="continuationSeparator" w:id="0">
    <w:p w14:paraId="560B9903" w14:textId="77777777" w:rsidR="005E53AB" w:rsidRDefault="005E53AB" w:rsidP="00864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E6C2D"/>
    <w:multiLevelType w:val="hybridMultilevel"/>
    <w:tmpl w:val="70FCD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775EE"/>
    <w:multiLevelType w:val="hybridMultilevel"/>
    <w:tmpl w:val="10C6B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BC0520"/>
    <w:multiLevelType w:val="hybridMultilevel"/>
    <w:tmpl w:val="BCFA43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4532D8A"/>
    <w:multiLevelType w:val="hybridMultilevel"/>
    <w:tmpl w:val="899A63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353424"/>
    <w:multiLevelType w:val="hybridMultilevel"/>
    <w:tmpl w:val="2354B4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0610322">
    <w:abstractNumId w:val="1"/>
  </w:num>
  <w:num w:numId="2" w16cid:durableId="461046722">
    <w:abstractNumId w:val="4"/>
  </w:num>
  <w:num w:numId="3" w16cid:durableId="682558413">
    <w:abstractNumId w:val="0"/>
  </w:num>
  <w:num w:numId="4" w16cid:durableId="190731568">
    <w:abstractNumId w:val="3"/>
  </w:num>
  <w:num w:numId="5" w16cid:durableId="130483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828"/>
    <w:rsid w:val="00034CDA"/>
    <w:rsid w:val="000B784A"/>
    <w:rsid w:val="00103276"/>
    <w:rsid w:val="00121B20"/>
    <w:rsid w:val="0013316B"/>
    <w:rsid w:val="00141EAD"/>
    <w:rsid w:val="001473D7"/>
    <w:rsid w:val="001E6090"/>
    <w:rsid w:val="00255F8A"/>
    <w:rsid w:val="0032457F"/>
    <w:rsid w:val="0033315F"/>
    <w:rsid w:val="003453E4"/>
    <w:rsid w:val="003467B7"/>
    <w:rsid w:val="003A6DB3"/>
    <w:rsid w:val="003B20F7"/>
    <w:rsid w:val="004178BC"/>
    <w:rsid w:val="00465AA4"/>
    <w:rsid w:val="004B68DD"/>
    <w:rsid w:val="004E00D4"/>
    <w:rsid w:val="00552415"/>
    <w:rsid w:val="00587CCA"/>
    <w:rsid w:val="0059651B"/>
    <w:rsid w:val="005B0828"/>
    <w:rsid w:val="005E53AB"/>
    <w:rsid w:val="005F2343"/>
    <w:rsid w:val="00610148"/>
    <w:rsid w:val="00620320"/>
    <w:rsid w:val="0066628B"/>
    <w:rsid w:val="00667DD5"/>
    <w:rsid w:val="00681E3A"/>
    <w:rsid w:val="00694727"/>
    <w:rsid w:val="006A59BE"/>
    <w:rsid w:val="006B19DE"/>
    <w:rsid w:val="006B3C16"/>
    <w:rsid w:val="006B648E"/>
    <w:rsid w:val="006E7435"/>
    <w:rsid w:val="007A2293"/>
    <w:rsid w:val="007A5EBC"/>
    <w:rsid w:val="008130F8"/>
    <w:rsid w:val="00817CB5"/>
    <w:rsid w:val="00846E98"/>
    <w:rsid w:val="00864321"/>
    <w:rsid w:val="00872885"/>
    <w:rsid w:val="00875CE7"/>
    <w:rsid w:val="008F62F8"/>
    <w:rsid w:val="00903D50"/>
    <w:rsid w:val="009100B7"/>
    <w:rsid w:val="00925592"/>
    <w:rsid w:val="00956176"/>
    <w:rsid w:val="0096585A"/>
    <w:rsid w:val="009A2618"/>
    <w:rsid w:val="009E02D6"/>
    <w:rsid w:val="00A04E3F"/>
    <w:rsid w:val="00A11BF7"/>
    <w:rsid w:val="00A160BE"/>
    <w:rsid w:val="00A232AB"/>
    <w:rsid w:val="00A240F1"/>
    <w:rsid w:val="00A47FD2"/>
    <w:rsid w:val="00AF632F"/>
    <w:rsid w:val="00B016B4"/>
    <w:rsid w:val="00B17587"/>
    <w:rsid w:val="00B22E72"/>
    <w:rsid w:val="00B77FC8"/>
    <w:rsid w:val="00B96395"/>
    <w:rsid w:val="00BE579B"/>
    <w:rsid w:val="00C3265C"/>
    <w:rsid w:val="00C92CFB"/>
    <w:rsid w:val="00CE691A"/>
    <w:rsid w:val="00D40E7C"/>
    <w:rsid w:val="00D41849"/>
    <w:rsid w:val="00D66C6C"/>
    <w:rsid w:val="00DB588E"/>
    <w:rsid w:val="00DD1DF9"/>
    <w:rsid w:val="00E06858"/>
    <w:rsid w:val="00E55679"/>
    <w:rsid w:val="00F2459A"/>
    <w:rsid w:val="00F570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7D886"/>
  <w15:chartTrackingRefBased/>
  <w15:docId w15:val="{48DDB08C-CD45-1546-892F-5F06E150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82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B082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5B082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B082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B0828"/>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B0828"/>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B0828"/>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B0828"/>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B0828"/>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B0828"/>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0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828"/>
    <w:rPr>
      <w:rFonts w:eastAsiaTheme="majorEastAsia" w:cstheme="majorBidi"/>
      <w:color w:val="272727" w:themeColor="text1" w:themeTint="D8"/>
    </w:rPr>
  </w:style>
  <w:style w:type="paragraph" w:styleId="Title">
    <w:name w:val="Title"/>
    <w:basedOn w:val="Normal"/>
    <w:next w:val="Normal"/>
    <w:link w:val="TitleChar"/>
    <w:uiPriority w:val="10"/>
    <w:qFormat/>
    <w:rsid w:val="005B082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B0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82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B0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828"/>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B0828"/>
    <w:rPr>
      <w:i/>
      <w:iCs/>
      <w:color w:val="404040" w:themeColor="text1" w:themeTint="BF"/>
    </w:rPr>
  </w:style>
  <w:style w:type="paragraph" w:styleId="ListParagraph">
    <w:name w:val="List Paragraph"/>
    <w:basedOn w:val="Normal"/>
    <w:uiPriority w:val="34"/>
    <w:qFormat/>
    <w:rsid w:val="005B0828"/>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5B0828"/>
    <w:rPr>
      <w:i/>
      <w:iCs/>
      <w:color w:val="0F4761" w:themeColor="accent1" w:themeShade="BF"/>
    </w:rPr>
  </w:style>
  <w:style w:type="paragraph" w:styleId="IntenseQuote">
    <w:name w:val="Intense Quote"/>
    <w:basedOn w:val="Normal"/>
    <w:next w:val="Normal"/>
    <w:link w:val="IntenseQuoteChar"/>
    <w:uiPriority w:val="30"/>
    <w:qFormat/>
    <w:rsid w:val="005B082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B0828"/>
    <w:rPr>
      <w:i/>
      <w:iCs/>
      <w:color w:val="0F4761" w:themeColor="accent1" w:themeShade="BF"/>
    </w:rPr>
  </w:style>
  <w:style w:type="character" w:styleId="IntenseReference">
    <w:name w:val="Intense Reference"/>
    <w:basedOn w:val="DefaultParagraphFont"/>
    <w:uiPriority w:val="32"/>
    <w:qFormat/>
    <w:rsid w:val="005B0828"/>
    <w:rPr>
      <w:b/>
      <w:bCs/>
      <w:smallCaps/>
      <w:color w:val="0F4761" w:themeColor="accent1" w:themeShade="BF"/>
      <w:spacing w:val="5"/>
    </w:rPr>
  </w:style>
  <w:style w:type="paragraph" w:styleId="NoSpacing">
    <w:name w:val="No Spacing"/>
    <w:uiPriority w:val="1"/>
    <w:qFormat/>
    <w:rsid w:val="005B0828"/>
    <w:pPr>
      <w:spacing w:after="0" w:line="240" w:lineRule="auto"/>
    </w:pPr>
    <w:rPr>
      <w:kern w:val="0"/>
      <w:lang w:eastAsia="en-US"/>
      <w14:ligatures w14:val="none"/>
    </w:rPr>
  </w:style>
  <w:style w:type="character" w:customStyle="1" w:styleId="apple-converted-space">
    <w:name w:val="apple-converted-space"/>
    <w:basedOn w:val="DefaultParagraphFont"/>
    <w:rsid w:val="005B0828"/>
  </w:style>
  <w:style w:type="character" w:customStyle="1" w:styleId="awjki">
    <w:name w:val="awjki"/>
    <w:basedOn w:val="DefaultParagraphFont"/>
    <w:rsid w:val="005B0828"/>
  </w:style>
  <w:style w:type="character" w:styleId="Emphasis">
    <w:name w:val="Emphasis"/>
    <w:basedOn w:val="DefaultParagraphFont"/>
    <w:uiPriority w:val="20"/>
    <w:qFormat/>
    <w:rsid w:val="005B0828"/>
    <w:rPr>
      <w:i/>
      <w:iCs/>
    </w:rPr>
  </w:style>
  <w:style w:type="character" w:styleId="Hyperlink">
    <w:name w:val="Hyperlink"/>
    <w:basedOn w:val="DefaultParagraphFont"/>
    <w:uiPriority w:val="99"/>
    <w:unhideWhenUsed/>
    <w:rsid w:val="000B784A"/>
    <w:rPr>
      <w:color w:val="467886" w:themeColor="hyperlink"/>
      <w:u w:val="single"/>
    </w:rPr>
  </w:style>
  <w:style w:type="character" w:styleId="UnresolvedMention">
    <w:name w:val="Unresolved Mention"/>
    <w:basedOn w:val="DefaultParagraphFont"/>
    <w:uiPriority w:val="99"/>
    <w:semiHidden/>
    <w:unhideWhenUsed/>
    <w:rsid w:val="000B784A"/>
    <w:rPr>
      <w:color w:val="605E5C"/>
      <w:shd w:val="clear" w:color="auto" w:fill="E1DFDD"/>
    </w:rPr>
  </w:style>
  <w:style w:type="paragraph" w:customStyle="1" w:styleId="p1">
    <w:name w:val="p1"/>
    <w:basedOn w:val="Normal"/>
    <w:rsid w:val="003467B7"/>
    <w:rPr>
      <w:color w:val="000000"/>
    </w:rPr>
  </w:style>
  <w:style w:type="paragraph" w:styleId="Footer">
    <w:name w:val="footer"/>
    <w:basedOn w:val="Normal"/>
    <w:link w:val="FooterChar"/>
    <w:uiPriority w:val="99"/>
    <w:unhideWhenUsed/>
    <w:rsid w:val="00864321"/>
    <w:pPr>
      <w:tabs>
        <w:tab w:val="center" w:pos="4680"/>
        <w:tab w:val="right" w:pos="9360"/>
      </w:tabs>
    </w:pPr>
  </w:style>
  <w:style w:type="character" w:customStyle="1" w:styleId="FooterChar">
    <w:name w:val="Footer Char"/>
    <w:basedOn w:val="DefaultParagraphFont"/>
    <w:link w:val="Footer"/>
    <w:uiPriority w:val="99"/>
    <w:rsid w:val="00864321"/>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864321"/>
  </w:style>
  <w:style w:type="character" w:customStyle="1" w:styleId="s1">
    <w:name w:val="s1"/>
    <w:basedOn w:val="DefaultParagraphFont"/>
    <w:rsid w:val="00620320"/>
    <w:rPr>
      <w:rFonts w:ascii="Helvetica" w:hAnsi="Helvetica" w:hint="default"/>
      <w:sz w:val="14"/>
      <w:szCs w:val="14"/>
    </w:rPr>
  </w:style>
  <w:style w:type="paragraph" w:customStyle="1" w:styleId="p2">
    <w:name w:val="p2"/>
    <w:basedOn w:val="Normal"/>
    <w:rsid w:val="00103276"/>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aphis.usd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7437</Words>
  <Characters>32502</Characters>
  <Application>Microsoft Office Word</Application>
  <DocSecurity>0</DocSecurity>
  <Lines>4643</Lines>
  <Paragraphs>2218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Zhang</dc:creator>
  <cp:keywords/>
  <dc:description/>
  <cp:lastModifiedBy>John Zhang</cp:lastModifiedBy>
  <cp:revision>2</cp:revision>
  <dcterms:created xsi:type="dcterms:W3CDTF">2026-02-23T14:17:00Z</dcterms:created>
  <dcterms:modified xsi:type="dcterms:W3CDTF">2026-02-23T14:17:00Z</dcterms:modified>
</cp:coreProperties>
</file>